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BB4" w:rsidRDefault="00A56EB1">
      <w:pPr>
        <w:jc w:val="center"/>
        <w:rPr>
          <w:rFonts w:ascii="宋体" w:hAnsi="宋体" w:cs="宋体"/>
          <w:b/>
          <w:bCs/>
          <w:kern w:val="0"/>
          <w:sz w:val="36"/>
          <w:szCs w:val="36"/>
        </w:rPr>
      </w:pPr>
      <w:r>
        <w:rPr>
          <w:rFonts w:ascii="宋体" w:hAnsi="宋体" w:cs="宋体" w:hint="eastAsia"/>
          <w:b/>
          <w:bCs/>
          <w:kern w:val="0"/>
          <w:sz w:val="36"/>
          <w:szCs w:val="36"/>
        </w:rPr>
        <w:t>单一来源采购专业人员论证意见</w:t>
      </w:r>
    </w:p>
    <w:tbl>
      <w:tblPr>
        <w:tblW w:w="11616" w:type="dxa"/>
        <w:jc w:val="center"/>
        <w:tblLook w:val="04A0" w:firstRow="1" w:lastRow="0" w:firstColumn="1" w:lastColumn="0" w:noHBand="0" w:noVBand="1"/>
      </w:tblPr>
      <w:tblGrid>
        <w:gridCol w:w="3344"/>
        <w:gridCol w:w="8272"/>
      </w:tblGrid>
      <w:tr w:rsidR="00300BB4">
        <w:trPr>
          <w:trHeight w:val="567"/>
          <w:jc w:val="center"/>
        </w:trPr>
        <w:tc>
          <w:tcPr>
            <w:tcW w:w="1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BB4" w:rsidRDefault="00A56EB1">
            <w:pPr>
              <w:rPr>
                <w:b/>
              </w:rPr>
            </w:pPr>
            <w:r>
              <w:rPr>
                <w:rFonts w:hint="eastAsia"/>
                <w:b/>
              </w:rPr>
              <w:t>一、基本情况</w:t>
            </w:r>
          </w:p>
        </w:tc>
      </w:tr>
      <w:tr w:rsidR="00300BB4">
        <w:trPr>
          <w:trHeight w:val="567"/>
          <w:jc w:val="center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BB4" w:rsidRDefault="00A56EB1">
            <w:r>
              <w:rPr>
                <w:rFonts w:hint="eastAsia"/>
              </w:rPr>
              <w:t>采购人</w:t>
            </w:r>
          </w:p>
        </w:tc>
        <w:tc>
          <w:tcPr>
            <w:tcW w:w="8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0BB4" w:rsidRDefault="00A56EB1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上海市第六人民</w:t>
            </w:r>
            <w:r>
              <w:rPr>
                <w:rFonts w:hint="eastAsia"/>
                <w:color w:val="000000" w:themeColor="text1"/>
              </w:rPr>
              <w:t>医院</w:t>
            </w:r>
          </w:p>
        </w:tc>
      </w:tr>
      <w:tr w:rsidR="00300BB4">
        <w:trPr>
          <w:trHeight w:val="567"/>
          <w:jc w:val="center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BB4" w:rsidRDefault="00A56EB1">
            <w:r>
              <w:rPr>
                <w:rFonts w:hint="eastAsia"/>
              </w:rPr>
              <w:t>采购项目</w:t>
            </w:r>
          </w:p>
        </w:tc>
        <w:tc>
          <w:tcPr>
            <w:tcW w:w="8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0BB4" w:rsidRDefault="00A56EB1" w:rsidP="00A56EB1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上海市第六人民</w:t>
            </w:r>
            <w:r>
              <w:rPr>
                <w:rFonts w:hint="eastAsia"/>
                <w:color w:val="000000" w:themeColor="text1"/>
              </w:rPr>
              <w:t>医院采购医疗设备单一来源项目（采购预算￥</w:t>
            </w:r>
            <w:r>
              <w:rPr>
                <w:rFonts w:hint="eastAsia"/>
                <w:color w:val="000000" w:themeColor="text1"/>
              </w:rPr>
              <w:t>32</w:t>
            </w:r>
            <w:r>
              <w:rPr>
                <w:rFonts w:hint="eastAsia"/>
                <w:color w:val="000000" w:themeColor="text1"/>
              </w:rPr>
              <w:t>0</w:t>
            </w:r>
            <w:r>
              <w:rPr>
                <w:rFonts w:hint="eastAsia"/>
                <w:color w:val="000000" w:themeColor="text1"/>
              </w:rPr>
              <w:t>0</w:t>
            </w:r>
            <w:r>
              <w:rPr>
                <w:rFonts w:hint="eastAsia"/>
                <w:color w:val="000000" w:themeColor="text1"/>
              </w:rPr>
              <w:t>万</w:t>
            </w:r>
            <w:r>
              <w:rPr>
                <w:rFonts w:hint="eastAsia"/>
                <w:color w:val="000000" w:themeColor="text1"/>
              </w:rPr>
              <w:t>）</w:t>
            </w:r>
            <w:bookmarkStart w:id="0" w:name="_GoBack"/>
            <w:bookmarkEnd w:id="0"/>
          </w:p>
        </w:tc>
      </w:tr>
      <w:tr w:rsidR="00300BB4">
        <w:trPr>
          <w:trHeight w:val="567"/>
          <w:jc w:val="center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BB4" w:rsidRDefault="00A56EB1">
            <w:r>
              <w:rPr>
                <w:rFonts w:hint="eastAsia"/>
              </w:rPr>
              <w:t>采购内容</w:t>
            </w:r>
          </w:p>
        </w:tc>
        <w:tc>
          <w:tcPr>
            <w:tcW w:w="8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0BB4" w:rsidRDefault="00A56EB1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一体化</w:t>
            </w:r>
            <w:r>
              <w:rPr>
                <w:rFonts w:hint="eastAsia"/>
                <w:color w:val="000000" w:themeColor="text1"/>
              </w:rPr>
              <w:t>P</w:t>
            </w:r>
            <w:r>
              <w:rPr>
                <w:color w:val="000000" w:themeColor="text1"/>
              </w:rPr>
              <w:t>ET/MR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套</w:t>
            </w:r>
          </w:p>
        </w:tc>
      </w:tr>
      <w:tr w:rsidR="00300BB4">
        <w:trPr>
          <w:trHeight w:val="567"/>
          <w:jc w:val="center"/>
        </w:trPr>
        <w:tc>
          <w:tcPr>
            <w:tcW w:w="1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BB4" w:rsidRDefault="00A56EB1">
            <w:pPr>
              <w:rPr>
                <w:b/>
              </w:rPr>
            </w:pPr>
            <w:r>
              <w:rPr>
                <w:rFonts w:hint="eastAsia"/>
                <w:b/>
              </w:rPr>
              <w:t>二、原因阐述</w:t>
            </w:r>
          </w:p>
        </w:tc>
      </w:tr>
      <w:tr w:rsidR="00300BB4">
        <w:trPr>
          <w:trHeight w:val="482"/>
          <w:jc w:val="center"/>
        </w:trPr>
        <w:tc>
          <w:tcPr>
            <w:tcW w:w="1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BB4" w:rsidRDefault="00A56EB1">
            <w:pPr>
              <w:pStyle w:val="a5"/>
              <w:widowControl/>
              <w:shd w:val="clear" w:color="auto" w:fill="FFFFFF"/>
              <w:spacing w:beforeAutospacing="0" w:afterAutospacing="0" w:line="360" w:lineRule="auto"/>
              <w:ind w:firstLine="600"/>
              <w:jc w:val="both"/>
              <w:rPr>
                <w:kern w:val="2"/>
                <w:sz w:val="21"/>
                <w:szCs w:val="21"/>
              </w:rPr>
            </w:pPr>
            <w:r>
              <w:rPr>
                <w:rFonts w:hint="eastAsia"/>
                <w:kern w:val="2"/>
                <w:sz w:val="21"/>
                <w:szCs w:val="21"/>
              </w:rPr>
              <w:t>上海市第六人民</w:t>
            </w:r>
            <w:r>
              <w:rPr>
                <w:kern w:val="2"/>
                <w:sz w:val="21"/>
                <w:szCs w:val="21"/>
              </w:rPr>
              <w:t>医院，</w:t>
            </w:r>
            <w:r>
              <w:rPr>
                <w:rFonts w:hint="eastAsia"/>
                <w:kern w:val="2"/>
                <w:sz w:val="21"/>
                <w:szCs w:val="21"/>
              </w:rPr>
              <w:t>是上海市最大的</w:t>
            </w:r>
            <w:r>
              <w:rPr>
                <w:kern w:val="2"/>
                <w:sz w:val="21"/>
                <w:szCs w:val="21"/>
              </w:rPr>
              <w:t>集医疗、科研、教学、预防、康复于一体的三级甲等综合性医院</w:t>
            </w:r>
            <w:r>
              <w:rPr>
                <w:rFonts w:hint="eastAsia"/>
                <w:kern w:val="2"/>
                <w:sz w:val="21"/>
                <w:szCs w:val="21"/>
              </w:rPr>
              <w:t>之一</w:t>
            </w:r>
            <w:r>
              <w:rPr>
                <w:kern w:val="2"/>
                <w:sz w:val="21"/>
                <w:szCs w:val="21"/>
              </w:rPr>
              <w:t>。</w:t>
            </w:r>
            <w:r>
              <w:rPr>
                <w:rFonts w:hint="eastAsia"/>
                <w:kern w:val="2"/>
                <w:sz w:val="21"/>
                <w:szCs w:val="21"/>
              </w:rPr>
              <w:t>医院面向上海市及周边省份为肿瘤、心血管及神经系统等疾病患者提供优质高效的医疗服务，</w:t>
            </w:r>
            <w:r>
              <w:rPr>
                <w:rFonts w:hint="eastAsia"/>
                <w:kern w:val="2"/>
                <w:sz w:val="21"/>
                <w:szCs w:val="21"/>
              </w:rPr>
              <w:t>2021</w:t>
            </w:r>
            <w:r>
              <w:rPr>
                <w:rFonts w:hint="eastAsia"/>
                <w:kern w:val="2"/>
                <w:sz w:val="21"/>
                <w:szCs w:val="21"/>
              </w:rPr>
              <w:t>年度医院编制床位数</w:t>
            </w:r>
            <w:r>
              <w:rPr>
                <w:rFonts w:hint="eastAsia"/>
                <w:kern w:val="2"/>
                <w:sz w:val="21"/>
                <w:szCs w:val="21"/>
              </w:rPr>
              <w:t>2556</w:t>
            </w:r>
            <w:r>
              <w:rPr>
                <w:rFonts w:hint="eastAsia"/>
                <w:kern w:val="2"/>
                <w:sz w:val="21"/>
                <w:szCs w:val="21"/>
              </w:rPr>
              <w:t>（张），实际开放床位数</w:t>
            </w:r>
            <w:r>
              <w:rPr>
                <w:rFonts w:hint="eastAsia"/>
                <w:kern w:val="2"/>
                <w:sz w:val="21"/>
                <w:szCs w:val="21"/>
              </w:rPr>
              <w:t>2824</w:t>
            </w:r>
            <w:r>
              <w:rPr>
                <w:rFonts w:hint="eastAsia"/>
                <w:kern w:val="2"/>
                <w:sz w:val="21"/>
                <w:szCs w:val="21"/>
              </w:rPr>
              <w:t>（张），出院人数</w:t>
            </w:r>
            <w:r>
              <w:rPr>
                <w:rFonts w:hint="eastAsia"/>
                <w:kern w:val="2"/>
                <w:sz w:val="21"/>
                <w:szCs w:val="21"/>
              </w:rPr>
              <w:t>15</w:t>
            </w:r>
            <w:r>
              <w:rPr>
                <w:rFonts w:hint="eastAsia"/>
                <w:kern w:val="2"/>
                <w:sz w:val="21"/>
                <w:szCs w:val="21"/>
              </w:rPr>
              <w:t>.</w:t>
            </w:r>
            <w:r>
              <w:rPr>
                <w:rFonts w:hint="eastAsia"/>
                <w:kern w:val="2"/>
                <w:sz w:val="21"/>
                <w:szCs w:val="21"/>
              </w:rPr>
              <w:t>1</w:t>
            </w:r>
            <w:r>
              <w:rPr>
                <w:rFonts w:hint="eastAsia"/>
                <w:kern w:val="2"/>
                <w:sz w:val="21"/>
                <w:szCs w:val="21"/>
              </w:rPr>
              <w:t>万</w:t>
            </w:r>
            <w:r>
              <w:rPr>
                <w:rFonts w:hint="eastAsia"/>
                <w:kern w:val="2"/>
                <w:sz w:val="21"/>
                <w:szCs w:val="21"/>
              </w:rPr>
              <w:t>人次，手术人数</w:t>
            </w:r>
            <w:r>
              <w:rPr>
                <w:rFonts w:hint="eastAsia"/>
                <w:kern w:val="2"/>
                <w:sz w:val="21"/>
                <w:szCs w:val="21"/>
              </w:rPr>
              <w:t>9</w:t>
            </w:r>
            <w:r>
              <w:rPr>
                <w:rFonts w:hint="eastAsia"/>
                <w:kern w:val="2"/>
                <w:sz w:val="21"/>
                <w:szCs w:val="21"/>
              </w:rPr>
              <w:t>.</w:t>
            </w:r>
            <w:r>
              <w:rPr>
                <w:rFonts w:hint="eastAsia"/>
                <w:kern w:val="2"/>
                <w:sz w:val="21"/>
                <w:szCs w:val="21"/>
              </w:rPr>
              <w:t>1</w:t>
            </w:r>
            <w:r>
              <w:rPr>
                <w:rFonts w:hint="eastAsia"/>
                <w:kern w:val="2"/>
                <w:sz w:val="21"/>
                <w:szCs w:val="21"/>
              </w:rPr>
              <w:t>万</w:t>
            </w:r>
            <w:r>
              <w:rPr>
                <w:rFonts w:hint="eastAsia"/>
                <w:kern w:val="2"/>
                <w:sz w:val="21"/>
                <w:szCs w:val="21"/>
              </w:rPr>
              <w:t>例，门诊量</w:t>
            </w:r>
            <w:r>
              <w:rPr>
                <w:rFonts w:hint="eastAsia"/>
                <w:kern w:val="2"/>
                <w:sz w:val="21"/>
                <w:szCs w:val="21"/>
              </w:rPr>
              <w:t xml:space="preserve">486.67 </w:t>
            </w:r>
            <w:proofErr w:type="gramStart"/>
            <w:r>
              <w:rPr>
                <w:rFonts w:hint="eastAsia"/>
                <w:kern w:val="2"/>
                <w:sz w:val="21"/>
                <w:szCs w:val="21"/>
              </w:rPr>
              <w:t>万人次</w:t>
            </w:r>
            <w:proofErr w:type="gramEnd"/>
            <w:r>
              <w:rPr>
                <w:rFonts w:hint="eastAsia"/>
                <w:kern w:val="2"/>
                <w:sz w:val="21"/>
                <w:szCs w:val="21"/>
              </w:rPr>
              <w:t>。医院现有国家临床重点专科</w:t>
            </w:r>
            <w:r>
              <w:rPr>
                <w:rFonts w:hint="eastAsia"/>
                <w:kern w:val="2"/>
                <w:sz w:val="21"/>
                <w:szCs w:val="21"/>
              </w:rPr>
              <w:t>6</w:t>
            </w:r>
            <w:r>
              <w:rPr>
                <w:rFonts w:hint="eastAsia"/>
                <w:kern w:val="2"/>
                <w:sz w:val="21"/>
                <w:szCs w:val="21"/>
              </w:rPr>
              <w:t>个，国家重点学科</w:t>
            </w:r>
            <w:r>
              <w:rPr>
                <w:rFonts w:hint="eastAsia"/>
                <w:kern w:val="2"/>
                <w:sz w:val="21"/>
                <w:szCs w:val="21"/>
              </w:rPr>
              <w:t>3</w:t>
            </w:r>
            <w:r>
              <w:rPr>
                <w:rFonts w:hint="eastAsia"/>
                <w:kern w:val="2"/>
                <w:sz w:val="21"/>
                <w:szCs w:val="21"/>
              </w:rPr>
              <w:t>个，国家卫生健康委妇幼</w:t>
            </w:r>
            <w:proofErr w:type="gramStart"/>
            <w:r>
              <w:rPr>
                <w:rFonts w:hint="eastAsia"/>
                <w:kern w:val="2"/>
                <w:sz w:val="21"/>
                <w:szCs w:val="21"/>
              </w:rPr>
              <w:t>司国家</w:t>
            </w:r>
            <w:proofErr w:type="gramEnd"/>
            <w:r>
              <w:rPr>
                <w:rFonts w:hint="eastAsia"/>
                <w:kern w:val="2"/>
                <w:sz w:val="21"/>
                <w:szCs w:val="21"/>
              </w:rPr>
              <w:t>更年期保健特色专科</w:t>
            </w:r>
            <w:r>
              <w:rPr>
                <w:rFonts w:hint="eastAsia"/>
                <w:kern w:val="2"/>
                <w:sz w:val="21"/>
                <w:szCs w:val="21"/>
              </w:rPr>
              <w:t>1</w:t>
            </w:r>
            <w:r>
              <w:rPr>
                <w:rFonts w:hint="eastAsia"/>
                <w:kern w:val="2"/>
                <w:sz w:val="21"/>
                <w:szCs w:val="21"/>
              </w:rPr>
              <w:t>个，上海市“重中之重”临床医学中心</w:t>
            </w:r>
            <w:r>
              <w:rPr>
                <w:rFonts w:hint="eastAsia"/>
                <w:kern w:val="2"/>
                <w:sz w:val="21"/>
                <w:szCs w:val="21"/>
              </w:rPr>
              <w:t>2</w:t>
            </w:r>
            <w:r>
              <w:rPr>
                <w:rFonts w:hint="eastAsia"/>
                <w:kern w:val="2"/>
                <w:sz w:val="21"/>
                <w:szCs w:val="21"/>
              </w:rPr>
              <w:t>个，上海市“重中之重”临床重点学科</w:t>
            </w:r>
            <w:r>
              <w:rPr>
                <w:rFonts w:hint="eastAsia"/>
                <w:kern w:val="2"/>
                <w:sz w:val="21"/>
                <w:szCs w:val="21"/>
              </w:rPr>
              <w:t>2</w:t>
            </w:r>
            <w:r>
              <w:rPr>
                <w:rFonts w:hint="eastAsia"/>
                <w:kern w:val="2"/>
                <w:sz w:val="21"/>
                <w:szCs w:val="21"/>
              </w:rPr>
              <w:t>个</w:t>
            </w:r>
            <w:r>
              <w:rPr>
                <w:rFonts w:hint="eastAsia"/>
                <w:kern w:val="2"/>
                <w:sz w:val="21"/>
                <w:szCs w:val="21"/>
              </w:rPr>
              <w:t>。</w:t>
            </w:r>
            <w:r>
              <w:rPr>
                <w:rFonts w:hint="eastAsia"/>
                <w:kern w:val="2"/>
                <w:sz w:val="21"/>
                <w:szCs w:val="21"/>
              </w:rPr>
              <w:t>设</w:t>
            </w:r>
            <w:r>
              <w:rPr>
                <w:kern w:val="2"/>
                <w:sz w:val="21"/>
                <w:szCs w:val="21"/>
              </w:rPr>
              <w:t>有上海市四肢显微外科研究所、上海市糖尿病研究所、上海市糖尿病重点实验室、上海市睡眠呼吸障碍疾病重点实验室、中国上海国际四肢显微外科培训中心、上海超声医学研究所、上海交通大学影像医学研究所、生物芯片北京国家工程研究中心上海分中心</w:t>
            </w:r>
            <w:r>
              <w:rPr>
                <w:rFonts w:hint="eastAsia"/>
                <w:kern w:val="2"/>
                <w:sz w:val="21"/>
                <w:szCs w:val="21"/>
              </w:rPr>
              <w:t>等</w:t>
            </w:r>
            <w:r>
              <w:rPr>
                <w:kern w:val="2"/>
                <w:sz w:val="21"/>
                <w:szCs w:val="21"/>
              </w:rPr>
              <w:t>。</w:t>
            </w:r>
            <w:r>
              <w:rPr>
                <w:rFonts w:hint="eastAsia"/>
                <w:kern w:val="2"/>
                <w:sz w:val="21"/>
                <w:szCs w:val="21"/>
              </w:rPr>
              <w:t>历年来获得国家级、省部级、局级科研成果奖</w:t>
            </w:r>
            <w:r>
              <w:rPr>
                <w:rFonts w:hint="eastAsia"/>
                <w:kern w:val="2"/>
                <w:sz w:val="21"/>
                <w:szCs w:val="21"/>
              </w:rPr>
              <w:t>291</w:t>
            </w:r>
            <w:r>
              <w:rPr>
                <w:rFonts w:hint="eastAsia"/>
                <w:kern w:val="2"/>
                <w:sz w:val="21"/>
                <w:szCs w:val="21"/>
              </w:rPr>
              <w:t>项，其中以第一承担单位获国家发明一</w:t>
            </w:r>
            <w:r>
              <w:rPr>
                <w:rFonts w:hint="eastAsia"/>
                <w:kern w:val="2"/>
                <w:sz w:val="21"/>
                <w:szCs w:val="21"/>
              </w:rPr>
              <w:t>等奖</w:t>
            </w:r>
            <w:r>
              <w:rPr>
                <w:rFonts w:hint="eastAsia"/>
                <w:kern w:val="2"/>
                <w:sz w:val="21"/>
                <w:szCs w:val="21"/>
              </w:rPr>
              <w:t>1</w:t>
            </w:r>
            <w:r>
              <w:rPr>
                <w:rFonts w:hint="eastAsia"/>
                <w:kern w:val="2"/>
                <w:sz w:val="21"/>
                <w:szCs w:val="21"/>
              </w:rPr>
              <w:t>项、国家科技进步奖二等奖</w:t>
            </w:r>
            <w:r>
              <w:rPr>
                <w:rFonts w:hint="eastAsia"/>
                <w:kern w:val="2"/>
                <w:sz w:val="21"/>
                <w:szCs w:val="21"/>
              </w:rPr>
              <w:t>6</w:t>
            </w:r>
            <w:r>
              <w:rPr>
                <w:rFonts w:hint="eastAsia"/>
                <w:kern w:val="2"/>
                <w:sz w:val="21"/>
                <w:szCs w:val="21"/>
              </w:rPr>
              <w:t>项。</w:t>
            </w:r>
          </w:p>
          <w:p w:rsidR="00300BB4" w:rsidRDefault="00A56EB1">
            <w:pPr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为满足</w:t>
            </w:r>
            <w:r>
              <w:rPr>
                <w:szCs w:val="21"/>
              </w:rPr>
              <w:t>我院的临床</w:t>
            </w:r>
            <w:r>
              <w:rPr>
                <w:rFonts w:hint="eastAsia"/>
                <w:szCs w:val="21"/>
              </w:rPr>
              <w:t>使用需求以及</w:t>
            </w:r>
            <w:r>
              <w:rPr>
                <w:szCs w:val="21"/>
              </w:rPr>
              <w:t>科研</w:t>
            </w:r>
            <w:r>
              <w:rPr>
                <w:rFonts w:hint="eastAsia"/>
                <w:szCs w:val="21"/>
              </w:rPr>
              <w:t>、</w:t>
            </w:r>
            <w:r>
              <w:rPr>
                <w:szCs w:val="21"/>
              </w:rPr>
              <w:t>人才培养需求，</w:t>
            </w:r>
            <w:r>
              <w:rPr>
                <w:rFonts w:hint="eastAsia"/>
                <w:szCs w:val="21"/>
              </w:rPr>
              <w:t>拟</w:t>
            </w:r>
            <w:r>
              <w:rPr>
                <w:rFonts w:hint="eastAsia"/>
                <w:szCs w:val="21"/>
              </w:rPr>
              <w:t>2022</w:t>
            </w:r>
            <w:r>
              <w:rPr>
                <w:rFonts w:hint="eastAsia"/>
                <w:szCs w:val="21"/>
              </w:rPr>
              <w:t>年采购数字化全身压缩感知</w:t>
            </w:r>
            <w:r>
              <w:rPr>
                <w:rFonts w:hint="eastAsia"/>
                <w:szCs w:val="21"/>
              </w:rPr>
              <w:t>PET/MR</w:t>
            </w:r>
            <w:r>
              <w:rPr>
                <w:rFonts w:hint="eastAsia"/>
                <w:szCs w:val="21"/>
              </w:rPr>
              <w:t>，该设备</w:t>
            </w:r>
            <w:r>
              <w:rPr>
                <w:szCs w:val="21"/>
              </w:rPr>
              <w:t>应具备以下关键性能：</w:t>
            </w:r>
          </w:p>
          <w:p w:rsidR="00300BB4" w:rsidRDefault="00A56EB1">
            <w:pPr>
              <w:pStyle w:val="a6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全身压缩感知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3.0</w:t>
            </w:r>
            <w:r>
              <w:rPr>
                <w:rFonts w:ascii="Times New Roman" w:eastAsia="宋体" w:hAnsi="Times New Roman" w:cs="Times New Roman"/>
                <w:szCs w:val="21"/>
              </w:rPr>
              <w:t>T MR</w:t>
            </w:r>
          </w:p>
          <w:p w:rsidR="00300BB4" w:rsidRDefault="00A56EB1">
            <w:pPr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全身压缩感知的应用使</w:t>
            </w:r>
            <w:r>
              <w:rPr>
                <w:szCs w:val="21"/>
              </w:rPr>
              <w:t>PET/MR</w:t>
            </w:r>
            <w:r>
              <w:rPr>
                <w:rFonts w:hint="eastAsia"/>
                <w:szCs w:val="21"/>
              </w:rPr>
              <w:t>充分发挥</w:t>
            </w:r>
            <w:r>
              <w:rPr>
                <w:szCs w:val="21"/>
              </w:rPr>
              <w:t>在神经系统疾病（癫痫、</w:t>
            </w:r>
            <w:r>
              <w:rPr>
                <w:rFonts w:hint="eastAsia"/>
                <w:szCs w:val="21"/>
              </w:rPr>
              <w:t>老年</w:t>
            </w:r>
            <w:r>
              <w:rPr>
                <w:szCs w:val="21"/>
              </w:rPr>
              <w:t>痴呆、帕金森病等）、头颈部肿瘤、乳腺肿瘤、上腹部肿瘤（肝脏和胰腺疾病）、肾上腺瘤、泌尿生殖系统肿瘤（前列腺癌）、骨骼和软组织病变、神经内分泌肿瘤、儿科肿瘤、脑功能分析和心血管疾病等方面的优势</w:t>
            </w:r>
            <w:r>
              <w:rPr>
                <w:rFonts w:hint="eastAsia"/>
                <w:szCs w:val="21"/>
              </w:rPr>
              <w:t>，更好的实现</w:t>
            </w: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>ET</w:t>
            </w:r>
            <w:r>
              <w:rPr>
                <w:rFonts w:hint="eastAsia"/>
                <w:szCs w:val="21"/>
              </w:rPr>
              <w:t>和</w:t>
            </w:r>
            <w:r>
              <w:rPr>
                <w:rFonts w:hint="eastAsia"/>
                <w:szCs w:val="21"/>
              </w:rPr>
              <w:t>M</w:t>
            </w:r>
            <w:r>
              <w:rPr>
                <w:szCs w:val="21"/>
              </w:rPr>
              <w:t>R</w:t>
            </w:r>
            <w:r>
              <w:rPr>
                <w:rFonts w:hint="eastAsia"/>
                <w:szCs w:val="21"/>
              </w:rPr>
              <w:t>三维多角度的图像融合与匹配，提供更为精准的</w:t>
            </w:r>
            <w:r>
              <w:rPr>
                <w:rFonts w:hint="eastAsia"/>
                <w:szCs w:val="21"/>
              </w:rPr>
              <w:t>诊断及定量结果。配备有全身压缩感知</w:t>
            </w:r>
            <w:r>
              <w:rPr>
                <w:rFonts w:hint="eastAsia"/>
                <w:szCs w:val="21"/>
              </w:rPr>
              <w:t>3.0T</w:t>
            </w:r>
            <w:r>
              <w:rPr>
                <w:rFonts w:hint="eastAsia"/>
                <w:szCs w:val="21"/>
              </w:rPr>
              <w:t>磁共振的</w:t>
            </w:r>
            <w:r>
              <w:rPr>
                <w:szCs w:val="21"/>
              </w:rPr>
              <w:t>PET/MR</w:t>
            </w:r>
            <w:r>
              <w:rPr>
                <w:szCs w:val="21"/>
              </w:rPr>
              <w:t>能够更快速的完成全身扫</w:t>
            </w:r>
            <w:r>
              <w:rPr>
                <w:rFonts w:hint="eastAsia"/>
                <w:szCs w:val="21"/>
              </w:rPr>
              <w:t>描</w:t>
            </w:r>
            <w:r>
              <w:rPr>
                <w:szCs w:val="21"/>
              </w:rPr>
              <w:t>，对于一些严重的无法长时间保持固定姿势的肿瘤患者，能够显著提升</w:t>
            </w:r>
            <w:r>
              <w:rPr>
                <w:rFonts w:hint="eastAsia"/>
                <w:szCs w:val="21"/>
              </w:rPr>
              <w:t>PET/MR</w:t>
            </w:r>
            <w:r>
              <w:rPr>
                <w:szCs w:val="21"/>
              </w:rPr>
              <w:t>患者舒适度</w:t>
            </w:r>
            <w:r>
              <w:rPr>
                <w:rFonts w:hint="eastAsia"/>
                <w:szCs w:val="21"/>
              </w:rPr>
              <w:t>，实现</w:t>
            </w: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>ET/MR</w:t>
            </w:r>
            <w:r>
              <w:rPr>
                <w:rFonts w:hint="eastAsia"/>
                <w:szCs w:val="21"/>
              </w:rPr>
              <w:t>全身快速</w:t>
            </w:r>
            <w:r>
              <w:rPr>
                <w:szCs w:val="21"/>
              </w:rPr>
              <w:t>3D</w:t>
            </w:r>
            <w:r>
              <w:rPr>
                <w:szCs w:val="21"/>
              </w:rPr>
              <w:t>扫描</w:t>
            </w:r>
            <w:r>
              <w:rPr>
                <w:rFonts w:hint="eastAsia"/>
                <w:szCs w:val="21"/>
              </w:rPr>
              <w:t>，提升</w:t>
            </w:r>
            <w:r>
              <w:rPr>
                <w:rFonts w:hint="eastAsia"/>
                <w:szCs w:val="21"/>
              </w:rPr>
              <w:t>PET/MR</w:t>
            </w:r>
            <w:r>
              <w:rPr>
                <w:rFonts w:hint="eastAsia"/>
                <w:szCs w:val="21"/>
              </w:rPr>
              <w:t>的采集效率。</w:t>
            </w:r>
          </w:p>
          <w:p w:rsidR="00300BB4" w:rsidRDefault="00A56EB1">
            <w:pPr>
              <w:pStyle w:val="a6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数字化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T</w:t>
            </w:r>
            <w:r>
              <w:rPr>
                <w:rFonts w:ascii="Times New Roman" w:eastAsia="宋体" w:hAnsi="Times New Roman" w:cs="Times New Roman"/>
                <w:szCs w:val="21"/>
              </w:rPr>
              <w:t>OF PET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系统：</w:t>
            </w:r>
            <w:r>
              <w:rPr>
                <w:rFonts w:ascii="Times New Roman" w:eastAsia="宋体" w:hAnsi="Times New Roman" w:cs="Times New Roman"/>
                <w:szCs w:val="21"/>
              </w:rPr>
              <w:t>NEMA</w:t>
            </w:r>
            <w:r>
              <w:rPr>
                <w:rFonts w:ascii="Times New Roman" w:eastAsia="宋体" w:hAnsi="Times New Roman" w:cs="Times New Roman"/>
                <w:szCs w:val="21"/>
              </w:rPr>
              <w:t>空间分辨率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≤</w:t>
            </w:r>
            <w:r>
              <w:rPr>
                <w:rFonts w:ascii="Times New Roman" w:eastAsia="宋体" w:hAnsi="Times New Roman" w:cs="Times New Roman"/>
                <w:szCs w:val="21"/>
              </w:rPr>
              <w:t>3mm</w:t>
            </w:r>
          </w:p>
          <w:p w:rsidR="00300BB4" w:rsidRDefault="00A56EB1">
            <w:pPr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数字化</w:t>
            </w:r>
            <w:r>
              <w:rPr>
                <w:rFonts w:hint="eastAsia"/>
                <w:szCs w:val="21"/>
              </w:rPr>
              <w:t>T</w:t>
            </w:r>
            <w:r>
              <w:rPr>
                <w:szCs w:val="21"/>
              </w:rPr>
              <w:t>OF PET</w:t>
            </w:r>
            <w:r>
              <w:rPr>
                <w:rFonts w:hint="eastAsia"/>
                <w:szCs w:val="21"/>
              </w:rPr>
              <w:t>是最新的</w:t>
            </w: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>ET</w:t>
            </w:r>
            <w:r>
              <w:rPr>
                <w:rFonts w:hint="eastAsia"/>
                <w:szCs w:val="21"/>
              </w:rPr>
              <w:t>技术，不仅能够更好的实现</w:t>
            </w:r>
            <w:r>
              <w:rPr>
                <w:rFonts w:hint="eastAsia"/>
                <w:szCs w:val="21"/>
              </w:rPr>
              <w:t>PET</w:t>
            </w:r>
            <w:r>
              <w:rPr>
                <w:rFonts w:hint="eastAsia"/>
                <w:szCs w:val="21"/>
              </w:rPr>
              <w:t>系统和</w:t>
            </w:r>
            <w:r>
              <w:rPr>
                <w:rFonts w:hint="eastAsia"/>
                <w:szCs w:val="21"/>
              </w:rPr>
              <w:t>MR</w:t>
            </w:r>
            <w:r>
              <w:rPr>
                <w:rFonts w:hint="eastAsia"/>
                <w:szCs w:val="21"/>
              </w:rPr>
              <w:t>系统之间的电磁兼容，还能够大幅提升系统性能，提高</w:t>
            </w:r>
            <w:r>
              <w:rPr>
                <w:rFonts w:hint="eastAsia"/>
                <w:szCs w:val="21"/>
              </w:rPr>
              <w:t>PET</w:t>
            </w:r>
            <w:r>
              <w:rPr>
                <w:rFonts w:hint="eastAsia"/>
                <w:szCs w:val="21"/>
              </w:rPr>
              <w:t>的图像质量。</w:t>
            </w:r>
          </w:p>
          <w:p w:rsidR="00300BB4" w:rsidRDefault="00A56EB1">
            <w:pPr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搭载数字化</w:t>
            </w:r>
            <w:r>
              <w:rPr>
                <w:rFonts w:hint="eastAsia"/>
                <w:szCs w:val="21"/>
              </w:rPr>
              <w:t>TOF</w:t>
            </w:r>
            <w:r>
              <w:rPr>
                <w:rFonts w:hint="eastAsia"/>
                <w:szCs w:val="21"/>
              </w:rPr>
              <w:t>技术的高分辨率</w:t>
            </w:r>
            <w:r>
              <w:rPr>
                <w:szCs w:val="21"/>
              </w:rPr>
              <w:t>PET</w:t>
            </w:r>
            <w:r>
              <w:rPr>
                <w:szCs w:val="21"/>
              </w:rPr>
              <w:t>在肿瘤的早期诊断、精确分期、指导治疗方案的制定等方面均有重要价值，</w:t>
            </w:r>
            <w:r>
              <w:rPr>
                <w:rFonts w:hint="eastAsia"/>
                <w:szCs w:val="21"/>
              </w:rPr>
              <w:t>≤</w:t>
            </w:r>
            <w:r>
              <w:rPr>
                <w:szCs w:val="21"/>
              </w:rPr>
              <w:t>3mm</w:t>
            </w:r>
            <w:r>
              <w:rPr>
                <w:rFonts w:hint="eastAsia"/>
                <w:szCs w:val="21"/>
              </w:rPr>
              <w:t>的</w:t>
            </w:r>
            <w:r>
              <w:rPr>
                <w:rFonts w:hint="eastAsia"/>
                <w:szCs w:val="21"/>
              </w:rPr>
              <w:t>NEMA</w:t>
            </w:r>
            <w:r>
              <w:rPr>
                <w:rFonts w:hint="eastAsia"/>
                <w:szCs w:val="21"/>
              </w:rPr>
              <w:t>空间分辨率将有效提升</w:t>
            </w:r>
            <w:r>
              <w:rPr>
                <w:szCs w:val="21"/>
              </w:rPr>
              <w:t>PET</w:t>
            </w:r>
            <w:r>
              <w:rPr>
                <w:szCs w:val="21"/>
              </w:rPr>
              <w:t>系统对于小病灶的检出能力，对于一些微小的转移病灶也可以有效探测，清晰显像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帮助医生更好的进行肿瘤小病灶的探测和评估</w:t>
            </w:r>
            <w:r>
              <w:rPr>
                <w:rFonts w:hint="eastAsia"/>
                <w:szCs w:val="21"/>
              </w:rPr>
              <w:t>。</w:t>
            </w:r>
            <w:r>
              <w:rPr>
                <w:szCs w:val="21"/>
              </w:rPr>
              <w:t>尤其</w:t>
            </w:r>
            <w:r>
              <w:rPr>
                <w:rFonts w:hint="eastAsia"/>
                <w:szCs w:val="21"/>
              </w:rPr>
              <w:t>在</w:t>
            </w:r>
            <w:r>
              <w:rPr>
                <w:szCs w:val="21"/>
              </w:rPr>
              <w:t>头颈部肿瘤，神经肿瘤，神经退行性疾病，儿童肿瘤以及全身淋巴瘤显像等</w:t>
            </w:r>
            <w:r>
              <w:rPr>
                <w:rFonts w:hint="eastAsia"/>
                <w:szCs w:val="21"/>
              </w:rPr>
              <w:t>方面发挥重要的临床价值</w:t>
            </w:r>
            <w:r>
              <w:rPr>
                <w:szCs w:val="21"/>
              </w:rPr>
              <w:t>。</w:t>
            </w:r>
          </w:p>
          <w:p w:rsidR="00300BB4" w:rsidRDefault="00300BB4">
            <w:pPr>
              <w:spacing w:line="360" w:lineRule="auto"/>
              <w:ind w:firstLineChars="200" w:firstLine="420"/>
              <w:rPr>
                <w:szCs w:val="21"/>
              </w:rPr>
            </w:pPr>
          </w:p>
          <w:p w:rsidR="00300BB4" w:rsidRDefault="00A56EB1">
            <w:pPr>
              <w:pStyle w:val="a6"/>
              <w:numPr>
                <w:ilvl w:val="0"/>
                <w:numId w:val="1"/>
              </w:numPr>
              <w:ind w:firstLineChars="0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P</w:t>
            </w:r>
            <w:r>
              <w:rPr>
                <w:rFonts w:ascii="Times New Roman" w:eastAsia="宋体" w:hAnsi="Times New Roman" w:cs="Times New Roman"/>
                <w:szCs w:val="21"/>
              </w:rPr>
              <w:t>ET</w:t>
            </w:r>
            <w:r>
              <w:rPr>
                <w:rFonts w:ascii="Times New Roman" w:eastAsia="宋体" w:hAnsi="Times New Roman" w:cs="Times New Roman"/>
                <w:szCs w:val="21"/>
              </w:rPr>
              <w:t>轴向视野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≥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32cm </w:t>
            </w:r>
          </w:p>
          <w:p w:rsidR="00300BB4" w:rsidRDefault="00A56EB1">
            <w:pPr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szCs w:val="21"/>
              </w:rPr>
              <w:t>MR</w:t>
            </w:r>
            <w:r>
              <w:rPr>
                <w:szCs w:val="21"/>
              </w:rPr>
              <w:t>的轴向视野在</w:t>
            </w:r>
            <w:r>
              <w:rPr>
                <w:szCs w:val="21"/>
              </w:rPr>
              <w:t>30cm</w:t>
            </w:r>
            <w:r>
              <w:rPr>
                <w:szCs w:val="21"/>
              </w:rPr>
              <w:t>以上，而传统</w:t>
            </w:r>
            <w:r>
              <w:rPr>
                <w:szCs w:val="21"/>
              </w:rPr>
              <w:t>PET</w:t>
            </w:r>
            <w:r>
              <w:rPr>
                <w:szCs w:val="21"/>
              </w:rPr>
              <w:t>的轴向视野不足</w:t>
            </w:r>
            <w:r>
              <w:rPr>
                <w:szCs w:val="21"/>
              </w:rPr>
              <w:t>25cm</w:t>
            </w:r>
            <w:r>
              <w:rPr>
                <w:szCs w:val="21"/>
              </w:rPr>
              <w:t>，因此</w:t>
            </w:r>
            <w:r>
              <w:rPr>
                <w:szCs w:val="21"/>
              </w:rPr>
              <w:t>PET</w:t>
            </w:r>
            <w:r>
              <w:rPr>
                <w:szCs w:val="21"/>
              </w:rPr>
              <w:t>的轴向视野是制约</w:t>
            </w:r>
            <w:r>
              <w:rPr>
                <w:szCs w:val="21"/>
              </w:rPr>
              <w:t xml:space="preserve"> PET/MR</w:t>
            </w:r>
            <w:r>
              <w:rPr>
                <w:szCs w:val="21"/>
              </w:rPr>
              <w:t>同步扫描视野</w:t>
            </w:r>
            <w:r>
              <w:rPr>
                <w:szCs w:val="21"/>
              </w:rPr>
              <w:lastRenderedPageBreak/>
              <w:t>的瓶颈。</w:t>
            </w:r>
            <w:r>
              <w:rPr>
                <w:rFonts w:hint="eastAsia"/>
                <w:szCs w:val="21"/>
              </w:rPr>
              <w:t>≥</w:t>
            </w:r>
            <w:r>
              <w:rPr>
                <w:szCs w:val="21"/>
              </w:rPr>
              <w:t>32cm</w:t>
            </w:r>
            <w:r>
              <w:rPr>
                <w:szCs w:val="21"/>
              </w:rPr>
              <w:t>超大轴向视野，同</w:t>
            </w:r>
            <w:r>
              <w:rPr>
                <w:szCs w:val="21"/>
              </w:rPr>
              <w:t>时结合</w:t>
            </w:r>
            <w:r>
              <w:rPr>
                <w:szCs w:val="21"/>
              </w:rPr>
              <w:t>MR</w:t>
            </w:r>
            <w:r>
              <w:rPr>
                <w:szCs w:val="21"/>
              </w:rPr>
              <w:t>一体化线圈技术，</w:t>
            </w:r>
            <w:r>
              <w:rPr>
                <w:szCs w:val="21"/>
              </w:rPr>
              <w:t xml:space="preserve"> 4</w:t>
            </w:r>
            <w:r>
              <w:rPr>
                <w:szCs w:val="21"/>
              </w:rPr>
              <w:t>个床位可完成患者全身扫描，解决了传统</w:t>
            </w:r>
            <w:r>
              <w:rPr>
                <w:szCs w:val="21"/>
              </w:rPr>
              <w:t>PET/MR</w:t>
            </w:r>
            <w:r>
              <w:rPr>
                <w:szCs w:val="21"/>
              </w:rPr>
              <w:t>扫描时间过长的难题，提升患者通量的同时大大缓解重症患者长时间扫描的痛苦。</w:t>
            </w:r>
            <w:r>
              <w:rPr>
                <w:rFonts w:hint="eastAsia"/>
                <w:szCs w:val="21"/>
              </w:rPr>
              <w:t>同时，对于胸腹部的运动器官，只有≥</w:t>
            </w:r>
            <w:r>
              <w:rPr>
                <w:szCs w:val="21"/>
              </w:rPr>
              <w:t>32cm</w:t>
            </w:r>
            <w:r>
              <w:rPr>
                <w:szCs w:val="21"/>
              </w:rPr>
              <w:t>的</w:t>
            </w:r>
            <w:r>
              <w:rPr>
                <w:szCs w:val="21"/>
              </w:rPr>
              <w:t>PET</w:t>
            </w:r>
            <w:r>
              <w:rPr>
                <w:szCs w:val="21"/>
              </w:rPr>
              <w:t>能够与</w:t>
            </w:r>
            <w:r>
              <w:rPr>
                <w:szCs w:val="21"/>
              </w:rPr>
              <w:t>MR</w:t>
            </w:r>
            <w:r>
              <w:rPr>
                <w:szCs w:val="21"/>
              </w:rPr>
              <w:t>进行完美匹配，</w:t>
            </w:r>
            <w:r>
              <w:rPr>
                <w:rFonts w:hint="eastAsia"/>
                <w:szCs w:val="21"/>
              </w:rPr>
              <w:t>实现</w:t>
            </w:r>
            <w:r>
              <w:rPr>
                <w:szCs w:val="21"/>
              </w:rPr>
              <w:t>肺部</w:t>
            </w:r>
            <w:r>
              <w:rPr>
                <w:rFonts w:hint="eastAsia"/>
                <w:szCs w:val="21"/>
              </w:rPr>
              <w:t>肿瘤</w:t>
            </w:r>
            <w:r>
              <w:rPr>
                <w:szCs w:val="21"/>
              </w:rPr>
              <w:t>、肝脏</w:t>
            </w:r>
            <w:r>
              <w:rPr>
                <w:rFonts w:hint="eastAsia"/>
                <w:szCs w:val="21"/>
              </w:rPr>
              <w:t>肿瘤</w:t>
            </w:r>
            <w:r>
              <w:rPr>
                <w:szCs w:val="21"/>
              </w:rPr>
              <w:t>、盆腔</w:t>
            </w:r>
            <w:r>
              <w:rPr>
                <w:rFonts w:hint="eastAsia"/>
                <w:szCs w:val="21"/>
              </w:rPr>
              <w:t>肿瘤以及</w:t>
            </w:r>
            <w:r>
              <w:rPr>
                <w:szCs w:val="21"/>
              </w:rPr>
              <w:t>心脏</w:t>
            </w:r>
            <w:r>
              <w:rPr>
                <w:rFonts w:hint="eastAsia"/>
                <w:szCs w:val="21"/>
              </w:rPr>
              <w:t>相关疾病的</w:t>
            </w:r>
            <w:r>
              <w:rPr>
                <w:szCs w:val="21"/>
              </w:rPr>
              <w:t>单床位的覆盖，实现同步的动态成像、门控成像并且扩展到</w:t>
            </w:r>
            <w:r>
              <w:rPr>
                <w:szCs w:val="21"/>
              </w:rPr>
              <w:t>PET/MR</w:t>
            </w:r>
            <w:r>
              <w:rPr>
                <w:szCs w:val="21"/>
              </w:rPr>
              <w:t>的动态研究，充分发挥</w:t>
            </w:r>
            <w:r>
              <w:rPr>
                <w:szCs w:val="21"/>
              </w:rPr>
              <w:t>PET/MR</w:t>
            </w:r>
            <w:r>
              <w:rPr>
                <w:rFonts w:hint="eastAsia"/>
                <w:szCs w:val="21"/>
              </w:rPr>
              <w:t>同步采集</w:t>
            </w:r>
            <w:r>
              <w:rPr>
                <w:szCs w:val="21"/>
              </w:rPr>
              <w:t>以及等中心采集的优势。</w:t>
            </w:r>
          </w:p>
          <w:p w:rsidR="00300BB4" w:rsidRDefault="00A56EB1">
            <w:pPr>
              <w:spacing w:line="360" w:lineRule="auto"/>
              <w:ind w:firstLineChars="200" w:firstLine="420"/>
              <w:rPr>
                <w:szCs w:val="21"/>
              </w:rPr>
            </w:pPr>
            <w:r>
              <w:rPr>
                <w:szCs w:val="21"/>
              </w:rPr>
              <w:t>经过深入市场调查得知，能满足医院临床、教学、科研需求，符合关键性能要求的产品，只有上海联影医疗科技有限公司能够</w:t>
            </w:r>
            <w:r>
              <w:rPr>
                <w:szCs w:val="21"/>
              </w:rPr>
              <w:t>提供。该项目入选国家科技部首批十三五国家重点研发计划</w:t>
            </w:r>
            <w:r>
              <w:rPr>
                <w:rFonts w:hint="eastAsia"/>
                <w:szCs w:val="21"/>
              </w:rPr>
              <w:t>“数字诊疗装备研发专项”</w:t>
            </w:r>
            <w:r>
              <w:rPr>
                <w:szCs w:val="21"/>
              </w:rPr>
              <w:t>，</w:t>
            </w:r>
            <w:r>
              <w:rPr>
                <w:rFonts w:hint="eastAsia"/>
                <w:szCs w:val="21"/>
              </w:rPr>
              <w:t>属于</w:t>
            </w:r>
            <w:r>
              <w:rPr>
                <w:szCs w:val="21"/>
              </w:rPr>
              <w:t>国家八部委联合发布</w:t>
            </w:r>
            <w:r>
              <w:rPr>
                <w:rFonts w:hint="eastAsia"/>
                <w:szCs w:val="21"/>
              </w:rPr>
              <w:t>的</w:t>
            </w:r>
            <w:r>
              <w:rPr>
                <w:szCs w:val="21"/>
              </w:rPr>
              <w:t>《关于促进首台（套）重大技术装备示范应用的意见》以及相关的首台（套）产品目录</w:t>
            </w:r>
            <w:r>
              <w:rPr>
                <w:rFonts w:hint="eastAsia"/>
                <w:szCs w:val="21"/>
              </w:rPr>
              <w:t>中产品</w:t>
            </w:r>
            <w:r>
              <w:rPr>
                <w:szCs w:val="21"/>
              </w:rPr>
              <w:t>。为响应国家扶持</w:t>
            </w:r>
            <w:proofErr w:type="gramStart"/>
            <w:r>
              <w:rPr>
                <w:szCs w:val="21"/>
              </w:rPr>
              <w:t>国产重大</w:t>
            </w:r>
            <w:proofErr w:type="gramEnd"/>
            <w:r>
              <w:rPr>
                <w:szCs w:val="21"/>
              </w:rPr>
              <w:t>技术装备的政策，</w:t>
            </w:r>
            <w:r>
              <w:rPr>
                <w:rFonts w:hint="eastAsia"/>
                <w:szCs w:val="21"/>
              </w:rPr>
              <w:t>同时</w:t>
            </w:r>
            <w:r>
              <w:rPr>
                <w:szCs w:val="21"/>
              </w:rPr>
              <w:t>保证原装设备的稳定性、统一配套以及可维护性，故须采取单一来源方式采购。</w:t>
            </w:r>
          </w:p>
        </w:tc>
      </w:tr>
      <w:tr w:rsidR="00300BB4">
        <w:trPr>
          <w:trHeight w:val="567"/>
          <w:jc w:val="center"/>
        </w:trPr>
        <w:tc>
          <w:tcPr>
            <w:tcW w:w="1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BB4" w:rsidRDefault="00A56EB1">
            <w:pPr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三、申请理由</w:t>
            </w:r>
          </w:p>
        </w:tc>
      </w:tr>
      <w:tr w:rsidR="00300BB4">
        <w:trPr>
          <w:trHeight w:val="567"/>
          <w:jc w:val="center"/>
        </w:trPr>
        <w:tc>
          <w:tcPr>
            <w:tcW w:w="1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BB4" w:rsidRDefault="00A56EB1">
            <w:r>
              <w:rPr>
                <w:rFonts w:ascii="MS Mincho" w:eastAsia="MS Mincho" w:hAnsi="MS Mincho" w:cs="MS Mincho" w:hint="eastAsia"/>
              </w:rPr>
              <w:t>☑</w:t>
            </w:r>
            <w:r>
              <w:t>1.</w:t>
            </w:r>
            <w:r>
              <w:rPr>
                <w:rFonts w:hint="eastAsia"/>
              </w:rPr>
              <w:t>只能从唯一供应商处采购的；</w:t>
            </w:r>
          </w:p>
        </w:tc>
      </w:tr>
      <w:tr w:rsidR="00300BB4">
        <w:trPr>
          <w:trHeight w:val="567"/>
          <w:jc w:val="center"/>
        </w:trPr>
        <w:tc>
          <w:tcPr>
            <w:tcW w:w="1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BB4" w:rsidRDefault="00A56EB1">
            <w:r>
              <w:rPr>
                <w:rFonts w:hint="eastAsia"/>
              </w:rPr>
              <w:t>□</w:t>
            </w:r>
            <w:r>
              <w:t>2.</w:t>
            </w:r>
            <w:r>
              <w:rPr>
                <w:rFonts w:hint="eastAsia"/>
              </w:rPr>
              <w:t>发生了不可预见的紧急情况不能从其他供应商处采购的；</w:t>
            </w:r>
          </w:p>
        </w:tc>
      </w:tr>
      <w:tr w:rsidR="00300BB4">
        <w:trPr>
          <w:trHeight w:val="567"/>
          <w:jc w:val="center"/>
        </w:trPr>
        <w:tc>
          <w:tcPr>
            <w:tcW w:w="1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BB4" w:rsidRDefault="00A56EB1">
            <w:r>
              <w:rPr>
                <w:rFonts w:hint="eastAsia"/>
              </w:rPr>
              <w:t>□</w:t>
            </w:r>
            <w:r>
              <w:t>3.</w:t>
            </w:r>
            <w:r>
              <w:rPr>
                <w:rFonts w:hint="eastAsia"/>
              </w:rPr>
              <w:t>必须保证原有采购项目一致性或者服务配套的要求，需要继续从原供应商处添购，且添购资金总额不超过原合同采购金额百分之十的；</w:t>
            </w:r>
            <w:r>
              <w:t xml:space="preserve"> </w:t>
            </w:r>
          </w:p>
        </w:tc>
      </w:tr>
      <w:tr w:rsidR="00300BB4">
        <w:trPr>
          <w:trHeight w:val="567"/>
          <w:jc w:val="center"/>
        </w:trPr>
        <w:tc>
          <w:tcPr>
            <w:tcW w:w="1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BB4" w:rsidRDefault="00A56EB1">
            <w:r>
              <w:rPr>
                <w:rFonts w:hint="eastAsia"/>
              </w:rPr>
              <w:t>□</w:t>
            </w:r>
            <w:r>
              <w:rPr>
                <w:rFonts w:hint="eastAsia"/>
              </w:rPr>
              <w:t>4</w:t>
            </w:r>
            <w:r>
              <w:t>.</w:t>
            </w:r>
            <w:r>
              <w:rPr>
                <w:rFonts w:hint="eastAsia"/>
              </w:rPr>
              <w:t>法律法规规定的其他情形。</w:t>
            </w:r>
          </w:p>
        </w:tc>
      </w:tr>
      <w:tr w:rsidR="00300BB4">
        <w:trPr>
          <w:trHeight w:val="567"/>
          <w:jc w:val="center"/>
        </w:trPr>
        <w:tc>
          <w:tcPr>
            <w:tcW w:w="1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BB4" w:rsidRDefault="00A56EB1">
            <w:pPr>
              <w:rPr>
                <w:b/>
              </w:rPr>
            </w:pPr>
            <w:r>
              <w:rPr>
                <w:rFonts w:hint="eastAsia"/>
                <w:b/>
              </w:rPr>
              <w:t>四、专业人员论证意见</w:t>
            </w:r>
          </w:p>
        </w:tc>
      </w:tr>
      <w:tr w:rsidR="00300BB4">
        <w:trPr>
          <w:trHeight w:val="3586"/>
          <w:jc w:val="center"/>
        </w:trPr>
        <w:tc>
          <w:tcPr>
            <w:tcW w:w="1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BB4" w:rsidRDefault="00A56EB1">
            <w:r>
              <w:rPr>
                <w:noProof/>
              </w:rPr>
              <w:drawing>
                <wp:inline distT="0" distB="0" distL="114300" distR="114300">
                  <wp:extent cx="6429375" cy="2486025"/>
                  <wp:effectExtent l="0" t="0" r="9525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BB4">
        <w:trPr>
          <w:trHeight w:val="3586"/>
          <w:jc w:val="center"/>
        </w:trPr>
        <w:tc>
          <w:tcPr>
            <w:tcW w:w="1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BB4" w:rsidRDefault="00A56EB1">
            <w:r>
              <w:rPr>
                <w:noProof/>
              </w:rPr>
              <w:drawing>
                <wp:inline distT="0" distB="0" distL="114300" distR="114300">
                  <wp:extent cx="6867525" cy="251460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BB4">
        <w:trPr>
          <w:trHeight w:val="3586"/>
          <w:jc w:val="center"/>
        </w:trPr>
        <w:tc>
          <w:tcPr>
            <w:tcW w:w="1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BB4" w:rsidRDefault="00A56EB1">
            <w:r>
              <w:rPr>
                <w:noProof/>
              </w:rPr>
              <w:lastRenderedPageBreak/>
              <w:drawing>
                <wp:inline distT="0" distB="0" distL="114300" distR="114300">
                  <wp:extent cx="6620510" cy="2441575"/>
                  <wp:effectExtent l="0" t="0" r="8890" b="1587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510" cy="244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BB4">
        <w:trPr>
          <w:trHeight w:val="567"/>
          <w:jc w:val="center"/>
        </w:trPr>
        <w:tc>
          <w:tcPr>
            <w:tcW w:w="1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BB4" w:rsidRDefault="00A56EB1">
            <w:r>
              <w:rPr>
                <w:noProof/>
              </w:rPr>
              <w:drawing>
                <wp:inline distT="0" distB="0" distL="114300" distR="114300">
                  <wp:extent cx="6677025" cy="249555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BB4" w:rsidRDefault="00300BB4"/>
        </w:tc>
      </w:tr>
      <w:tr w:rsidR="00300BB4">
        <w:trPr>
          <w:trHeight w:val="567"/>
          <w:jc w:val="center"/>
        </w:trPr>
        <w:tc>
          <w:tcPr>
            <w:tcW w:w="1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BB4" w:rsidRDefault="00A56EB1">
            <w:r>
              <w:rPr>
                <w:noProof/>
              </w:rPr>
              <w:drawing>
                <wp:inline distT="0" distB="0" distL="114300" distR="114300">
                  <wp:extent cx="5886450" cy="22860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BB4">
        <w:trPr>
          <w:trHeight w:val="567"/>
          <w:jc w:val="center"/>
        </w:trPr>
        <w:tc>
          <w:tcPr>
            <w:tcW w:w="1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0BB4" w:rsidRDefault="00A56EB1">
            <w:r>
              <w:rPr>
                <w:rFonts w:hint="eastAsia"/>
              </w:rPr>
              <w:t>附：职称证书复印件</w:t>
            </w:r>
          </w:p>
          <w:p w:rsidR="00300BB4" w:rsidRDefault="00A56EB1">
            <w:r>
              <w:rPr>
                <w:noProof/>
              </w:rPr>
              <w:lastRenderedPageBreak/>
              <w:drawing>
                <wp:inline distT="0" distB="0" distL="114300" distR="114300">
                  <wp:extent cx="7229475" cy="3981450"/>
                  <wp:effectExtent l="0" t="0" r="952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4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BB4" w:rsidRDefault="00A56EB1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7147560" cy="4000500"/>
                  <wp:effectExtent l="0" t="0" r="1524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714756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6315075" cy="8829675"/>
                  <wp:effectExtent l="0" t="0" r="952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5" cy="882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3382010" cy="4883785"/>
                  <wp:effectExtent l="0" t="0" r="12065" b="8890"/>
                  <wp:docPr id="1" name="图片 1" descr="a99694dc3eb08994631b6476e0e78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99694dc3eb08994631b6476e0e786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82010" cy="488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4876165" cy="3643630"/>
                  <wp:effectExtent l="0" t="0" r="635" b="1397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364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BB4" w:rsidRDefault="00300BB4"/>
    <w:sectPr w:rsidR="00300BB4">
      <w:pgSz w:w="11906" w:h="16838"/>
      <w:pgMar w:top="567" w:right="1797" w:bottom="567" w:left="1797" w:header="567" w:footer="567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E4A29"/>
    <w:multiLevelType w:val="multilevel"/>
    <w:tmpl w:val="537E4A2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zZTEwZDFmMTY0ODc3NWNhMjY0ZDczYWMwNDJkMzEifQ=="/>
  </w:docVars>
  <w:rsids>
    <w:rsidRoot w:val="00F96F6B"/>
    <w:rsid w:val="00031E25"/>
    <w:rsid w:val="000516EE"/>
    <w:rsid w:val="0006391F"/>
    <w:rsid w:val="000640AC"/>
    <w:rsid w:val="000C08F9"/>
    <w:rsid w:val="000C6787"/>
    <w:rsid w:val="000D79D4"/>
    <w:rsid w:val="000E3EB8"/>
    <w:rsid w:val="000F3116"/>
    <w:rsid w:val="00193D8D"/>
    <w:rsid w:val="00197142"/>
    <w:rsid w:val="001D39A6"/>
    <w:rsid w:val="001E4774"/>
    <w:rsid w:val="00202565"/>
    <w:rsid w:val="00212496"/>
    <w:rsid w:val="0024285D"/>
    <w:rsid w:val="00244EA3"/>
    <w:rsid w:val="00247C1B"/>
    <w:rsid w:val="002602E2"/>
    <w:rsid w:val="002632A4"/>
    <w:rsid w:val="00291877"/>
    <w:rsid w:val="00297A8B"/>
    <w:rsid w:val="002C3914"/>
    <w:rsid w:val="00300BB4"/>
    <w:rsid w:val="003020D9"/>
    <w:rsid w:val="00320611"/>
    <w:rsid w:val="003215B5"/>
    <w:rsid w:val="00322A8C"/>
    <w:rsid w:val="00337E4C"/>
    <w:rsid w:val="00372B6B"/>
    <w:rsid w:val="00385456"/>
    <w:rsid w:val="00385FFF"/>
    <w:rsid w:val="003C77F8"/>
    <w:rsid w:val="003F69A1"/>
    <w:rsid w:val="00410072"/>
    <w:rsid w:val="00434FBB"/>
    <w:rsid w:val="00437D33"/>
    <w:rsid w:val="00452CF9"/>
    <w:rsid w:val="004711B8"/>
    <w:rsid w:val="0047297B"/>
    <w:rsid w:val="004875C1"/>
    <w:rsid w:val="004A0DE1"/>
    <w:rsid w:val="004D1EFC"/>
    <w:rsid w:val="005028F7"/>
    <w:rsid w:val="00531E67"/>
    <w:rsid w:val="00544A30"/>
    <w:rsid w:val="00550262"/>
    <w:rsid w:val="005559EA"/>
    <w:rsid w:val="005914E0"/>
    <w:rsid w:val="005B76AF"/>
    <w:rsid w:val="005E1ADE"/>
    <w:rsid w:val="00645593"/>
    <w:rsid w:val="006606F9"/>
    <w:rsid w:val="00665690"/>
    <w:rsid w:val="00665957"/>
    <w:rsid w:val="00677194"/>
    <w:rsid w:val="006A08D1"/>
    <w:rsid w:val="006B1D1F"/>
    <w:rsid w:val="006F0193"/>
    <w:rsid w:val="00740CA4"/>
    <w:rsid w:val="00753773"/>
    <w:rsid w:val="00784EDD"/>
    <w:rsid w:val="007B32A5"/>
    <w:rsid w:val="007E32FB"/>
    <w:rsid w:val="00801AB2"/>
    <w:rsid w:val="00804CD9"/>
    <w:rsid w:val="0080609B"/>
    <w:rsid w:val="00844501"/>
    <w:rsid w:val="00844D80"/>
    <w:rsid w:val="00844E51"/>
    <w:rsid w:val="00860E72"/>
    <w:rsid w:val="008D56E5"/>
    <w:rsid w:val="00902A69"/>
    <w:rsid w:val="00907F4F"/>
    <w:rsid w:val="00963F65"/>
    <w:rsid w:val="00970ED3"/>
    <w:rsid w:val="009B2A81"/>
    <w:rsid w:val="009B34E5"/>
    <w:rsid w:val="009B54F9"/>
    <w:rsid w:val="009C5601"/>
    <w:rsid w:val="00A007AE"/>
    <w:rsid w:val="00A17635"/>
    <w:rsid w:val="00A56EB1"/>
    <w:rsid w:val="00A94C8D"/>
    <w:rsid w:val="00A950BB"/>
    <w:rsid w:val="00AA3139"/>
    <w:rsid w:val="00AD72E7"/>
    <w:rsid w:val="00AF124E"/>
    <w:rsid w:val="00B223B6"/>
    <w:rsid w:val="00B60BEA"/>
    <w:rsid w:val="00BA1775"/>
    <w:rsid w:val="00C01500"/>
    <w:rsid w:val="00C0484A"/>
    <w:rsid w:val="00C23680"/>
    <w:rsid w:val="00C37464"/>
    <w:rsid w:val="00C572C7"/>
    <w:rsid w:val="00C67C60"/>
    <w:rsid w:val="00C807EF"/>
    <w:rsid w:val="00CA27A1"/>
    <w:rsid w:val="00CA5CE5"/>
    <w:rsid w:val="00CA5D0B"/>
    <w:rsid w:val="00CD197B"/>
    <w:rsid w:val="00D16098"/>
    <w:rsid w:val="00D173DE"/>
    <w:rsid w:val="00D77EA7"/>
    <w:rsid w:val="00DB4ED4"/>
    <w:rsid w:val="00DF43A4"/>
    <w:rsid w:val="00DF48A9"/>
    <w:rsid w:val="00E21A40"/>
    <w:rsid w:val="00E24021"/>
    <w:rsid w:val="00E26BB1"/>
    <w:rsid w:val="00E6418B"/>
    <w:rsid w:val="00E80CD4"/>
    <w:rsid w:val="00E950F4"/>
    <w:rsid w:val="00EC7C8C"/>
    <w:rsid w:val="00F10FE2"/>
    <w:rsid w:val="00F36651"/>
    <w:rsid w:val="00F96F6B"/>
    <w:rsid w:val="041A1188"/>
    <w:rsid w:val="05C7776C"/>
    <w:rsid w:val="10953F5E"/>
    <w:rsid w:val="1AA677F2"/>
    <w:rsid w:val="1B6A434C"/>
    <w:rsid w:val="2C5041A4"/>
    <w:rsid w:val="33E365F1"/>
    <w:rsid w:val="65ED11DD"/>
    <w:rsid w:val="67515045"/>
    <w:rsid w:val="6B32570C"/>
    <w:rsid w:val="6D7D1903"/>
    <w:rsid w:val="72C619A7"/>
    <w:rsid w:val="7DA5110F"/>
    <w:rsid w:val="7F49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semiHidden/>
    <w:unhideWhenUsed/>
    <w:pPr>
      <w:spacing w:beforeAutospacing="1" w:afterAutospacing="1"/>
      <w:jc w:val="left"/>
    </w:pPr>
    <w:rPr>
      <w:kern w:val="0"/>
      <w:sz w:val="24"/>
    </w:rPr>
  </w:style>
  <w:style w:type="paragraph" w:customStyle="1" w:styleId="CharChar1CharCharCharCharCharCharCharCharCharChar">
    <w:name w:val="Char Char1 Char Char Char Char Char Char Char Char Char Char"/>
    <w:basedOn w:val="a"/>
    <w:qFormat/>
    <w:rPr>
      <w:rFonts w:ascii="Tahoma" w:hAnsi="Tahoma"/>
      <w:sz w:val="24"/>
      <w:szCs w:val="20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7">
    <w:name w:val="Balloon Text"/>
    <w:basedOn w:val="a"/>
    <w:link w:val="Char1"/>
    <w:rsid w:val="00A56EB1"/>
    <w:rPr>
      <w:sz w:val="18"/>
      <w:szCs w:val="18"/>
    </w:rPr>
  </w:style>
  <w:style w:type="character" w:customStyle="1" w:styleId="Char1">
    <w:name w:val="批注框文本 Char"/>
    <w:basedOn w:val="a0"/>
    <w:link w:val="a7"/>
    <w:rsid w:val="00A56EB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semiHidden/>
    <w:unhideWhenUsed/>
    <w:pPr>
      <w:spacing w:beforeAutospacing="1" w:afterAutospacing="1"/>
      <w:jc w:val="left"/>
    </w:pPr>
    <w:rPr>
      <w:kern w:val="0"/>
      <w:sz w:val="24"/>
    </w:rPr>
  </w:style>
  <w:style w:type="paragraph" w:customStyle="1" w:styleId="CharChar1CharCharCharCharCharCharCharCharCharChar">
    <w:name w:val="Char Char1 Char Char Char Char Char Char Char Char Char Char"/>
    <w:basedOn w:val="a"/>
    <w:qFormat/>
    <w:rPr>
      <w:rFonts w:ascii="Tahoma" w:hAnsi="Tahoma"/>
      <w:sz w:val="24"/>
      <w:szCs w:val="20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7">
    <w:name w:val="Balloon Text"/>
    <w:basedOn w:val="a"/>
    <w:link w:val="Char1"/>
    <w:rsid w:val="00A56EB1"/>
    <w:rPr>
      <w:sz w:val="18"/>
      <w:szCs w:val="18"/>
    </w:rPr>
  </w:style>
  <w:style w:type="character" w:customStyle="1" w:styleId="Char1">
    <w:name w:val="批注框文本 Char"/>
    <w:basedOn w:val="a0"/>
    <w:link w:val="a7"/>
    <w:rsid w:val="00A56EB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D6FDD-116C-4ABF-9405-A393CBF61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1617</Words>
  <Characters>224</Characters>
  <Application>Microsoft Office Word</Application>
  <DocSecurity>0</DocSecurity>
  <Lines>1</Lines>
  <Paragraphs>3</Paragraphs>
  <ScaleCrop>false</ScaleCrop>
  <Company>ok</Company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一、基本情况</dc:title>
  <dc:creator>windows</dc:creator>
  <cp:lastModifiedBy>Windows 用户</cp:lastModifiedBy>
  <cp:revision>61</cp:revision>
  <cp:lastPrinted>2022-11-11T05:32:00Z</cp:lastPrinted>
  <dcterms:created xsi:type="dcterms:W3CDTF">2015-06-03T02:55:00Z</dcterms:created>
  <dcterms:modified xsi:type="dcterms:W3CDTF">2022-11-11T07:13:00Z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8A4936F6B54A4407A2BF52E0E7151CDA</vt:lpwstr>
  </property>
</Properties>
</file>