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425"/>
        <w:jc w:val="center"/>
        <w:rPr>
          <w:rFonts w:ascii="宋体" w:hAnsi="宋体" w:eastAsia="宋体" w:cstheme="minorEastAsia"/>
          <w:b/>
          <w:bCs/>
          <w:sz w:val="36"/>
          <w:szCs w:val="36"/>
        </w:rPr>
      </w:pPr>
      <w:r>
        <w:rPr>
          <w:rFonts w:hint="eastAsia" w:ascii="宋体" w:hAnsi="宋体" w:eastAsia="宋体" w:cstheme="minorEastAsia"/>
          <w:b/>
          <w:bCs/>
          <w:sz w:val="36"/>
          <w:szCs w:val="36"/>
        </w:rPr>
        <w:t>需求内容</w:t>
      </w:r>
    </w:p>
    <w:p>
      <w:pPr>
        <w:widowControl/>
        <w:spacing w:line="360" w:lineRule="auto"/>
        <w:ind w:left="425"/>
        <w:jc w:val="left"/>
        <w:rPr>
          <w:rFonts w:ascii="宋体" w:hAnsi="宋体" w:eastAsia="宋体" w:cstheme="minorEastAsia"/>
          <w:b/>
          <w:bCs/>
        </w:rPr>
      </w:pPr>
    </w:p>
    <w:p>
      <w:pPr>
        <w:widowControl/>
        <w:numPr>
          <w:ilvl w:val="0"/>
          <w:numId w:val="1"/>
        </w:numPr>
        <w:spacing w:line="360" w:lineRule="auto"/>
        <w:jc w:val="left"/>
        <w:rPr>
          <w:rFonts w:ascii="宋体" w:hAnsi="宋体" w:eastAsia="宋体" w:cstheme="minorEastAsia"/>
          <w:b/>
          <w:bCs/>
        </w:rPr>
      </w:pPr>
      <w:r>
        <w:rPr>
          <w:rFonts w:hint="eastAsia" w:ascii="宋体" w:hAnsi="宋体" w:eastAsia="宋体" w:cstheme="minorEastAsia"/>
          <w:b/>
          <w:bCs/>
        </w:rPr>
        <w:t>质保期：大于等于</w:t>
      </w:r>
      <w:r>
        <w:rPr>
          <w:rFonts w:ascii="宋体" w:hAnsi="宋体" w:eastAsia="宋体" w:cstheme="minorEastAsia"/>
          <w:b/>
          <w:bCs/>
        </w:rPr>
        <w:t>3</w:t>
      </w:r>
      <w:r>
        <w:rPr>
          <w:rFonts w:hint="eastAsia" w:ascii="宋体" w:hAnsi="宋体" w:eastAsia="宋体" w:cstheme="minorEastAsia"/>
          <w:b/>
          <w:bCs/>
        </w:rPr>
        <w:t>年</w:t>
      </w:r>
    </w:p>
    <w:p>
      <w:pPr>
        <w:widowControl/>
        <w:numPr>
          <w:ilvl w:val="0"/>
          <w:numId w:val="1"/>
        </w:numPr>
        <w:spacing w:line="360" w:lineRule="auto"/>
        <w:jc w:val="left"/>
        <w:rPr>
          <w:rFonts w:ascii="宋体" w:hAnsi="宋体" w:eastAsia="宋体" w:cstheme="minorEastAsia"/>
          <w:b/>
          <w:bCs/>
        </w:rPr>
      </w:pPr>
      <w:r>
        <w:rPr>
          <w:rFonts w:hint="eastAsia" w:ascii="宋体" w:hAnsi="宋体" w:eastAsia="宋体" w:cstheme="minorEastAsia"/>
          <w:b/>
          <w:bCs/>
        </w:rPr>
        <w:t>付款方式:项目完成供货、安装并且验收合格后 90 天内支付全款</w:t>
      </w:r>
    </w:p>
    <w:p>
      <w:pPr>
        <w:widowControl/>
        <w:numPr>
          <w:ilvl w:val="0"/>
          <w:numId w:val="1"/>
        </w:numPr>
        <w:spacing w:line="360" w:lineRule="auto"/>
        <w:jc w:val="left"/>
        <w:rPr>
          <w:rFonts w:ascii="宋体" w:hAnsi="宋体" w:eastAsia="宋体" w:cstheme="minorEastAsia"/>
          <w:b/>
          <w:bCs/>
        </w:rPr>
      </w:pPr>
      <w:r>
        <w:rPr>
          <w:rFonts w:hint="eastAsia"/>
          <w:b/>
          <w:bCs/>
        </w:rPr>
        <w:t>交付期：</w:t>
      </w:r>
      <w:r>
        <w:rPr>
          <w:rFonts w:hint="eastAsia" w:ascii="宋体" w:hAnsi="宋体" w:eastAsia="宋体" w:cstheme="minorEastAsia"/>
          <w:b/>
          <w:bCs/>
        </w:rPr>
        <w:t>合同签订后30天内交货</w:t>
      </w:r>
      <w:r>
        <w:rPr>
          <w:rFonts w:hint="eastAsia"/>
        </w:rPr>
        <w:t>。</w:t>
      </w:r>
    </w:p>
    <w:p>
      <w:pPr>
        <w:widowControl/>
        <w:numPr>
          <w:ilvl w:val="0"/>
          <w:numId w:val="1"/>
        </w:numPr>
        <w:spacing w:line="360" w:lineRule="auto"/>
        <w:jc w:val="left"/>
        <w:rPr>
          <w:rFonts w:ascii="宋体" w:hAnsi="宋体" w:eastAsia="宋体" w:cstheme="minorEastAsia"/>
          <w:b/>
          <w:bCs/>
          <w:color w:val="000000" w:themeColor="text1"/>
          <w14:textFill>
            <w14:solidFill>
              <w14:schemeClr w14:val="tx1"/>
            </w14:solidFill>
          </w14:textFill>
        </w:rPr>
      </w:pPr>
      <w:r>
        <w:rPr>
          <w:rFonts w:hint="eastAsia" w:ascii="宋体" w:hAnsi="宋体" w:eastAsia="宋体" w:cstheme="minorEastAsia"/>
          <w:b/>
          <w:bCs/>
          <w:color w:val="000000" w:themeColor="text1"/>
          <w14:textFill>
            <w14:solidFill>
              <w14:schemeClr w14:val="tx1"/>
            </w14:solidFill>
          </w14:textFill>
        </w:rPr>
        <w:t>预算金额：总预算</w:t>
      </w:r>
      <w:r>
        <w:rPr>
          <w:rFonts w:ascii="宋体" w:hAnsi="宋体" w:eastAsia="宋体" w:cstheme="minorEastAsia"/>
          <w:b/>
          <w:bCs/>
          <w:color w:val="000000" w:themeColor="text1"/>
          <w14:textFill>
            <w14:solidFill>
              <w14:schemeClr w14:val="tx1"/>
            </w14:solidFill>
          </w14:textFill>
        </w:rPr>
        <w:t>330</w:t>
      </w:r>
      <w:r>
        <w:rPr>
          <w:rFonts w:hint="eastAsia" w:ascii="宋体" w:hAnsi="宋体" w:eastAsia="宋体" w:cstheme="minorEastAsia"/>
          <w:b/>
          <w:bCs/>
          <w:color w:val="000000" w:themeColor="text1"/>
          <w14:textFill>
            <w14:solidFill>
              <w14:schemeClr w14:val="tx1"/>
            </w14:solidFill>
          </w14:textFill>
        </w:rPr>
        <w:t>万元，分项预算见下表。（投标人需对下表中的分项进行明细报价，明细报价不能超各分项预算）</w:t>
      </w:r>
    </w:p>
    <w:p>
      <w:pPr>
        <w:widowControl/>
        <w:spacing w:line="360" w:lineRule="auto"/>
        <w:ind w:left="425"/>
        <w:jc w:val="left"/>
        <w:rPr>
          <w:rFonts w:ascii="宋体" w:hAnsi="宋体" w:eastAsia="宋体" w:cstheme="minorEastAsia"/>
        </w:rPr>
      </w:pPr>
    </w:p>
    <w:tbl>
      <w:tblPr>
        <w:tblStyle w:val="5"/>
        <w:tblW w:w="7957" w:type="dxa"/>
        <w:tblInd w:w="562" w:type="dxa"/>
        <w:tblLayout w:type="fixed"/>
        <w:tblCellMar>
          <w:top w:w="0" w:type="dxa"/>
          <w:left w:w="108" w:type="dxa"/>
          <w:bottom w:w="0" w:type="dxa"/>
          <w:right w:w="108" w:type="dxa"/>
        </w:tblCellMar>
      </w:tblPr>
      <w:tblGrid>
        <w:gridCol w:w="1094"/>
        <w:gridCol w:w="3020"/>
        <w:gridCol w:w="1057"/>
        <w:gridCol w:w="1393"/>
        <w:gridCol w:w="1393"/>
      </w:tblGrid>
      <w:tr>
        <w:tblPrEx>
          <w:tblLayout w:type="fixed"/>
          <w:tblCellMar>
            <w:top w:w="0" w:type="dxa"/>
            <w:left w:w="108" w:type="dxa"/>
            <w:bottom w:w="0" w:type="dxa"/>
            <w:right w:w="108" w:type="dxa"/>
          </w:tblCellMar>
        </w:tblPrEx>
        <w:trPr>
          <w:trHeight w:val="525" w:hRule="atLeast"/>
        </w:trPr>
        <w:tc>
          <w:tcPr>
            <w:tcW w:w="1094" w:type="dxa"/>
            <w:tcBorders>
              <w:top w:val="single" w:color="auto" w:sz="4" w:space="0"/>
              <w:left w:val="single" w:color="auto" w:sz="4" w:space="0"/>
              <w:bottom w:val="single" w:color="auto" w:sz="4" w:space="0"/>
              <w:right w:val="single" w:color="auto" w:sz="4" w:space="0"/>
            </w:tcBorders>
            <w:vAlign w:val="bottom"/>
          </w:tcPr>
          <w:p>
            <w:pPr>
              <w:ind w:firstLine="40"/>
              <w:jc w:val="center"/>
              <w:rPr>
                <w:rFonts w:ascii="新宋体" w:hAnsi="新宋体"/>
              </w:rPr>
            </w:pPr>
            <w:r>
              <w:rPr>
                <w:rFonts w:hint="eastAsia" w:ascii="新宋体" w:hAnsi="新宋体"/>
                <w:sz w:val="28"/>
                <w:szCs w:val="28"/>
              </w:rPr>
              <w:t>序号</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center"/>
              <w:rPr>
                <w:rFonts w:ascii="新宋体" w:hAnsi="新宋体"/>
              </w:rPr>
            </w:pPr>
            <w:r>
              <w:rPr>
                <w:rFonts w:hint="eastAsia" w:ascii="新宋体" w:hAnsi="新宋体"/>
              </w:rPr>
              <w:t>名称</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新宋体" w:hAnsi="新宋体"/>
              </w:rPr>
            </w:pPr>
            <w:r>
              <w:rPr>
                <w:rFonts w:hint="eastAsia" w:ascii="新宋体" w:hAnsi="新宋体"/>
              </w:rPr>
              <w:t>数量</w:t>
            </w:r>
          </w:p>
        </w:tc>
        <w:tc>
          <w:tcPr>
            <w:tcW w:w="1393" w:type="dxa"/>
            <w:tcBorders>
              <w:top w:val="single" w:color="auto" w:sz="4" w:space="0"/>
              <w:left w:val="nil"/>
              <w:bottom w:val="single" w:color="auto" w:sz="4" w:space="0"/>
              <w:right w:val="single" w:color="auto" w:sz="4" w:space="0"/>
            </w:tcBorders>
            <w:vAlign w:val="center"/>
          </w:tcPr>
          <w:p>
            <w:pPr>
              <w:jc w:val="center"/>
              <w:rPr>
                <w:rFonts w:ascii="新宋体" w:hAnsi="新宋体"/>
              </w:rPr>
            </w:pPr>
            <w:r>
              <w:rPr>
                <w:rFonts w:hint="eastAsia" w:ascii="新宋体" w:hAnsi="新宋体"/>
              </w:rPr>
              <w:t>预算</w:t>
            </w:r>
          </w:p>
          <w:p>
            <w:pPr>
              <w:jc w:val="center"/>
              <w:rPr>
                <w:rFonts w:ascii="新宋体" w:hAnsi="新宋体"/>
              </w:rPr>
            </w:pPr>
            <w:r>
              <w:rPr>
                <w:rFonts w:hint="eastAsia" w:ascii="新宋体" w:hAnsi="新宋体"/>
              </w:rPr>
              <w:t>（万元）</w:t>
            </w:r>
          </w:p>
        </w:tc>
        <w:tc>
          <w:tcPr>
            <w:tcW w:w="1393" w:type="dxa"/>
            <w:tcBorders>
              <w:top w:val="single" w:color="auto" w:sz="4" w:space="0"/>
              <w:left w:val="nil"/>
              <w:bottom w:val="single" w:color="auto" w:sz="4" w:space="0"/>
              <w:right w:val="single" w:color="auto" w:sz="4" w:space="0"/>
            </w:tcBorders>
            <w:vAlign w:val="center"/>
          </w:tcPr>
          <w:p>
            <w:pPr>
              <w:jc w:val="center"/>
              <w:rPr>
                <w:rFonts w:ascii="新宋体" w:hAnsi="新宋体"/>
              </w:rPr>
            </w:pPr>
            <w:r>
              <w:rPr>
                <w:rFonts w:hint="eastAsia" w:ascii="新宋体" w:hAnsi="新宋体"/>
              </w:rPr>
              <w:t>最高限价（万元）</w:t>
            </w:r>
          </w:p>
        </w:tc>
      </w:tr>
      <w:tr>
        <w:tblPrEx>
          <w:tblLayout w:type="fixed"/>
          <w:tblCellMar>
            <w:top w:w="0" w:type="dxa"/>
            <w:left w:w="108" w:type="dxa"/>
            <w:bottom w:w="0" w:type="dxa"/>
            <w:right w:w="108" w:type="dxa"/>
          </w:tblCellMar>
        </w:tblPrEx>
        <w:trPr>
          <w:trHeight w:val="525" w:hRule="atLeast"/>
        </w:trPr>
        <w:tc>
          <w:tcPr>
            <w:tcW w:w="1094" w:type="dxa"/>
            <w:tcBorders>
              <w:top w:val="single" w:color="auto" w:sz="4" w:space="0"/>
              <w:left w:val="single" w:color="auto" w:sz="4" w:space="0"/>
              <w:bottom w:val="single" w:color="auto" w:sz="4" w:space="0"/>
              <w:right w:val="single" w:color="auto" w:sz="4" w:space="0"/>
            </w:tcBorders>
            <w:vAlign w:val="bottom"/>
          </w:tcPr>
          <w:p>
            <w:pPr>
              <w:ind w:firstLine="420"/>
              <w:rPr>
                <w:rFonts w:ascii="新宋体" w:hAnsi="新宋体"/>
              </w:rPr>
            </w:pPr>
            <w:r>
              <w:rPr>
                <w:rFonts w:hint="eastAsia" w:ascii="新宋体" w:hAnsi="新宋体"/>
                <w:sz w:val="28"/>
                <w:szCs w:val="28"/>
              </w:rPr>
              <w:t>1</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rPr>
                <w:rFonts w:ascii="新宋体" w:hAnsi="新宋体"/>
              </w:rPr>
            </w:pPr>
            <w:r>
              <w:rPr>
                <w:rFonts w:hint="eastAsia" w:ascii="新宋体" w:hAnsi="新宋体"/>
              </w:rPr>
              <w:t>超高清腔镜系统（光源）</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ind w:firstLine="420"/>
              <w:rPr>
                <w:rFonts w:ascii="新宋体" w:hAnsi="新宋体"/>
              </w:rPr>
            </w:pPr>
            <w:r>
              <w:rPr>
                <w:rFonts w:ascii="新宋体" w:hAnsi="新宋体"/>
              </w:rPr>
              <w:t>2</w:t>
            </w:r>
          </w:p>
        </w:tc>
        <w:tc>
          <w:tcPr>
            <w:tcW w:w="1393" w:type="dxa"/>
            <w:tcBorders>
              <w:top w:val="single" w:color="auto" w:sz="4" w:space="0"/>
              <w:left w:val="nil"/>
              <w:bottom w:val="single" w:color="auto" w:sz="4" w:space="0"/>
              <w:right w:val="single" w:color="auto" w:sz="4" w:space="0"/>
            </w:tcBorders>
            <w:vAlign w:val="center"/>
          </w:tcPr>
          <w:p>
            <w:pPr>
              <w:ind w:firstLine="420"/>
              <w:rPr>
                <w:rFonts w:ascii="新宋体" w:hAnsi="新宋体"/>
              </w:rPr>
            </w:pPr>
            <w:r>
              <w:rPr>
                <w:rFonts w:ascii="新宋体" w:hAnsi="新宋体"/>
              </w:rPr>
              <w:t>200</w:t>
            </w:r>
          </w:p>
        </w:tc>
        <w:tc>
          <w:tcPr>
            <w:tcW w:w="1393" w:type="dxa"/>
            <w:tcBorders>
              <w:top w:val="single" w:color="auto" w:sz="4" w:space="0"/>
              <w:left w:val="nil"/>
              <w:bottom w:val="single" w:color="auto" w:sz="4" w:space="0"/>
              <w:right w:val="single" w:color="auto" w:sz="4" w:space="0"/>
            </w:tcBorders>
            <w:vAlign w:val="center"/>
          </w:tcPr>
          <w:p>
            <w:pPr>
              <w:ind w:firstLine="420"/>
              <w:rPr>
                <w:rFonts w:ascii="新宋体" w:hAnsi="新宋体"/>
              </w:rPr>
            </w:pPr>
            <w:r>
              <w:rPr>
                <w:rFonts w:hint="eastAsia" w:ascii="新宋体" w:hAnsi="新宋体"/>
              </w:rPr>
              <w:t>200</w:t>
            </w:r>
          </w:p>
        </w:tc>
      </w:tr>
      <w:tr>
        <w:tblPrEx>
          <w:tblLayout w:type="fixed"/>
          <w:tblCellMar>
            <w:top w:w="0" w:type="dxa"/>
            <w:left w:w="108" w:type="dxa"/>
            <w:bottom w:w="0" w:type="dxa"/>
            <w:right w:w="108" w:type="dxa"/>
          </w:tblCellMar>
        </w:tblPrEx>
        <w:trPr>
          <w:trHeight w:val="525" w:hRule="atLeast"/>
        </w:trPr>
        <w:tc>
          <w:tcPr>
            <w:tcW w:w="1094" w:type="dxa"/>
            <w:tcBorders>
              <w:top w:val="single" w:color="auto" w:sz="4" w:space="0"/>
              <w:left w:val="single" w:color="auto" w:sz="4" w:space="0"/>
              <w:bottom w:val="single" w:color="auto" w:sz="4" w:space="0"/>
              <w:right w:val="single" w:color="auto" w:sz="4" w:space="0"/>
            </w:tcBorders>
            <w:vAlign w:val="bottom"/>
          </w:tcPr>
          <w:p>
            <w:pPr>
              <w:ind w:firstLine="420"/>
              <w:rPr>
                <w:rFonts w:ascii="新宋体" w:hAnsi="新宋体"/>
                <w:sz w:val="28"/>
                <w:szCs w:val="28"/>
              </w:rPr>
            </w:pPr>
            <w:r>
              <w:rPr>
                <w:rFonts w:hint="eastAsia" w:ascii="新宋体" w:hAnsi="新宋体"/>
                <w:sz w:val="28"/>
                <w:szCs w:val="28"/>
              </w:rPr>
              <w:t>2</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rPr>
                <w:rFonts w:ascii="新宋体" w:hAnsi="新宋体"/>
              </w:rPr>
            </w:pPr>
            <w:r>
              <w:rPr>
                <w:rFonts w:hint="eastAsia" w:ascii="新宋体" w:hAnsi="新宋体"/>
              </w:rPr>
              <w:t>全高清内窥镜摄像系统（系统）</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ind w:firstLine="420"/>
              <w:rPr>
                <w:rFonts w:ascii="新宋体" w:hAnsi="新宋体"/>
              </w:rPr>
            </w:pPr>
            <w:r>
              <w:rPr>
                <w:rFonts w:hint="eastAsia" w:ascii="新宋体" w:hAnsi="新宋体"/>
              </w:rPr>
              <w:t>1</w:t>
            </w:r>
          </w:p>
        </w:tc>
        <w:tc>
          <w:tcPr>
            <w:tcW w:w="1393" w:type="dxa"/>
            <w:tcBorders>
              <w:top w:val="single" w:color="auto" w:sz="4" w:space="0"/>
              <w:left w:val="nil"/>
              <w:bottom w:val="single" w:color="auto" w:sz="4" w:space="0"/>
              <w:right w:val="single" w:color="auto" w:sz="4" w:space="0"/>
            </w:tcBorders>
            <w:vAlign w:val="center"/>
          </w:tcPr>
          <w:p>
            <w:pPr>
              <w:ind w:firstLine="420"/>
              <w:rPr>
                <w:rFonts w:ascii="新宋体" w:hAnsi="新宋体"/>
              </w:rPr>
            </w:pPr>
            <w:r>
              <w:rPr>
                <w:rFonts w:ascii="新宋体" w:hAnsi="新宋体"/>
              </w:rPr>
              <w:t>130</w:t>
            </w:r>
          </w:p>
        </w:tc>
        <w:tc>
          <w:tcPr>
            <w:tcW w:w="1393" w:type="dxa"/>
            <w:tcBorders>
              <w:top w:val="single" w:color="auto" w:sz="4" w:space="0"/>
              <w:left w:val="nil"/>
              <w:bottom w:val="single" w:color="auto" w:sz="4" w:space="0"/>
              <w:right w:val="single" w:color="auto" w:sz="4" w:space="0"/>
            </w:tcBorders>
            <w:vAlign w:val="center"/>
          </w:tcPr>
          <w:p>
            <w:pPr>
              <w:ind w:firstLine="420"/>
              <w:rPr>
                <w:rFonts w:ascii="新宋体" w:hAnsi="新宋体"/>
              </w:rPr>
            </w:pPr>
            <w:r>
              <w:rPr>
                <w:rFonts w:hint="eastAsia" w:ascii="新宋体" w:hAnsi="新宋体"/>
              </w:rPr>
              <w:t>130</w:t>
            </w:r>
          </w:p>
        </w:tc>
      </w:tr>
    </w:tbl>
    <w:p>
      <w:pPr>
        <w:pStyle w:val="8"/>
        <w:spacing w:line="360" w:lineRule="auto"/>
        <w:ind w:firstLine="0" w:firstLineChars="0"/>
        <w:rPr>
          <w:rFonts w:ascii="宋体" w:hAnsi="宋体" w:eastAsia="宋体" w:cstheme="minorEastAsia"/>
          <w:b/>
        </w:rPr>
      </w:pPr>
    </w:p>
    <w:p>
      <w:pPr>
        <w:widowControl/>
        <w:numPr>
          <w:ilvl w:val="0"/>
          <w:numId w:val="1"/>
        </w:numPr>
        <w:spacing w:line="360" w:lineRule="auto"/>
        <w:jc w:val="left"/>
        <w:rPr>
          <w:rFonts w:ascii="宋体" w:hAnsi="宋体" w:eastAsia="宋体" w:cstheme="minorEastAsia"/>
          <w:b/>
          <w:bCs/>
        </w:rPr>
      </w:pPr>
      <w:r>
        <w:rPr>
          <w:rFonts w:hint="eastAsia" w:ascii="宋体" w:hAnsi="宋体" w:eastAsia="宋体" w:cstheme="minorEastAsia"/>
          <w:b/>
          <w:bCs/>
        </w:rPr>
        <w:t>参数要求</w:t>
      </w:r>
      <w:r>
        <w:rPr>
          <w:rFonts w:ascii="宋体" w:hAnsi="宋体" w:eastAsia="宋体" w:cstheme="minorEastAsia"/>
          <w:b/>
          <w:bCs/>
        </w:rPr>
        <w:t>：</w:t>
      </w:r>
    </w:p>
    <w:p>
      <w:pPr>
        <w:widowControl/>
        <w:spacing w:line="360" w:lineRule="auto"/>
        <w:ind w:left="425"/>
        <w:jc w:val="left"/>
        <w:rPr>
          <w:rFonts w:ascii="宋体" w:hAnsi="宋体" w:eastAsia="宋体" w:cstheme="minorEastAsia"/>
          <w:b/>
          <w:bCs/>
        </w:rPr>
      </w:pPr>
      <w:r>
        <w:rPr>
          <w:rFonts w:hint="eastAsia" w:ascii="宋体" w:hAnsi="宋体" w:eastAsia="宋体" w:cstheme="minorEastAsia"/>
          <w:b/>
          <w:bCs/>
        </w:rPr>
        <w:t>（1）超高清腔镜系统（光源）</w:t>
      </w:r>
    </w:p>
    <w:tbl>
      <w:tblPr>
        <w:tblStyle w:val="5"/>
        <w:tblW w:w="8642" w:type="dxa"/>
        <w:tblInd w:w="113" w:type="dxa"/>
        <w:tblLayout w:type="fixed"/>
        <w:tblCellMar>
          <w:top w:w="0" w:type="dxa"/>
          <w:left w:w="108" w:type="dxa"/>
          <w:bottom w:w="0" w:type="dxa"/>
          <w:right w:w="108" w:type="dxa"/>
        </w:tblCellMar>
      </w:tblPr>
      <w:tblGrid>
        <w:gridCol w:w="988"/>
        <w:gridCol w:w="7654"/>
      </w:tblGrid>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序号</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内容和要求</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1、内窥镜摄像系统</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全数字化超高清4K芯片，实现4K超高清分辨率影像。视频输出分辨率支持3840×2160或1920×1080可选。支持≥60Hz的动态图像。</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★1.2</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集成图像和视频捕获</w:t>
            </w:r>
            <w:r>
              <w:rPr>
                <w:rFonts w:hint="eastAsia" w:ascii="宋体" w:hAnsi="宋体" w:eastAsia="宋体" w:cs="宋体"/>
                <w:color w:val="000000"/>
                <w:kern w:val="0"/>
                <w:highlight w:val="yellow"/>
                <w:lang w:eastAsia="zh-CN"/>
              </w:rPr>
              <w:t>（</w:t>
            </w:r>
            <w:r>
              <w:rPr>
                <w:rFonts w:hint="eastAsia" w:ascii="宋体" w:hAnsi="宋体" w:eastAsia="宋体" w:cs="宋体"/>
                <w:color w:val="000000"/>
                <w:kern w:val="0"/>
                <w:highlight w:val="yellow"/>
              </w:rPr>
              <w:t>“捕获”即保存视频和截图功能</w:t>
            </w:r>
            <w:r>
              <w:rPr>
                <w:rFonts w:hint="eastAsia" w:ascii="宋体" w:hAnsi="宋体" w:eastAsia="宋体" w:cs="宋体"/>
                <w:color w:val="000000"/>
                <w:kern w:val="0"/>
                <w:highlight w:val="yellow"/>
                <w:lang w:eastAsia="zh-CN"/>
              </w:rPr>
              <w:t>）</w:t>
            </w:r>
            <w:r>
              <w:rPr>
                <w:rFonts w:hint="eastAsia" w:ascii="宋体" w:hAnsi="宋体" w:eastAsia="宋体" w:cs="宋体"/>
                <w:color w:val="000000"/>
                <w:kern w:val="0"/>
                <w:highlight w:val="yellow"/>
              </w:rPr>
              <w:t>存储功能，支持USB数据存储，可通过摄像头预设功能一键操作，随时记录全高清影像，触摸屏同步显示已拍照数量、已拍视频数量及USB存储设备剩余可录像时间。</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1.3</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整机运行噪声低于50dB。</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1.4</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视频接口丰富，可同步输出多路视频，包括：HDMI*1、3G-SDI*4、12G-SDI*1、DVI*2。</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1.5</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主机7英寸医用触摸屏，支持戴手套操作，视觉体验人性化。</w:t>
            </w:r>
            <w:r>
              <w:rPr>
                <w:rFonts w:hint="eastAsia" w:ascii="宋体" w:hAnsi="宋体" w:eastAsia="宋体" w:cs="宋体"/>
                <w:color w:val="000000"/>
                <w:kern w:val="0"/>
              </w:rPr>
              <w:t xml:space="preserve"> </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bookmarkStart w:id="0" w:name="OLE_LINK1"/>
            <w:r>
              <w:rPr>
                <w:rFonts w:hint="eastAsia" w:ascii="宋体" w:hAnsi="宋体" w:eastAsia="宋体" w:cs="宋体"/>
                <w:color w:val="000000"/>
                <w:kern w:val="0"/>
              </w:rPr>
              <w:t>▲</w:t>
            </w:r>
            <w:bookmarkEnd w:id="0"/>
            <w:r>
              <w:rPr>
                <w:rFonts w:hint="eastAsia" w:ascii="宋体" w:hAnsi="宋体" w:eastAsia="宋体" w:cs="宋体"/>
                <w:color w:val="000000"/>
                <w:kern w:val="0"/>
              </w:rPr>
              <w:t>1.6</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支持语音提示功能，有效提高操作准确性，可进行语音提示开启或关闭设置，可进行语音音量调节。</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1.7</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支持USB键盘远距离参数设置。可升级为超高清荧光。</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▲1.8</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一键实现术中内窥镜镜头除雾，始终保持术野清晰。</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1.9</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科室场景：支持大于等于12种科室选择，不同科室可分别自定义按键功能。</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▲1.10</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外接医用冷光源，触摸屏主页面光源联动图标常亮；断开医用冷光源，触摸屏主页面光源联动图标常暗。</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1.11</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在触摸屏主页面选择，进入设置菜单，进行背光参数调节。</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1.12</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在USB存储认证开启时，连接USB存储器需要输入密码才能访问，可导出图片和录像信息。</w:t>
            </w:r>
          </w:p>
        </w:tc>
      </w:tr>
      <w:tr>
        <w:tblPrEx>
          <w:tblLayout w:type="fixed"/>
          <w:tblCellMar>
            <w:top w:w="0" w:type="dxa"/>
            <w:left w:w="108" w:type="dxa"/>
            <w:bottom w:w="0" w:type="dxa"/>
            <w:right w:w="108" w:type="dxa"/>
          </w:tblCellMar>
        </w:tblPrEx>
        <w:trPr>
          <w:trHeight w:val="9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1.13</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触摸屏锁屏功能：触控触摸屏主页面锁屏功能按钮，锁屏指示图标亮起，完成锁屏功能，在锁屏状态下触摸屏其他触控按钮失效，在锁屏指示图标亮起状态下再次触控锁屏功能按钮，锁屏指示图标熄灭，完成解锁功能。</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1.14</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摄像头控制按键≥4 个，完全满足临床各科室需求</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1.15</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主机自带内置刻录功能，可进行码率、帧率调节。可配置同品牌远程协助示教工作软件。</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★1.16</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医用设备电器安全I类CF型，最高级别的医用电气安全标准，可用于心脏手术。</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1.17</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水平分辨力为2000线，垂直分辨力为1500线。</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1.18</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亮度响应特性：摄像系统输出信号按该电光特性计算所得亮度与实际被测标板各灰阶亮度应保持良好的线性度，线性拟合系数R2应不小于0.98。</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1.19</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空间频率响应：SFR值为50%时所对应的空间频率为50C/°；SFR值为30%时所对应的空间频率为65C/°。</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1.20</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摄像头防水防尘等级：IPX8；支持低温等离子灭菌。</w:t>
            </w:r>
          </w:p>
        </w:tc>
      </w:tr>
      <w:tr>
        <w:tblPrEx>
          <w:tblLayout w:type="fixed"/>
          <w:tblCellMar>
            <w:top w:w="0" w:type="dxa"/>
            <w:left w:w="108" w:type="dxa"/>
            <w:bottom w:w="0" w:type="dxa"/>
            <w:right w:w="108" w:type="dxa"/>
          </w:tblCellMar>
        </w:tblPrEx>
        <w:trPr>
          <w:trHeight w:val="30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2、内窥镜LED冷光源</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独立光源主机，采用LED光源，可稳定输出白光。</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2.2</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具有待机模式，减少能耗，提高光源寿命。</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2.3</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人机界面：≥7英寸医用触摸屏，支持戴手套操作，视觉体验人性化。</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▲2.4</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支持语音提示功能，有效提高操作准确性。</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2.5</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白光亮度可调节，调节范围≥10档。</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2.6</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有出光防护功能，防止高强度白光直接从冷光源主机出光口输出。</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2.7</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超温提示功能：运行状态下，实时监测发光源温度，温度高于设定阈值时，发出蜂鸣声和报错信息的超温提示。</w:t>
            </w:r>
          </w:p>
        </w:tc>
      </w:tr>
      <w:tr>
        <w:tblPrEx>
          <w:tblLayout w:type="fixed"/>
          <w:tblCellMar>
            <w:top w:w="0" w:type="dxa"/>
            <w:left w:w="108" w:type="dxa"/>
            <w:bottom w:w="0" w:type="dxa"/>
            <w:right w:w="108" w:type="dxa"/>
          </w:tblCellMar>
        </w:tblPrEx>
        <w:trPr>
          <w:trHeight w:val="60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2.8</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COMM接口连接外部控制信号接口后，接收外部控制信号，根据外部信号进行工作模式切换和亮度调节。</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2.9</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设备断电后会记忆当前设置的输出光亮度档位，下次开机时默认当前设置的档位。</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2.10</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出光补偿功能：实时检测出光强度，当出光强度衰减时，实现对出光强度的补偿。</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2.11</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显色指数≥90；色温：3000K~7000K。</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2.12</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导光线缆：直径≥5mm，长度≥3m。</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2.13</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输出光通量≥1000lm；光照均匀性：≤0.5。</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2.14</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亮度可调节，调节范围为10档。</w:t>
            </w:r>
          </w:p>
        </w:tc>
      </w:tr>
      <w:tr>
        <w:tblPrEx>
          <w:tblLayout w:type="fixed"/>
          <w:tblCellMar>
            <w:top w:w="0" w:type="dxa"/>
            <w:left w:w="108" w:type="dxa"/>
            <w:bottom w:w="0" w:type="dxa"/>
            <w:right w:w="108" w:type="dxa"/>
          </w:tblCellMar>
        </w:tblPrEx>
        <w:trPr>
          <w:trHeight w:val="6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2.16</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医用照明光缆可进行压力蒸汽灭菌和低温等离子体灭菌。超高分辨率, 适配4K摄像系统，图像清晰、视场明亮。</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3、专业显示器</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3.1</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彩色液晶显示屏≥32”TFT，分辨率：≥3840×2160。</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3.2</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支持多种输入/输出，视频输入：DVI×2，3G SDI×4，12G SDI×1，</w:t>
            </w:r>
          </w:p>
        </w:tc>
      </w:tr>
      <w:tr>
        <w:tblPrEx>
          <w:tblLayout w:type="fixed"/>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3.3</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DP×1，HMDI×1，RS232×1，USB×1，LAN×1。视频输出DVI×1，3G SDI ×1，12G SDI ×1。</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3.4</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对比度：1500：1。</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3.5</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亮度：850cd/m2。</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3.6</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可视角：178°（H）/178°（V）。</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bookmarkStart w:id="1" w:name="RANGE!B53"/>
            <w:r>
              <w:rPr>
                <w:rFonts w:hint="eastAsia" w:ascii="宋体" w:hAnsi="宋体" w:eastAsia="宋体" w:cs="宋体"/>
                <w:color w:val="000000"/>
                <w:kern w:val="0"/>
              </w:rPr>
              <w:t>4、专业台车</w:t>
            </w:r>
            <w:bookmarkEnd w:id="1"/>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4.1</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原厂高性能台车，显示器高度可调。</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4.2</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自带隔离电源模块；</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4.3</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多层设计，且层高可调，可满足不同腔镜主机摆放需求。</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5、腹腔镜镜头</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5.1</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工作长度≥337mm 直径10mm</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5.2</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有效景深范围7~210mm</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5.3</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可高温高压灭菌，360次压力蒸汽灭菌重复处理循环。</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5.4</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可低温等离子灭菌，360次低温等离子体灭菌重复处理循环。</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5.5</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进液的防护程度分类：IPX7</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5.6</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视向角30度，0度、45度可选</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5.7</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视场角≥80度</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5.8</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在420-900nm范围内透过率高且矫正色差，可实现荧光功能</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5.9</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具有较高的角分辨力，视场中心角分辨力≥10。</w:t>
            </w:r>
          </w:p>
        </w:tc>
      </w:tr>
      <w:tr>
        <w:tblPrEx>
          <w:tblLayout w:type="fixed"/>
          <w:tblCellMar>
            <w:top w:w="0" w:type="dxa"/>
            <w:left w:w="108" w:type="dxa"/>
            <w:bottom w:w="0" w:type="dxa"/>
            <w:right w:w="108" w:type="dxa"/>
          </w:tblCellMar>
        </w:tblPrEx>
        <w:trPr>
          <w:trHeight w:val="6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▲5.10</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可实现除雾（anti-fog）功能，快速去除镜头上的雾气，不需要频繁进行手动除雾操作，缩短手术时长。持续保证清晰的手术视野，降低手术风险和并发症。</w:t>
            </w:r>
          </w:p>
        </w:tc>
      </w:tr>
      <w:tr>
        <w:tblPrEx>
          <w:tblLayout w:type="fixed"/>
          <w:tblCellMar>
            <w:top w:w="0" w:type="dxa"/>
            <w:left w:w="108" w:type="dxa"/>
            <w:bottom w:w="0" w:type="dxa"/>
            <w:right w:w="108" w:type="dxa"/>
          </w:tblCellMar>
        </w:tblPrEx>
        <w:trPr>
          <w:trHeight w:val="6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5.11</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具有抗干扰、减少视觉疲劳，保证图像清晰稳定，减少医生识别和定位手术部位的时间，可以在精细操作时更精确地进行手术操作，提高手术效率和安全性。</w:t>
            </w:r>
          </w:p>
        </w:tc>
      </w:tr>
      <w:tr>
        <w:tblPrEx>
          <w:tblLayout w:type="fixed"/>
          <w:tblCellMar>
            <w:top w:w="0" w:type="dxa"/>
            <w:left w:w="108" w:type="dxa"/>
            <w:bottom w:w="0" w:type="dxa"/>
            <w:right w:w="108" w:type="dxa"/>
          </w:tblCellMar>
        </w:tblPrEx>
        <w:trPr>
          <w:trHeight w:val="6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5.12</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照明体的光谱，显色指数Ra≥92，保证良好的颜色分辨力和色彩还原性。</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5.13</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使用荧光时始终保持齐焦，不需要调整适配器。</w:t>
            </w:r>
          </w:p>
        </w:tc>
      </w:tr>
      <w:tr>
        <w:tblPrEx>
          <w:tblLayout w:type="fixed"/>
          <w:tblCellMar>
            <w:top w:w="0" w:type="dxa"/>
            <w:left w:w="108" w:type="dxa"/>
            <w:bottom w:w="0" w:type="dxa"/>
            <w:right w:w="108" w:type="dxa"/>
          </w:tblCellMar>
        </w:tblPrEx>
        <w:trPr>
          <w:trHeight w:val="28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6、气腹机</w:t>
            </w:r>
          </w:p>
        </w:tc>
      </w:tr>
      <w:tr>
        <w:tblPrEx>
          <w:tblLayout w:type="fixed"/>
          <w:tblCellMar>
            <w:top w:w="0" w:type="dxa"/>
            <w:left w:w="108" w:type="dxa"/>
            <w:bottom w:w="0" w:type="dxa"/>
            <w:right w:w="108" w:type="dxa"/>
          </w:tblCellMar>
        </w:tblPrEx>
        <w:trPr>
          <w:trHeight w:val="28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6.1</w:t>
            </w:r>
          </w:p>
        </w:tc>
        <w:tc>
          <w:tcPr>
            <w:tcW w:w="765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最大流量每分钟≥50升。</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6.2</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注气方式：连续式注气。</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6.3</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带加热功能，可对输出气体进行加热。</w:t>
            </w:r>
          </w:p>
        </w:tc>
      </w:tr>
      <w:tr>
        <w:tblPrEx>
          <w:tblLayout w:type="fixed"/>
          <w:tblCellMar>
            <w:top w:w="0" w:type="dxa"/>
            <w:left w:w="108" w:type="dxa"/>
            <w:bottom w:w="0" w:type="dxa"/>
            <w:right w:w="108" w:type="dxa"/>
          </w:tblCellMar>
        </w:tblPrEx>
        <w:trPr>
          <w:trHeight w:val="31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6.4</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不小于10.25寸液晶触摸屏，内含操作系统，可播放安装及使用视频。</w:t>
            </w:r>
          </w:p>
        </w:tc>
      </w:tr>
      <w:tr>
        <w:tblPrEx>
          <w:tblLayout w:type="fixed"/>
          <w:tblCellMar>
            <w:top w:w="0" w:type="dxa"/>
            <w:left w:w="108" w:type="dxa"/>
            <w:bottom w:w="0" w:type="dxa"/>
            <w:right w:w="108" w:type="dxa"/>
          </w:tblCellMar>
        </w:tblPrEx>
        <w:trPr>
          <w:trHeight w:val="28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765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含成人模式、儿童模式和气腹针模式。</w:t>
            </w:r>
          </w:p>
        </w:tc>
      </w:tr>
      <w:tr>
        <w:tblPrEx>
          <w:tblLayout w:type="fixed"/>
          <w:tblCellMar>
            <w:top w:w="0" w:type="dxa"/>
            <w:left w:w="108" w:type="dxa"/>
            <w:bottom w:w="0" w:type="dxa"/>
            <w:right w:w="108" w:type="dxa"/>
          </w:tblCellMar>
        </w:tblPrEx>
        <w:trPr>
          <w:trHeight w:val="84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儿童模式下，压力调节范围：1-15mmHg；流速调节范围：0.1-15L/min；流速调节区间：0.1-2L/min，调节精度0.1L/min；流速调节区间2-10L/min，调节精度0.5L/min；流速调节区间10-15L/min，调节精度1L/min。</w:t>
            </w:r>
          </w:p>
        </w:tc>
      </w:tr>
      <w:tr>
        <w:tblPrEx>
          <w:tblLayout w:type="fixed"/>
          <w:tblCellMar>
            <w:top w:w="0" w:type="dxa"/>
            <w:left w:w="108" w:type="dxa"/>
            <w:bottom w:w="0" w:type="dxa"/>
            <w:right w:w="108" w:type="dxa"/>
          </w:tblCellMar>
        </w:tblPrEx>
        <w:trPr>
          <w:trHeight w:val="280" w:hRule="atLeast"/>
        </w:trPr>
        <w:tc>
          <w:tcPr>
            <w:tcW w:w="98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6.7</w:t>
            </w:r>
          </w:p>
        </w:tc>
        <w:tc>
          <w:tcPr>
            <w:tcW w:w="7654"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成人模式下，压力调节范围：1-30mmHg；流速调节范围：1-50L/min</w:t>
            </w:r>
          </w:p>
        </w:tc>
      </w:tr>
    </w:tbl>
    <w:p>
      <w:pPr>
        <w:widowControl/>
        <w:spacing w:line="360" w:lineRule="auto"/>
        <w:ind w:left="425"/>
        <w:jc w:val="left"/>
        <w:rPr>
          <w:rFonts w:ascii="宋体" w:hAnsi="宋体" w:eastAsia="宋体" w:cstheme="minorEastAsia"/>
          <w:b/>
          <w:bCs/>
        </w:rPr>
      </w:pPr>
    </w:p>
    <w:p>
      <w:pPr>
        <w:widowControl/>
        <w:spacing w:line="360" w:lineRule="auto"/>
        <w:ind w:left="425"/>
        <w:jc w:val="left"/>
        <w:rPr>
          <w:rFonts w:ascii="宋体" w:hAnsi="宋体" w:eastAsia="宋体" w:cstheme="minorEastAsia"/>
          <w:b/>
          <w:bCs/>
        </w:rPr>
      </w:pPr>
      <w:r>
        <w:rPr>
          <w:rFonts w:hint="eastAsia" w:ascii="宋体" w:hAnsi="宋体" w:eastAsia="宋体" w:cstheme="minorEastAsia"/>
          <w:b/>
          <w:bCs/>
        </w:rPr>
        <w:t>（2）全高清内窥镜摄像系统（系统）</w:t>
      </w:r>
    </w:p>
    <w:tbl>
      <w:tblPr>
        <w:tblStyle w:val="5"/>
        <w:tblW w:w="8642" w:type="dxa"/>
        <w:tblInd w:w="113" w:type="dxa"/>
        <w:tblLayout w:type="fixed"/>
        <w:tblCellMar>
          <w:top w:w="0" w:type="dxa"/>
          <w:left w:w="108" w:type="dxa"/>
          <w:bottom w:w="0" w:type="dxa"/>
          <w:right w:w="108" w:type="dxa"/>
        </w:tblCellMar>
      </w:tblPr>
      <w:tblGrid>
        <w:gridCol w:w="988"/>
        <w:gridCol w:w="7654"/>
      </w:tblGrid>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序号</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内容和要求</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1、内窥镜摄像系统</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全数字化超高清双4K芯片，实现4K超高清分辨率影像。视频输出分辨率支持3840×2160和1920×1080。支持≥60Hz的动态图像。</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摄像主机具备独立4K和近红外光图像处理系统，可同时处理白光和近红外光图像，并将白光和近红外光图像精准同步呈现。</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highlight w:val="yellow"/>
              </w:rPr>
              <w:t>集成图像和视频捕获</w:t>
            </w:r>
            <w:r>
              <w:rPr>
                <w:rFonts w:hint="eastAsia" w:ascii="宋体" w:hAnsi="宋体" w:eastAsia="宋体" w:cs="宋体"/>
                <w:color w:val="000000"/>
                <w:kern w:val="0"/>
                <w:highlight w:val="yellow"/>
                <w:lang w:eastAsia="zh-CN"/>
              </w:rPr>
              <w:t>（</w:t>
            </w:r>
            <w:r>
              <w:rPr>
                <w:rFonts w:hint="eastAsia" w:ascii="宋体" w:hAnsi="宋体" w:eastAsia="宋体" w:cs="宋体"/>
                <w:color w:val="000000"/>
                <w:kern w:val="0"/>
                <w:highlight w:val="yellow"/>
              </w:rPr>
              <w:t>“捕获”即保存视频和截图功能</w:t>
            </w:r>
            <w:r>
              <w:rPr>
                <w:rFonts w:hint="eastAsia" w:ascii="宋体" w:hAnsi="宋体" w:eastAsia="宋体" w:cs="宋体"/>
                <w:color w:val="000000"/>
                <w:kern w:val="0"/>
                <w:highlight w:val="yellow"/>
                <w:lang w:eastAsia="zh-CN"/>
              </w:rPr>
              <w:t>）</w:t>
            </w:r>
            <w:r>
              <w:rPr>
                <w:rFonts w:ascii="宋体" w:hAnsi="宋体" w:eastAsia="宋体" w:cs="宋体"/>
                <w:color w:val="000000"/>
                <w:kern w:val="0"/>
                <w:highlight w:val="yellow"/>
              </w:rPr>
              <w:t>存储功能，支持USB数据存储，可通过摄像头预设功能一键操作，随时记录超高清影像，触摸屏同步显示已拍照数量、已拍视频数量及USB存储设备剩余可录像时间。</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低噪声：整机运行噪声低于50dB</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可同步输出≥8路视频，包括：HDMI*1、DVI*2、3G-SDI*4、12G-SDI*1；其中4K输出接口不小于3种</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highlight w:val="yellow"/>
              </w:rPr>
            </w:pPr>
            <w:r>
              <w:rPr>
                <w:rFonts w:ascii="宋体" w:hAnsi="宋体" w:eastAsia="宋体" w:cs="宋体"/>
                <w:color w:val="000000"/>
                <w:kern w:val="0"/>
                <w:highlight w:val="yellow"/>
              </w:rPr>
              <w:t xml:space="preserve">7英寸医用触摸屏，支持戴手套操作，视觉体验人性化 </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▲1.7</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支持语音提示功能，有效提高操作准确性，可进行语音提示开启或关闭设置，可进行语音音量调节</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1.8</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操控便利：支持USB键盘远距离参数设置；USB接口不少于3个</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1.9</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全屏模式下支持一键完成多模式切换：可实现超清白光、原始荧光及融合荧光模式下成像</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▲1.10</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一键实现术中内窥镜镜头激光除雾，始终保持术野清晰（搭配除雾摄像头）</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支持≥6种手术场景选择，不同科室可分别自定义按键功能</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10级电子图像缩放功能，最大图像放大4倍</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在USB存储认证开启时，连接USB存储器需要输入密码才能访问，可导出图片和录像信息。保护数据安全</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 xml:space="preserve"> 触摸屏锁屏功能：触控触摸屏主页面锁屏功能按钮，锁屏指示图标亮起，完成锁屏功能，在锁屏状态下触摸屏其他触控按钮失效，在锁屏指示图标亮起状态下再次触控锁屏功能按钮，锁屏指示图标熄灭，完成解锁功能</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主机自带内置刻录功能，可进行码率、帧率调节。可配置同品牌远程协助示教工作软件</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电气安全：医用设备电气安全I类CF型，最高级别的医用电气安全标准，可用于心脏手术；防护等级：IP20</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1.17</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支持细节增强、边缘增强、去网格调节、2D降噪、3D降噪等多种调节功能</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1.18</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通过系统菜单，能实现黑白荧光和彩色荧光的颜色调节功能，彩色荧光可设置360种色调</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1.19</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4K输出方式下，色彩深度可以达到12bit</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1.20</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摄像系统主机使用寿命：10年</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信噪比≥70，静态图像宽容度为900</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白光模式下，水平分辨力3000线，垂直分辨力2500线。荧光模式下，水平分辨力2200线，垂直分辨力1600线。</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摄像头采用4KCMOS芯片技术，2个CMOS像素≥800万</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摄像头支持采集ICG造影剂与血红蛋白结合后，经近红外光照射后发出的非可见光</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 xml:space="preserve"> 摄像头≥4按键，可预设荧光模式切换、录像、拍照、电子放大、白平衡等多种功能</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1.26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ascii="宋体" w:hAnsi="宋体" w:eastAsia="宋体" w:cs="宋体"/>
                <w:color w:val="000000"/>
                <w:kern w:val="0"/>
              </w:rPr>
              <w:t>摄像头防水防尘等级：IPX8；支持低温等离子体灭菌</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2、内窥镜LED冷光源</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独立光源主机，采用LED光源，可稳定输出白光。</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具有待机模式，减少能耗，提高光源寿命。</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人机界面：≥7英寸医用触摸屏，支持戴手套操作，视觉体验人性化。</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支持语音提示功能，有效提高操作准确性。</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白光亮度可调节，调节范围≥10档。</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有出光防护功能，防止高强度白光直接从冷光源主机出光口输出。</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2.7</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超温提示功能：运行状态下，实时监测发光源温度，温度高于设定阈值时，发出蜂鸣声和报错信息的超温提示。</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2.8</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COMM接口连接外部控制信号接口后，接收外部控制信号，根据外部信号进行工作模式切换和亮度调节。</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2.9</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设备断电后会记忆当前设置的输出光亮度档位，下次开机时默认当前设置的档位。</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2.10</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出光补偿功能：实时检测出光强度，当出光强度衰减时，实现对出光强度的补偿。</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显色指数≥90；色温：3000K~7000K。</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导光线缆：直径≥5mm，长度≥3m。</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输出光通量≥1000lm；光照均匀性：≤0.5。</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亮度可调节，调节范围为10档。</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医用设备电器安全I类CF型，最高级别的医用电气安全标准，可用于心脏手术。</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2.16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医用照明光缆可进行压力蒸汽灭菌和低温等离子体灭菌。超高分辨率, 适配4K摄像系统，图像清晰、视场明亮。</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3、专业显示器</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彩色液晶显示屏≥32”TFT，分辨率：≥3840×2160。</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3.2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支持多种输入/输出，视频输入：DVI×2，3G SDI×4，12G SDI×1，</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3.3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DP×1，HMDI×1，RS232×1，USB×1，LAN×1。视频输出DVI×1，3G SDI ×1，12G SDI ×1。</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3.4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对比度：1500：1。</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3.5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亮度：850cd/m2。</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3.6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可视角：178°（H）/178°（V）。</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bookmarkStart w:id="2" w:name="RANGE!B59"/>
            <w:r>
              <w:rPr>
                <w:rFonts w:hint="eastAsia" w:ascii="宋体" w:hAnsi="宋体" w:eastAsia="宋体" w:cs="宋体"/>
                <w:color w:val="000000"/>
                <w:kern w:val="0"/>
              </w:rPr>
              <w:t>4、专业台车</w:t>
            </w:r>
            <w:bookmarkEnd w:id="2"/>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4.1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原厂高性能台车，显示器高度可调。</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4.2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自带隔离电源模块；</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4.3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多层设计，且层高可调，可满足不同腔镜主机摆放需求。</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5、腹腔镜镜头</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工作长度≥337mm 直径10mm</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有效景深范围7~210mm</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可高温高压灭菌，360次压力蒸汽灭菌重复处理循环。</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可低温等离子灭菌，360次低温等离子体灭菌重复处理循环。</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进液的防护程度分类：IPX7</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视向角30度，0度、45度可选</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5.7</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视场角≥80度</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5.8</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在420-900nm范围内透过率高且矫正色差，可实现荧光功能</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5.9</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具有较高的角分辨力，视场中心角分辨力≥10。</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▲5.10</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可实现除雾（anti-fog）功能，快速去除镜头上的雾气，不需要频繁进行手动除雾操作，缩短手术时长。持续保证清晰的手术视野，降低手术风险和并发症。</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5.11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具有抗干扰、减少视觉疲劳，保证图像清晰稳定，减少医生识别和定位手术部位的时间，可以在精细操作时更精确地进行手术操作，提高手术效率和安全性。</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5.12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highlight w:val="yellow"/>
              </w:rPr>
              <w:t>照明体的光谱，显色指数Ra≥92，保证良好的颜色分辨力和色彩还原性。</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5.13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使用荧光时始终保持齐焦，不需要调整适配器。</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　</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6、气腹机</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6.1</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最大流量每分钟≥50升。</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★6.2</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注气方式：连续式注气。</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6.3</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带加热功能，可对输出气体进行加热。</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★6.4</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rPr>
            </w:pPr>
            <w:r>
              <w:rPr>
                <w:rFonts w:hint="eastAsia" w:ascii="宋体" w:hAnsi="宋体" w:eastAsia="宋体" w:cs="宋体"/>
                <w:color w:val="000000" w:themeColor="text1"/>
                <w:kern w:val="0"/>
                <w14:textFill>
                  <w14:solidFill>
                    <w14:schemeClr w14:val="tx1"/>
                  </w14:solidFill>
                </w14:textFill>
              </w:rPr>
              <w:t>≥10.25寸液晶触摸屏，内含操作系统，可播放安装及使用视频。</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6.5</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含成人模式、儿童模式和气腹针模式。</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6.6</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儿童模式下，压力调节范围：1-15mmHg；流速调节范围：0.1-15L/min；流速调节区间：0.1-2L/min，调节精度0.1L/min；流速调节区间2-10L/min，调节精度0.5L/min；流速调节区间10-15L/min，调节精度1L/min。</w:t>
            </w:r>
          </w:p>
        </w:tc>
      </w:tr>
      <w:tr>
        <w:tblPrEx>
          <w:tblLayout w:type="fixed"/>
          <w:tblCellMar>
            <w:top w:w="0" w:type="dxa"/>
            <w:left w:w="108" w:type="dxa"/>
            <w:bottom w:w="0" w:type="dxa"/>
            <w:right w:w="108" w:type="dxa"/>
          </w:tblCellMar>
        </w:tblPrEx>
        <w:trPr>
          <w:trHeight w:val="300"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rPr>
            </w:pPr>
            <w:r>
              <w:rPr>
                <w:rFonts w:hint="eastAsia" w:ascii="宋体" w:hAnsi="宋体" w:eastAsia="宋体" w:cs="宋体"/>
                <w:color w:val="000000"/>
                <w:kern w:val="0"/>
              </w:rPr>
              <w:t>6.7</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rPr>
            </w:pPr>
            <w:r>
              <w:rPr>
                <w:rFonts w:hint="eastAsia" w:ascii="宋体" w:hAnsi="宋体" w:eastAsia="宋体" w:cs="宋体"/>
                <w:color w:val="000000"/>
                <w:kern w:val="0"/>
              </w:rPr>
              <w:t>成人模式下，压力调节范围：1-30mmHg；流速调节范围：1-50L/min</w:t>
            </w:r>
          </w:p>
        </w:tc>
      </w:tr>
    </w:tbl>
    <w:p>
      <w:pPr>
        <w:widowControl/>
        <w:jc w:val="left"/>
        <w:rPr>
          <w:rFonts w:ascii="宋体" w:hAnsi="宋体" w:eastAsia="宋体" w:cs="宋体"/>
          <w:color w:val="000000"/>
          <w:kern w:val="0"/>
          <w:sz w:val="22"/>
          <w:szCs w:val="22"/>
          <w:lang w:bidi="ar"/>
        </w:rPr>
      </w:pPr>
    </w:p>
    <w:p>
      <w:pPr>
        <w:rPr>
          <w:b/>
          <w:bCs/>
        </w:rPr>
      </w:pPr>
      <w:r>
        <w:rPr>
          <w:rFonts w:hint="eastAsia"/>
          <w:b/>
          <w:bCs/>
        </w:rPr>
        <w:t>六. 器械运输、安装和验收</w:t>
      </w:r>
    </w:p>
    <w:p>
      <w:pPr>
        <w:ind w:firstLine="480" w:firstLineChars="200"/>
      </w:pPr>
      <w:r>
        <w:rPr>
          <w:rFonts w:hint="eastAsia"/>
        </w:rPr>
        <w:t>1.1应承担器械的运输在途风险，确保器械安全无损地运抵浦江医院指定现场，并承担器械的运费、保险费等费用，装卸费也应由供方承担。供方还应在发货前书面通知甲方器械的运输信息以及到货时间，以便浦江医院做好验货准备。</w:t>
      </w:r>
    </w:p>
    <w:p>
      <w:pPr>
        <w:ind w:firstLine="480" w:firstLineChars="200"/>
      </w:pPr>
      <w:r>
        <w:rPr>
          <w:rFonts w:hint="eastAsia"/>
        </w:rPr>
        <w:t>2.2双方对器械进行开箱清点检查验收，如果发现数量不足或有质量、技术等问题，供方应在3天内，按照浦江医院的要求，采取补足、更换或退货等处理措施，并承担由此发生的一切损失和费用。</w:t>
      </w:r>
    </w:p>
    <w:p>
      <w:pPr>
        <w:ind w:firstLine="480" w:firstLineChars="200"/>
      </w:pPr>
      <w:r>
        <w:rPr>
          <w:rFonts w:hint="eastAsia"/>
        </w:rPr>
        <w:t>3.3器械到货后，应在接到浦江医院通知后7天内安装调试完成。</w:t>
      </w:r>
    </w:p>
    <w:p>
      <w:pPr>
        <w:rPr>
          <w:b/>
          <w:bCs/>
        </w:rPr>
      </w:pPr>
    </w:p>
    <w:p>
      <w:pPr>
        <w:rPr>
          <w:b/>
          <w:bCs/>
        </w:rPr>
      </w:pPr>
      <w:r>
        <w:rPr>
          <w:rFonts w:hint="eastAsia"/>
          <w:b/>
          <w:bCs/>
        </w:rPr>
        <w:t>七.伴随服务</w:t>
      </w:r>
    </w:p>
    <w:p>
      <w:pPr>
        <w:ind w:firstLine="480" w:firstLineChars="200"/>
      </w:pPr>
      <w:r>
        <w:rPr>
          <w:rFonts w:hint="eastAsia"/>
        </w:rPr>
        <w:t>1.1应提供器械设备的技术文件，包括相应的图纸、维护手册、软件备份、故障代码表、备件清单、零部件、维修密码等维护维修必须的材料信息等，这些文件应随同器械一起发运。</w:t>
      </w:r>
    </w:p>
    <w:p>
      <w:pPr>
        <w:ind w:firstLine="480" w:firstLineChars="200"/>
      </w:pPr>
      <w:r>
        <w:rPr>
          <w:rFonts w:hint="eastAsia"/>
        </w:rPr>
        <w:t>1.2还应免费提供下列服务：</w:t>
      </w:r>
    </w:p>
    <w:p>
      <w:pPr>
        <w:numPr>
          <w:ilvl w:val="0"/>
          <w:numId w:val="2"/>
        </w:numPr>
      </w:pPr>
      <w:r>
        <w:rPr>
          <w:rFonts w:hint="eastAsia"/>
        </w:rPr>
        <w:t>器械的现场安装和调试；</w:t>
      </w:r>
    </w:p>
    <w:p>
      <w:pPr>
        <w:numPr>
          <w:ilvl w:val="0"/>
          <w:numId w:val="2"/>
        </w:numPr>
      </w:pPr>
      <w:r>
        <w:rPr>
          <w:rFonts w:hint="eastAsia"/>
        </w:rPr>
        <w:t>提供器械安装和维修所需的专用工具和辅助材料；</w:t>
      </w:r>
    </w:p>
    <w:p>
      <w:pPr>
        <w:numPr>
          <w:ilvl w:val="0"/>
          <w:numId w:val="2"/>
        </w:numPr>
      </w:pPr>
      <w:r>
        <w:rPr>
          <w:rFonts w:hint="eastAsia"/>
        </w:rPr>
        <w:t>应派专业技术人员在项目现场对浦江医院使用人员进行培训或指导，在使用一段时间后可根据浦江医院的要求另行安排培训计划，并且应随时接受浦江医院使用人员有关器械使用的咨询，积极解答相关操作问题。</w:t>
      </w:r>
    </w:p>
    <w:p>
      <w:pPr>
        <w:numPr>
          <w:ilvl w:val="0"/>
          <w:numId w:val="2"/>
        </w:numPr>
      </w:pPr>
      <w:r>
        <w:rPr>
          <w:rFonts w:hint="eastAsia"/>
        </w:rPr>
        <w:t>对于必须定期进行计量和校准的器械，供应商需免费提供一年计量和校准服务，并提供符合要求的校准报告/证书/标签。</w:t>
      </w:r>
    </w:p>
    <w:p>
      <w:pPr>
        <w:ind w:firstLine="480" w:firstLineChars="200"/>
      </w:pPr>
      <w:r>
        <w:rPr>
          <w:rFonts w:hint="eastAsia"/>
        </w:rPr>
        <w:t>（5）供应商负责器械的终身维修并应继续提供优质的服务，储备足够的零配件库存。</w:t>
      </w:r>
    </w:p>
    <w:p>
      <w:pPr>
        <w:ind w:firstLine="480" w:firstLineChars="200"/>
      </w:pPr>
      <w:r>
        <w:rPr>
          <w:rFonts w:hint="eastAsia"/>
        </w:rPr>
        <w:t xml:space="preserve">（6）如有专用工具，卖方应向买方提供设备维护的专用工具 </w:t>
      </w:r>
    </w:p>
    <w:p>
      <w:pPr>
        <w:ind w:firstLine="480" w:firstLineChars="200"/>
      </w:pPr>
      <w:r>
        <w:rPr>
          <w:rFonts w:hint="eastAsia"/>
        </w:rPr>
        <w:t>（7）提供24小时维修联络方法，接到报修后2小时到达现场</w:t>
      </w:r>
    </w:p>
    <w:p>
      <w:pPr>
        <w:ind w:firstLine="480" w:firstLineChars="200"/>
      </w:pPr>
    </w:p>
    <w:p>
      <w:pPr>
        <w:ind w:firstLine="118" w:firstLineChars="49"/>
        <w:rPr>
          <w:b/>
          <w:bCs/>
        </w:rPr>
      </w:pPr>
      <w:r>
        <w:rPr>
          <w:rFonts w:hint="eastAsia"/>
          <w:b/>
          <w:bCs/>
        </w:rPr>
        <w:t>八．投标技术方案应包含如下内容：</w:t>
      </w:r>
    </w:p>
    <w:p>
      <w:pPr>
        <w:ind w:firstLine="480" w:firstLineChars="200"/>
      </w:pPr>
      <w:r>
        <w:rPr>
          <w:rFonts w:hint="eastAsia"/>
        </w:rPr>
        <w:t>1、投标设备的选型和配置方案，技术指标响应情况等；</w:t>
      </w:r>
    </w:p>
    <w:p>
      <w:pPr>
        <w:ind w:firstLine="480" w:firstLineChars="200"/>
      </w:pPr>
      <w:r>
        <w:rPr>
          <w:rFonts w:hint="eastAsia"/>
        </w:rPr>
        <w:t>2、系统的功能和性能说明及证明材料等；</w:t>
      </w:r>
    </w:p>
    <w:p>
      <w:pPr>
        <w:ind w:firstLine="480" w:firstLineChars="200"/>
      </w:pPr>
      <w:r>
        <w:rPr>
          <w:rFonts w:hint="eastAsia"/>
        </w:rPr>
        <w:t>3、各类技术保障措施、售后服务方案等；</w:t>
      </w:r>
    </w:p>
    <w:p>
      <w:pPr>
        <w:ind w:firstLine="480" w:firstLineChars="200"/>
      </w:pPr>
      <w:r>
        <w:rPr>
          <w:rFonts w:hint="eastAsia"/>
        </w:rPr>
        <w:t>4、安装、调试、验收及培训方案；</w:t>
      </w:r>
    </w:p>
    <w:p>
      <w:pPr>
        <w:ind w:firstLine="480" w:firstLineChars="200"/>
      </w:pPr>
      <w:r>
        <w:rPr>
          <w:rFonts w:hint="eastAsia"/>
        </w:rPr>
        <w:t>5、中小企业声明函：选用货物类中小企业声明函，所属行业填写“工业”，填报要求详见本文件附件中的说明。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tab w:relativeTo="margin" w:alignment="center" w:leader="none"/>
    </w:r>
    <w:r>
      <w:ptab w:relativeTo="margin" w:alignment="right" w:leader="none"/>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7</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7</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59FA"/>
    <w:multiLevelType w:val="singleLevel"/>
    <w:tmpl w:val="121759FA"/>
    <w:lvl w:ilvl="0" w:tentative="0">
      <w:start w:val="1"/>
      <w:numFmt w:val="decimal"/>
      <w:lvlText w:val="%1."/>
      <w:lvlJc w:val="left"/>
      <w:pPr>
        <w:ind w:left="425" w:hanging="425"/>
      </w:pPr>
      <w:rPr>
        <w:rFonts w:hint="default"/>
      </w:rPr>
    </w:lvl>
  </w:abstractNum>
  <w:abstractNum w:abstractNumId="1">
    <w:nsid w:val="68636BC0"/>
    <w:multiLevelType w:val="multilevel"/>
    <w:tmpl w:val="68636BC0"/>
    <w:lvl w:ilvl="0" w:tentative="0">
      <w:start w:val="1"/>
      <w:numFmt w:val="decimal"/>
      <w:lvlText w:val="（%1）"/>
      <w:lvlJc w:val="left"/>
      <w:pPr>
        <w:tabs>
          <w:tab w:val="left" w:pos="1146"/>
        </w:tabs>
        <w:ind w:left="1146" w:hanging="720"/>
      </w:pPr>
      <w:rPr>
        <w:rFonts w:hint="eastAsia"/>
        <w:lang w:val="en-US"/>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DE4NDc3ODQ1NzRlNWFjMjkwNDFhMDhlMWVlOGMifQ=="/>
    <w:docVar w:name="KSO_WPS_MARK_KEY" w:val="ea2f89d7-d0a1-48ea-bca5-1820fb9c609e"/>
  </w:docVars>
  <w:rsids>
    <w:rsidRoot w:val="004E5910"/>
    <w:rsid w:val="00015483"/>
    <w:rsid w:val="00036B86"/>
    <w:rsid w:val="00076D19"/>
    <w:rsid w:val="0008234B"/>
    <w:rsid w:val="000C6A1B"/>
    <w:rsid w:val="000D6BDA"/>
    <w:rsid w:val="000E27D5"/>
    <w:rsid w:val="00102948"/>
    <w:rsid w:val="00115715"/>
    <w:rsid w:val="00144D1A"/>
    <w:rsid w:val="00156D71"/>
    <w:rsid w:val="00156FF2"/>
    <w:rsid w:val="0016669F"/>
    <w:rsid w:val="0017533F"/>
    <w:rsid w:val="00182524"/>
    <w:rsid w:val="001B2A1D"/>
    <w:rsid w:val="001C2840"/>
    <w:rsid w:val="001C62C4"/>
    <w:rsid w:val="001D0C8C"/>
    <w:rsid w:val="00226D8D"/>
    <w:rsid w:val="00261786"/>
    <w:rsid w:val="00274015"/>
    <w:rsid w:val="002B2CEA"/>
    <w:rsid w:val="002B597F"/>
    <w:rsid w:val="002D2282"/>
    <w:rsid w:val="002D5FF6"/>
    <w:rsid w:val="002F55D9"/>
    <w:rsid w:val="0031686A"/>
    <w:rsid w:val="00324DF6"/>
    <w:rsid w:val="003271BD"/>
    <w:rsid w:val="003802F2"/>
    <w:rsid w:val="003C35D5"/>
    <w:rsid w:val="003D2BA0"/>
    <w:rsid w:val="003D36D4"/>
    <w:rsid w:val="003E2546"/>
    <w:rsid w:val="00434992"/>
    <w:rsid w:val="004462E5"/>
    <w:rsid w:val="004468EE"/>
    <w:rsid w:val="00475B1F"/>
    <w:rsid w:val="004978C9"/>
    <w:rsid w:val="004C4029"/>
    <w:rsid w:val="004D56CE"/>
    <w:rsid w:val="004E03F9"/>
    <w:rsid w:val="004E1A8B"/>
    <w:rsid w:val="004E5910"/>
    <w:rsid w:val="004E7057"/>
    <w:rsid w:val="00505E52"/>
    <w:rsid w:val="0054541A"/>
    <w:rsid w:val="005562FF"/>
    <w:rsid w:val="0056109B"/>
    <w:rsid w:val="00571467"/>
    <w:rsid w:val="005C38A6"/>
    <w:rsid w:val="005E0229"/>
    <w:rsid w:val="005F4AF1"/>
    <w:rsid w:val="005F7A23"/>
    <w:rsid w:val="00613A6C"/>
    <w:rsid w:val="006365DC"/>
    <w:rsid w:val="006942E8"/>
    <w:rsid w:val="006B7166"/>
    <w:rsid w:val="006C6FBD"/>
    <w:rsid w:val="00703FC0"/>
    <w:rsid w:val="00757672"/>
    <w:rsid w:val="00791DDA"/>
    <w:rsid w:val="007A09C4"/>
    <w:rsid w:val="00845775"/>
    <w:rsid w:val="0085449D"/>
    <w:rsid w:val="00865B31"/>
    <w:rsid w:val="008B6F8E"/>
    <w:rsid w:val="00920AAB"/>
    <w:rsid w:val="00944E53"/>
    <w:rsid w:val="009C6E0B"/>
    <w:rsid w:val="009E3478"/>
    <w:rsid w:val="00A029E6"/>
    <w:rsid w:val="00A04257"/>
    <w:rsid w:val="00A05C7F"/>
    <w:rsid w:val="00A95074"/>
    <w:rsid w:val="00A9705D"/>
    <w:rsid w:val="00AC7A43"/>
    <w:rsid w:val="00AD3A91"/>
    <w:rsid w:val="00AF2B1A"/>
    <w:rsid w:val="00AF36FA"/>
    <w:rsid w:val="00B37737"/>
    <w:rsid w:val="00B47460"/>
    <w:rsid w:val="00B50C34"/>
    <w:rsid w:val="00B53B6A"/>
    <w:rsid w:val="00B75E3A"/>
    <w:rsid w:val="00C052E2"/>
    <w:rsid w:val="00C74243"/>
    <w:rsid w:val="00CC085B"/>
    <w:rsid w:val="00CC4AAC"/>
    <w:rsid w:val="00CF4339"/>
    <w:rsid w:val="00CF78D6"/>
    <w:rsid w:val="00DE1948"/>
    <w:rsid w:val="00E324C1"/>
    <w:rsid w:val="00E41AF0"/>
    <w:rsid w:val="00E5367C"/>
    <w:rsid w:val="00EA15F5"/>
    <w:rsid w:val="00EB376D"/>
    <w:rsid w:val="00EB7F29"/>
    <w:rsid w:val="00F17043"/>
    <w:rsid w:val="00F42868"/>
    <w:rsid w:val="00F63F37"/>
    <w:rsid w:val="00F72779"/>
    <w:rsid w:val="00FD34EC"/>
    <w:rsid w:val="014652A1"/>
    <w:rsid w:val="05D4277B"/>
    <w:rsid w:val="1C021C48"/>
    <w:rsid w:val="1E88694E"/>
    <w:rsid w:val="1F437B10"/>
    <w:rsid w:val="212041A8"/>
    <w:rsid w:val="21831C87"/>
    <w:rsid w:val="37473F9E"/>
    <w:rsid w:val="3ED93F2D"/>
    <w:rsid w:val="41A03A5F"/>
    <w:rsid w:val="42A54CE5"/>
    <w:rsid w:val="42AB167F"/>
    <w:rsid w:val="46C32BF4"/>
    <w:rsid w:val="49761723"/>
    <w:rsid w:val="5DBB4A0B"/>
    <w:rsid w:val="608A2AC7"/>
    <w:rsid w:val="687E3A0C"/>
    <w:rsid w:val="69366C44"/>
    <w:rsid w:val="6A8F26A3"/>
    <w:rsid w:val="6ACD26B8"/>
    <w:rsid w:val="6D931041"/>
    <w:rsid w:val="72AF6692"/>
    <w:rsid w:val="7FAA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eorgia" w:hAnsi="Georgia" w:eastAsia="新宋体"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1"/>
    <w:rPr>
      <w:rFonts w:ascii="宋体" w:hAnsi="宋体" w:eastAsia="宋体" w:cs="宋体"/>
      <w:lang w:val="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link w:val="9"/>
    <w:qFormat/>
    <w:uiPriority w:val="34"/>
    <w:pPr>
      <w:ind w:firstLine="420" w:firstLineChars="200"/>
    </w:pPr>
  </w:style>
  <w:style w:type="character" w:customStyle="1" w:styleId="9">
    <w:name w:val="列出段落 Char"/>
    <w:link w:val="8"/>
    <w:qFormat/>
    <w:locked/>
    <w:uiPriority w:val="34"/>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正文文本 Char"/>
    <w:basedOn w:val="7"/>
    <w:link w:val="2"/>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985</Words>
  <Characters>5619</Characters>
  <Lines>46</Lines>
  <Paragraphs>13</Paragraphs>
  <TotalTime>1</TotalTime>
  <ScaleCrop>false</ScaleCrop>
  <LinksUpToDate>false</LinksUpToDate>
  <CharactersWithSpaces>6591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2025-07-21T02:40:00Z</dcterms:created>
  <dc:creator>L Pei</dc:creator>
  <cp:lastModifiedBy>Administrator</cp:lastModifiedBy>
  <dcterms:modified xsi:type="dcterms:W3CDTF">2025-07-22T08:07:43Z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3DEED28AD42345A08C26D4943240627F</vt:lpwstr>
  </property>
</Properties>
</file>