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rFonts w:hint="eastAsia" w:eastAsia="宋体"/>
          <w:lang w:eastAsia="zh-CN"/>
        </w:rPr>
      </w:pPr>
      <w:bookmarkStart w:id="0" w:name="_Hlk489461626"/>
      <w:r>
        <w:rPr>
          <w:rFonts w:hint="eastAsia"/>
          <w:lang w:val="en-US" w:eastAsia="zh-CN"/>
        </w:rPr>
        <w:t>大数据中心2021</w:t>
      </w:r>
      <w:r>
        <w:rPr>
          <w:rFonts w:hint="eastAsia"/>
        </w:rPr>
        <w:t>年网络</w:t>
      </w:r>
      <w:r>
        <w:rPr>
          <w:rFonts w:hint="eastAsia"/>
          <w:lang w:eastAsia="zh-CN"/>
        </w:rPr>
        <w:t>、安全硬件维保服务竞争性磋商</w:t>
      </w:r>
      <w:r>
        <w:rPr>
          <w:rFonts w:hint="eastAsia"/>
        </w:rPr>
        <w:t>项目</w:t>
      </w:r>
      <w:r>
        <w:rPr>
          <w:rFonts w:hint="eastAsia"/>
          <w:lang w:eastAsia="zh-CN"/>
        </w:rPr>
        <w:t>需求文件</w:t>
      </w:r>
      <w:bookmarkStart w:id="7" w:name="_GoBack"/>
      <w:bookmarkEnd w:id="7"/>
    </w:p>
    <w:bookmarkEnd w:id="0"/>
    <w:p>
      <w:pPr>
        <w:spacing w:line="360" w:lineRule="auto"/>
        <w:rPr>
          <w:rFonts w:hint="eastAsia" w:ascii="仿宋_GB2312" w:hAnsi="仿宋_GB2312" w:eastAsia="仿宋_GB2312" w:cs="仿宋_GB2312"/>
          <w:sz w:val="28"/>
          <w:szCs w:val="28"/>
        </w:rPr>
      </w:pPr>
    </w:p>
    <w:p>
      <w:pPr>
        <w:spacing w:line="360" w:lineRule="auto"/>
        <w:outlineLvl w:val="0"/>
        <w:rPr>
          <w:rFonts w:hint="eastAsia" w:ascii="仿宋_GB2312" w:hAnsi="仿宋_GB2312" w:eastAsia="仿宋_GB2312" w:cs="仿宋_GB2312"/>
          <w:b/>
          <w:bCs/>
          <w:sz w:val="28"/>
          <w:szCs w:val="28"/>
        </w:rPr>
      </w:pPr>
      <w:bookmarkStart w:id="1" w:name="_Toc11674007"/>
      <w:bookmarkStart w:id="2" w:name="_Toc11422720"/>
      <w:r>
        <w:rPr>
          <w:rFonts w:hint="eastAsia" w:ascii="仿宋_GB2312" w:hAnsi="仿宋_GB2312" w:eastAsia="仿宋_GB2312" w:cs="仿宋_GB2312"/>
          <w:b/>
          <w:bCs/>
          <w:sz w:val="28"/>
          <w:szCs w:val="28"/>
        </w:rPr>
        <w:t>一、项目背景：</w:t>
      </w:r>
      <w:bookmarkEnd w:id="1"/>
      <w:bookmarkEnd w:id="2"/>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根据上海市长宁区信息化发展的实际情况需要，</w:t>
      </w:r>
      <w:r>
        <w:rPr>
          <w:rFonts w:hint="eastAsia" w:ascii="仿宋_GB2312" w:hAnsi="仿宋_GB2312" w:eastAsia="仿宋_GB2312" w:cs="仿宋_GB2312"/>
          <w:sz w:val="28"/>
          <w:szCs w:val="28"/>
          <w:lang w:eastAsia="zh-CN"/>
        </w:rPr>
        <w:t>长宁区政务外网的核心网络设备、安全设备都已快到硬件的原厂保障日期、安全设备的相关软件特征库也到升级保障日期，核心网络设备和安全设备时长宁政务外网的关键基础设施、关系到长宁区政务外网的稳定与安全，如果出现硬件故障，需要在很短的时间内完成设备的修复，因此</w:t>
      </w:r>
      <w:r>
        <w:rPr>
          <w:rFonts w:hint="eastAsia" w:ascii="仿宋_GB2312" w:hAnsi="仿宋_GB2312" w:eastAsia="仿宋_GB2312" w:cs="仿宋_GB2312"/>
          <w:sz w:val="28"/>
          <w:szCs w:val="28"/>
        </w:rPr>
        <w:t>长宁区大数据中心</w:t>
      </w:r>
      <w:r>
        <w:rPr>
          <w:rFonts w:hint="eastAsia" w:ascii="仿宋_GB2312" w:hAnsi="仿宋_GB2312" w:eastAsia="仿宋_GB2312" w:cs="仿宋_GB2312"/>
          <w:sz w:val="28"/>
          <w:szCs w:val="28"/>
          <w:lang w:eastAsia="zh-CN"/>
        </w:rPr>
        <w:t>对现网中相关的核心网络设备、安全设备</w:t>
      </w:r>
      <w:r>
        <w:rPr>
          <w:rFonts w:hint="eastAsia" w:ascii="仿宋_GB2312" w:hAnsi="仿宋_GB2312" w:eastAsia="仿宋_GB2312" w:cs="仿宋_GB2312"/>
          <w:sz w:val="28"/>
          <w:szCs w:val="28"/>
        </w:rPr>
        <w:t>希望</w:t>
      </w:r>
      <w:r>
        <w:rPr>
          <w:rFonts w:hint="eastAsia" w:ascii="仿宋_GB2312" w:hAnsi="仿宋_GB2312" w:eastAsia="仿宋_GB2312" w:cs="仿宋_GB2312"/>
          <w:sz w:val="28"/>
          <w:szCs w:val="28"/>
          <w:lang w:eastAsia="zh-CN"/>
        </w:rPr>
        <w:t>通过购买原厂续保的方式</w:t>
      </w:r>
      <w:r>
        <w:rPr>
          <w:rFonts w:hint="eastAsia" w:ascii="仿宋_GB2312" w:hAnsi="仿宋_GB2312" w:eastAsia="仿宋_GB2312" w:cs="仿宋_GB2312"/>
          <w:sz w:val="28"/>
          <w:szCs w:val="28"/>
        </w:rPr>
        <w:t>来</w:t>
      </w:r>
      <w:r>
        <w:rPr>
          <w:rFonts w:hint="eastAsia" w:ascii="仿宋_GB2312" w:hAnsi="仿宋_GB2312" w:eastAsia="仿宋_GB2312" w:cs="仿宋_GB2312"/>
          <w:sz w:val="28"/>
          <w:szCs w:val="28"/>
          <w:lang w:eastAsia="zh-CN"/>
        </w:rPr>
        <w:t>保障核心网络设备和安全设备在出现硬件故障的时候能够得到及时的修复</w:t>
      </w:r>
      <w:r>
        <w:rPr>
          <w:rFonts w:hint="eastAsia" w:ascii="仿宋_GB2312" w:hAnsi="仿宋_GB2312" w:eastAsia="仿宋_GB2312" w:cs="仿宋_GB2312"/>
          <w:sz w:val="28"/>
          <w:szCs w:val="28"/>
        </w:rPr>
        <w:t>。通过</w:t>
      </w:r>
      <w:r>
        <w:rPr>
          <w:rFonts w:hint="eastAsia" w:ascii="仿宋_GB2312" w:hAnsi="仿宋_GB2312" w:eastAsia="仿宋_GB2312" w:cs="仿宋_GB2312"/>
          <w:sz w:val="28"/>
          <w:szCs w:val="28"/>
          <w:lang w:eastAsia="zh-CN"/>
        </w:rPr>
        <w:t>购买原厂硬件续保、软件升级的</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eastAsia="zh-CN"/>
        </w:rPr>
        <w:t>能及时解决因为硬件设备故障和软件故障的引起的网络中断和网络安全等问题，最</w:t>
      </w:r>
      <w:r>
        <w:rPr>
          <w:rFonts w:hint="eastAsia" w:ascii="仿宋_GB2312" w:hAnsi="仿宋_GB2312" w:eastAsia="仿宋_GB2312" w:cs="仿宋_GB2312"/>
          <w:sz w:val="28"/>
          <w:szCs w:val="28"/>
        </w:rPr>
        <w:t>终提高区大数据中心网络平台使用的稳定性、可靠性和高效性。</w:t>
      </w:r>
    </w:p>
    <w:p>
      <w:pPr>
        <w:spacing w:line="360" w:lineRule="auto"/>
        <w:rPr>
          <w:rFonts w:hint="eastAsia" w:ascii="仿宋_GB2312" w:hAnsi="仿宋_GB2312" w:eastAsia="仿宋_GB2312" w:cs="仿宋_GB2312"/>
          <w:sz w:val="28"/>
          <w:szCs w:val="28"/>
        </w:rPr>
      </w:pPr>
    </w:p>
    <w:p>
      <w:pPr>
        <w:spacing w:line="360" w:lineRule="auto"/>
        <w:outlineLvl w:val="0"/>
        <w:rPr>
          <w:rFonts w:hint="eastAsia" w:ascii="仿宋_GB2312" w:hAnsi="仿宋_GB2312" w:eastAsia="仿宋_GB2312" w:cs="仿宋_GB2312"/>
          <w:b/>
          <w:bCs/>
          <w:sz w:val="28"/>
          <w:szCs w:val="28"/>
        </w:rPr>
      </w:pPr>
      <w:bookmarkStart w:id="3" w:name="_Toc11674008"/>
      <w:bookmarkStart w:id="4" w:name="_Toc11422721"/>
      <w:r>
        <w:rPr>
          <w:rFonts w:hint="eastAsia" w:ascii="仿宋_GB2312" w:hAnsi="仿宋_GB2312" w:eastAsia="仿宋_GB2312" w:cs="仿宋_GB2312"/>
          <w:b/>
          <w:bCs/>
          <w:sz w:val="28"/>
          <w:szCs w:val="28"/>
        </w:rPr>
        <w:t>二、服务内容</w:t>
      </w:r>
      <w:bookmarkEnd w:id="3"/>
      <w:bookmarkEnd w:id="4"/>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需</w:t>
      </w:r>
      <w:r>
        <w:rPr>
          <w:rFonts w:hint="eastAsia" w:ascii="仿宋_GB2312" w:hAnsi="仿宋_GB2312" w:eastAsia="仿宋_GB2312" w:cs="仿宋_GB2312"/>
          <w:sz w:val="28"/>
          <w:szCs w:val="28"/>
          <w:lang w:eastAsia="zh-CN"/>
        </w:rPr>
        <w:t>按照清单要求，为长宁大数据中心的相关设备购买</w:t>
      </w:r>
      <w:r>
        <w:rPr>
          <w:rFonts w:hint="eastAsia" w:ascii="仿宋_GB2312" w:hAnsi="仿宋_GB2312" w:eastAsia="仿宋_GB2312" w:cs="仿宋_GB2312"/>
          <w:sz w:val="28"/>
          <w:szCs w:val="28"/>
          <w:lang w:val="en-US" w:eastAsia="zh-CN"/>
        </w:rPr>
        <w:t>1年的原厂硬件维保和原厂软件升级服务。相关设备清单和要求如下</w:t>
      </w:r>
      <w:r>
        <w:rPr>
          <w:rFonts w:hint="eastAsia" w:ascii="仿宋_GB2312" w:hAnsi="仿宋_GB2312" w:eastAsia="仿宋_GB2312" w:cs="仿宋_GB2312"/>
          <w:sz w:val="28"/>
          <w:szCs w:val="28"/>
        </w:rPr>
        <w:t>。</w:t>
      </w:r>
    </w:p>
    <w:tbl>
      <w:tblPr>
        <w:tblStyle w:val="6"/>
        <w:tblW w:w="9472" w:type="dxa"/>
        <w:tblInd w:w="0" w:type="dxa"/>
        <w:shd w:val="clear" w:color="auto" w:fill="auto"/>
        <w:tblLayout w:type="fixed"/>
        <w:tblCellMar>
          <w:top w:w="0" w:type="dxa"/>
          <w:left w:w="0" w:type="dxa"/>
          <w:bottom w:w="0" w:type="dxa"/>
          <w:right w:w="0" w:type="dxa"/>
        </w:tblCellMar>
      </w:tblPr>
      <w:tblGrid>
        <w:gridCol w:w="723"/>
        <w:gridCol w:w="1799"/>
        <w:gridCol w:w="3423"/>
        <w:gridCol w:w="1817"/>
        <w:gridCol w:w="870"/>
        <w:gridCol w:w="840"/>
      </w:tblGrid>
      <w:tr>
        <w:tblPrEx>
          <w:shd w:val="clear" w:color="auto" w:fill="auto"/>
          <w:tblLayout w:type="fixed"/>
          <w:tblCellMar>
            <w:top w:w="0" w:type="dxa"/>
            <w:left w:w="0" w:type="dxa"/>
            <w:bottom w:w="0" w:type="dxa"/>
            <w:right w:w="0" w:type="dxa"/>
          </w:tblCellMar>
        </w:tblPrEx>
        <w:trPr>
          <w:trHeight w:val="3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序号</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设备名称</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设备配置</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服务级别要求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单位</w:t>
            </w:r>
          </w:p>
        </w:tc>
      </w:tr>
      <w:tr>
        <w:tblPrEx>
          <w:tblLayout w:type="fixed"/>
          <w:tblCellMar>
            <w:top w:w="0" w:type="dxa"/>
            <w:left w:w="0" w:type="dxa"/>
            <w:bottom w:w="0" w:type="dxa"/>
            <w:right w:w="0" w:type="dxa"/>
          </w:tblCellMar>
        </w:tblPrEx>
        <w:trPr>
          <w:trHeight w:val="18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核心交换机12708</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华为S12708基本引擎交流组合(机箱)</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24端口万兆光+8端口千兆光板卡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48端口千兆光板卡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48端口电口板卡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2200W交流电源模块*2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Hi-Care高级服务标准+ -12月-S12700_站点1/1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20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核心交换机12712</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12712总装机箱，</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S12700 主控处理单元A*2，</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S12700 交换网单元A*2，</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48端口十兆/百兆/千兆以太网电接口板(EA,RJ45)*1,</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32端口万兆以太网光接口板(SC,SFP+)*1,</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Hi-Care高级服务标准+ -12月-S12700_站点1/1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600" w:hRule="atLeast"/>
        </w:trPr>
        <w:tc>
          <w:tcPr>
            <w:tcW w:w="72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79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核心路由器NE40X3</w:t>
            </w:r>
          </w:p>
        </w:tc>
        <w:tc>
          <w:tcPr>
            <w:tcW w:w="34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NE40E-X3基本配置(机箱、主控、双电源)</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灵活插卡线路处理板</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6端口万兆板卡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1端口万兆SFP+16端口千兆SFP板卡</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Hi-Care高级服务标准+ NE40E-X3主机_12月_续保</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7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汇聚交换机S7706</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华为S7706增强引擎交流组合(机箱)</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4万兆光+24千兆光+8千兆光电复用板卡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36电+12千兆光板卡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800W交流电源模块*2</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Hi-Care高级服务标准+ -12月-S7700_站点1/1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8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网管软件eSight </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eSight RH2288H V3服务器</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eSight网管系统</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Hi-Care应用软件支持服务  -13月-eSight Network_站点1/1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套</w:t>
            </w:r>
          </w:p>
        </w:tc>
      </w:tr>
      <w:tr>
        <w:tblPrEx>
          <w:tblLayout w:type="fixed"/>
          <w:tblCellMar>
            <w:top w:w="0" w:type="dxa"/>
            <w:left w:w="0" w:type="dxa"/>
            <w:bottom w:w="0" w:type="dxa"/>
            <w:right w:w="0" w:type="dxa"/>
          </w:tblCellMar>
        </w:tblPrEx>
        <w:trPr>
          <w:trHeight w:val="940" w:hRule="atLeast"/>
        </w:trPr>
        <w:tc>
          <w:tcPr>
            <w:tcW w:w="72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日志服务器LogCenter</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单机服务器RH2288H</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华为LogCenter-for liunx</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Hi-Care应用软件支持服务  -13月-LogCenter_站点1/1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套</w:t>
            </w:r>
          </w:p>
        </w:tc>
      </w:tr>
      <w:tr>
        <w:tblPrEx>
          <w:tblLayout w:type="fixed"/>
          <w:tblCellMar>
            <w:top w:w="0" w:type="dxa"/>
            <w:left w:w="0" w:type="dxa"/>
            <w:bottom w:w="0" w:type="dxa"/>
            <w:right w:w="0" w:type="dxa"/>
          </w:tblCellMar>
        </w:tblPrEx>
        <w:trPr>
          <w:trHeight w:val="30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防火墙USG9520_</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USG9520交流基本配置(含X3交流机箱,2*MPU),40G性能X3防火墙业务板,</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灵活插卡线路处理板(LPUF-40,两个子槽位) A,</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2端口10GBase LAN/WAN-XFP灵活插卡(P40),</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20端口100/1000Base-X-SFP灵活插卡(P40)</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Hi-Care高级服务标准+ -12月-USG9520_站点1/1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1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Agile Controller</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单机服务器RH2288H</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Agile Controller系统</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Hi-Care应用软件支持服务  -13月-Agile Controller站点1/1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040" w:hRule="atLeast"/>
        </w:trPr>
        <w:tc>
          <w:tcPr>
            <w:tcW w:w="72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防火墙Hillstone SG6000-E3965</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Hillstone SG6000-E3965</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1年硬件保修、应用识别库升级和软件升级维护服务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1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NSG5000-TG15 360网神防火墙系统 V4.0</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应用识别库</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威胁情报服务</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1年应用识别库升级服务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1年威胁情报订阅服务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7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NSG7000-TX35 360网神防火墙系统 V4.1</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应用识别库</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入侵防御特征库</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威胁情报订阅服务</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1年应用识别库升级服务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1年入侵防御特征库升级服务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1年威胁情报订阅服务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420" w:hRule="atLeast"/>
        </w:trPr>
        <w:tc>
          <w:tcPr>
            <w:tcW w:w="72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NSG7000-TX15 360网神防火墙系统 V4.2</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入侵防御特征库升级服务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病毒防护特征库升级服务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威胁情报订阅服务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应用识别库升级服务</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1年入侵防御特征库升级服务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1年病毒防护特征库升级服务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1年威胁情报订阅服务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1年应用识别库升级服务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2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Style w:val="13"/>
                <w:rFonts w:hint="eastAsia" w:ascii="仿宋_GB2312" w:hAnsi="仿宋_GB2312" w:eastAsia="仿宋_GB2312" w:cs="仿宋_GB2312"/>
                <w:sz w:val="28"/>
                <w:szCs w:val="28"/>
                <w:lang w:val="en-US" w:eastAsia="zh-CN" w:bidi="ar"/>
              </w:rPr>
              <w:t>网神</w:t>
            </w:r>
            <w:r>
              <w:rPr>
                <w:rStyle w:val="14"/>
                <w:rFonts w:hint="eastAsia" w:ascii="仿宋_GB2312" w:hAnsi="仿宋_GB2312" w:eastAsia="仿宋_GB2312" w:cs="仿宋_GB2312"/>
                <w:sz w:val="28"/>
                <w:szCs w:val="28"/>
                <w:lang w:val="en-US" w:eastAsia="zh-CN" w:bidi="ar"/>
              </w:rPr>
              <w:t>SecFox</w:t>
            </w:r>
            <w:r>
              <w:rPr>
                <w:rStyle w:val="13"/>
                <w:rFonts w:hint="eastAsia" w:ascii="仿宋_GB2312" w:hAnsi="仿宋_GB2312" w:eastAsia="仿宋_GB2312" w:cs="仿宋_GB2312"/>
                <w:sz w:val="28"/>
                <w:szCs w:val="28"/>
                <w:lang w:val="en-US" w:eastAsia="zh-CN" w:bidi="ar"/>
              </w:rPr>
              <w:t>日志收集与分析系统</w:t>
            </w:r>
            <w:r>
              <w:rPr>
                <w:rStyle w:val="14"/>
                <w:rFonts w:hint="eastAsia" w:ascii="仿宋_GB2312" w:hAnsi="仿宋_GB2312" w:eastAsia="仿宋_GB2312" w:cs="仿宋_GB2312"/>
                <w:sz w:val="28"/>
                <w:szCs w:val="28"/>
                <w:lang w:val="en-US" w:eastAsia="zh-CN" w:bidi="ar"/>
              </w:rPr>
              <w:t xml:space="preserve"> V5.0</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222222"/>
                <w:sz w:val="28"/>
                <w:szCs w:val="28"/>
                <w:u w:val="none"/>
              </w:rPr>
            </w:pPr>
            <w:r>
              <w:rPr>
                <w:rFonts w:hint="eastAsia" w:ascii="仿宋_GB2312" w:hAnsi="仿宋_GB2312" w:eastAsia="仿宋_GB2312" w:cs="仿宋_GB2312"/>
                <w:i w:val="0"/>
                <w:color w:val="222222"/>
                <w:kern w:val="0"/>
                <w:sz w:val="28"/>
                <w:szCs w:val="2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5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Style w:val="14"/>
                <w:rFonts w:hint="eastAsia" w:ascii="仿宋_GB2312" w:hAnsi="仿宋_GB2312" w:eastAsia="仿宋_GB2312" w:cs="仿宋_GB2312"/>
                <w:sz w:val="28"/>
                <w:szCs w:val="28"/>
                <w:lang w:val="en-US" w:eastAsia="zh-CN" w:bidi="ar"/>
              </w:rPr>
              <w:t>网神SecSIS 3600</w:t>
            </w:r>
            <w:r>
              <w:rPr>
                <w:rStyle w:val="13"/>
                <w:rFonts w:hint="eastAsia" w:ascii="仿宋_GB2312" w:hAnsi="仿宋_GB2312" w:eastAsia="仿宋_GB2312" w:cs="仿宋_GB2312"/>
                <w:sz w:val="28"/>
                <w:szCs w:val="28"/>
                <w:lang w:val="en-US" w:eastAsia="zh-CN" w:bidi="ar"/>
              </w:rPr>
              <w:t xml:space="preserve">安全隔离与信息交换系统 </w:t>
            </w:r>
            <w:r>
              <w:rPr>
                <w:rStyle w:val="14"/>
                <w:rFonts w:hint="eastAsia" w:ascii="仿宋_GB2312" w:hAnsi="仿宋_GB2312" w:eastAsia="仿宋_GB2312" w:cs="仿宋_GB2312"/>
                <w:sz w:val="28"/>
                <w:szCs w:val="28"/>
                <w:lang w:val="en-US" w:eastAsia="zh-CN" w:bidi="ar"/>
              </w:rPr>
              <w:t>V2.0</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G9000-TV12M主机维保服务</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G9000-TV12M主机维保服务</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222222"/>
                <w:sz w:val="28"/>
                <w:szCs w:val="28"/>
                <w:u w:val="none"/>
              </w:rPr>
            </w:pPr>
            <w:r>
              <w:rPr>
                <w:rFonts w:hint="eastAsia" w:ascii="仿宋_GB2312" w:hAnsi="仿宋_GB2312" w:eastAsia="仿宋_GB2312" w:cs="仿宋_GB2312"/>
                <w:i w:val="0"/>
                <w:color w:val="222222"/>
                <w:kern w:val="0"/>
                <w:sz w:val="28"/>
                <w:szCs w:val="2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r>
        <w:tblPrEx>
          <w:tblLayout w:type="fixed"/>
          <w:tblCellMar>
            <w:top w:w="0" w:type="dxa"/>
            <w:left w:w="0" w:type="dxa"/>
            <w:bottom w:w="0" w:type="dxa"/>
            <w:right w:w="0" w:type="dxa"/>
          </w:tblCellMar>
        </w:tblPrEx>
        <w:trPr>
          <w:trHeight w:val="1460" w:hRule="atLeast"/>
        </w:trPr>
        <w:tc>
          <w:tcPr>
            <w:tcW w:w="72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Style w:val="14"/>
                <w:rFonts w:hint="eastAsia" w:ascii="仿宋_GB2312" w:hAnsi="仿宋_GB2312" w:eastAsia="仿宋_GB2312" w:cs="仿宋_GB2312"/>
                <w:sz w:val="28"/>
                <w:szCs w:val="28"/>
                <w:lang w:val="en-US" w:eastAsia="zh-CN" w:bidi="ar"/>
              </w:rPr>
              <w:t>网神SecIDS 3600</w:t>
            </w:r>
            <w:r>
              <w:rPr>
                <w:rStyle w:val="13"/>
                <w:rFonts w:hint="eastAsia" w:ascii="仿宋_GB2312" w:hAnsi="仿宋_GB2312" w:eastAsia="仿宋_GB2312" w:cs="仿宋_GB2312"/>
                <w:sz w:val="28"/>
                <w:szCs w:val="28"/>
                <w:lang w:val="en-US" w:eastAsia="zh-CN" w:bidi="ar"/>
              </w:rPr>
              <w:t xml:space="preserve">入侵检测系统 </w:t>
            </w:r>
            <w:r>
              <w:rPr>
                <w:rStyle w:val="14"/>
                <w:rFonts w:hint="eastAsia" w:ascii="仿宋_GB2312" w:hAnsi="仿宋_GB2312" w:eastAsia="仿宋_GB2312" w:cs="仿宋_GB2312"/>
                <w:sz w:val="28"/>
                <w:szCs w:val="28"/>
                <w:lang w:val="en-US" w:eastAsia="zh-CN" w:bidi="ar"/>
              </w:rPr>
              <w:t>V4.0</w:t>
            </w:r>
          </w:p>
        </w:tc>
        <w:tc>
          <w:tcPr>
            <w:tcW w:w="3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入侵防御特征库升级服务</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主机标准质保外的1年产品续保服务</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1年入侵防御特征库升级服务</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222222"/>
                <w:sz w:val="28"/>
                <w:szCs w:val="28"/>
                <w:u w:val="none"/>
              </w:rPr>
            </w:pPr>
            <w:r>
              <w:rPr>
                <w:rFonts w:hint="eastAsia" w:ascii="仿宋_GB2312" w:hAnsi="仿宋_GB2312" w:eastAsia="仿宋_GB2312" w:cs="仿宋_GB2312"/>
                <w:i w:val="0"/>
                <w:color w:val="222222"/>
                <w:kern w:val="0"/>
                <w:sz w:val="28"/>
                <w:szCs w:val="2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台</w:t>
            </w:r>
          </w:p>
        </w:tc>
      </w:tr>
    </w:tbl>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应急响应服务</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针对长宁区政务网络相关服务内容提供应急响应服务，在非工作日发生故障的情况下，15分钟内做出响应，2小时到达现场，并在4小时内排除故障，如有重大系统故障（含硬件）则承诺在8小时内完成系统救援。</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网络安全服务</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需提供7 X 24小时故障以及网络安全事件、病毒应急响应支持服务；提供在区机关网络发生重大问题及严重安全问题时的公司二线支持服务；协助信息中心做好信息安全相关工作（等级保护测评、信息安全检查及风险评估等）</w:t>
      </w:r>
    </w:p>
    <w:p>
      <w:pPr>
        <w:pStyle w:val="10"/>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outlineLvl w:val="0"/>
        <w:rPr>
          <w:rFonts w:hint="eastAsia" w:ascii="仿宋_GB2312" w:hAnsi="仿宋_GB2312" w:eastAsia="仿宋_GB2312" w:cs="仿宋_GB2312"/>
          <w:b/>
          <w:bCs/>
          <w:sz w:val="28"/>
          <w:szCs w:val="28"/>
        </w:rPr>
      </w:pPr>
      <w:bookmarkStart w:id="5" w:name="_Toc11674009"/>
      <w:bookmarkStart w:id="6" w:name="_Toc11422722"/>
      <w:r>
        <w:rPr>
          <w:rFonts w:hint="eastAsia" w:ascii="仿宋_GB2312" w:hAnsi="仿宋_GB2312" w:eastAsia="仿宋_GB2312" w:cs="仿宋_GB2312"/>
          <w:b/>
          <w:bCs/>
          <w:sz w:val="28"/>
          <w:szCs w:val="28"/>
        </w:rPr>
        <w:t>三、服务要求</w:t>
      </w:r>
      <w:bookmarkEnd w:id="5"/>
      <w:bookmarkEnd w:id="6"/>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1、总体要求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（1）报价方案符合采购人项目需求的整体框架，具有先进的服务理念，并遵循其先进性、开放性、实用性等原则，提供安全、稳定的政务网络基础架构的维护系统。</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响应方案中的各项设计必须以提采购人项目需求的可用性为重要基本原则之一；</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响应方案的各项设计必须以将实施风险减少到最低程度为重要基本原则之一。</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根据服务方案及采购人需求提出相应的服务支撑工具与技术保障的能力；</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提供服务人员要求有不少于2年的同类型项目工作经验；</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（3）人员要求：</w:t>
      </w: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的服务团队中，应至少具有当前系统内涉及的相关认证的工程师；</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（4）在服务周期中</w:t>
      </w:r>
      <w:r>
        <w:rPr>
          <w:rFonts w:hint="eastAsia" w:ascii="仿宋_GB2312" w:hAnsi="仿宋_GB2312" w:eastAsia="仿宋_GB2312" w:cs="仿宋_GB2312"/>
          <w:sz w:val="28"/>
          <w:szCs w:val="28"/>
          <w:lang w:eastAsia="zh-CN"/>
        </w:rPr>
        <w:t>响应人</w:t>
      </w:r>
      <w:r>
        <w:rPr>
          <w:rFonts w:hint="eastAsia" w:ascii="仿宋_GB2312" w:hAnsi="仿宋_GB2312" w:eastAsia="仿宋_GB2312" w:cs="仿宋_GB2312"/>
          <w:sz w:val="28"/>
          <w:szCs w:val="28"/>
        </w:rPr>
        <w:t>的项目经理在实施现场的累计沟通与协调时间不能少于6个月，项目经理至少有5年的相关行业项目管理经验；</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（5）要求服务人员确保在整个服务过程中的稳定性，如果在实施服务期间存在人员变动，应提前主动与采购人进行协商解决。</w:t>
      </w:r>
    </w:p>
    <w:p>
      <w:pPr>
        <w:spacing w:line="360" w:lineRule="auto"/>
        <w:ind w:firstLine="560" w:firstLineChars="200"/>
        <w:rPr>
          <w:rFonts w:hint="eastAsia" w:ascii="仿宋_GB2312" w:hAnsi="仿宋_GB2312" w:eastAsia="仿宋_GB2312" w:cs="仿宋_GB2312"/>
          <w:sz w:val="28"/>
          <w:szCs w:val="28"/>
        </w:rPr>
      </w:pPr>
    </w:p>
    <w:p>
      <w:pPr>
        <w:pStyle w:val="11"/>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四、服务周期</w:t>
      </w:r>
    </w:p>
    <w:p>
      <w:pPr>
        <w:pStyle w:val="11"/>
        <w:ind w:firstLine="420"/>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lang w:val="en-US" w:eastAsia="zh-CN"/>
        </w:rPr>
        <w:t>12</w:t>
      </w:r>
      <w:r>
        <w:rPr>
          <w:rFonts w:hint="eastAsia" w:ascii="仿宋_GB2312" w:hAnsi="仿宋_GB2312" w:eastAsia="仿宋_GB2312" w:cs="仿宋_GB2312"/>
          <w:b w:val="0"/>
          <w:sz w:val="28"/>
          <w:szCs w:val="28"/>
        </w:rPr>
        <w:t>个月。</w:t>
      </w:r>
    </w:p>
    <w:p>
      <w:pPr>
        <w:pStyle w:val="11"/>
        <w:ind w:firstLine="420"/>
        <w:rPr>
          <w:rFonts w:hint="eastAsia" w:ascii="仿宋_GB2312" w:hAnsi="仿宋_GB2312" w:eastAsia="仿宋_GB2312" w:cs="仿宋_GB2312"/>
          <w:b w:val="0"/>
          <w:sz w:val="28"/>
          <w:szCs w:val="28"/>
        </w:rPr>
      </w:pPr>
    </w:p>
    <w:p>
      <w:pPr>
        <w:pStyle w:val="11"/>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五、付款方式</w:t>
      </w:r>
    </w:p>
    <w:p>
      <w:pPr>
        <w:pStyle w:val="12"/>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自合同签订之日起，收到成交方发票后20个工作日支付50%，运维期满并通过验收后再另行支付剩余的50%。</w:t>
      </w:r>
    </w:p>
    <w:p>
      <w:pPr>
        <w:pStyle w:val="12"/>
        <w:spacing w:line="360" w:lineRule="auto"/>
        <w:rPr>
          <w:rFonts w:hint="eastAsia" w:ascii="仿宋_GB2312" w:hAnsi="仿宋_GB2312" w:eastAsia="仿宋_GB2312" w:cs="仿宋_GB2312"/>
          <w:sz w:val="28"/>
          <w:szCs w:val="28"/>
        </w:rPr>
      </w:pPr>
    </w:p>
    <w:p>
      <w:pPr>
        <w:pStyle w:val="11"/>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六、验收方式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根据采购人管理制度自行组织考核验收。</w:t>
      </w:r>
    </w:p>
    <w:p>
      <w:pPr>
        <w:rPr>
          <w:rFonts w:hint="eastAsia" w:ascii="仿宋_GB2312" w:hAnsi="仿宋_GB2312" w:eastAsia="仿宋_GB2312" w:cs="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247" w:right="1133" w:bottom="1247" w:left="1140" w:header="851" w:footer="992" w:gutter="0"/>
      <w:cols w:space="720" w:num="1"/>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3"/>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23F77"/>
    <w:rsid w:val="09784FD3"/>
    <w:rsid w:val="0F6F4AAD"/>
    <w:rsid w:val="11C05E2A"/>
    <w:rsid w:val="4198389B"/>
    <w:rsid w:val="47B42094"/>
    <w:rsid w:val="51BF1D52"/>
    <w:rsid w:val="69AA1BF6"/>
    <w:rsid w:val="7DF2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basedOn w:val="7"/>
    <w:qFormat/>
    <w:uiPriority w:val="0"/>
  </w:style>
  <w:style w:type="character" w:styleId="9">
    <w:name w:val="annotation reference"/>
    <w:uiPriority w:val="0"/>
    <w:rPr>
      <w:sz w:val="21"/>
      <w:szCs w:val="21"/>
    </w:rPr>
  </w:style>
  <w:style w:type="paragraph" w:customStyle="1" w:styleId="10">
    <w:name w:val="列出段落1"/>
    <w:basedOn w:val="1"/>
    <w:qFormat/>
    <w:uiPriority w:val="34"/>
    <w:pPr>
      <w:ind w:firstLine="420" w:firstLineChars="200"/>
    </w:pPr>
    <w:rPr>
      <w:rFonts w:ascii="Calibri" w:hAnsi="Calibri" w:eastAsia="Times New Roman"/>
    </w:rPr>
  </w:style>
  <w:style w:type="paragraph" w:customStyle="1" w:styleId="11">
    <w:name w:val="06-正文"/>
    <w:basedOn w:val="1"/>
    <w:qFormat/>
    <w:uiPriority w:val="0"/>
    <w:pPr>
      <w:spacing w:line="360" w:lineRule="auto"/>
      <w:ind w:firstLine="482" w:firstLineChars="200"/>
    </w:pPr>
    <w:rPr>
      <w:rFonts w:ascii="Arial" w:hAnsi="Arial"/>
      <w:b/>
      <w:sz w:val="24"/>
    </w:rPr>
  </w:style>
  <w:style w:type="paragraph" w:styleId="12">
    <w:name w:val="List Paragraph"/>
    <w:basedOn w:val="1"/>
    <w:qFormat/>
    <w:uiPriority w:val="0"/>
    <w:pPr>
      <w:ind w:firstLine="420" w:firstLineChars="200"/>
    </w:pPr>
  </w:style>
  <w:style w:type="character" w:customStyle="1" w:styleId="13">
    <w:name w:val="font11"/>
    <w:basedOn w:val="7"/>
    <w:uiPriority w:val="0"/>
    <w:rPr>
      <w:rFonts w:hint="eastAsia" w:ascii="宋体" w:hAnsi="宋体" w:eastAsia="宋体" w:cs="宋体"/>
      <w:color w:val="222222"/>
      <w:sz w:val="18"/>
      <w:szCs w:val="18"/>
      <w:u w:val="none"/>
    </w:rPr>
  </w:style>
  <w:style w:type="character" w:customStyle="1" w:styleId="14">
    <w:name w:val="font21"/>
    <w:basedOn w:val="7"/>
    <w:uiPriority w:val="0"/>
    <w:rPr>
      <w:rFonts w:ascii="Arial" w:hAnsi="Arial" w:cs="Arial"/>
      <w:color w:val="222222"/>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2021-03-02T06:58:00Z</dcterms:created>
  <dc:creator>Administrator</dc:creator>
  <cp:lastModifiedBy>wangq</cp:lastModifiedBy>
  <dcterms:modified xsi:type="dcterms:W3CDTF">2021-03-16T02:02:45Z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