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jc w:val="center"/>
        <w:rPr>
          <w:rFonts w:hint="eastAsia" w:ascii="宋体" w:hAnsi="宋体" w:eastAsiaTheme="minorEastAsia"/>
          <w:b/>
          <w:sz w:val="44"/>
          <w:szCs w:val="44"/>
          <w:lang w:eastAsia="zh-CN"/>
        </w:rPr>
      </w:pPr>
      <w:r>
        <w:rPr>
          <w:rFonts w:hint="eastAsia" w:ascii="宋体" w:hAnsi="宋体"/>
          <w:b/>
          <w:sz w:val="52"/>
          <w:szCs w:val="52"/>
        </w:rPr>
        <w:t>上海市长宁区天山中医医院信息系统改造与扩容二期（临床部分）公开招标项目</w:t>
      </w:r>
      <w:r>
        <w:rPr>
          <w:rFonts w:hint="eastAsia" w:ascii="宋体" w:hAnsi="宋体"/>
          <w:b/>
          <w:sz w:val="52"/>
          <w:szCs w:val="52"/>
          <w:lang w:eastAsia="zh-CN"/>
        </w:rPr>
        <w:t>需求文件</w:t>
      </w:r>
    </w:p>
    <w:p>
      <w:pPr>
        <w:jc w:val="center"/>
        <w:rPr>
          <w:rFonts w:ascii="宋体" w:hAnsi="宋体"/>
          <w:b/>
          <w:sz w:val="44"/>
          <w:szCs w:val="44"/>
        </w:rPr>
      </w:pPr>
    </w:p>
    <w:p>
      <w:pPr>
        <w:rPr>
          <w:rFonts w:ascii="宋体" w:hAnsi="宋体"/>
          <w:sz w:val="30"/>
          <w:szCs w:val="30"/>
        </w:rPr>
      </w:pPr>
    </w:p>
    <w:p>
      <w:pPr>
        <w:keepNext w:val="0"/>
        <w:keepLines w:val="0"/>
        <w:pageBreakBefore/>
        <w:widowControl w:val="0"/>
        <w:kinsoku/>
        <w:wordWrap/>
        <w:overflowPunct/>
        <w:topLinePunct w:val="0"/>
        <w:autoSpaceDE/>
        <w:autoSpaceDN/>
        <w:bidi w:val="0"/>
        <w:adjustRightInd w:val="0"/>
        <w:snapToGrid w:val="0"/>
        <w:textAlignment w:val="auto"/>
        <w:rPr>
          <w:rFonts w:ascii="宋体" w:hAnsi="宋体"/>
          <w:sz w:val="30"/>
          <w:szCs w:val="30"/>
        </w:rPr>
      </w:pPr>
    </w:p>
    <w:sdt>
      <w:sdtPr>
        <w:rPr>
          <w:rFonts w:asciiTheme="minorHAnsi" w:hAnsiTheme="minorHAnsi" w:eastAsiaTheme="minorEastAsia" w:cstheme="minorBidi"/>
          <w:b w:val="0"/>
          <w:bCs w:val="0"/>
          <w:color w:val="auto"/>
          <w:kern w:val="2"/>
          <w:sz w:val="24"/>
          <w:szCs w:val="22"/>
          <w:lang w:val="zh-CN"/>
        </w:rPr>
        <w:id w:val="1145784448"/>
        <w:docPartObj>
          <w:docPartGallery w:val="Table of Contents"/>
          <w:docPartUnique/>
        </w:docPartObj>
      </w:sdtPr>
      <w:sdtEndPr>
        <w:rPr>
          <w:rFonts w:asciiTheme="minorHAnsi" w:hAnsiTheme="minorHAnsi" w:eastAsiaTheme="minorEastAsia" w:cstheme="minorBidi"/>
          <w:b w:val="0"/>
          <w:bCs w:val="0"/>
          <w:color w:val="auto"/>
          <w:kern w:val="2"/>
          <w:sz w:val="24"/>
          <w:szCs w:val="22"/>
          <w:lang w:val="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3"/>
            <w:tabs>
              <w:tab w:val="right" w:leader="dot" w:pos="9070"/>
            </w:tabs>
          </w:pPr>
          <w:r>
            <w:fldChar w:fldCharType="begin"/>
          </w:r>
          <w:r>
            <w:instrText xml:space="preserve"> TOC \o "1-3" \h \z \u </w:instrText>
          </w:r>
          <w:r>
            <w:fldChar w:fldCharType="separate"/>
          </w:r>
          <w:r>
            <w:fldChar w:fldCharType="begin"/>
          </w:r>
          <w:r>
            <w:instrText xml:space="preserve"> HYPERLINK \l _Toc4853 </w:instrText>
          </w:r>
          <w:r>
            <w:fldChar w:fldCharType="separate"/>
          </w:r>
          <w:r>
            <w:rPr>
              <w:rFonts w:hint="eastAsia" w:asciiTheme="minorEastAsia" w:hAnsiTheme="minorEastAsia"/>
              <w:lang w:val="en-US"/>
            </w:rPr>
            <w:t xml:space="preserve">第一章 </w:t>
          </w:r>
          <w:r>
            <w:rPr>
              <w:rFonts w:hint="eastAsia" w:asciiTheme="minorEastAsia" w:hAnsiTheme="minorEastAsia"/>
            </w:rPr>
            <w:t>投标人资格要求</w:t>
          </w:r>
          <w:r>
            <w:tab/>
          </w:r>
          <w:r>
            <w:fldChar w:fldCharType="begin"/>
          </w:r>
          <w:r>
            <w:instrText xml:space="preserve"> PAGEREF _Toc4853 \h </w:instrText>
          </w:r>
          <w:r>
            <w:fldChar w:fldCharType="separate"/>
          </w:r>
          <w:r>
            <w:t>3</w:t>
          </w:r>
          <w:r>
            <w:fldChar w:fldCharType="end"/>
          </w:r>
          <w:r>
            <w:fldChar w:fldCharType="end"/>
          </w:r>
        </w:p>
        <w:p>
          <w:pPr>
            <w:pStyle w:val="25"/>
            <w:tabs>
              <w:tab w:val="right" w:leader="dot" w:pos="9070"/>
              <w:tab w:val="clear" w:pos="9060"/>
            </w:tabs>
          </w:pPr>
          <w:r>
            <w:rPr>
              <w:bCs/>
              <w:lang w:val="zh-CN"/>
            </w:rPr>
            <w:fldChar w:fldCharType="begin"/>
          </w:r>
          <w:r>
            <w:rPr>
              <w:bCs/>
              <w:lang w:val="zh-CN"/>
            </w:rPr>
            <w:instrText xml:space="preserve"> HYPERLINK \l _Toc3766 </w:instrText>
          </w:r>
          <w:r>
            <w:rPr>
              <w:bCs/>
              <w:lang w:val="zh-CN"/>
            </w:rPr>
            <w:fldChar w:fldCharType="separate"/>
          </w:r>
          <w:r>
            <w:rPr>
              <w:rFonts w:hint="eastAsia"/>
            </w:rPr>
            <w:t>1.1. 《中华人民共和国政府采购法》规定的条件</w:t>
          </w:r>
          <w:r>
            <w:tab/>
          </w:r>
          <w:r>
            <w:fldChar w:fldCharType="begin"/>
          </w:r>
          <w:r>
            <w:instrText xml:space="preserve"> PAGEREF _Toc3766 \h </w:instrText>
          </w:r>
          <w:r>
            <w:fldChar w:fldCharType="separate"/>
          </w:r>
          <w:r>
            <w:t>3</w:t>
          </w:r>
          <w:r>
            <w:fldChar w:fldCharType="end"/>
          </w:r>
          <w:r>
            <w:rPr>
              <w:bCs/>
              <w:lang w:val="zh-CN"/>
            </w:rPr>
            <w:fldChar w:fldCharType="end"/>
          </w:r>
        </w:p>
        <w:p>
          <w:pPr>
            <w:pStyle w:val="25"/>
            <w:tabs>
              <w:tab w:val="right" w:leader="dot" w:pos="9070"/>
              <w:tab w:val="clear" w:pos="9060"/>
            </w:tabs>
          </w:pPr>
          <w:r>
            <w:rPr>
              <w:bCs/>
              <w:lang w:val="zh-CN"/>
            </w:rPr>
            <w:fldChar w:fldCharType="begin"/>
          </w:r>
          <w:r>
            <w:rPr>
              <w:bCs/>
              <w:lang w:val="zh-CN"/>
            </w:rPr>
            <w:instrText xml:space="preserve"> HYPERLINK \l _Toc6187 </w:instrText>
          </w:r>
          <w:r>
            <w:rPr>
              <w:bCs/>
              <w:lang w:val="zh-CN"/>
            </w:rPr>
            <w:fldChar w:fldCharType="separate"/>
          </w:r>
          <w:r>
            <w:rPr>
              <w:rFonts w:hint="eastAsia"/>
            </w:rPr>
            <w:t xml:space="preserve">1.2. </w:t>
          </w:r>
          <w:r>
            <w:t>是否接受</w:t>
          </w:r>
          <w:r>
            <w:rPr>
              <w:rFonts w:hint="eastAsia"/>
            </w:rPr>
            <w:t>联合投标体</w:t>
          </w:r>
          <w:r>
            <w:tab/>
          </w:r>
          <w:r>
            <w:fldChar w:fldCharType="begin"/>
          </w:r>
          <w:r>
            <w:instrText xml:space="preserve"> PAGEREF _Toc6187 \h </w:instrText>
          </w:r>
          <w:r>
            <w:fldChar w:fldCharType="separate"/>
          </w:r>
          <w:r>
            <w:t>3</w:t>
          </w:r>
          <w:r>
            <w:fldChar w:fldCharType="end"/>
          </w:r>
          <w:r>
            <w:rPr>
              <w:bCs/>
              <w:lang w:val="zh-CN"/>
            </w:rPr>
            <w:fldChar w:fldCharType="end"/>
          </w:r>
        </w:p>
        <w:p>
          <w:pPr>
            <w:pStyle w:val="23"/>
            <w:tabs>
              <w:tab w:val="right" w:leader="dot" w:pos="9070"/>
            </w:tabs>
          </w:pPr>
          <w:r>
            <w:rPr>
              <w:bCs/>
              <w:lang w:val="zh-CN"/>
            </w:rPr>
            <w:fldChar w:fldCharType="begin"/>
          </w:r>
          <w:r>
            <w:rPr>
              <w:bCs/>
              <w:lang w:val="zh-CN"/>
            </w:rPr>
            <w:instrText xml:space="preserve"> HYPERLINK \l _Toc32722 </w:instrText>
          </w:r>
          <w:r>
            <w:rPr>
              <w:bCs/>
              <w:lang w:val="zh-CN"/>
            </w:rPr>
            <w:fldChar w:fldCharType="separate"/>
          </w:r>
          <w:r>
            <w:rPr>
              <w:rFonts w:hint="eastAsia" w:asciiTheme="minorEastAsia" w:hAnsiTheme="minorEastAsia"/>
              <w:lang w:val="en-US"/>
            </w:rPr>
            <w:t xml:space="preserve">第二章 </w:t>
          </w:r>
          <w:r>
            <w:rPr>
              <w:rFonts w:hint="eastAsia" w:asciiTheme="minorEastAsia" w:hAnsiTheme="minorEastAsia"/>
            </w:rPr>
            <w:t>招标需求</w:t>
          </w:r>
          <w:r>
            <w:tab/>
          </w:r>
          <w:r>
            <w:fldChar w:fldCharType="begin"/>
          </w:r>
          <w:r>
            <w:instrText xml:space="preserve"> PAGEREF _Toc32722 \h </w:instrText>
          </w:r>
          <w:r>
            <w:fldChar w:fldCharType="separate"/>
          </w:r>
          <w:r>
            <w:t>4</w:t>
          </w:r>
          <w:r>
            <w:fldChar w:fldCharType="end"/>
          </w:r>
          <w:r>
            <w:rPr>
              <w:bCs/>
              <w:lang w:val="zh-CN"/>
            </w:rPr>
            <w:fldChar w:fldCharType="end"/>
          </w:r>
        </w:p>
        <w:p>
          <w:pPr>
            <w:pStyle w:val="25"/>
            <w:tabs>
              <w:tab w:val="right" w:leader="dot" w:pos="9070"/>
              <w:tab w:val="clear" w:pos="9060"/>
            </w:tabs>
          </w:pPr>
          <w:r>
            <w:rPr>
              <w:bCs/>
              <w:lang w:val="zh-CN"/>
            </w:rPr>
            <w:fldChar w:fldCharType="begin"/>
          </w:r>
          <w:r>
            <w:rPr>
              <w:bCs/>
              <w:lang w:val="zh-CN"/>
            </w:rPr>
            <w:instrText xml:space="preserve"> HYPERLINK \l _Toc3643 </w:instrText>
          </w:r>
          <w:r>
            <w:rPr>
              <w:bCs/>
              <w:lang w:val="zh-CN"/>
            </w:rPr>
            <w:fldChar w:fldCharType="separate"/>
          </w:r>
          <w:r>
            <w:rPr>
              <w:rFonts w:hint="eastAsia"/>
            </w:rPr>
            <w:t>2.1. 招标内容及要求</w:t>
          </w:r>
          <w:r>
            <w:tab/>
          </w:r>
          <w:r>
            <w:fldChar w:fldCharType="begin"/>
          </w:r>
          <w:r>
            <w:instrText xml:space="preserve"> PAGEREF _Toc3643 \h </w:instrText>
          </w:r>
          <w:r>
            <w:fldChar w:fldCharType="separate"/>
          </w:r>
          <w:r>
            <w:t>4</w:t>
          </w:r>
          <w:r>
            <w:fldChar w:fldCharType="end"/>
          </w:r>
          <w:r>
            <w:rPr>
              <w:bCs/>
              <w:lang w:val="zh-CN"/>
            </w:rPr>
            <w:fldChar w:fldCharType="end"/>
          </w:r>
        </w:p>
        <w:p>
          <w:pPr>
            <w:pStyle w:val="18"/>
            <w:tabs>
              <w:tab w:val="right" w:leader="dot" w:pos="9070"/>
              <w:tab w:val="clear" w:pos="9060"/>
            </w:tabs>
          </w:pPr>
          <w:r>
            <w:rPr>
              <w:bCs/>
              <w:lang w:val="zh-CN"/>
            </w:rPr>
            <w:fldChar w:fldCharType="begin"/>
          </w:r>
          <w:r>
            <w:rPr>
              <w:bCs/>
              <w:lang w:val="zh-CN"/>
            </w:rPr>
            <w:instrText xml:space="preserve"> HYPERLINK \l _Toc24212 </w:instrText>
          </w:r>
          <w:r>
            <w:rPr>
              <w:bCs/>
              <w:lang w:val="zh-CN"/>
            </w:rPr>
            <w:fldChar w:fldCharType="separate"/>
          </w:r>
          <w:r>
            <w:rPr>
              <w:rFonts w:hint="eastAsia"/>
            </w:rPr>
            <w:t>2.1.1. 招标内容</w:t>
          </w:r>
          <w:r>
            <w:tab/>
          </w:r>
          <w:r>
            <w:fldChar w:fldCharType="begin"/>
          </w:r>
          <w:r>
            <w:instrText xml:space="preserve"> PAGEREF _Toc24212 \h </w:instrText>
          </w:r>
          <w:r>
            <w:fldChar w:fldCharType="separate"/>
          </w:r>
          <w:r>
            <w:t>4</w:t>
          </w:r>
          <w:r>
            <w:fldChar w:fldCharType="end"/>
          </w:r>
          <w:r>
            <w:rPr>
              <w:bCs/>
              <w:lang w:val="zh-CN"/>
            </w:rPr>
            <w:fldChar w:fldCharType="end"/>
          </w:r>
        </w:p>
        <w:p>
          <w:pPr>
            <w:pStyle w:val="18"/>
            <w:tabs>
              <w:tab w:val="right" w:leader="dot" w:pos="9070"/>
              <w:tab w:val="clear" w:pos="9060"/>
            </w:tabs>
          </w:pPr>
          <w:r>
            <w:rPr>
              <w:bCs/>
              <w:lang w:val="zh-CN"/>
            </w:rPr>
            <w:fldChar w:fldCharType="begin"/>
          </w:r>
          <w:r>
            <w:rPr>
              <w:bCs/>
              <w:lang w:val="zh-CN"/>
            </w:rPr>
            <w:instrText xml:space="preserve"> HYPERLINK \l _Toc22465 </w:instrText>
          </w:r>
          <w:r>
            <w:rPr>
              <w:bCs/>
              <w:lang w:val="zh-CN"/>
            </w:rPr>
            <w:fldChar w:fldCharType="separate"/>
          </w:r>
          <w:r>
            <w:rPr>
              <w:rFonts w:hint="eastAsia"/>
            </w:rPr>
            <w:t>2.1.2. 招标要求</w:t>
          </w:r>
          <w:r>
            <w:tab/>
          </w:r>
          <w:r>
            <w:fldChar w:fldCharType="begin"/>
          </w:r>
          <w:r>
            <w:instrText xml:space="preserve"> PAGEREF _Toc22465 \h </w:instrText>
          </w:r>
          <w:r>
            <w:fldChar w:fldCharType="separate"/>
          </w:r>
          <w:r>
            <w:t>7</w:t>
          </w:r>
          <w:r>
            <w:fldChar w:fldCharType="end"/>
          </w:r>
          <w:r>
            <w:rPr>
              <w:bCs/>
              <w:lang w:val="zh-CN"/>
            </w:rPr>
            <w:fldChar w:fldCharType="end"/>
          </w:r>
        </w:p>
        <w:p>
          <w:pPr>
            <w:pStyle w:val="25"/>
            <w:tabs>
              <w:tab w:val="right" w:leader="dot" w:pos="9070"/>
              <w:tab w:val="clear" w:pos="9060"/>
            </w:tabs>
          </w:pPr>
          <w:r>
            <w:rPr>
              <w:bCs/>
              <w:lang w:val="zh-CN"/>
            </w:rPr>
            <w:fldChar w:fldCharType="begin"/>
          </w:r>
          <w:r>
            <w:rPr>
              <w:bCs/>
              <w:lang w:val="zh-CN"/>
            </w:rPr>
            <w:instrText xml:space="preserve"> HYPERLINK \l _Toc22209 </w:instrText>
          </w:r>
          <w:r>
            <w:rPr>
              <w:bCs/>
              <w:lang w:val="zh-CN"/>
            </w:rPr>
            <w:fldChar w:fldCharType="separate"/>
          </w:r>
          <w:r>
            <w:rPr>
              <w:rFonts w:hint="eastAsia"/>
            </w:rPr>
            <w:t>2.2. 项目工期要求</w:t>
          </w:r>
          <w:r>
            <w:rPr>
              <w:rFonts w:hint="eastAsia"/>
              <w:lang w:eastAsia="zh-CN"/>
            </w:rPr>
            <w:t>、验收标准及人员团队要求</w:t>
          </w:r>
          <w:r>
            <w:tab/>
          </w:r>
          <w:r>
            <w:fldChar w:fldCharType="begin"/>
          </w:r>
          <w:r>
            <w:instrText xml:space="preserve"> PAGEREF _Toc22209 \h </w:instrText>
          </w:r>
          <w:r>
            <w:fldChar w:fldCharType="separate"/>
          </w:r>
          <w:r>
            <w:t>88</w:t>
          </w:r>
          <w:r>
            <w:fldChar w:fldCharType="end"/>
          </w:r>
          <w:r>
            <w:rPr>
              <w:bCs/>
              <w:lang w:val="zh-CN"/>
            </w:rPr>
            <w:fldChar w:fldCharType="end"/>
          </w:r>
        </w:p>
        <w:p>
          <w:pPr>
            <w:pStyle w:val="25"/>
            <w:tabs>
              <w:tab w:val="right" w:leader="dot" w:pos="9070"/>
              <w:tab w:val="clear" w:pos="9060"/>
            </w:tabs>
          </w:pPr>
          <w:r>
            <w:rPr>
              <w:bCs/>
              <w:lang w:val="zh-CN"/>
            </w:rPr>
            <w:fldChar w:fldCharType="begin"/>
          </w:r>
          <w:r>
            <w:rPr>
              <w:bCs/>
              <w:lang w:val="zh-CN"/>
            </w:rPr>
            <w:instrText xml:space="preserve"> HYPERLINK \l _Toc24222 </w:instrText>
          </w:r>
          <w:r>
            <w:rPr>
              <w:bCs/>
              <w:lang w:val="zh-CN"/>
            </w:rPr>
            <w:fldChar w:fldCharType="separate"/>
          </w:r>
          <w:r>
            <w:rPr>
              <w:rFonts w:hint="eastAsia"/>
            </w:rPr>
            <w:t>2.3. 质量保证要求</w:t>
          </w:r>
          <w:r>
            <w:tab/>
          </w:r>
          <w:r>
            <w:fldChar w:fldCharType="begin"/>
          </w:r>
          <w:r>
            <w:instrText xml:space="preserve"> PAGEREF _Toc24222 \h </w:instrText>
          </w:r>
          <w:r>
            <w:fldChar w:fldCharType="separate"/>
          </w:r>
          <w:r>
            <w:t>89</w:t>
          </w:r>
          <w:r>
            <w:fldChar w:fldCharType="end"/>
          </w:r>
          <w:r>
            <w:rPr>
              <w:bCs/>
              <w:lang w:val="zh-CN"/>
            </w:rPr>
            <w:fldChar w:fldCharType="end"/>
          </w:r>
        </w:p>
        <w:p>
          <w:pPr>
            <w:pStyle w:val="25"/>
            <w:tabs>
              <w:tab w:val="right" w:leader="dot" w:pos="9070"/>
              <w:tab w:val="clear" w:pos="9060"/>
            </w:tabs>
          </w:pPr>
          <w:r>
            <w:rPr>
              <w:bCs/>
              <w:lang w:val="zh-CN"/>
            </w:rPr>
            <w:fldChar w:fldCharType="begin"/>
          </w:r>
          <w:r>
            <w:rPr>
              <w:bCs/>
              <w:lang w:val="zh-CN"/>
            </w:rPr>
            <w:instrText xml:space="preserve"> HYPERLINK \l _Toc11039 </w:instrText>
          </w:r>
          <w:r>
            <w:rPr>
              <w:bCs/>
              <w:lang w:val="zh-CN"/>
            </w:rPr>
            <w:fldChar w:fldCharType="separate"/>
          </w:r>
          <w:r>
            <w:rPr>
              <w:rFonts w:hint="eastAsia"/>
            </w:rPr>
            <w:t>2.4. 培训要求</w:t>
          </w:r>
          <w:r>
            <w:tab/>
          </w:r>
          <w:r>
            <w:fldChar w:fldCharType="begin"/>
          </w:r>
          <w:r>
            <w:instrText xml:space="preserve"> PAGEREF _Toc11039 \h </w:instrText>
          </w:r>
          <w:r>
            <w:fldChar w:fldCharType="separate"/>
          </w:r>
          <w:r>
            <w:t>89</w:t>
          </w:r>
          <w:r>
            <w:fldChar w:fldCharType="end"/>
          </w:r>
          <w:r>
            <w:rPr>
              <w:bCs/>
              <w:lang w:val="zh-CN"/>
            </w:rPr>
            <w:fldChar w:fldCharType="end"/>
          </w:r>
        </w:p>
        <w:p>
          <w:pPr>
            <w:pStyle w:val="25"/>
            <w:tabs>
              <w:tab w:val="right" w:leader="dot" w:pos="9070"/>
              <w:tab w:val="clear" w:pos="9060"/>
            </w:tabs>
          </w:pPr>
          <w:r>
            <w:rPr>
              <w:bCs/>
              <w:lang w:val="zh-CN"/>
            </w:rPr>
            <w:fldChar w:fldCharType="begin"/>
          </w:r>
          <w:r>
            <w:rPr>
              <w:bCs/>
              <w:lang w:val="zh-CN"/>
            </w:rPr>
            <w:instrText xml:space="preserve"> HYPERLINK \l _Toc320 </w:instrText>
          </w:r>
          <w:r>
            <w:rPr>
              <w:bCs/>
              <w:lang w:val="zh-CN"/>
            </w:rPr>
            <w:fldChar w:fldCharType="separate"/>
          </w:r>
          <w:r>
            <w:rPr>
              <w:rFonts w:hint="eastAsia"/>
            </w:rPr>
            <w:t>2.5. 售后服务要求</w:t>
          </w:r>
          <w:r>
            <w:tab/>
          </w:r>
          <w:r>
            <w:fldChar w:fldCharType="begin"/>
          </w:r>
          <w:r>
            <w:instrText xml:space="preserve"> PAGEREF _Toc320 \h </w:instrText>
          </w:r>
          <w:r>
            <w:fldChar w:fldCharType="separate"/>
          </w:r>
          <w:r>
            <w:t>89</w:t>
          </w:r>
          <w:r>
            <w:fldChar w:fldCharType="end"/>
          </w:r>
          <w:r>
            <w:rPr>
              <w:bCs/>
              <w:lang w:val="zh-CN"/>
            </w:rPr>
            <w:fldChar w:fldCharType="end"/>
          </w:r>
        </w:p>
        <w:p>
          <w:pPr>
            <w:pStyle w:val="25"/>
            <w:tabs>
              <w:tab w:val="right" w:leader="dot" w:pos="9070"/>
              <w:tab w:val="clear" w:pos="9060"/>
            </w:tabs>
          </w:pPr>
          <w:r>
            <w:rPr>
              <w:bCs/>
              <w:lang w:val="zh-CN"/>
            </w:rPr>
            <w:fldChar w:fldCharType="begin"/>
          </w:r>
          <w:r>
            <w:rPr>
              <w:bCs/>
              <w:lang w:val="zh-CN"/>
            </w:rPr>
            <w:instrText xml:space="preserve"> HYPERLINK \l _Toc21536 </w:instrText>
          </w:r>
          <w:r>
            <w:rPr>
              <w:bCs/>
              <w:lang w:val="zh-CN"/>
            </w:rPr>
            <w:fldChar w:fldCharType="separate"/>
          </w:r>
          <w:r>
            <w:rPr>
              <w:rFonts w:hint="eastAsia"/>
            </w:rPr>
            <w:t>2.6. 合同付款方式要求</w:t>
          </w:r>
          <w:r>
            <w:tab/>
          </w:r>
          <w:r>
            <w:fldChar w:fldCharType="begin"/>
          </w:r>
          <w:r>
            <w:instrText xml:space="preserve"> PAGEREF _Toc21536 \h </w:instrText>
          </w:r>
          <w:r>
            <w:fldChar w:fldCharType="separate"/>
          </w:r>
          <w:r>
            <w:t>90</w:t>
          </w:r>
          <w:r>
            <w:fldChar w:fldCharType="end"/>
          </w:r>
          <w:r>
            <w:rPr>
              <w:bCs/>
              <w:lang w:val="zh-CN"/>
            </w:rPr>
            <w:fldChar w:fldCharType="end"/>
          </w:r>
        </w:p>
        <w:p>
          <w:r>
            <w:rPr>
              <w:bCs/>
              <w:lang w:val="zh-CN"/>
            </w:rPr>
            <w:fldChar w:fldCharType="end"/>
          </w:r>
        </w:p>
      </w:sdtContent>
    </w:sdt>
    <w:p>
      <w:pPr>
        <w:ind w:firstLine="480"/>
      </w:pPr>
    </w:p>
    <w:p>
      <w:pPr>
        <w:ind w:firstLine="480"/>
      </w:pPr>
    </w:p>
    <w:p>
      <w:pPr>
        <w:ind w:firstLine="480"/>
      </w:pPr>
    </w:p>
    <w:p>
      <w:pPr>
        <w:ind w:firstLine="480"/>
      </w:pPr>
    </w:p>
    <w:p>
      <w:pPr>
        <w:ind w:firstLine="480"/>
      </w:pPr>
    </w:p>
    <w:p>
      <w:pPr>
        <w:ind w:firstLine="480"/>
      </w:pPr>
    </w:p>
    <w:p>
      <w:pPr>
        <w:ind w:firstLine="480"/>
        <w:sectPr>
          <w:headerReference r:id="rId3" w:type="default"/>
          <w:footerReference r:id="rId4" w:type="default"/>
          <w:pgSz w:w="11906" w:h="16838"/>
          <w:pgMar w:top="1418" w:right="1418" w:bottom="1418" w:left="1418" w:header="851" w:footer="680" w:gutter="0"/>
          <w:cols w:space="425" w:num="1"/>
          <w:docGrid w:type="lines" w:linePitch="312" w:charSpace="0"/>
        </w:sectPr>
      </w:pPr>
    </w:p>
    <w:p>
      <w:pPr>
        <w:pStyle w:val="2"/>
        <w:pageBreakBefore/>
        <w:numPr>
          <w:ilvl w:val="0"/>
          <w:numId w:val="10"/>
        </w:numPr>
        <w:rPr>
          <w:rFonts w:asciiTheme="minorEastAsia" w:hAnsiTheme="minorEastAsia"/>
        </w:rPr>
      </w:pPr>
      <w:bookmarkStart w:id="0" w:name="_Toc4853"/>
      <w:bookmarkStart w:id="1" w:name="_Toc11163320"/>
      <w:r>
        <w:rPr>
          <w:rFonts w:hint="eastAsia" w:asciiTheme="minorEastAsia" w:hAnsiTheme="minorEastAsia"/>
        </w:rPr>
        <w:t>投标人资格要求</w:t>
      </w:r>
      <w:bookmarkEnd w:id="0"/>
      <w:bookmarkEnd w:id="1"/>
    </w:p>
    <w:p>
      <w:pPr>
        <w:pStyle w:val="3"/>
        <w:numPr>
          <w:ilvl w:val="1"/>
          <w:numId w:val="11"/>
        </w:numPr>
      </w:pPr>
      <w:bookmarkStart w:id="2" w:name="_Toc11163321"/>
      <w:bookmarkStart w:id="3" w:name="_Toc3766"/>
      <w:r>
        <w:rPr>
          <w:rFonts w:hint="eastAsia"/>
        </w:rPr>
        <w:t>《中华人民共和国政府采购法》规定的条件</w:t>
      </w:r>
      <w:bookmarkEnd w:id="2"/>
      <w:bookmarkEnd w:id="3"/>
    </w:p>
    <w:p>
      <w:pPr>
        <w:numPr>
          <w:ilvl w:val="0"/>
          <w:numId w:val="12"/>
        </w:numPr>
        <w:ind w:firstLine="480" w:firstLineChars="200"/>
        <w:rPr>
          <w:rFonts w:hint="eastAsia"/>
        </w:rPr>
      </w:pPr>
      <w:bookmarkStart w:id="4" w:name="_Toc11163322"/>
      <w:r>
        <w:rPr>
          <w:rFonts w:hint="eastAsia"/>
          <w:lang w:eastAsia="zh-CN"/>
        </w:rPr>
        <w:t>投标</w:t>
      </w:r>
      <w:r>
        <w:rPr>
          <w:rFonts w:hint="eastAsia"/>
        </w:rPr>
        <w:t>人应当符合《中华人民共和国政府采购法》第22条所规定的条件；</w:t>
      </w:r>
    </w:p>
    <w:p>
      <w:pPr>
        <w:numPr>
          <w:ilvl w:val="0"/>
          <w:numId w:val="12"/>
        </w:numPr>
        <w:ind w:firstLine="480" w:firstLineChars="200"/>
        <w:rPr>
          <w:rFonts w:hint="eastAsia"/>
          <w:lang w:val="en-US" w:eastAsia="zh-CN"/>
        </w:rPr>
      </w:pPr>
      <w:r>
        <w:rPr>
          <w:rFonts w:hint="eastAsia"/>
          <w:lang w:eastAsia="zh-CN"/>
        </w:rPr>
        <w:t>投标任</w:t>
      </w:r>
      <w:r>
        <w:rPr>
          <w:rFonts w:hint="eastAsia"/>
        </w:rPr>
        <w:t>人及其投标产品和服务符合国家法律法规及强制性规范所规定的条件；</w:t>
      </w:r>
    </w:p>
    <w:p>
      <w:pPr>
        <w:numPr>
          <w:ilvl w:val="0"/>
          <w:numId w:val="12"/>
        </w:numPr>
        <w:ind w:firstLine="480" w:firstLineChars="200"/>
        <w:rPr>
          <w:rFonts w:hint="eastAsia"/>
          <w:lang w:val="en-US" w:eastAsia="zh-CN"/>
        </w:rPr>
      </w:pPr>
      <w:r>
        <w:rPr>
          <w:rFonts w:hint="eastAsia"/>
          <w:lang w:eastAsia="zh-CN"/>
        </w:rPr>
        <w:t>投标人在本市有完善的服务体系，能够提供良好的技术与服务支持。</w:t>
      </w:r>
    </w:p>
    <w:p>
      <w:pPr>
        <w:pStyle w:val="3"/>
        <w:numPr>
          <w:ilvl w:val="1"/>
          <w:numId w:val="11"/>
        </w:numPr>
      </w:pPr>
      <w:bookmarkStart w:id="5" w:name="_Toc6187"/>
      <w:r>
        <w:t>是否接受</w:t>
      </w:r>
      <w:r>
        <w:rPr>
          <w:rFonts w:hint="eastAsia"/>
        </w:rPr>
        <w:t>联合投标体</w:t>
      </w:r>
      <w:bookmarkEnd w:id="4"/>
      <w:bookmarkEnd w:id="5"/>
    </w:p>
    <w:p>
      <w:pPr>
        <w:ind w:firstLine="240" w:firstLineChars="100"/>
        <w:rPr>
          <w:rFonts w:ascii="宋体" w:hAnsi="宋体"/>
        </w:rPr>
      </w:pPr>
      <w:r>
        <w:rPr>
          <w:rFonts w:hint="eastAsia" w:ascii="宋体" w:hAnsi="宋体"/>
        </w:rPr>
        <w:t>本次</w:t>
      </w:r>
      <w:r>
        <w:rPr>
          <w:rFonts w:ascii="宋体" w:hAnsi="宋体"/>
        </w:rPr>
        <w:t>招标不接受</w:t>
      </w:r>
      <w:r>
        <w:rPr>
          <w:rFonts w:hint="eastAsia" w:ascii="宋体" w:hAnsi="宋体"/>
        </w:rPr>
        <w:t>联合</w:t>
      </w:r>
      <w:r>
        <w:rPr>
          <w:rFonts w:ascii="宋体" w:hAnsi="宋体"/>
        </w:rPr>
        <w:t>投标体。</w:t>
      </w:r>
    </w:p>
    <w:p>
      <w:pPr>
        <w:pStyle w:val="2"/>
        <w:pageBreakBefore/>
        <w:numPr>
          <w:ilvl w:val="0"/>
          <w:numId w:val="10"/>
        </w:numPr>
        <w:rPr>
          <w:rFonts w:asciiTheme="minorEastAsia" w:hAnsiTheme="minorEastAsia"/>
        </w:rPr>
      </w:pPr>
      <w:bookmarkStart w:id="6" w:name="_Toc32722"/>
      <w:bookmarkStart w:id="7" w:name="_Toc11163323"/>
      <w:r>
        <w:rPr>
          <w:rFonts w:hint="eastAsia" w:asciiTheme="minorEastAsia" w:hAnsiTheme="minorEastAsia"/>
        </w:rPr>
        <w:t>招标需求</w:t>
      </w:r>
      <w:bookmarkEnd w:id="6"/>
      <w:bookmarkEnd w:id="7"/>
    </w:p>
    <w:p>
      <w:pPr>
        <w:pStyle w:val="3"/>
        <w:numPr>
          <w:ilvl w:val="1"/>
          <w:numId w:val="10"/>
        </w:numPr>
      </w:pPr>
      <w:bookmarkStart w:id="8" w:name="_Toc3643"/>
      <w:bookmarkStart w:id="9" w:name="_Toc11163324"/>
      <w:r>
        <w:rPr>
          <w:rFonts w:hint="eastAsia"/>
        </w:rPr>
        <w:t>招标内容及要求</w:t>
      </w:r>
      <w:bookmarkEnd w:id="8"/>
      <w:bookmarkEnd w:id="9"/>
    </w:p>
    <w:p>
      <w:pPr>
        <w:pStyle w:val="4"/>
        <w:numPr>
          <w:ilvl w:val="2"/>
          <w:numId w:val="10"/>
        </w:numPr>
        <w:spacing w:before="0" w:after="0" w:line="360" w:lineRule="auto"/>
      </w:pPr>
      <w:bookmarkStart w:id="10" w:name="_Toc11163325"/>
      <w:bookmarkStart w:id="11" w:name="_Toc24212"/>
      <w:r>
        <w:rPr>
          <w:rFonts w:hint="eastAsia"/>
        </w:rPr>
        <w:t>招标内容</w:t>
      </w:r>
      <w:bookmarkEnd w:id="10"/>
      <w:bookmarkEnd w:id="11"/>
    </w:p>
    <w:p>
      <w:pPr>
        <w:pStyle w:val="5"/>
        <w:numPr>
          <w:ilvl w:val="3"/>
          <w:numId w:val="10"/>
        </w:numPr>
      </w:pPr>
      <w:r>
        <w:rPr>
          <w:rFonts w:hint="eastAsia"/>
        </w:rPr>
        <w:t>配套系统应用软件</w:t>
      </w:r>
    </w:p>
    <w:tbl>
      <w:tblPr>
        <w:tblStyle w:val="2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3800"/>
        <w:gridCol w:w="1497"/>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trPr>
        <w:tc>
          <w:tcPr>
            <w:tcW w:w="1114" w:type="dxa"/>
            <w:shd w:val="clear" w:color="auto" w:fill="auto"/>
            <w:vAlign w:val="center"/>
          </w:tcPr>
          <w:p>
            <w:pPr>
              <w:widowControl/>
              <w:jc w:val="center"/>
              <w:rPr>
                <w:rFonts w:cs="宋体" w:asciiTheme="minorEastAsia" w:hAnsiTheme="minorEastAsia"/>
                <w:kern w:val="0"/>
                <w:szCs w:val="24"/>
              </w:rPr>
            </w:pPr>
            <w:r>
              <w:rPr>
                <w:rFonts w:hint="eastAsia" w:cs="宋体" w:asciiTheme="minorEastAsia" w:hAnsiTheme="minorEastAsia"/>
                <w:kern w:val="0"/>
                <w:szCs w:val="24"/>
              </w:rPr>
              <w:t>序号</w:t>
            </w:r>
          </w:p>
        </w:tc>
        <w:tc>
          <w:tcPr>
            <w:tcW w:w="3800" w:type="dxa"/>
            <w:shd w:val="clear" w:color="auto" w:fill="auto"/>
            <w:vAlign w:val="center"/>
          </w:tcPr>
          <w:p>
            <w:pPr>
              <w:widowControl/>
              <w:jc w:val="center"/>
              <w:rPr>
                <w:rFonts w:cs="宋体" w:asciiTheme="minorEastAsia" w:hAnsiTheme="minorEastAsia"/>
                <w:kern w:val="0"/>
                <w:szCs w:val="24"/>
              </w:rPr>
            </w:pPr>
            <w:r>
              <w:rPr>
                <w:rFonts w:hint="eastAsia" w:cs="宋体" w:asciiTheme="minorEastAsia" w:hAnsiTheme="minorEastAsia"/>
                <w:kern w:val="0"/>
                <w:szCs w:val="24"/>
              </w:rPr>
              <w:t>名</w:t>
            </w:r>
            <w:r>
              <w:rPr>
                <w:rFonts w:cs="Calibri" w:asciiTheme="minorEastAsia" w:hAnsiTheme="minorEastAsia"/>
                <w:kern w:val="0"/>
                <w:szCs w:val="24"/>
              </w:rPr>
              <w:t xml:space="preserve">      </w:t>
            </w:r>
            <w:r>
              <w:rPr>
                <w:rFonts w:hint="eastAsia" w:cs="宋体" w:asciiTheme="minorEastAsia" w:hAnsiTheme="minorEastAsia"/>
                <w:kern w:val="0"/>
                <w:szCs w:val="24"/>
              </w:rPr>
              <w:t>称</w:t>
            </w:r>
          </w:p>
        </w:tc>
        <w:tc>
          <w:tcPr>
            <w:tcW w:w="1497" w:type="dxa"/>
            <w:shd w:val="clear" w:color="auto" w:fill="auto"/>
            <w:vAlign w:val="center"/>
          </w:tcPr>
          <w:p>
            <w:pPr>
              <w:widowControl/>
              <w:jc w:val="center"/>
              <w:rPr>
                <w:rFonts w:cs="宋体" w:asciiTheme="minorEastAsia" w:hAnsiTheme="minorEastAsia"/>
                <w:kern w:val="0"/>
                <w:szCs w:val="24"/>
              </w:rPr>
            </w:pPr>
            <w:r>
              <w:rPr>
                <w:rFonts w:hint="eastAsia" w:cs="宋体" w:asciiTheme="minorEastAsia" w:hAnsiTheme="minorEastAsia"/>
                <w:kern w:val="0"/>
                <w:szCs w:val="24"/>
              </w:rPr>
              <w:t>数</w:t>
            </w:r>
            <w:r>
              <w:rPr>
                <w:rFonts w:cs="Calibri" w:asciiTheme="minorEastAsia" w:hAnsiTheme="minorEastAsia"/>
                <w:kern w:val="0"/>
                <w:szCs w:val="24"/>
              </w:rPr>
              <w:t xml:space="preserve">  </w:t>
            </w:r>
            <w:r>
              <w:rPr>
                <w:rFonts w:hint="eastAsia" w:cs="宋体" w:asciiTheme="minorEastAsia" w:hAnsiTheme="minorEastAsia"/>
                <w:kern w:val="0"/>
                <w:szCs w:val="24"/>
              </w:rPr>
              <w:t>量</w:t>
            </w:r>
          </w:p>
        </w:tc>
        <w:tc>
          <w:tcPr>
            <w:tcW w:w="2649" w:type="dxa"/>
            <w:shd w:val="clear" w:color="auto" w:fill="auto"/>
            <w:vAlign w:val="center"/>
          </w:tcPr>
          <w:p>
            <w:pPr>
              <w:widowControl/>
              <w:jc w:val="center"/>
              <w:rPr>
                <w:rFonts w:cs="宋体" w:asciiTheme="minorEastAsia" w:hAnsiTheme="minorEastAsia"/>
                <w:kern w:val="0"/>
                <w:szCs w:val="24"/>
              </w:rPr>
            </w:pPr>
            <w:r>
              <w:rPr>
                <w:rFonts w:hint="eastAsia" w:cs="宋体" w:asciiTheme="minorEastAsia" w:hAnsiTheme="minorEastAsia"/>
                <w:kern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14" w:type="dxa"/>
            <w:shd w:val="clear" w:color="auto" w:fill="auto"/>
            <w:vAlign w:val="center"/>
          </w:tcPr>
          <w:p>
            <w:pPr>
              <w:widowControl/>
              <w:jc w:val="center"/>
              <w:rPr>
                <w:rFonts w:cs="宋体" w:asciiTheme="minorEastAsia" w:hAnsiTheme="minorEastAsia"/>
                <w:kern w:val="0"/>
                <w:szCs w:val="24"/>
              </w:rPr>
            </w:pPr>
            <w:r>
              <w:rPr>
                <w:rFonts w:cs="宋体" w:asciiTheme="minorEastAsia" w:hAnsiTheme="minorEastAsia"/>
                <w:kern w:val="0"/>
                <w:szCs w:val="24"/>
              </w:rPr>
              <w:t>1</w:t>
            </w:r>
          </w:p>
        </w:tc>
        <w:tc>
          <w:tcPr>
            <w:tcW w:w="3800"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数据库运维监控系统</w:t>
            </w:r>
          </w:p>
        </w:tc>
        <w:tc>
          <w:tcPr>
            <w:tcW w:w="1497" w:type="dxa"/>
            <w:shd w:val="clear" w:color="auto" w:fill="auto"/>
            <w:vAlign w:val="center"/>
          </w:tcPr>
          <w:p>
            <w:pPr>
              <w:widowControl/>
              <w:jc w:val="center"/>
              <w:rPr>
                <w:rFonts w:ascii="宋体" w:hAnsi="宋体" w:cs="宋体"/>
                <w:color w:val="000000"/>
                <w:kern w:val="0"/>
                <w:szCs w:val="24"/>
              </w:rPr>
            </w:pPr>
            <w:r>
              <w:rPr>
                <w:rFonts w:ascii="宋体" w:hAnsi="宋体" w:cs="宋体"/>
                <w:color w:val="000000"/>
                <w:kern w:val="0"/>
                <w:szCs w:val="24"/>
              </w:rPr>
              <w:t>1</w:t>
            </w:r>
          </w:p>
        </w:tc>
        <w:tc>
          <w:tcPr>
            <w:tcW w:w="2649" w:type="dxa"/>
            <w:shd w:val="clear" w:color="auto" w:fill="auto"/>
            <w:vAlign w:val="center"/>
          </w:tcPr>
          <w:p>
            <w:pPr>
              <w:widowControl/>
              <w:jc w:val="center"/>
              <w:rPr>
                <w:rFonts w:cs="宋体" w:asciiTheme="minorEastAsia" w:hAnsiTheme="minorEastAsia"/>
                <w:kern w:val="0"/>
                <w:szCs w:val="24"/>
              </w:rPr>
            </w:pPr>
            <w:r>
              <w:rPr>
                <w:rFonts w:cs="宋体" w:asciiTheme="minorEastAsia" w:hAnsiTheme="minorEastAsia"/>
                <w:kern w:val="0"/>
                <w:szCs w:val="24"/>
              </w:rPr>
              <w:t>原厂</w:t>
            </w:r>
            <w:r>
              <w:rPr>
                <w:rFonts w:hint="eastAsia" w:cs="宋体" w:asciiTheme="minorEastAsia" w:hAnsiTheme="minorEastAsia"/>
                <w:kern w:val="0"/>
                <w:szCs w:val="24"/>
              </w:rPr>
              <w:t>一</w:t>
            </w:r>
            <w:r>
              <w:rPr>
                <w:rFonts w:cs="宋体" w:asciiTheme="minorEastAsia" w:hAnsiTheme="minorEastAsia"/>
                <w:kern w:val="0"/>
                <w:szCs w:val="24"/>
              </w:rPr>
              <w:t>年保修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14" w:type="dxa"/>
            <w:shd w:val="clear" w:color="auto" w:fill="auto"/>
            <w:vAlign w:val="center"/>
          </w:tcPr>
          <w:p>
            <w:pPr>
              <w:widowControl/>
              <w:jc w:val="center"/>
              <w:rPr>
                <w:rFonts w:cs="宋体" w:asciiTheme="minorEastAsia" w:hAnsiTheme="minorEastAsia"/>
                <w:kern w:val="0"/>
                <w:szCs w:val="24"/>
              </w:rPr>
            </w:pPr>
            <w:r>
              <w:rPr>
                <w:rFonts w:cs="宋体" w:asciiTheme="minorEastAsia" w:hAnsiTheme="minorEastAsia"/>
                <w:kern w:val="0"/>
                <w:szCs w:val="24"/>
              </w:rPr>
              <w:t>2</w:t>
            </w:r>
          </w:p>
        </w:tc>
        <w:tc>
          <w:tcPr>
            <w:tcW w:w="3800" w:type="dxa"/>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数据库镜像容灾</w:t>
            </w:r>
          </w:p>
        </w:tc>
        <w:tc>
          <w:tcPr>
            <w:tcW w:w="1497" w:type="dxa"/>
            <w:shd w:val="clear" w:color="auto" w:fill="auto"/>
            <w:vAlign w:val="center"/>
          </w:tcPr>
          <w:p>
            <w:pPr>
              <w:widowControl/>
              <w:jc w:val="center"/>
              <w:rPr>
                <w:rFonts w:ascii="宋体" w:hAnsi="宋体" w:cs="宋体"/>
                <w:color w:val="000000"/>
                <w:kern w:val="0"/>
                <w:szCs w:val="24"/>
              </w:rPr>
            </w:pPr>
            <w:r>
              <w:rPr>
                <w:rFonts w:ascii="宋体" w:hAnsi="宋体" w:cs="宋体"/>
                <w:color w:val="000000"/>
                <w:kern w:val="0"/>
                <w:szCs w:val="24"/>
              </w:rPr>
              <w:t>1</w:t>
            </w:r>
          </w:p>
        </w:tc>
        <w:tc>
          <w:tcPr>
            <w:tcW w:w="2649" w:type="dxa"/>
            <w:shd w:val="clear" w:color="auto" w:fill="auto"/>
            <w:vAlign w:val="center"/>
          </w:tcPr>
          <w:p>
            <w:pPr>
              <w:widowControl/>
              <w:jc w:val="center"/>
              <w:rPr>
                <w:rFonts w:cs="宋体" w:asciiTheme="minorEastAsia" w:hAnsiTheme="minorEastAsia"/>
                <w:kern w:val="0"/>
                <w:szCs w:val="24"/>
              </w:rPr>
            </w:pPr>
            <w:r>
              <w:rPr>
                <w:rFonts w:cs="宋体" w:asciiTheme="minorEastAsia" w:hAnsiTheme="minorEastAsia"/>
                <w:kern w:val="0"/>
                <w:szCs w:val="24"/>
              </w:rPr>
              <w:t>原厂</w:t>
            </w:r>
            <w:r>
              <w:rPr>
                <w:rFonts w:hint="eastAsia" w:cs="宋体" w:asciiTheme="minorEastAsia" w:hAnsiTheme="minorEastAsia"/>
                <w:kern w:val="0"/>
                <w:szCs w:val="24"/>
              </w:rPr>
              <w:t>一</w:t>
            </w:r>
            <w:r>
              <w:rPr>
                <w:rFonts w:cs="宋体" w:asciiTheme="minorEastAsia" w:hAnsiTheme="minorEastAsia"/>
                <w:kern w:val="0"/>
                <w:szCs w:val="24"/>
              </w:rPr>
              <w:t>年保修</w:t>
            </w:r>
          </w:p>
        </w:tc>
      </w:tr>
    </w:tbl>
    <w:p/>
    <w:p>
      <w:pPr>
        <w:pStyle w:val="5"/>
        <w:numPr>
          <w:ilvl w:val="3"/>
          <w:numId w:val="10"/>
        </w:numPr>
      </w:pPr>
      <w:r>
        <w:rPr>
          <w:rFonts w:hint="eastAsia"/>
        </w:rPr>
        <w:t>软件部分</w:t>
      </w:r>
    </w:p>
    <w:p>
      <w:pPr>
        <w:ind w:firstLine="480" w:firstLineChars="200"/>
        <w:rPr>
          <w:rFonts w:ascii="宋体" w:hAnsi="宋体" w:cs="宋体"/>
          <w:lang w:bidi="th-TH"/>
        </w:rPr>
      </w:pPr>
      <w:r>
        <w:rPr>
          <w:rFonts w:hint="eastAsia" w:ascii="宋体" w:hAnsi="宋体" w:cs="宋体"/>
          <w:lang w:bidi="th-TH"/>
        </w:rPr>
        <w:t>依据医院业务的需求，软件具体建设的需求如下表所示，要求包括但不限于以下功能模块。</w:t>
      </w:r>
    </w:p>
    <w:tbl>
      <w:tblPr>
        <w:tblStyle w:val="2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2459"/>
        <w:gridCol w:w="4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374" w:type="dxa"/>
            <w:shd w:val="clear" w:color="auto" w:fill="auto"/>
            <w:vAlign w:val="center"/>
          </w:tcPr>
          <w:p>
            <w:pPr>
              <w:widowControl/>
              <w:adjustRightInd/>
              <w:snapToGrid/>
              <w:spacing w:line="240" w:lineRule="auto"/>
              <w:jc w:val="center"/>
              <w:rPr>
                <w:rFonts w:ascii="宋体" w:hAnsi="宋体" w:eastAsia="宋体" w:cs="宋体"/>
                <w:b/>
                <w:bCs/>
                <w:kern w:val="0"/>
                <w:szCs w:val="24"/>
              </w:rPr>
            </w:pPr>
            <w:r>
              <w:rPr>
                <w:rFonts w:hint="eastAsia" w:ascii="宋体" w:hAnsi="宋体" w:eastAsia="宋体" w:cs="宋体"/>
                <w:b/>
                <w:bCs/>
                <w:kern w:val="0"/>
                <w:szCs w:val="24"/>
              </w:rPr>
              <w:t>大类</w:t>
            </w:r>
          </w:p>
        </w:tc>
        <w:tc>
          <w:tcPr>
            <w:tcW w:w="2459" w:type="dxa"/>
            <w:shd w:val="clear" w:color="auto" w:fill="auto"/>
            <w:vAlign w:val="center"/>
          </w:tcPr>
          <w:p>
            <w:pPr>
              <w:widowControl/>
              <w:adjustRightInd/>
              <w:snapToGrid/>
              <w:spacing w:line="240" w:lineRule="auto"/>
              <w:jc w:val="center"/>
              <w:rPr>
                <w:rFonts w:ascii="宋体" w:hAnsi="宋体" w:eastAsia="宋体" w:cs="宋体"/>
                <w:b/>
                <w:bCs/>
                <w:kern w:val="0"/>
                <w:szCs w:val="24"/>
              </w:rPr>
            </w:pPr>
            <w:r>
              <w:rPr>
                <w:rFonts w:hint="eastAsia" w:ascii="宋体" w:hAnsi="宋体" w:eastAsia="宋体" w:cs="宋体"/>
                <w:b/>
                <w:bCs/>
                <w:kern w:val="0"/>
                <w:szCs w:val="24"/>
              </w:rPr>
              <w:t>系统</w:t>
            </w:r>
          </w:p>
        </w:tc>
        <w:tc>
          <w:tcPr>
            <w:tcW w:w="4227" w:type="dxa"/>
            <w:shd w:val="clear" w:color="auto" w:fill="auto"/>
            <w:vAlign w:val="center"/>
          </w:tcPr>
          <w:p>
            <w:pPr>
              <w:widowControl/>
              <w:adjustRightInd/>
              <w:snapToGrid/>
              <w:spacing w:line="240" w:lineRule="auto"/>
              <w:jc w:val="center"/>
              <w:rPr>
                <w:rFonts w:ascii="宋体" w:hAnsi="宋体" w:eastAsia="宋体" w:cs="宋体"/>
                <w:b/>
                <w:bCs/>
                <w:kern w:val="0"/>
                <w:szCs w:val="24"/>
              </w:rPr>
            </w:pPr>
            <w:r>
              <w:rPr>
                <w:rFonts w:hint="eastAsia" w:ascii="宋体" w:hAnsi="宋体" w:eastAsia="宋体" w:cs="宋体"/>
                <w:b/>
                <w:bCs/>
                <w:kern w:val="0"/>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restart"/>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临床管理</w:t>
            </w:r>
          </w:p>
        </w:tc>
        <w:tc>
          <w:tcPr>
            <w:tcW w:w="2459"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不良事件管理</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不良事件管理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康复管理系统</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康复管理系统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临床信息调阅</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临床信息调阅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门诊专科电子病历</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门诊专科电子病历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病历质控</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病历质控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病史质量控制</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病史质量控制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restart"/>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病种管理</w:t>
            </w:r>
          </w:p>
        </w:tc>
        <w:tc>
          <w:tcPr>
            <w:tcW w:w="2459" w:type="dxa"/>
            <w:vMerge w:val="restart"/>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病种管理</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数据模型管理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数据标化处理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分组规则管理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总览视图分析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全量数据查询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DRGs可视化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restart"/>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医务管理</w:t>
            </w: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医务管理工作台</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医务管理工作台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医务管理门户</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医务管理首页、科主任首页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医疗质量管理</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手术质量管理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医疗质量统计分析</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医疗质量统计分析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自助服务系统</w:t>
            </w:r>
          </w:p>
        </w:tc>
        <w:tc>
          <w:tcPr>
            <w:tcW w:w="2459"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业务办理</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自助签到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374" w:type="dxa"/>
            <w:vMerge w:val="restart"/>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输血管理</w:t>
            </w: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血库管理</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血库管理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全院输血流程管理</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全院输血流程管理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restart"/>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检验质控管理</w:t>
            </w: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ascii="宋体" w:hAnsi="宋体" w:eastAsia="宋体" w:cs="宋体"/>
                <w:kern w:val="0"/>
                <w:szCs w:val="24"/>
              </w:rPr>
              <w:t>标本</w:t>
            </w:r>
            <w:r>
              <w:rPr>
                <w:rFonts w:hint="eastAsia" w:ascii="宋体" w:hAnsi="宋体" w:eastAsia="宋体" w:cs="宋体"/>
                <w:kern w:val="0"/>
                <w:szCs w:val="24"/>
              </w:rPr>
              <w:t>T</w:t>
            </w:r>
            <w:r>
              <w:rPr>
                <w:rFonts w:ascii="宋体" w:hAnsi="宋体" w:eastAsia="宋体" w:cs="宋体"/>
                <w:kern w:val="0"/>
                <w:szCs w:val="24"/>
              </w:rPr>
              <w:t>AT时间管理</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ascii="宋体" w:hAnsi="宋体" w:eastAsia="宋体" w:cs="宋体"/>
                <w:kern w:val="0"/>
                <w:szCs w:val="24"/>
              </w:rPr>
              <w:t>标本</w:t>
            </w:r>
            <w:r>
              <w:rPr>
                <w:rFonts w:hint="eastAsia" w:ascii="宋体" w:hAnsi="宋体" w:eastAsia="宋体" w:cs="宋体"/>
                <w:kern w:val="0"/>
                <w:szCs w:val="24"/>
              </w:rPr>
              <w:t>T</w:t>
            </w:r>
            <w:r>
              <w:rPr>
                <w:rFonts w:ascii="宋体" w:hAnsi="宋体" w:eastAsia="宋体" w:cs="宋体"/>
                <w:kern w:val="0"/>
                <w:szCs w:val="24"/>
              </w:rPr>
              <w:t>AT时间管理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shd w:val="clear" w:color="auto" w:fill="auto"/>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ascii="宋体" w:hAnsi="宋体" w:eastAsia="宋体" w:cs="宋体"/>
                <w:kern w:val="0"/>
                <w:szCs w:val="24"/>
              </w:rPr>
              <w:t>标本状态提醒</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ascii="宋体" w:hAnsi="宋体" w:eastAsia="宋体" w:cs="宋体"/>
                <w:kern w:val="0"/>
                <w:szCs w:val="24"/>
              </w:rPr>
              <w:t>标本状态提醒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shd w:val="clear" w:color="auto" w:fill="auto"/>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ascii="宋体" w:hAnsi="宋体" w:eastAsia="宋体" w:cs="宋体"/>
                <w:kern w:val="0"/>
                <w:szCs w:val="24"/>
              </w:rPr>
              <w:t>检验数据分析</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ascii="宋体" w:hAnsi="宋体" w:eastAsia="宋体" w:cs="宋体"/>
                <w:kern w:val="0"/>
                <w:szCs w:val="24"/>
              </w:rPr>
              <w:t>检验数据分析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shd w:val="clear" w:color="auto" w:fill="auto"/>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ascii="宋体" w:hAnsi="宋体" w:eastAsia="宋体" w:cs="宋体"/>
                <w:kern w:val="0"/>
                <w:szCs w:val="24"/>
              </w:rPr>
              <w:t>自动审核管理</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ascii="宋体" w:hAnsi="宋体" w:eastAsia="宋体" w:cs="宋体"/>
                <w:kern w:val="0"/>
                <w:szCs w:val="24"/>
              </w:rPr>
              <w:t>自动审核管理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ascii="宋体" w:hAnsi="宋体" w:eastAsia="宋体" w:cs="宋体"/>
                <w:kern w:val="0"/>
                <w:szCs w:val="24"/>
              </w:rPr>
              <w:t>酶标板结果处理</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ascii="宋体" w:hAnsi="宋体" w:eastAsia="宋体" w:cs="宋体"/>
                <w:kern w:val="0"/>
                <w:szCs w:val="24"/>
              </w:rPr>
              <w:t>酶标板结果处理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微生物检验</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微生物检验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科室管理</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科室管理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374" w:type="dxa"/>
            <w:vMerge w:val="restart"/>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检验对外交互</w:t>
            </w: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临检外送对接</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临检外送对接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临检质控中心对接</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临检质控中心对接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上海市血站中心上传数据</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上海市血站中心上传数据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374" w:type="dxa"/>
            <w:vMerge w:val="restart"/>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心电管理系统（互联互通改造）</w:t>
            </w: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危急值</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危急值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360视图对接</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360视图对接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扫码及联机</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扫码及联机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电子医保卡改造</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电子医保卡改造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医技排队叫号</w:t>
            </w: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放射科RIS排队叫号</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放射科RIS排队叫号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374" w:type="dxa"/>
            <w:vMerge w:val="restart"/>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平台基础模块</w:t>
            </w: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单点登陆</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单点登陆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MDM术语主数据管理</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MDM术语主数据管理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ODS复制库建设</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ODS复制库建设（数据中心发布订阅）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EMPI患者主索引</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EMPI患者主索引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ESB信息交互</w:t>
            </w:r>
            <w:r>
              <w:rPr>
                <w:rFonts w:hint="eastAsia" w:ascii="宋体" w:hAnsi="宋体" w:eastAsia="宋体" w:cs="宋体"/>
                <w:kern w:val="0"/>
                <w:szCs w:val="24"/>
              </w:rPr>
              <w:t>中间件</w:t>
            </w:r>
          </w:p>
        </w:tc>
        <w:tc>
          <w:tcPr>
            <w:tcW w:w="2459"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ESB信息交互</w:t>
            </w:r>
            <w:r>
              <w:rPr>
                <w:rFonts w:hint="eastAsia" w:ascii="宋体" w:hAnsi="宋体" w:eastAsia="宋体" w:cs="宋体"/>
                <w:kern w:val="0"/>
                <w:szCs w:val="24"/>
              </w:rPr>
              <w:t>中间件</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医疗信息交互中间件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374" w:type="dxa"/>
            <w:vMerge w:val="restart"/>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院内系统ESB数据集成服务</w:t>
            </w:r>
          </w:p>
        </w:tc>
        <w:tc>
          <w:tcPr>
            <w:tcW w:w="2459"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集成服务-患者基本信息</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患者基本信息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集成服务-预约挂号</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集成服务-入出转</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入出转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restart"/>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集成服务-申请单</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检验申请信息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超声检查申请信息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放射检查申请信息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病理检查申请信息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电生理检查申请信息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心电检查申请信息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内窥镜检查申请信息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手麻申请信息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restart"/>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集成服务-检验</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检验项目执行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常规报告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微生物报告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restart"/>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集成服务-检查</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检查项目执行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超声报告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放射报告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病理报告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电生理报告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心电报告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内窥镜报告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集成服务-手术麻醉</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手术麻醉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集成服务-健康体检</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健康体检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374" w:type="dxa"/>
            <w:vMerge w:val="restart"/>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数据交互服务标准化数据集成</w:t>
            </w: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互联互通4甲级数据交互服务</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46个互联互通交互服务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集成平台管理系统</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平台管理（服务管理、服务授权、服务调试、服务监控）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374"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互联互通标准化工具（TSS）</w:t>
            </w: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互联互通标准化工具（TSS）</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互联互通标准化工具（TSS）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374"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互联互通监控大屏</w:t>
            </w: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互联互通监控大屏</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集成平台监控、数据中心监控、基础数据监控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374" w:type="dxa"/>
            <w:vMerge w:val="restart"/>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BI-运营数据中心（ODR）基础</w:t>
            </w:r>
          </w:p>
        </w:tc>
        <w:tc>
          <w:tcPr>
            <w:tcW w:w="2459" w:type="dxa"/>
            <w:vMerge w:val="restart"/>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运营数据中心（ODR）-基础</w:t>
            </w:r>
          </w:p>
        </w:tc>
        <w:tc>
          <w:tcPr>
            <w:tcW w:w="4227" w:type="dxa"/>
            <w:shd w:val="clear" w:color="auto" w:fill="auto"/>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全院实时数据监控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全院门诊分析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全院住院分析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全院医保分析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全院患者用药分析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全院治疗质量分析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374" w:type="dxa"/>
            <w:vMerge w:val="restart"/>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BI-数据可视化分析引擎</w:t>
            </w:r>
          </w:p>
        </w:tc>
        <w:tc>
          <w:tcPr>
            <w:tcW w:w="2459" w:type="dxa"/>
            <w:vMerge w:val="restart"/>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数据可视化分析引擎-基础</w:t>
            </w:r>
          </w:p>
        </w:tc>
        <w:tc>
          <w:tcPr>
            <w:tcW w:w="4227" w:type="dxa"/>
            <w:shd w:val="clear" w:color="auto" w:fill="auto"/>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基础管理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预警知识管理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自助报表设计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自助多维交叉分析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restart"/>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BI-科级院级应用</w:t>
            </w: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科级日常管理</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手术图表（手术科室主任为主）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医院运营全景</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综合运营全景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restart"/>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临床数据中心及应用</w:t>
            </w: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CDR临床数据中心</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CDR临床数据中心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患者360视图</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患者360视图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CDSS知识库</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CDSS知识库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CDSS临床决策支持</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CDSS临床决策支持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374"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运营数据中心应用</w:t>
            </w: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质量指标管理</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质量指标管理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2374" w:type="dxa"/>
            <w:vMerge w:val="restart"/>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闭环管理</w:t>
            </w:r>
          </w:p>
        </w:tc>
        <w:tc>
          <w:tcPr>
            <w:tcW w:w="2459" w:type="dxa"/>
            <w:vMerge w:val="restart"/>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闭环管理</w:t>
            </w:r>
          </w:p>
        </w:tc>
        <w:tc>
          <w:tcPr>
            <w:tcW w:w="4227" w:type="dxa"/>
            <w:shd w:val="clear" w:color="auto" w:fill="auto"/>
          </w:tcPr>
          <w:p>
            <w:pPr>
              <w:widowControl/>
              <w:adjustRightInd/>
              <w:snapToGrid/>
              <w:spacing w:line="240" w:lineRule="auto"/>
              <w:jc w:val="left"/>
              <w:rPr>
                <w:rFonts w:ascii="宋体" w:hAnsi="宋体" w:eastAsia="宋体" w:cs="宋体"/>
                <w:kern w:val="0"/>
                <w:szCs w:val="24"/>
              </w:rPr>
            </w:pPr>
            <w:r>
              <w:rPr>
                <w:rFonts w:hint="eastAsia"/>
              </w:rPr>
              <w:t>口服药医嘱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374" w:type="dxa"/>
            <w:vMerge w:val="continue"/>
            <w:shd w:val="clear" w:color="auto" w:fill="auto"/>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shd w:val="clear" w:color="auto" w:fill="auto"/>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tcPr>
          <w:p>
            <w:pPr>
              <w:widowControl/>
              <w:adjustRightInd/>
              <w:snapToGrid/>
              <w:spacing w:line="240" w:lineRule="auto"/>
              <w:jc w:val="left"/>
              <w:rPr>
                <w:rFonts w:ascii="宋体" w:hAnsi="宋体" w:eastAsia="宋体" w:cs="宋体"/>
                <w:kern w:val="0"/>
                <w:szCs w:val="24"/>
              </w:rPr>
            </w:pPr>
            <w:r>
              <w:rPr>
                <w:rFonts w:hint="eastAsia"/>
              </w:rPr>
              <w:t>注射医嘱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2374" w:type="dxa"/>
            <w:vMerge w:val="continue"/>
            <w:shd w:val="clear" w:color="auto" w:fill="auto"/>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shd w:val="clear" w:color="auto" w:fill="auto"/>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tcPr>
          <w:p>
            <w:pPr>
              <w:widowControl/>
              <w:adjustRightInd/>
              <w:snapToGrid/>
              <w:spacing w:line="240" w:lineRule="auto"/>
              <w:jc w:val="left"/>
              <w:rPr>
                <w:rFonts w:ascii="宋体" w:hAnsi="宋体" w:eastAsia="宋体" w:cs="宋体"/>
                <w:kern w:val="0"/>
                <w:szCs w:val="24"/>
              </w:rPr>
            </w:pPr>
            <w:r>
              <w:rPr>
                <w:rFonts w:hint="eastAsia"/>
              </w:rPr>
              <w:t>中草药医嘱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trPr>
        <w:tc>
          <w:tcPr>
            <w:tcW w:w="2374" w:type="dxa"/>
            <w:vMerge w:val="continue"/>
            <w:shd w:val="clear" w:color="auto" w:fill="auto"/>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shd w:val="clear" w:color="auto" w:fill="auto"/>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tcPr>
          <w:p>
            <w:pPr>
              <w:widowControl/>
              <w:adjustRightInd/>
              <w:snapToGrid/>
              <w:spacing w:line="240" w:lineRule="auto"/>
              <w:jc w:val="left"/>
              <w:rPr>
                <w:rFonts w:ascii="宋体" w:hAnsi="宋体" w:eastAsia="宋体" w:cs="宋体"/>
                <w:kern w:val="0"/>
                <w:szCs w:val="24"/>
              </w:rPr>
            </w:pPr>
            <w:r>
              <w:rPr>
                <w:rFonts w:hint="eastAsia"/>
              </w:rPr>
              <w:t>输液医嘱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2374" w:type="dxa"/>
            <w:vMerge w:val="continue"/>
            <w:shd w:val="clear" w:color="auto" w:fill="auto"/>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shd w:val="clear" w:color="auto" w:fill="auto"/>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tcPr>
          <w:p>
            <w:pPr>
              <w:widowControl/>
              <w:adjustRightInd/>
              <w:snapToGrid/>
              <w:spacing w:line="240" w:lineRule="auto"/>
              <w:jc w:val="left"/>
              <w:rPr>
                <w:rFonts w:ascii="宋体" w:hAnsi="宋体" w:eastAsia="宋体" w:cs="宋体"/>
                <w:kern w:val="0"/>
                <w:szCs w:val="24"/>
              </w:rPr>
            </w:pPr>
            <w:r>
              <w:rPr>
                <w:rFonts w:hint="eastAsia"/>
              </w:rPr>
              <w:t>自备药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2374" w:type="dxa"/>
            <w:vMerge w:val="continue"/>
            <w:shd w:val="clear" w:color="auto" w:fill="auto"/>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shd w:val="clear" w:color="auto" w:fill="auto"/>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tcPr>
          <w:p>
            <w:pPr>
              <w:widowControl/>
              <w:adjustRightInd/>
              <w:snapToGrid/>
              <w:spacing w:line="240" w:lineRule="auto"/>
              <w:jc w:val="left"/>
              <w:rPr>
                <w:rFonts w:ascii="宋体" w:hAnsi="宋体" w:eastAsia="宋体" w:cs="宋体"/>
                <w:kern w:val="0"/>
                <w:szCs w:val="24"/>
              </w:rPr>
            </w:pPr>
            <w:r>
              <w:rPr>
                <w:rFonts w:hint="eastAsia"/>
              </w:rPr>
              <w:t>出院带药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2374" w:type="dxa"/>
            <w:vMerge w:val="continue"/>
            <w:shd w:val="clear" w:color="auto" w:fill="auto"/>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shd w:val="clear" w:color="auto" w:fill="auto"/>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tcPr>
          <w:p>
            <w:pPr>
              <w:widowControl/>
              <w:adjustRightInd/>
              <w:snapToGrid/>
              <w:spacing w:line="240" w:lineRule="auto"/>
              <w:jc w:val="left"/>
              <w:rPr>
                <w:rFonts w:ascii="宋体" w:hAnsi="宋体" w:eastAsia="宋体" w:cs="宋体"/>
                <w:kern w:val="0"/>
                <w:szCs w:val="24"/>
              </w:rPr>
            </w:pPr>
            <w:r>
              <w:rPr>
                <w:rFonts w:hint="eastAsia"/>
              </w:rPr>
              <w:t>门诊检验闭环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2374" w:type="dxa"/>
            <w:vMerge w:val="continue"/>
            <w:shd w:val="clear" w:color="auto" w:fill="auto"/>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shd w:val="clear" w:color="auto" w:fill="auto"/>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tcPr>
          <w:p>
            <w:pPr>
              <w:widowControl/>
              <w:adjustRightInd/>
              <w:snapToGrid/>
              <w:spacing w:line="240" w:lineRule="auto"/>
              <w:jc w:val="left"/>
              <w:rPr>
                <w:rFonts w:ascii="宋体" w:hAnsi="宋体" w:eastAsia="宋体" w:cs="宋体"/>
                <w:kern w:val="0"/>
                <w:szCs w:val="24"/>
              </w:rPr>
            </w:pPr>
            <w:r>
              <w:rPr>
                <w:rFonts w:hint="eastAsia"/>
              </w:rPr>
              <w:t>住院检验闭环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 w:hRule="atLeast"/>
        </w:trPr>
        <w:tc>
          <w:tcPr>
            <w:tcW w:w="2374" w:type="dxa"/>
            <w:vMerge w:val="continue"/>
            <w:shd w:val="clear" w:color="auto" w:fill="auto"/>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shd w:val="clear" w:color="auto" w:fill="auto"/>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tcPr>
          <w:p>
            <w:pPr>
              <w:widowControl/>
              <w:adjustRightInd/>
              <w:snapToGrid/>
              <w:spacing w:line="240" w:lineRule="auto"/>
              <w:jc w:val="left"/>
              <w:rPr>
                <w:rFonts w:ascii="宋体" w:hAnsi="宋体" w:eastAsia="宋体" w:cs="宋体"/>
                <w:kern w:val="0"/>
                <w:szCs w:val="24"/>
              </w:rPr>
            </w:pPr>
            <w:r>
              <w:rPr>
                <w:rFonts w:hint="eastAsia"/>
              </w:rPr>
              <w:t>检验危急值闭环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374" w:type="dxa"/>
            <w:vMerge w:val="restart"/>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电子签名管理</w:t>
            </w: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登录用户管理、权限设置、证书自动登录</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登录用户管理、权限设置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电子处方对接</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电子处方对接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门诊电子申请单对接</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门诊电子申请单对接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门诊病历对接</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门诊病历对接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门诊发药对接</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门诊发药对接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检验报告对接</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检验报告对接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检查报告对接</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检验报告对接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vMerge w:val="restart"/>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接口封装</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身份认证接口封装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数字签名接口封装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时间戳接口封装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数字印章接口封装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shd w:val="clear" w:color="auto" w:fill="auto"/>
            <w:noWrap/>
            <w:vAlign w:val="bottom"/>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护理会诊</w:t>
            </w:r>
          </w:p>
        </w:tc>
        <w:tc>
          <w:tcPr>
            <w:tcW w:w="2459" w:type="dxa"/>
            <w:shd w:val="clear" w:color="auto" w:fill="auto"/>
            <w:noWrap/>
            <w:vAlign w:val="bottom"/>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护理会诊</w:t>
            </w:r>
          </w:p>
        </w:tc>
        <w:tc>
          <w:tcPr>
            <w:tcW w:w="4227" w:type="dxa"/>
            <w:shd w:val="clear" w:color="auto" w:fill="auto"/>
            <w:noWrap/>
            <w:vAlign w:val="bottom"/>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护理会诊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2374" w:type="dxa"/>
            <w:shd w:val="clear" w:color="auto" w:fill="auto"/>
            <w:noWrap/>
            <w:vAlign w:val="bottom"/>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护理排班</w:t>
            </w:r>
          </w:p>
        </w:tc>
        <w:tc>
          <w:tcPr>
            <w:tcW w:w="2459" w:type="dxa"/>
            <w:shd w:val="clear" w:color="auto" w:fill="auto"/>
            <w:noWrap/>
            <w:vAlign w:val="bottom"/>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护理排班</w:t>
            </w:r>
          </w:p>
        </w:tc>
        <w:tc>
          <w:tcPr>
            <w:tcW w:w="4227" w:type="dxa"/>
            <w:shd w:val="clear" w:color="auto" w:fill="auto"/>
            <w:noWrap/>
            <w:vAlign w:val="bottom"/>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护理排班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2374"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治疗计费</w:t>
            </w:r>
          </w:p>
        </w:tc>
        <w:tc>
          <w:tcPr>
            <w:tcW w:w="2459"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治疗计费</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治疗计费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核药配药</w:t>
            </w:r>
          </w:p>
        </w:tc>
        <w:tc>
          <w:tcPr>
            <w:tcW w:w="2459"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核药配药</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核药配药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374"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输血双人双核对</w:t>
            </w:r>
          </w:p>
        </w:tc>
        <w:tc>
          <w:tcPr>
            <w:tcW w:w="2459"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输血双人双核对</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输血双人双核对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restart"/>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移动医生站</w:t>
            </w:r>
          </w:p>
        </w:tc>
        <w:tc>
          <w:tcPr>
            <w:tcW w:w="2459" w:type="dxa"/>
            <w:vMerge w:val="restart"/>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移动医生站</w:t>
            </w: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第三方语音集成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医生临床助理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危急值提醒与处理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kern w:val="0"/>
                <w:szCs w:val="24"/>
              </w:rPr>
            </w:pPr>
            <w:r>
              <w:rPr>
                <w:rFonts w:hint="eastAsia" w:ascii="宋体" w:hAnsi="宋体" w:eastAsia="宋体" w:cs="宋体"/>
                <w:kern w:val="0"/>
                <w:szCs w:val="24"/>
              </w:rPr>
              <w:t>病程录书写&amp;医嘱录入&amp;申请单录入&amp;语音定位病例资料&amp;水印安全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少儿基金接口</w:t>
            </w:r>
          </w:p>
        </w:tc>
        <w:tc>
          <w:tcPr>
            <w:tcW w:w="2459"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少儿基金接口</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少儿基金接口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微医对接</w:t>
            </w:r>
          </w:p>
        </w:tc>
        <w:tc>
          <w:tcPr>
            <w:tcW w:w="2459"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微医对接</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微医对接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残联接口</w:t>
            </w:r>
          </w:p>
        </w:tc>
        <w:tc>
          <w:tcPr>
            <w:tcW w:w="2459"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残联接口</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残联接口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智能提醒接口</w:t>
            </w:r>
          </w:p>
        </w:tc>
        <w:tc>
          <w:tcPr>
            <w:tcW w:w="2459"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智能提醒</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智能提醒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短信平台对接</w:t>
            </w:r>
          </w:p>
        </w:tc>
        <w:tc>
          <w:tcPr>
            <w:tcW w:w="2459"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短信平台</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短信平台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自助机自助预约</w:t>
            </w:r>
          </w:p>
        </w:tc>
        <w:tc>
          <w:tcPr>
            <w:tcW w:w="2459"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自助机自助预约</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自助机自助预约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374"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治疗叫号</w:t>
            </w:r>
          </w:p>
        </w:tc>
        <w:tc>
          <w:tcPr>
            <w:tcW w:w="2459"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治疗叫号</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治疗叫号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374" w:type="dxa"/>
            <w:vMerge w:val="restart"/>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互联互通评级服务（数据集+共享文档）</w:t>
            </w:r>
          </w:p>
        </w:tc>
        <w:tc>
          <w:tcPr>
            <w:tcW w:w="2459" w:type="dxa"/>
            <w:vMerge w:val="restart"/>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互联互通评级服务（数据集+共享文档）</w:t>
            </w: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58类数据集真实性校验工作及其官网测评工作。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374"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2459" w:type="dxa"/>
            <w:vMerge w:val="continue"/>
            <w:vAlign w:val="center"/>
          </w:tcPr>
          <w:p>
            <w:pPr>
              <w:widowControl/>
              <w:adjustRightInd/>
              <w:snapToGrid/>
              <w:spacing w:line="240" w:lineRule="auto"/>
              <w:jc w:val="left"/>
              <w:rPr>
                <w:rFonts w:ascii="宋体" w:hAnsi="宋体" w:eastAsia="宋体" w:cs="宋体"/>
                <w:color w:val="000000"/>
                <w:kern w:val="0"/>
                <w:szCs w:val="24"/>
              </w:rPr>
            </w:pPr>
          </w:p>
        </w:tc>
        <w:tc>
          <w:tcPr>
            <w:tcW w:w="4227" w:type="dxa"/>
            <w:shd w:val="clear" w:color="auto" w:fill="auto"/>
            <w:vAlign w:val="center"/>
          </w:tcPr>
          <w:p>
            <w:pPr>
              <w:widowControl/>
              <w:adjustRightInd/>
              <w:snapToGrid/>
              <w:spacing w:line="240" w:lineRule="auto"/>
              <w:jc w:val="left"/>
              <w:rPr>
                <w:rFonts w:ascii="宋体" w:hAnsi="宋体" w:eastAsia="宋体" w:cs="宋体"/>
                <w:color w:val="000000"/>
                <w:kern w:val="0"/>
                <w:szCs w:val="24"/>
              </w:rPr>
            </w:pPr>
            <w:r>
              <w:rPr>
                <w:rFonts w:hint="eastAsia" w:ascii="宋体" w:hAnsi="宋体" w:eastAsia="宋体" w:cs="宋体"/>
                <w:color w:val="000000"/>
                <w:kern w:val="0"/>
                <w:szCs w:val="24"/>
              </w:rPr>
              <w:t>53类CDA文档的真实性校验工作及其官网测评工作。</w:t>
            </w:r>
          </w:p>
        </w:tc>
      </w:tr>
    </w:tbl>
    <w:p>
      <w:pPr>
        <w:pStyle w:val="4"/>
        <w:numPr>
          <w:ilvl w:val="2"/>
          <w:numId w:val="10"/>
        </w:numPr>
        <w:spacing w:before="0" w:after="0" w:line="360" w:lineRule="auto"/>
      </w:pPr>
      <w:bookmarkStart w:id="12" w:name="_Toc22465"/>
      <w:bookmarkStart w:id="13" w:name="_Toc11163326"/>
      <w:r>
        <w:rPr>
          <w:rFonts w:hint="eastAsia"/>
        </w:rPr>
        <w:t>招标要求</w:t>
      </w:r>
      <w:bookmarkEnd w:id="12"/>
      <w:bookmarkEnd w:id="13"/>
    </w:p>
    <w:p>
      <w:pPr>
        <w:pStyle w:val="5"/>
        <w:numPr>
          <w:ilvl w:val="3"/>
          <w:numId w:val="10"/>
        </w:numPr>
      </w:pPr>
      <w:bookmarkStart w:id="14" w:name="_Toc3755532"/>
      <w:bookmarkEnd w:id="14"/>
      <w:bookmarkStart w:id="15" w:name="_Toc3755296"/>
      <w:bookmarkEnd w:id="15"/>
      <w:bookmarkStart w:id="16" w:name="_Toc3755270"/>
      <w:bookmarkEnd w:id="16"/>
      <w:bookmarkStart w:id="17" w:name="OLE_LINK14"/>
      <w:r>
        <w:t>配套系统</w:t>
      </w:r>
      <w:r>
        <w:rPr>
          <w:rFonts w:hint="eastAsia"/>
        </w:rPr>
        <w:t>应用</w:t>
      </w:r>
      <w:r>
        <w:t>软件参数</w:t>
      </w:r>
    </w:p>
    <w:p>
      <w:pPr>
        <w:pStyle w:val="6"/>
        <w:numPr>
          <w:ilvl w:val="4"/>
          <w:numId w:val="10"/>
        </w:numPr>
      </w:pPr>
      <w:r>
        <w:rPr>
          <w:rFonts w:hint="eastAsia"/>
        </w:rPr>
        <w:t>数据库运维监控系统</w:t>
      </w:r>
    </w:p>
    <w:tbl>
      <w:tblPr>
        <w:tblStyle w:val="28"/>
        <w:tblW w:w="8931"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81"/>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851" w:type="dxa"/>
            <w:shd w:val="clear" w:color="auto" w:fill="auto"/>
            <w:vAlign w:val="center"/>
          </w:tcPr>
          <w:p>
            <w:pPr>
              <w:widowControl/>
              <w:jc w:val="center"/>
              <w:rPr>
                <w:rFonts w:cs="宋体" w:asciiTheme="minorEastAsia" w:hAnsiTheme="minorEastAsia"/>
                <w:color w:val="000000"/>
                <w:kern w:val="0"/>
                <w:szCs w:val="24"/>
              </w:rPr>
            </w:pPr>
            <w:r>
              <w:rPr>
                <w:rFonts w:hint="eastAsia" w:cs="宋体" w:asciiTheme="minorEastAsia" w:hAnsiTheme="minorEastAsia"/>
                <w:color w:val="000000"/>
                <w:kern w:val="0"/>
                <w:szCs w:val="24"/>
              </w:rPr>
              <w:t>指标类</w:t>
            </w:r>
          </w:p>
        </w:tc>
        <w:tc>
          <w:tcPr>
            <w:tcW w:w="1281" w:type="dxa"/>
            <w:shd w:val="clear" w:color="auto" w:fill="auto"/>
            <w:vAlign w:val="center"/>
          </w:tcPr>
          <w:p>
            <w:pPr>
              <w:widowControl/>
              <w:jc w:val="center"/>
              <w:rPr>
                <w:rFonts w:cs="宋体" w:asciiTheme="minorEastAsia" w:hAnsiTheme="minorEastAsia"/>
                <w:color w:val="000000"/>
                <w:kern w:val="0"/>
                <w:szCs w:val="24"/>
              </w:rPr>
            </w:pPr>
            <w:r>
              <w:rPr>
                <w:rFonts w:hint="eastAsia" w:cs="宋体" w:asciiTheme="minorEastAsia" w:hAnsiTheme="minorEastAsia"/>
                <w:color w:val="000000"/>
                <w:kern w:val="0"/>
                <w:szCs w:val="24"/>
              </w:rPr>
              <w:t>指标项</w:t>
            </w:r>
          </w:p>
        </w:tc>
        <w:tc>
          <w:tcPr>
            <w:tcW w:w="6799" w:type="dxa"/>
            <w:shd w:val="clear" w:color="auto" w:fill="auto"/>
            <w:vAlign w:val="center"/>
          </w:tcPr>
          <w:p>
            <w:pPr>
              <w:widowControl/>
              <w:jc w:val="center"/>
              <w:rPr>
                <w:rFonts w:cs="宋体" w:asciiTheme="minorEastAsia" w:hAnsiTheme="minorEastAsia"/>
                <w:color w:val="000000"/>
                <w:kern w:val="0"/>
                <w:szCs w:val="24"/>
              </w:rPr>
            </w:pPr>
            <w:r>
              <w:rPr>
                <w:rFonts w:hint="eastAsia" w:cs="宋体" w:asciiTheme="minorEastAsia" w:hAnsiTheme="minorEastAsia"/>
                <w:color w:val="000000"/>
                <w:kern w:val="0"/>
                <w:szCs w:val="24"/>
              </w:rPr>
              <w:t>指标项要求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0" w:hRule="atLeast"/>
        </w:trPr>
        <w:tc>
          <w:tcPr>
            <w:tcW w:w="851" w:type="dxa"/>
            <w:vMerge w:val="restart"/>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监控和分析</w:t>
            </w: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支持的数据库版本</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数据库：Microsoft SQL Server（2005/2008/2008R2/2012/2014/2016） Standard/Enterprise (32位/64位)。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851" w:type="dxa"/>
            <w:vMerge w:val="continue"/>
            <w:vAlign w:val="center"/>
          </w:tcPr>
          <w:p>
            <w:pPr>
              <w:widowControl/>
              <w:jc w:val="left"/>
              <w:rPr>
                <w:rFonts w:cs="宋体" w:asciiTheme="minorEastAsia" w:hAnsiTheme="minorEastAsia"/>
                <w:color w:val="000000"/>
                <w:kern w:val="0"/>
                <w:szCs w:val="24"/>
              </w:rPr>
            </w:pP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支持监控的数量</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系统支持3个以上数据库服务器或实例。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51" w:type="dxa"/>
            <w:vMerge w:val="continue"/>
            <w:vAlign w:val="center"/>
          </w:tcPr>
          <w:p>
            <w:pPr>
              <w:widowControl/>
              <w:jc w:val="left"/>
              <w:rPr>
                <w:rFonts w:cs="宋体" w:asciiTheme="minorEastAsia" w:hAnsiTheme="minorEastAsia"/>
                <w:color w:val="000000"/>
                <w:kern w:val="0"/>
                <w:szCs w:val="24"/>
              </w:rPr>
            </w:pP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系统架构</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支持分布式部署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851" w:type="dxa"/>
            <w:vMerge w:val="continue"/>
            <w:vAlign w:val="center"/>
          </w:tcPr>
          <w:p>
            <w:pPr>
              <w:widowControl/>
              <w:jc w:val="left"/>
              <w:rPr>
                <w:rFonts w:cs="宋体" w:asciiTheme="minorEastAsia" w:hAnsiTheme="minorEastAsia"/>
                <w:color w:val="000000"/>
                <w:kern w:val="0"/>
                <w:szCs w:val="24"/>
              </w:rPr>
            </w:pP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系统监控及分析</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包括：操作系统、数据库的版本；网卡性能、磁盘空间、CPU配置监控及分析，提供异常告警。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851" w:type="dxa"/>
            <w:vMerge w:val="continue"/>
            <w:vAlign w:val="center"/>
          </w:tcPr>
          <w:p>
            <w:pPr>
              <w:widowControl/>
              <w:jc w:val="left"/>
              <w:rPr>
                <w:rFonts w:cs="宋体" w:asciiTheme="minorEastAsia" w:hAnsiTheme="minorEastAsia"/>
                <w:color w:val="000000"/>
                <w:kern w:val="0"/>
                <w:szCs w:val="24"/>
              </w:rPr>
            </w:pP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参数配置监控及分析</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包括：操作系统、数据库的所有配置参数进行监控及分析，提供异常告警，并提供修改建议。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51" w:type="dxa"/>
            <w:vMerge w:val="continue"/>
            <w:vAlign w:val="center"/>
          </w:tcPr>
          <w:p>
            <w:pPr>
              <w:widowControl/>
              <w:jc w:val="left"/>
              <w:rPr>
                <w:rFonts w:cs="宋体" w:asciiTheme="minorEastAsia" w:hAnsiTheme="minorEastAsia"/>
                <w:color w:val="000000"/>
                <w:kern w:val="0"/>
                <w:szCs w:val="24"/>
              </w:rPr>
            </w:pP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性能计数器监控及分析</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包括：Processor、Physical Disk、Memory、Network、Locks、SQL Statistics、buffer Manager、Memory Manager、Access Methods、Gerneral Statistics、Latches、Temp DB等性能计数器的全部监控及分析，提供异常告警。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851" w:type="dxa"/>
            <w:vMerge w:val="continue"/>
            <w:vAlign w:val="center"/>
          </w:tcPr>
          <w:p>
            <w:pPr>
              <w:widowControl/>
              <w:jc w:val="left"/>
              <w:rPr>
                <w:rFonts w:cs="宋体" w:asciiTheme="minorEastAsia" w:hAnsiTheme="minorEastAsia"/>
                <w:color w:val="000000"/>
                <w:kern w:val="0"/>
                <w:szCs w:val="24"/>
              </w:rPr>
            </w:pP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等待的监控及分析</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包括：等待类型、平均等待时间、等待数据量的统计分析，提供图形化的报表；对所有等待进行监控，支持按照等待次数、等待时间、CPU时间、逻辑读次数、物理写次数、物理写次数进行排序。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851" w:type="dxa"/>
            <w:vMerge w:val="continue"/>
            <w:vAlign w:val="center"/>
          </w:tcPr>
          <w:p>
            <w:pPr>
              <w:widowControl/>
              <w:jc w:val="left"/>
              <w:rPr>
                <w:rFonts w:cs="宋体" w:asciiTheme="minorEastAsia" w:hAnsiTheme="minorEastAsia"/>
                <w:color w:val="000000"/>
                <w:kern w:val="0"/>
                <w:szCs w:val="24"/>
              </w:rPr>
            </w:pP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慢语句的监控及分析</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包括：慢语句数量、慢语句的类型、慢语句的分布的统计分析，提供图形化的报表；对所有慢语句进行监控，支持按照执行次数、持续时间、CPU时间、读次数、读次数、影响行数进行排序。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851" w:type="dxa"/>
            <w:vMerge w:val="continue"/>
            <w:vAlign w:val="center"/>
          </w:tcPr>
          <w:p>
            <w:pPr>
              <w:widowControl/>
              <w:jc w:val="left"/>
              <w:rPr>
                <w:rFonts w:cs="宋体" w:asciiTheme="minorEastAsia" w:hAnsiTheme="minorEastAsia"/>
                <w:color w:val="000000"/>
                <w:kern w:val="0"/>
                <w:szCs w:val="24"/>
              </w:rPr>
            </w:pP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执行计划的监控及分析</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对执行计划进行分析和监控，分析是否有缺失索引、隐式转换，提供异常告警。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851" w:type="dxa"/>
            <w:vMerge w:val="continue"/>
            <w:vAlign w:val="center"/>
          </w:tcPr>
          <w:p>
            <w:pPr>
              <w:widowControl/>
              <w:jc w:val="left"/>
              <w:rPr>
                <w:rFonts w:cs="宋体" w:asciiTheme="minorEastAsia" w:hAnsiTheme="minorEastAsia"/>
                <w:color w:val="000000"/>
                <w:kern w:val="0"/>
                <w:szCs w:val="24"/>
              </w:rPr>
            </w:pP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库对象的监控及分析</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包括：数据库文件（含Temp DB）的空间大小、存放路径、数据文件的增长；表的行数、是否缺失聚集索引、是否按旧版本的数据类型进行监控及分析，并提供异常告警。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trPr>
        <w:tc>
          <w:tcPr>
            <w:tcW w:w="851" w:type="dxa"/>
            <w:vMerge w:val="continue"/>
            <w:vAlign w:val="center"/>
          </w:tcPr>
          <w:p>
            <w:pPr>
              <w:widowControl/>
              <w:jc w:val="left"/>
              <w:rPr>
                <w:rFonts w:cs="宋体" w:asciiTheme="minorEastAsia" w:hAnsiTheme="minorEastAsia"/>
                <w:color w:val="000000"/>
                <w:kern w:val="0"/>
                <w:szCs w:val="24"/>
              </w:rPr>
            </w:pP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数据库日志的监控及分析</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包括：Autogrow、Login failed、Operating system error、I/O requests Deadlock encountered内容的监控及分析，并提供异常告警。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851" w:type="dxa"/>
            <w:vMerge w:val="continue"/>
            <w:vAlign w:val="center"/>
          </w:tcPr>
          <w:p>
            <w:pPr>
              <w:widowControl/>
              <w:jc w:val="left"/>
              <w:rPr>
                <w:rFonts w:cs="宋体" w:asciiTheme="minorEastAsia" w:hAnsiTheme="minorEastAsia"/>
                <w:color w:val="000000"/>
                <w:kern w:val="0"/>
                <w:szCs w:val="24"/>
              </w:rPr>
            </w:pP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数据库作业的监控及分析</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包括：作业执行成功与否、执行时间的监控及分析，并提供异常告警。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trPr>
        <w:tc>
          <w:tcPr>
            <w:tcW w:w="851" w:type="dxa"/>
            <w:vMerge w:val="continue"/>
            <w:vAlign w:val="center"/>
          </w:tcPr>
          <w:p>
            <w:pPr>
              <w:widowControl/>
              <w:jc w:val="left"/>
              <w:rPr>
                <w:rFonts w:cs="宋体" w:asciiTheme="minorEastAsia" w:hAnsiTheme="minorEastAsia"/>
                <w:color w:val="000000"/>
                <w:kern w:val="0"/>
                <w:szCs w:val="24"/>
              </w:rPr>
            </w:pP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备份的监控及分析</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包括：备份的开始时间、结束时间、备份类型、恢复模式、备份数据的大小进行监控及分析并提供异常告警。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851" w:type="dxa"/>
            <w:vMerge w:val="continue"/>
            <w:vAlign w:val="center"/>
          </w:tcPr>
          <w:p>
            <w:pPr>
              <w:widowControl/>
              <w:jc w:val="left"/>
              <w:rPr>
                <w:rFonts w:cs="宋体" w:asciiTheme="minorEastAsia" w:hAnsiTheme="minorEastAsia"/>
                <w:color w:val="000000"/>
                <w:kern w:val="0"/>
                <w:szCs w:val="24"/>
              </w:rPr>
            </w:pP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索引使用的监控及分析</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包括：缺失索引、无索引外键、没有使用索引的表、重复索引、老化的索引进行监控及分析，并提供异常告警，同时提供修改建议。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85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自动巡检</w:t>
            </w: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巡检报告</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对数据库的环境、性能、备份、高可用、安全、结构设计6大维度进行深度体检，自动导出word、pdf格式报告。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85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自动运维</w:t>
            </w: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自动运维</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借助数据分析，自动诊断数据库内部合理的配置、索引、执行计划，并自动生成优化的脚本；配置自动运维时，自动分析数据库的问题，自动生成解决策略，并选择空闲时间自动执行到数据库。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851" w:type="dxa"/>
            <w:vMerge w:val="restart"/>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产品自身安全</w:t>
            </w: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权限设计</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支持管理员权限设置和分权管理，系统默认设定系统管理员、用户管理员、系统审计员的三权分立功能，系统支持设定多种管理员、审计员角色，可以由审计员对管理员的操作进行审计记录。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851" w:type="dxa"/>
            <w:vMerge w:val="continue"/>
            <w:vAlign w:val="center"/>
          </w:tcPr>
          <w:p>
            <w:pPr>
              <w:widowControl/>
              <w:jc w:val="left"/>
              <w:rPr>
                <w:rFonts w:cs="宋体" w:asciiTheme="minorEastAsia" w:hAnsiTheme="minorEastAsia"/>
                <w:color w:val="000000"/>
                <w:kern w:val="0"/>
                <w:szCs w:val="24"/>
              </w:rPr>
            </w:pP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自身审计</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可以记录管理员在数据库审计产品中做的各种操作，确保自身操作的可追溯性。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1" w:type="dxa"/>
            <w:vMerge w:val="restart"/>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产品可管理性</w:t>
            </w: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界面可视化</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提供图形化的WEB页面，展示数据库的运行状况，提供手机短消息或微信故障通知，实现预警短消息提醒功能。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851" w:type="dxa"/>
            <w:vMerge w:val="continue"/>
            <w:vAlign w:val="center"/>
          </w:tcPr>
          <w:p>
            <w:pPr>
              <w:widowControl/>
              <w:jc w:val="left"/>
              <w:rPr>
                <w:rFonts w:cs="宋体" w:asciiTheme="minorEastAsia" w:hAnsiTheme="minorEastAsia"/>
                <w:color w:val="000000"/>
                <w:kern w:val="0"/>
                <w:szCs w:val="24"/>
              </w:rPr>
            </w:pP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B/S架构</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B/S架构，无需安装额外的软件就可以通过浏览器访问。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851" w:type="dxa"/>
            <w:vMerge w:val="continue"/>
            <w:vAlign w:val="center"/>
          </w:tcPr>
          <w:p>
            <w:pPr>
              <w:widowControl/>
              <w:jc w:val="left"/>
              <w:rPr>
                <w:rFonts w:cs="宋体" w:asciiTheme="minorEastAsia" w:hAnsiTheme="minorEastAsia"/>
                <w:color w:val="000000"/>
                <w:kern w:val="0"/>
                <w:szCs w:val="24"/>
              </w:rPr>
            </w:pP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产品升级</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支持通过定期或者需要时发布补丁包的方式对系统进行更新，补丁包通过界面浏览上传实现升级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51" w:type="dxa"/>
            <w:vMerge w:val="continue"/>
            <w:vAlign w:val="center"/>
          </w:tcPr>
          <w:p>
            <w:pPr>
              <w:widowControl/>
              <w:jc w:val="left"/>
              <w:rPr>
                <w:rFonts w:cs="宋体" w:asciiTheme="minorEastAsia" w:hAnsiTheme="minorEastAsia"/>
                <w:color w:val="000000"/>
                <w:kern w:val="0"/>
                <w:szCs w:val="24"/>
              </w:rPr>
            </w:pP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产品高可用性</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系统支持双机热备模式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trPr>
        <w:tc>
          <w:tcPr>
            <w:tcW w:w="851" w:type="dxa"/>
            <w:vMerge w:val="restart"/>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软件资质</w:t>
            </w: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原厂服务</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提供原厂一年（5×8小时）免费远程技术服务，发生重大故障时、快速优先响应，由微软认证的技术工程师进行远程紧急故障处理。每年提供4次现场巡检，并书面提供巡检报告，性能优化解决方案。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51" w:type="dxa"/>
            <w:vMerge w:val="continue"/>
            <w:vAlign w:val="center"/>
          </w:tcPr>
          <w:p>
            <w:pPr>
              <w:widowControl/>
              <w:jc w:val="left"/>
              <w:rPr>
                <w:rFonts w:cs="宋体" w:asciiTheme="minorEastAsia" w:hAnsiTheme="minorEastAsia"/>
                <w:color w:val="000000"/>
                <w:kern w:val="0"/>
                <w:szCs w:val="24"/>
              </w:rPr>
            </w:pPr>
          </w:p>
        </w:tc>
        <w:tc>
          <w:tcPr>
            <w:tcW w:w="1281"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原厂授权</w:t>
            </w:r>
          </w:p>
        </w:tc>
        <w:tc>
          <w:tcPr>
            <w:tcW w:w="6799" w:type="dxa"/>
            <w:shd w:val="clear" w:color="auto" w:fill="auto"/>
            <w:vAlign w:val="center"/>
          </w:tcPr>
          <w:p>
            <w:pPr>
              <w:widowControl/>
              <w:rPr>
                <w:rFonts w:cs="宋体" w:asciiTheme="minorEastAsia" w:hAnsiTheme="minorEastAsia"/>
                <w:color w:val="000000"/>
                <w:kern w:val="0"/>
                <w:szCs w:val="24"/>
              </w:rPr>
            </w:pPr>
            <w:r>
              <w:rPr>
                <w:rFonts w:hint="eastAsia" w:cs="宋体" w:asciiTheme="minorEastAsia" w:hAnsiTheme="minorEastAsia"/>
                <w:color w:val="000000"/>
                <w:kern w:val="0"/>
                <w:szCs w:val="24"/>
              </w:rPr>
              <w:t>本次授权监控3个数据库服务器或者实例</w:t>
            </w:r>
          </w:p>
        </w:tc>
      </w:tr>
    </w:tbl>
    <w:p>
      <w:pPr>
        <w:pStyle w:val="6"/>
        <w:numPr>
          <w:ilvl w:val="4"/>
          <w:numId w:val="10"/>
        </w:numPr>
      </w:pPr>
      <w:r>
        <w:rPr>
          <w:rFonts w:hint="eastAsia"/>
        </w:rPr>
        <w:t>数据库镜像容灾</w:t>
      </w:r>
    </w:p>
    <w:bookmarkEnd w:id="17"/>
    <w:tbl>
      <w:tblPr>
        <w:tblStyle w:val="28"/>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6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904" w:type="dxa"/>
            <w:shd w:val="clear" w:color="auto" w:fill="auto"/>
          </w:tcPr>
          <w:p>
            <w:pPr>
              <w:rPr>
                <w:rFonts w:asciiTheme="minorEastAsia" w:hAnsiTheme="minorEastAsia"/>
                <w:szCs w:val="24"/>
              </w:rPr>
            </w:pPr>
            <w:r>
              <w:rPr>
                <w:rFonts w:hint="eastAsia" w:asciiTheme="minorEastAsia" w:hAnsiTheme="minorEastAsia"/>
                <w:szCs w:val="24"/>
              </w:rPr>
              <w:t>功能及技术指标</w:t>
            </w:r>
          </w:p>
        </w:tc>
        <w:tc>
          <w:tcPr>
            <w:tcW w:w="6601" w:type="dxa"/>
            <w:shd w:val="clear" w:color="auto" w:fill="auto"/>
            <w:vAlign w:val="center"/>
          </w:tcPr>
          <w:p>
            <w:pPr>
              <w:rPr>
                <w:rFonts w:asciiTheme="minorEastAsia" w:hAnsiTheme="minorEastAsia"/>
                <w:szCs w:val="24"/>
              </w:rPr>
            </w:pPr>
            <w:r>
              <w:rPr>
                <w:rFonts w:hint="eastAsia" w:asciiTheme="minorEastAsia" w:hAnsiTheme="minorEastAsia"/>
                <w:szCs w:val="24"/>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904" w:type="dxa"/>
            <w:shd w:val="clear" w:color="auto" w:fill="auto"/>
            <w:vAlign w:val="center"/>
          </w:tcPr>
          <w:p>
            <w:pPr>
              <w:rPr>
                <w:rFonts w:asciiTheme="minorEastAsia" w:hAnsiTheme="minorEastAsia"/>
                <w:szCs w:val="24"/>
              </w:rPr>
            </w:pPr>
            <w:r>
              <w:rPr>
                <w:rFonts w:hint="eastAsia" w:asciiTheme="minorEastAsia" w:hAnsiTheme="minorEastAsia"/>
                <w:szCs w:val="24"/>
              </w:rPr>
              <w:t>系统要求</w:t>
            </w:r>
          </w:p>
        </w:tc>
        <w:tc>
          <w:tcPr>
            <w:tcW w:w="6601" w:type="dxa"/>
            <w:shd w:val="clear" w:color="auto" w:fill="auto"/>
            <w:vAlign w:val="center"/>
          </w:tcPr>
          <w:p>
            <w:pPr>
              <w:rPr>
                <w:rFonts w:asciiTheme="minorEastAsia" w:hAnsiTheme="minorEastAsia"/>
                <w:szCs w:val="24"/>
              </w:rPr>
            </w:pPr>
            <w:r>
              <w:rPr>
                <w:rFonts w:hint="eastAsia" w:asciiTheme="minorEastAsia" w:hAnsiTheme="minorEastAsia"/>
                <w:szCs w:val="24"/>
              </w:rPr>
              <w:t>要求所选数据库平台软件是专门针对微软SQL Server开发的数据库产品，与SQL Server结合紧密；在结构上，只需两（多）台运行SQL Server数据库的服务器即可组建，而无需增加其它硬件，如代理服务器、网关服务器、分发服务器等硬件，有效降低硬件投入成本。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904" w:type="dxa"/>
            <w:shd w:val="clear" w:color="auto" w:fill="auto"/>
            <w:vAlign w:val="center"/>
          </w:tcPr>
          <w:p>
            <w:pPr>
              <w:rPr>
                <w:rFonts w:asciiTheme="minorEastAsia" w:hAnsiTheme="minorEastAsia"/>
                <w:szCs w:val="24"/>
              </w:rPr>
            </w:pPr>
            <w:r>
              <w:rPr>
                <w:rFonts w:hint="eastAsia" w:asciiTheme="minorEastAsia" w:hAnsiTheme="minorEastAsia"/>
                <w:szCs w:val="24"/>
              </w:rPr>
              <w:t>易用性</w:t>
            </w:r>
          </w:p>
        </w:tc>
        <w:tc>
          <w:tcPr>
            <w:tcW w:w="6601" w:type="dxa"/>
            <w:shd w:val="clear" w:color="auto" w:fill="auto"/>
            <w:vAlign w:val="center"/>
          </w:tcPr>
          <w:p>
            <w:pPr>
              <w:rPr>
                <w:rFonts w:asciiTheme="minorEastAsia" w:hAnsiTheme="minorEastAsia"/>
                <w:szCs w:val="24"/>
              </w:rPr>
            </w:pPr>
            <w:bookmarkStart w:id="18" w:name="_Hlk14944891"/>
            <w:r>
              <w:rPr>
                <w:rFonts w:hint="eastAsia" w:asciiTheme="minorEastAsia" w:hAnsiTheme="minorEastAsia"/>
                <w:szCs w:val="24"/>
              </w:rPr>
              <w:t>要求数据库平台软件简单易用、对应用完全透明，不会对现有的数据库及应用程序进行修改，不改变用户的使用习惯。</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904" w:type="dxa"/>
            <w:shd w:val="clear" w:color="auto" w:fill="auto"/>
            <w:vAlign w:val="center"/>
          </w:tcPr>
          <w:p>
            <w:pPr>
              <w:rPr>
                <w:rFonts w:asciiTheme="minorEastAsia" w:hAnsiTheme="minorEastAsia"/>
                <w:szCs w:val="24"/>
              </w:rPr>
            </w:pPr>
            <w:r>
              <w:rPr>
                <w:rFonts w:hint="eastAsia" w:asciiTheme="minorEastAsia" w:hAnsiTheme="minorEastAsia"/>
                <w:szCs w:val="24"/>
              </w:rPr>
              <w:t>数据库的高可用性</w:t>
            </w:r>
          </w:p>
        </w:tc>
        <w:tc>
          <w:tcPr>
            <w:tcW w:w="6601" w:type="dxa"/>
            <w:shd w:val="clear" w:color="auto" w:fill="auto"/>
            <w:vAlign w:val="center"/>
          </w:tcPr>
          <w:p>
            <w:pPr>
              <w:rPr>
                <w:rFonts w:asciiTheme="minorEastAsia" w:hAnsiTheme="minorEastAsia"/>
                <w:szCs w:val="24"/>
              </w:rPr>
            </w:pPr>
            <w:r>
              <w:rPr>
                <w:rFonts w:hint="eastAsia" w:asciiTheme="minorEastAsia" w:hAnsiTheme="minorEastAsia"/>
                <w:szCs w:val="24"/>
              </w:rPr>
              <w:t>要求组建的数据库服务器组，当某一台服务器出现故障时，另一节点可以自动接管故障节点的业务，保证应用的连续性；要求发生故障时的实时响应切换时间在10s以内，同时提供多种故障通知机制，如手机短信、邮件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904" w:type="dxa"/>
            <w:shd w:val="clear" w:color="auto" w:fill="auto"/>
            <w:vAlign w:val="center"/>
          </w:tcPr>
          <w:p>
            <w:pPr>
              <w:rPr>
                <w:rFonts w:asciiTheme="minorEastAsia" w:hAnsiTheme="minorEastAsia"/>
                <w:szCs w:val="24"/>
              </w:rPr>
            </w:pPr>
            <w:r>
              <w:rPr>
                <w:rFonts w:hint="eastAsia" w:asciiTheme="minorEastAsia" w:hAnsiTheme="minorEastAsia"/>
                <w:szCs w:val="24"/>
              </w:rPr>
              <w:t>数据安全性</w:t>
            </w:r>
          </w:p>
        </w:tc>
        <w:tc>
          <w:tcPr>
            <w:tcW w:w="6601" w:type="dxa"/>
            <w:shd w:val="clear" w:color="auto" w:fill="auto"/>
            <w:vAlign w:val="center"/>
          </w:tcPr>
          <w:p>
            <w:pPr>
              <w:rPr>
                <w:rFonts w:asciiTheme="minorEastAsia" w:hAnsiTheme="minorEastAsia"/>
                <w:szCs w:val="24"/>
              </w:rPr>
            </w:pPr>
            <w:r>
              <w:rPr>
                <w:rFonts w:hint="eastAsia" w:asciiTheme="minorEastAsia" w:hAnsiTheme="minorEastAsia"/>
                <w:szCs w:val="24"/>
              </w:rPr>
              <w:t>采用非共享存储架构设计，数据必须放在独立的存储介质中，保证数据至少两份及数据安全。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904" w:type="dxa"/>
            <w:shd w:val="clear" w:color="auto" w:fill="auto"/>
            <w:vAlign w:val="center"/>
          </w:tcPr>
          <w:p>
            <w:pPr>
              <w:rPr>
                <w:rFonts w:asciiTheme="minorEastAsia" w:hAnsiTheme="minorEastAsia"/>
                <w:szCs w:val="24"/>
              </w:rPr>
            </w:pPr>
            <w:r>
              <w:rPr>
                <w:rFonts w:hint="eastAsia" w:asciiTheme="minorEastAsia" w:hAnsiTheme="minorEastAsia"/>
                <w:szCs w:val="24"/>
              </w:rPr>
              <w:t>故障告警</w:t>
            </w:r>
          </w:p>
        </w:tc>
        <w:tc>
          <w:tcPr>
            <w:tcW w:w="6601" w:type="dxa"/>
            <w:shd w:val="clear" w:color="auto" w:fill="auto"/>
            <w:vAlign w:val="center"/>
          </w:tcPr>
          <w:p>
            <w:pPr>
              <w:rPr>
                <w:rFonts w:asciiTheme="minorEastAsia" w:hAnsiTheme="minorEastAsia"/>
                <w:szCs w:val="24"/>
              </w:rPr>
            </w:pPr>
            <w:r>
              <w:rPr>
                <w:rFonts w:hint="eastAsia" w:asciiTheme="minorEastAsia" w:hAnsiTheme="minorEastAsia"/>
                <w:szCs w:val="24"/>
              </w:rPr>
              <w:t>同时提供多种故障通知机制，如手机短信、邮件通知等。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904" w:type="dxa"/>
            <w:shd w:val="clear" w:color="auto" w:fill="auto"/>
            <w:vAlign w:val="center"/>
          </w:tcPr>
          <w:p>
            <w:pPr>
              <w:rPr>
                <w:rFonts w:asciiTheme="minorEastAsia" w:hAnsiTheme="minorEastAsia"/>
                <w:szCs w:val="24"/>
              </w:rPr>
            </w:pPr>
            <w:r>
              <w:rPr>
                <w:rFonts w:hint="eastAsia" w:asciiTheme="minorEastAsia" w:hAnsiTheme="minorEastAsia"/>
                <w:szCs w:val="24"/>
              </w:rPr>
              <w:t>数据同步方式</w:t>
            </w:r>
          </w:p>
        </w:tc>
        <w:tc>
          <w:tcPr>
            <w:tcW w:w="6601" w:type="dxa"/>
            <w:shd w:val="clear" w:color="auto" w:fill="auto"/>
            <w:vAlign w:val="center"/>
          </w:tcPr>
          <w:p>
            <w:pPr>
              <w:rPr>
                <w:rFonts w:asciiTheme="minorEastAsia" w:hAnsiTheme="minorEastAsia"/>
                <w:szCs w:val="24"/>
              </w:rPr>
            </w:pPr>
            <w:r>
              <w:rPr>
                <w:rFonts w:hint="eastAsia" w:asciiTheme="minorEastAsia" w:hAnsiTheme="minorEastAsia"/>
                <w:szCs w:val="24"/>
              </w:rPr>
              <w:t>支持实时同步与异步同步两种模式。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904" w:type="dxa"/>
            <w:shd w:val="clear" w:color="auto" w:fill="auto"/>
            <w:vAlign w:val="center"/>
          </w:tcPr>
          <w:p>
            <w:pPr>
              <w:rPr>
                <w:rFonts w:asciiTheme="minorEastAsia" w:hAnsiTheme="minorEastAsia"/>
                <w:szCs w:val="24"/>
              </w:rPr>
            </w:pPr>
            <w:r>
              <w:rPr>
                <w:rFonts w:hint="eastAsia" w:asciiTheme="minorEastAsia" w:hAnsiTheme="minorEastAsia"/>
                <w:szCs w:val="24"/>
              </w:rPr>
              <w:t>同步作业、SQL帐号</w:t>
            </w:r>
          </w:p>
        </w:tc>
        <w:tc>
          <w:tcPr>
            <w:tcW w:w="6601" w:type="dxa"/>
            <w:shd w:val="clear" w:color="auto" w:fill="auto"/>
            <w:vAlign w:val="center"/>
          </w:tcPr>
          <w:p>
            <w:pPr>
              <w:rPr>
                <w:rFonts w:asciiTheme="minorEastAsia" w:hAnsiTheme="minorEastAsia"/>
                <w:szCs w:val="24"/>
              </w:rPr>
            </w:pPr>
            <w:r>
              <w:rPr>
                <w:rFonts w:hint="eastAsia" w:asciiTheme="minorEastAsia" w:hAnsiTheme="minorEastAsia"/>
                <w:szCs w:val="24"/>
              </w:rPr>
              <w:t>支持各集群节点业务作业配置同步，</w:t>
            </w:r>
          </w:p>
          <w:p>
            <w:pPr>
              <w:rPr>
                <w:rFonts w:asciiTheme="minorEastAsia" w:hAnsiTheme="minorEastAsia"/>
                <w:szCs w:val="24"/>
              </w:rPr>
            </w:pPr>
            <w:r>
              <w:rPr>
                <w:rFonts w:hint="eastAsia" w:asciiTheme="minorEastAsia" w:hAnsiTheme="minorEastAsia"/>
                <w:szCs w:val="24"/>
              </w:rPr>
              <w:t>支持各集群节点SQL</w:t>
            </w:r>
            <w:r>
              <w:rPr>
                <w:rFonts w:asciiTheme="minorEastAsia" w:hAnsiTheme="minorEastAsia"/>
                <w:szCs w:val="24"/>
              </w:rPr>
              <w:t>登陆帐号同步。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904" w:type="dxa"/>
            <w:shd w:val="clear" w:color="auto" w:fill="auto"/>
            <w:vAlign w:val="center"/>
          </w:tcPr>
          <w:p>
            <w:pPr>
              <w:rPr>
                <w:rFonts w:asciiTheme="minorEastAsia" w:hAnsiTheme="minorEastAsia"/>
                <w:szCs w:val="24"/>
              </w:rPr>
            </w:pPr>
            <w:r>
              <w:rPr>
                <w:rFonts w:hint="eastAsia" w:asciiTheme="minorEastAsia" w:hAnsiTheme="minorEastAsia"/>
                <w:szCs w:val="24"/>
              </w:rPr>
              <w:t>集群所有节点可查询</w:t>
            </w:r>
          </w:p>
        </w:tc>
        <w:tc>
          <w:tcPr>
            <w:tcW w:w="6601" w:type="dxa"/>
            <w:shd w:val="clear" w:color="auto" w:fill="auto"/>
            <w:vAlign w:val="center"/>
          </w:tcPr>
          <w:p>
            <w:pPr>
              <w:rPr>
                <w:rFonts w:asciiTheme="minorEastAsia" w:hAnsiTheme="minorEastAsia"/>
                <w:szCs w:val="24"/>
              </w:rPr>
            </w:pPr>
            <w:r>
              <w:rPr>
                <w:rFonts w:hint="eastAsia" w:asciiTheme="minorEastAsia" w:hAnsiTheme="minorEastAsia"/>
                <w:szCs w:val="24"/>
              </w:rPr>
              <w:t>集群的所有节点可以随时进行查询操作，无需特殊处理。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904" w:type="dxa"/>
            <w:vMerge w:val="restart"/>
            <w:shd w:val="clear" w:color="auto" w:fill="auto"/>
            <w:vAlign w:val="center"/>
          </w:tcPr>
          <w:p>
            <w:pPr>
              <w:rPr>
                <w:rFonts w:asciiTheme="minorEastAsia" w:hAnsiTheme="minorEastAsia"/>
                <w:szCs w:val="24"/>
              </w:rPr>
            </w:pPr>
            <w:r>
              <w:rPr>
                <w:rFonts w:hint="eastAsia" w:asciiTheme="minorEastAsia" w:hAnsiTheme="minorEastAsia"/>
                <w:szCs w:val="24"/>
              </w:rPr>
              <w:t>数据库负载功能</w:t>
            </w:r>
          </w:p>
        </w:tc>
        <w:tc>
          <w:tcPr>
            <w:tcW w:w="6601" w:type="dxa"/>
            <w:shd w:val="clear" w:color="auto" w:fill="auto"/>
            <w:vAlign w:val="center"/>
          </w:tcPr>
          <w:p>
            <w:pPr>
              <w:rPr>
                <w:rFonts w:asciiTheme="minorEastAsia" w:hAnsiTheme="minorEastAsia"/>
                <w:szCs w:val="24"/>
              </w:rPr>
            </w:pPr>
            <w:r>
              <w:rPr>
                <w:rFonts w:hint="eastAsia" w:asciiTheme="minorEastAsia" w:hAnsiTheme="minorEastAsia"/>
                <w:szCs w:val="24"/>
              </w:rPr>
              <w:t>要求实现数据库级别来构建群组，群组中各数据库具有同等地位，方便管理。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904" w:type="dxa"/>
            <w:vMerge w:val="continue"/>
            <w:vAlign w:val="center"/>
          </w:tcPr>
          <w:p>
            <w:pPr>
              <w:rPr>
                <w:rFonts w:asciiTheme="minorEastAsia" w:hAnsiTheme="minorEastAsia"/>
                <w:szCs w:val="24"/>
              </w:rPr>
            </w:pPr>
          </w:p>
        </w:tc>
        <w:tc>
          <w:tcPr>
            <w:tcW w:w="6601" w:type="dxa"/>
            <w:shd w:val="clear" w:color="auto" w:fill="auto"/>
            <w:vAlign w:val="center"/>
          </w:tcPr>
          <w:p>
            <w:pPr>
              <w:rPr>
                <w:rFonts w:asciiTheme="minorEastAsia" w:hAnsiTheme="minorEastAsia"/>
                <w:szCs w:val="24"/>
              </w:rPr>
            </w:pPr>
            <w:r>
              <w:rPr>
                <w:rFonts w:hint="eastAsia" w:asciiTheme="minorEastAsia" w:hAnsiTheme="minorEastAsia"/>
                <w:szCs w:val="24"/>
              </w:rPr>
              <w:t>针对查询操作提供负载均衡能力，将应用程序的查询访问在多个节点间有效的均衡负载。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904" w:type="dxa"/>
            <w:vMerge w:val="continue"/>
            <w:vAlign w:val="center"/>
          </w:tcPr>
          <w:p>
            <w:pPr>
              <w:rPr>
                <w:rFonts w:asciiTheme="minorEastAsia" w:hAnsiTheme="minorEastAsia"/>
                <w:szCs w:val="24"/>
              </w:rPr>
            </w:pPr>
          </w:p>
        </w:tc>
        <w:tc>
          <w:tcPr>
            <w:tcW w:w="6601" w:type="dxa"/>
            <w:shd w:val="clear" w:color="auto" w:fill="auto"/>
            <w:vAlign w:val="center"/>
          </w:tcPr>
          <w:p>
            <w:pPr>
              <w:rPr>
                <w:rFonts w:asciiTheme="minorEastAsia" w:hAnsiTheme="minorEastAsia"/>
                <w:szCs w:val="24"/>
              </w:rPr>
            </w:pPr>
            <w:r>
              <w:rPr>
                <w:rFonts w:asciiTheme="minorEastAsia" w:hAnsiTheme="minorEastAsia"/>
                <w:szCs w:val="24"/>
              </w:rPr>
              <w:t>通过制定</w:t>
            </w:r>
            <w:r>
              <w:rPr>
                <w:rFonts w:hint="eastAsia" w:asciiTheme="minorEastAsia" w:hAnsiTheme="minorEastAsia"/>
                <w:szCs w:val="24"/>
              </w:rPr>
              <w:t>策略重定向SQL，将报表类及第三访查询接口指派到集群任意节点，降低主库服务器性能压力，透明实现读写分离操作，无需修改程序。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904" w:type="dxa"/>
            <w:shd w:val="clear" w:color="auto" w:fill="auto"/>
            <w:vAlign w:val="center"/>
          </w:tcPr>
          <w:p>
            <w:pPr>
              <w:rPr>
                <w:rFonts w:asciiTheme="minorEastAsia" w:hAnsiTheme="minorEastAsia"/>
                <w:szCs w:val="24"/>
              </w:rPr>
            </w:pPr>
            <w:r>
              <w:rPr>
                <w:rFonts w:hint="eastAsia" w:asciiTheme="minorEastAsia" w:hAnsiTheme="minorEastAsia"/>
                <w:szCs w:val="24"/>
              </w:rPr>
              <w:t>弹性扩展</w:t>
            </w:r>
          </w:p>
        </w:tc>
        <w:tc>
          <w:tcPr>
            <w:tcW w:w="6601" w:type="dxa"/>
            <w:shd w:val="clear" w:color="auto" w:fill="auto"/>
            <w:vAlign w:val="center"/>
          </w:tcPr>
          <w:p>
            <w:pPr>
              <w:rPr>
                <w:rFonts w:asciiTheme="minorEastAsia" w:hAnsiTheme="minorEastAsia"/>
                <w:szCs w:val="24"/>
              </w:rPr>
            </w:pPr>
            <w:r>
              <w:rPr>
                <w:rFonts w:hint="eastAsia" w:asciiTheme="minorEastAsia" w:hAnsiTheme="minorEastAsia"/>
                <w:szCs w:val="24"/>
              </w:rPr>
              <w:t>可以通过增加服务器的数量来增加数据库的处理能力，最多支持</w:t>
            </w:r>
            <w:r>
              <w:rPr>
                <w:rFonts w:asciiTheme="minorEastAsia" w:hAnsiTheme="minorEastAsia"/>
                <w:szCs w:val="24"/>
              </w:rPr>
              <w:t>8节点</w:t>
            </w:r>
            <w:r>
              <w:rPr>
                <w:rFonts w:hint="eastAsia" w:asciiTheme="minorEastAsia" w:hAnsiTheme="minorEastAsia"/>
                <w:szCs w:val="24"/>
              </w:rPr>
              <w:t>，实现简单扩展，提高设备利用率。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904" w:type="dxa"/>
            <w:shd w:val="clear" w:color="auto" w:fill="auto"/>
            <w:vAlign w:val="center"/>
          </w:tcPr>
          <w:p>
            <w:pPr>
              <w:rPr>
                <w:rFonts w:asciiTheme="minorEastAsia" w:hAnsiTheme="minorEastAsia"/>
                <w:szCs w:val="24"/>
              </w:rPr>
            </w:pPr>
            <w:r>
              <w:rPr>
                <w:rFonts w:hint="eastAsia" w:asciiTheme="minorEastAsia" w:hAnsiTheme="minorEastAsia"/>
                <w:szCs w:val="24"/>
              </w:rPr>
              <w:t>可靠性</w:t>
            </w:r>
          </w:p>
        </w:tc>
        <w:tc>
          <w:tcPr>
            <w:tcW w:w="6601" w:type="dxa"/>
            <w:shd w:val="clear" w:color="auto" w:fill="auto"/>
            <w:vAlign w:val="center"/>
          </w:tcPr>
          <w:p>
            <w:pPr>
              <w:rPr>
                <w:rFonts w:asciiTheme="minorEastAsia" w:hAnsiTheme="minorEastAsia"/>
                <w:szCs w:val="24"/>
              </w:rPr>
            </w:pPr>
            <w:r>
              <w:rPr>
                <w:rFonts w:hint="eastAsia" w:asciiTheme="minorEastAsia" w:hAnsiTheme="minorEastAsia"/>
                <w:szCs w:val="24"/>
              </w:rPr>
              <w:t>服务器群组中任何一台服务器故障不影响业务正常使用，节点修复后可以自动加入群组中继续工作。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904" w:type="dxa"/>
            <w:vMerge w:val="restart"/>
            <w:shd w:val="clear" w:color="auto" w:fill="auto"/>
            <w:vAlign w:val="center"/>
          </w:tcPr>
          <w:p>
            <w:pPr>
              <w:rPr>
                <w:rFonts w:asciiTheme="minorEastAsia" w:hAnsiTheme="minorEastAsia"/>
                <w:szCs w:val="24"/>
              </w:rPr>
            </w:pPr>
            <w:r>
              <w:rPr>
                <w:rFonts w:hint="eastAsia" w:asciiTheme="minorEastAsia" w:hAnsiTheme="minorEastAsia"/>
                <w:szCs w:val="24"/>
              </w:rPr>
              <w:t>配置管理</w:t>
            </w:r>
          </w:p>
        </w:tc>
        <w:tc>
          <w:tcPr>
            <w:tcW w:w="6601" w:type="dxa"/>
            <w:shd w:val="clear" w:color="auto" w:fill="auto"/>
            <w:vAlign w:val="center"/>
          </w:tcPr>
          <w:p>
            <w:pPr>
              <w:rPr>
                <w:rFonts w:asciiTheme="minorEastAsia" w:hAnsiTheme="minorEastAsia"/>
                <w:szCs w:val="24"/>
              </w:rPr>
            </w:pPr>
            <w:r>
              <w:rPr>
                <w:rFonts w:hint="eastAsia" w:asciiTheme="minorEastAsia" w:hAnsiTheme="minorEastAsia"/>
                <w:szCs w:val="24"/>
              </w:rPr>
              <w:t>要求对应用程序完全透明，提供唯一的IP地址及端口供应用程序访问。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904" w:type="dxa"/>
            <w:vMerge w:val="continue"/>
            <w:vAlign w:val="center"/>
          </w:tcPr>
          <w:p>
            <w:pPr>
              <w:rPr>
                <w:rFonts w:asciiTheme="minorEastAsia" w:hAnsiTheme="minorEastAsia"/>
                <w:szCs w:val="24"/>
              </w:rPr>
            </w:pPr>
          </w:p>
        </w:tc>
        <w:tc>
          <w:tcPr>
            <w:tcW w:w="6601" w:type="dxa"/>
            <w:shd w:val="clear" w:color="auto" w:fill="auto"/>
            <w:vAlign w:val="center"/>
          </w:tcPr>
          <w:p>
            <w:pPr>
              <w:rPr>
                <w:rFonts w:asciiTheme="minorEastAsia" w:hAnsiTheme="minorEastAsia"/>
                <w:szCs w:val="24"/>
              </w:rPr>
            </w:pPr>
            <w:r>
              <w:rPr>
                <w:rFonts w:hint="eastAsia" w:asciiTheme="minorEastAsia" w:hAnsiTheme="minorEastAsia"/>
                <w:szCs w:val="24"/>
              </w:rPr>
              <w:t>具有图形化的管理工具，可以轻松的实现数据同步、节点扩展、负载设置、日志记录、邮件通知以及更加及时的短信通知等操作。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904" w:type="dxa"/>
            <w:vAlign w:val="center"/>
          </w:tcPr>
          <w:p>
            <w:pPr>
              <w:rPr>
                <w:rFonts w:asciiTheme="minorEastAsia" w:hAnsiTheme="minorEastAsia"/>
                <w:szCs w:val="24"/>
              </w:rPr>
            </w:pPr>
            <w:r>
              <w:rPr>
                <w:rFonts w:hint="eastAsia" w:asciiTheme="minorEastAsia" w:hAnsiTheme="minorEastAsia"/>
                <w:szCs w:val="24"/>
              </w:rPr>
              <w:t>技术响应保障</w:t>
            </w:r>
          </w:p>
        </w:tc>
        <w:tc>
          <w:tcPr>
            <w:tcW w:w="6601" w:type="dxa"/>
            <w:shd w:val="clear" w:color="auto" w:fill="auto"/>
            <w:vAlign w:val="center"/>
          </w:tcPr>
          <w:p>
            <w:pPr>
              <w:rPr>
                <w:rFonts w:asciiTheme="minorEastAsia" w:hAnsiTheme="minorEastAsia"/>
                <w:szCs w:val="24"/>
              </w:rPr>
            </w:pPr>
            <w:r>
              <w:rPr>
                <w:rFonts w:hint="eastAsia" w:asciiTheme="minorEastAsia" w:hAnsiTheme="minorEastAsia"/>
                <w:szCs w:val="24"/>
              </w:rPr>
              <w:t>提供原厂一年（5*8小时）免费远程服务，发生重大故障时、快速优先响应，由微软认证的技术工程师进行远程紧急故障处理。</w:t>
            </w:r>
            <w:r>
              <w:rPr>
                <w:rFonts w:asciiTheme="minorEastAsia" w:hAnsiTheme="minor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04" w:type="dxa"/>
            <w:vAlign w:val="center"/>
          </w:tcPr>
          <w:p>
            <w:pPr>
              <w:rPr>
                <w:rFonts w:asciiTheme="minorEastAsia" w:hAnsiTheme="minorEastAsia"/>
                <w:szCs w:val="24"/>
              </w:rPr>
            </w:pPr>
            <w:r>
              <w:rPr>
                <w:rFonts w:hint="eastAsia" w:asciiTheme="minorEastAsia" w:hAnsiTheme="minorEastAsia"/>
                <w:szCs w:val="24"/>
              </w:rPr>
              <w:t>授权个数</w:t>
            </w:r>
          </w:p>
        </w:tc>
        <w:tc>
          <w:tcPr>
            <w:tcW w:w="6601" w:type="dxa"/>
            <w:shd w:val="clear" w:color="auto" w:fill="auto"/>
            <w:vAlign w:val="center"/>
          </w:tcPr>
          <w:p>
            <w:pPr>
              <w:rPr>
                <w:rFonts w:asciiTheme="minorEastAsia" w:hAnsiTheme="minorEastAsia"/>
                <w:szCs w:val="24"/>
              </w:rPr>
            </w:pPr>
            <w:r>
              <w:rPr>
                <w:rFonts w:hint="eastAsia" w:asciiTheme="minorEastAsia" w:hAnsiTheme="minorEastAsia"/>
                <w:szCs w:val="24"/>
              </w:rPr>
              <w:t>本次项目提供</w:t>
            </w:r>
            <w:r>
              <w:rPr>
                <w:rFonts w:asciiTheme="minorEastAsia" w:hAnsiTheme="minorEastAsia"/>
                <w:szCs w:val="24"/>
              </w:rPr>
              <w:t>2套数据库</w:t>
            </w:r>
            <w:r>
              <w:rPr>
                <w:rFonts w:hint="eastAsia" w:asciiTheme="minorEastAsia" w:hAnsiTheme="minorEastAsia"/>
                <w:szCs w:val="24"/>
              </w:rPr>
              <w:t>授权许可。</w:t>
            </w:r>
          </w:p>
        </w:tc>
      </w:tr>
    </w:tbl>
    <w:p/>
    <w:p>
      <w:pPr>
        <w:pStyle w:val="5"/>
        <w:numPr>
          <w:ilvl w:val="3"/>
          <w:numId w:val="10"/>
        </w:numPr>
      </w:pPr>
      <w:r>
        <w:rPr>
          <w:rFonts w:hint="eastAsia"/>
        </w:rPr>
        <w:t>软件参数</w:t>
      </w:r>
    </w:p>
    <w:p>
      <w:pPr>
        <w:pStyle w:val="6"/>
        <w:numPr>
          <w:ilvl w:val="4"/>
          <w:numId w:val="10"/>
        </w:numPr>
      </w:pPr>
      <w:r>
        <w:rPr>
          <w:rFonts w:hint="eastAsia"/>
        </w:rPr>
        <w:t>临床管理</w:t>
      </w:r>
    </w:p>
    <w:p>
      <w:pPr>
        <w:pStyle w:val="7"/>
        <w:numPr>
          <w:ilvl w:val="5"/>
          <w:numId w:val="10"/>
        </w:numPr>
      </w:pPr>
      <w:r>
        <w:rPr>
          <w:rFonts w:hint="eastAsia"/>
        </w:rPr>
        <w:t>不良事件管理系统</w:t>
      </w:r>
    </w:p>
    <w:p>
      <w:pPr>
        <w:pStyle w:val="8"/>
        <w:numPr>
          <w:ilvl w:val="6"/>
          <w:numId w:val="13"/>
        </w:numPr>
        <w:ind w:left="0" w:firstLine="0"/>
      </w:pPr>
      <w:r>
        <w:rPr>
          <w:rFonts w:hint="eastAsia"/>
        </w:rPr>
        <w:t>不良事件工作台</w:t>
      </w:r>
    </w:p>
    <w:p>
      <w:pPr>
        <w:pStyle w:val="42"/>
        <w:numPr>
          <w:ilvl w:val="0"/>
          <w:numId w:val="14"/>
        </w:numPr>
        <w:adjustRightInd/>
        <w:ind w:firstLineChars="0"/>
        <w:rPr>
          <w:rFonts w:ascii="宋体" w:hAnsi="宋体"/>
          <w:color w:val="000000"/>
        </w:rPr>
      </w:pPr>
      <w:r>
        <w:rPr>
          <w:rFonts w:hint="eastAsia" w:ascii="宋体" w:hAnsi="宋体"/>
          <w:color w:val="000000"/>
        </w:rPr>
        <w:t>系统为全院不良事件提供统一的管理工作台，包括事件上报及处置、表单流程及权限配置、临床数据调用、查询统计。</w:t>
      </w:r>
    </w:p>
    <w:p>
      <w:pPr>
        <w:pStyle w:val="63"/>
        <w:numPr>
          <w:ilvl w:val="0"/>
          <w:numId w:val="15"/>
        </w:numPr>
        <w:spacing w:before="46" w:after="93"/>
        <w:ind w:firstLineChars="0"/>
        <w:rPr>
          <w:b/>
        </w:rPr>
      </w:pPr>
      <w:r>
        <w:rPr>
          <w:rFonts w:hint="eastAsia"/>
          <w:b/>
        </w:rPr>
        <w:t>工作流管理</w:t>
      </w:r>
    </w:p>
    <w:p>
      <w:pPr>
        <w:pStyle w:val="42"/>
        <w:numPr>
          <w:ilvl w:val="0"/>
          <w:numId w:val="14"/>
        </w:numPr>
        <w:adjustRightInd/>
        <w:ind w:firstLineChars="0"/>
        <w:rPr>
          <w:rFonts w:ascii="宋体" w:hAnsi="宋体"/>
          <w:color w:val="000000"/>
        </w:rPr>
      </w:pPr>
      <w:r>
        <w:rPr>
          <w:rFonts w:hint="eastAsia" w:ascii="宋体" w:hAnsi="宋体"/>
          <w:color w:val="000000"/>
        </w:rPr>
        <w:t>支持对用户信息、角色、病区、科室权限进行维护。</w:t>
      </w:r>
    </w:p>
    <w:p>
      <w:pPr>
        <w:pStyle w:val="42"/>
        <w:numPr>
          <w:ilvl w:val="0"/>
          <w:numId w:val="14"/>
        </w:numPr>
        <w:adjustRightInd/>
        <w:ind w:firstLineChars="0"/>
        <w:rPr>
          <w:rFonts w:ascii="宋体" w:hAnsi="宋体"/>
          <w:color w:val="000000"/>
        </w:rPr>
      </w:pPr>
      <w:r>
        <w:rPr>
          <w:rFonts w:hint="eastAsia" w:ascii="宋体" w:hAnsi="宋体"/>
          <w:color w:val="000000"/>
        </w:rPr>
        <w:t>支持在其他系统内直接打开不良事件系统进行操作，包括住院医生站、住院护士站。</w:t>
      </w:r>
    </w:p>
    <w:p>
      <w:pPr>
        <w:pStyle w:val="42"/>
        <w:numPr>
          <w:ilvl w:val="0"/>
          <w:numId w:val="14"/>
        </w:numPr>
        <w:adjustRightInd/>
        <w:ind w:firstLineChars="0"/>
        <w:rPr>
          <w:rFonts w:ascii="宋体" w:hAnsi="宋体"/>
          <w:color w:val="000000"/>
        </w:rPr>
      </w:pPr>
      <w:r>
        <w:rPr>
          <w:rFonts w:ascii="宋体" w:hAnsi="宋体"/>
          <w:color w:val="000000"/>
        </w:rPr>
        <w:t>支持对事件分类、表单内容、基础字典</w:t>
      </w:r>
      <w:r>
        <w:rPr>
          <w:rFonts w:hint="eastAsia" w:ascii="宋体" w:hAnsi="宋体"/>
          <w:color w:val="000000"/>
        </w:rPr>
        <w:t>调整</w:t>
      </w:r>
      <w:r>
        <w:rPr>
          <w:rFonts w:ascii="宋体" w:hAnsi="宋体"/>
          <w:color w:val="000000"/>
        </w:rPr>
        <w:t>维护，</w:t>
      </w:r>
      <w:r>
        <w:rPr>
          <w:rFonts w:hint="eastAsia" w:ascii="宋体" w:hAnsi="宋体"/>
          <w:color w:val="000000"/>
        </w:rPr>
        <w:t>支持</w:t>
      </w:r>
      <w:r>
        <w:rPr>
          <w:rFonts w:ascii="宋体" w:hAnsi="宋体"/>
          <w:color w:val="000000"/>
        </w:rPr>
        <w:t>可视化表单配置。</w:t>
      </w:r>
    </w:p>
    <w:p>
      <w:pPr>
        <w:pStyle w:val="42"/>
        <w:numPr>
          <w:ilvl w:val="0"/>
          <w:numId w:val="14"/>
        </w:numPr>
        <w:adjustRightInd/>
        <w:ind w:firstLineChars="0"/>
        <w:rPr>
          <w:rFonts w:ascii="宋体" w:hAnsi="宋体"/>
          <w:color w:val="000000"/>
        </w:rPr>
      </w:pPr>
      <w:r>
        <w:rPr>
          <w:rFonts w:ascii="宋体" w:hAnsi="宋体"/>
          <w:color w:val="000000"/>
        </w:rPr>
        <w:t>支持对上报流程、流程按钮、</w:t>
      </w:r>
      <w:r>
        <w:rPr>
          <w:rFonts w:hint="eastAsia" w:ascii="宋体" w:hAnsi="宋体"/>
          <w:color w:val="000000"/>
        </w:rPr>
        <w:t>表单模块编辑</w:t>
      </w:r>
      <w:r>
        <w:rPr>
          <w:rFonts w:ascii="宋体" w:hAnsi="宋体"/>
          <w:color w:val="000000"/>
        </w:rPr>
        <w:t>权限维护，</w:t>
      </w:r>
      <w:r>
        <w:rPr>
          <w:rFonts w:hint="eastAsia" w:ascii="宋体" w:hAnsi="宋体"/>
          <w:color w:val="000000"/>
        </w:rPr>
        <w:t>支持</w:t>
      </w:r>
      <w:r>
        <w:rPr>
          <w:rFonts w:ascii="宋体" w:hAnsi="宋体"/>
          <w:color w:val="000000"/>
        </w:rPr>
        <w:t>可视化流程配置。</w:t>
      </w:r>
    </w:p>
    <w:p>
      <w:pPr>
        <w:pStyle w:val="63"/>
        <w:numPr>
          <w:ilvl w:val="0"/>
          <w:numId w:val="15"/>
        </w:numPr>
        <w:spacing w:before="46" w:after="93"/>
        <w:ind w:firstLineChars="0"/>
        <w:rPr>
          <w:b/>
        </w:rPr>
      </w:pPr>
      <w:r>
        <w:rPr>
          <w:rFonts w:hint="eastAsia"/>
          <w:b/>
        </w:rPr>
        <w:t>事件填报</w:t>
      </w:r>
    </w:p>
    <w:p>
      <w:pPr>
        <w:pStyle w:val="42"/>
        <w:numPr>
          <w:ilvl w:val="0"/>
          <w:numId w:val="14"/>
        </w:numPr>
        <w:adjustRightInd/>
        <w:ind w:firstLineChars="0"/>
        <w:rPr>
          <w:rFonts w:ascii="宋体" w:hAnsi="宋体"/>
          <w:color w:val="000000"/>
        </w:rPr>
      </w:pPr>
      <w:r>
        <w:rPr>
          <w:rFonts w:hint="eastAsia" w:ascii="宋体" w:hAnsi="宋体"/>
          <w:color w:val="000000"/>
        </w:rPr>
        <w:t>系统自动生成待上报信息，操作员核对。</w:t>
      </w:r>
    </w:p>
    <w:p>
      <w:pPr>
        <w:pStyle w:val="42"/>
        <w:numPr>
          <w:ilvl w:val="0"/>
          <w:numId w:val="14"/>
        </w:numPr>
        <w:adjustRightInd/>
        <w:ind w:firstLineChars="0"/>
        <w:rPr>
          <w:rFonts w:ascii="宋体" w:hAnsi="宋体"/>
          <w:color w:val="000000"/>
        </w:rPr>
      </w:pPr>
      <w:r>
        <w:rPr>
          <w:rFonts w:hint="eastAsia" w:ascii="宋体" w:hAnsi="宋体"/>
          <w:color w:val="000000"/>
        </w:rPr>
        <w:t>支持匿名/非匿名填报，支持跨级别上报。</w:t>
      </w:r>
    </w:p>
    <w:p>
      <w:pPr>
        <w:pStyle w:val="42"/>
        <w:numPr>
          <w:ilvl w:val="0"/>
          <w:numId w:val="14"/>
        </w:numPr>
        <w:adjustRightInd/>
        <w:ind w:firstLineChars="0"/>
        <w:rPr>
          <w:rFonts w:ascii="宋体" w:hAnsi="宋体"/>
          <w:color w:val="000000"/>
        </w:rPr>
      </w:pPr>
      <w:r>
        <w:rPr>
          <w:rFonts w:hint="eastAsia" w:ascii="宋体" w:hAnsi="宋体"/>
          <w:color w:val="000000"/>
        </w:rPr>
        <w:t>支持添加附件、电话校验、必填项校验，支持超时上报控制。</w:t>
      </w:r>
    </w:p>
    <w:p>
      <w:pPr>
        <w:pStyle w:val="42"/>
        <w:numPr>
          <w:ilvl w:val="0"/>
          <w:numId w:val="14"/>
        </w:numPr>
        <w:adjustRightInd/>
        <w:ind w:firstLineChars="0"/>
        <w:rPr>
          <w:rFonts w:ascii="宋体" w:hAnsi="宋体"/>
          <w:color w:val="000000"/>
        </w:rPr>
      </w:pPr>
      <w:r>
        <w:rPr>
          <w:rFonts w:hint="eastAsia" w:ascii="宋体" w:hAnsi="宋体"/>
          <w:color w:val="000000"/>
        </w:rPr>
        <w:t>支持按事件等级、患者伤害程度对事件进行填报。</w:t>
      </w:r>
    </w:p>
    <w:p>
      <w:pPr>
        <w:pStyle w:val="42"/>
        <w:numPr>
          <w:ilvl w:val="0"/>
          <w:numId w:val="14"/>
        </w:numPr>
        <w:adjustRightInd/>
        <w:ind w:firstLineChars="0"/>
        <w:rPr>
          <w:rFonts w:ascii="宋体" w:hAnsi="宋体"/>
          <w:color w:val="000000"/>
        </w:rPr>
      </w:pPr>
      <w:r>
        <w:rPr>
          <w:rFonts w:hint="eastAsia" w:ascii="宋体" w:hAnsi="宋体"/>
          <w:color w:val="000000"/>
        </w:rPr>
        <w:t>支持草稿箱管理、查看历史上报记录及被驳回的记录。</w:t>
      </w:r>
    </w:p>
    <w:p>
      <w:pPr>
        <w:pStyle w:val="63"/>
        <w:numPr>
          <w:ilvl w:val="0"/>
          <w:numId w:val="15"/>
        </w:numPr>
        <w:spacing w:before="46" w:after="93"/>
        <w:ind w:firstLineChars="0"/>
        <w:rPr>
          <w:b/>
        </w:rPr>
      </w:pPr>
      <w:r>
        <w:rPr>
          <w:rFonts w:hint="eastAsia"/>
          <w:b/>
        </w:rPr>
        <w:t>报告处理</w:t>
      </w:r>
    </w:p>
    <w:p>
      <w:pPr>
        <w:pStyle w:val="42"/>
        <w:numPr>
          <w:ilvl w:val="0"/>
          <w:numId w:val="14"/>
        </w:numPr>
        <w:adjustRightInd/>
        <w:ind w:firstLineChars="0"/>
        <w:rPr>
          <w:rFonts w:ascii="宋体" w:hAnsi="宋体"/>
          <w:color w:val="000000"/>
        </w:rPr>
      </w:pPr>
      <w:r>
        <w:rPr>
          <w:rFonts w:hint="eastAsia" w:ascii="宋体" w:hAnsi="宋体"/>
          <w:color w:val="000000"/>
        </w:rPr>
        <w:t>支持报告情况一览，支持显示当前用户待处理的报告例数。</w:t>
      </w:r>
    </w:p>
    <w:p>
      <w:pPr>
        <w:pStyle w:val="42"/>
        <w:numPr>
          <w:ilvl w:val="0"/>
          <w:numId w:val="14"/>
        </w:numPr>
        <w:adjustRightInd/>
        <w:ind w:firstLineChars="0"/>
        <w:rPr>
          <w:rFonts w:ascii="宋体" w:hAnsi="宋体"/>
          <w:color w:val="000000"/>
        </w:rPr>
      </w:pPr>
      <w:r>
        <w:rPr>
          <w:rFonts w:hint="eastAsia" w:ascii="宋体" w:hAnsi="宋体"/>
          <w:color w:val="000000"/>
        </w:rPr>
        <w:t>支持对事件进行分发、审核、驳回、跟踪、归档、作废、转送操作。</w:t>
      </w:r>
    </w:p>
    <w:p>
      <w:pPr>
        <w:pStyle w:val="42"/>
        <w:numPr>
          <w:ilvl w:val="0"/>
          <w:numId w:val="14"/>
        </w:numPr>
        <w:adjustRightInd/>
        <w:ind w:firstLineChars="0"/>
        <w:rPr>
          <w:rFonts w:ascii="宋体" w:hAnsi="宋体"/>
          <w:color w:val="000000"/>
        </w:rPr>
      </w:pPr>
      <w:r>
        <w:rPr>
          <w:rFonts w:hint="eastAsia" w:ascii="宋体" w:hAnsi="宋体"/>
          <w:color w:val="000000"/>
        </w:rPr>
        <w:t>支持使用时间轴查看事件审批的流程经过。</w:t>
      </w:r>
    </w:p>
    <w:p>
      <w:pPr>
        <w:pStyle w:val="42"/>
        <w:numPr>
          <w:ilvl w:val="0"/>
          <w:numId w:val="14"/>
        </w:numPr>
        <w:adjustRightInd/>
        <w:ind w:firstLineChars="0"/>
        <w:rPr>
          <w:rFonts w:ascii="宋体" w:hAnsi="宋体"/>
          <w:color w:val="000000"/>
        </w:rPr>
      </w:pPr>
      <w:r>
        <w:rPr>
          <w:rFonts w:hint="eastAsia" w:ascii="宋体" w:hAnsi="宋体"/>
          <w:color w:val="000000"/>
        </w:rPr>
        <w:t>支持对不良事件报告的流程进度进行消息提醒。</w:t>
      </w:r>
    </w:p>
    <w:p>
      <w:pPr>
        <w:pStyle w:val="42"/>
        <w:numPr>
          <w:ilvl w:val="0"/>
          <w:numId w:val="14"/>
        </w:numPr>
        <w:adjustRightInd/>
        <w:ind w:firstLineChars="0"/>
        <w:rPr>
          <w:rFonts w:ascii="宋体" w:hAnsi="宋体"/>
          <w:color w:val="000000"/>
        </w:rPr>
      </w:pPr>
      <w:r>
        <w:rPr>
          <w:rFonts w:hint="eastAsia" w:ascii="宋体" w:hAnsi="宋体"/>
          <w:color w:val="000000"/>
        </w:rPr>
        <w:t>支持事件表单打印，支持对事件报告打印样式进行配置，打印样式能依据医院要求绘制。</w:t>
      </w:r>
    </w:p>
    <w:p>
      <w:pPr>
        <w:pStyle w:val="63"/>
        <w:numPr>
          <w:ilvl w:val="0"/>
          <w:numId w:val="15"/>
        </w:numPr>
        <w:spacing w:before="46" w:after="93"/>
        <w:ind w:firstLineChars="0"/>
        <w:rPr>
          <w:b/>
        </w:rPr>
      </w:pPr>
      <w:r>
        <w:rPr>
          <w:rFonts w:hint="eastAsia"/>
          <w:b/>
        </w:rPr>
        <w:t>查询统计</w:t>
      </w:r>
    </w:p>
    <w:p>
      <w:pPr>
        <w:pStyle w:val="42"/>
        <w:numPr>
          <w:ilvl w:val="0"/>
          <w:numId w:val="14"/>
        </w:numPr>
        <w:adjustRightInd/>
        <w:ind w:firstLineChars="0"/>
        <w:rPr>
          <w:rFonts w:ascii="宋体" w:hAnsi="宋体"/>
          <w:color w:val="000000"/>
        </w:rPr>
      </w:pPr>
      <w:r>
        <w:rPr>
          <w:rFonts w:hint="eastAsia" w:ascii="宋体" w:hAnsi="宋体"/>
          <w:color w:val="000000"/>
        </w:rPr>
        <w:t>支持按年、季度、月、日对全部上报事件进行统计查询，支持查看事件具体信息。</w:t>
      </w:r>
    </w:p>
    <w:p>
      <w:pPr>
        <w:pStyle w:val="42"/>
        <w:numPr>
          <w:ilvl w:val="0"/>
          <w:numId w:val="14"/>
        </w:numPr>
        <w:adjustRightInd/>
        <w:ind w:firstLineChars="0"/>
        <w:rPr>
          <w:rFonts w:ascii="宋体" w:hAnsi="宋体"/>
          <w:color w:val="000000"/>
        </w:rPr>
      </w:pPr>
      <w:r>
        <w:rPr>
          <w:rFonts w:hint="eastAsia" w:ascii="宋体" w:hAnsi="宋体"/>
          <w:color w:val="000000"/>
        </w:rPr>
        <w:t>支持对不良事件报告进行多维度检索，包括上报日期、发生日期、上报科室、发生科室。</w:t>
      </w:r>
    </w:p>
    <w:p>
      <w:pPr>
        <w:pStyle w:val="42"/>
        <w:numPr>
          <w:ilvl w:val="0"/>
          <w:numId w:val="14"/>
        </w:numPr>
        <w:adjustRightInd/>
        <w:ind w:firstLineChars="0"/>
        <w:rPr>
          <w:rFonts w:ascii="宋体" w:hAnsi="宋体"/>
          <w:color w:val="000000"/>
        </w:rPr>
      </w:pPr>
      <w:r>
        <w:rPr>
          <w:rFonts w:hint="eastAsia" w:ascii="宋体" w:hAnsi="宋体"/>
          <w:color w:val="000000"/>
        </w:rPr>
        <w:t>支持按用户权限对报告的查询权限进行控制，并支持导出查询结果。</w:t>
      </w:r>
    </w:p>
    <w:p>
      <w:pPr>
        <w:pStyle w:val="42"/>
        <w:numPr>
          <w:ilvl w:val="0"/>
          <w:numId w:val="14"/>
        </w:numPr>
        <w:adjustRightInd/>
        <w:ind w:firstLineChars="0"/>
        <w:rPr>
          <w:rFonts w:ascii="宋体" w:hAnsi="宋体"/>
          <w:color w:val="000000"/>
        </w:rPr>
      </w:pPr>
      <w:r>
        <w:rPr>
          <w:rFonts w:hint="eastAsia" w:ascii="宋体" w:hAnsi="宋体"/>
          <w:color w:val="000000"/>
        </w:rPr>
        <w:t>支持按不同事件类型配置不同的查询结果表。</w:t>
      </w:r>
    </w:p>
    <w:p>
      <w:pPr>
        <w:pStyle w:val="42"/>
        <w:numPr>
          <w:ilvl w:val="0"/>
          <w:numId w:val="14"/>
        </w:numPr>
        <w:adjustRightInd/>
        <w:ind w:firstLineChars="0"/>
        <w:rPr>
          <w:rFonts w:ascii="宋体" w:hAnsi="宋体"/>
          <w:color w:val="000000"/>
        </w:rPr>
      </w:pPr>
      <w:r>
        <w:rPr>
          <w:rFonts w:hint="eastAsia" w:ascii="宋体" w:hAnsi="宋体"/>
          <w:color w:val="000000"/>
        </w:rPr>
        <w:t>支持对上报人、上报科室、上报人职称、当事人、当事人科室、当事人职称、药品信息、时间节点进行统计。</w:t>
      </w:r>
    </w:p>
    <w:p>
      <w:pPr>
        <w:pStyle w:val="42"/>
        <w:numPr>
          <w:ilvl w:val="0"/>
          <w:numId w:val="14"/>
        </w:numPr>
        <w:adjustRightInd/>
        <w:ind w:firstLineChars="0"/>
        <w:rPr>
          <w:rFonts w:ascii="宋体" w:hAnsi="宋体"/>
          <w:color w:val="000000"/>
        </w:rPr>
      </w:pPr>
      <w:r>
        <w:rPr>
          <w:rFonts w:hint="eastAsia" w:ascii="宋体" w:hAnsi="宋体"/>
          <w:color w:val="000000"/>
        </w:rPr>
        <w:t>支持按事件大类统计各具体事件类型的上报例数、占比。</w:t>
      </w:r>
    </w:p>
    <w:p>
      <w:pPr>
        <w:pStyle w:val="42"/>
        <w:numPr>
          <w:ilvl w:val="0"/>
          <w:numId w:val="14"/>
        </w:numPr>
        <w:adjustRightInd/>
        <w:ind w:firstLineChars="0"/>
        <w:rPr>
          <w:rFonts w:ascii="宋体" w:hAnsi="宋体"/>
          <w:color w:val="000000"/>
        </w:rPr>
      </w:pPr>
      <w:r>
        <w:rPr>
          <w:rFonts w:hint="eastAsia" w:ascii="宋体" w:hAnsi="宋体"/>
          <w:color w:val="000000"/>
        </w:rPr>
        <w:t>支持按大类对上报例数进行环比、同比统计。</w:t>
      </w:r>
    </w:p>
    <w:p>
      <w:pPr>
        <w:pStyle w:val="42"/>
        <w:numPr>
          <w:ilvl w:val="0"/>
          <w:numId w:val="14"/>
        </w:numPr>
        <w:adjustRightInd/>
        <w:ind w:firstLineChars="0"/>
        <w:rPr>
          <w:rFonts w:ascii="宋体" w:hAnsi="宋体"/>
          <w:color w:val="000000"/>
        </w:rPr>
      </w:pPr>
      <w:r>
        <w:rPr>
          <w:rFonts w:hint="eastAsia" w:ascii="宋体" w:hAnsi="宋体"/>
          <w:color w:val="000000"/>
        </w:rPr>
        <w:t>支持以图表形式展示统计结果，并支持导出报表。</w:t>
      </w:r>
    </w:p>
    <w:p>
      <w:pPr>
        <w:pStyle w:val="8"/>
        <w:numPr>
          <w:ilvl w:val="6"/>
          <w:numId w:val="13"/>
        </w:numPr>
        <w:ind w:left="0" w:firstLine="0"/>
      </w:pPr>
      <w:r>
        <w:rPr>
          <w:rFonts w:hint="eastAsia"/>
        </w:rPr>
        <w:t>不良事件上报</w:t>
      </w:r>
    </w:p>
    <w:p>
      <w:pPr>
        <w:ind w:firstLine="420"/>
        <w:rPr>
          <w:sz w:val="32"/>
        </w:rPr>
      </w:pPr>
      <w:r>
        <w:rPr>
          <w:rFonts w:hint="eastAsia"/>
        </w:rPr>
        <w:t>系统提供覆盖全院的不良事件类型，由不同的职能科室分管各事件大类，每个大类下还提供了具体的二级事件类型。</w:t>
      </w:r>
    </w:p>
    <w:p>
      <w:pPr>
        <w:pStyle w:val="63"/>
        <w:numPr>
          <w:ilvl w:val="0"/>
          <w:numId w:val="16"/>
        </w:numPr>
        <w:spacing w:before="46" w:after="93"/>
        <w:ind w:firstLineChars="0"/>
        <w:rPr>
          <w:b/>
        </w:rPr>
      </w:pPr>
      <w:r>
        <w:rPr>
          <w:rFonts w:hint="eastAsia"/>
          <w:b/>
        </w:rPr>
        <w:t>护理类不良事件</w:t>
      </w:r>
    </w:p>
    <w:p>
      <w:pPr>
        <w:ind w:firstLine="420"/>
      </w:pPr>
      <w:r>
        <w:rPr>
          <w:rFonts w:hint="eastAsia"/>
        </w:rPr>
        <w:t>护理类不良事件管理，由护理部分管。要求如下：</w:t>
      </w:r>
    </w:p>
    <w:p>
      <w:pPr>
        <w:pStyle w:val="42"/>
        <w:numPr>
          <w:ilvl w:val="0"/>
          <w:numId w:val="14"/>
        </w:numPr>
        <w:adjustRightInd/>
        <w:ind w:firstLineChars="0"/>
        <w:rPr>
          <w:rFonts w:ascii="宋体" w:hAnsi="宋体"/>
          <w:color w:val="000000"/>
        </w:rPr>
      </w:pPr>
      <w:r>
        <w:rPr>
          <w:rFonts w:ascii="宋体" w:hAnsi="宋体"/>
          <w:color w:val="000000"/>
        </w:rPr>
        <w:t>支持在不良事件管理工作台上，</w:t>
      </w:r>
      <w:r>
        <w:rPr>
          <w:rFonts w:hint="eastAsia" w:ascii="宋体" w:hAnsi="宋体"/>
          <w:color w:val="000000"/>
        </w:rPr>
        <w:t>进行</w:t>
      </w:r>
      <w:r>
        <w:rPr>
          <w:rFonts w:ascii="宋体" w:hAnsi="宋体"/>
          <w:color w:val="000000"/>
        </w:rPr>
        <w:t>护理类不良事件的填报、处理、查询统计</w:t>
      </w:r>
      <w:r>
        <w:rPr>
          <w:rFonts w:hint="eastAsia" w:ascii="宋体" w:hAnsi="宋体"/>
          <w:color w:val="000000"/>
        </w:rPr>
        <w:t>，包括</w:t>
      </w:r>
      <w:r>
        <w:rPr>
          <w:rFonts w:ascii="宋体" w:hAnsi="宋体"/>
          <w:color w:val="000000"/>
        </w:rPr>
        <w:t>烧烫伤事件、</w:t>
      </w:r>
      <w:r>
        <w:rPr>
          <w:rFonts w:hint="eastAsia" w:ascii="宋体" w:hAnsi="宋体"/>
          <w:color w:val="000000"/>
        </w:rPr>
        <w:t>跌倒坠床事件、</w:t>
      </w:r>
      <w:r>
        <w:rPr>
          <w:rFonts w:ascii="宋体" w:hAnsi="宋体"/>
          <w:color w:val="000000"/>
        </w:rPr>
        <w:t>管路事件、压疮事件</w:t>
      </w:r>
      <w:r>
        <w:rPr>
          <w:rFonts w:hint="eastAsia" w:ascii="宋体" w:hAnsi="宋体"/>
          <w:color w:val="000000"/>
        </w:rPr>
        <w:t>、针刺伤事件、给药阶段错误、输液不良反应、用血错误事件。</w:t>
      </w:r>
    </w:p>
    <w:p>
      <w:pPr>
        <w:pStyle w:val="42"/>
        <w:numPr>
          <w:ilvl w:val="0"/>
          <w:numId w:val="14"/>
        </w:numPr>
        <w:adjustRightInd/>
        <w:ind w:firstLineChars="0"/>
        <w:rPr>
          <w:rFonts w:ascii="宋体" w:hAnsi="宋体"/>
          <w:color w:val="000000"/>
        </w:rPr>
      </w:pPr>
      <w:r>
        <w:rPr>
          <w:rFonts w:ascii="宋体" w:hAnsi="宋体"/>
          <w:color w:val="000000"/>
        </w:rPr>
        <w:t>支持对</w:t>
      </w:r>
      <w:r>
        <w:rPr>
          <w:rFonts w:hint="eastAsia" w:ascii="宋体" w:hAnsi="宋体"/>
          <w:color w:val="000000"/>
        </w:rPr>
        <w:t>护理类不良事件表单</w:t>
      </w:r>
      <w:r>
        <w:rPr>
          <w:rFonts w:ascii="宋体" w:hAnsi="宋体"/>
          <w:color w:val="000000"/>
        </w:rPr>
        <w:t>模板进行</w:t>
      </w:r>
      <w:r>
        <w:rPr>
          <w:rFonts w:hint="eastAsia" w:ascii="宋体" w:hAnsi="宋体"/>
          <w:color w:val="000000"/>
        </w:rPr>
        <w:t>调整</w:t>
      </w:r>
      <w:r>
        <w:rPr>
          <w:rFonts w:ascii="宋体" w:hAnsi="宋体"/>
          <w:color w:val="000000"/>
        </w:rPr>
        <w:t>。</w:t>
      </w:r>
    </w:p>
    <w:p>
      <w:pPr>
        <w:pStyle w:val="42"/>
        <w:numPr>
          <w:ilvl w:val="0"/>
          <w:numId w:val="14"/>
        </w:numPr>
        <w:adjustRightInd/>
        <w:ind w:firstLineChars="0"/>
        <w:rPr>
          <w:rFonts w:ascii="宋体" w:hAnsi="宋体"/>
          <w:color w:val="000000"/>
        </w:rPr>
      </w:pPr>
      <w:r>
        <w:rPr>
          <w:rFonts w:ascii="宋体" w:hAnsi="宋体"/>
          <w:color w:val="000000"/>
        </w:rPr>
        <w:t>支持从临床护理信息系统自动获取压疮评分。</w:t>
      </w:r>
    </w:p>
    <w:p>
      <w:pPr>
        <w:pStyle w:val="63"/>
        <w:numPr>
          <w:ilvl w:val="0"/>
          <w:numId w:val="16"/>
        </w:numPr>
        <w:spacing w:before="46" w:after="93"/>
        <w:ind w:firstLineChars="0"/>
        <w:rPr>
          <w:b/>
        </w:rPr>
      </w:pPr>
      <w:r>
        <w:rPr>
          <w:rFonts w:hint="eastAsia"/>
          <w:b/>
        </w:rPr>
        <w:t>医疗类不良事件</w:t>
      </w:r>
    </w:p>
    <w:p>
      <w:pPr>
        <w:pStyle w:val="42"/>
        <w:numPr>
          <w:ilvl w:val="0"/>
          <w:numId w:val="14"/>
        </w:numPr>
        <w:adjustRightInd/>
        <w:ind w:firstLineChars="0"/>
        <w:rPr>
          <w:rFonts w:ascii="宋体" w:hAnsi="宋体"/>
          <w:color w:val="000000"/>
        </w:rPr>
      </w:pPr>
      <w:r>
        <w:rPr>
          <w:rFonts w:ascii="宋体" w:hAnsi="宋体"/>
          <w:color w:val="000000"/>
        </w:rPr>
        <w:t>支持在不良事件管理工作台上，</w:t>
      </w:r>
      <w:r>
        <w:rPr>
          <w:rFonts w:hint="eastAsia" w:ascii="宋体" w:hAnsi="宋体"/>
          <w:color w:val="000000"/>
        </w:rPr>
        <w:t>进行</w:t>
      </w:r>
      <w:r>
        <w:rPr>
          <w:rFonts w:ascii="宋体" w:hAnsi="宋体"/>
          <w:color w:val="000000"/>
        </w:rPr>
        <w:t>医疗类不良事件的填报、处理、查询统计</w:t>
      </w:r>
      <w:r>
        <w:rPr>
          <w:rFonts w:hint="eastAsia" w:ascii="宋体" w:hAnsi="宋体"/>
          <w:color w:val="000000"/>
        </w:rPr>
        <w:t>，</w:t>
      </w:r>
      <w:r>
        <w:rPr>
          <w:rFonts w:ascii="宋体" w:hAnsi="宋体"/>
          <w:color w:val="000000"/>
        </w:rPr>
        <w:t>包括手术事件、检查事件</w:t>
      </w:r>
      <w:r>
        <w:rPr>
          <w:rFonts w:hint="eastAsia" w:ascii="宋体" w:hAnsi="宋体"/>
          <w:color w:val="000000"/>
        </w:rPr>
        <w:t>、麻醉事件、病人辨识事件、医疗处置事件、非预期事件、医疗沟通事件</w:t>
      </w:r>
      <w:r>
        <w:rPr>
          <w:rFonts w:ascii="宋体" w:hAnsi="宋体"/>
          <w:color w:val="000000"/>
        </w:rPr>
        <w:t>。</w:t>
      </w:r>
    </w:p>
    <w:p>
      <w:pPr>
        <w:pStyle w:val="42"/>
        <w:numPr>
          <w:ilvl w:val="0"/>
          <w:numId w:val="14"/>
        </w:numPr>
        <w:adjustRightInd/>
        <w:ind w:firstLineChars="0"/>
        <w:rPr>
          <w:rFonts w:ascii="宋体" w:hAnsi="宋体"/>
          <w:color w:val="000000"/>
        </w:rPr>
      </w:pPr>
      <w:r>
        <w:rPr>
          <w:rFonts w:ascii="宋体" w:hAnsi="宋体"/>
          <w:color w:val="000000"/>
        </w:rPr>
        <w:t>支持对</w:t>
      </w:r>
      <w:r>
        <w:rPr>
          <w:rFonts w:hint="eastAsia" w:ascii="宋体" w:hAnsi="宋体"/>
          <w:color w:val="000000"/>
        </w:rPr>
        <w:t>医疗类不良事件表单</w:t>
      </w:r>
      <w:r>
        <w:rPr>
          <w:rFonts w:ascii="宋体" w:hAnsi="宋体"/>
          <w:color w:val="000000"/>
        </w:rPr>
        <w:t>模板进行</w:t>
      </w:r>
      <w:r>
        <w:rPr>
          <w:rFonts w:hint="eastAsia" w:ascii="宋体" w:hAnsi="宋体"/>
          <w:color w:val="000000"/>
        </w:rPr>
        <w:t>调整</w:t>
      </w:r>
      <w:r>
        <w:rPr>
          <w:rFonts w:ascii="宋体" w:hAnsi="宋体"/>
          <w:color w:val="000000"/>
        </w:rPr>
        <w:t>。</w:t>
      </w:r>
    </w:p>
    <w:p>
      <w:pPr>
        <w:pStyle w:val="63"/>
        <w:numPr>
          <w:ilvl w:val="0"/>
          <w:numId w:val="16"/>
        </w:numPr>
        <w:spacing w:before="46" w:after="93"/>
        <w:ind w:firstLineChars="0"/>
        <w:rPr>
          <w:b/>
        </w:rPr>
      </w:pPr>
      <w:r>
        <w:rPr>
          <w:rFonts w:hint="eastAsia"/>
          <w:b/>
        </w:rPr>
        <w:t>药品类不良事件</w:t>
      </w:r>
    </w:p>
    <w:p>
      <w:pPr>
        <w:pStyle w:val="42"/>
        <w:numPr>
          <w:ilvl w:val="0"/>
          <w:numId w:val="14"/>
        </w:numPr>
        <w:adjustRightInd/>
        <w:ind w:firstLineChars="0"/>
        <w:rPr>
          <w:rFonts w:ascii="宋体" w:hAnsi="宋体"/>
          <w:color w:val="000000"/>
        </w:rPr>
      </w:pPr>
      <w:r>
        <w:rPr>
          <w:rFonts w:ascii="宋体" w:hAnsi="宋体"/>
          <w:color w:val="000000"/>
        </w:rPr>
        <w:t>支持在不良事件管理工作台上，</w:t>
      </w:r>
      <w:r>
        <w:rPr>
          <w:rFonts w:hint="eastAsia" w:ascii="宋体" w:hAnsi="宋体"/>
          <w:color w:val="000000"/>
        </w:rPr>
        <w:t>进行</w:t>
      </w:r>
      <w:r>
        <w:rPr>
          <w:rFonts w:ascii="宋体" w:hAnsi="宋体"/>
          <w:color w:val="000000"/>
        </w:rPr>
        <w:t>药品类不良事件的填报、处理、查询统计</w:t>
      </w:r>
      <w:r>
        <w:rPr>
          <w:rFonts w:hint="eastAsia" w:ascii="宋体" w:hAnsi="宋体"/>
          <w:color w:val="000000"/>
        </w:rPr>
        <w:t>，</w:t>
      </w:r>
      <w:r>
        <w:rPr>
          <w:rFonts w:ascii="宋体" w:hAnsi="宋体"/>
          <w:color w:val="000000"/>
        </w:rPr>
        <w:t>包括药品不良反应、化妆品不良反应</w:t>
      </w:r>
      <w:r>
        <w:rPr>
          <w:rFonts w:hint="eastAsia" w:ascii="宋体" w:hAnsi="宋体"/>
          <w:color w:val="000000"/>
        </w:rPr>
        <w:t>。</w:t>
      </w:r>
    </w:p>
    <w:p>
      <w:pPr>
        <w:pStyle w:val="42"/>
        <w:numPr>
          <w:ilvl w:val="0"/>
          <w:numId w:val="14"/>
        </w:numPr>
        <w:adjustRightInd/>
        <w:ind w:firstLineChars="0"/>
        <w:rPr>
          <w:rFonts w:ascii="宋体" w:hAnsi="宋体"/>
          <w:color w:val="000000"/>
        </w:rPr>
      </w:pPr>
      <w:r>
        <w:rPr>
          <w:rFonts w:ascii="宋体" w:hAnsi="宋体"/>
          <w:color w:val="000000"/>
        </w:rPr>
        <w:t>支持对</w:t>
      </w:r>
      <w:r>
        <w:rPr>
          <w:rFonts w:hint="eastAsia" w:ascii="宋体" w:hAnsi="宋体"/>
          <w:color w:val="000000"/>
        </w:rPr>
        <w:t>药品类不良事件表单</w:t>
      </w:r>
      <w:r>
        <w:rPr>
          <w:rFonts w:ascii="宋体" w:hAnsi="宋体"/>
          <w:color w:val="000000"/>
        </w:rPr>
        <w:t>模板进行</w:t>
      </w:r>
      <w:r>
        <w:rPr>
          <w:rFonts w:hint="eastAsia" w:ascii="宋体" w:hAnsi="宋体"/>
          <w:color w:val="000000"/>
        </w:rPr>
        <w:t>调整</w:t>
      </w:r>
      <w:r>
        <w:rPr>
          <w:rFonts w:ascii="宋体" w:hAnsi="宋体"/>
          <w:color w:val="000000"/>
        </w:rPr>
        <w:t>。</w:t>
      </w:r>
    </w:p>
    <w:p>
      <w:pPr>
        <w:pStyle w:val="42"/>
        <w:numPr>
          <w:ilvl w:val="0"/>
          <w:numId w:val="14"/>
        </w:numPr>
        <w:adjustRightInd/>
        <w:ind w:firstLineChars="0"/>
        <w:rPr>
          <w:rFonts w:ascii="宋体" w:hAnsi="宋体"/>
          <w:color w:val="000000"/>
        </w:rPr>
      </w:pPr>
      <w:r>
        <w:rPr>
          <w:rFonts w:ascii="宋体" w:hAnsi="宋体"/>
          <w:color w:val="000000"/>
        </w:rPr>
        <w:t>▲支持</w:t>
      </w:r>
      <w:r>
        <w:rPr>
          <w:rFonts w:hint="eastAsia" w:ascii="宋体" w:hAnsi="宋体"/>
          <w:color w:val="000000"/>
        </w:rPr>
        <w:t>调用</w:t>
      </w:r>
      <w:r>
        <w:rPr>
          <w:rFonts w:ascii="宋体" w:hAnsi="宋体"/>
          <w:color w:val="000000"/>
        </w:rPr>
        <w:t>门诊/住院患者用药信息，系统自动生成</w:t>
      </w:r>
      <w:r>
        <w:rPr>
          <w:rFonts w:hint="eastAsia" w:ascii="宋体" w:hAnsi="宋体"/>
          <w:color w:val="000000"/>
        </w:rPr>
        <w:t>待上报项</w:t>
      </w:r>
      <w:r>
        <w:rPr>
          <w:rFonts w:ascii="宋体" w:hAnsi="宋体"/>
          <w:color w:val="000000"/>
        </w:rPr>
        <w:t>，操作员核对。</w:t>
      </w:r>
    </w:p>
    <w:p>
      <w:pPr>
        <w:ind w:firstLine="960" w:firstLineChars="400"/>
        <w:rPr>
          <w:rFonts w:ascii="宋体" w:hAnsi="宋体" w:eastAsia="宋体"/>
          <w:sz w:val="32"/>
        </w:rPr>
      </w:pPr>
      <w:r>
        <w:rPr>
          <w:rFonts w:hint="eastAsia" w:ascii="宋体" w:hAnsi="宋体" w:eastAsia="宋体"/>
        </w:rPr>
        <w:t>要求提供调用</w:t>
      </w:r>
      <w:r>
        <w:rPr>
          <w:rFonts w:ascii="宋体" w:hAnsi="宋体" w:eastAsia="宋体"/>
        </w:rPr>
        <w:t>门诊/住院患者用药信息</w:t>
      </w:r>
      <w:r>
        <w:rPr>
          <w:rFonts w:hint="eastAsia" w:ascii="宋体" w:hAnsi="宋体" w:eastAsia="宋体"/>
        </w:rPr>
        <w:t>并由</w:t>
      </w:r>
      <w:r>
        <w:rPr>
          <w:rFonts w:ascii="宋体" w:hAnsi="宋体" w:eastAsia="宋体"/>
        </w:rPr>
        <w:t>系统自动生成</w:t>
      </w:r>
      <w:r>
        <w:rPr>
          <w:rFonts w:hint="eastAsia" w:ascii="宋体" w:hAnsi="宋体" w:eastAsia="宋体"/>
        </w:rPr>
        <w:t>待上报项的截图证明。</w:t>
      </w:r>
    </w:p>
    <w:p>
      <w:pPr>
        <w:pStyle w:val="63"/>
        <w:numPr>
          <w:ilvl w:val="0"/>
          <w:numId w:val="16"/>
        </w:numPr>
        <w:spacing w:before="46" w:after="93"/>
        <w:ind w:firstLineChars="0"/>
        <w:rPr>
          <w:b/>
        </w:rPr>
      </w:pPr>
      <w:r>
        <w:rPr>
          <w:rFonts w:hint="eastAsia"/>
          <w:b/>
        </w:rPr>
        <w:t>输血类不良事件</w:t>
      </w:r>
    </w:p>
    <w:p>
      <w:pPr>
        <w:pStyle w:val="42"/>
        <w:numPr>
          <w:ilvl w:val="0"/>
          <w:numId w:val="14"/>
        </w:numPr>
        <w:adjustRightInd/>
        <w:ind w:firstLineChars="0"/>
        <w:rPr>
          <w:rFonts w:ascii="宋体" w:hAnsi="宋体"/>
          <w:color w:val="000000"/>
        </w:rPr>
      </w:pPr>
      <w:r>
        <w:rPr>
          <w:rFonts w:ascii="宋体" w:hAnsi="宋体"/>
          <w:color w:val="000000"/>
        </w:rPr>
        <w:t>支持在不良事件管理工作台上，</w:t>
      </w:r>
      <w:r>
        <w:rPr>
          <w:rFonts w:hint="eastAsia" w:ascii="宋体" w:hAnsi="宋体"/>
          <w:color w:val="000000"/>
        </w:rPr>
        <w:t>进行</w:t>
      </w:r>
      <w:r>
        <w:rPr>
          <w:rFonts w:ascii="宋体" w:hAnsi="宋体"/>
          <w:color w:val="000000"/>
        </w:rPr>
        <w:t>输血类不良事件的填报、处理、查询统计</w:t>
      </w:r>
      <w:r>
        <w:rPr>
          <w:rFonts w:hint="eastAsia" w:ascii="宋体" w:hAnsi="宋体"/>
          <w:color w:val="000000"/>
        </w:rPr>
        <w:t>，</w:t>
      </w:r>
      <w:r>
        <w:rPr>
          <w:rFonts w:ascii="宋体" w:hAnsi="宋体"/>
          <w:color w:val="000000"/>
        </w:rPr>
        <w:t>包括输血不良反应、输血不良事件。</w:t>
      </w:r>
    </w:p>
    <w:p>
      <w:pPr>
        <w:pStyle w:val="42"/>
        <w:numPr>
          <w:ilvl w:val="0"/>
          <w:numId w:val="14"/>
        </w:numPr>
        <w:adjustRightInd/>
        <w:ind w:firstLineChars="0"/>
        <w:rPr>
          <w:rFonts w:ascii="宋体" w:hAnsi="宋体"/>
          <w:color w:val="000000"/>
        </w:rPr>
      </w:pPr>
      <w:r>
        <w:rPr>
          <w:rFonts w:ascii="宋体" w:hAnsi="宋体"/>
          <w:color w:val="000000"/>
        </w:rPr>
        <w:t>支持对</w:t>
      </w:r>
      <w:r>
        <w:rPr>
          <w:rFonts w:hint="eastAsia" w:ascii="宋体" w:hAnsi="宋体"/>
          <w:color w:val="000000"/>
        </w:rPr>
        <w:t>输血类不良事件表单</w:t>
      </w:r>
      <w:r>
        <w:rPr>
          <w:rFonts w:ascii="宋体" w:hAnsi="宋体"/>
          <w:color w:val="000000"/>
        </w:rPr>
        <w:t>模板进行</w:t>
      </w:r>
      <w:r>
        <w:rPr>
          <w:rFonts w:hint="eastAsia" w:ascii="宋体" w:hAnsi="宋体"/>
          <w:color w:val="000000"/>
        </w:rPr>
        <w:t>调整</w:t>
      </w:r>
      <w:r>
        <w:rPr>
          <w:rFonts w:ascii="宋体" w:hAnsi="宋体"/>
          <w:color w:val="000000"/>
        </w:rPr>
        <w:t>。</w:t>
      </w:r>
    </w:p>
    <w:p>
      <w:pPr>
        <w:pStyle w:val="63"/>
        <w:numPr>
          <w:ilvl w:val="0"/>
          <w:numId w:val="16"/>
        </w:numPr>
        <w:spacing w:before="46" w:after="93"/>
        <w:ind w:firstLineChars="0"/>
        <w:rPr>
          <w:b/>
        </w:rPr>
      </w:pPr>
      <w:r>
        <w:rPr>
          <w:rFonts w:hint="eastAsia"/>
          <w:b/>
        </w:rPr>
        <w:t>器械类不良事件</w:t>
      </w:r>
    </w:p>
    <w:p>
      <w:pPr>
        <w:pStyle w:val="42"/>
        <w:numPr>
          <w:ilvl w:val="0"/>
          <w:numId w:val="14"/>
        </w:numPr>
        <w:adjustRightInd/>
        <w:ind w:firstLineChars="0"/>
        <w:rPr>
          <w:rFonts w:ascii="宋体" w:hAnsi="宋体"/>
          <w:color w:val="000000"/>
        </w:rPr>
      </w:pPr>
      <w:r>
        <w:rPr>
          <w:rFonts w:hint="eastAsia" w:ascii="宋体" w:hAnsi="宋体"/>
          <w:color w:val="000000"/>
        </w:rPr>
        <w:t>支持在不良事件管理工作台上，进行器械不良反应的填报、处理、查询统计。</w:t>
      </w:r>
    </w:p>
    <w:p>
      <w:pPr>
        <w:pStyle w:val="42"/>
        <w:numPr>
          <w:ilvl w:val="0"/>
          <w:numId w:val="14"/>
        </w:numPr>
        <w:adjustRightInd/>
        <w:ind w:firstLineChars="0"/>
        <w:rPr>
          <w:rFonts w:ascii="宋体" w:hAnsi="宋体"/>
          <w:color w:val="000000"/>
        </w:rPr>
      </w:pPr>
      <w:r>
        <w:rPr>
          <w:rFonts w:ascii="宋体" w:hAnsi="宋体"/>
          <w:color w:val="000000"/>
        </w:rPr>
        <w:t>支持对</w:t>
      </w:r>
      <w:r>
        <w:rPr>
          <w:rFonts w:hint="eastAsia" w:ascii="宋体" w:hAnsi="宋体"/>
          <w:color w:val="000000"/>
        </w:rPr>
        <w:t>器械不良反应表单</w:t>
      </w:r>
      <w:r>
        <w:rPr>
          <w:rFonts w:ascii="宋体" w:hAnsi="宋体"/>
          <w:color w:val="000000"/>
        </w:rPr>
        <w:t>模板进行</w:t>
      </w:r>
      <w:r>
        <w:rPr>
          <w:rFonts w:hint="eastAsia" w:ascii="宋体" w:hAnsi="宋体"/>
          <w:color w:val="000000"/>
        </w:rPr>
        <w:t>调整。</w:t>
      </w:r>
    </w:p>
    <w:p>
      <w:pPr>
        <w:pStyle w:val="63"/>
        <w:numPr>
          <w:ilvl w:val="0"/>
          <w:numId w:val="16"/>
        </w:numPr>
        <w:spacing w:before="46" w:after="93"/>
        <w:ind w:firstLineChars="0"/>
        <w:rPr>
          <w:b/>
        </w:rPr>
      </w:pPr>
      <w:r>
        <w:rPr>
          <w:rFonts w:hint="eastAsia"/>
          <w:b/>
        </w:rPr>
        <w:t>院感类不良事件</w:t>
      </w:r>
    </w:p>
    <w:p>
      <w:pPr>
        <w:pStyle w:val="42"/>
        <w:numPr>
          <w:ilvl w:val="0"/>
          <w:numId w:val="14"/>
        </w:numPr>
        <w:adjustRightInd/>
        <w:ind w:firstLineChars="0"/>
        <w:rPr>
          <w:rFonts w:ascii="宋体" w:hAnsi="宋体"/>
          <w:color w:val="000000"/>
        </w:rPr>
      </w:pPr>
      <w:r>
        <w:rPr>
          <w:rFonts w:hint="eastAsia" w:ascii="宋体" w:hAnsi="宋体"/>
          <w:color w:val="000000"/>
        </w:rPr>
        <w:t>支持在不良事件管理工作台上，进行院感类不良事件的填报、处理、查询统计，包括聚集性医院感染、医院感染死亡、特殊医院感染事件。</w:t>
      </w:r>
    </w:p>
    <w:p>
      <w:pPr>
        <w:pStyle w:val="42"/>
        <w:numPr>
          <w:ilvl w:val="0"/>
          <w:numId w:val="14"/>
        </w:numPr>
        <w:adjustRightInd/>
        <w:ind w:firstLineChars="0"/>
        <w:rPr>
          <w:rFonts w:ascii="宋体" w:hAnsi="宋体"/>
          <w:color w:val="000000"/>
        </w:rPr>
      </w:pPr>
      <w:r>
        <w:rPr>
          <w:rFonts w:ascii="宋体" w:hAnsi="宋体"/>
          <w:color w:val="000000"/>
        </w:rPr>
        <w:t>支持对</w:t>
      </w:r>
      <w:r>
        <w:rPr>
          <w:rFonts w:hint="eastAsia" w:ascii="宋体" w:hAnsi="宋体"/>
          <w:color w:val="000000"/>
        </w:rPr>
        <w:t>院感类不良事件表单</w:t>
      </w:r>
      <w:r>
        <w:rPr>
          <w:rFonts w:ascii="宋体" w:hAnsi="宋体"/>
          <w:color w:val="000000"/>
        </w:rPr>
        <w:t>模板进行</w:t>
      </w:r>
      <w:r>
        <w:rPr>
          <w:rFonts w:hint="eastAsia" w:ascii="宋体" w:hAnsi="宋体"/>
          <w:color w:val="000000"/>
        </w:rPr>
        <w:t>调整。</w:t>
      </w:r>
    </w:p>
    <w:p>
      <w:pPr>
        <w:pStyle w:val="42"/>
        <w:numPr>
          <w:ilvl w:val="0"/>
          <w:numId w:val="14"/>
        </w:numPr>
        <w:adjustRightInd/>
        <w:ind w:firstLineChars="0"/>
        <w:rPr>
          <w:rFonts w:ascii="宋体" w:hAnsi="宋体"/>
          <w:color w:val="000000"/>
        </w:rPr>
      </w:pPr>
      <w:r>
        <w:rPr>
          <w:rFonts w:hint="eastAsia" w:ascii="宋体" w:hAnsi="宋体"/>
          <w:color w:val="000000"/>
        </w:rPr>
        <w:t>支持同时对多个患者、多个职工的感染情况进行上报。</w:t>
      </w:r>
    </w:p>
    <w:p>
      <w:pPr>
        <w:pStyle w:val="63"/>
        <w:numPr>
          <w:ilvl w:val="0"/>
          <w:numId w:val="16"/>
        </w:numPr>
        <w:spacing w:before="46" w:after="93"/>
        <w:ind w:firstLineChars="0"/>
        <w:rPr>
          <w:b/>
        </w:rPr>
      </w:pPr>
      <w:r>
        <w:rPr>
          <w:rFonts w:hint="eastAsia"/>
          <w:b/>
        </w:rPr>
        <w:t>安保类不良事件</w:t>
      </w:r>
    </w:p>
    <w:p>
      <w:pPr>
        <w:pStyle w:val="42"/>
        <w:numPr>
          <w:ilvl w:val="0"/>
          <w:numId w:val="14"/>
        </w:numPr>
        <w:adjustRightInd/>
        <w:ind w:firstLineChars="0"/>
        <w:rPr>
          <w:rFonts w:ascii="宋体" w:hAnsi="宋体"/>
          <w:color w:val="000000"/>
        </w:rPr>
      </w:pPr>
      <w:r>
        <w:rPr>
          <w:rFonts w:ascii="宋体" w:hAnsi="宋体"/>
          <w:color w:val="000000"/>
        </w:rPr>
        <w:t>支持在不良事件管理工作台上，</w:t>
      </w:r>
      <w:r>
        <w:rPr>
          <w:rFonts w:hint="eastAsia" w:ascii="宋体" w:hAnsi="宋体"/>
          <w:color w:val="000000"/>
        </w:rPr>
        <w:t>进行</w:t>
      </w:r>
      <w:r>
        <w:rPr>
          <w:rFonts w:ascii="宋体" w:hAnsi="宋体"/>
          <w:color w:val="000000"/>
        </w:rPr>
        <w:t>安保类不良事件的填报、处理、查询统计</w:t>
      </w:r>
      <w:r>
        <w:rPr>
          <w:rFonts w:hint="eastAsia" w:ascii="宋体" w:hAnsi="宋体"/>
          <w:color w:val="000000"/>
        </w:rPr>
        <w:t>，</w:t>
      </w:r>
      <w:r>
        <w:rPr>
          <w:rFonts w:ascii="宋体" w:hAnsi="宋体"/>
          <w:color w:val="000000"/>
        </w:rPr>
        <w:t>包括治安事件、伤害事件。</w:t>
      </w:r>
    </w:p>
    <w:p>
      <w:pPr>
        <w:pStyle w:val="42"/>
        <w:numPr>
          <w:ilvl w:val="0"/>
          <w:numId w:val="14"/>
        </w:numPr>
        <w:adjustRightInd/>
        <w:ind w:firstLineChars="0"/>
        <w:rPr>
          <w:rFonts w:ascii="宋体" w:hAnsi="宋体"/>
          <w:color w:val="000000"/>
        </w:rPr>
      </w:pPr>
      <w:r>
        <w:rPr>
          <w:rFonts w:ascii="宋体" w:hAnsi="宋体"/>
          <w:color w:val="000000"/>
        </w:rPr>
        <w:t>支持对</w:t>
      </w:r>
      <w:r>
        <w:rPr>
          <w:rFonts w:hint="eastAsia" w:ascii="宋体" w:hAnsi="宋体"/>
          <w:color w:val="000000"/>
        </w:rPr>
        <w:t>安保类不良事件表单</w:t>
      </w:r>
      <w:r>
        <w:rPr>
          <w:rFonts w:ascii="宋体" w:hAnsi="宋体"/>
          <w:color w:val="000000"/>
        </w:rPr>
        <w:t>模板进行</w:t>
      </w:r>
      <w:r>
        <w:rPr>
          <w:rFonts w:hint="eastAsia" w:ascii="宋体" w:hAnsi="宋体"/>
          <w:color w:val="000000"/>
        </w:rPr>
        <w:t>调整。</w:t>
      </w:r>
    </w:p>
    <w:p>
      <w:pPr>
        <w:pStyle w:val="63"/>
        <w:numPr>
          <w:ilvl w:val="0"/>
          <w:numId w:val="16"/>
        </w:numPr>
        <w:spacing w:before="46" w:after="93"/>
        <w:ind w:firstLineChars="0"/>
        <w:rPr>
          <w:b/>
        </w:rPr>
      </w:pPr>
      <w:r>
        <w:rPr>
          <w:rFonts w:hint="eastAsia"/>
          <w:b/>
        </w:rPr>
        <w:t>行政后勤类不良事件</w:t>
      </w:r>
    </w:p>
    <w:p>
      <w:pPr>
        <w:pStyle w:val="42"/>
        <w:numPr>
          <w:ilvl w:val="0"/>
          <w:numId w:val="14"/>
        </w:numPr>
        <w:adjustRightInd/>
        <w:ind w:firstLineChars="0"/>
        <w:rPr>
          <w:rFonts w:ascii="宋体" w:hAnsi="宋体"/>
          <w:color w:val="000000"/>
        </w:rPr>
      </w:pPr>
      <w:r>
        <w:rPr>
          <w:rFonts w:ascii="宋体" w:hAnsi="宋体"/>
          <w:color w:val="000000"/>
        </w:rPr>
        <w:t>支持在不良事件管理工作台上，</w:t>
      </w:r>
      <w:r>
        <w:rPr>
          <w:rFonts w:hint="eastAsia" w:ascii="宋体" w:hAnsi="宋体"/>
          <w:color w:val="000000"/>
        </w:rPr>
        <w:t>进行</w:t>
      </w:r>
      <w:r>
        <w:rPr>
          <w:rFonts w:ascii="宋体" w:hAnsi="宋体"/>
          <w:color w:val="000000"/>
        </w:rPr>
        <w:t>行政后勤类不良事件的填报、处理、查询统计</w:t>
      </w:r>
      <w:r>
        <w:rPr>
          <w:rFonts w:hint="eastAsia" w:ascii="宋体" w:hAnsi="宋体"/>
          <w:color w:val="000000"/>
        </w:rPr>
        <w:t>，</w:t>
      </w:r>
      <w:r>
        <w:rPr>
          <w:rFonts w:ascii="宋体" w:hAnsi="宋体"/>
          <w:color w:val="000000"/>
        </w:rPr>
        <w:t>包括公共设施事件、设备故障</w:t>
      </w:r>
      <w:r>
        <w:rPr>
          <w:rFonts w:hint="eastAsia" w:ascii="宋体" w:hAnsi="宋体"/>
          <w:color w:val="000000"/>
        </w:rPr>
        <w:t>事件、饮食差错事件</w:t>
      </w:r>
      <w:r>
        <w:rPr>
          <w:rFonts w:ascii="宋体" w:hAnsi="宋体"/>
          <w:color w:val="000000"/>
        </w:rPr>
        <w:t>。</w:t>
      </w:r>
    </w:p>
    <w:p>
      <w:pPr>
        <w:pStyle w:val="42"/>
        <w:numPr>
          <w:ilvl w:val="0"/>
          <w:numId w:val="14"/>
        </w:numPr>
        <w:adjustRightInd/>
        <w:ind w:firstLineChars="0"/>
        <w:rPr>
          <w:rFonts w:ascii="宋体" w:hAnsi="宋体"/>
          <w:color w:val="000000"/>
        </w:rPr>
      </w:pPr>
      <w:r>
        <w:rPr>
          <w:rFonts w:ascii="宋体" w:hAnsi="宋体"/>
          <w:color w:val="000000"/>
        </w:rPr>
        <w:t>支持对</w:t>
      </w:r>
      <w:r>
        <w:rPr>
          <w:rFonts w:hint="eastAsia" w:ascii="宋体" w:hAnsi="宋体"/>
          <w:color w:val="000000"/>
        </w:rPr>
        <w:t>行政后勤类不良事件表单</w:t>
      </w:r>
      <w:r>
        <w:rPr>
          <w:rFonts w:ascii="宋体" w:hAnsi="宋体"/>
          <w:color w:val="000000"/>
        </w:rPr>
        <w:t>模板进行</w:t>
      </w:r>
      <w:r>
        <w:rPr>
          <w:rFonts w:hint="eastAsia" w:ascii="宋体" w:hAnsi="宋体"/>
          <w:color w:val="000000"/>
        </w:rPr>
        <w:t>调整。</w:t>
      </w:r>
    </w:p>
    <w:p>
      <w:pPr>
        <w:pStyle w:val="63"/>
        <w:numPr>
          <w:ilvl w:val="0"/>
          <w:numId w:val="16"/>
        </w:numPr>
        <w:spacing w:before="46" w:after="93"/>
        <w:ind w:firstLineChars="0"/>
        <w:rPr>
          <w:b/>
        </w:rPr>
      </w:pPr>
      <w:r>
        <w:rPr>
          <w:rFonts w:hint="eastAsia"/>
          <w:b/>
        </w:rPr>
        <w:t>门诊类不良事件</w:t>
      </w:r>
    </w:p>
    <w:p>
      <w:pPr>
        <w:pStyle w:val="42"/>
        <w:numPr>
          <w:ilvl w:val="0"/>
          <w:numId w:val="14"/>
        </w:numPr>
        <w:adjustRightInd/>
        <w:ind w:firstLineChars="0"/>
        <w:rPr>
          <w:rFonts w:ascii="宋体" w:hAnsi="宋体"/>
          <w:color w:val="000000"/>
        </w:rPr>
      </w:pPr>
      <w:r>
        <w:rPr>
          <w:rFonts w:ascii="宋体" w:hAnsi="宋体"/>
          <w:color w:val="000000"/>
        </w:rPr>
        <w:t>支持在不良事件管理工作台上，</w:t>
      </w:r>
      <w:r>
        <w:rPr>
          <w:rFonts w:hint="eastAsia" w:ascii="宋体" w:hAnsi="宋体"/>
          <w:color w:val="000000"/>
        </w:rPr>
        <w:t>进行</w:t>
      </w:r>
      <w:r>
        <w:rPr>
          <w:rFonts w:ascii="宋体" w:hAnsi="宋体"/>
          <w:color w:val="000000"/>
        </w:rPr>
        <w:t>门诊类不良事件的填报、处理、查询统计。</w:t>
      </w:r>
    </w:p>
    <w:p>
      <w:pPr>
        <w:pStyle w:val="42"/>
        <w:numPr>
          <w:ilvl w:val="0"/>
          <w:numId w:val="14"/>
        </w:numPr>
        <w:adjustRightInd/>
        <w:ind w:firstLineChars="0"/>
        <w:rPr>
          <w:rFonts w:ascii="宋体" w:hAnsi="宋体"/>
          <w:color w:val="000000"/>
        </w:rPr>
      </w:pPr>
      <w:r>
        <w:rPr>
          <w:rFonts w:ascii="宋体" w:hAnsi="宋体"/>
          <w:color w:val="000000"/>
        </w:rPr>
        <w:t>支持对</w:t>
      </w:r>
      <w:r>
        <w:rPr>
          <w:rFonts w:hint="eastAsia" w:ascii="宋体" w:hAnsi="宋体"/>
          <w:color w:val="000000"/>
        </w:rPr>
        <w:t>门诊类不良事件表单</w:t>
      </w:r>
      <w:r>
        <w:rPr>
          <w:rFonts w:ascii="宋体" w:hAnsi="宋体"/>
          <w:color w:val="000000"/>
        </w:rPr>
        <w:t>模板进行</w:t>
      </w:r>
      <w:r>
        <w:rPr>
          <w:rFonts w:hint="eastAsia" w:ascii="宋体" w:hAnsi="宋体"/>
          <w:color w:val="000000"/>
        </w:rPr>
        <w:t>调整</w:t>
      </w:r>
      <w:r>
        <w:rPr>
          <w:rFonts w:ascii="宋体" w:hAnsi="宋体"/>
          <w:color w:val="000000"/>
        </w:rPr>
        <w:t>。</w:t>
      </w:r>
    </w:p>
    <w:p>
      <w:pPr>
        <w:pStyle w:val="63"/>
        <w:numPr>
          <w:ilvl w:val="0"/>
          <w:numId w:val="16"/>
        </w:numPr>
        <w:spacing w:before="46" w:after="93"/>
        <w:ind w:firstLineChars="0"/>
        <w:rPr>
          <w:b/>
        </w:rPr>
      </w:pPr>
      <w:r>
        <w:rPr>
          <w:rFonts w:hint="eastAsia"/>
          <w:b/>
        </w:rPr>
        <w:t>信息安全类不良事件</w:t>
      </w:r>
    </w:p>
    <w:p>
      <w:pPr>
        <w:pStyle w:val="42"/>
        <w:numPr>
          <w:ilvl w:val="0"/>
          <w:numId w:val="14"/>
        </w:numPr>
        <w:adjustRightInd/>
        <w:ind w:firstLineChars="0"/>
        <w:rPr>
          <w:rFonts w:ascii="宋体" w:hAnsi="宋体"/>
          <w:color w:val="000000"/>
        </w:rPr>
      </w:pPr>
      <w:r>
        <w:rPr>
          <w:rFonts w:ascii="宋体" w:hAnsi="宋体"/>
          <w:color w:val="000000"/>
        </w:rPr>
        <w:t>支持在不良事件管理工作台上，</w:t>
      </w:r>
      <w:r>
        <w:rPr>
          <w:rFonts w:hint="eastAsia" w:ascii="宋体" w:hAnsi="宋体"/>
          <w:color w:val="000000"/>
        </w:rPr>
        <w:t>进行</w:t>
      </w:r>
      <w:r>
        <w:rPr>
          <w:rFonts w:ascii="宋体" w:hAnsi="宋体"/>
          <w:color w:val="000000"/>
        </w:rPr>
        <w:t>信息安全类不良事件的填报、处理、查询统计</w:t>
      </w:r>
      <w:r>
        <w:rPr>
          <w:rFonts w:hint="eastAsia" w:ascii="宋体" w:hAnsi="宋体"/>
          <w:color w:val="000000"/>
        </w:rPr>
        <w:t>，包括</w:t>
      </w:r>
      <w:r>
        <w:rPr>
          <w:rFonts w:ascii="宋体" w:hAnsi="宋体"/>
          <w:color w:val="000000"/>
        </w:rPr>
        <w:t>有害程序事件、信息破坏事件。</w:t>
      </w:r>
    </w:p>
    <w:p>
      <w:pPr>
        <w:pStyle w:val="42"/>
        <w:numPr>
          <w:ilvl w:val="0"/>
          <w:numId w:val="14"/>
        </w:numPr>
        <w:adjustRightInd/>
        <w:ind w:firstLineChars="0"/>
        <w:rPr>
          <w:rFonts w:ascii="宋体" w:hAnsi="宋体"/>
          <w:color w:val="000000"/>
        </w:rPr>
      </w:pPr>
      <w:r>
        <w:rPr>
          <w:rFonts w:ascii="宋体" w:hAnsi="宋体"/>
          <w:color w:val="000000"/>
        </w:rPr>
        <w:t>支持对</w:t>
      </w:r>
      <w:r>
        <w:rPr>
          <w:rFonts w:hint="eastAsia" w:ascii="宋体" w:hAnsi="宋体"/>
          <w:color w:val="000000"/>
        </w:rPr>
        <w:t>信息安全类不良事件表单</w:t>
      </w:r>
      <w:r>
        <w:rPr>
          <w:rFonts w:ascii="宋体" w:hAnsi="宋体"/>
          <w:color w:val="000000"/>
        </w:rPr>
        <w:t>模板进行</w:t>
      </w:r>
      <w:r>
        <w:rPr>
          <w:rFonts w:hint="eastAsia" w:ascii="宋体" w:hAnsi="宋体"/>
          <w:color w:val="000000"/>
        </w:rPr>
        <w:t>调整</w:t>
      </w:r>
      <w:r>
        <w:rPr>
          <w:rFonts w:ascii="宋体" w:hAnsi="宋体"/>
          <w:color w:val="000000"/>
        </w:rPr>
        <w:t>。</w:t>
      </w:r>
    </w:p>
    <w:p>
      <w:pPr>
        <w:pStyle w:val="63"/>
        <w:numPr>
          <w:ilvl w:val="0"/>
          <w:numId w:val="16"/>
        </w:numPr>
        <w:spacing w:before="46" w:after="93"/>
        <w:ind w:firstLineChars="0"/>
        <w:rPr>
          <w:b/>
        </w:rPr>
      </w:pPr>
      <w:r>
        <w:rPr>
          <w:rFonts w:hint="eastAsia"/>
          <w:b/>
        </w:rPr>
        <w:t>职业安全类不良事件</w:t>
      </w:r>
    </w:p>
    <w:p>
      <w:pPr>
        <w:pStyle w:val="42"/>
        <w:numPr>
          <w:ilvl w:val="0"/>
          <w:numId w:val="14"/>
        </w:numPr>
        <w:adjustRightInd/>
        <w:ind w:firstLineChars="0"/>
        <w:rPr>
          <w:rFonts w:ascii="宋体" w:hAnsi="宋体"/>
          <w:color w:val="000000"/>
        </w:rPr>
      </w:pPr>
      <w:r>
        <w:rPr>
          <w:rFonts w:ascii="宋体" w:hAnsi="宋体"/>
          <w:color w:val="000000"/>
        </w:rPr>
        <w:t>支持在不良事件管理工作台上，</w:t>
      </w:r>
      <w:r>
        <w:rPr>
          <w:rFonts w:hint="eastAsia" w:ascii="宋体" w:hAnsi="宋体"/>
          <w:color w:val="000000"/>
        </w:rPr>
        <w:t>进行</w:t>
      </w:r>
      <w:r>
        <w:rPr>
          <w:rFonts w:ascii="宋体" w:hAnsi="宋体"/>
          <w:color w:val="000000"/>
        </w:rPr>
        <w:t>职业安全类不良事件</w:t>
      </w:r>
      <w:r>
        <w:rPr>
          <w:rFonts w:hint="eastAsia" w:ascii="宋体" w:hAnsi="宋体"/>
          <w:color w:val="000000"/>
        </w:rPr>
        <w:t>的</w:t>
      </w:r>
      <w:r>
        <w:rPr>
          <w:rFonts w:ascii="宋体" w:hAnsi="宋体"/>
          <w:color w:val="000000"/>
        </w:rPr>
        <w:t>填报、处理、查询统计</w:t>
      </w:r>
      <w:r>
        <w:rPr>
          <w:rFonts w:hint="eastAsia" w:ascii="宋体" w:hAnsi="宋体"/>
          <w:color w:val="000000"/>
        </w:rPr>
        <w:t>，包括</w:t>
      </w:r>
      <w:r>
        <w:rPr>
          <w:rFonts w:ascii="宋体" w:hAnsi="宋体"/>
          <w:color w:val="000000"/>
        </w:rPr>
        <w:t>职业暴露、血液与体液暴露。</w:t>
      </w:r>
    </w:p>
    <w:p>
      <w:pPr>
        <w:pStyle w:val="42"/>
        <w:numPr>
          <w:ilvl w:val="0"/>
          <w:numId w:val="14"/>
        </w:numPr>
        <w:adjustRightInd/>
        <w:ind w:firstLineChars="0"/>
        <w:rPr>
          <w:rFonts w:ascii="宋体" w:hAnsi="宋体"/>
          <w:color w:val="000000"/>
        </w:rPr>
      </w:pPr>
      <w:r>
        <w:rPr>
          <w:rFonts w:ascii="宋体" w:hAnsi="宋体"/>
          <w:color w:val="000000"/>
        </w:rPr>
        <w:t>支持对</w:t>
      </w:r>
      <w:r>
        <w:rPr>
          <w:rFonts w:hint="eastAsia" w:ascii="宋体" w:hAnsi="宋体"/>
          <w:color w:val="000000"/>
        </w:rPr>
        <w:t>职业安全类不良事件表单</w:t>
      </w:r>
      <w:r>
        <w:rPr>
          <w:rFonts w:ascii="宋体" w:hAnsi="宋体"/>
          <w:color w:val="000000"/>
        </w:rPr>
        <w:t>模板进行</w:t>
      </w:r>
      <w:r>
        <w:rPr>
          <w:rFonts w:hint="eastAsia" w:ascii="宋体" w:hAnsi="宋体"/>
          <w:color w:val="000000"/>
        </w:rPr>
        <w:t>调整</w:t>
      </w:r>
      <w:r>
        <w:rPr>
          <w:rFonts w:ascii="宋体" w:hAnsi="宋体"/>
          <w:color w:val="000000"/>
        </w:rPr>
        <w:t>。</w:t>
      </w:r>
    </w:p>
    <w:p>
      <w:pPr>
        <w:pStyle w:val="7"/>
        <w:numPr>
          <w:ilvl w:val="5"/>
          <w:numId w:val="10"/>
        </w:numPr>
      </w:pPr>
      <w:r>
        <w:rPr>
          <w:rFonts w:hint="eastAsia"/>
        </w:rPr>
        <w:t>康复管理系统</w:t>
      </w:r>
    </w:p>
    <w:p>
      <w:pPr>
        <w:pStyle w:val="8"/>
        <w:numPr>
          <w:ilvl w:val="6"/>
          <w:numId w:val="17"/>
        </w:numPr>
        <w:ind w:left="0" w:firstLine="0"/>
      </w:pPr>
      <w:r>
        <w:rPr>
          <w:rFonts w:hint="eastAsia"/>
        </w:rPr>
        <w:t>康复医生病历</w:t>
      </w:r>
    </w:p>
    <w:p>
      <w:pPr>
        <w:pStyle w:val="63"/>
        <w:numPr>
          <w:ilvl w:val="0"/>
          <w:numId w:val="18"/>
        </w:numPr>
        <w:spacing w:before="46" w:after="93"/>
        <w:ind w:firstLineChars="0"/>
        <w:rPr>
          <w:b/>
        </w:rPr>
      </w:pPr>
      <w:r>
        <w:rPr>
          <w:rFonts w:hint="eastAsia"/>
          <w:b/>
        </w:rPr>
        <w:t>患者康复病历</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支持康复电子病历以文字、图表、影像数据记录康复病人的医疗就诊档案。</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支持提供符合康复卫生政策规范要求的康复电子病历模板。</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asciiTheme="minorEastAsia" w:hAnsiTheme="minorEastAsia" w:cstheme="minorEastAsia"/>
          <w:color w:val="000000"/>
          <w:sz w:val="24"/>
          <w:szCs w:val="24"/>
        </w:rPr>
        <w:t>▲</w:t>
      </w:r>
      <w:r>
        <w:rPr>
          <w:rFonts w:hint="eastAsia" w:asciiTheme="minorEastAsia" w:hAnsiTheme="minorEastAsia" w:cstheme="minorEastAsia"/>
          <w:color w:val="000000"/>
          <w:sz w:val="24"/>
          <w:szCs w:val="24"/>
        </w:rPr>
        <w:t>提供不少于900份康复电子病历模板。</w:t>
      </w:r>
    </w:p>
    <w:p>
      <w:pPr>
        <w:pStyle w:val="87"/>
        <w:snapToGrid w:val="0"/>
        <w:spacing w:line="360" w:lineRule="auto"/>
        <w:ind w:firstLine="1200" w:firstLineChars="5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要求提供不少于900份康复电子病历模板截图证明。</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支持统计分析、预警、三级质量评定事前控制手段，对电子病历实时监控。</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支持智能提醒，包括首次病程记录、查房记录。</w:t>
      </w:r>
    </w:p>
    <w:p>
      <w:pPr>
        <w:pStyle w:val="63"/>
        <w:numPr>
          <w:ilvl w:val="0"/>
          <w:numId w:val="18"/>
        </w:numPr>
        <w:spacing w:before="46" w:after="93"/>
        <w:ind w:firstLineChars="0"/>
        <w:rPr>
          <w:b/>
        </w:rPr>
      </w:pPr>
      <w:r>
        <w:rPr>
          <w:rFonts w:hint="eastAsia"/>
          <w:b/>
        </w:rPr>
        <w:t>历史康复病历的查询与引用</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支持对同一患者的历次就诊病历进行查询。</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支持对历史病历进行段落引用。</w:t>
      </w:r>
    </w:p>
    <w:p>
      <w:pPr>
        <w:pStyle w:val="63"/>
        <w:numPr>
          <w:ilvl w:val="0"/>
          <w:numId w:val="18"/>
        </w:numPr>
        <w:spacing w:before="46" w:after="93"/>
        <w:ind w:firstLineChars="0"/>
        <w:rPr>
          <w:b/>
        </w:rPr>
      </w:pPr>
      <w:r>
        <w:rPr>
          <w:rFonts w:hint="eastAsia"/>
          <w:b/>
        </w:rPr>
        <w:t>康复病历打印</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支持自定义病历打印模板，包括普通病历、特殊格式病历以及套打病历模板。</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支持病程记录类文书连续打印，自动记录续打位置进行病程续打，续打时无需用户干预。</w:t>
      </w:r>
    </w:p>
    <w:p>
      <w:pPr>
        <w:pStyle w:val="8"/>
        <w:numPr>
          <w:ilvl w:val="6"/>
          <w:numId w:val="17"/>
        </w:numPr>
        <w:ind w:left="0" w:firstLine="0"/>
      </w:pPr>
      <w:r>
        <w:t>康复记录调阅</w:t>
      </w:r>
    </w:p>
    <w:p>
      <w:pPr>
        <w:pStyle w:val="42"/>
        <w:numPr>
          <w:ilvl w:val="0"/>
          <w:numId w:val="14"/>
        </w:numPr>
        <w:adjustRightInd/>
        <w:ind w:firstLineChars="0"/>
        <w:rPr>
          <w:rFonts w:ascii="宋体" w:hAnsi="宋体"/>
          <w:color w:val="000000"/>
        </w:rPr>
      </w:pPr>
      <w:r>
        <w:rPr>
          <w:rFonts w:hint="eastAsia" w:ascii="宋体" w:hAnsi="宋体"/>
          <w:color w:val="000000"/>
        </w:rPr>
        <w:t>支持下达康复治疗申请处方时调阅临床医疗记录、检查检验报告。</w:t>
      </w:r>
    </w:p>
    <w:p>
      <w:pPr>
        <w:pStyle w:val="8"/>
        <w:numPr>
          <w:ilvl w:val="6"/>
          <w:numId w:val="17"/>
        </w:numPr>
        <w:ind w:left="0" w:firstLine="0"/>
      </w:pPr>
      <w:r>
        <w:rPr>
          <w:rFonts w:hint="eastAsia"/>
        </w:rPr>
        <w:t>门诊治疗申请单</w:t>
      </w:r>
    </w:p>
    <w:p>
      <w:pPr>
        <w:pStyle w:val="42"/>
        <w:numPr>
          <w:ilvl w:val="0"/>
          <w:numId w:val="14"/>
        </w:numPr>
        <w:adjustRightInd/>
        <w:ind w:firstLineChars="0"/>
        <w:rPr>
          <w:rFonts w:ascii="宋体" w:hAnsi="宋体"/>
          <w:color w:val="000000"/>
        </w:rPr>
      </w:pPr>
      <w:r>
        <w:rPr>
          <w:rFonts w:hint="eastAsia" w:ascii="宋体" w:hAnsi="宋体"/>
          <w:color w:val="000000"/>
        </w:rPr>
        <w:t xml:space="preserve">支持从全院统一的字典中选择治疗项目，下达申请的同时生成必要的电子处方，并能将治疗申请传送给相关科室，并可生成收费信息。 </w:t>
      </w:r>
    </w:p>
    <w:p>
      <w:pPr>
        <w:pStyle w:val="42"/>
        <w:numPr>
          <w:ilvl w:val="0"/>
          <w:numId w:val="14"/>
        </w:numPr>
        <w:adjustRightInd/>
        <w:ind w:firstLineChars="0"/>
        <w:rPr>
          <w:rFonts w:ascii="宋体" w:hAnsi="宋体"/>
          <w:color w:val="000000"/>
        </w:rPr>
      </w:pPr>
      <w:r>
        <w:rPr>
          <w:rFonts w:hint="eastAsia" w:ascii="宋体" w:hAnsi="宋体"/>
          <w:color w:val="000000"/>
        </w:rPr>
        <w:t>下达治疗申请时能查询适应症、作用、注意事项，支持获取电子病历中的主诉、现病史等，默认为临床信息；支持直接获取病人诊断，无需重复录入。</w:t>
      </w:r>
    </w:p>
    <w:p>
      <w:pPr>
        <w:pStyle w:val="42"/>
        <w:numPr>
          <w:ilvl w:val="0"/>
          <w:numId w:val="14"/>
        </w:numPr>
        <w:adjustRightInd/>
        <w:ind w:firstLineChars="0"/>
        <w:rPr>
          <w:rFonts w:ascii="宋体" w:hAnsi="宋体"/>
          <w:color w:val="000000"/>
        </w:rPr>
      </w:pPr>
      <w:r>
        <w:rPr>
          <w:rFonts w:hint="eastAsia" w:ascii="宋体" w:hAnsi="宋体"/>
          <w:color w:val="000000"/>
        </w:rPr>
        <w:t>支持申请单备注信息、项目注意事项、申请单注意事项等信息录入。</w:t>
      </w:r>
    </w:p>
    <w:p>
      <w:pPr>
        <w:pStyle w:val="42"/>
        <w:numPr>
          <w:ilvl w:val="0"/>
          <w:numId w:val="14"/>
        </w:numPr>
        <w:adjustRightInd/>
        <w:ind w:firstLineChars="0"/>
        <w:rPr>
          <w:rFonts w:ascii="宋体" w:hAnsi="宋体"/>
          <w:color w:val="000000"/>
        </w:rPr>
      </w:pPr>
      <w:r>
        <w:rPr>
          <w:rFonts w:hint="eastAsia" w:ascii="宋体" w:hAnsi="宋体"/>
          <w:color w:val="000000"/>
        </w:rPr>
        <w:t xml:space="preserve">治疗申请数据记录在统一管理机制中，支持生成不同格式的HTML格式申请单，供治疗科室调阅原始开单信息，支持编辑为原纸质申请单格式；支持治疗申请单打印、补打印，方便医院各种流程。 </w:t>
      </w:r>
    </w:p>
    <w:p>
      <w:pPr>
        <w:pStyle w:val="42"/>
        <w:numPr>
          <w:ilvl w:val="0"/>
          <w:numId w:val="14"/>
        </w:numPr>
        <w:adjustRightInd/>
        <w:ind w:firstLineChars="0"/>
        <w:rPr>
          <w:rFonts w:ascii="宋体" w:hAnsi="宋体"/>
          <w:color w:val="000000"/>
        </w:rPr>
      </w:pPr>
      <w:r>
        <w:rPr>
          <w:rFonts w:hint="eastAsia" w:ascii="宋体" w:hAnsi="宋体"/>
          <w:color w:val="000000"/>
        </w:rPr>
        <w:t>下达治疗申请处方时，可查询临床医疗记录、检查检验结果。</w:t>
      </w:r>
    </w:p>
    <w:p>
      <w:pPr>
        <w:pStyle w:val="42"/>
        <w:numPr>
          <w:ilvl w:val="0"/>
          <w:numId w:val="14"/>
        </w:numPr>
        <w:adjustRightInd/>
        <w:ind w:firstLineChars="0"/>
        <w:rPr>
          <w:rFonts w:ascii="宋体" w:hAnsi="宋体"/>
          <w:color w:val="000000"/>
        </w:rPr>
      </w:pPr>
      <w:r>
        <w:rPr>
          <w:rFonts w:hint="eastAsia" w:ascii="宋体" w:hAnsi="宋体"/>
          <w:color w:val="000000"/>
        </w:rPr>
        <w:t>可针对患者性别、诊断、以往检查检验结果等给出提示。</w:t>
      </w:r>
    </w:p>
    <w:p>
      <w:pPr>
        <w:pStyle w:val="42"/>
        <w:numPr>
          <w:ilvl w:val="0"/>
          <w:numId w:val="14"/>
        </w:numPr>
        <w:adjustRightInd/>
        <w:ind w:firstLineChars="0"/>
      </w:pPr>
      <w:r>
        <w:rPr>
          <w:rFonts w:hint="eastAsia" w:ascii="宋体" w:hAnsi="宋体"/>
          <w:color w:val="000000"/>
        </w:rPr>
        <w:t>治疗数据可供全院访问，治疗记录纳入全院统一的医疗档案体系，在必要的治疗项目中可根据检验结果对治疗参数自动给出建议，对于高风险治疗有警示和必要的核查。</w:t>
      </w:r>
    </w:p>
    <w:p>
      <w:pPr>
        <w:pStyle w:val="8"/>
        <w:numPr>
          <w:ilvl w:val="6"/>
          <w:numId w:val="17"/>
        </w:numPr>
        <w:ind w:left="0" w:firstLine="0"/>
      </w:pPr>
      <w:r>
        <w:rPr>
          <w:rFonts w:hint="eastAsia"/>
        </w:rPr>
        <w:t>治疗评估</w:t>
      </w:r>
    </w:p>
    <w:p>
      <w:pPr>
        <w:pStyle w:val="42"/>
        <w:numPr>
          <w:ilvl w:val="0"/>
          <w:numId w:val="14"/>
        </w:numPr>
        <w:adjustRightInd/>
        <w:ind w:firstLineChars="0"/>
      </w:pPr>
      <w:r>
        <w:rPr>
          <w:rFonts w:hint="eastAsia" w:ascii="宋体" w:hAnsi="宋体"/>
          <w:color w:val="000000"/>
        </w:rPr>
        <w:t>支持改良Barthel、MMT肌力分级标准、PROM评定量表、偏瘫运动功能评价评估量表的录入，修改。</w:t>
      </w:r>
    </w:p>
    <w:p>
      <w:pPr>
        <w:pStyle w:val="8"/>
        <w:numPr>
          <w:ilvl w:val="6"/>
          <w:numId w:val="17"/>
        </w:numPr>
        <w:ind w:left="0" w:firstLine="0"/>
      </w:pPr>
      <w:r>
        <w:t>统计分析</w:t>
      </w:r>
    </w:p>
    <w:p>
      <w:pPr>
        <w:ind w:firstLine="480"/>
        <w:rPr>
          <w:rFonts w:ascii="宋体" w:hAnsi="宋体" w:eastAsia="宋体" w:cs="宋体"/>
          <w:szCs w:val="24"/>
        </w:rPr>
      </w:pPr>
      <w:r>
        <w:rPr>
          <w:rFonts w:hint="eastAsia" w:ascii="宋体" w:hAnsi="宋体" w:eastAsia="宋体" w:cs="宋体"/>
          <w:szCs w:val="24"/>
        </w:rPr>
        <w:t>为科室主任及院方提供及时精准的管理分析数据，为科室决策提供数据支撑，要求如下：</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支持各治疗区病人来源科室统计、收入统计、病种统计。</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支持治疗区内各个治疗师工作量统计、治疗项目分类统计。</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支持统计设备的排班率、使用率，可形成日报、周报、月报，支持自定义报表。</w:t>
      </w:r>
    </w:p>
    <w:p>
      <w:pPr>
        <w:pStyle w:val="8"/>
        <w:numPr>
          <w:ilvl w:val="6"/>
          <w:numId w:val="17"/>
        </w:numPr>
        <w:ind w:left="0" w:firstLine="0"/>
      </w:pPr>
      <w:r>
        <w:rPr>
          <w:rFonts w:hint="eastAsia"/>
        </w:rPr>
        <w:t>治疗预约管理</w:t>
      </w:r>
    </w:p>
    <w:p>
      <w:pPr>
        <w:pStyle w:val="42"/>
        <w:numPr>
          <w:ilvl w:val="0"/>
          <w:numId w:val="14"/>
        </w:numPr>
        <w:adjustRightInd/>
        <w:ind w:firstLineChars="0"/>
        <w:rPr>
          <w:rFonts w:ascii="宋体" w:hAnsi="宋体"/>
          <w:color w:val="000000"/>
        </w:rPr>
      </w:pPr>
      <w:r>
        <w:rPr>
          <w:rFonts w:hint="eastAsia" w:ascii="宋体" w:hAnsi="宋体"/>
          <w:color w:val="000000"/>
        </w:rPr>
        <w:t>治疗单预约，病人可以在治疗室对未完成的治疗项目预约下次治疗的日期，通知病人下次就诊时间，可修改调整预约日期,也可对已预约的治疗进行取消预约。</w:t>
      </w:r>
    </w:p>
    <w:p>
      <w:pPr>
        <w:pStyle w:val="8"/>
        <w:numPr>
          <w:ilvl w:val="6"/>
          <w:numId w:val="17"/>
        </w:numPr>
        <w:ind w:left="0" w:firstLine="0"/>
      </w:pPr>
      <w:r>
        <w:rPr>
          <w:rFonts w:hint="eastAsia"/>
        </w:rPr>
        <w:t>治疗项目管理</w:t>
      </w:r>
    </w:p>
    <w:p>
      <w:pPr>
        <w:pStyle w:val="42"/>
        <w:numPr>
          <w:ilvl w:val="0"/>
          <w:numId w:val="14"/>
        </w:numPr>
        <w:adjustRightInd/>
        <w:ind w:firstLineChars="0"/>
        <w:rPr>
          <w:rFonts w:ascii="宋体" w:hAnsi="宋体"/>
          <w:color w:val="000000"/>
        </w:rPr>
      </w:pPr>
      <w:r>
        <w:rPr>
          <w:rFonts w:hint="eastAsia" w:ascii="宋体" w:hAnsi="宋体"/>
          <w:color w:val="000000"/>
        </w:rPr>
        <w:t>支持治疗单科室维护，提供对治疗科室的维护以及挂号到治疗科室的病人能在治疗系统中开治疗项目，支持对治疗科室的新增、删除、修改、停启用。</w:t>
      </w:r>
    </w:p>
    <w:p>
      <w:pPr>
        <w:pStyle w:val="42"/>
        <w:numPr>
          <w:ilvl w:val="0"/>
          <w:numId w:val="14"/>
        </w:numPr>
        <w:adjustRightInd/>
        <w:ind w:firstLineChars="0"/>
        <w:rPr>
          <w:rFonts w:ascii="宋体" w:hAnsi="宋体"/>
          <w:color w:val="000000"/>
        </w:rPr>
      </w:pPr>
      <w:r>
        <w:rPr>
          <w:rFonts w:hint="eastAsia" w:ascii="宋体" w:hAnsi="宋体"/>
          <w:color w:val="000000"/>
        </w:rPr>
        <w:t>治疗分类维护，提供对治疗分类的维护,用于区分不同的治疗分类，支持对治疗分类的新增，删除，修改。</w:t>
      </w:r>
    </w:p>
    <w:p>
      <w:pPr>
        <w:pStyle w:val="42"/>
        <w:numPr>
          <w:ilvl w:val="0"/>
          <w:numId w:val="14"/>
        </w:numPr>
        <w:adjustRightInd/>
        <w:ind w:firstLineChars="0"/>
        <w:rPr>
          <w:rFonts w:ascii="宋体" w:hAnsi="宋体"/>
          <w:color w:val="000000"/>
        </w:rPr>
      </w:pPr>
      <w:r>
        <w:rPr>
          <w:rFonts w:hint="eastAsia" w:ascii="宋体" w:hAnsi="宋体"/>
          <w:color w:val="000000"/>
        </w:rPr>
        <w:t>治疗项目分类对应设置，提供治疗项目和治疗分类对应的维护,用于维护治疗室可以做哪些项目和治疗项目属于哪种治疗分类，支持对治疗分类的新增、修改、停启用。</w:t>
      </w:r>
    </w:p>
    <w:p>
      <w:pPr>
        <w:pStyle w:val="42"/>
        <w:numPr>
          <w:ilvl w:val="0"/>
          <w:numId w:val="14"/>
        </w:numPr>
        <w:adjustRightInd/>
        <w:ind w:firstLineChars="0"/>
        <w:rPr>
          <w:rFonts w:ascii="宋体" w:hAnsi="宋体"/>
          <w:color w:val="000000"/>
        </w:rPr>
      </w:pPr>
      <w:r>
        <w:rPr>
          <w:rFonts w:hint="eastAsia" w:ascii="宋体" w:hAnsi="宋体"/>
          <w:color w:val="000000"/>
        </w:rPr>
        <w:t>治疗组维护，提供对治疗组的维护,对治疗室人员的分组名称的基础信息的维护，支持对治疗组的新增，删除，修改。</w:t>
      </w:r>
    </w:p>
    <w:p>
      <w:pPr>
        <w:pStyle w:val="42"/>
        <w:numPr>
          <w:ilvl w:val="0"/>
          <w:numId w:val="14"/>
        </w:numPr>
        <w:adjustRightInd/>
        <w:ind w:firstLineChars="0"/>
        <w:rPr>
          <w:rFonts w:ascii="宋体" w:hAnsi="宋体"/>
          <w:color w:val="000000"/>
        </w:rPr>
      </w:pPr>
      <w:r>
        <w:rPr>
          <w:rFonts w:hint="eastAsia" w:ascii="宋体" w:hAnsi="宋体"/>
          <w:color w:val="000000"/>
        </w:rPr>
        <w:t>治疗组医生对应设置，提供治疗组和医生对应的维护,用于维护一个治疗组内有哪些医生，负责同类治疗项目的人员维护在同一组内,支持对治疗组和医生对应的新增、修改、停启用。</w:t>
      </w:r>
    </w:p>
    <w:p>
      <w:pPr>
        <w:pStyle w:val="42"/>
        <w:numPr>
          <w:ilvl w:val="0"/>
          <w:numId w:val="14"/>
        </w:numPr>
        <w:adjustRightInd/>
        <w:ind w:firstLineChars="0"/>
        <w:rPr>
          <w:rFonts w:ascii="宋体" w:hAnsi="宋体"/>
          <w:color w:val="000000"/>
        </w:rPr>
      </w:pPr>
      <w:r>
        <w:rPr>
          <w:rFonts w:hint="eastAsia" w:ascii="宋体" w:hAnsi="宋体"/>
          <w:color w:val="000000"/>
        </w:rPr>
        <w:t>治疗诊疗对应设置，提供治疗组和诊疗组对应的维护,支持对治疗组和诊疗组对应的新增、修改、停启用。</w:t>
      </w:r>
    </w:p>
    <w:p>
      <w:pPr>
        <w:pStyle w:val="42"/>
        <w:numPr>
          <w:ilvl w:val="0"/>
          <w:numId w:val="14"/>
        </w:numPr>
        <w:adjustRightInd/>
        <w:ind w:firstLineChars="0"/>
        <w:rPr>
          <w:rFonts w:ascii="宋体" w:hAnsi="宋体"/>
          <w:color w:val="000000"/>
        </w:rPr>
      </w:pPr>
      <w:r>
        <w:rPr>
          <w:rFonts w:hint="eastAsia" w:ascii="宋体" w:hAnsi="宋体"/>
          <w:color w:val="000000"/>
        </w:rPr>
        <w:t>治疗单工作站，包括治疗单确认、治疗单划价、治疗单预约和治疗记录。支持集成病人信息查询。</w:t>
      </w:r>
    </w:p>
    <w:p>
      <w:pPr>
        <w:pStyle w:val="42"/>
        <w:numPr>
          <w:ilvl w:val="0"/>
          <w:numId w:val="14"/>
        </w:numPr>
        <w:adjustRightInd/>
        <w:ind w:firstLineChars="0"/>
        <w:rPr>
          <w:rFonts w:ascii="宋体" w:hAnsi="宋体"/>
          <w:color w:val="000000"/>
        </w:rPr>
      </w:pPr>
      <w:r>
        <w:rPr>
          <w:rFonts w:hint="eastAsia" w:ascii="宋体" w:hAnsi="宋体"/>
          <w:color w:val="000000"/>
        </w:rPr>
        <w:t>治疗单确认，对病人治疗项目的确认，可单条治疗项目确认可多条治疗项目确认，可成组项目一起确认；对误确认的治疗项目支持撤销确认，撤销的治疗项目同时退费；支持收费与退费等。住院支持退费，门诊撤销，到收费处退费。</w:t>
      </w:r>
    </w:p>
    <w:p>
      <w:pPr>
        <w:pStyle w:val="42"/>
        <w:numPr>
          <w:ilvl w:val="0"/>
          <w:numId w:val="14"/>
        </w:numPr>
        <w:adjustRightInd/>
        <w:ind w:firstLineChars="0"/>
        <w:rPr>
          <w:rFonts w:ascii="宋体" w:hAnsi="宋体"/>
          <w:color w:val="000000"/>
        </w:rPr>
      </w:pPr>
      <w:r>
        <w:rPr>
          <w:rFonts w:hint="eastAsia" w:ascii="宋体" w:hAnsi="宋体"/>
          <w:color w:val="000000"/>
        </w:rPr>
        <w:t>治疗单划价，根据病人的治疗项目录入换药项目，也可录入新的治疗处方，可查看病人的换药信息，可录入换药项目并收费。</w:t>
      </w:r>
    </w:p>
    <w:p>
      <w:pPr>
        <w:pStyle w:val="42"/>
        <w:numPr>
          <w:ilvl w:val="0"/>
          <w:numId w:val="14"/>
        </w:numPr>
        <w:adjustRightInd/>
        <w:ind w:firstLineChars="0"/>
        <w:rPr>
          <w:rFonts w:ascii="宋体" w:hAnsi="宋体"/>
          <w:color w:val="000000"/>
        </w:rPr>
      </w:pPr>
      <w:r>
        <w:rPr>
          <w:rFonts w:hint="eastAsia" w:ascii="宋体" w:hAnsi="宋体"/>
          <w:color w:val="000000"/>
        </w:rPr>
        <w:t>治疗病人签到，提供病人到治疗室取排队号,支持打印签到排队流水号与补打排队流水号。</w:t>
      </w:r>
    </w:p>
    <w:p>
      <w:pPr>
        <w:pStyle w:val="42"/>
        <w:numPr>
          <w:ilvl w:val="0"/>
          <w:numId w:val="14"/>
        </w:numPr>
        <w:adjustRightInd/>
        <w:ind w:firstLineChars="0"/>
        <w:rPr>
          <w:rFonts w:ascii="宋体" w:hAnsi="宋体"/>
          <w:color w:val="000000"/>
        </w:rPr>
      </w:pPr>
      <w:r>
        <w:rPr>
          <w:rFonts w:hint="eastAsia" w:ascii="宋体" w:hAnsi="宋体"/>
          <w:color w:val="000000"/>
        </w:rPr>
        <w:t>预约信息查询：支持查询病人的预约治疗单信息，可根据科室，预约日期对门诊或住院的预约信息进行查询。</w:t>
      </w:r>
    </w:p>
    <w:p>
      <w:pPr>
        <w:pStyle w:val="42"/>
        <w:numPr>
          <w:ilvl w:val="0"/>
          <w:numId w:val="14"/>
        </w:numPr>
        <w:adjustRightInd/>
        <w:ind w:firstLineChars="0"/>
        <w:rPr>
          <w:rFonts w:ascii="宋体" w:hAnsi="宋体"/>
          <w:color w:val="000000"/>
        </w:rPr>
      </w:pPr>
      <w:r>
        <w:rPr>
          <w:rFonts w:hint="eastAsia" w:ascii="宋体" w:hAnsi="宋体"/>
          <w:color w:val="000000"/>
        </w:rPr>
        <w:t>治疗过程查询：用于查询病人的治疗项目的确认明细信息和撤销确认明细信息。</w:t>
      </w:r>
    </w:p>
    <w:p>
      <w:pPr>
        <w:pStyle w:val="42"/>
        <w:numPr>
          <w:ilvl w:val="0"/>
          <w:numId w:val="14"/>
        </w:numPr>
        <w:adjustRightInd/>
        <w:ind w:firstLineChars="0"/>
        <w:rPr>
          <w:rFonts w:ascii="宋体" w:hAnsi="宋体"/>
          <w:color w:val="000000"/>
        </w:rPr>
      </w:pPr>
      <w:r>
        <w:rPr>
          <w:rFonts w:hint="eastAsia" w:ascii="宋体" w:hAnsi="宋体"/>
          <w:color w:val="000000"/>
        </w:rPr>
        <w:t>治疗确费查询：用于查询病人的治疗项目的确认情况，可查询病人的已确认，未确认，不能确认的治疗项目。</w:t>
      </w:r>
    </w:p>
    <w:p>
      <w:pPr>
        <w:pStyle w:val="42"/>
        <w:numPr>
          <w:ilvl w:val="0"/>
          <w:numId w:val="14"/>
        </w:numPr>
        <w:adjustRightInd/>
        <w:ind w:firstLineChars="0"/>
        <w:rPr>
          <w:rFonts w:ascii="宋体" w:hAnsi="宋体"/>
          <w:color w:val="000000"/>
        </w:rPr>
      </w:pPr>
      <w:r>
        <w:rPr>
          <w:rFonts w:hint="eastAsia" w:ascii="宋体" w:hAnsi="宋体"/>
          <w:color w:val="000000"/>
        </w:rPr>
        <w:t>治疗汇总数据查询：用于统计医生或科室在一段时间内确认的项目数量、人数、撤销项目数量，确认项目明细等信息。</w:t>
      </w:r>
    </w:p>
    <w:p>
      <w:pPr>
        <w:pStyle w:val="8"/>
        <w:numPr>
          <w:ilvl w:val="6"/>
          <w:numId w:val="17"/>
        </w:numPr>
        <w:ind w:left="0" w:firstLine="0"/>
      </w:pPr>
      <w:r>
        <w:rPr>
          <w:rFonts w:hint="eastAsia"/>
        </w:rPr>
        <w:t>住院治疗申请单</w:t>
      </w:r>
    </w:p>
    <w:p>
      <w:pPr>
        <w:pStyle w:val="42"/>
        <w:numPr>
          <w:ilvl w:val="0"/>
          <w:numId w:val="14"/>
        </w:numPr>
        <w:adjustRightInd/>
        <w:ind w:firstLineChars="0"/>
        <w:rPr>
          <w:rFonts w:ascii="宋体" w:hAnsi="宋体"/>
          <w:color w:val="000000"/>
        </w:rPr>
      </w:pPr>
      <w:r>
        <w:rPr>
          <w:rFonts w:hint="eastAsia" w:ascii="宋体" w:hAnsi="宋体"/>
          <w:color w:val="000000"/>
        </w:rPr>
        <w:t xml:space="preserve">支持从全院统一的字典中选择治疗项目，下达申请的同时生成必要的医嘱，并能将治疗申请传送给相关科室，并可生成收费信息。 </w:t>
      </w:r>
    </w:p>
    <w:p>
      <w:pPr>
        <w:pStyle w:val="42"/>
        <w:numPr>
          <w:ilvl w:val="0"/>
          <w:numId w:val="14"/>
        </w:numPr>
        <w:adjustRightInd/>
        <w:ind w:firstLineChars="0"/>
        <w:rPr>
          <w:rFonts w:ascii="宋体" w:hAnsi="宋体"/>
          <w:color w:val="000000"/>
        </w:rPr>
      </w:pPr>
      <w:r>
        <w:rPr>
          <w:rFonts w:hint="eastAsia" w:ascii="宋体" w:hAnsi="宋体"/>
          <w:color w:val="000000"/>
        </w:rPr>
        <w:t>下达治疗申请时能查询适应症、作用、注意事项，支持获取电子病历中的主诉、现病史等默认为临床信息、支持直接获取病人诊断，无需重复录入。</w:t>
      </w:r>
    </w:p>
    <w:p>
      <w:pPr>
        <w:pStyle w:val="42"/>
        <w:numPr>
          <w:ilvl w:val="0"/>
          <w:numId w:val="14"/>
        </w:numPr>
        <w:adjustRightInd/>
        <w:ind w:firstLineChars="0"/>
        <w:rPr>
          <w:rFonts w:ascii="宋体" w:hAnsi="宋体"/>
          <w:color w:val="000000"/>
        </w:rPr>
      </w:pPr>
      <w:r>
        <w:rPr>
          <w:rFonts w:hint="eastAsia" w:ascii="宋体" w:hAnsi="宋体"/>
          <w:color w:val="000000"/>
        </w:rPr>
        <w:t>提供申请单备注信息、项目注意事项、申请单注意事项等信息录入。</w:t>
      </w:r>
    </w:p>
    <w:p>
      <w:pPr>
        <w:pStyle w:val="42"/>
        <w:numPr>
          <w:ilvl w:val="0"/>
          <w:numId w:val="14"/>
        </w:numPr>
        <w:adjustRightInd/>
        <w:ind w:firstLineChars="0"/>
        <w:rPr>
          <w:rFonts w:ascii="宋体" w:hAnsi="宋体"/>
          <w:color w:val="000000"/>
        </w:rPr>
      </w:pPr>
      <w:r>
        <w:rPr>
          <w:rFonts w:hint="eastAsia" w:ascii="宋体" w:hAnsi="宋体"/>
          <w:color w:val="000000"/>
        </w:rPr>
        <w:t xml:space="preserve">治疗申请数据记录在统一管理机制中，支持生成不同格式的HTML格式申请单，供治疗科室调阅原始开单信息，支持编辑为原纸质申请单格式；支持治疗申请单打印、补打印，方便医院各种流程。 </w:t>
      </w:r>
    </w:p>
    <w:p>
      <w:pPr>
        <w:pStyle w:val="42"/>
        <w:numPr>
          <w:ilvl w:val="0"/>
          <w:numId w:val="14"/>
        </w:numPr>
        <w:adjustRightInd/>
        <w:ind w:firstLineChars="0"/>
        <w:rPr>
          <w:rFonts w:ascii="宋体" w:hAnsi="宋体"/>
          <w:color w:val="000000"/>
        </w:rPr>
      </w:pPr>
      <w:r>
        <w:rPr>
          <w:rFonts w:hint="eastAsia" w:ascii="宋体" w:hAnsi="宋体"/>
          <w:color w:val="000000"/>
        </w:rPr>
        <w:t>下达治疗申请医嘱时，可查询临床医疗记录、检查检验结果。</w:t>
      </w:r>
    </w:p>
    <w:p>
      <w:pPr>
        <w:pStyle w:val="42"/>
        <w:numPr>
          <w:ilvl w:val="0"/>
          <w:numId w:val="14"/>
        </w:numPr>
        <w:adjustRightInd/>
        <w:ind w:firstLineChars="0"/>
        <w:rPr>
          <w:rFonts w:ascii="宋体" w:hAnsi="宋体"/>
          <w:color w:val="000000"/>
        </w:rPr>
      </w:pPr>
      <w:r>
        <w:rPr>
          <w:rFonts w:hint="eastAsia" w:ascii="宋体" w:hAnsi="宋体"/>
          <w:color w:val="000000"/>
        </w:rPr>
        <w:t>可针对患者性别、诊断、以往检查检验结果等给出提示。</w:t>
      </w:r>
    </w:p>
    <w:p>
      <w:pPr>
        <w:pStyle w:val="42"/>
        <w:numPr>
          <w:ilvl w:val="0"/>
          <w:numId w:val="14"/>
        </w:numPr>
        <w:adjustRightInd/>
        <w:ind w:firstLineChars="0"/>
      </w:pPr>
      <w:r>
        <w:rPr>
          <w:rFonts w:hint="eastAsia" w:ascii="宋体" w:hAnsi="宋体"/>
          <w:color w:val="000000"/>
        </w:rPr>
        <w:t>治疗数据可供全院访问，治疗记录纳入全院统一的医疗档案体系，在必要的治疗项目中可根据检验结果对治疗参数自动给出建议，对于高风险治疗有警示和必要的核查。</w:t>
      </w:r>
    </w:p>
    <w:p>
      <w:pPr>
        <w:pStyle w:val="7"/>
        <w:numPr>
          <w:ilvl w:val="5"/>
          <w:numId w:val="10"/>
        </w:numPr>
      </w:pPr>
      <w:r>
        <w:rPr>
          <w:rFonts w:hint="eastAsia"/>
        </w:rPr>
        <w:t>临床信息调阅</w:t>
      </w:r>
    </w:p>
    <w:p>
      <w:pPr>
        <w:ind w:firstLine="480" w:firstLineChars="200"/>
      </w:pPr>
      <w:r>
        <w:rPr>
          <w:rFonts w:hint="eastAsia"/>
        </w:rPr>
        <w:t>医生站根据患者信息合并后的主索引，实现患者在本院的历史门诊或住院就诊信息的集中调阅。</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患者就诊记录：按日期展示患者门诊、住院的就诊记录。</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临床诊断：查看患者历次就诊的门诊、住院诊断记录，诊断名称、时间。</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病历文书：查看该患者历次就诊完整的门诊病历和住院病历，如入院小结、病程记录、手术记录、出院小结、住院病案首页等。</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医嘱/处方：查看该患者历次就诊完整的门诊处方记录、住院长期医嘱、临时医嘱信息，如用药、治疗、护理、膳食等。</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检验申请：查看该患者历次就诊完整检验申请单项目、标本、执行科室及注意事项等。</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检查申请：查看该患者历次就诊完整检查申请单项目、执行科室、临床诊断、检查目的、注意事项等。</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检查报告：查看患者历次就诊的RIS/PACS检查的文字报告、影像报告。</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检验报告：查看患者历次就诊的LIS报告记录。</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护理病历：可以查看患者历次就诊的护理病历信息。</w:t>
      </w:r>
    </w:p>
    <w:p>
      <w:pPr>
        <w:pStyle w:val="7"/>
        <w:numPr>
          <w:ilvl w:val="5"/>
          <w:numId w:val="10"/>
        </w:numPr>
      </w:pPr>
      <w:r>
        <w:rPr>
          <w:rFonts w:hint="eastAsia"/>
        </w:rPr>
        <w:t>门诊专科电子病历</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支持对中医科特殊模板进行定制。</w:t>
      </w:r>
    </w:p>
    <w:p>
      <w:pPr>
        <w:pStyle w:val="7"/>
        <w:numPr>
          <w:ilvl w:val="5"/>
          <w:numId w:val="10"/>
        </w:numPr>
      </w:pPr>
      <w:r>
        <w:rPr>
          <w:rFonts w:hint="eastAsia"/>
        </w:rPr>
        <w:t>病历质控</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支持三级阅改，医疗文书操作权限可设置。</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提供阅改中保留阅改者修改痕迹。阅改完成后提交病历，自动记录阅改人、阅改内容、阅改时间。</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支持病人医疗文书的阅改记录查询，原稿和修改稿之间的修改内容分颜色显示，对同一份医疗文书可显示多次阅改记录。</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支持病历的医生自评、科室审核评分和病案室终末评分等多级评分。</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支持自动评分规则，对病历中的缺陷可由系统进行自动判断，辅助主观部分的手动评分，形成质量评分结果。</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支持病历时限控制，并可以按照医院要求增加时限控制任务，可设置是否提示，是否控制录入，是否限制录入。</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支持医生打开病人病历时提醒医生需要完成的病历任务。任务包括重要任务、未完任务、超时任务等。</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提供医务科监控，可设置医院重点抽查病人，并对进行病历抽查。</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提供问题登记跟踪，可登记抽查中发现的问题，并发送消息给医生；医生可根据提出的问题修改医疗文书，完成后交由医务科重新审核后关闭问题。</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提供对各种质量数据进行分类汇总功能，可生成质量分析报告。</w:t>
      </w:r>
    </w:p>
    <w:p>
      <w:pPr>
        <w:pStyle w:val="7"/>
        <w:numPr>
          <w:ilvl w:val="5"/>
          <w:numId w:val="10"/>
        </w:numPr>
      </w:pPr>
      <w:r>
        <w:t>病史质量控制</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对非书写病史医师，不能操作病史打印进行权限控制。</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病史撤销需要有流程图文档发给科室进行权限控制。</w:t>
      </w:r>
    </w:p>
    <w:p>
      <w:pPr>
        <w:pStyle w:val="6"/>
        <w:numPr>
          <w:ilvl w:val="4"/>
          <w:numId w:val="10"/>
        </w:numPr>
      </w:pPr>
      <w:r>
        <w:t>病种管理</w:t>
      </w:r>
    </w:p>
    <w:p>
      <w:pPr>
        <w:pStyle w:val="7"/>
        <w:numPr>
          <w:ilvl w:val="5"/>
          <w:numId w:val="10"/>
        </w:numPr>
      </w:pPr>
      <w:r>
        <w:rPr>
          <w:rFonts w:hint="eastAsia"/>
        </w:rPr>
        <w:t>数据集成质控</w:t>
      </w:r>
    </w:p>
    <w:p>
      <w:pPr>
        <w:pStyle w:val="63"/>
        <w:numPr>
          <w:ilvl w:val="0"/>
          <w:numId w:val="20"/>
        </w:numPr>
        <w:spacing w:before="46" w:after="93"/>
        <w:ind w:firstLineChars="0"/>
        <w:rPr>
          <w:b/>
        </w:rPr>
      </w:pPr>
      <w:r>
        <w:rPr>
          <w:rFonts w:hint="eastAsia"/>
          <w:b/>
        </w:rPr>
        <w:t>数据模型构建</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建立标准数据存储模型，实现质控后口径数据的一致性存储。</w:t>
      </w:r>
    </w:p>
    <w:p>
      <w:pPr>
        <w:pStyle w:val="63"/>
        <w:numPr>
          <w:ilvl w:val="0"/>
          <w:numId w:val="20"/>
        </w:numPr>
        <w:spacing w:before="46" w:after="93"/>
        <w:ind w:firstLineChars="0"/>
        <w:rPr>
          <w:b/>
        </w:rPr>
      </w:pPr>
      <w:r>
        <w:rPr>
          <w:rFonts w:hint="eastAsia"/>
          <w:b/>
        </w:rPr>
        <w:t>数据映射导入</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建立按标准数据模型的数据存储库，支持数据的映射导入，支持单条处理和批量处理。</w:t>
      </w:r>
    </w:p>
    <w:p>
      <w:pPr>
        <w:pStyle w:val="63"/>
        <w:numPr>
          <w:ilvl w:val="0"/>
          <w:numId w:val="20"/>
        </w:numPr>
        <w:spacing w:before="46" w:after="93"/>
        <w:ind w:firstLineChars="0"/>
        <w:rPr>
          <w:b/>
        </w:rPr>
      </w:pPr>
      <w:r>
        <w:rPr>
          <w:rFonts w:hint="eastAsia"/>
          <w:b/>
        </w:rPr>
        <w:t>▲数据采集预览</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根据数据模型要求，无缝对接业务系统或CDR进行数据采集，支持数据基础 </w:t>
      </w:r>
      <w:r>
        <w:rPr>
          <w:rFonts w:asciiTheme="minorEastAsia" w:hAnsiTheme="minorEastAsia" w:cstheme="minorEastAsia"/>
          <w:color w:val="000000"/>
          <w:sz w:val="24"/>
          <w:szCs w:val="24"/>
        </w:rPr>
        <w:t xml:space="preserve"> </w:t>
      </w:r>
      <w:r>
        <w:rPr>
          <w:rFonts w:hint="eastAsia" w:asciiTheme="minorEastAsia" w:hAnsiTheme="minorEastAsia" w:cstheme="minorEastAsia"/>
          <w:color w:val="000000"/>
          <w:sz w:val="24"/>
          <w:szCs w:val="24"/>
        </w:rPr>
        <w:t>值域校验和组装、预览。</w:t>
      </w:r>
    </w:p>
    <w:p>
      <w:pPr>
        <w:ind w:firstLine="480" w:firstLineChars="200"/>
      </w:pPr>
      <w:r>
        <w:rPr>
          <w:rFonts w:hint="eastAsia"/>
        </w:rPr>
        <w:t>要求提供数据采集预览截图证明。</w:t>
      </w:r>
    </w:p>
    <w:p>
      <w:pPr>
        <w:pStyle w:val="63"/>
        <w:numPr>
          <w:ilvl w:val="0"/>
          <w:numId w:val="20"/>
        </w:numPr>
        <w:spacing w:before="46" w:after="93"/>
        <w:ind w:firstLineChars="0"/>
        <w:rPr>
          <w:b/>
        </w:rPr>
      </w:pPr>
      <w:r>
        <w:rPr>
          <w:rFonts w:hint="eastAsia"/>
          <w:b/>
        </w:rPr>
        <w:t>数据基本校验</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支持数据基本格式校验，包括：数据值域校验、非空校验、关联性校验。</w:t>
      </w:r>
    </w:p>
    <w:p>
      <w:pPr>
        <w:pStyle w:val="63"/>
        <w:numPr>
          <w:ilvl w:val="0"/>
          <w:numId w:val="20"/>
        </w:numPr>
        <w:spacing w:before="46" w:after="93"/>
        <w:ind w:firstLineChars="0"/>
        <w:rPr>
          <w:b/>
        </w:rPr>
      </w:pPr>
      <w:r>
        <w:rPr>
          <w:rFonts w:hint="eastAsia"/>
          <w:b/>
        </w:rPr>
        <w:t>业务逻辑性校验</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支持业务逻辑性校验，包括：性别与诊断匹配性校验、性别与手术匹配性校验、费用与记录一致性校验、诊断和手术依从性校验、年龄与出生日期匹配性校验。</w:t>
      </w:r>
    </w:p>
    <w:p>
      <w:pPr>
        <w:pStyle w:val="7"/>
        <w:numPr>
          <w:ilvl w:val="5"/>
          <w:numId w:val="10"/>
        </w:numPr>
      </w:pPr>
      <w:r>
        <w:rPr>
          <w:rFonts w:hint="eastAsia"/>
        </w:rPr>
        <w:t>分组规则管理</w:t>
      </w:r>
    </w:p>
    <w:p>
      <w:pPr>
        <w:pStyle w:val="63"/>
        <w:numPr>
          <w:ilvl w:val="0"/>
          <w:numId w:val="21"/>
        </w:numPr>
        <w:spacing w:before="46" w:after="93"/>
        <w:ind w:firstLineChars="0"/>
        <w:rPr>
          <w:b/>
        </w:rPr>
      </w:pPr>
      <w:r>
        <w:rPr>
          <w:rFonts w:hint="eastAsia"/>
          <w:b/>
        </w:rPr>
        <w:t>DRGs分组规则管理</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内置标准版本</w:t>
      </w:r>
      <w:r>
        <w:rPr>
          <w:rFonts w:asciiTheme="minorEastAsia" w:hAnsiTheme="minorEastAsia" w:cstheme="minorEastAsia"/>
          <w:color w:val="000000"/>
          <w:sz w:val="24"/>
          <w:szCs w:val="24"/>
        </w:rPr>
        <w:t>DRGs分组规则，支持MDC-ADRG-DRG逐层可视化分组管理，支持规则的修改更新和导入导出</w:t>
      </w:r>
      <w:r>
        <w:rPr>
          <w:rFonts w:hint="eastAsia" w:asciiTheme="minorEastAsia" w:hAnsiTheme="minorEastAsia" w:cstheme="minorEastAsia"/>
          <w:color w:val="000000"/>
          <w:sz w:val="24"/>
          <w:szCs w:val="24"/>
        </w:rPr>
        <w:t>。</w:t>
      </w:r>
    </w:p>
    <w:p>
      <w:pPr>
        <w:pStyle w:val="63"/>
        <w:numPr>
          <w:ilvl w:val="0"/>
          <w:numId w:val="21"/>
        </w:numPr>
        <w:spacing w:before="46" w:after="93"/>
        <w:ind w:firstLineChars="0"/>
        <w:rPr>
          <w:b/>
        </w:rPr>
      </w:pPr>
      <w:r>
        <w:rPr>
          <w:rFonts w:hint="eastAsia"/>
          <w:b/>
        </w:rPr>
        <w:t>重点病种规则管理</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内置标准版本重点病种分组规则，支持用户根据临床实际与管理意图灵活进行规则的调整与更新，支持批量导入和导出。</w:t>
      </w:r>
    </w:p>
    <w:p>
      <w:pPr>
        <w:pStyle w:val="7"/>
        <w:numPr>
          <w:ilvl w:val="5"/>
          <w:numId w:val="10"/>
        </w:numPr>
      </w:pPr>
      <w:r>
        <w:rPr>
          <w:rFonts w:hint="eastAsia"/>
        </w:rPr>
        <w:t>入组查询</w:t>
      </w:r>
    </w:p>
    <w:p>
      <w:pPr>
        <w:pStyle w:val="63"/>
        <w:numPr>
          <w:ilvl w:val="0"/>
          <w:numId w:val="22"/>
        </w:numPr>
        <w:spacing w:before="46" w:after="93"/>
        <w:ind w:firstLineChars="0"/>
        <w:rPr>
          <w:b/>
        </w:rPr>
      </w:pPr>
      <w:r>
        <w:rPr>
          <w:rFonts w:hint="eastAsia"/>
          <w:b/>
        </w:rPr>
        <w:t>▲D</w:t>
      </w:r>
      <w:r>
        <w:rPr>
          <w:b/>
        </w:rPr>
        <w:t>RGs</w:t>
      </w:r>
      <w:r>
        <w:rPr>
          <w:rFonts w:hint="eastAsia"/>
          <w:b/>
        </w:rPr>
        <w:t>入组查询</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支持通过录入诊断、手术、限制条件查询</w:t>
      </w:r>
      <w:r>
        <w:rPr>
          <w:rFonts w:asciiTheme="minorEastAsia" w:hAnsiTheme="minorEastAsia" w:cstheme="minorEastAsia"/>
          <w:color w:val="000000"/>
          <w:sz w:val="24"/>
          <w:szCs w:val="24"/>
        </w:rPr>
        <w:t>DRG入组情况</w:t>
      </w:r>
      <w:r>
        <w:rPr>
          <w:rFonts w:hint="eastAsia" w:asciiTheme="minorEastAsia" w:hAnsiTheme="minorEastAsia" w:cstheme="minorEastAsia"/>
          <w:color w:val="000000"/>
          <w:sz w:val="24"/>
          <w:szCs w:val="24"/>
        </w:rPr>
        <w:t>。</w:t>
      </w:r>
      <w:r>
        <w:rPr>
          <w:rFonts w:asciiTheme="minorEastAsia" w:hAnsiTheme="minorEastAsia" w:cstheme="minorEastAsia"/>
          <w:color w:val="000000"/>
          <w:sz w:val="24"/>
          <w:szCs w:val="24"/>
        </w:rPr>
        <w:t>支持查询结果展示</w:t>
      </w:r>
      <w:r>
        <w:rPr>
          <w:rFonts w:hint="eastAsia" w:asciiTheme="minorEastAsia" w:hAnsiTheme="minorEastAsia" w:cstheme="minorEastAsia"/>
          <w:color w:val="000000"/>
          <w:sz w:val="24"/>
          <w:szCs w:val="24"/>
        </w:rPr>
        <w:t>，包括：</w:t>
      </w:r>
      <w:r>
        <w:rPr>
          <w:rFonts w:asciiTheme="minorEastAsia" w:hAnsiTheme="minorEastAsia" w:cstheme="minorEastAsia"/>
          <w:color w:val="000000"/>
          <w:sz w:val="24"/>
          <w:szCs w:val="24"/>
        </w:rPr>
        <w:t>DRGs编码、名称、费用权重、风险级别</w:t>
      </w:r>
      <w:r>
        <w:rPr>
          <w:rFonts w:hint="eastAsia" w:asciiTheme="minorEastAsia" w:hAnsiTheme="minorEastAsia" w:cstheme="minorEastAsia"/>
          <w:color w:val="000000"/>
          <w:sz w:val="24"/>
          <w:szCs w:val="24"/>
        </w:rPr>
        <w:t>。</w:t>
      </w:r>
    </w:p>
    <w:p>
      <w:pPr>
        <w:ind w:firstLine="480" w:firstLineChars="200"/>
      </w:pPr>
      <w:r>
        <w:rPr>
          <w:rFonts w:hint="eastAsia"/>
        </w:rPr>
        <w:t>要求提供病种入组查询截图证明。</w:t>
      </w:r>
    </w:p>
    <w:p>
      <w:pPr>
        <w:pStyle w:val="63"/>
        <w:numPr>
          <w:ilvl w:val="0"/>
          <w:numId w:val="22"/>
        </w:numPr>
        <w:spacing w:before="46" w:after="93"/>
        <w:ind w:firstLineChars="0"/>
        <w:rPr>
          <w:b/>
        </w:rPr>
      </w:pPr>
      <w:r>
        <w:rPr>
          <w:rFonts w:hint="eastAsia"/>
          <w:b/>
        </w:rPr>
        <w:t>重点病种入组查询</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支持通过录入诊断、手术、病理结果条件查询重点病种</w:t>
      </w:r>
      <w:r>
        <w:rPr>
          <w:rFonts w:asciiTheme="minorEastAsia" w:hAnsiTheme="minorEastAsia" w:cstheme="minorEastAsia"/>
          <w:color w:val="000000"/>
          <w:sz w:val="24"/>
          <w:szCs w:val="24"/>
        </w:rPr>
        <w:t>入组情况，支持查询结果的展示</w:t>
      </w:r>
      <w:r>
        <w:rPr>
          <w:rFonts w:hint="eastAsia" w:asciiTheme="minorEastAsia" w:hAnsiTheme="minorEastAsia" w:cstheme="minorEastAsia"/>
          <w:color w:val="000000"/>
          <w:sz w:val="24"/>
          <w:szCs w:val="24"/>
        </w:rPr>
        <w:t>，包括：病种</w:t>
      </w:r>
      <w:r>
        <w:rPr>
          <w:rFonts w:asciiTheme="minorEastAsia" w:hAnsiTheme="minorEastAsia" w:cstheme="minorEastAsia"/>
          <w:color w:val="000000"/>
          <w:sz w:val="24"/>
          <w:szCs w:val="24"/>
        </w:rPr>
        <w:t>编码、名称、</w:t>
      </w:r>
      <w:r>
        <w:rPr>
          <w:rFonts w:hint="eastAsia" w:asciiTheme="minorEastAsia" w:hAnsiTheme="minorEastAsia" w:cstheme="minorEastAsia"/>
          <w:color w:val="000000"/>
          <w:sz w:val="24"/>
          <w:szCs w:val="24"/>
        </w:rPr>
        <w:t>病种分值。</w:t>
      </w:r>
    </w:p>
    <w:p>
      <w:pPr>
        <w:pStyle w:val="7"/>
        <w:numPr>
          <w:ilvl w:val="5"/>
          <w:numId w:val="10"/>
        </w:numPr>
      </w:pPr>
      <w:r>
        <w:rPr>
          <w:rFonts w:hint="eastAsia"/>
        </w:rPr>
        <w:t>医疗服务评价</w:t>
      </w:r>
    </w:p>
    <w:p>
      <w:pPr>
        <w:pStyle w:val="8"/>
        <w:numPr>
          <w:ilvl w:val="6"/>
          <w:numId w:val="23"/>
        </w:numPr>
        <w:ind w:left="0" w:firstLine="0"/>
      </w:pPr>
      <w:r>
        <w:rPr>
          <w:rFonts w:hint="eastAsia"/>
        </w:rPr>
        <w:t>总览视图分析</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▲支持对DRGs核心指标进行分类主题可视化呈现。主题包括：医疗能力、 医疗费用、医疗安全、医疗效率，并展示分组下病种数据排布情况。</w:t>
      </w:r>
    </w:p>
    <w:p>
      <w:pPr>
        <w:ind w:firstLine="1200" w:firstLineChars="500"/>
      </w:pPr>
      <w:r>
        <w:rPr>
          <w:rFonts w:hint="eastAsia"/>
        </w:rPr>
        <w:t>要求提供总览视图分析界面截图证明。</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指标总览支持直观展示</w:t>
      </w:r>
      <w:r>
        <w:rPr>
          <w:rFonts w:asciiTheme="minorEastAsia" w:hAnsiTheme="minorEastAsia" w:cstheme="minorEastAsia"/>
          <w:color w:val="000000"/>
          <w:sz w:val="24"/>
          <w:szCs w:val="24"/>
        </w:rPr>
        <w:t>DRG核心指标</w:t>
      </w:r>
      <w:r>
        <w:rPr>
          <w:rFonts w:hint="eastAsia" w:asciiTheme="minorEastAsia" w:hAnsiTheme="minorEastAsia" w:cstheme="minorEastAsia"/>
          <w:color w:val="000000"/>
          <w:sz w:val="24"/>
          <w:szCs w:val="24"/>
        </w:rPr>
        <w:t>的本期</w:t>
      </w:r>
      <w:r>
        <w:rPr>
          <w:rFonts w:asciiTheme="minorEastAsia" w:hAnsiTheme="minorEastAsia" w:cstheme="minorEastAsia"/>
          <w:color w:val="000000"/>
          <w:sz w:val="24"/>
          <w:szCs w:val="24"/>
        </w:rPr>
        <w:t>数值及同比情况</w:t>
      </w:r>
      <w:r>
        <w:rPr>
          <w:rFonts w:hint="eastAsia" w:asciiTheme="minorEastAsia" w:hAnsiTheme="minorEastAsia" w:cstheme="minorEastAsia"/>
          <w:color w:val="000000"/>
          <w:sz w:val="24"/>
          <w:szCs w:val="24"/>
        </w:rPr>
        <w:t>。</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趋势分析支持直观展示</w:t>
      </w:r>
      <w:r>
        <w:rPr>
          <w:rFonts w:asciiTheme="minorEastAsia" w:hAnsiTheme="minorEastAsia" w:cstheme="minorEastAsia"/>
          <w:color w:val="000000"/>
          <w:sz w:val="24"/>
          <w:szCs w:val="24"/>
        </w:rPr>
        <w:t>DRG核心指标</w:t>
      </w:r>
      <w:r>
        <w:rPr>
          <w:rFonts w:hint="eastAsia" w:asciiTheme="minorEastAsia" w:hAnsiTheme="minorEastAsia" w:cstheme="minorEastAsia"/>
          <w:color w:val="000000"/>
          <w:sz w:val="24"/>
          <w:szCs w:val="24"/>
        </w:rPr>
        <w:t>的</w:t>
      </w:r>
      <w:r>
        <w:rPr>
          <w:rFonts w:asciiTheme="minorEastAsia" w:hAnsiTheme="minorEastAsia" w:cstheme="minorEastAsia"/>
          <w:color w:val="000000"/>
          <w:sz w:val="24"/>
          <w:szCs w:val="24"/>
        </w:rPr>
        <w:t>变化</w:t>
      </w:r>
      <w:r>
        <w:rPr>
          <w:rFonts w:hint="eastAsia" w:asciiTheme="minorEastAsia" w:hAnsiTheme="minorEastAsia" w:cstheme="minorEastAsia"/>
          <w:color w:val="000000"/>
          <w:sz w:val="24"/>
          <w:szCs w:val="24"/>
        </w:rPr>
        <w:t>曲线</w:t>
      </w:r>
      <w:r>
        <w:rPr>
          <w:rFonts w:asciiTheme="minorEastAsia" w:hAnsiTheme="minorEastAsia" w:cstheme="minorEastAsia"/>
          <w:color w:val="000000"/>
          <w:sz w:val="24"/>
          <w:szCs w:val="24"/>
        </w:rPr>
        <w:t>。</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支持按主任医生/科室</w:t>
      </w:r>
      <w:r>
        <w:rPr>
          <w:rFonts w:asciiTheme="minorEastAsia" w:hAnsiTheme="minorEastAsia" w:cstheme="minorEastAsia"/>
          <w:color w:val="000000"/>
          <w:sz w:val="24"/>
          <w:szCs w:val="24"/>
        </w:rPr>
        <w:t>分别展示相应维度下各指标的排名</w:t>
      </w:r>
      <w:r>
        <w:rPr>
          <w:rFonts w:hint="eastAsia" w:asciiTheme="minorEastAsia" w:hAnsiTheme="minorEastAsia" w:cstheme="minorEastAsia"/>
          <w:color w:val="000000"/>
          <w:sz w:val="24"/>
          <w:szCs w:val="24"/>
        </w:rPr>
        <w:t>情况。</w:t>
      </w:r>
    </w:p>
    <w:p>
      <w:pPr>
        <w:pStyle w:val="8"/>
        <w:numPr>
          <w:ilvl w:val="6"/>
          <w:numId w:val="23"/>
        </w:numPr>
        <w:ind w:left="0" w:firstLine="0"/>
      </w:pPr>
      <w:r>
        <w:rPr>
          <w:rFonts w:hint="eastAsia"/>
        </w:rPr>
        <w:t>报表数据查询</w:t>
      </w:r>
    </w:p>
    <w:p>
      <w:pPr>
        <w:ind w:firstLine="480" w:firstLineChars="200"/>
        <w:rPr>
          <w:rFonts w:ascii="宋体" w:hAnsi="宋体" w:cs="宋体"/>
        </w:rPr>
      </w:pPr>
      <w:r>
        <w:rPr>
          <w:rFonts w:hint="eastAsia" w:ascii="宋体" w:hAnsi="宋体" w:cs="宋体"/>
        </w:rPr>
        <w:t>基于病种分组结果，输出全量指标集，提供多维查询、高级检索分析功能，对数据实现下钻查询及报表导出。要求如下：</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支持按时间维度（年、半年、季度、月）进行汇总数据查询。</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支持按医院、科室、病区、医生维度进行汇总数据查询。</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支持病种绩效分析常规数据指标集展示，包括：病例数、组数、总权重、CMI、时间消耗指数、费用消耗指数、低风险组死亡率、均次费用、药品费、耗材费、药占比、耗占比、平均住院天数、死亡率。</w:t>
      </w:r>
    </w:p>
    <w:p>
      <w:pPr>
        <w:pStyle w:val="8"/>
        <w:numPr>
          <w:ilvl w:val="6"/>
          <w:numId w:val="23"/>
        </w:numPr>
        <w:ind w:left="0" w:firstLine="0"/>
      </w:pPr>
      <w:r>
        <w:rPr>
          <w:rFonts w:hint="eastAsia"/>
        </w:rPr>
        <w:t>医疗能力分析</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支持按时间维度对医疗能力相关指标及其相应标杆值进行可视化图表展现，包括：DRGs组数、总权重、CMI、三四级手术例数及占比。</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支持各项指标的排名分析、DRGs病种难度分级分析以及科室间综合比较。</w:t>
      </w:r>
    </w:p>
    <w:p>
      <w:pPr>
        <w:pStyle w:val="8"/>
        <w:numPr>
          <w:ilvl w:val="6"/>
          <w:numId w:val="23"/>
        </w:numPr>
        <w:ind w:left="0" w:firstLine="0"/>
      </w:pPr>
      <w:r>
        <w:rPr>
          <w:rFonts w:hint="eastAsia"/>
        </w:rPr>
        <w:t>医疗效率分析</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医疗效率相关指标及其相应标杆值的可视化图表展现，包括：指标总览（平均住院日、平均总费用、时间消耗指数、费用消耗指数）、各项指标组合维度分析（如时间消耗指数&amp;费用消耗指数四象限图形分析）及特定指标趋势分析。</w:t>
      </w:r>
    </w:p>
    <w:p>
      <w:pPr>
        <w:pStyle w:val="8"/>
        <w:numPr>
          <w:ilvl w:val="6"/>
          <w:numId w:val="23"/>
        </w:numPr>
        <w:ind w:left="0" w:firstLine="0"/>
      </w:pPr>
      <w:r>
        <w:rPr>
          <w:rFonts w:hint="eastAsia"/>
        </w:rPr>
        <w:t>医疗安全分析</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医疗安全视图分析，指标包括病例数、死亡病例数、死亡率、手术患者住院死亡率、入出院诊断符合率、治愈率、好转率、抢救成功率、抗菌药物使用率、院内感染率、31天再入院率、低风险组死亡率、中低风险组死亡率、中高风险死亡率及高风险死亡率。</w:t>
      </w:r>
    </w:p>
    <w:p>
      <w:pPr>
        <w:pStyle w:val="8"/>
        <w:numPr>
          <w:ilvl w:val="6"/>
          <w:numId w:val="23"/>
        </w:numPr>
        <w:ind w:left="0" w:firstLine="0"/>
      </w:pPr>
      <w:r>
        <w:rPr>
          <w:rFonts w:hint="eastAsia"/>
        </w:rPr>
        <w:t>医疗费用分析</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支持医疗费用视图分析，包括：全院、科室、病区及各病组的总费用、药品费、耗材费、诊断费、治疗费、综合医疗服务费及费用消耗指数。</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支持与全院均值比较、横向科室间比较。</w:t>
      </w:r>
    </w:p>
    <w:p>
      <w:pPr>
        <w:pStyle w:val="6"/>
        <w:numPr>
          <w:ilvl w:val="4"/>
          <w:numId w:val="10"/>
        </w:numPr>
      </w:pPr>
      <w:r>
        <w:t>医务管理</w:t>
      </w:r>
    </w:p>
    <w:p>
      <w:pPr>
        <w:pStyle w:val="7"/>
        <w:numPr>
          <w:ilvl w:val="5"/>
          <w:numId w:val="10"/>
        </w:numPr>
      </w:pPr>
      <w:r>
        <w:rPr>
          <w:rFonts w:hint="eastAsia"/>
        </w:rPr>
        <w:t>医务管理工作台</w:t>
      </w:r>
    </w:p>
    <w:p>
      <w:pPr>
        <w:pStyle w:val="8"/>
        <w:numPr>
          <w:ilvl w:val="6"/>
          <w:numId w:val="24"/>
        </w:numPr>
        <w:ind w:left="0" w:firstLine="0"/>
      </w:pPr>
      <w:r>
        <w:rPr>
          <w:rFonts w:hint="eastAsia"/>
        </w:rPr>
        <w:t>医务工作台</w:t>
      </w:r>
    </w:p>
    <w:p>
      <w:pPr>
        <w:ind w:firstLine="1200" w:firstLineChars="500"/>
        <w:rPr>
          <w:szCs w:val="24"/>
        </w:rPr>
      </w:pPr>
      <w:r>
        <w:rPr>
          <w:rFonts w:hint="eastAsia"/>
          <w:szCs w:val="24"/>
        </w:rPr>
        <w:t>系统需提供今日概况、待办事项、快捷入口功能。要求如下：</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支持患者今日概况汇总展示，类型包括在院患者、新入患者、出院患者、转入患者、转出患者、死亡患者、会诊患者、危急值、抢救人次、输血患者、手术患者；</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支持今日概况数据下钻患者详情列表；</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支持集中展示待办任务；</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支持快捷入口功能，快速进入业务功能页面。</w:t>
      </w:r>
    </w:p>
    <w:p>
      <w:pPr>
        <w:pStyle w:val="8"/>
        <w:numPr>
          <w:ilvl w:val="6"/>
          <w:numId w:val="24"/>
        </w:numPr>
        <w:ind w:left="0" w:firstLine="0"/>
      </w:pPr>
      <w:r>
        <w:rPr>
          <w:rFonts w:hint="eastAsia"/>
        </w:rPr>
        <w:t>患者诊疗信息</w:t>
      </w:r>
    </w:p>
    <w:p>
      <w:pPr>
        <w:ind w:firstLine="1200" w:firstLineChars="500"/>
        <w:rPr>
          <w:szCs w:val="24"/>
        </w:rPr>
      </w:pPr>
      <w:r>
        <w:rPr>
          <w:rFonts w:hint="eastAsia"/>
          <w:szCs w:val="24"/>
        </w:rPr>
        <w:t>系统需提供查看患者诊疗信息功能。要求如下：</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支持对在院、出院患者进行检索，可查询患者的临床诊疗信息；</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支持展示患者基本信息和患者诊疗信息，包括基本信息、诊断、体温、医嘱、住院病历、检验、检查、手术、入出科、危急值；</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支持关注患者，在医务工作台显示关注患者汇总数据，并下钻查看患者的详细信息。</w:t>
      </w:r>
    </w:p>
    <w:p>
      <w:pPr>
        <w:pStyle w:val="7"/>
        <w:numPr>
          <w:ilvl w:val="5"/>
          <w:numId w:val="10"/>
        </w:numPr>
      </w:pPr>
      <w:r>
        <w:rPr>
          <w:rFonts w:hint="eastAsia"/>
        </w:rPr>
        <w:t>医务管理门户</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支持待办日历、今日概况、科室患者分布；</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支持事务性工作集中展示，实时提醒申请、待办、待阅；</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支持首页内容点击进入业务处理页面进行快捷操作；</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支持门户标准化设置和门户个性化设置；</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支持快捷入口个性化设置；</w:t>
      </w:r>
    </w:p>
    <w:p>
      <w:pPr>
        <w:pStyle w:val="7"/>
        <w:numPr>
          <w:ilvl w:val="5"/>
          <w:numId w:val="10"/>
        </w:numPr>
      </w:pPr>
      <w:r>
        <w:t>医疗质量管理</w:t>
      </w:r>
    </w:p>
    <w:p>
      <w:pPr>
        <w:pStyle w:val="8"/>
        <w:numPr>
          <w:ilvl w:val="6"/>
          <w:numId w:val="25"/>
        </w:numPr>
        <w:ind w:left="0" w:firstLine="0"/>
      </w:pPr>
      <w:r>
        <w:t>手术质量管理</w:t>
      </w:r>
    </w:p>
    <w:p>
      <w:pPr>
        <w:pStyle w:val="63"/>
        <w:spacing w:before="46" w:after="93"/>
        <w:ind w:firstLine="482"/>
        <w:rPr>
          <w:b/>
        </w:rPr>
      </w:pPr>
      <w:r>
        <w:rPr>
          <w:rFonts w:hint="eastAsia"/>
          <w:b/>
        </w:rPr>
        <w:t>手术分级管理</w:t>
      </w:r>
    </w:p>
    <w:p>
      <w:pPr>
        <w:ind w:firstLine="420"/>
        <w:rPr>
          <w:szCs w:val="24"/>
        </w:rPr>
      </w:pPr>
      <w:r>
        <w:rPr>
          <w:rFonts w:hint="eastAsia"/>
          <w:szCs w:val="24"/>
        </w:rPr>
        <w:t>系统需根据手术相关规范要求，进行手术分级管理。要求如下：</w:t>
      </w:r>
    </w:p>
    <w:p>
      <w:pPr>
        <w:pStyle w:val="42"/>
        <w:numPr>
          <w:ilvl w:val="0"/>
          <w:numId w:val="26"/>
        </w:numPr>
        <w:adjustRightInd/>
        <w:ind w:left="12" w:hanging="12" w:firstLineChars="0"/>
        <w:rPr>
          <w:szCs w:val="24"/>
        </w:rPr>
      </w:pPr>
      <w:r>
        <w:rPr>
          <w:rFonts w:hint="eastAsia" w:ascii="宋体" w:hAnsi="宋体"/>
          <w:color w:val="000000"/>
          <w:szCs w:val="24"/>
        </w:rPr>
        <w:t>支持开单授权管理，包括医院范围、科室范围、医师范围；</w:t>
      </w:r>
    </w:p>
    <w:p>
      <w:pPr>
        <w:pStyle w:val="42"/>
        <w:numPr>
          <w:ilvl w:val="0"/>
          <w:numId w:val="26"/>
        </w:numPr>
        <w:adjustRightInd/>
        <w:ind w:left="12" w:hanging="12" w:firstLineChars="0"/>
        <w:rPr>
          <w:szCs w:val="24"/>
        </w:rPr>
      </w:pPr>
      <w:r>
        <w:rPr>
          <w:rFonts w:hint="eastAsia" w:ascii="宋体" w:hAnsi="宋体"/>
          <w:color w:val="000000"/>
          <w:szCs w:val="24"/>
        </w:rPr>
        <w:t>支持主刀授权管理，包括</w:t>
      </w:r>
      <w:r>
        <w:rPr>
          <w:rFonts w:ascii="宋体" w:hAnsi="宋体"/>
          <w:color w:val="000000"/>
          <w:szCs w:val="24"/>
        </w:rPr>
        <w:t>医师职称与手术权限、医师个人手术权限</w:t>
      </w:r>
      <w:r>
        <w:rPr>
          <w:rFonts w:hint="eastAsia" w:ascii="宋体" w:hAnsi="宋体"/>
          <w:color w:val="000000"/>
          <w:szCs w:val="24"/>
        </w:rPr>
        <w:t>；</w:t>
      </w:r>
    </w:p>
    <w:p>
      <w:pPr>
        <w:pStyle w:val="42"/>
        <w:numPr>
          <w:ilvl w:val="0"/>
          <w:numId w:val="26"/>
        </w:numPr>
        <w:adjustRightInd/>
        <w:ind w:left="12" w:hanging="12" w:firstLineChars="0"/>
        <w:rPr>
          <w:szCs w:val="24"/>
        </w:rPr>
      </w:pPr>
      <w:r>
        <w:rPr>
          <w:rFonts w:ascii="Times New Roman" w:hAnsi="Times New Roman" w:eastAsia="宋体" w:cs="Times New Roman"/>
          <w:kern w:val="0"/>
          <w:szCs w:val="24"/>
        </w:rPr>
        <w:t>▲</w:t>
      </w:r>
      <w:r>
        <w:rPr>
          <w:rFonts w:hint="eastAsia" w:ascii="宋体" w:hAnsi="宋体"/>
          <w:color w:val="000000"/>
          <w:szCs w:val="24"/>
        </w:rPr>
        <w:t>支持根据不同手术级别的管理规范，医务管理人员对手术申请单进行审批；</w:t>
      </w:r>
    </w:p>
    <w:p>
      <w:pPr>
        <w:pStyle w:val="42"/>
        <w:ind w:firstLine="0" w:firstLineChars="0"/>
        <w:rPr>
          <w:szCs w:val="24"/>
        </w:rPr>
      </w:pPr>
      <w:r>
        <w:rPr>
          <w:rFonts w:hint="eastAsia"/>
          <w:szCs w:val="24"/>
        </w:rPr>
        <w:t xml:space="preserve"> 要求提供医务管理人员对手术申请单进行审批的界面截图证明。</w:t>
      </w:r>
    </w:p>
    <w:p>
      <w:pPr>
        <w:pStyle w:val="63"/>
        <w:spacing w:before="46" w:after="93"/>
        <w:ind w:firstLine="482"/>
        <w:rPr>
          <w:b/>
        </w:rPr>
      </w:pPr>
      <w:r>
        <w:rPr>
          <w:b/>
        </w:rPr>
        <w:t>▲</w:t>
      </w:r>
      <w:r>
        <w:rPr>
          <w:rFonts w:hint="eastAsia"/>
          <w:b/>
        </w:rPr>
        <w:t>重大手术管理</w:t>
      </w:r>
    </w:p>
    <w:p>
      <w:pPr>
        <w:ind w:firstLine="420"/>
        <w:rPr>
          <w:szCs w:val="24"/>
        </w:rPr>
      </w:pPr>
      <w:r>
        <w:rPr>
          <w:rFonts w:hint="eastAsia"/>
          <w:szCs w:val="24"/>
        </w:rPr>
        <w:t>系统需根据手术相关规范要求，进行重大手术管理。要求如下：</w:t>
      </w:r>
    </w:p>
    <w:p>
      <w:pPr>
        <w:pStyle w:val="42"/>
        <w:numPr>
          <w:ilvl w:val="0"/>
          <w:numId w:val="26"/>
        </w:numPr>
        <w:adjustRightInd/>
        <w:ind w:left="12" w:hanging="12" w:firstLineChars="0"/>
        <w:rPr>
          <w:rFonts w:ascii="宋体" w:hAnsi="宋体"/>
          <w:color w:val="000000"/>
          <w:szCs w:val="24"/>
        </w:rPr>
      </w:pPr>
      <w:r>
        <w:rPr>
          <w:rFonts w:hint="eastAsia" w:ascii="宋体" w:hAnsi="宋体"/>
          <w:color w:val="000000"/>
          <w:szCs w:val="24"/>
        </w:rPr>
        <w:t>支持临床医生申请重大手术审批表；</w:t>
      </w:r>
    </w:p>
    <w:p>
      <w:pPr>
        <w:pStyle w:val="42"/>
        <w:numPr>
          <w:ilvl w:val="0"/>
          <w:numId w:val="26"/>
        </w:numPr>
        <w:adjustRightInd/>
        <w:ind w:left="12" w:hanging="12" w:firstLineChars="0"/>
        <w:rPr>
          <w:rFonts w:ascii="宋体" w:hAnsi="宋体"/>
          <w:color w:val="000000"/>
          <w:szCs w:val="24"/>
        </w:rPr>
      </w:pPr>
      <w:r>
        <w:rPr>
          <w:rFonts w:hint="eastAsia" w:ascii="宋体" w:hAnsi="宋体"/>
          <w:color w:val="000000"/>
          <w:szCs w:val="24"/>
        </w:rPr>
        <w:t>支持重大手术审批流程；</w:t>
      </w:r>
    </w:p>
    <w:p>
      <w:pPr>
        <w:pStyle w:val="42"/>
        <w:numPr>
          <w:ilvl w:val="0"/>
          <w:numId w:val="26"/>
        </w:numPr>
        <w:adjustRightInd/>
        <w:ind w:left="12" w:hanging="12" w:firstLineChars="0"/>
        <w:rPr>
          <w:szCs w:val="24"/>
        </w:rPr>
      </w:pPr>
      <w:r>
        <w:rPr>
          <w:rFonts w:hint="eastAsia" w:ascii="宋体" w:hAnsi="宋体"/>
          <w:color w:val="000000"/>
          <w:szCs w:val="24"/>
        </w:rPr>
        <w:t>支持对重大手术质控管理，下达整改单进行整改评价跟踪。</w:t>
      </w:r>
    </w:p>
    <w:p>
      <w:pPr>
        <w:pStyle w:val="42"/>
        <w:ind w:firstLine="0" w:firstLineChars="0"/>
        <w:rPr>
          <w:szCs w:val="24"/>
        </w:rPr>
      </w:pPr>
      <w:r>
        <w:rPr>
          <w:rFonts w:hint="eastAsia" w:ascii="宋体" w:hAnsi="宋体"/>
          <w:color w:val="000000"/>
          <w:szCs w:val="24"/>
        </w:rPr>
        <w:t>要求提供重大手术管理</w:t>
      </w:r>
      <w:r>
        <w:rPr>
          <w:rFonts w:hint="eastAsia"/>
          <w:szCs w:val="24"/>
        </w:rPr>
        <w:t>的截图证明。</w:t>
      </w:r>
    </w:p>
    <w:p>
      <w:pPr>
        <w:pStyle w:val="7"/>
        <w:numPr>
          <w:ilvl w:val="5"/>
          <w:numId w:val="10"/>
        </w:numPr>
      </w:pPr>
      <w:r>
        <w:rPr>
          <w:rFonts w:hint="eastAsia"/>
        </w:rPr>
        <w:t>医疗质量统计分析</w:t>
      </w:r>
    </w:p>
    <w:p>
      <w:pPr>
        <w:pStyle w:val="8"/>
        <w:numPr>
          <w:ilvl w:val="6"/>
          <w:numId w:val="27"/>
        </w:numPr>
        <w:ind w:left="0" w:firstLine="0"/>
      </w:pPr>
      <w:r>
        <w:rPr>
          <w:rFonts w:hint="eastAsia"/>
        </w:rPr>
        <w:t>住院病历质量统计分析</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支持住院病历质量概览，汇总展示评分质量指标、病历质量分布情况、时限完成率分布情况；</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支持病历时限完成情况多维度统计分析，包括按科室、医生分别展示病历超时完成情况；</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支持病历质控问题多维度统计分析，包括按科室、医生、质控细则分别展示病历质控问题情况；</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支持病历评分相关报表，包括病历质控甲级率、归档率；</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支持统计结果下钻到质控明细。</w:t>
      </w:r>
    </w:p>
    <w:p>
      <w:pPr>
        <w:pStyle w:val="8"/>
        <w:numPr>
          <w:ilvl w:val="6"/>
          <w:numId w:val="27"/>
        </w:numPr>
        <w:ind w:left="0" w:firstLine="0"/>
      </w:pPr>
      <w:r>
        <w:rPr>
          <w:rFonts w:hint="eastAsia"/>
        </w:rPr>
        <w:t>住院手术质量统计分析</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支持对住院手术质量与安全指标进行统计，包括：手术总量、手术级别量、非计划再次手术监测例数、住院重点手术总例数、住院重点手术死亡例数、手术后感染监测例数；</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支持统计结果图表展示；</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支持统计结果下钻到明细。</w:t>
      </w:r>
    </w:p>
    <w:p>
      <w:pPr>
        <w:pStyle w:val="8"/>
        <w:numPr>
          <w:ilvl w:val="6"/>
          <w:numId w:val="27"/>
        </w:numPr>
        <w:ind w:left="0" w:firstLine="0"/>
      </w:pPr>
      <w:r>
        <w:rPr>
          <w:rFonts w:hint="eastAsia"/>
        </w:rPr>
        <w:t>会诊质量统计分析</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支持会诊申请情况统计，包括普通会诊、急会诊、特殊会诊；</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支持会诊接收情况统计，包括普通会诊、急会诊、特殊会诊；</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支持对已完成的会诊质量统计，包括会诊完成情况、按时会诊情况、会诊反馈满意情况；</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支持对会诊病历完成情况与质量统计，包括会诊病历缺陷情况和非会诊病历缺陷情况；</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支持统计结果图表展示；</w:t>
      </w:r>
    </w:p>
    <w:p>
      <w:pPr>
        <w:pStyle w:val="87"/>
        <w:numPr>
          <w:ilvl w:val="0"/>
          <w:numId w:val="19"/>
        </w:numPr>
        <w:snapToGrid w:val="0"/>
        <w:spacing w:line="360" w:lineRule="auto"/>
        <w:ind w:firstLine="480"/>
        <w:rPr>
          <w:sz w:val="24"/>
          <w:szCs w:val="24"/>
        </w:rPr>
      </w:pPr>
      <w:r>
        <w:rPr>
          <w:rFonts w:hint="eastAsia" w:ascii="宋体" w:hAnsi="宋体"/>
          <w:color w:val="000000"/>
          <w:sz w:val="24"/>
          <w:szCs w:val="24"/>
        </w:rPr>
        <w:t>支持统计结果下钻到明细。</w:t>
      </w:r>
    </w:p>
    <w:p>
      <w:pPr>
        <w:pStyle w:val="8"/>
        <w:numPr>
          <w:ilvl w:val="6"/>
          <w:numId w:val="27"/>
        </w:numPr>
        <w:ind w:left="0" w:firstLine="0"/>
      </w:pPr>
      <w:r>
        <w:rPr>
          <w:rFonts w:hint="eastAsia"/>
        </w:rPr>
        <w:t>临床路径质量统计分析</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支持路径工作管理情况多维度统计分析，包括按科室、医生、病种分别展示符合率、入径率、完成率、退出率；</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支持路径质量管理情况多维度统计分析，包括按科室、病种分别展示治愈率、好转率、死亡人数、转院人数；</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支持经济效益管理情况多维度统计分析，包括按科室、路径分别展示人均费用、平均住院日；</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支持路径变异与退出情况多维度统计分析，包括按路径退出原因、路径变异原因分别展示退出人数、变异人数、退出率、变异率；</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支持统计结果图表展示；</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支持统计结果下钻到路径执行明细。</w:t>
      </w:r>
    </w:p>
    <w:p>
      <w:pPr>
        <w:pStyle w:val="8"/>
        <w:numPr>
          <w:ilvl w:val="6"/>
          <w:numId w:val="27"/>
        </w:numPr>
        <w:ind w:left="0" w:firstLine="0"/>
      </w:pPr>
      <w:r>
        <w:rPr>
          <w:rFonts w:hint="eastAsia"/>
        </w:rPr>
        <w:t>住院输血质量统计分析</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支持输血量情况多维度统计分析，包括按科室、血液分类分别展示不同血液类型输血量、不同血型输血量；</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支持输血费用情况统计分析，包括按科室展示用血总量、用血费用；</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支持输血患者病历情况多维度统计分析，包括按科室、医生分别展示输血知情同意书、输血记录、输血不良反应的病历缺陷指标；</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支持大量输血患者情况多维度统计分析，包括按科室、医生分别展示大量输血申请、审批的指标；</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支持统计结果图表展示；</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支持统计结果下钻到明细。</w:t>
      </w:r>
    </w:p>
    <w:p>
      <w:pPr>
        <w:pStyle w:val="8"/>
        <w:numPr>
          <w:ilvl w:val="6"/>
          <w:numId w:val="27"/>
        </w:numPr>
        <w:ind w:left="0" w:firstLine="0"/>
      </w:pPr>
      <w:r>
        <w:rPr>
          <w:rFonts w:hint="eastAsia"/>
        </w:rPr>
        <w:t>抗菌药物统计分析</w:t>
      </w:r>
    </w:p>
    <w:p>
      <w:pPr>
        <w:pStyle w:val="87"/>
        <w:numPr>
          <w:ilvl w:val="0"/>
          <w:numId w:val="19"/>
        </w:numPr>
        <w:snapToGrid w:val="0"/>
        <w:spacing w:line="360" w:lineRule="auto"/>
        <w:ind w:firstLine="480"/>
        <w:rPr>
          <w:rFonts w:ascii="宋体" w:hAnsi="宋体"/>
          <w:color w:val="000000"/>
          <w:sz w:val="24"/>
          <w:szCs w:val="24"/>
        </w:rPr>
      </w:pPr>
      <w:r>
        <w:rPr>
          <w:rFonts w:hint="eastAsia" w:ascii="宋体" w:hAnsi="宋体"/>
          <w:color w:val="000000"/>
          <w:sz w:val="24"/>
          <w:szCs w:val="24"/>
        </w:rPr>
        <w:t>支持门(急)诊抗菌药物情况多维度统计分析，包括按科室、医生分别展示抗菌药物处方人次、抗菌药物静脉使用人次、抗菌药物费用、人均使用抗菌药物品种数；</w:t>
      </w:r>
    </w:p>
    <w:p>
      <w:pPr>
        <w:pStyle w:val="87"/>
        <w:numPr>
          <w:ilvl w:val="0"/>
          <w:numId w:val="19"/>
        </w:numPr>
        <w:snapToGrid w:val="0"/>
        <w:spacing w:line="360" w:lineRule="auto"/>
        <w:ind w:firstLine="480"/>
        <w:rPr>
          <w:rFonts w:ascii="宋体" w:hAnsi="宋体"/>
          <w:color w:val="000000"/>
          <w:sz w:val="24"/>
          <w:szCs w:val="24"/>
        </w:rPr>
      </w:pPr>
      <w:r>
        <w:rPr>
          <w:rFonts w:hint="eastAsia" w:ascii="宋体" w:hAnsi="宋体"/>
          <w:color w:val="000000"/>
          <w:sz w:val="24"/>
          <w:szCs w:val="24"/>
        </w:rPr>
        <w:t>支持住院抗菌药物使用情况多维度统计分析，包括按科室、医生分别展示人均使用抗菌药物费用、住院患者抗菌药物使用强度、住院抗菌药物使用率、特殊使用级抗菌药物使用率；</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手术患者抗菌药物情况多维度统计分析，包括按科室、医生分别展示I类切口手术例次、I类切口手术预防使用抗菌药物例次、手术预防使用抗菌药物例次、单纯冠脉造影手术例次、单纯冠脉造影预防使用抗菌药物例次、冠脉造影预防使用抗菌药物比例；</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支持统计结果图表展示；</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支持统计结果下钻到明细。</w:t>
      </w:r>
    </w:p>
    <w:p>
      <w:pPr>
        <w:pStyle w:val="8"/>
        <w:numPr>
          <w:ilvl w:val="6"/>
          <w:numId w:val="27"/>
        </w:numPr>
        <w:ind w:left="0" w:firstLine="0"/>
      </w:pPr>
      <w:r>
        <w:rPr>
          <w:rFonts w:hint="eastAsia"/>
        </w:rPr>
        <w:t>危急值质量统计分析</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支持危急值报告情况维度统计分析，包括按科室分别展示危急值报告用时、响应用时、接收数、发布数、确认数、处理数、及时处理率；</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支持统计结果图表展示；</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支持统计结果下钻到明细。</w:t>
      </w:r>
    </w:p>
    <w:p>
      <w:pPr>
        <w:pStyle w:val="8"/>
        <w:numPr>
          <w:ilvl w:val="6"/>
          <w:numId w:val="27"/>
        </w:numPr>
        <w:ind w:left="0" w:firstLine="0"/>
      </w:pPr>
      <w:r>
        <w:rPr>
          <w:rFonts w:hint="eastAsia"/>
        </w:rPr>
        <w:t>报告卡质量统计分析</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支持疾病报告卡上报质量多维度统计分析，包括按不同疾病病种统计上报数、退卡率、漏报率、迟报率；</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支持传染病报告卡上报统计分析，包括按不同传染病病种统计上报数、退卡率、漏报率、迟报率；</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支持统计结果图表展示；</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支持统计结果下钻到明细。</w:t>
      </w:r>
    </w:p>
    <w:p>
      <w:pPr>
        <w:pStyle w:val="8"/>
        <w:numPr>
          <w:ilvl w:val="6"/>
          <w:numId w:val="27"/>
        </w:numPr>
        <w:ind w:left="0" w:firstLine="0"/>
      </w:pPr>
      <w:r>
        <w:rPr>
          <w:rFonts w:hint="eastAsia"/>
        </w:rPr>
        <w:t>单病种质量统计分析</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支持单病种质量指标多维度统计分析，包括按病种展示病种人数、上报人数、好转人数、死亡人数、平均住院天数、平均住院费用；</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支持统计结果图表展示；</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支持统计结果下钻到明细。</w:t>
      </w:r>
    </w:p>
    <w:p>
      <w:pPr>
        <w:pStyle w:val="6"/>
        <w:numPr>
          <w:ilvl w:val="4"/>
          <w:numId w:val="10"/>
        </w:numPr>
      </w:pPr>
      <w:r>
        <w:rPr>
          <w:rFonts w:hint="eastAsia"/>
        </w:rPr>
        <w:t>自助服务系统</w:t>
      </w:r>
    </w:p>
    <w:p>
      <w:pPr>
        <w:pStyle w:val="7"/>
        <w:numPr>
          <w:ilvl w:val="5"/>
          <w:numId w:val="10"/>
        </w:numPr>
      </w:pPr>
      <w:r>
        <w:t>针灸科治疗室自助签到</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支持针灸、推拿患者在自助机签到机上取号。</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支持在取号凭条上展示患者剩余治疗次数。</w:t>
      </w:r>
    </w:p>
    <w:p>
      <w:pPr>
        <w:pStyle w:val="87"/>
        <w:numPr>
          <w:ilvl w:val="0"/>
          <w:numId w:val="19"/>
        </w:numPr>
        <w:snapToGrid w:val="0"/>
        <w:spacing w:line="360" w:lineRule="auto"/>
        <w:ind w:firstLine="48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支持在推拿科取号，医生可根据实际治疗情况更新号源数。</w:t>
      </w:r>
    </w:p>
    <w:p>
      <w:pPr>
        <w:pStyle w:val="6"/>
        <w:numPr>
          <w:ilvl w:val="4"/>
          <w:numId w:val="10"/>
        </w:numPr>
      </w:pPr>
      <w:r>
        <w:rPr>
          <w:rFonts w:hint="eastAsia"/>
        </w:rPr>
        <w:t>输血管理</w:t>
      </w:r>
    </w:p>
    <w:p>
      <w:pPr>
        <w:pStyle w:val="7"/>
        <w:numPr>
          <w:ilvl w:val="5"/>
          <w:numId w:val="10"/>
        </w:numPr>
      </w:pPr>
      <w:r>
        <w:t>血库管理</w:t>
      </w:r>
    </w:p>
    <w:p>
      <w:pPr>
        <w:pStyle w:val="8"/>
        <w:numPr>
          <w:ilvl w:val="6"/>
          <w:numId w:val="28"/>
        </w:numPr>
        <w:ind w:left="0" w:firstLine="0"/>
      </w:pPr>
      <w:r>
        <w:t>血袋出入库管理</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cs="Times New Roman"/>
          <w:szCs w:val="24"/>
        </w:rPr>
        <w:t>▲</w:t>
      </w:r>
      <w:r>
        <w:rPr>
          <w:rFonts w:ascii="Times New Roman" w:hAnsi="Times New Roman" w:eastAsia="宋体" w:cs="Times New Roman"/>
          <w:szCs w:val="24"/>
        </w:rPr>
        <w:t>支持血袋出入库信息化管理</w:t>
      </w:r>
      <w:r>
        <w:rPr>
          <w:rFonts w:hint="eastAsia" w:ascii="Times New Roman" w:hAnsi="Times New Roman" w:eastAsia="宋体" w:cs="Times New Roman"/>
          <w:szCs w:val="24"/>
        </w:rPr>
        <w:t>，包括</w:t>
      </w:r>
      <w:r>
        <w:rPr>
          <w:rFonts w:ascii="Times New Roman" w:hAnsi="Times New Roman" w:eastAsia="宋体" w:cs="Times New Roman"/>
          <w:szCs w:val="24"/>
        </w:rPr>
        <w:t>献血码</w:t>
      </w:r>
      <w:r>
        <w:rPr>
          <w:rFonts w:hint="eastAsia" w:ascii="Times New Roman" w:hAnsi="Times New Roman" w:eastAsia="宋体" w:cs="Times New Roman"/>
          <w:szCs w:val="24"/>
        </w:rPr>
        <w:t>、</w:t>
      </w:r>
      <w:r>
        <w:rPr>
          <w:rFonts w:ascii="Times New Roman" w:hAnsi="Times New Roman" w:eastAsia="宋体" w:cs="Times New Roman"/>
          <w:szCs w:val="24"/>
        </w:rPr>
        <w:t>成份码</w:t>
      </w:r>
      <w:r>
        <w:rPr>
          <w:rFonts w:hint="eastAsia" w:ascii="Times New Roman" w:hAnsi="Times New Roman" w:eastAsia="宋体" w:cs="Times New Roman"/>
          <w:szCs w:val="24"/>
        </w:rPr>
        <w:t>、</w:t>
      </w:r>
      <w:r>
        <w:rPr>
          <w:rFonts w:ascii="Times New Roman" w:hAnsi="Times New Roman" w:eastAsia="宋体" w:cs="Times New Roman"/>
          <w:szCs w:val="24"/>
        </w:rPr>
        <w:t>血型</w:t>
      </w:r>
      <w:r>
        <w:rPr>
          <w:rFonts w:hint="eastAsia" w:ascii="Times New Roman" w:hAnsi="Times New Roman" w:eastAsia="宋体" w:cs="Times New Roman"/>
          <w:szCs w:val="24"/>
        </w:rPr>
        <w:t>、</w:t>
      </w:r>
      <w:r>
        <w:rPr>
          <w:rFonts w:ascii="Times New Roman" w:hAnsi="Times New Roman" w:eastAsia="宋体" w:cs="Times New Roman"/>
          <w:szCs w:val="24"/>
        </w:rPr>
        <w:t>有效期</w:t>
      </w:r>
      <w:r>
        <w:rPr>
          <w:rFonts w:hint="eastAsia" w:ascii="Times New Roman" w:hAnsi="Times New Roman" w:eastAsia="宋体" w:cs="Times New Roman"/>
          <w:szCs w:val="24"/>
        </w:rPr>
        <w:t>、血液品种、献血人、采血时间、入库时间、复检时间、物理外观、封装、运输条件、标签选择、血袋来源、入库原因、入库处理。</w:t>
      </w:r>
    </w:p>
    <w:p>
      <w:pPr>
        <w:spacing w:line="480" w:lineRule="auto"/>
        <w:ind w:firstLine="480" w:firstLineChars="200"/>
        <w:rPr>
          <w:rFonts w:ascii="Times New Roman" w:hAnsi="Times New Roman" w:eastAsia="宋体" w:cs="Times New Roman"/>
          <w:szCs w:val="24"/>
        </w:rPr>
      </w:pPr>
      <w:r>
        <w:rPr>
          <w:rFonts w:hint="eastAsia" w:ascii="Times New Roman" w:hAnsi="Times New Roman" w:eastAsia="宋体" w:cs="Times New Roman"/>
          <w:szCs w:val="24"/>
        </w:rPr>
        <w:t>要求提供</w:t>
      </w:r>
      <w:r>
        <w:rPr>
          <w:rFonts w:ascii="Times New Roman" w:hAnsi="Times New Roman" w:eastAsia="宋体" w:cs="Times New Roman"/>
          <w:szCs w:val="24"/>
        </w:rPr>
        <w:t>血袋出入库信息化管理界面截图证明</w:t>
      </w:r>
      <w:r>
        <w:rPr>
          <w:rFonts w:hint="eastAsia" w:ascii="Times New Roman" w:hAnsi="Times New Roman" w:eastAsia="宋体" w:cs="Times New Roman"/>
          <w:szCs w:val="24"/>
        </w:rPr>
        <w:t>，截图内容包括</w:t>
      </w:r>
      <w:r>
        <w:rPr>
          <w:rFonts w:ascii="Times New Roman" w:hAnsi="Times New Roman" w:eastAsia="宋体" w:cs="Times New Roman"/>
          <w:szCs w:val="24"/>
        </w:rPr>
        <w:t>献血码</w:t>
      </w:r>
      <w:r>
        <w:rPr>
          <w:rFonts w:hint="eastAsia" w:ascii="Times New Roman" w:hAnsi="Times New Roman" w:eastAsia="宋体" w:cs="Times New Roman"/>
          <w:szCs w:val="24"/>
        </w:rPr>
        <w:t>、</w:t>
      </w:r>
      <w:r>
        <w:rPr>
          <w:rFonts w:ascii="Times New Roman" w:hAnsi="Times New Roman" w:eastAsia="宋体" w:cs="Times New Roman"/>
          <w:szCs w:val="24"/>
        </w:rPr>
        <w:t>成份码</w:t>
      </w:r>
      <w:r>
        <w:rPr>
          <w:rFonts w:hint="eastAsia" w:ascii="Times New Roman" w:hAnsi="Times New Roman" w:eastAsia="宋体" w:cs="Times New Roman"/>
          <w:szCs w:val="24"/>
        </w:rPr>
        <w:t>、</w:t>
      </w:r>
      <w:r>
        <w:rPr>
          <w:rFonts w:ascii="Times New Roman" w:hAnsi="Times New Roman" w:eastAsia="宋体" w:cs="Times New Roman"/>
          <w:szCs w:val="24"/>
        </w:rPr>
        <w:t>血型</w:t>
      </w:r>
      <w:r>
        <w:rPr>
          <w:rFonts w:hint="eastAsia" w:ascii="Times New Roman" w:hAnsi="Times New Roman" w:eastAsia="宋体" w:cs="Times New Roman"/>
          <w:szCs w:val="24"/>
        </w:rPr>
        <w:t>、</w:t>
      </w:r>
      <w:r>
        <w:rPr>
          <w:rFonts w:ascii="Times New Roman" w:hAnsi="Times New Roman" w:eastAsia="宋体" w:cs="Times New Roman"/>
          <w:szCs w:val="24"/>
        </w:rPr>
        <w:t>有效期</w:t>
      </w:r>
      <w:r>
        <w:rPr>
          <w:rFonts w:hint="eastAsia" w:ascii="Times New Roman" w:hAnsi="Times New Roman" w:eastAsia="宋体" w:cs="Times New Roman"/>
          <w:szCs w:val="24"/>
        </w:rPr>
        <w:t>、血液品种、献血人、采血时间、入库时间、复检时间、物理外观、封装、运输条件、标签选择、血袋来源、入库原因、入库处理。</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cs="Times New Roman"/>
          <w:szCs w:val="24"/>
        </w:rPr>
        <w:t>▲</w:t>
      </w:r>
      <w:r>
        <w:rPr>
          <w:rFonts w:ascii="Times New Roman" w:hAnsi="Times New Roman" w:eastAsia="宋体" w:cs="Times New Roman"/>
          <w:szCs w:val="24"/>
        </w:rPr>
        <w:t>支持对血库库存血袋使用有效期限预警提示</w:t>
      </w:r>
      <w:r>
        <w:rPr>
          <w:rFonts w:hint="eastAsia" w:ascii="Times New Roman" w:hAnsi="Times New Roman" w:eastAsia="宋体" w:cs="Times New Roman"/>
          <w:szCs w:val="24"/>
        </w:rPr>
        <w:t>，</w:t>
      </w:r>
      <w:r>
        <w:rPr>
          <w:rFonts w:ascii="Times New Roman" w:hAnsi="Times New Roman" w:eastAsia="宋体" w:cs="Times New Roman"/>
          <w:szCs w:val="24"/>
        </w:rPr>
        <w:t>包括有效期</w:t>
      </w:r>
      <w:r>
        <w:rPr>
          <w:rFonts w:hint="eastAsia" w:ascii="Times New Roman" w:hAnsi="Times New Roman" w:eastAsia="宋体" w:cs="Times New Roman"/>
          <w:szCs w:val="24"/>
        </w:rPr>
        <w:t>、</w:t>
      </w:r>
      <w:r>
        <w:rPr>
          <w:rFonts w:ascii="Times New Roman" w:hAnsi="Times New Roman" w:eastAsia="宋体" w:cs="Times New Roman"/>
          <w:szCs w:val="24"/>
        </w:rPr>
        <w:t>预警天数</w:t>
      </w:r>
      <w:r>
        <w:rPr>
          <w:rFonts w:hint="eastAsia" w:ascii="Times New Roman" w:hAnsi="Times New Roman" w:eastAsia="宋体" w:cs="Times New Roman"/>
          <w:szCs w:val="24"/>
        </w:rPr>
        <w:t>；</w:t>
      </w:r>
    </w:p>
    <w:p>
      <w:pPr>
        <w:spacing w:line="480" w:lineRule="auto"/>
        <w:ind w:left="420"/>
        <w:rPr>
          <w:rFonts w:ascii="Times New Roman" w:hAnsi="Times New Roman" w:eastAsia="宋体" w:cs="Times New Roman"/>
          <w:szCs w:val="24"/>
        </w:rPr>
      </w:pPr>
      <w:r>
        <w:rPr>
          <w:rFonts w:hint="eastAsia" w:ascii="Times New Roman" w:hAnsi="Times New Roman" w:eastAsia="宋体" w:cs="Times New Roman"/>
          <w:szCs w:val="24"/>
        </w:rPr>
        <w:t>要求提供</w:t>
      </w:r>
      <w:r>
        <w:rPr>
          <w:rFonts w:ascii="Times New Roman" w:hAnsi="Times New Roman" w:eastAsia="宋体" w:cs="Times New Roman"/>
          <w:szCs w:val="24"/>
        </w:rPr>
        <w:t>血库库存血袋使用有效期限预警提示</w:t>
      </w:r>
      <w:r>
        <w:rPr>
          <w:rFonts w:hint="eastAsia" w:ascii="Times New Roman" w:hAnsi="Times New Roman" w:eastAsia="宋体" w:cs="Times New Roman"/>
          <w:szCs w:val="24"/>
        </w:rPr>
        <w:t>界面截图证明，包括有效期、预警天数。</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cs="Times New Roman"/>
          <w:szCs w:val="24"/>
        </w:rPr>
        <w:t>▲</w:t>
      </w:r>
      <w:r>
        <w:rPr>
          <w:rFonts w:ascii="Times New Roman" w:hAnsi="Times New Roman" w:eastAsia="宋体" w:cs="Times New Roman"/>
          <w:szCs w:val="24"/>
        </w:rPr>
        <w:t>支持血库血袋库存量预警提示</w:t>
      </w:r>
      <w:r>
        <w:rPr>
          <w:rFonts w:hint="eastAsia" w:ascii="Times New Roman" w:hAnsi="Times New Roman" w:eastAsia="宋体" w:cs="Times New Roman"/>
          <w:szCs w:val="24"/>
        </w:rPr>
        <w:t>，包括库存量、备血量、申请量、预警级别，</w:t>
      </w:r>
      <w:r>
        <w:rPr>
          <w:rFonts w:ascii="Times New Roman" w:hAnsi="Times New Roman" w:eastAsia="宋体" w:cs="Times New Roman"/>
          <w:szCs w:val="24"/>
        </w:rPr>
        <w:t>可根据不同级别预警状态设置不同的预警颜色</w:t>
      </w:r>
      <w:r>
        <w:rPr>
          <w:rFonts w:hint="eastAsia" w:ascii="Times New Roman" w:hAnsi="Times New Roman" w:eastAsia="宋体" w:cs="Times New Roman"/>
          <w:szCs w:val="24"/>
        </w:rPr>
        <w:t>，</w:t>
      </w:r>
      <w:r>
        <w:rPr>
          <w:rFonts w:ascii="Times New Roman" w:hAnsi="Times New Roman" w:eastAsia="宋体" w:cs="Times New Roman"/>
          <w:szCs w:val="24"/>
        </w:rPr>
        <w:t>至少包含4种预警颜色</w:t>
      </w:r>
      <w:r>
        <w:rPr>
          <w:rFonts w:hint="eastAsia" w:ascii="Times New Roman" w:hAnsi="Times New Roman" w:eastAsia="宋体" w:cs="Times New Roman"/>
          <w:szCs w:val="24"/>
        </w:rPr>
        <w:t>；</w:t>
      </w:r>
    </w:p>
    <w:p>
      <w:pPr>
        <w:spacing w:line="480" w:lineRule="auto"/>
        <w:ind w:left="420"/>
        <w:rPr>
          <w:rFonts w:ascii="Times New Roman" w:hAnsi="Times New Roman" w:eastAsia="宋体" w:cs="Times New Roman"/>
          <w:szCs w:val="24"/>
        </w:rPr>
      </w:pPr>
      <w:r>
        <w:rPr>
          <w:rFonts w:hint="eastAsia" w:ascii="Times New Roman" w:hAnsi="Times New Roman" w:eastAsia="宋体" w:cs="Times New Roman"/>
          <w:szCs w:val="24"/>
        </w:rPr>
        <w:t>要求提供</w:t>
      </w:r>
      <w:r>
        <w:rPr>
          <w:rFonts w:ascii="Times New Roman" w:hAnsi="Times New Roman" w:eastAsia="宋体" w:cs="Times New Roman"/>
          <w:szCs w:val="24"/>
        </w:rPr>
        <w:t>血库血袋库存量预警提示界面</w:t>
      </w:r>
      <w:r>
        <w:rPr>
          <w:rFonts w:hint="eastAsia" w:ascii="Times New Roman" w:hAnsi="Times New Roman" w:eastAsia="宋体" w:cs="Times New Roman"/>
          <w:szCs w:val="24"/>
        </w:rPr>
        <w:t>截图证明，包括库存量、备血量、申请量、预警级别、不同级别预警颜色配置，至少包含4种预警颜色选择。</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cs="Times New Roman"/>
          <w:szCs w:val="24"/>
        </w:rPr>
        <w:t>▲</w:t>
      </w:r>
      <w:r>
        <w:rPr>
          <w:rFonts w:ascii="Times New Roman" w:hAnsi="Times New Roman" w:eastAsia="宋体" w:cs="Times New Roman"/>
          <w:szCs w:val="24"/>
        </w:rPr>
        <w:t>支持自体血出入库管理</w:t>
      </w:r>
      <w:r>
        <w:rPr>
          <w:rFonts w:hint="eastAsia" w:ascii="Times New Roman" w:hAnsi="Times New Roman" w:eastAsia="宋体" w:cs="Times New Roman"/>
          <w:szCs w:val="24"/>
        </w:rPr>
        <w:t>，</w:t>
      </w:r>
      <w:r>
        <w:rPr>
          <w:rFonts w:ascii="Times New Roman" w:hAnsi="Times New Roman" w:eastAsia="宋体" w:cs="Times New Roman"/>
          <w:szCs w:val="24"/>
        </w:rPr>
        <w:t>包括自体血患者基础信息显示</w:t>
      </w:r>
      <w:r>
        <w:rPr>
          <w:rFonts w:hint="eastAsia" w:ascii="Times New Roman" w:hAnsi="Times New Roman" w:eastAsia="宋体" w:cs="Times New Roman"/>
          <w:szCs w:val="24"/>
        </w:rPr>
        <w:t>、失效时间、</w:t>
      </w:r>
      <w:r>
        <w:rPr>
          <w:rFonts w:ascii="Times New Roman" w:hAnsi="Times New Roman" w:eastAsia="宋体" w:cs="Times New Roman"/>
          <w:szCs w:val="24"/>
        </w:rPr>
        <w:t>采血时间</w:t>
      </w:r>
      <w:r>
        <w:rPr>
          <w:rFonts w:hint="eastAsia" w:ascii="Times New Roman" w:hAnsi="Times New Roman" w:eastAsia="宋体" w:cs="Times New Roman"/>
          <w:szCs w:val="24"/>
        </w:rPr>
        <w:t>、</w:t>
      </w:r>
      <w:r>
        <w:rPr>
          <w:rFonts w:ascii="Times New Roman" w:hAnsi="Times New Roman" w:eastAsia="宋体" w:cs="Times New Roman"/>
          <w:szCs w:val="24"/>
        </w:rPr>
        <w:t>入库时间</w:t>
      </w:r>
      <w:r>
        <w:rPr>
          <w:rFonts w:hint="eastAsia" w:ascii="Times New Roman" w:hAnsi="Times New Roman" w:eastAsia="宋体" w:cs="Times New Roman"/>
          <w:szCs w:val="24"/>
        </w:rPr>
        <w:t>；</w:t>
      </w:r>
    </w:p>
    <w:p>
      <w:pPr>
        <w:pStyle w:val="63"/>
        <w:spacing w:before="46" w:after="93"/>
        <w:ind w:firstLine="480"/>
      </w:pPr>
      <w:r>
        <w:rPr>
          <w:rFonts w:hint="eastAsia"/>
        </w:rPr>
        <w:t>要求提供</w:t>
      </w:r>
      <w:r>
        <w:rPr>
          <w:rFonts w:ascii="Times New Roman" w:hAnsi="Times New Roman"/>
        </w:rPr>
        <w:t>自体血出入库管理</w:t>
      </w:r>
      <w:r>
        <w:t>界面</w:t>
      </w:r>
      <w:r>
        <w:rPr>
          <w:rFonts w:hint="eastAsia"/>
        </w:rPr>
        <w:t>截图证明</w:t>
      </w:r>
      <w:r>
        <w:rPr>
          <w:rFonts w:hint="eastAsia" w:ascii="Times New Roman" w:hAnsi="Times New Roman"/>
        </w:rPr>
        <w:t>，</w:t>
      </w:r>
      <w:r>
        <w:rPr>
          <w:rFonts w:ascii="Times New Roman" w:hAnsi="Times New Roman"/>
        </w:rPr>
        <w:t>包括自体血患者基础信息显示</w:t>
      </w:r>
      <w:r>
        <w:rPr>
          <w:rFonts w:hint="eastAsia" w:ascii="Times New Roman" w:hAnsi="Times New Roman"/>
        </w:rPr>
        <w:t>、失效时间、</w:t>
      </w:r>
      <w:r>
        <w:rPr>
          <w:rFonts w:ascii="Times New Roman" w:hAnsi="Times New Roman"/>
        </w:rPr>
        <w:t>采血时间</w:t>
      </w:r>
      <w:r>
        <w:rPr>
          <w:rFonts w:hint="eastAsia" w:ascii="Times New Roman" w:hAnsi="Times New Roman"/>
        </w:rPr>
        <w:t>、</w:t>
      </w:r>
      <w:r>
        <w:rPr>
          <w:rFonts w:ascii="Times New Roman" w:hAnsi="Times New Roman"/>
        </w:rPr>
        <w:t>入库时间</w:t>
      </w:r>
      <w:r>
        <w:rPr>
          <w:rFonts w:hint="eastAsia"/>
        </w:rPr>
        <w:t>。</w:t>
      </w:r>
    </w:p>
    <w:p>
      <w:pPr>
        <w:pStyle w:val="8"/>
        <w:numPr>
          <w:ilvl w:val="6"/>
          <w:numId w:val="28"/>
        </w:numPr>
        <w:ind w:left="0" w:firstLine="0"/>
      </w:pPr>
      <w:r>
        <w:t>血型检查鉴定及审核管理</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w:t>
      </w:r>
      <w:r>
        <w:rPr>
          <w:rFonts w:hint="eastAsia" w:ascii="Times New Roman" w:hAnsi="Times New Roman" w:eastAsia="宋体" w:cs="Times New Roman"/>
          <w:szCs w:val="24"/>
        </w:rPr>
        <w:t>显示</w:t>
      </w:r>
      <w:r>
        <w:rPr>
          <w:rFonts w:ascii="Times New Roman" w:hAnsi="Times New Roman" w:eastAsia="宋体" w:cs="Times New Roman"/>
          <w:szCs w:val="24"/>
        </w:rPr>
        <w:t>病人验血后的血型鉴定报告结果</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支持显示病人输血前检查报告结果</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支持从HIS系统直接下载病人的信息</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支持条码扫描显示当前流程状态</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支持血型检查报告双人审核当前流程状态</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支持血型报告打印</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hint="eastAsia" w:ascii="Times New Roman" w:hAnsi="Times New Roman" w:eastAsia="宋体" w:cs="Times New Roman"/>
          <w:color w:val="000000"/>
          <w:szCs w:val="24"/>
        </w:rPr>
        <w:t>▲</w:t>
      </w:r>
      <w:r>
        <w:rPr>
          <w:rFonts w:ascii="Times New Roman" w:hAnsi="Times New Roman" w:eastAsia="宋体" w:cs="Times New Roman"/>
          <w:color w:val="000000"/>
          <w:szCs w:val="24"/>
        </w:rPr>
        <w:t>支持自动计费管理，在血型检查时自动确认收取血型检查相关费用</w:t>
      </w:r>
      <w:r>
        <w:rPr>
          <w:rFonts w:hint="eastAsia" w:eastAsia="宋体"/>
        </w:rPr>
        <w:t>；</w:t>
      </w:r>
    </w:p>
    <w:p>
      <w:pPr>
        <w:pStyle w:val="63"/>
        <w:spacing w:before="46" w:after="93"/>
        <w:ind w:firstLine="480"/>
      </w:pPr>
      <w:r>
        <w:rPr>
          <w:rFonts w:hint="eastAsia"/>
        </w:rPr>
        <w:t>要求提供</w:t>
      </w:r>
      <w:r>
        <w:rPr>
          <w:rFonts w:ascii="Times New Roman" w:hAnsi="Times New Roman"/>
          <w:color w:val="000000"/>
        </w:rPr>
        <w:t>血型检查时自动确认收取血型检查相关费用</w:t>
      </w:r>
      <w:r>
        <w:t>界面</w:t>
      </w:r>
      <w:r>
        <w:rPr>
          <w:rFonts w:hint="eastAsia"/>
        </w:rPr>
        <w:t>截图证明。</w:t>
      </w:r>
    </w:p>
    <w:p>
      <w:pPr>
        <w:pStyle w:val="8"/>
        <w:numPr>
          <w:ilvl w:val="6"/>
          <w:numId w:val="28"/>
        </w:numPr>
        <w:ind w:left="0" w:firstLine="0"/>
      </w:pPr>
      <w:r>
        <w:t>病人输血及发血管理</w:t>
      </w:r>
    </w:p>
    <w:p>
      <w:pPr>
        <w:numPr>
          <w:ilvl w:val="0"/>
          <w:numId w:val="30"/>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支持根据库存、血型档案对血样标本进行备血、发血管理；</w:t>
      </w:r>
    </w:p>
    <w:p>
      <w:pPr>
        <w:numPr>
          <w:ilvl w:val="0"/>
          <w:numId w:val="30"/>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支持发血单打印、预览；</w:t>
      </w:r>
    </w:p>
    <w:p>
      <w:pPr>
        <w:numPr>
          <w:ilvl w:val="0"/>
          <w:numId w:val="30"/>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w:t>
      </w:r>
      <w:r>
        <w:rPr>
          <w:rFonts w:ascii="Times New Roman" w:hAnsi="Times New Roman" w:eastAsia="宋体" w:cs="Times New Roman"/>
          <w:color w:val="000000"/>
          <w:szCs w:val="24"/>
        </w:rPr>
        <w:t>支持自动计费管理，在发血配血时自动</w:t>
      </w:r>
      <w:r>
        <w:rPr>
          <w:rFonts w:hint="eastAsia" w:ascii="Times New Roman" w:hAnsi="Times New Roman" w:eastAsia="宋体" w:cs="Times New Roman"/>
          <w:color w:val="000000"/>
          <w:szCs w:val="24"/>
        </w:rPr>
        <w:t>确认</w:t>
      </w:r>
      <w:r>
        <w:rPr>
          <w:rFonts w:ascii="Times New Roman" w:hAnsi="Times New Roman" w:eastAsia="宋体" w:cs="Times New Roman"/>
          <w:color w:val="000000"/>
          <w:szCs w:val="24"/>
        </w:rPr>
        <w:t>收取血袋费、配血费、辐射虑白灭活等费用；</w:t>
      </w:r>
    </w:p>
    <w:p>
      <w:pPr>
        <w:spacing w:line="480" w:lineRule="auto"/>
        <w:ind w:left="420"/>
        <w:rPr>
          <w:rFonts w:ascii="Times New Roman" w:hAnsi="Times New Roman" w:eastAsia="宋体" w:cs="Times New Roman"/>
          <w:color w:val="000000"/>
          <w:szCs w:val="24"/>
        </w:rPr>
      </w:pPr>
      <w:r>
        <w:rPr>
          <w:rFonts w:ascii="Times New Roman" w:hAnsi="Times New Roman" w:eastAsia="宋体" w:cs="Times New Roman"/>
          <w:color w:val="000000"/>
          <w:szCs w:val="24"/>
        </w:rPr>
        <w:t>要求提供发血配血时自动</w:t>
      </w:r>
      <w:r>
        <w:rPr>
          <w:rFonts w:hint="eastAsia" w:ascii="Times New Roman" w:hAnsi="Times New Roman" w:eastAsia="宋体" w:cs="Times New Roman"/>
          <w:color w:val="000000"/>
          <w:szCs w:val="24"/>
        </w:rPr>
        <w:t>确认</w:t>
      </w:r>
      <w:r>
        <w:rPr>
          <w:rFonts w:ascii="Times New Roman" w:hAnsi="Times New Roman" w:eastAsia="宋体" w:cs="Times New Roman"/>
          <w:color w:val="000000"/>
          <w:szCs w:val="24"/>
        </w:rPr>
        <w:t>收取血袋费、配血费、辐射虑白灭活等费用界面截图证明</w:t>
      </w:r>
      <w:r>
        <w:rPr>
          <w:rFonts w:hint="eastAsia" w:ascii="Times New Roman" w:hAnsi="Times New Roman" w:eastAsia="宋体" w:cs="Times New Roman"/>
          <w:color w:val="000000"/>
          <w:szCs w:val="24"/>
        </w:rPr>
        <w:t>。</w:t>
      </w:r>
    </w:p>
    <w:p>
      <w:pPr>
        <w:numPr>
          <w:ilvl w:val="0"/>
          <w:numId w:val="30"/>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支持病人退费操作时自动退掉与此血袋的相关费用</w:t>
      </w:r>
      <w:r>
        <w:rPr>
          <w:rFonts w:hint="eastAsia" w:ascii="Times New Roman" w:hAnsi="Times New Roman" w:eastAsia="宋体" w:cs="Times New Roman"/>
          <w:color w:val="000000"/>
          <w:szCs w:val="24"/>
        </w:rPr>
        <w:t>；</w:t>
      </w:r>
    </w:p>
    <w:p>
      <w:pPr>
        <w:numPr>
          <w:ilvl w:val="0"/>
          <w:numId w:val="30"/>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支持发血</w:t>
      </w:r>
      <w:r>
        <w:rPr>
          <w:rFonts w:hint="eastAsia" w:ascii="Times New Roman" w:hAnsi="Times New Roman" w:eastAsia="宋体" w:cs="Times New Roman"/>
          <w:color w:val="000000"/>
          <w:szCs w:val="24"/>
        </w:rPr>
        <w:t>、</w:t>
      </w:r>
      <w:r>
        <w:rPr>
          <w:rFonts w:ascii="Times New Roman" w:hAnsi="Times New Roman" w:eastAsia="宋体" w:cs="Times New Roman"/>
          <w:color w:val="000000"/>
          <w:szCs w:val="24"/>
        </w:rPr>
        <w:t>输血时进行条码扫描核对安全性校验</w:t>
      </w:r>
      <w:r>
        <w:rPr>
          <w:rFonts w:hint="eastAsia" w:ascii="Times New Roman" w:hAnsi="Times New Roman" w:eastAsia="宋体" w:cs="Times New Roman"/>
          <w:color w:val="000000"/>
          <w:szCs w:val="24"/>
        </w:rPr>
        <w:t>；</w:t>
      </w:r>
    </w:p>
    <w:p>
      <w:pPr>
        <w:numPr>
          <w:ilvl w:val="0"/>
          <w:numId w:val="30"/>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支持对用血审证记录及管理。</w:t>
      </w:r>
    </w:p>
    <w:p>
      <w:pPr>
        <w:pStyle w:val="8"/>
        <w:numPr>
          <w:ilvl w:val="6"/>
          <w:numId w:val="28"/>
        </w:numPr>
        <w:ind w:left="0" w:firstLine="0"/>
      </w:pPr>
      <w:r>
        <w:t>输血免疫报告管理</w:t>
      </w:r>
    </w:p>
    <w:p>
      <w:pPr>
        <w:spacing w:line="480" w:lineRule="auto"/>
        <w:ind w:firstLine="480" w:firstLineChars="200"/>
        <w:rPr>
          <w:rFonts w:ascii="Times New Roman" w:hAnsi="Times New Roman" w:eastAsia="宋体" w:cs="Times New Roman"/>
          <w:color w:val="000000"/>
          <w:szCs w:val="24"/>
        </w:rPr>
      </w:pPr>
      <w:r>
        <w:rPr>
          <w:rFonts w:hint="eastAsia" w:ascii="Times New Roman" w:hAnsi="Times New Roman" w:eastAsia="宋体" w:cs="Times New Roman"/>
          <w:szCs w:val="24"/>
        </w:rPr>
        <w:t>支持</w:t>
      </w:r>
      <w:r>
        <w:rPr>
          <w:rFonts w:ascii="Times New Roman" w:hAnsi="Times New Roman" w:eastAsia="宋体" w:cs="Times New Roman"/>
          <w:color w:val="000000"/>
          <w:szCs w:val="24"/>
        </w:rPr>
        <w:t>输血免疫</w:t>
      </w:r>
      <w:r>
        <w:rPr>
          <w:rFonts w:ascii="Times New Roman" w:hAnsi="Times New Roman" w:eastAsia="宋体" w:cs="Times New Roman"/>
          <w:szCs w:val="24"/>
        </w:rPr>
        <w:t>报告</w:t>
      </w:r>
      <w:r>
        <w:rPr>
          <w:rFonts w:ascii="Times New Roman" w:hAnsi="Times New Roman" w:eastAsia="宋体" w:cs="Times New Roman"/>
          <w:color w:val="000000"/>
          <w:szCs w:val="24"/>
        </w:rPr>
        <w:t>产前免疫、抗体鉴定、Coombas实验、血小板抗体、新生儿、IGg抗A抗B报告。</w:t>
      </w:r>
    </w:p>
    <w:p>
      <w:pPr>
        <w:pStyle w:val="8"/>
        <w:numPr>
          <w:ilvl w:val="6"/>
          <w:numId w:val="28"/>
        </w:numPr>
        <w:ind w:left="0" w:firstLine="0"/>
      </w:pPr>
      <w:r>
        <w:t>包裹袋管理</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支持血袋信息显示</w:t>
      </w:r>
      <w:r>
        <w:rPr>
          <w:rFonts w:hint="eastAsia" w:ascii="Times New Roman" w:hAnsi="Times New Roman" w:eastAsia="宋体" w:cs="Times New Roman"/>
          <w:szCs w:val="24"/>
        </w:rPr>
        <w:t>，</w:t>
      </w:r>
      <w:r>
        <w:rPr>
          <w:rFonts w:ascii="Times New Roman" w:hAnsi="Times New Roman" w:eastAsia="宋体" w:cs="Times New Roman"/>
          <w:szCs w:val="24"/>
        </w:rPr>
        <w:t>包括献血码</w:t>
      </w:r>
      <w:r>
        <w:rPr>
          <w:rFonts w:hint="eastAsia" w:ascii="Times New Roman" w:hAnsi="Times New Roman" w:eastAsia="宋体" w:cs="Times New Roman"/>
          <w:szCs w:val="24"/>
        </w:rPr>
        <w:t>、</w:t>
      </w:r>
      <w:r>
        <w:rPr>
          <w:rFonts w:ascii="Times New Roman" w:hAnsi="Times New Roman" w:eastAsia="宋体" w:cs="Times New Roman"/>
          <w:szCs w:val="24"/>
        </w:rPr>
        <w:t>血型</w:t>
      </w:r>
      <w:r>
        <w:rPr>
          <w:rFonts w:hint="eastAsia" w:ascii="Times New Roman" w:hAnsi="Times New Roman" w:eastAsia="宋体" w:cs="Times New Roman"/>
          <w:szCs w:val="24"/>
        </w:rPr>
        <w:t>、</w:t>
      </w:r>
      <w:r>
        <w:rPr>
          <w:rFonts w:ascii="Times New Roman" w:hAnsi="Times New Roman" w:eastAsia="宋体" w:cs="Times New Roman"/>
          <w:szCs w:val="24"/>
        </w:rPr>
        <w:t>血液品种</w:t>
      </w:r>
      <w:r>
        <w:rPr>
          <w:rFonts w:hint="eastAsia" w:ascii="Times New Roman" w:hAnsi="Times New Roman" w:eastAsia="宋体" w:cs="Times New Roman"/>
          <w:szCs w:val="24"/>
        </w:rPr>
        <w:t>、</w:t>
      </w:r>
      <w:r>
        <w:rPr>
          <w:rFonts w:ascii="Times New Roman" w:hAnsi="Times New Roman" w:eastAsia="宋体" w:cs="Times New Roman"/>
          <w:szCs w:val="24"/>
        </w:rPr>
        <w:t>RH类型</w:t>
      </w:r>
      <w:r>
        <w:rPr>
          <w:rFonts w:hint="eastAsia" w:ascii="Times New Roman" w:hAnsi="Times New Roman" w:eastAsia="宋体" w:cs="Times New Roman"/>
          <w:szCs w:val="24"/>
        </w:rPr>
        <w:t>、</w:t>
      </w:r>
      <w:r>
        <w:rPr>
          <w:rFonts w:ascii="Times New Roman" w:hAnsi="Times New Roman" w:eastAsia="宋体" w:cs="Times New Roman"/>
          <w:szCs w:val="24"/>
        </w:rPr>
        <w:t>血液来源</w:t>
      </w:r>
      <w:r>
        <w:rPr>
          <w:rFonts w:hint="eastAsia" w:ascii="Times New Roman" w:hAnsi="Times New Roman" w:eastAsia="宋体" w:cs="Times New Roman"/>
          <w:szCs w:val="24"/>
        </w:rPr>
        <w:t>、</w:t>
      </w:r>
      <w:r>
        <w:rPr>
          <w:rFonts w:ascii="Times New Roman" w:hAnsi="Times New Roman" w:eastAsia="宋体" w:cs="Times New Roman"/>
          <w:szCs w:val="24"/>
        </w:rPr>
        <w:t>采血时间</w:t>
      </w:r>
      <w:r>
        <w:rPr>
          <w:rFonts w:hint="eastAsia" w:ascii="Times New Roman" w:hAnsi="Times New Roman" w:eastAsia="宋体" w:cs="Times New Roman"/>
          <w:szCs w:val="24"/>
        </w:rPr>
        <w:t>、</w:t>
      </w:r>
      <w:r>
        <w:rPr>
          <w:rFonts w:ascii="Times New Roman" w:hAnsi="Times New Roman" w:eastAsia="宋体" w:cs="Times New Roman"/>
          <w:szCs w:val="24"/>
        </w:rPr>
        <w:t>入库时间</w:t>
      </w:r>
      <w:r>
        <w:rPr>
          <w:rFonts w:hint="eastAsia" w:ascii="Times New Roman" w:hAnsi="Times New Roman" w:eastAsia="宋体" w:cs="Times New Roman"/>
          <w:szCs w:val="24"/>
        </w:rPr>
        <w:t>、</w:t>
      </w:r>
      <w:r>
        <w:rPr>
          <w:rFonts w:ascii="Times New Roman" w:hAnsi="Times New Roman" w:eastAsia="宋体" w:cs="Times New Roman"/>
          <w:szCs w:val="24"/>
        </w:rPr>
        <w:t>失效时间</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支持已用血袋的处理时间、处理人员记录。</w:t>
      </w:r>
    </w:p>
    <w:p>
      <w:pPr>
        <w:pStyle w:val="8"/>
        <w:numPr>
          <w:ilvl w:val="6"/>
          <w:numId w:val="28"/>
        </w:numPr>
        <w:ind w:left="0" w:firstLine="0"/>
      </w:pPr>
      <w:r>
        <w:t>血袋库位管理</w:t>
      </w:r>
    </w:p>
    <w:p>
      <w:pPr>
        <w:numPr>
          <w:ilvl w:val="0"/>
          <w:numId w:val="29"/>
        </w:numPr>
        <w:adjustRightInd/>
        <w:snapToGrid/>
        <w:spacing w:line="480" w:lineRule="auto"/>
        <w:rPr>
          <w:rFonts w:ascii="Times New Roman" w:hAnsi="Times New Roman" w:eastAsia="宋体" w:cs="Times New Roman"/>
          <w:szCs w:val="24"/>
        </w:rPr>
      </w:pPr>
      <w:r>
        <w:rPr>
          <w:rFonts w:hint="eastAsia" w:ascii="Times New Roman" w:hAnsi="Times New Roman" w:eastAsia="宋体" w:cs="Times New Roman"/>
          <w:szCs w:val="24"/>
        </w:rPr>
        <w:t>支持血袋库位查询，包括在库状态选择查询、成份大小类查询、血液成份查询、血袋来源查询、血袋库位查询、血型查询；</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cs="Times New Roman"/>
          <w:szCs w:val="24"/>
        </w:rPr>
        <w:t>▲</w:t>
      </w:r>
      <w:r>
        <w:rPr>
          <w:rFonts w:ascii="Times New Roman" w:hAnsi="Times New Roman" w:eastAsia="宋体" w:cs="Times New Roman"/>
          <w:szCs w:val="24"/>
        </w:rPr>
        <w:t>支持血袋库位</w:t>
      </w:r>
      <w:r>
        <w:rPr>
          <w:rFonts w:hint="eastAsia" w:ascii="Times New Roman" w:hAnsi="Times New Roman" w:eastAsia="宋体" w:cs="Times New Roman"/>
          <w:szCs w:val="24"/>
        </w:rPr>
        <w:t>智能</w:t>
      </w:r>
      <w:r>
        <w:rPr>
          <w:rFonts w:ascii="Times New Roman" w:hAnsi="Times New Roman" w:eastAsia="宋体" w:cs="Times New Roman"/>
          <w:szCs w:val="24"/>
        </w:rPr>
        <w:t>管理</w:t>
      </w:r>
      <w:r>
        <w:rPr>
          <w:rFonts w:hint="eastAsia" w:ascii="Times New Roman" w:hAnsi="Times New Roman" w:eastAsia="宋体" w:cs="Times New Roman"/>
          <w:szCs w:val="24"/>
        </w:rPr>
        <w:t>，支持血袋自动分配库位，支持库位存储量信息显示，包括库位代码、库位名称、当前数量、空位数量；</w:t>
      </w:r>
    </w:p>
    <w:p>
      <w:pPr>
        <w:spacing w:line="480" w:lineRule="auto"/>
        <w:ind w:left="420"/>
        <w:rPr>
          <w:rFonts w:ascii="Times New Roman" w:hAnsi="Times New Roman" w:eastAsia="宋体" w:cs="Times New Roman"/>
          <w:szCs w:val="24"/>
        </w:rPr>
      </w:pPr>
      <w:r>
        <w:rPr>
          <w:rFonts w:ascii="Times New Roman" w:hAnsi="Times New Roman" w:eastAsia="宋体" w:cs="Times New Roman"/>
          <w:szCs w:val="24"/>
        </w:rPr>
        <w:t>要求提供血袋库位</w:t>
      </w:r>
      <w:r>
        <w:rPr>
          <w:rFonts w:hint="eastAsia" w:ascii="Times New Roman" w:hAnsi="Times New Roman" w:eastAsia="宋体" w:cs="Times New Roman"/>
          <w:szCs w:val="24"/>
        </w:rPr>
        <w:t>智能</w:t>
      </w:r>
      <w:r>
        <w:rPr>
          <w:rFonts w:ascii="Times New Roman" w:hAnsi="Times New Roman" w:eastAsia="宋体" w:cs="Times New Roman"/>
          <w:szCs w:val="24"/>
        </w:rPr>
        <w:t>管理</w:t>
      </w:r>
      <w:r>
        <w:rPr>
          <w:rFonts w:hint="eastAsia" w:ascii="Times New Roman" w:hAnsi="Times New Roman" w:eastAsia="宋体" w:cs="Times New Roman"/>
          <w:szCs w:val="24"/>
        </w:rPr>
        <w:t>界面截图证明，包括血袋自动分配库位，库位存储量信息显示，包括库位代码、库位名称、当前数量、空位数量。</w:t>
      </w:r>
    </w:p>
    <w:p>
      <w:pPr>
        <w:pStyle w:val="8"/>
        <w:numPr>
          <w:ilvl w:val="6"/>
          <w:numId w:val="28"/>
        </w:numPr>
        <w:ind w:left="0" w:firstLine="0"/>
      </w:pPr>
      <w:r>
        <w:t>查询/统计</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支持临床发血、科室用血、血液报废、血袋出入库、库存、科室费用综合查询、统计分析，并以表格和图形形式展现</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支持血库入库查询、血库库存查询、血库库存汇总、24小时输血量统计、科室、病区、医师、病种用血统计、交叉配血统计、血库交班管理、包装袋处理汇总</w:t>
      </w:r>
      <w:r>
        <w:rPr>
          <w:rFonts w:hint="eastAsia" w:ascii="Times New Roman" w:hAnsi="Times New Roman" w:eastAsia="宋体" w:cs="Times New Roman"/>
          <w:szCs w:val="24"/>
        </w:rPr>
        <w:t>；</w:t>
      </w:r>
    </w:p>
    <w:p>
      <w:pPr>
        <w:pStyle w:val="8"/>
        <w:numPr>
          <w:ilvl w:val="6"/>
          <w:numId w:val="28"/>
        </w:numPr>
        <w:ind w:left="0" w:firstLine="0"/>
      </w:pPr>
      <w:r>
        <w:t>设备联机</w:t>
      </w:r>
    </w:p>
    <w:p>
      <w:pPr>
        <w:spacing w:line="480" w:lineRule="auto"/>
        <w:rPr>
          <w:rFonts w:ascii="Times New Roman" w:hAnsi="Times New Roman" w:eastAsia="宋体" w:cs="Times New Roman"/>
          <w:b/>
          <w:bCs/>
          <w:szCs w:val="24"/>
        </w:rPr>
      </w:pPr>
      <w:r>
        <w:rPr>
          <w:rFonts w:ascii="Times New Roman" w:hAnsi="Times New Roman" w:eastAsia="宋体" w:cs="Times New Roman"/>
          <w:b/>
          <w:bCs/>
          <w:szCs w:val="24"/>
        </w:rPr>
        <w:t>（1）单工联机</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支持血型检查仪器、配血仪器的联机。</w:t>
      </w:r>
    </w:p>
    <w:p>
      <w:pPr>
        <w:spacing w:line="480" w:lineRule="auto"/>
        <w:rPr>
          <w:rFonts w:ascii="Times New Roman" w:hAnsi="Times New Roman" w:eastAsia="宋体" w:cs="Times New Roman"/>
          <w:b/>
          <w:bCs/>
          <w:szCs w:val="24"/>
        </w:rPr>
      </w:pPr>
      <w:r>
        <w:rPr>
          <w:rFonts w:ascii="Times New Roman" w:hAnsi="Times New Roman" w:eastAsia="宋体" w:cs="Times New Roman"/>
          <w:b/>
          <w:bCs/>
          <w:szCs w:val="24"/>
        </w:rPr>
        <w:t>（2）双工联机</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支持仪器数据双工通讯，完整传输仪器检测信息。</w:t>
      </w:r>
    </w:p>
    <w:p>
      <w:pPr>
        <w:pStyle w:val="7"/>
        <w:numPr>
          <w:ilvl w:val="5"/>
          <w:numId w:val="10"/>
        </w:numPr>
      </w:pPr>
      <w:r>
        <w:t>全院输血流程管理</w:t>
      </w:r>
    </w:p>
    <w:p>
      <w:pPr>
        <w:pStyle w:val="8"/>
        <w:numPr>
          <w:ilvl w:val="6"/>
          <w:numId w:val="31"/>
        </w:numPr>
        <w:ind w:left="0" w:firstLine="0"/>
      </w:pPr>
      <w:r>
        <w:t>医生站申请及审核管理</w:t>
      </w:r>
    </w:p>
    <w:p>
      <w:pPr>
        <w:numPr>
          <w:ilvl w:val="0"/>
          <w:numId w:val="32"/>
        </w:numPr>
        <w:adjustRightInd/>
        <w:snapToGrid/>
        <w:rPr>
          <w:rFonts w:asciiTheme="minorEastAsia" w:hAnsiTheme="minorEastAsia" w:cstheme="minorEastAsia"/>
          <w:b/>
          <w:bCs/>
          <w:szCs w:val="24"/>
        </w:rPr>
      </w:pPr>
      <w:r>
        <w:rPr>
          <w:rFonts w:hint="eastAsia" w:asciiTheme="minorEastAsia" w:hAnsiTheme="minorEastAsia" w:cstheme="minorEastAsia"/>
          <w:b/>
          <w:bCs/>
          <w:szCs w:val="24"/>
        </w:rPr>
        <w:t>开具输血申请单</w:t>
      </w:r>
    </w:p>
    <w:p>
      <w:pPr>
        <w:numPr>
          <w:ilvl w:val="0"/>
          <w:numId w:val="29"/>
        </w:numPr>
        <w:adjustRightInd/>
        <w:snapToGrid/>
        <w:spacing w:line="480" w:lineRule="auto"/>
        <w:rPr>
          <w:rFonts w:ascii="Times New Roman" w:hAnsi="Times New Roman" w:eastAsia="宋体" w:cs="Times New Roman"/>
          <w:color w:val="000000"/>
          <w:szCs w:val="24"/>
        </w:rPr>
      </w:pPr>
      <w:r>
        <w:rPr>
          <w:rFonts w:ascii="Times New Roman" w:hAnsi="Times New Roman" w:cs="Times New Roman"/>
          <w:szCs w:val="24"/>
        </w:rPr>
        <w:t>▲</w:t>
      </w:r>
      <w:r>
        <w:rPr>
          <w:rFonts w:ascii="Times New Roman" w:hAnsi="Times New Roman" w:eastAsia="宋体" w:cs="Times New Roman"/>
          <w:color w:val="000000"/>
          <w:szCs w:val="24"/>
        </w:rPr>
        <w:t>支持</w:t>
      </w:r>
      <w:r>
        <w:rPr>
          <w:rFonts w:hint="eastAsia" w:ascii="Times New Roman" w:hAnsi="Times New Roman" w:eastAsia="宋体" w:cs="Times New Roman"/>
          <w:color w:val="000000"/>
          <w:szCs w:val="24"/>
        </w:rPr>
        <w:t>输入</w:t>
      </w:r>
      <w:r>
        <w:rPr>
          <w:rFonts w:ascii="Times New Roman" w:hAnsi="Times New Roman" w:eastAsia="宋体" w:cs="Times New Roman"/>
          <w:color w:val="000000"/>
          <w:szCs w:val="24"/>
        </w:rPr>
        <w:t>受血者身高</w:t>
      </w:r>
      <w:r>
        <w:rPr>
          <w:rFonts w:hint="eastAsia" w:ascii="Times New Roman" w:hAnsi="Times New Roman" w:eastAsia="宋体" w:cs="Times New Roman"/>
          <w:color w:val="000000"/>
          <w:szCs w:val="24"/>
        </w:rPr>
        <w:t>、</w:t>
      </w:r>
      <w:r>
        <w:rPr>
          <w:rFonts w:ascii="Times New Roman" w:hAnsi="Times New Roman" w:eastAsia="宋体" w:cs="Times New Roman"/>
          <w:color w:val="000000"/>
          <w:szCs w:val="24"/>
        </w:rPr>
        <w:t>体重</w:t>
      </w:r>
      <w:r>
        <w:rPr>
          <w:rFonts w:hint="eastAsia" w:ascii="Times New Roman" w:hAnsi="Times New Roman" w:eastAsia="宋体" w:cs="Times New Roman"/>
          <w:color w:val="000000"/>
          <w:szCs w:val="24"/>
        </w:rPr>
        <w:t>、HGB测定值、HGB期望值系统自动计算给出建议输血量值；</w:t>
      </w:r>
    </w:p>
    <w:p>
      <w:pPr>
        <w:pStyle w:val="63"/>
        <w:spacing w:before="46" w:after="93"/>
        <w:ind w:firstLine="480"/>
        <w:rPr>
          <w:rFonts w:ascii="Times New Roman" w:hAnsi="Times New Roman"/>
          <w:color w:val="000000"/>
        </w:rPr>
      </w:pPr>
      <w:r>
        <w:t>要求提供根据</w:t>
      </w:r>
      <w:r>
        <w:rPr>
          <w:rFonts w:hint="eastAsia" w:ascii="Times New Roman" w:hAnsi="Times New Roman"/>
          <w:color w:val="000000"/>
        </w:rPr>
        <w:t>输入</w:t>
      </w:r>
      <w:r>
        <w:rPr>
          <w:rFonts w:ascii="Times New Roman" w:hAnsi="Times New Roman"/>
          <w:color w:val="000000"/>
        </w:rPr>
        <w:t>受血者身高</w:t>
      </w:r>
      <w:r>
        <w:rPr>
          <w:rFonts w:hint="eastAsia" w:ascii="Times New Roman" w:hAnsi="Times New Roman"/>
          <w:color w:val="000000"/>
        </w:rPr>
        <w:t>、</w:t>
      </w:r>
      <w:r>
        <w:rPr>
          <w:rFonts w:ascii="Times New Roman" w:hAnsi="Times New Roman"/>
          <w:color w:val="000000"/>
        </w:rPr>
        <w:t>体重</w:t>
      </w:r>
      <w:r>
        <w:rPr>
          <w:rFonts w:hint="eastAsia" w:ascii="Times New Roman" w:hAnsi="Times New Roman"/>
          <w:color w:val="000000"/>
        </w:rPr>
        <w:t>、HGB测定值、HGB期望值系统自动给出建议输血量值界面截图证明。</w:t>
      </w:r>
    </w:p>
    <w:p>
      <w:pPr>
        <w:numPr>
          <w:ilvl w:val="0"/>
          <w:numId w:val="29"/>
        </w:numPr>
        <w:adjustRightInd/>
        <w:snapToGrid/>
        <w:spacing w:line="480" w:lineRule="auto"/>
        <w:rPr>
          <w:rFonts w:ascii="Times New Roman" w:hAnsi="Times New Roman" w:eastAsia="宋体" w:cs="Times New Roman"/>
          <w:color w:val="000000"/>
          <w:szCs w:val="24"/>
        </w:rPr>
      </w:pPr>
      <w:r>
        <w:rPr>
          <w:rFonts w:ascii="Times New Roman" w:hAnsi="Times New Roman" w:cs="Times New Roman"/>
          <w:szCs w:val="24"/>
        </w:rPr>
        <w:t>▲</w:t>
      </w:r>
      <w:r>
        <w:rPr>
          <w:rFonts w:ascii="Times New Roman" w:hAnsi="Times New Roman" w:eastAsia="宋体" w:cs="Times New Roman"/>
          <w:color w:val="000000"/>
          <w:szCs w:val="24"/>
        </w:rPr>
        <w:t>支持</w:t>
      </w:r>
      <w:r>
        <w:rPr>
          <w:rFonts w:hint="eastAsia" w:ascii="Times New Roman" w:hAnsi="Times New Roman" w:eastAsia="宋体" w:cs="Times New Roman"/>
          <w:color w:val="000000"/>
          <w:szCs w:val="24"/>
        </w:rPr>
        <w:t>输入</w:t>
      </w:r>
      <w:r>
        <w:rPr>
          <w:rFonts w:ascii="Times New Roman" w:hAnsi="Times New Roman" w:eastAsia="宋体" w:cs="Times New Roman"/>
          <w:color w:val="000000"/>
          <w:szCs w:val="24"/>
        </w:rPr>
        <w:t>受血者身高</w:t>
      </w:r>
      <w:r>
        <w:rPr>
          <w:rFonts w:hint="eastAsia" w:ascii="Times New Roman" w:hAnsi="Times New Roman" w:eastAsia="宋体" w:cs="Times New Roman"/>
          <w:color w:val="000000"/>
          <w:szCs w:val="24"/>
        </w:rPr>
        <w:t>、</w:t>
      </w:r>
      <w:r>
        <w:rPr>
          <w:rFonts w:ascii="Times New Roman" w:hAnsi="Times New Roman" w:eastAsia="宋体" w:cs="Times New Roman"/>
          <w:color w:val="000000"/>
          <w:szCs w:val="24"/>
        </w:rPr>
        <w:t>体重</w:t>
      </w:r>
      <w:r>
        <w:rPr>
          <w:rFonts w:hint="eastAsia" w:ascii="Times New Roman" w:hAnsi="Times New Roman" w:eastAsia="宋体" w:cs="Times New Roman"/>
          <w:color w:val="000000"/>
          <w:szCs w:val="24"/>
        </w:rPr>
        <w:t>、PLT测定值、PLT期望值系统自动计算给出建议输血量值；</w:t>
      </w:r>
    </w:p>
    <w:p>
      <w:pPr>
        <w:pStyle w:val="63"/>
        <w:spacing w:before="46" w:after="93"/>
        <w:ind w:firstLine="480"/>
        <w:rPr>
          <w:rFonts w:ascii="Times New Roman" w:hAnsi="Times New Roman"/>
          <w:color w:val="000000"/>
        </w:rPr>
      </w:pPr>
      <w:r>
        <w:t>要求提供根据</w:t>
      </w:r>
      <w:r>
        <w:rPr>
          <w:rFonts w:hint="eastAsia" w:ascii="Times New Roman" w:hAnsi="Times New Roman"/>
          <w:color w:val="000000"/>
        </w:rPr>
        <w:t>输入</w:t>
      </w:r>
      <w:r>
        <w:rPr>
          <w:rFonts w:ascii="Times New Roman" w:hAnsi="Times New Roman"/>
          <w:color w:val="000000"/>
        </w:rPr>
        <w:t>受血者身高</w:t>
      </w:r>
      <w:r>
        <w:rPr>
          <w:rFonts w:hint="eastAsia" w:ascii="Times New Roman" w:hAnsi="Times New Roman"/>
          <w:color w:val="000000"/>
        </w:rPr>
        <w:t>、</w:t>
      </w:r>
      <w:r>
        <w:rPr>
          <w:rFonts w:ascii="Times New Roman" w:hAnsi="Times New Roman"/>
          <w:color w:val="000000"/>
        </w:rPr>
        <w:t>体重</w:t>
      </w:r>
      <w:r>
        <w:rPr>
          <w:rFonts w:hint="eastAsia" w:ascii="Times New Roman" w:hAnsi="Times New Roman"/>
          <w:color w:val="000000"/>
        </w:rPr>
        <w:t>、PLT测定值、PLT期望值系统自动给出建议输血量值界面截图证明。</w:t>
      </w:r>
    </w:p>
    <w:p>
      <w:pPr>
        <w:numPr>
          <w:ilvl w:val="0"/>
          <w:numId w:val="29"/>
        </w:numPr>
        <w:adjustRightInd/>
        <w:snapToGrid/>
        <w:spacing w:line="480" w:lineRule="auto"/>
        <w:rPr>
          <w:rFonts w:ascii="Times New Roman" w:hAnsi="Times New Roman" w:cs="Times New Roman"/>
          <w:szCs w:val="24"/>
        </w:rPr>
      </w:pPr>
      <w:r>
        <w:rPr>
          <w:rFonts w:ascii="Times New Roman" w:hAnsi="Times New Roman" w:cs="Times New Roman"/>
          <w:szCs w:val="24"/>
        </w:rPr>
        <w:t>▲支持用血信息功能显示</w:t>
      </w:r>
      <w:r>
        <w:rPr>
          <w:rFonts w:hint="eastAsia" w:ascii="Times New Roman" w:hAnsi="Times New Roman" w:cs="Times New Roman"/>
          <w:szCs w:val="24"/>
        </w:rPr>
        <w:t>，</w:t>
      </w:r>
      <w:r>
        <w:rPr>
          <w:rFonts w:ascii="Times New Roman" w:hAnsi="Times New Roman" w:cs="Times New Roman"/>
          <w:szCs w:val="24"/>
        </w:rPr>
        <w:t>包括用血时间</w:t>
      </w:r>
      <w:r>
        <w:rPr>
          <w:rFonts w:hint="eastAsia" w:ascii="Times New Roman" w:hAnsi="Times New Roman" w:cs="Times New Roman"/>
          <w:szCs w:val="24"/>
        </w:rPr>
        <w:t>、</w:t>
      </w:r>
      <w:r>
        <w:rPr>
          <w:rFonts w:ascii="Times New Roman" w:hAnsi="Times New Roman" w:cs="Times New Roman"/>
          <w:szCs w:val="24"/>
        </w:rPr>
        <w:t>输血目的</w:t>
      </w:r>
      <w:r>
        <w:rPr>
          <w:rFonts w:hint="eastAsia" w:ascii="Times New Roman" w:hAnsi="Times New Roman" w:cs="Times New Roman"/>
          <w:szCs w:val="24"/>
        </w:rPr>
        <w:t>、</w:t>
      </w:r>
      <w:r>
        <w:rPr>
          <w:rFonts w:ascii="Times New Roman" w:hAnsi="Times New Roman" w:cs="Times New Roman"/>
          <w:szCs w:val="24"/>
        </w:rPr>
        <w:t>输血性质</w:t>
      </w:r>
      <w:r>
        <w:rPr>
          <w:rFonts w:hint="eastAsia" w:ascii="Times New Roman" w:hAnsi="Times New Roman" w:cs="Times New Roman"/>
          <w:szCs w:val="24"/>
        </w:rPr>
        <w:t>、</w:t>
      </w:r>
      <w:r>
        <w:rPr>
          <w:rFonts w:ascii="Times New Roman" w:hAnsi="Times New Roman" w:cs="Times New Roman"/>
          <w:szCs w:val="24"/>
        </w:rPr>
        <w:t>是否手术</w:t>
      </w:r>
      <w:r>
        <w:rPr>
          <w:rFonts w:hint="eastAsia" w:ascii="Times New Roman" w:hAnsi="Times New Roman" w:cs="Times New Roman"/>
          <w:szCs w:val="24"/>
        </w:rPr>
        <w:t>、手术名称、</w:t>
      </w:r>
      <w:r>
        <w:rPr>
          <w:rFonts w:ascii="Times New Roman" w:hAnsi="Times New Roman" w:cs="Times New Roman"/>
          <w:szCs w:val="24"/>
        </w:rPr>
        <w:t>手术等级</w:t>
      </w:r>
      <w:r>
        <w:rPr>
          <w:rFonts w:hint="eastAsia" w:ascii="Times New Roman" w:hAnsi="Times New Roman" w:cs="Times New Roman"/>
          <w:szCs w:val="24"/>
        </w:rPr>
        <w:t>、</w:t>
      </w:r>
      <w:r>
        <w:rPr>
          <w:rFonts w:ascii="Times New Roman" w:hAnsi="Times New Roman" w:cs="Times New Roman"/>
          <w:szCs w:val="24"/>
        </w:rPr>
        <w:t>用血地点</w:t>
      </w:r>
      <w:r>
        <w:rPr>
          <w:rFonts w:hint="eastAsia" w:ascii="Times New Roman" w:hAnsi="Times New Roman" w:cs="Times New Roman"/>
          <w:szCs w:val="24"/>
        </w:rPr>
        <w:t>。</w:t>
      </w:r>
    </w:p>
    <w:p>
      <w:pPr>
        <w:pStyle w:val="63"/>
        <w:spacing w:before="46" w:after="93"/>
        <w:ind w:firstLine="480"/>
        <w:rPr>
          <w:rFonts w:ascii="Times New Roman" w:hAnsi="Times New Roman"/>
          <w:color w:val="000000"/>
        </w:rPr>
      </w:pPr>
      <w:r>
        <w:rPr>
          <w:rFonts w:ascii="Times New Roman" w:hAnsi="Times New Roman"/>
          <w:color w:val="000000"/>
        </w:rPr>
        <w:t>要求提供用血信息功能显示界面截图证明</w:t>
      </w:r>
      <w:r>
        <w:rPr>
          <w:rFonts w:hint="eastAsia" w:ascii="Times New Roman" w:hAnsi="Times New Roman"/>
          <w:color w:val="000000"/>
        </w:rPr>
        <w:t>，</w:t>
      </w:r>
      <w:r>
        <w:rPr>
          <w:rFonts w:ascii="Times New Roman" w:hAnsi="Times New Roman"/>
          <w:color w:val="000000"/>
        </w:rPr>
        <w:t>包括用血时间</w:t>
      </w:r>
      <w:r>
        <w:rPr>
          <w:rFonts w:hint="eastAsia" w:ascii="Times New Roman" w:hAnsi="Times New Roman"/>
          <w:color w:val="000000"/>
        </w:rPr>
        <w:t>、</w:t>
      </w:r>
      <w:r>
        <w:rPr>
          <w:rFonts w:ascii="Times New Roman" w:hAnsi="Times New Roman"/>
          <w:color w:val="000000"/>
        </w:rPr>
        <w:t>输血目的</w:t>
      </w:r>
      <w:r>
        <w:rPr>
          <w:rFonts w:hint="eastAsia" w:ascii="Times New Roman" w:hAnsi="Times New Roman"/>
          <w:color w:val="000000"/>
        </w:rPr>
        <w:t>、</w:t>
      </w:r>
      <w:r>
        <w:rPr>
          <w:rFonts w:ascii="Times New Roman" w:hAnsi="Times New Roman"/>
          <w:color w:val="000000"/>
        </w:rPr>
        <w:t>输血性质</w:t>
      </w:r>
      <w:r>
        <w:rPr>
          <w:rFonts w:hint="eastAsia" w:ascii="Times New Roman" w:hAnsi="Times New Roman"/>
          <w:color w:val="000000"/>
        </w:rPr>
        <w:t>、</w:t>
      </w:r>
      <w:r>
        <w:rPr>
          <w:rFonts w:ascii="Times New Roman" w:hAnsi="Times New Roman"/>
          <w:color w:val="000000"/>
        </w:rPr>
        <w:t>是否手术</w:t>
      </w:r>
      <w:r>
        <w:rPr>
          <w:rFonts w:hint="eastAsia" w:ascii="Times New Roman" w:hAnsi="Times New Roman"/>
          <w:color w:val="000000"/>
        </w:rPr>
        <w:t>、手术名称、</w:t>
      </w:r>
      <w:r>
        <w:rPr>
          <w:rFonts w:ascii="Times New Roman" w:hAnsi="Times New Roman"/>
          <w:color w:val="000000"/>
        </w:rPr>
        <w:t>手术等级</w:t>
      </w:r>
      <w:r>
        <w:rPr>
          <w:rFonts w:hint="eastAsia" w:ascii="Times New Roman" w:hAnsi="Times New Roman"/>
          <w:color w:val="000000"/>
        </w:rPr>
        <w:t>、</w:t>
      </w:r>
      <w:r>
        <w:rPr>
          <w:rFonts w:ascii="Times New Roman" w:hAnsi="Times New Roman"/>
          <w:color w:val="000000"/>
        </w:rPr>
        <w:t>用血地点</w:t>
      </w:r>
      <w:r>
        <w:rPr>
          <w:rFonts w:hint="eastAsia" w:ascii="Times New Roman" w:hAnsi="Times New Roman"/>
          <w:color w:val="000000"/>
        </w:rPr>
        <w:t>。</w:t>
      </w:r>
    </w:p>
    <w:p>
      <w:pPr>
        <w:numPr>
          <w:ilvl w:val="0"/>
          <w:numId w:val="29"/>
        </w:numPr>
        <w:adjustRightInd/>
        <w:snapToGrid/>
        <w:spacing w:line="480" w:lineRule="auto"/>
        <w:rPr>
          <w:rFonts w:ascii="Times New Roman" w:hAnsi="Times New Roman" w:eastAsia="宋体" w:cs="Times New Roman"/>
          <w:color w:val="000000"/>
          <w:szCs w:val="24"/>
        </w:rPr>
      </w:pPr>
      <w:r>
        <w:rPr>
          <w:rFonts w:ascii="Times New Roman" w:hAnsi="Times New Roman" w:cs="Times New Roman"/>
          <w:szCs w:val="24"/>
        </w:rPr>
        <w:t>▲</w:t>
      </w:r>
      <w:r>
        <w:rPr>
          <w:rFonts w:ascii="Times New Roman" w:hAnsi="Times New Roman" w:eastAsia="宋体" w:cs="Times New Roman"/>
          <w:color w:val="000000"/>
          <w:szCs w:val="24"/>
        </w:rPr>
        <w:t>支持输血前检查</w:t>
      </w:r>
      <w:r>
        <w:rPr>
          <w:rFonts w:hint="eastAsia" w:ascii="Times New Roman" w:hAnsi="Times New Roman" w:eastAsia="宋体" w:cs="Times New Roman"/>
          <w:color w:val="000000"/>
          <w:szCs w:val="24"/>
        </w:rPr>
        <w:t>项目结果显示、关注项目检查结果显示、输血指征显示；</w:t>
      </w:r>
    </w:p>
    <w:p>
      <w:pPr>
        <w:spacing w:line="480" w:lineRule="auto"/>
        <w:ind w:left="420"/>
        <w:rPr>
          <w:rFonts w:ascii="Times New Roman" w:hAnsi="Times New Roman" w:eastAsia="宋体" w:cs="Times New Roman"/>
          <w:color w:val="000000"/>
          <w:szCs w:val="24"/>
        </w:rPr>
      </w:pPr>
      <w:r>
        <w:rPr>
          <w:rFonts w:ascii="Times New Roman" w:hAnsi="Times New Roman" w:eastAsia="宋体" w:cs="Times New Roman"/>
          <w:color w:val="000000"/>
          <w:szCs w:val="24"/>
        </w:rPr>
        <w:t>要求提供输血前检查</w:t>
      </w:r>
      <w:r>
        <w:rPr>
          <w:rFonts w:hint="eastAsia" w:ascii="Times New Roman" w:hAnsi="Times New Roman" w:eastAsia="宋体" w:cs="Times New Roman"/>
          <w:color w:val="000000"/>
          <w:szCs w:val="24"/>
        </w:rPr>
        <w:t>项目结果显示、关注项目检查结果显示、输血指征显示界面截图证明。</w:t>
      </w:r>
    </w:p>
    <w:p>
      <w:pPr>
        <w:numPr>
          <w:ilvl w:val="0"/>
          <w:numId w:val="29"/>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支持不同输血性质分类选择</w:t>
      </w:r>
      <w:r>
        <w:rPr>
          <w:rFonts w:hint="eastAsia" w:ascii="Times New Roman" w:hAnsi="Times New Roman" w:eastAsia="宋体" w:cs="Times New Roman"/>
          <w:color w:val="000000"/>
          <w:szCs w:val="24"/>
        </w:rPr>
        <w:t>，</w:t>
      </w:r>
      <w:r>
        <w:rPr>
          <w:rFonts w:ascii="Times New Roman" w:hAnsi="Times New Roman" w:eastAsia="宋体" w:cs="Times New Roman"/>
          <w:color w:val="000000"/>
          <w:szCs w:val="24"/>
        </w:rPr>
        <w:t>包括常规用血和紧急用血</w:t>
      </w:r>
      <w:r>
        <w:rPr>
          <w:rFonts w:hint="eastAsia" w:ascii="Times New Roman" w:hAnsi="Times New Roman" w:eastAsia="宋体" w:cs="Times New Roman"/>
          <w:color w:val="000000"/>
          <w:szCs w:val="24"/>
        </w:rPr>
        <w:t>；</w:t>
      </w:r>
    </w:p>
    <w:p>
      <w:pPr>
        <w:numPr>
          <w:ilvl w:val="0"/>
          <w:numId w:val="29"/>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支持输血成份</w:t>
      </w:r>
      <w:r>
        <w:rPr>
          <w:rFonts w:hint="eastAsia" w:ascii="Times New Roman" w:hAnsi="Times New Roman" w:eastAsia="宋体" w:cs="Times New Roman"/>
          <w:color w:val="000000"/>
          <w:szCs w:val="24"/>
        </w:rPr>
        <w:t>、</w:t>
      </w:r>
      <w:r>
        <w:rPr>
          <w:rFonts w:ascii="Times New Roman" w:hAnsi="Times New Roman" w:eastAsia="宋体" w:cs="Times New Roman"/>
          <w:color w:val="000000"/>
          <w:szCs w:val="24"/>
        </w:rPr>
        <w:t>输血量选择</w:t>
      </w:r>
      <w:r>
        <w:rPr>
          <w:rFonts w:hint="eastAsia" w:ascii="Times New Roman" w:hAnsi="Times New Roman" w:eastAsia="宋体" w:cs="Times New Roman"/>
          <w:color w:val="000000"/>
          <w:szCs w:val="24"/>
        </w:rPr>
        <w:t>；</w:t>
      </w:r>
    </w:p>
    <w:p>
      <w:pPr>
        <w:numPr>
          <w:ilvl w:val="0"/>
          <w:numId w:val="29"/>
        </w:numPr>
        <w:adjustRightInd/>
        <w:snapToGrid/>
        <w:spacing w:line="480" w:lineRule="auto"/>
        <w:rPr>
          <w:rFonts w:ascii="Times New Roman" w:hAnsi="Times New Roman" w:eastAsia="宋体" w:cs="Times New Roman"/>
          <w:color w:val="000000"/>
          <w:szCs w:val="24"/>
        </w:rPr>
      </w:pPr>
      <w:r>
        <w:rPr>
          <w:rFonts w:ascii="Times New Roman" w:hAnsi="Times New Roman" w:cs="Times New Roman"/>
          <w:szCs w:val="24"/>
        </w:rPr>
        <w:t>▲</w:t>
      </w:r>
      <w:r>
        <w:rPr>
          <w:rFonts w:ascii="Times New Roman" w:hAnsi="Times New Roman" w:eastAsia="宋体" w:cs="Times New Roman"/>
          <w:color w:val="000000"/>
          <w:szCs w:val="24"/>
        </w:rPr>
        <w:t>支持受血者临床诊断结果与单病种关联显示</w:t>
      </w:r>
      <w:r>
        <w:rPr>
          <w:rFonts w:hint="eastAsia" w:ascii="Times New Roman" w:hAnsi="Times New Roman" w:eastAsia="宋体" w:cs="Times New Roman"/>
          <w:color w:val="000000"/>
          <w:szCs w:val="24"/>
        </w:rPr>
        <w:t>；</w:t>
      </w:r>
    </w:p>
    <w:p>
      <w:pPr>
        <w:spacing w:line="480" w:lineRule="auto"/>
        <w:ind w:left="420"/>
        <w:rPr>
          <w:rFonts w:ascii="Times New Roman" w:hAnsi="Times New Roman" w:eastAsia="宋体" w:cs="Times New Roman"/>
          <w:color w:val="000000"/>
          <w:szCs w:val="24"/>
        </w:rPr>
      </w:pPr>
      <w:r>
        <w:rPr>
          <w:rFonts w:ascii="Times New Roman" w:hAnsi="Times New Roman" w:eastAsia="宋体" w:cs="Times New Roman"/>
          <w:color w:val="000000"/>
          <w:szCs w:val="24"/>
        </w:rPr>
        <w:t>要求提供受血者临床诊断结果与单病种关联显示界面截图证明</w:t>
      </w:r>
      <w:r>
        <w:rPr>
          <w:rFonts w:hint="eastAsia" w:ascii="Times New Roman" w:hAnsi="Times New Roman" w:eastAsia="宋体" w:cs="Times New Roman"/>
          <w:color w:val="000000"/>
          <w:szCs w:val="24"/>
        </w:rPr>
        <w:t>。</w:t>
      </w:r>
    </w:p>
    <w:p>
      <w:pPr>
        <w:numPr>
          <w:ilvl w:val="0"/>
          <w:numId w:val="29"/>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支持受血者基础信息显示</w:t>
      </w:r>
      <w:r>
        <w:rPr>
          <w:rFonts w:hint="eastAsia" w:ascii="Times New Roman" w:hAnsi="Times New Roman" w:eastAsia="宋体" w:cs="Times New Roman"/>
          <w:color w:val="000000"/>
          <w:szCs w:val="24"/>
        </w:rPr>
        <w:t>、</w:t>
      </w:r>
      <w:r>
        <w:rPr>
          <w:rFonts w:ascii="Times New Roman" w:hAnsi="Times New Roman" w:eastAsia="宋体" w:cs="Times New Roman"/>
          <w:color w:val="000000"/>
          <w:szCs w:val="24"/>
        </w:rPr>
        <w:t>既往史显示</w:t>
      </w:r>
      <w:r>
        <w:rPr>
          <w:rFonts w:hint="eastAsia" w:ascii="Times New Roman" w:hAnsi="Times New Roman" w:eastAsia="宋体" w:cs="Times New Roman"/>
          <w:color w:val="000000"/>
          <w:szCs w:val="24"/>
        </w:rPr>
        <w:t>、</w:t>
      </w:r>
      <w:r>
        <w:rPr>
          <w:rFonts w:ascii="Times New Roman" w:hAnsi="Times New Roman" w:eastAsia="宋体" w:cs="Times New Roman"/>
          <w:color w:val="000000"/>
          <w:szCs w:val="24"/>
        </w:rPr>
        <w:t>用血信息显示</w:t>
      </w:r>
      <w:r>
        <w:rPr>
          <w:rFonts w:hint="eastAsia" w:ascii="Times New Roman" w:hAnsi="Times New Roman" w:eastAsia="宋体" w:cs="Times New Roman"/>
          <w:color w:val="000000"/>
          <w:szCs w:val="24"/>
        </w:rPr>
        <w:t>；</w:t>
      </w:r>
    </w:p>
    <w:p>
      <w:pPr>
        <w:numPr>
          <w:ilvl w:val="0"/>
          <w:numId w:val="29"/>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支持受血者输血历史记录显示</w:t>
      </w:r>
      <w:r>
        <w:rPr>
          <w:rFonts w:hint="eastAsia" w:ascii="Times New Roman" w:hAnsi="Times New Roman" w:eastAsia="宋体" w:cs="Times New Roman"/>
          <w:color w:val="000000"/>
          <w:szCs w:val="24"/>
        </w:rPr>
        <w:t>，</w:t>
      </w:r>
      <w:r>
        <w:rPr>
          <w:rFonts w:ascii="Times New Roman" w:hAnsi="Times New Roman" w:eastAsia="宋体" w:cs="Times New Roman"/>
          <w:color w:val="000000"/>
          <w:szCs w:val="24"/>
        </w:rPr>
        <w:t>包括申请时间</w:t>
      </w:r>
      <w:r>
        <w:rPr>
          <w:rFonts w:hint="eastAsia" w:ascii="Times New Roman" w:hAnsi="Times New Roman" w:eastAsia="宋体" w:cs="Times New Roman"/>
          <w:color w:val="000000"/>
          <w:szCs w:val="24"/>
        </w:rPr>
        <w:t>、</w:t>
      </w:r>
      <w:r>
        <w:rPr>
          <w:rFonts w:ascii="Times New Roman" w:hAnsi="Times New Roman" w:eastAsia="宋体" w:cs="Times New Roman"/>
          <w:color w:val="000000"/>
          <w:szCs w:val="24"/>
        </w:rPr>
        <w:t>经治医生</w:t>
      </w:r>
      <w:r>
        <w:rPr>
          <w:rFonts w:hint="eastAsia" w:ascii="Times New Roman" w:hAnsi="Times New Roman" w:eastAsia="宋体" w:cs="Times New Roman"/>
          <w:color w:val="000000"/>
          <w:szCs w:val="24"/>
        </w:rPr>
        <w:t>、输血成分、</w:t>
      </w:r>
      <w:r>
        <w:rPr>
          <w:rFonts w:ascii="Times New Roman" w:hAnsi="Times New Roman" w:eastAsia="宋体" w:cs="Times New Roman"/>
          <w:color w:val="000000"/>
          <w:szCs w:val="24"/>
        </w:rPr>
        <w:t>输血量</w:t>
      </w:r>
      <w:r>
        <w:rPr>
          <w:rFonts w:hint="eastAsia" w:ascii="Times New Roman" w:hAnsi="Times New Roman" w:eastAsia="宋体" w:cs="Times New Roman"/>
          <w:color w:val="000000"/>
          <w:szCs w:val="24"/>
        </w:rPr>
        <w:t>；</w:t>
      </w:r>
    </w:p>
    <w:p>
      <w:pPr>
        <w:numPr>
          <w:ilvl w:val="0"/>
          <w:numId w:val="2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▲支持建立单病种知识库，可定义每个病种的输血量计算公式、不合理输血指征、对应的临床诊断；</w:t>
      </w:r>
    </w:p>
    <w:p>
      <w:pPr>
        <w:spacing w:line="480" w:lineRule="auto"/>
        <w:ind w:left="42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要求提供显示关联的单病种知识库、不合理输血指征、对应的临床诊断界面截图证明。</w:t>
      </w:r>
    </w:p>
    <w:p>
      <w:pPr>
        <w:numPr>
          <w:ilvl w:val="0"/>
          <w:numId w:val="32"/>
        </w:numPr>
        <w:adjustRightInd/>
        <w:snapToGrid/>
        <w:rPr>
          <w:rFonts w:asciiTheme="minorEastAsia" w:hAnsiTheme="minorEastAsia" w:cstheme="minorEastAsia"/>
          <w:b/>
          <w:bCs/>
          <w:szCs w:val="24"/>
        </w:rPr>
      </w:pPr>
      <w:r>
        <w:rPr>
          <w:rFonts w:hint="eastAsia" w:asciiTheme="minorEastAsia" w:hAnsiTheme="minorEastAsia" w:cstheme="minorEastAsia"/>
          <w:b/>
          <w:bCs/>
          <w:szCs w:val="24"/>
        </w:rPr>
        <w:t>输血申请单审核</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支持审核申请单填写是否规范；申请内容是否合理，库存是否充足</w:t>
      </w:r>
      <w:r>
        <w:rPr>
          <w:rFonts w:hint="eastAsia" w:ascii="Times New Roman" w:hAnsi="Times New Roman" w:eastAsia="宋体" w:cs="Times New Roman"/>
          <w:szCs w:val="24"/>
        </w:rPr>
        <w:t>。</w:t>
      </w:r>
      <w:r>
        <w:rPr>
          <w:rFonts w:ascii="Times New Roman" w:hAnsi="Times New Roman" w:eastAsia="宋体" w:cs="Times New Roman"/>
          <w:szCs w:val="24"/>
        </w:rPr>
        <w:t>审核不通过可通过消息回报临床</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支持三级审核制管理</w:t>
      </w:r>
      <w:r>
        <w:rPr>
          <w:rFonts w:hint="eastAsia" w:ascii="Times New Roman" w:hAnsi="Times New Roman" w:eastAsia="宋体" w:cs="Times New Roman"/>
          <w:szCs w:val="24"/>
        </w:rPr>
        <w:t>，根据用血量不同支持专业医师审核、科室主任审核、医务科室审核；</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cs="Times New Roman"/>
          <w:szCs w:val="24"/>
        </w:rPr>
        <w:t>▲</w:t>
      </w:r>
      <w:r>
        <w:rPr>
          <w:rFonts w:ascii="Times New Roman" w:hAnsi="Times New Roman" w:eastAsia="宋体" w:cs="Times New Roman"/>
          <w:szCs w:val="24"/>
        </w:rPr>
        <w:t>支持不同级别审核状态显示</w:t>
      </w:r>
      <w:r>
        <w:rPr>
          <w:rFonts w:hint="eastAsia" w:ascii="Times New Roman" w:hAnsi="Times New Roman" w:eastAsia="宋体" w:cs="Times New Roman"/>
          <w:szCs w:val="24"/>
        </w:rPr>
        <w:t>，</w:t>
      </w:r>
      <w:r>
        <w:rPr>
          <w:rFonts w:ascii="Times New Roman" w:hAnsi="Times New Roman" w:eastAsia="宋体" w:cs="Times New Roman"/>
          <w:szCs w:val="24"/>
        </w:rPr>
        <w:t>根据输血量的不同显示不同审核级别</w:t>
      </w:r>
      <w:r>
        <w:rPr>
          <w:rFonts w:hint="eastAsia" w:ascii="Times New Roman" w:hAnsi="Times New Roman" w:eastAsia="宋体" w:cs="Times New Roman"/>
          <w:szCs w:val="24"/>
        </w:rPr>
        <w:t>，</w:t>
      </w:r>
      <w:r>
        <w:rPr>
          <w:rFonts w:ascii="Times New Roman" w:hAnsi="Times New Roman" w:eastAsia="宋体" w:cs="Times New Roman"/>
          <w:szCs w:val="24"/>
        </w:rPr>
        <w:t>及对应的审核状态</w:t>
      </w:r>
      <w:r>
        <w:rPr>
          <w:rFonts w:hint="eastAsia" w:ascii="Times New Roman" w:hAnsi="Times New Roman" w:eastAsia="宋体" w:cs="Times New Roman"/>
          <w:szCs w:val="24"/>
        </w:rPr>
        <w:t>；</w:t>
      </w:r>
    </w:p>
    <w:p>
      <w:pPr>
        <w:spacing w:line="480" w:lineRule="auto"/>
        <w:ind w:left="420"/>
        <w:rPr>
          <w:rFonts w:ascii="Times New Roman" w:hAnsi="Times New Roman" w:eastAsia="宋体" w:cs="Times New Roman"/>
          <w:szCs w:val="24"/>
        </w:rPr>
      </w:pPr>
      <w:r>
        <w:rPr>
          <w:rFonts w:hint="eastAsia" w:ascii="Times New Roman" w:hAnsi="Times New Roman" w:eastAsia="宋体" w:cs="Times New Roman"/>
          <w:szCs w:val="24"/>
        </w:rPr>
        <w:t>要求提供</w:t>
      </w:r>
      <w:r>
        <w:rPr>
          <w:rFonts w:ascii="Times New Roman" w:hAnsi="Times New Roman" w:eastAsia="宋体" w:cs="Times New Roman"/>
          <w:szCs w:val="24"/>
        </w:rPr>
        <w:t>根据输血量的不同显示不同审核级别</w:t>
      </w:r>
      <w:r>
        <w:rPr>
          <w:rFonts w:hint="eastAsia" w:ascii="Times New Roman" w:hAnsi="Times New Roman" w:eastAsia="宋体" w:cs="Times New Roman"/>
          <w:szCs w:val="24"/>
        </w:rPr>
        <w:t>，</w:t>
      </w:r>
      <w:r>
        <w:rPr>
          <w:rFonts w:ascii="Times New Roman" w:hAnsi="Times New Roman" w:eastAsia="宋体" w:cs="Times New Roman"/>
          <w:szCs w:val="24"/>
        </w:rPr>
        <w:t>及对应的审核状态界面截图证明</w:t>
      </w:r>
      <w:r>
        <w:rPr>
          <w:rFonts w:hint="eastAsia" w:ascii="Times New Roman" w:hAnsi="Times New Roman" w:eastAsia="宋体" w:cs="Times New Roman"/>
          <w:szCs w:val="24"/>
        </w:rPr>
        <w:t>。</w:t>
      </w:r>
    </w:p>
    <w:p>
      <w:pPr>
        <w:pStyle w:val="8"/>
        <w:numPr>
          <w:ilvl w:val="6"/>
          <w:numId w:val="31"/>
        </w:numPr>
        <w:ind w:left="0" w:firstLine="0"/>
      </w:pPr>
      <w:r>
        <w:t>电子申请单接收及调阅</w:t>
      </w:r>
    </w:p>
    <w:p>
      <w:pPr>
        <w:numPr>
          <w:ilvl w:val="0"/>
          <w:numId w:val="29"/>
        </w:numPr>
        <w:adjustRightInd/>
        <w:snapToGrid/>
        <w:spacing w:line="480" w:lineRule="auto"/>
        <w:rPr>
          <w:rFonts w:ascii="Times New Roman" w:hAnsi="Times New Roman" w:cs="Times New Roman"/>
          <w:szCs w:val="24"/>
        </w:rPr>
      </w:pPr>
      <w:r>
        <w:rPr>
          <w:rFonts w:ascii="Times New Roman" w:hAnsi="Times New Roman" w:cs="Times New Roman"/>
          <w:szCs w:val="24"/>
        </w:rPr>
        <w:t>支持接收及调阅从医生站发来的电子申请单</w:t>
      </w:r>
      <w:r>
        <w:rPr>
          <w:rFonts w:hint="eastAsia" w:ascii="Times New Roman" w:hAnsi="Times New Roman" w:cs="Times New Roman"/>
          <w:szCs w:val="24"/>
        </w:rPr>
        <w:t>。</w:t>
      </w:r>
    </w:p>
    <w:p>
      <w:pPr>
        <w:pStyle w:val="8"/>
        <w:numPr>
          <w:ilvl w:val="6"/>
          <w:numId w:val="31"/>
        </w:numPr>
        <w:ind w:left="0" w:firstLine="0"/>
      </w:pPr>
      <w:r>
        <w:t>护士领血单管理</w:t>
      </w:r>
    </w:p>
    <w:p>
      <w:pPr>
        <w:numPr>
          <w:ilvl w:val="0"/>
          <w:numId w:val="29"/>
        </w:numPr>
        <w:adjustRightInd/>
        <w:snapToGrid/>
        <w:spacing w:line="480" w:lineRule="auto"/>
        <w:rPr>
          <w:rFonts w:ascii="Times New Roman" w:hAnsi="Times New Roman" w:cs="Times New Roman"/>
          <w:szCs w:val="24"/>
        </w:rPr>
      </w:pPr>
      <w:r>
        <w:rPr>
          <w:rFonts w:ascii="Times New Roman" w:hAnsi="Times New Roman" w:cs="Times New Roman"/>
          <w:szCs w:val="24"/>
        </w:rPr>
        <w:t>支持包括血制品采集、条码绑定、领血单打印、标本运送</w:t>
      </w:r>
      <w:r>
        <w:rPr>
          <w:rFonts w:hint="eastAsia" w:ascii="Times New Roman" w:hAnsi="Times New Roman" w:cs="Times New Roman"/>
          <w:szCs w:val="24"/>
        </w:rPr>
        <w:t>、</w:t>
      </w:r>
      <w:r>
        <w:rPr>
          <w:rFonts w:ascii="Times New Roman" w:hAnsi="Times New Roman" w:cs="Times New Roman"/>
          <w:szCs w:val="24"/>
        </w:rPr>
        <w:t>领血确认</w:t>
      </w:r>
      <w:r>
        <w:rPr>
          <w:rFonts w:hint="eastAsia" w:ascii="Times New Roman" w:hAnsi="Times New Roman" w:cs="Times New Roman"/>
          <w:szCs w:val="24"/>
        </w:rPr>
        <w:t>。</w:t>
      </w:r>
    </w:p>
    <w:p>
      <w:pPr>
        <w:pStyle w:val="8"/>
        <w:numPr>
          <w:ilvl w:val="6"/>
          <w:numId w:val="31"/>
        </w:numPr>
        <w:ind w:left="0" w:firstLine="0"/>
      </w:pPr>
      <w:r>
        <w:t>输血消息平台</w:t>
      </w:r>
    </w:p>
    <w:p>
      <w:pPr>
        <w:numPr>
          <w:ilvl w:val="0"/>
          <w:numId w:val="29"/>
        </w:numPr>
        <w:adjustRightInd/>
        <w:snapToGrid/>
        <w:spacing w:line="480" w:lineRule="auto"/>
        <w:rPr>
          <w:rFonts w:ascii="Times New Roman" w:hAnsi="Times New Roman" w:eastAsia="宋体" w:cs="Times New Roman"/>
          <w:szCs w:val="24"/>
        </w:rPr>
      </w:pPr>
      <w:r>
        <w:rPr>
          <w:rFonts w:hint="eastAsia" w:ascii="Times New Roman" w:hAnsi="Times New Roman" w:eastAsia="宋体" w:cs="Times New Roman"/>
          <w:szCs w:val="24"/>
        </w:rPr>
        <w:t>支持备血确认及到血确认，通过消息弹窗，进行到血数量确认，包括申请的项目、申请数量、已到血数量；</w:t>
      </w:r>
    </w:p>
    <w:p>
      <w:pPr>
        <w:pStyle w:val="8"/>
        <w:numPr>
          <w:ilvl w:val="6"/>
          <w:numId w:val="31"/>
        </w:numPr>
        <w:ind w:left="0" w:firstLine="0"/>
      </w:pPr>
      <w:r>
        <w:t>用血安全管理（条码校验）</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支持手术室输血前信息核对及记录</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支持用血后疗效评价，自动获取患者输血前后各项生命体征及检测指标，并对结果进行分析评价</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支持记录确认患者输血中出现的不良反应，并通过系统之间的无缝集成，将患者不良反应信息通过网络上传至电子病历系统和输血科管理系统</w:t>
      </w:r>
      <w:r>
        <w:rPr>
          <w:rFonts w:hint="eastAsia" w:ascii="Times New Roman" w:hAnsi="Times New Roman" w:eastAsia="宋体" w:cs="Times New Roman"/>
          <w:szCs w:val="24"/>
        </w:rPr>
        <w:t>，</w:t>
      </w:r>
      <w:r>
        <w:rPr>
          <w:rFonts w:ascii="Times New Roman" w:hAnsi="Times New Roman" w:eastAsia="宋体" w:cs="Times New Roman"/>
          <w:szCs w:val="24"/>
        </w:rPr>
        <w:t>实现临床和输血科实时的信息交互，支持对不良反应进行统计。</w:t>
      </w:r>
    </w:p>
    <w:p>
      <w:pPr>
        <w:pStyle w:val="8"/>
        <w:numPr>
          <w:ilvl w:val="6"/>
          <w:numId w:val="31"/>
        </w:numPr>
        <w:ind w:left="0" w:firstLine="0"/>
      </w:pPr>
      <w:r>
        <w:t>输血不良反应记录及反馈</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支持记录确认患者输血中出现的不良反应。并将患者不良反应信息通过网络上传至电子病历系统和输血科管理系统</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支持对不良反应进行统计</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支持PDA设备对输血不良反应记录的录入及反馈。</w:t>
      </w:r>
    </w:p>
    <w:p>
      <w:pPr>
        <w:pStyle w:val="8"/>
        <w:numPr>
          <w:ilvl w:val="6"/>
          <w:numId w:val="31"/>
        </w:numPr>
        <w:ind w:left="0" w:firstLine="0"/>
      </w:pPr>
      <w:r>
        <w:rPr>
          <w:rFonts w:ascii="Times New Roman" w:hAnsi="Times New Roman" w:cs="Times New Roman"/>
        </w:rPr>
        <w:t>用血计划管理</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支持每个病区或科室按血液成分类型制定年度用血计划；</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支持输血科依据各病区或科室用血计划制定每个月份各类型血液制品的采购量和备血库存量。</w:t>
      </w:r>
    </w:p>
    <w:p>
      <w:pPr>
        <w:pStyle w:val="6"/>
        <w:numPr>
          <w:ilvl w:val="4"/>
          <w:numId w:val="10"/>
        </w:numPr>
      </w:pPr>
      <w:r>
        <w:rPr>
          <w:rFonts w:hint="eastAsia"/>
        </w:rPr>
        <w:t>检验质控管理</w:t>
      </w:r>
    </w:p>
    <w:p>
      <w:pPr>
        <w:pStyle w:val="7"/>
        <w:numPr>
          <w:ilvl w:val="5"/>
          <w:numId w:val="10"/>
        </w:numPr>
      </w:pPr>
      <w:r>
        <w:t xml:space="preserve">标本TAT时间管理 </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支持从临床开单→护士执行→条码打印（或补打）→采血确认（更新时间）→标本送出临床→检验科签收→报告审核全程跟踪、监控、统计；</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支持样本TAT和危急值超时提醒；</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支持不合格标本退回并记录，自动通知临床并汇总；</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支持TAT及合格率统计，支持TAT图形展示。</w:t>
      </w:r>
    </w:p>
    <w:p>
      <w:pPr>
        <w:pStyle w:val="7"/>
        <w:numPr>
          <w:ilvl w:val="5"/>
          <w:numId w:val="10"/>
        </w:numPr>
      </w:pPr>
      <w:r>
        <w:t>标本状态提醒</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支持通过工作站消息窗口方式对检验全过程中的异常情况进行报警和警示</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支持急诊标本提醒，不合格标本提醒，危急标本提醒，实验室过程监控、异常标本监控、标本流转监控。</w:t>
      </w:r>
    </w:p>
    <w:p>
      <w:pPr>
        <w:pStyle w:val="7"/>
        <w:numPr>
          <w:ilvl w:val="5"/>
          <w:numId w:val="10"/>
        </w:numPr>
      </w:pPr>
      <w:r>
        <w:t>检验数据分析</w:t>
      </w:r>
    </w:p>
    <w:p>
      <w:pPr>
        <w:numPr>
          <w:ilvl w:val="0"/>
          <w:numId w:val="29"/>
        </w:numPr>
        <w:adjustRightInd/>
        <w:snapToGrid/>
        <w:spacing w:line="480" w:lineRule="auto"/>
        <w:ind w:left="480" w:hanging="480"/>
        <w:rPr>
          <w:rFonts w:ascii="Times New Roman" w:hAnsi="Times New Roman" w:eastAsia="宋体" w:cs="Times New Roman"/>
          <w:szCs w:val="24"/>
        </w:rPr>
      </w:pPr>
      <w:r>
        <w:rPr>
          <w:rFonts w:hint="eastAsia" w:ascii="Times New Roman" w:hAnsi="Times New Roman" w:eastAsia="宋体" w:cs="Times New Roman"/>
          <w:szCs w:val="24"/>
        </w:rPr>
        <w:t>支持ROC曲线分析、TAT时间分析、趋势分析、工作量趋势分析、项目分析、项目阴阳性、直线回归与相关分析。</w:t>
      </w:r>
    </w:p>
    <w:p>
      <w:pPr>
        <w:pStyle w:val="7"/>
        <w:numPr>
          <w:ilvl w:val="5"/>
          <w:numId w:val="10"/>
        </w:numPr>
      </w:pPr>
      <w:r>
        <w:t>自动审核管理</w:t>
      </w:r>
    </w:p>
    <w:p>
      <w:pPr>
        <w:numPr>
          <w:ilvl w:val="0"/>
          <w:numId w:val="29"/>
        </w:numPr>
        <w:adjustRightInd/>
        <w:snapToGrid/>
        <w:spacing w:line="480" w:lineRule="auto"/>
        <w:ind w:left="480" w:hanging="480"/>
        <w:rPr>
          <w:rFonts w:ascii="Times New Roman" w:hAnsi="Times New Roman" w:eastAsia="宋体" w:cs="Times New Roman"/>
          <w:szCs w:val="24"/>
        </w:rPr>
      </w:pPr>
      <w:r>
        <w:rPr>
          <w:rFonts w:ascii="Times New Roman" w:hAnsi="Times New Roman" w:eastAsia="宋体" w:cs="Times New Roman"/>
          <w:szCs w:val="24"/>
        </w:rPr>
        <w:t>支持根据参考值自动</w:t>
      </w:r>
      <w:r>
        <w:rPr>
          <w:rFonts w:hint="eastAsia" w:ascii="Times New Roman" w:hAnsi="Times New Roman" w:eastAsia="宋体" w:cs="Times New Roman"/>
          <w:szCs w:val="24"/>
        </w:rPr>
        <w:t>审核，</w:t>
      </w:r>
      <w:r>
        <w:rPr>
          <w:rFonts w:ascii="Times New Roman" w:hAnsi="Times New Roman" w:eastAsia="宋体" w:cs="Times New Roman"/>
          <w:szCs w:val="24"/>
        </w:rPr>
        <w:t>参考值根据性别、标本种类和年龄不同而不同，年龄</w:t>
      </w:r>
      <w:r>
        <w:rPr>
          <w:rFonts w:hint="eastAsia" w:ascii="Times New Roman" w:hAnsi="Times New Roman" w:eastAsia="宋体" w:cs="Times New Roman"/>
          <w:szCs w:val="24"/>
        </w:rPr>
        <w:t>支持</w:t>
      </w:r>
      <w:r>
        <w:rPr>
          <w:rFonts w:ascii="Times New Roman" w:hAnsi="Times New Roman" w:eastAsia="宋体" w:cs="Times New Roman"/>
          <w:szCs w:val="24"/>
        </w:rPr>
        <w:t>岁、月、周、天、小时形式；</w:t>
      </w:r>
      <w:r>
        <w:rPr>
          <w:rFonts w:hint="eastAsia" w:ascii="Times New Roman" w:hAnsi="Times New Roman" w:eastAsia="宋体" w:cs="Times New Roman"/>
          <w:szCs w:val="24"/>
        </w:rPr>
        <w:t>支持</w:t>
      </w:r>
      <w:r>
        <w:rPr>
          <w:rFonts w:ascii="Times New Roman" w:hAnsi="Times New Roman" w:eastAsia="宋体" w:cs="Times New Roman"/>
          <w:szCs w:val="24"/>
        </w:rPr>
        <w:t>处理特殊生理指征的参考值；</w:t>
      </w:r>
    </w:p>
    <w:p>
      <w:pPr>
        <w:numPr>
          <w:ilvl w:val="0"/>
          <w:numId w:val="29"/>
        </w:numPr>
        <w:adjustRightInd/>
        <w:snapToGrid/>
        <w:spacing w:line="480" w:lineRule="auto"/>
        <w:ind w:left="480" w:hanging="480"/>
        <w:rPr>
          <w:rFonts w:ascii="Times New Roman" w:hAnsi="Times New Roman" w:eastAsia="宋体" w:cs="Times New Roman"/>
          <w:szCs w:val="24"/>
        </w:rPr>
      </w:pPr>
      <w:r>
        <w:rPr>
          <w:rFonts w:ascii="Times New Roman" w:hAnsi="Times New Roman" w:eastAsia="宋体" w:cs="Times New Roman"/>
          <w:szCs w:val="24"/>
        </w:rPr>
        <w:t>支持根据标本的基本信息，自动根据相匹配的项目参考值范围进行高低判断，用标记或颜色等手段进行不正常提示；</w:t>
      </w:r>
    </w:p>
    <w:p>
      <w:pPr>
        <w:numPr>
          <w:ilvl w:val="0"/>
          <w:numId w:val="29"/>
        </w:numPr>
        <w:adjustRightInd/>
        <w:snapToGrid/>
        <w:spacing w:line="480" w:lineRule="auto"/>
        <w:ind w:left="480" w:hanging="480"/>
        <w:rPr>
          <w:rFonts w:ascii="Times New Roman" w:hAnsi="Times New Roman" w:eastAsia="宋体" w:cs="Times New Roman"/>
          <w:szCs w:val="24"/>
        </w:rPr>
      </w:pPr>
      <w:r>
        <w:rPr>
          <w:rFonts w:ascii="Times New Roman" w:hAnsi="Times New Roman" w:eastAsia="宋体" w:cs="Times New Roman"/>
          <w:szCs w:val="24"/>
        </w:rPr>
        <w:t>支持根据病人的唯一标识，对同一病人的历史数据进行</w:t>
      </w:r>
      <w:r>
        <w:rPr>
          <w:rFonts w:hint="eastAsia" w:ascii="Times New Roman" w:hAnsi="Times New Roman" w:eastAsia="宋体" w:cs="Times New Roman"/>
          <w:szCs w:val="24"/>
        </w:rPr>
        <w:t>查看</w:t>
      </w:r>
      <w:r>
        <w:rPr>
          <w:rFonts w:ascii="Times New Roman" w:hAnsi="Times New Roman" w:eastAsia="宋体" w:cs="Times New Roman"/>
          <w:szCs w:val="24"/>
        </w:rPr>
        <w:t>，包括所有项目数据</w:t>
      </w:r>
      <w:r>
        <w:rPr>
          <w:rFonts w:hint="eastAsia" w:ascii="Times New Roman" w:hAnsi="Times New Roman" w:eastAsia="宋体" w:cs="Times New Roman"/>
          <w:szCs w:val="24"/>
        </w:rPr>
        <w:t>查看</w:t>
      </w:r>
      <w:r>
        <w:rPr>
          <w:rFonts w:ascii="Times New Roman" w:hAnsi="Times New Roman" w:eastAsia="宋体" w:cs="Times New Roman"/>
          <w:szCs w:val="24"/>
        </w:rPr>
        <w:t>；</w:t>
      </w:r>
    </w:p>
    <w:p>
      <w:pPr>
        <w:numPr>
          <w:ilvl w:val="0"/>
          <w:numId w:val="29"/>
        </w:numPr>
        <w:adjustRightInd/>
        <w:snapToGrid/>
        <w:spacing w:line="480" w:lineRule="auto"/>
        <w:ind w:left="480" w:hanging="480"/>
        <w:rPr>
          <w:rFonts w:ascii="Times New Roman" w:hAnsi="Times New Roman" w:eastAsia="宋体" w:cs="Times New Roman"/>
          <w:szCs w:val="24"/>
        </w:rPr>
      </w:pPr>
      <w:r>
        <w:rPr>
          <w:rFonts w:ascii="Times New Roman" w:hAnsi="Times New Roman" w:eastAsia="宋体" w:cs="Times New Roman"/>
          <w:szCs w:val="24"/>
        </w:rPr>
        <w:t>支持对一些有固定值的项目、一些相关性的项目进行自动比较审核；</w:t>
      </w:r>
    </w:p>
    <w:p>
      <w:pPr>
        <w:numPr>
          <w:ilvl w:val="0"/>
          <w:numId w:val="29"/>
        </w:numPr>
        <w:adjustRightInd/>
        <w:snapToGrid/>
        <w:spacing w:line="480" w:lineRule="auto"/>
        <w:ind w:left="480" w:hanging="480"/>
        <w:rPr>
          <w:rFonts w:ascii="Times New Roman" w:hAnsi="Times New Roman" w:eastAsia="宋体" w:cs="Times New Roman"/>
          <w:szCs w:val="24"/>
        </w:rPr>
      </w:pPr>
      <w:r>
        <w:rPr>
          <w:rFonts w:ascii="Times New Roman" w:hAnsi="Times New Roman" w:eastAsia="宋体" w:cs="Times New Roman"/>
          <w:szCs w:val="24"/>
        </w:rPr>
        <w:t>支持对一些危及病人性命的项目设置报警限；</w:t>
      </w:r>
    </w:p>
    <w:p>
      <w:pPr>
        <w:numPr>
          <w:ilvl w:val="0"/>
          <w:numId w:val="29"/>
        </w:numPr>
        <w:adjustRightInd/>
        <w:snapToGrid/>
        <w:spacing w:line="480" w:lineRule="auto"/>
        <w:ind w:left="480" w:hanging="480"/>
        <w:rPr>
          <w:rFonts w:ascii="Times New Roman" w:hAnsi="Times New Roman" w:eastAsia="宋体" w:cs="Times New Roman"/>
          <w:szCs w:val="24"/>
        </w:rPr>
      </w:pPr>
      <w:r>
        <w:rPr>
          <w:rFonts w:ascii="Times New Roman" w:hAnsi="Times New Roman" w:eastAsia="宋体" w:cs="Times New Roman"/>
          <w:szCs w:val="24"/>
        </w:rPr>
        <w:t>支持显示检验项目的临床意义</w:t>
      </w:r>
      <w:r>
        <w:rPr>
          <w:rFonts w:hint="eastAsia" w:ascii="Times New Roman" w:hAnsi="Times New Roman" w:eastAsia="宋体" w:cs="Times New Roman"/>
          <w:szCs w:val="24"/>
        </w:rPr>
        <w:t>；</w:t>
      </w:r>
    </w:p>
    <w:p>
      <w:pPr>
        <w:numPr>
          <w:ilvl w:val="0"/>
          <w:numId w:val="29"/>
        </w:numPr>
        <w:adjustRightInd/>
        <w:snapToGrid/>
        <w:spacing w:line="480" w:lineRule="auto"/>
        <w:ind w:left="480" w:hanging="480"/>
        <w:rPr>
          <w:rFonts w:ascii="Times New Roman" w:hAnsi="Times New Roman" w:eastAsia="宋体" w:cs="Times New Roman"/>
          <w:szCs w:val="24"/>
        </w:rPr>
      </w:pPr>
      <w:r>
        <w:rPr>
          <w:rFonts w:hint="eastAsia" w:ascii="Times New Roman" w:hAnsi="Times New Roman" w:eastAsia="宋体" w:cs="Times New Roman"/>
          <w:szCs w:val="24"/>
        </w:rPr>
        <w:t>支持</w:t>
      </w:r>
      <w:r>
        <w:rPr>
          <w:rFonts w:ascii="Times New Roman" w:hAnsi="Times New Roman" w:eastAsia="宋体" w:cs="Times New Roman"/>
          <w:szCs w:val="24"/>
        </w:rPr>
        <w:t>批量审核报告</w:t>
      </w:r>
      <w:r>
        <w:rPr>
          <w:rFonts w:hint="eastAsia" w:ascii="Times New Roman" w:hAnsi="Times New Roman" w:eastAsia="宋体" w:cs="Times New Roman"/>
          <w:szCs w:val="24"/>
        </w:rPr>
        <w:t>；</w:t>
      </w:r>
    </w:p>
    <w:p>
      <w:pPr>
        <w:numPr>
          <w:ilvl w:val="0"/>
          <w:numId w:val="29"/>
        </w:numPr>
        <w:adjustRightInd/>
        <w:snapToGrid/>
        <w:spacing w:line="480" w:lineRule="auto"/>
        <w:ind w:left="480" w:hanging="480"/>
        <w:rPr>
          <w:rFonts w:ascii="Times New Roman" w:hAnsi="Times New Roman" w:eastAsia="宋体" w:cs="Times New Roman"/>
          <w:szCs w:val="24"/>
        </w:rPr>
      </w:pPr>
      <w:r>
        <w:rPr>
          <w:rFonts w:hint="eastAsia" w:ascii="Times New Roman" w:hAnsi="Times New Roman" w:eastAsia="宋体" w:cs="Times New Roman"/>
          <w:szCs w:val="24"/>
        </w:rPr>
        <w:t>支持</w:t>
      </w:r>
      <w:r>
        <w:rPr>
          <w:rFonts w:ascii="Times New Roman" w:hAnsi="Times New Roman" w:eastAsia="宋体" w:cs="Times New Roman"/>
          <w:szCs w:val="24"/>
        </w:rPr>
        <w:t>查看报告的检验项目与病人信息</w:t>
      </w:r>
      <w:r>
        <w:rPr>
          <w:rFonts w:hint="eastAsia" w:ascii="Times New Roman" w:hAnsi="Times New Roman" w:eastAsia="宋体" w:cs="Times New Roman"/>
          <w:szCs w:val="24"/>
        </w:rPr>
        <w:t>；</w:t>
      </w:r>
    </w:p>
    <w:p>
      <w:pPr>
        <w:numPr>
          <w:ilvl w:val="0"/>
          <w:numId w:val="29"/>
        </w:numPr>
        <w:adjustRightInd/>
        <w:snapToGrid/>
        <w:spacing w:line="480" w:lineRule="auto"/>
        <w:ind w:left="480" w:hanging="480"/>
        <w:rPr>
          <w:rFonts w:ascii="Times New Roman" w:hAnsi="Times New Roman" w:eastAsia="宋体" w:cs="Times New Roman"/>
          <w:szCs w:val="24"/>
        </w:rPr>
      </w:pPr>
      <w:r>
        <w:rPr>
          <w:rFonts w:hint="eastAsia" w:ascii="Times New Roman" w:hAnsi="Times New Roman" w:eastAsia="宋体" w:cs="Times New Roman"/>
          <w:szCs w:val="24"/>
        </w:rPr>
        <w:t>支持</w:t>
      </w:r>
      <w:r>
        <w:rPr>
          <w:rFonts w:ascii="Times New Roman" w:hAnsi="Times New Roman" w:eastAsia="宋体" w:cs="Times New Roman"/>
          <w:szCs w:val="24"/>
        </w:rPr>
        <w:t>根据设定的审核条件对项目进行验证；对当前审核病人的历史检验项目进行对照，如果偏差较大，则自动进行报警</w:t>
      </w:r>
      <w:r>
        <w:rPr>
          <w:rFonts w:hint="eastAsia" w:ascii="Times New Roman" w:hAnsi="Times New Roman" w:eastAsia="宋体" w:cs="Times New Roman"/>
          <w:szCs w:val="24"/>
        </w:rPr>
        <w:t>。</w:t>
      </w:r>
    </w:p>
    <w:p>
      <w:pPr>
        <w:pStyle w:val="7"/>
        <w:numPr>
          <w:ilvl w:val="5"/>
          <w:numId w:val="10"/>
        </w:numPr>
      </w:pPr>
      <w:r>
        <w:t>酶标</w:t>
      </w:r>
      <w:r>
        <w:rPr>
          <w:rFonts w:hint="eastAsia"/>
        </w:rPr>
        <w:t>板</w:t>
      </w:r>
      <w:r>
        <w:t>结果处理</w:t>
      </w:r>
    </w:p>
    <w:p>
      <w:pPr>
        <w:spacing w:line="480" w:lineRule="auto"/>
        <w:rPr>
          <w:rFonts w:ascii="Times New Roman" w:hAnsi="Times New Roman" w:eastAsia="宋体" w:cs="Times New Roman"/>
          <w:szCs w:val="24"/>
        </w:rPr>
      </w:pPr>
      <w:r>
        <w:rPr>
          <w:rFonts w:ascii="Times New Roman" w:hAnsi="Times New Roman" w:eastAsia="宋体" w:cs="Times New Roman"/>
          <w:b/>
          <w:szCs w:val="24"/>
        </w:rPr>
        <w:tab/>
      </w:r>
      <w:r>
        <w:rPr>
          <w:rFonts w:ascii="Times New Roman" w:hAnsi="Times New Roman" w:eastAsia="宋体" w:cs="Times New Roman"/>
          <w:szCs w:val="24"/>
        </w:rPr>
        <w:t>① 酶标仪设置</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支持按照酶标板的布局格式，单个或批量设置检验项目和样本类型；</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支持为不同检验项目设定其阴阳性判定计算规则；</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支持为定量检验项目设定计算转换公式；</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支持设置酶标仪的测量参数，包括：进板方式、振板频率、振板时间、主次波长滤光片；</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支持设置检验结果的后续处理方法：包括计算CUTOFF值、采用吸光度</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支持导出和导入酶标板的参数文件；</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支持可按照酶标板仿真布局，能够录入或采集检验数据，确定CUTOFF值，自动进行阴阳性判断。</w:t>
      </w:r>
    </w:p>
    <w:p>
      <w:pPr>
        <w:spacing w:line="480" w:lineRule="auto"/>
        <w:ind w:left="420"/>
        <w:rPr>
          <w:rFonts w:ascii="Times New Roman" w:hAnsi="Times New Roman" w:eastAsia="宋体" w:cs="Times New Roman"/>
          <w:szCs w:val="24"/>
        </w:rPr>
      </w:pPr>
      <w:r>
        <w:rPr>
          <w:rFonts w:ascii="Times New Roman" w:hAnsi="Times New Roman" w:eastAsia="宋体" w:cs="Times New Roman"/>
          <w:szCs w:val="24"/>
        </w:rPr>
        <w:t>② 酶标仪检验</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支持对控制仪器进行检验，检验结果会自动传到原始数据区；</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支持自动判定检验结果的阴阳性，并在计算结果区显示；</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支持将本次的检验结果保存成一个Excel文件，包含：原始数据，吸光度值，定性结果。</w:t>
      </w:r>
    </w:p>
    <w:p>
      <w:pPr>
        <w:pStyle w:val="7"/>
        <w:numPr>
          <w:ilvl w:val="5"/>
          <w:numId w:val="10"/>
        </w:numPr>
      </w:pPr>
      <w:r>
        <w:t>微生物检验</w:t>
      </w:r>
    </w:p>
    <w:p>
      <w:pPr>
        <w:numPr>
          <w:ilvl w:val="0"/>
          <w:numId w:val="29"/>
        </w:numPr>
        <w:adjustRightInd/>
        <w:snapToGrid/>
        <w:spacing w:line="480" w:lineRule="auto"/>
        <w:rPr>
          <w:rFonts w:ascii="Times New Roman" w:hAnsi="Times New Roman" w:eastAsia="宋体" w:cs="Times New Roman"/>
          <w:szCs w:val="24"/>
        </w:rPr>
      </w:pPr>
      <w:r>
        <w:rPr>
          <w:rFonts w:hint="eastAsia" w:ascii="Times New Roman" w:hAnsi="Times New Roman" w:eastAsia="宋体" w:cs="Times New Roman"/>
          <w:szCs w:val="24"/>
        </w:rPr>
        <w:t>支持</w:t>
      </w:r>
      <w:r>
        <w:rPr>
          <w:rFonts w:ascii="Times New Roman" w:hAnsi="Times New Roman" w:eastAsia="宋体" w:cs="Times New Roman"/>
          <w:szCs w:val="24"/>
        </w:rPr>
        <w:t>记录病人的细菌培养结果</w:t>
      </w:r>
      <w:r>
        <w:rPr>
          <w:rFonts w:hint="eastAsia" w:ascii="Times New Roman" w:hAnsi="Times New Roman" w:eastAsia="宋体" w:cs="Times New Roman"/>
          <w:szCs w:val="24"/>
        </w:rPr>
        <w:t>及</w:t>
      </w:r>
      <w:r>
        <w:rPr>
          <w:rFonts w:ascii="Times New Roman" w:hAnsi="Times New Roman" w:eastAsia="宋体" w:cs="Times New Roman"/>
          <w:szCs w:val="24"/>
        </w:rPr>
        <w:t>各细菌的药敏结果</w:t>
      </w:r>
      <w:r>
        <w:rPr>
          <w:rFonts w:hint="eastAsia" w:ascii="Times New Roman" w:hAnsi="Times New Roman" w:eastAsia="宋体" w:cs="Times New Roman"/>
          <w:szCs w:val="24"/>
        </w:rPr>
        <w:t>，</w:t>
      </w:r>
      <w:r>
        <w:rPr>
          <w:rFonts w:ascii="Times New Roman" w:hAnsi="Times New Roman" w:eastAsia="宋体" w:cs="Times New Roman"/>
          <w:szCs w:val="24"/>
        </w:rPr>
        <w:t>打印规范的细菌培养报告单</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hint="eastAsia" w:ascii="Times New Roman" w:hAnsi="Times New Roman" w:eastAsia="宋体" w:cs="Times New Roman"/>
          <w:szCs w:val="24"/>
        </w:rPr>
        <w:t>支持提供</w:t>
      </w:r>
      <w:r>
        <w:rPr>
          <w:rFonts w:ascii="Times New Roman" w:hAnsi="Times New Roman" w:eastAsia="宋体" w:cs="Times New Roman"/>
          <w:szCs w:val="24"/>
        </w:rPr>
        <w:t>查询病人的培养记录</w:t>
      </w:r>
      <w:r>
        <w:rPr>
          <w:rFonts w:hint="eastAsia" w:ascii="Times New Roman" w:hAnsi="Times New Roman" w:eastAsia="宋体" w:cs="Times New Roman"/>
          <w:szCs w:val="24"/>
        </w:rPr>
        <w:t>，</w:t>
      </w:r>
      <w:r>
        <w:rPr>
          <w:rFonts w:ascii="Times New Roman" w:hAnsi="Times New Roman" w:eastAsia="宋体" w:cs="Times New Roman"/>
          <w:szCs w:val="24"/>
        </w:rPr>
        <w:t>微生物学上的统计分析等一系列功能</w:t>
      </w:r>
      <w:r>
        <w:rPr>
          <w:rFonts w:hint="eastAsia" w:ascii="Times New Roman" w:hAnsi="Times New Roman" w:eastAsia="宋体" w:cs="Times New Roman"/>
          <w:szCs w:val="24"/>
        </w:rPr>
        <w:t>。</w:t>
      </w:r>
    </w:p>
    <w:p>
      <w:pPr>
        <w:pStyle w:val="8"/>
        <w:numPr>
          <w:ilvl w:val="6"/>
          <w:numId w:val="33"/>
        </w:numPr>
        <w:ind w:left="0" w:firstLine="0"/>
      </w:pPr>
      <w:r>
        <w:t>微生物联机</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支持培养、鉴定药敏仪器的双工</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hint="eastAsia" w:ascii="Times New Roman" w:hAnsi="Times New Roman" w:eastAsia="宋体" w:cs="Times New Roman"/>
          <w:szCs w:val="24"/>
        </w:rPr>
        <w:t>支持</w:t>
      </w:r>
      <w:r>
        <w:rPr>
          <w:rFonts w:ascii="Times New Roman" w:hAnsi="Times New Roman" w:eastAsia="宋体" w:cs="Times New Roman"/>
          <w:szCs w:val="24"/>
        </w:rPr>
        <w:t>提供标准细菌代码，保障后期数据的查询分析</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hint="eastAsia" w:ascii="Times New Roman" w:hAnsi="Times New Roman" w:eastAsia="宋体" w:cs="Times New Roman"/>
          <w:szCs w:val="24"/>
        </w:rPr>
        <w:t>支持</w:t>
      </w:r>
      <w:r>
        <w:rPr>
          <w:rFonts w:ascii="Times New Roman" w:hAnsi="Times New Roman" w:eastAsia="宋体" w:cs="Times New Roman"/>
          <w:szCs w:val="24"/>
        </w:rPr>
        <w:t>提供抗生素药物代码转换功能。</w:t>
      </w:r>
    </w:p>
    <w:p>
      <w:pPr>
        <w:pStyle w:val="8"/>
        <w:numPr>
          <w:ilvl w:val="6"/>
          <w:numId w:val="33"/>
        </w:numPr>
        <w:ind w:left="0" w:firstLine="0"/>
      </w:pPr>
      <w:r>
        <w:t>报告管理</w:t>
      </w:r>
    </w:p>
    <w:p>
      <w:pPr>
        <w:numPr>
          <w:ilvl w:val="0"/>
          <w:numId w:val="29"/>
        </w:numPr>
        <w:adjustRightInd/>
        <w:snapToGrid/>
        <w:spacing w:line="480" w:lineRule="auto"/>
        <w:rPr>
          <w:rFonts w:ascii="Times New Roman" w:hAnsi="Times New Roman" w:eastAsia="宋体" w:cs="Times New Roman"/>
          <w:szCs w:val="24"/>
        </w:rPr>
      </w:pPr>
      <w:r>
        <w:rPr>
          <w:rFonts w:hint="eastAsia" w:ascii="Times New Roman" w:hAnsi="Times New Roman" w:eastAsia="宋体" w:cs="Times New Roman"/>
          <w:szCs w:val="24"/>
        </w:rPr>
        <w:t>支持样本的涂片、培养、鉴定及药敏的独立报告以及综合报告。</w:t>
      </w:r>
    </w:p>
    <w:p>
      <w:pPr>
        <w:pStyle w:val="8"/>
        <w:numPr>
          <w:ilvl w:val="6"/>
          <w:numId w:val="33"/>
        </w:numPr>
        <w:ind w:left="0" w:firstLine="0"/>
      </w:pPr>
      <w:r>
        <w:t>三级报告临床发布</w:t>
      </w:r>
    </w:p>
    <w:p>
      <w:pPr>
        <w:numPr>
          <w:ilvl w:val="0"/>
          <w:numId w:val="34"/>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w:t>
      </w:r>
      <w:r>
        <w:rPr>
          <w:rFonts w:ascii="Times New Roman" w:hAnsi="Times New Roman" w:eastAsia="宋体" w:cs="Times New Roman"/>
          <w:color w:val="000000"/>
          <w:szCs w:val="24"/>
        </w:rPr>
        <w:t>多阶段结果处理及24小时初步报告、48小时报告、最终报告</w:t>
      </w:r>
      <w:r>
        <w:rPr>
          <w:rFonts w:hint="eastAsia" w:ascii="Times New Roman" w:hAnsi="Times New Roman" w:eastAsia="宋体" w:cs="Times New Roman"/>
          <w:color w:val="000000"/>
          <w:szCs w:val="24"/>
        </w:rPr>
        <w:t>的</w:t>
      </w:r>
      <w:r>
        <w:rPr>
          <w:rFonts w:ascii="Times New Roman" w:hAnsi="Times New Roman" w:eastAsia="宋体" w:cs="Times New Roman"/>
          <w:color w:val="000000"/>
          <w:szCs w:val="24"/>
        </w:rPr>
        <w:t>分级报告</w:t>
      </w:r>
      <w:r>
        <w:rPr>
          <w:rFonts w:hint="eastAsia" w:ascii="Times New Roman" w:hAnsi="Times New Roman" w:eastAsia="宋体" w:cs="Times New Roman"/>
          <w:color w:val="000000"/>
          <w:szCs w:val="24"/>
        </w:rPr>
        <w:t>；</w:t>
      </w:r>
    </w:p>
    <w:p>
      <w:pPr>
        <w:numPr>
          <w:ilvl w:val="0"/>
          <w:numId w:val="34"/>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支持微生物检验分步计费。</w:t>
      </w:r>
    </w:p>
    <w:p>
      <w:pPr>
        <w:pStyle w:val="8"/>
        <w:numPr>
          <w:ilvl w:val="6"/>
          <w:numId w:val="33"/>
        </w:numPr>
        <w:ind w:left="0" w:firstLine="0"/>
      </w:pPr>
      <w:r>
        <w:t>实验流程电子化管理</w:t>
      </w:r>
    </w:p>
    <w:p>
      <w:pPr>
        <w:numPr>
          <w:ilvl w:val="0"/>
          <w:numId w:val="35"/>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支持详细记录并管理</w:t>
      </w:r>
      <w:r>
        <w:rPr>
          <w:rFonts w:ascii="Times New Roman" w:hAnsi="Times New Roman" w:eastAsia="宋体" w:cs="Times New Roman"/>
          <w:szCs w:val="24"/>
        </w:rPr>
        <w:t>微生物</w:t>
      </w:r>
      <w:r>
        <w:rPr>
          <w:rFonts w:ascii="Times New Roman" w:hAnsi="Times New Roman" w:eastAsia="宋体" w:cs="Times New Roman"/>
          <w:color w:val="000000"/>
          <w:szCs w:val="24"/>
        </w:rPr>
        <w:t>的接种培养、初步鉴定、鉴定、药敏、报告全过程，实现微生物实验过程的无纸化</w:t>
      </w:r>
      <w:r>
        <w:rPr>
          <w:rFonts w:hint="eastAsia" w:ascii="Times New Roman" w:hAnsi="Times New Roman" w:eastAsia="宋体" w:cs="Times New Roman"/>
          <w:color w:val="000000"/>
          <w:szCs w:val="24"/>
        </w:rPr>
        <w:t>；</w:t>
      </w:r>
    </w:p>
    <w:p>
      <w:pPr>
        <w:numPr>
          <w:ilvl w:val="0"/>
          <w:numId w:val="35"/>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支持记录微生物实验每个过程</w:t>
      </w:r>
      <w:r>
        <w:rPr>
          <w:rFonts w:hint="eastAsia" w:ascii="Times New Roman" w:hAnsi="Times New Roman" w:eastAsia="宋体" w:cs="Times New Roman"/>
          <w:color w:val="000000"/>
          <w:szCs w:val="24"/>
        </w:rPr>
        <w:t>的</w:t>
      </w:r>
      <w:r>
        <w:rPr>
          <w:rFonts w:ascii="Times New Roman" w:hAnsi="Times New Roman" w:eastAsia="宋体" w:cs="Times New Roman"/>
          <w:color w:val="000000"/>
          <w:szCs w:val="24"/>
        </w:rPr>
        <w:t>完整记录，</w:t>
      </w:r>
      <w:r>
        <w:rPr>
          <w:rFonts w:hint="eastAsia" w:ascii="Times New Roman" w:hAnsi="Times New Roman" w:eastAsia="宋体" w:cs="Times New Roman"/>
          <w:color w:val="000000"/>
          <w:szCs w:val="24"/>
        </w:rPr>
        <w:t>包括：</w:t>
      </w:r>
      <w:r>
        <w:rPr>
          <w:rFonts w:ascii="Times New Roman" w:hAnsi="Times New Roman" w:eastAsia="宋体" w:cs="Times New Roman"/>
          <w:color w:val="000000"/>
          <w:szCs w:val="24"/>
        </w:rPr>
        <w:t>培养、初鉴、鉴定、药敏，形成原始记录报告单。</w:t>
      </w:r>
    </w:p>
    <w:p>
      <w:pPr>
        <w:pStyle w:val="8"/>
        <w:numPr>
          <w:ilvl w:val="6"/>
          <w:numId w:val="33"/>
        </w:numPr>
        <w:ind w:left="0" w:firstLine="0"/>
      </w:pPr>
      <w:r>
        <w:t>微生物质控</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支持手工药敏质控、仪器药敏质控、手工生化反应质控、仪器生化反应质控、染色液质控；</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支持微生物室内质控如涂片、板条、药敏质控和室间质控如空气、物表监记录管理。</w:t>
      </w:r>
    </w:p>
    <w:p>
      <w:pPr>
        <w:pStyle w:val="8"/>
        <w:numPr>
          <w:ilvl w:val="6"/>
          <w:numId w:val="33"/>
        </w:numPr>
        <w:ind w:left="0" w:firstLine="0"/>
      </w:pPr>
      <w:r>
        <w:t>超级细菌管理</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支持设置重点细菌监控预警</w:t>
      </w:r>
      <w:r>
        <w:rPr>
          <w:rFonts w:hint="eastAsia" w:ascii="Times New Roman" w:hAnsi="Times New Roman" w:eastAsia="宋体" w:cs="Times New Roman"/>
          <w:szCs w:val="24"/>
        </w:rPr>
        <w:t>，包括：</w:t>
      </w:r>
      <w:r>
        <w:rPr>
          <w:rFonts w:ascii="Times New Roman" w:hAnsi="Times New Roman" w:eastAsia="宋体" w:cs="Times New Roman"/>
          <w:szCs w:val="24"/>
        </w:rPr>
        <w:t>超级细菌、泛耐药菌；</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支持检验药敏结果在工作平台给予及时提示。</w:t>
      </w:r>
    </w:p>
    <w:p>
      <w:pPr>
        <w:pStyle w:val="8"/>
        <w:numPr>
          <w:ilvl w:val="6"/>
          <w:numId w:val="33"/>
        </w:numPr>
        <w:ind w:left="0" w:firstLine="0"/>
      </w:pPr>
      <w:r>
        <w:t>查询统计及自定义方案</w:t>
      </w:r>
    </w:p>
    <w:p>
      <w:pPr>
        <w:numPr>
          <w:ilvl w:val="0"/>
          <w:numId w:val="29"/>
        </w:numPr>
        <w:adjustRightInd/>
        <w:snapToGrid/>
        <w:spacing w:line="480" w:lineRule="auto"/>
        <w:rPr>
          <w:rFonts w:ascii="Times New Roman" w:hAnsi="Times New Roman" w:eastAsia="宋体" w:cs="Times New Roman"/>
          <w:szCs w:val="24"/>
        </w:rPr>
      </w:pPr>
      <w:r>
        <w:rPr>
          <w:rFonts w:hint="eastAsia" w:ascii="Times New Roman" w:hAnsi="Times New Roman" w:eastAsia="宋体" w:cs="Times New Roman"/>
          <w:szCs w:val="24"/>
        </w:rPr>
        <w:t>支持</w:t>
      </w:r>
      <w:r>
        <w:rPr>
          <w:rFonts w:ascii="Times New Roman" w:hAnsi="Times New Roman" w:eastAsia="宋体" w:cs="Times New Roman"/>
          <w:szCs w:val="24"/>
        </w:rPr>
        <w:t>提供强大的数据统计分析功能</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hint="eastAsia" w:ascii="Times New Roman" w:hAnsi="Times New Roman" w:eastAsia="宋体" w:cs="Times New Roman"/>
          <w:szCs w:val="24"/>
        </w:rPr>
        <w:t>支持</w:t>
      </w:r>
      <w:r>
        <w:rPr>
          <w:rFonts w:ascii="Times New Roman" w:hAnsi="Times New Roman" w:eastAsia="宋体" w:cs="Times New Roman"/>
          <w:szCs w:val="24"/>
        </w:rPr>
        <w:t>报告查询方案自定义功能，方便实验室进行统计分析工作</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支持院感分析，药敏百分比以及超级细菌统计功能</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hint="eastAsia" w:ascii="Times New Roman" w:hAnsi="Times New Roman" w:eastAsia="宋体" w:cs="Times New Roman"/>
          <w:szCs w:val="24"/>
        </w:rPr>
        <w:t>支持</w:t>
      </w:r>
      <w:r>
        <w:rPr>
          <w:rFonts w:ascii="Times New Roman" w:hAnsi="Times New Roman" w:eastAsia="宋体" w:cs="Times New Roman"/>
          <w:szCs w:val="24"/>
        </w:rPr>
        <w:t>高级查询的模式，可以任意组合查询条件</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支持保存查询分析方案，下次使用查询时，无需重新选择查询条件，为形成统计分析知识库提供便利。</w:t>
      </w:r>
    </w:p>
    <w:p>
      <w:pPr>
        <w:pStyle w:val="8"/>
        <w:numPr>
          <w:ilvl w:val="6"/>
          <w:numId w:val="33"/>
        </w:numPr>
        <w:ind w:left="0" w:firstLine="0"/>
      </w:pPr>
      <w:r>
        <w:t>微生物WHONET接口</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支持WHONET的5.4 、5.5、5.6主流版本的数据接口</w:t>
      </w:r>
      <w:r>
        <w:rPr>
          <w:rFonts w:hint="eastAsia" w:ascii="Times New Roman" w:hAnsi="Times New Roman" w:eastAsia="宋体" w:cs="Times New Roman"/>
          <w:szCs w:val="24"/>
        </w:rPr>
        <w:t>；</w:t>
      </w:r>
    </w:p>
    <w:p>
      <w:pPr>
        <w:numPr>
          <w:ilvl w:val="0"/>
          <w:numId w:val="29"/>
        </w:numPr>
        <w:adjustRightInd/>
        <w:snapToGrid/>
        <w:spacing w:line="480" w:lineRule="auto"/>
        <w:rPr>
          <w:rFonts w:ascii="Times New Roman" w:hAnsi="Times New Roman" w:eastAsia="宋体" w:cs="Times New Roman"/>
          <w:szCs w:val="24"/>
        </w:rPr>
      </w:pPr>
      <w:r>
        <w:rPr>
          <w:rFonts w:ascii="Times New Roman" w:hAnsi="Times New Roman" w:eastAsia="宋体" w:cs="Times New Roman"/>
          <w:szCs w:val="24"/>
        </w:rPr>
        <w:t>在药敏报告完成后，</w:t>
      </w:r>
      <w:r>
        <w:rPr>
          <w:rFonts w:hint="eastAsia" w:ascii="Times New Roman" w:hAnsi="Times New Roman" w:eastAsia="宋体" w:cs="Times New Roman"/>
          <w:szCs w:val="24"/>
        </w:rPr>
        <w:t>支持</w:t>
      </w:r>
      <w:r>
        <w:rPr>
          <w:rFonts w:ascii="Times New Roman" w:hAnsi="Times New Roman" w:eastAsia="宋体" w:cs="Times New Roman"/>
          <w:szCs w:val="24"/>
        </w:rPr>
        <w:t>将病人信息、细菌信息、药敏信息自动导入WHONET中进行统计分析。</w:t>
      </w:r>
    </w:p>
    <w:p>
      <w:pPr>
        <w:pStyle w:val="7"/>
        <w:numPr>
          <w:ilvl w:val="5"/>
          <w:numId w:val="10"/>
        </w:numPr>
      </w:pPr>
      <w:r>
        <w:t>科室管理</w:t>
      </w:r>
    </w:p>
    <w:p>
      <w:pPr>
        <w:pStyle w:val="8"/>
        <w:numPr>
          <w:ilvl w:val="6"/>
          <w:numId w:val="36"/>
        </w:numPr>
        <w:ind w:left="0" w:firstLine="0"/>
      </w:pPr>
      <w:r>
        <w:t>实验室质控指标分析</w:t>
      </w:r>
    </w:p>
    <w:p>
      <w:pPr>
        <w:pStyle w:val="63"/>
        <w:numPr>
          <w:ilvl w:val="0"/>
          <w:numId w:val="37"/>
        </w:numPr>
        <w:spacing w:before="46" w:after="93"/>
        <w:ind w:firstLineChars="0"/>
        <w:rPr>
          <w:b/>
        </w:rPr>
      </w:pPr>
      <w:r>
        <w:rPr>
          <w:b/>
        </w:rPr>
        <w:t>检验前质量指标</w:t>
      </w:r>
    </w:p>
    <w:p>
      <w:pPr>
        <w:numPr>
          <w:ilvl w:val="0"/>
          <w:numId w:val="38"/>
        </w:numPr>
        <w:adjustRightInd/>
        <w:snapToGrid/>
        <w:rPr>
          <w:rFonts w:ascii="Times New Roman" w:hAnsi="Times New Roman" w:eastAsia="宋体" w:cs="Times New Roman"/>
          <w:szCs w:val="24"/>
        </w:rPr>
      </w:pPr>
      <w:r>
        <w:rPr>
          <w:rFonts w:hint="eastAsia" w:ascii="Times New Roman" w:hAnsi="Times New Roman" w:eastAsia="宋体" w:cs="Times New Roman"/>
          <w:szCs w:val="24"/>
        </w:rPr>
        <w:t>支持检验前指标统计，包括：</w:t>
      </w:r>
      <w:r>
        <w:rPr>
          <w:rFonts w:ascii="Times New Roman" w:hAnsi="Times New Roman" w:eastAsia="宋体" w:cs="Times New Roman"/>
          <w:szCs w:val="24"/>
        </w:rPr>
        <w:t>标本标签不合格率、标本类型错误率、标本容器错误率、标本量不正确率、标本采集时机不正确率、血培养污染率、标本运输丢失率、标本运输时间不当率、标本运输温度不当率、抗凝标本凝集率、标本溶血率、检验前周转时间</w:t>
      </w:r>
      <w:r>
        <w:rPr>
          <w:rFonts w:hint="eastAsia" w:ascii="Times New Roman" w:hAnsi="Times New Roman" w:eastAsia="宋体" w:cs="Times New Roman"/>
          <w:szCs w:val="24"/>
        </w:rPr>
        <w:t>；</w:t>
      </w:r>
    </w:p>
    <w:p>
      <w:pPr>
        <w:numPr>
          <w:ilvl w:val="0"/>
          <w:numId w:val="38"/>
        </w:numPr>
        <w:adjustRightInd/>
        <w:snapToGrid/>
        <w:rPr>
          <w:rFonts w:ascii="Times New Roman" w:hAnsi="Times New Roman" w:eastAsia="宋体" w:cs="Times New Roman"/>
          <w:szCs w:val="24"/>
        </w:rPr>
      </w:pPr>
      <w:r>
        <w:rPr>
          <w:rFonts w:ascii="Times New Roman" w:hAnsi="Times New Roman" w:eastAsia="宋体" w:cs="Times New Roman"/>
          <w:szCs w:val="24"/>
        </w:rPr>
        <w:t>支持数据下钻和多级下钻、图表下钻</w:t>
      </w:r>
      <w:r>
        <w:rPr>
          <w:rFonts w:hint="eastAsia" w:ascii="Times New Roman" w:hAnsi="Times New Roman" w:eastAsia="宋体" w:cs="Times New Roman"/>
          <w:szCs w:val="24"/>
        </w:rPr>
        <w:t>；</w:t>
      </w:r>
    </w:p>
    <w:p>
      <w:pPr>
        <w:numPr>
          <w:ilvl w:val="0"/>
          <w:numId w:val="38"/>
        </w:numPr>
        <w:adjustRightInd/>
        <w:snapToGrid/>
        <w:rPr>
          <w:rFonts w:ascii="Times New Roman" w:hAnsi="Times New Roman" w:eastAsia="宋体" w:cs="Times New Roman"/>
          <w:b/>
          <w:color w:val="000000"/>
          <w:szCs w:val="24"/>
        </w:rPr>
      </w:pPr>
      <w:r>
        <w:rPr>
          <w:rFonts w:ascii="Times New Roman" w:hAnsi="Times New Roman" w:eastAsia="宋体" w:cs="Times New Roman"/>
          <w:szCs w:val="24"/>
        </w:rPr>
        <w:t>支持折线图、柱状图、饼图、仪表盘、列表、横向柱状图、卡片、地图、雷达图、流向图展现。</w:t>
      </w:r>
    </w:p>
    <w:p>
      <w:pPr>
        <w:pStyle w:val="63"/>
        <w:numPr>
          <w:ilvl w:val="0"/>
          <w:numId w:val="37"/>
        </w:numPr>
        <w:spacing w:before="46" w:after="93"/>
        <w:ind w:firstLineChars="0"/>
        <w:rPr>
          <w:b/>
        </w:rPr>
      </w:pPr>
      <w:r>
        <w:rPr>
          <w:b/>
        </w:rPr>
        <w:t>检验中质量指标</w:t>
      </w:r>
    </w:p>
    <w:p>
      <w:pPr>
        <w:numPr>
          <w:ilvl w:val="0"/>
          <w:numId w:val="38"/>
        </w:numPr>
        <w:adjustRightInd/>
        <w:snapToGrid/>
        <w:rPr>
          <w:rFonts w:ascii="Times New Roman" w:hAnsi="Times New Roman" w:eastAsia="宋体" w:cs="Times New Roman"/>
          <w:szCs w:val="24"/>
        </w:rPr>
      </w:pPr>
      <w:r>
        <w:rPr>
          <w:rFonts w:hint="eastAsia" w:ascii="Times New Roman" w:hAnsi="Times New Roman" w:eastAsia="宋体" w:cs="Times New Roman"/>
          <w:szCs w:val="24"/>
        </w:rPr>
        <w:t>支持检验中质量指标统计，包括：</w:t>
      </w:r>
      <w:r>
        <w:rPr>
          <w:rFonts w:ascii="Times New Roman" w:hAnsi="Times New Roman" w:eastAsia="宋体" w:cs="Times New Roman"/>
          <w:szCs w:val="24"/>
        </w:rPr>
        <w:t>分析设备故障数、实验室信息系统（LIS）故障数、LIS传输准确性验证符合率、室内质控项日开展率</w:t>
      </w:r>
      <w:r>
        <w:rPr>
          <w:rFonts w:hint="eastAsia" w:ascii="Times New Roman" w:hAnsi="Times New Roman" w:eastAsia="宋体" w:cs="Times New Roman"/>
          <w:szCs w:val="24"/>
        </w:rPr>
        <w:t>、</w:t>
      </w:r>
      <w:r>
        <w:rPr>
          <w:rFonts w:ascii="Times New Roman" w:hAnsi="Times New Roman" w:eastAsia="宋体" w:cs="Times New Roman"/>
          <w:szCs w:val="24"/>
        </w:rPr>
        <w:t>室内质控项目变异系数</w:t>
      </w:r>
      <w:r>
        <w:rPr>
          <w:rFonts w:hint="eastAsia" w:ascii="Times New Roman" w:hAnsi="Times New Roman" w:eastAsia="宋体" w:cs="Times New Roman"/>
          <w:szCs w:val="24"/>
        </w:rPr>
        <w:t>；</w:t>
      </w:r>
    </w:p>
    <w:p>
      <w:pPr>
        <w:numPr>
          <w:ilvl w:val="0"/>
          <w:numId w:val="38"/>
        </w:numPr>
        <w:adjustRightInd/>
        <w:snapToGrid/>
        <w:rPr>
          <w:rFonts w:ascii="Times New Roman" w:hAnsi="Times New Roman" w:eastAsia="宋体" w:cs="Times New Roman"/>
          <w:szCs w:val="24"/>
        </w:rPr>
      </w:pPr>
      <w:r>
        <w:rPr>
          <w:rFonts w:ascii="Times New Roman" w:hAnsi="Times New Roman" w:eastAsia="宋体" w:cs="Times New Roman"/>
          <w:szCs w:val="24"/>
        </w:rPr>
        <w:t>支持数据下钻和多级下钻、图表下钻</w:t>
      </w:r>
      <w:r>
        <w:rPr>
          <w:rFonts w:hint="eastAsia" w:ascii="Times New Roman" w:hAnsi="Times New Roman" w:eastAsia="宋体" w:cs="Times New Roman"/>
          <w:szCs w:val="24"/>
        </w:rPr>
        <w:t>；</w:t>
      </w:r>
    </w:p>
    <w:p>
      <w:pPr>
        <w:numPr>
          <w:ilvl w:val="0"/>
          <w:numId w:val="38"/>
        </w:numPr>
        <w:adjustRightInd/>
        <w:snapToGrid/>
        <w:rPr>
          <w:rFonts w:ascii="Times New Roman" w:hAnsi="Times New Roman" w:eastAsia="宋体" w:cs="Times New Roman"/>
          <w:b/>
          <w:color w:val="000000"/>
          <w:szCs w:val="24"/>
        </w:rPr>
      </w:pPr>
      <w:r>
        <w:rPr>
          <w:rFonts w:ascii="Times New Roman" w:hAnsi="Times New Roman" w:eastAsia="宋体" w:cs="Times New Roman"/>
          <w:szCs w:val="24"/>
        </w:rPr>
        <w:t>支持折线图、柱状图、饼图、仪表盘、列表、横向柱状图、卡片、地图、雷达图、流向图展现。</w:t>
      </w:r>
    </w:p>
    <w:p>
      <w:pPr>
        <w:pStyle w:val="63"/>
        <w:numPr>
          <w:ilvl w:val="0"/>
          <w:numId w:val="37"/>
        </w:numPr>
        <w:spacing w:before="46" w:after="93"/>
        <w:ind w:firstLineChars="0"/>
        <w:rPr>
          <w:b/>
        </w:rPr>
      </w:pPr>
      <w:r>
        <w:rPr>
          <w:b/>
        </w:rPr>
        <w:t>检验后质量指标</w:t>
      </w:r>
    </w:p>
    <w:p>
      <w:pPr>
        <w:numPr>
          <w:ilvl w:val="0"/>
          <w:numId w:val="38"/>
        </w:numPr>
        <w:adjustRightInd/>
        <w:snapToGrid/>
        <w:rPr>
          <w:rFonts w:ascii="Times New Roman" w:hAnsi="Times New Roman" w:eastAsia="宋体" w:cs="Times New Roman"/>
          <w:szCs w:val="24"/>
        </w:rPr>
      </w:pPr>
      <w:r>
        <w:rPr>
          <w:rFonts w:hint="eastAsia" w:ascii="Times New Roman" w:hAnsi="Times New Roman" w:eastAsia="宋体" w:cs="Times New Roman"/>
          <w:szCs w:val="24"/>
        </w:rPr>
        <w:t>支持检验后质量指标统计，包括：</w:t>
      </w:r>
      <w:r>
        <w:rPr>
          <w:rFonts w:ascii="Times New Roman" w:hAnsi="Times New Roman" w:eastAsia="宋体" w:cs="Times New Roman"/>
          <w:szCs w:val="24"/>
        </w:rPr>
        <w:t>实验室内周转时间， 检验报告错误率、报告召回率、危急值通报率、危急值通报及时率</w:t>
      </w:r>
      <w:r>
        <w:rPr>
          <w:rFonts w:hint="eastAsia" w:ascii="Times New Roman" w:hAnsi="Times New Roman" w:eastAsia="宋体" w:cs="Times New Roman"/>
          <w:szCs w:val="24"/>
        </w:rPr>
        <w:t>；</w:t>
      </w:r>
    </w:p>
    <w:p>
      <w:pPr>
        <w:numPr>
          <w:ilvl w:val="0"/>
          <w:numId w:val="38"/>
        </w:numPr>
        <w:adjustRightInd/>
        <w:snapToGrid/>
        <w:rPr>
          <w:rFonts w:ascii="Times New Roman" w:hAnsi="Times New Roman" w:eastAsia="宋体" w:cs="Times New Roman"/>
          <w:szCs w:val="24"/>
        </w:rPr>
      </w:pPr>
      <w:r>
        <w:rPr>
          <w:rFonts w:ascii="Times New Roman" w:hAnsi="Times New Roman" w:eastAsia="宋体" w:cs="Times New Roman"/>
          <w:szCs w:val="24"/>
        </w:rPr>
        <w:t>支持数据下钻和多级下钻、图表下钻</w:t>
      </w:r>
      <w:r>
        <w:rPr>
          <w:rFonts w:hint="eastAsia" w:ascii="Times New Roman" w:hAnsi="Times New Roman" w:eastAsia="宋体" w:cs="Times New Roman"/>
          <w:szCs w:val="24"/>
        </w:rPr>
        <w:t>；</w:t>
      </w:r>
    </w:p>
    <w:p>
      <w:pPr>
        <w:numPr>
          <w:ilvl w:val="0"/>
          <w:numId w:val="38"/>
        </w:numPr>
        <w:adjustRightInd/>
        <w:snapToGrid/>
        <w:rPr>
          <w:rFonts w:ascii="Times New Roman" w:hAnsi="Times New Roman" w:eastAsia="宋体" w:cs="Times New Roman"/>
          <w:color w:val="000000"/>
          <w:szCs w:val="24"/>
        </w:rPr>
      </w:pPr>
      <w:r>
        <w:rPr>
          <w:rFonts w:ascii="Times New Roman" w:hAnsi="Times New Roman" w:eastAsia="宋体" w:cs="Times New Roman"/>
          <w:szCs w:val="24"/>
        </w:rPr>
        <w:t>支持折线图、柱状图、饼图、仪表盘、列表、横向柱状图、卡片、地图、雷达图、流向图展现。</w:t>
      </w:r>
    </w:p>
    <w:p>
      <w:pPr>
        <w:pStyle w:val="63"/>
        <w:numPr>
          <w:ilvl w:val="0"/>
          <w:numId w:val="37"/>
        </w:numPr>
        <w:spacing w:before="46" w:after="93"/>
        <w:ind w:firstLineChars="0"/>
        <w:rPr>
          <w:b/>
        </w:rPr>
      </w:pPr>
      <w:r>
        <w:rPr>
          <w:b/>
        </w:rPr>
        <w:t>支持过程质量指标</w:t>
      </w:r>
    </w:p>
    <w:p>
      <w:pPr>
        <w:numPr>
          <w:ilvl w:val="0"/>
          <w:numId w:val="38"/>
        </w:numPr>
        <w:adjustRightInd/>
        <w:snapToGrid/>
        <w:rPr>
          <w:rFonts w:ascii="Times New Roman" w:hAnsi="Times New Roman" w:eastAsia="宋体" w:cs="Times New Roman"/>
          <w:szCs w:val="24"/>
        </w:rPr>
      </w:pPr>
      <w:r>
        <w:rPr>
          <w:rFonts w:hint="eastAsia" w:ascii="Times New Roman" w:hAnsi="Times New Roman" w:eastAsia="宋体" w:cs="Times New Roman"/>
          <w:szCs w:val="24"/>
        </w:rPr>
        <w:t>支持过程质量指标统计，包括：</w:t>
      </w:r>
      <w:r>
        <w:rPr>
          <w:rFonts w:ascii="Times New Roman" w:hAnsi="Times New Roman" w:eastAsia="宋体" w:cs="Times New Roman"/>
          <w:szCs w:val="24"/>
        </w:rPr>
        <w:t>医护满意度、患者满意度以及实验室投诉</w:t>
      </w:r>
      <w:r>
        <w:rPr>
          <w:rFonts w:hint="eastAsia" w:ascii="Times New Roman" w:hAnsi="Times New Roman" w:eastAsia="宋体" w:cs="Times New Roman"/>
          <w:szCs w:val="24"/>
        </w:rPr>
        <w:t>；</w:t>
      </w:r>
    </w:p>
    <w:p>
      <w:pPr>
        <w:numPr>
          <w:ilvl w:val="0"/>
          <w:numId w:val="38"/>
        </w:numPr>
        <w:adjustRightInd/>
        <w:snapToGrid/>
        <w:rPr>
          <w:rFonts w:ascii="Times New Roman" w:hAnsi="Times New Roman" w:eastAsia="宋体" w:cs="Times New Roman"/>
          <w:szCs w:val="24"/>
        </w:rPr>
      </w:pPr>
      <w:r>
        <w:rPr>
          <w:rFonts w:ascii="Times New Roman" w:hAnsi="Times New Roman" w:eastAsia="宋体" w:cs="Times New Roman"/>
          <w:szCs w:val="24"/>
        </w:rPr>
        <w:t>支持数据下钻和多级下钻、图表下钻</w:t>
      </w:r>
      <w:r>
        <w:rPr>
          <w:rFonts w:hint="eastAsia" w:ascii="Times New Roman" w:hAnsi="Times New Roman" w:eastAsia="宋体" w:cs="Times New Roman"/>
          <w:szCs w:val="24"/>
        </w:rPr>
        <w:t>；</w:t>
      </w:r>
    </w:p>
    <w:p>
      <w:pPr>
        <w:numPr>
          <w:ilvl w:val="0"/>
          <w:numId w:val="38"/>
        </w:numPr>
        <w:adjustRightInd/>
        <w:snapToGrid/>
        <w:rPr>
          <w:rFonts w:ascii="Times New Roman" w:hAnsi="Times New Roman" w:eastAsia="宋体" w:cs="Times New Roman"/>
          <w:szCs w:val="24"/>
        </w:rPr>
      </w:pPr>
      <w:r>
        <w:rPr>
          <w:rFonts w:ascii="Times New Roman" w:hAnsi="Times New Roman" w:eastAsia="宋体" w:cs="Times New Roman"/>
          <w:szCs w:val="24"/>
        </w:rPr>
        <w:t>支持折线图、柱状图、饼图、仪表盘、列表、横向柱状图、卡片、地图、雷达图、流向图展现。</w:t>
      </w:r>
    </w:p>
    <w:p>
      <w:pPr>
        <w:pStyle w:val="8"/>
        <w:numPr>
          <w:ilvl w:val="6"/>
          <w:numId w:val="36"/>
        </w:numPr>
        <w:ind w:left="0" w:firstLine="0"/>
      </w:pPr>
      <w:r>
        <w:t>检验科BI分析</w:t>
      </w:r>
    </w:p>
    <w:p>
      <w:pPr>
        <w:numPr>
          <w:ilvl w:val="0"/>
          <w:numId w:val="39"/>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支持多模态的数据动态展示，包括柱状图、饼状图、折线图、卫星图；</w:t>
      </w:r>
    </w:p>
    <w:p>
      <w:pPr>
        <w:numPr>
          <w:ilvl w:val="0"/>
          <w:numId w:val="39"/>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支持数据以Excel文件导出功能；</w:t>
      </w:r>
    </w:p>
    <w:p>
      <w:pPr>
        <w:numPr>
          <w:ilvl w:val="0"/>
          <w:numId w:val="39"/>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支持数据的下钻，能够按照业务场景、业务类型进行不同展示；</w:t>
      </w:r>
    </w:p>
    <w:p>
      <w:pPr>
        <w:numPr>
          <w:ilvl w:val="0"/>
          <w:numId w:val="39"/>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支持同一类型数据，不同时期数据在同一展示框内显示功能。</w:t>
      </w:r>
    </w:p>
    <w:p>
      <w:pPr>
        <w:pStyle w:val="6"/>
        <w:numPr>
          <w:ilvl w:val="4"/>
          <w:numId w:val="10"/>
        </w:numPr>
      </w:pPr>
      <w:r>
        <w:t>检验对外交互</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支持LIS系统与临检外送系统对接；</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支持L</w:t>
      </w:r>
      <w:r>
        <w:rPr>
          <w:rFonts w:ascii="Times New Roman" w:hAnsi="Times New Roman" w:eastAsia="宋体" w:cs="Times New Roman"/>
          <w:color w:val="000000"/>
          <w:szCs w:val="24"/>
        </w:rPr>
        <w:t>IS系统与</w:t>
      </w:r>
      <w:r>
        <w:rPr>
          <w:rFonts w:hint="eastAsia" w:ascii="Times New Roman" w:hAnsi="Times New Roman" w:eastAsia="宋体" w:cs="Times New Roman"/>
          <w:color w:val="000000"/>
          <w:szCs w:val="24"/>
        </w:rPr>
        <w:t>临检质控中心对接</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支持L</w:t>
      </w:r>
      <w:r>
        <w:rPr>
          <w:rFonts w:ascii="Times New Roman" w:hAnsi="Times New Roman" w:eastAsia="宋体" w:cs="Times New Roman"/>
          <w:color w:val="000000"/>
          <w:szCs w:val="24"/>
        </w:rPr>
        <w:t>IS系统与</w:t>
      </w:r>
      <w:r>
        <w:rPr>
          <w:rFonts w:hint="eastAsia" w:ascii="Times New Roman" w:hAnsi="Times New Roman" w:eastAsia="宋体" w:cs="Times New Roman"/>
          <w:color w:val="000000"/>
          <w:szCs w:val="24"/>
        </w:rPr>
        <w:t>上海市血站中心所需上传数据的对接。</w:t>
      </w:r>
    </w:p>
    <w:p>
      <w:pPr>
        <w:pStyle w:val="6"/>
        <w:numPr>
          <w:ilvl w:val="4"/>
          <w:numId w:val="10"/>
        </w:numPr>
      </w:pPr>
      <w:r>
        <w:t>心电管理系统（互联互通改造）</w:t>
      </w:r>
    </w:p>
    <w:p>
      <w:pPr>
        <w:pStyle w:val="7"/>
        <w:numPr>
          <w:ilvl w:val="5"/>
          <w:numId w:val="10"/>
        </w:numPr>
      </w:pPr>
      <w:bookmarkStart w:id="19" w:name="_Toc30023"/>
      <w:r>
        <w:t>危急值</w:t>
      </w:r>
      <w:bookmarkEnd w:id="19"/>
    </w:p>
    <w:p>
      <w:pPr>
        <w:numPr>
          <w:ilvl w:val="0"/>
          <w:numId w:val="35"/>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医生进行报告书写时，系统能够自动的对报告中出现的危急值进行判断，经医生判断为危机之后，直接发送至该患者所对应的临床科室，由科室进行危急值接收确认，确认完成后对危急值处理的情况进行反馈。</w:t>
      </w:r>
    </w:p>
    <w:p>
      <w:pPr>
        <w:pStyle w:val="78"/>
        <w:numPr>
          <w:ilvl w:val="0"/>
          <w:numId w:val="40"/>
        </w:numPr>
        <w:ind w:firstLine="55" w:firstLineChars="0"/>
        <w:rPr>
          <w:rFonts w:ascii="宋体" w:hAnsi="宋体"/>
        </w:rPr>
      </w:pPr>
      <w:r>
        <w:rPr>
          <w:rFonts w:ascii="宋体" w:hAnsi="宋体"/>
        </w:rPr>
        <w:t>临床图文报告调阅管理</w:t>
      </w:r>
    </w:p>
    <w:p>
      <w:pPr>
        <w:numPr>
          <w:ilvl w:val="0"/>
          <w:numId w:val="35"/>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报告审核后，提交到报告发布平台，系统内各临床科室按权限均可以浏览。</w:t>
      </w:r>
    </w:p>
    <w:p>
      <w:pPr>
        <w:pStyle w:val="78"/>
        <w:numPr>
          <w:ilvl w:val="0"/>
          <w:numId w:val="40"/>
        </w:numPr>
        <w:ind w:firstLine="55" w:firstLineChars="0"/>
        <w:rPr>
          <w:rFonts w:ascii="宋体" w:hAnsi="宋体"/>
        </w:rPr>
      </w:pPr>
      <w:r>
        <w:rPr>
          <w:rFonts w:ascii="宋体" w:hAnsi="宋体"/>
        </w:rPr>
        <w:t>报告集中打印</w:t>
      </w:r>
    </w:p>
    <w:p>
      <w:pPr>
        <w:numPr>
          <w:ilvl w:val="0"/>
          <w:numId w:val="35"/>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审核后的报告，医生在系统中可以根据需要，选择相关报告的集中打印。</w:t>
      </w:r>
    </w:p>
    <w:p>
      <w:pPr>
        <w:pStyle w:val="7"/>
        <w:numPr>
          <w:ilvl w:val="5"/>
          <w:numId w:val="10"/>
        </w:numPr>
      </w:pPr>
      <w:bookmarkStart w:id="20" w:name="_Toc19964"/>
      <w:r>
        <w:t>360视图对接</w:t>
      </w:r>
      <w:bookmarkEnd w:id="20"/>
    </w:p>
    <w:p>
      <w:pPr>
        <w:numPr>
          <w:ilvl w:val="0"/>
          <w:numId w:val="35"/>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支持与360视图的对接，支持在360视图系统中横向和纵向查看患者历史诊断报告（横向是指患者的放射、内镜、心电、检验等历史报告，纵向是指能够查看患者的历次报告）。</w:t>
      </w:r>
    </w:p>
    <w:p>
      <w:pPr>
        <w:pStyle w:val="7"/>
        <w:numPr>
          <w:ilvl w:val="5"/>
          <w:numId w:val="10"/>
        </w:numPr>
      </w:pPr>
      <w:bookmarkStart w:id="21" w:name="_Toc10109"/>
      <w:r>
        <w:t>医保5期扫码及联机</w:t>
      </w:r>
      <w:bookmarkEnd w:id="21"/>
    </w:p>
    <w:p>
      <w:pPr>
        <w:numPr>
          <w:ilvl w:val="0"/>
          <w:numId w:val="39"/>
        </w:numPr>
        <w:adjustRightInd/>
        <w:snapToGrid/>
        <w:spacing w:line="48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支持医保扫码与设备联机。</w:t>
      </w:r>
    </w:p>
    <w:p>
      <w:pPr>
        <w:pStyle w:val="7"/>
        <w:numPr>
          <w:ilvl w:val="5"/>
          <w:numId w:val="10"/>
        </w:numPr>
      </w:pPr>
      <w:r>
        <w:t>电子医保卡接口改造</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医保读卡接口升级支持医保5期实体医保卡信息交互。</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新增电子医保卡接口支持二维码及医保信息数据的交互。</w:t>
      </w:r>
    </w:p>
    <w:p>
      <w:pPr>
        <w:pStyle w:val="6"/>
        <w:numPr>
          <w:ilvl w:val="4"/>
          <w:numId w:val="10"/>
        </w:numPr>
      </w:pPr>
      <w:r>
        <w:rPr>
          <w:rFonts w:hint="eastAsia"/>
        </w:rPr>
        <w:t>医技排队叫号</w:t>
      </w:r>
    </w:p>
    <w:p>
      <w:pPr>
        <w:pStyle w:val="7"/>
        <w:numPr>
          <w:ilvl w:val="5"/>
          <w:numId w:val="10"/>
        </w:numPr>
      </w:pPr>
      <w:r>
        <w:t>放射科排队叫号</w:t>
      </w:r>
    </w:p>
    <w:p>
      <w:pPr>
        <w:pStyle w:val="8"/>
        <w:numPr>
          <w:ilvl w:val="6"/>
          <w:numId w:val="41"/>
        </w:numPr>
        <w:ind w:left="0" w:firstLine="0"/>
      </w:pPr>
      <w:r>
        <w:rPr>
          <w:rFonts w:hint="eastAsia"/>
        </w:rPr>
        <w:t>排队叫号管理</w:t>
      </w:r>
    </w:p>
    <w:p>
      <w:pPr>
        <w:pStyle w:val="42"/>
        <w:numPr>
          <w:ilvl w:val="0"/>
          <w:numId w:val="42"/>
        </w:numPr>
        <w:adjustRightInd/>
        <w:snapToGrid/>
        <w:ind w:firstLineChars="0"/>
        <w:rPr>
          <w:rFonts w:asciiTheme="majorHAnsi" w:hAnsiTheme="majorHAnsi" w:cstheme="majorBidi"/>
          <w:b/>
          <w:szCs w:val="24"/>
        </w:rPr>
      </w:pPr>
      <w:r>
        <w:rPr>
          <w:rFonts w:hint="eastAsia" w:asciiTheme="majorHAnsi" w:hAnsiTheme="majorHAnsi" w:cstheme="majorBidi"/>
          <w:b/>
          <w:szCs w:val="24"/>
        </w:rPr>
        <w:t>分诊集成</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排队叫号系统集成于信息系统中，无需单独增加硬件外设和单独开启操作界面，在系统中可直接完成操作。</w:t>
      </w:r>
    </w:p>
    <w:p>
      <w:pPr>
        <w:pStyle w:val="42"/>
        <w:numPr>
          <w:ilvl w:val="0"/>
          <w:numId w:val="42"/>
        </w:numPr>
        <w:adjustRightInd/>
        <w:snapToGrid/>
        <w:ind w:firstLineChars="0"/>
        <w:rPr>
          <w:rFonts w:asciiTheme="majorHAnsi" w:hAnsiTheme="majorHAnsi" w:cstheme="majorBidi"/>
          <w:b/>
          <w:szCs w:val="24"/>
        </w:rPr>
      </w:pPr>
      <w:r>
        <w:rPr>
          <w:rFonts w:hint="eastAsia" w:asciiTheme="majorHAnsi" w:hAnsiTheme="majorHAnsi" w:cstheme="majorBidi"/>
          <w:b/>
          <w:szCs w:val="24"/>
        </w:rPr>
        <w:t>分诊规则</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支持全自动、半自动分诊模式管理。</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支持病人优先级设置，可分一级、二级、三级优先。</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默认急诊病人、VIP等优先常规病人。</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支持预约病人优先常规病人分诊。</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支持自动分配候诊病人至空闲房间。</w:t>
      </w:r>
    </w:p>
    <w:p>
      <w:pPr>
        <w:pStyle w:val="42"/>
        <w:numPr>
          <w:ilvl w:val="0"/>
          <w:numId w:val="42"/>
        </w:numPr>
        <w:adjustRightInd/>
        <w:snapToGrid/>
        <w:ind w:firstLineChars="0"/>
        <w:rPr>
          <w:rFonts w:asciiTheme="majorHAnsi" w:hAnsiTheme="majorHAnsi" w:cstheme="majorBidi"/>
          <w:b/>
          <w:szCs w:val="24"/>
        </w:rPr>
      </w:pPr>
      <w:r>
        <w:rPr>
          <w:rFonts w:hint="eastAsia" w:asciiTheme="majorHAnsi" w:hAnsiTheme="majorHAnsi" w:cstheme="majorBidi"/>
          <w:b/>
          <w:szCs w:val="24"/>
        </w:rPr>
        <w:t>登记取号</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支持在病人登记完成后即自动分配排队号码，并打印排队号。</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支持排队队列与检查类型、检查机房的对应关系，根据登记时确定的检查类型和检查机房自动进入相应的队列。</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支持变更队列重新生成分诊号。</w:t>
      </w:r>
    </w:p>
    <w:p>
      <w:pPr>
        <w:pStyle w:val="42"/>
        <w:numPr>
          <w:ilvl w:val="0"/>
          <w:numId w:val="42"/>
        </w:numPr>
        <w:adjustRightInd/>
        <w:snapToGrid/>
        <w:ind w:firstLineChars="0"/>
        <w:rPr>
          <w:rFonts w:ascii="宋体" w:hAnsi="宋体" w:cs="Times New Roman"/>
          <w:b/>
          <w:color w:val="000000"/>
          <w:kern w:val="1"/>
          <w:szCs w:val="24"/>
        </w:rPr>
      </w:pPr>
      <w:r>
        <w:rPr>
          <w:rFonts w:hint="eastAsia" w:ascii="宋体" w:hAnsi="宋体" w:cs="Times New Roman"/>
          <w:b/>
          <w:color w:val="000000"/>
          <w:kern w:val="1"/>
          <w:szCs w:val="24"/>
        </w:rPr>
        <w:t>放射工作站</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支持对患者呼叫、暂停、重新广播等基本操作。</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支持一台工作站控制多个队列。</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支持扫条码叫号。</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支持扫腕带验证患者。</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支持对患者费用进行核收。</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支持对条码进行合并。</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支持对住院病人增加检查项目，并向HIS返回相应费用。</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支持设置房间候诊人数。</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支持查看队列完成情况。</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支持患者退回至候诊池重新分诊。</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支持查看患者申请单信息。</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支持打印患者取报告回执单，供患者自助机或报告工作台打印报告。</w:t>
      </w:r>
    </w:p>
    <w:p>
      <w:pPr>
        <w:pStyle w:val="42"/>
        <w:numPr>
          <w:ilvl w:val="0"/>
          <w:numId w:val="42"/>
        </w:numPr>
        <w:adjustRightInd/>
        <w:snapToGrid/>
        <w:ind w:firstLineChars="0"/>
        <w:rPr>
          <w:rFonts w:ascii="宋体" w:hAnsi="宋体" w:cs="Times New Roman"/>
          <w:b/>
          <w:color w:val="000000"/>
          <w:kern w:val="1"/>
          <w:szCs w:val="24"/>
        </w:rPr>
      </w:pPr>
      <w:r>
        <w:rPr>
          <w:rFonts w:hint="eastAsia" w:ascii="宋体" w:hAnsi="宋体" w:cs="Times New Roman"/>
          <w:b/>
          <w:color w:val="000000"/>
          <w:kern w:val="1"/>
          <w:szCs w:val="24"/>
        </w:rPr>
        <w:t>候诊屏</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支持具有实时语音播报。</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支持设置每次呼叫的语音播放次数、播放语速、男女声等。</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支持将屏幕自定义分割成多个区域，分别显示不同队列的信息。</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支持设置不同状态患者名字颜色显示，如急诊红色。</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支持患者姓名脱敏显示。</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支持显示就诊房间医生照片及姓名。</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支持滚动显示就诊注意事项。</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支持动态播放视频资料。</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支持配置显示候诊人数、是否显示在检患者。</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支持当前播报患者大屏幕突显。</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支持多显示屏时选择任一屏上进行展现。</w:t>
      </w:r>
    </w:p>
    <w:p>
      <w:pPr>
        <w:pStyle w:val="8"/>
        <w:numPr>
          <w:ilvl w:val="6"/>
          <w:numId w:val="41"/>
        </w:numPr>
        <w:ind w:left="0" w:firstLine="0"/>
      </w:pPr>
      <w:r>
        <w:rPr>
          <w:rFonts w:hint="eastAsia"/>
        </w:rPr>
        <w:t>报告发放管理</w:t>
      </w:r>
    </w:p>
    <w:p>
      <w:pPr>
        <w:numPr>
          <w:ilvl w:val="0"/>
          <w:numId w:val="39"/>
        </w:numPr>
        <w:adjustRightInd/>
        <w:snapToGrid/>
        <w:spacing w:line="48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支持通过大屏显示可打印报告患者列表。</w:t>
      </w:r>
    </w:p>
    <w:p>
      <w:pPr>
        <w:pStyle w:val="7"/>
        <w:numPr>
          <w:ilvl w:val="5"/>
          <w:numId w:val="10"/>
        </w:numPr>
      </w:pPr>
      <w:r>
        <w:t>超声排队叫号</w:t>
      </w:r>
    </w:p>
    <w:p>
      <w:pPr>
        <w:pStyle w:val="8"/>
        <w:numPr>
          <w:ilvl w:val="6"/>
          <w:numId w:val="43"/>
        </w:numPr>
        <w:ind w:left="0" w:firstLine="0"/>
      </w:pPr>
      <w:r>
        <w:rPr>
          <w:rFonts w:hint="eastAsia"/>
        </w:rPr>
        <w:t>排队叫号管理</w:t>
      </w:r>
    </w:p>
    <w:p>
      <w:pPr>
        <w:pStyle w:val="42"/>
        <w:numPr>
          <w:ilvl w:val="0"/>
          <w:numId w:val="42"/>
        </w:numPr>
        <w:adjustRightInd/>
        <w:snapToGrid/>
        <w:ind w:firstLineChars="0"/>
        <w:rPr>
          <w:b/>
        </w:rPr>
      </w:pPr>
      <w:r>
        <w:rPr>
          <w:rFonts w:hint="eastAsia"/>
          <w:b/>
        </w:rPr>
        <w:t>分诊集成</w:t>
      </w:r>
    </w:p>
    <w:p>
      <w:pPr>
        <w:ind w:left="420"/>
      </w:pPr>
      <w:r>
        <w:rPr>
          <w:rFonts w:hint="eastAsia"/>
        </w:rPr>
        <w:t>支持排队叫号系统集成于信息系统中，无需单独增加硬件外设和单独开启操作界面，在系统中可直接完成操作。</w:t>
      </w:r>
    </w:p>
    <w:p>
      <w:pPr>
        <w:pStyle w:val="42"/>
        <w:numPr>
          <w:ilvl w:val="0"/>
          <w:numId w:val="42"/>
        </w:numPr>
        <w:adjustRightInd/>
        <w:snapToGrid/>
        <w:ind w:firstLineChars="0"/>
        <w:rPr>
          <w:b/>
        </w:rPr>
      </w:pPr>
      <w:r>
        <w:rPr>
          <w:rFonts w:hint="eastAsia"/>
          <w:b/>
        </w:rPr>
        <w:t>分诊规则</w:t>
      </w:r>
    </w:p>
    <w:p>
      <w:pPr>
        <w:pStyle w:val="42"/>
        <w:numPr>
          <w:ilvl w:val="0"/>
          <w:numId w:val="44"/>
        </w:numPr>
        <w:adjustRightInd/>
        <w:snapToGrid/>
        <w:ind w:firstLineChars="0"/>
      </w:pPr>
      <w:r>
        <w:rPr>
          <w:rFonts w:hint="eastAsia"/>
        </w:rPr>
        <w:t>支持全自动、半自动分诊模式管理。</w:t>
      </w:r>
    </w:p>
    <w:p>
      <w:pPr>
        <w:pStyle w:val="42"/>
        <w:numPr>
          <w:ilvl w:val="0"/>
          <w:numId w:val="44"/>
        </w:numPr>
        <w:adjustRightInd/>
        <w:snapToGrid/>
        <w:ind w:firstLineChars="0"/>
      </w:pPr>
      <w:r>
        <w:rPr>
          <w:rFonts w:hint="eastAsia"/>
        </w:rPr>
        <w:t>支持病人优先级设置，可分一级、二级、三级优先。</w:t>
      </w:r>
    </w:p>
    <w:p>
      <w:pPr>
        <w:pStyle w:val="42"/>
        <w:numPr>
          <w:ilvl w:val="0"/>
          <w:numId w:val="44"/>
        </w:numPr>
        <w:adjustRightInd/>
        <w:snapToGrid/>
        <w:ind w:firstLineChars="0"/>
      </w:pPr>
      <w:r>
        <w:rPr>
          <w:rFonts w:hint="eastAsia"/>
        </w:rPr>
        <w:t>支持默认急诊病人、VIP等优先常规病人。</w:t>
      </w:r>
    </w:p>
    <w:p>
      <w:pPr>
        <w:pStyle w:val="42"/>
        <w:numPr>
          <w:ilvl w:val="0"/>
          <w:numId w:val="44"/>
        </w:numPr>
        <w:adjustRightInd/>
        <w:snapToGrid/>
        <w:ind w:firstLineChars="0"/>
      </w:pPr>
      <w:r>
        <w:rPr>
          <w:rFonts w:hint="eastAsia"/>
        </w:rPr>
        <w:t>支持预约病人优先常规病人分诊。</w:t>
      </w:r>
    </w:p>
    <w:p>
      <w:pPr>
        <w:pStyle w:val="42"/>
        <w:numPr>
          <w:ilvl w:val="0"/>
          <w:numId w:val="44"/>
        </w:numPr>
        <w:adjustRightInd/>
        <w:snapToGrid/>
        <w:ind w:firstLineChars="0"/>
      </w:pPr>
      <w:r>
        <w:rPr>
          <w:rFonts w:hint="eastAsia"/>
        </w:rPr>
        <w:t>支持自动分配候诊病人至空闲房间。</w:t>
      </w:r>
    </w:p>
    <w:p>
      <w:pPr>
        <w:pStyle w:val="42"/>
        <w:numPr>
          <w:ilvl w:val="0"/>
          <w:numId w:val="42"/>
        </w:numPr>
        <w:adjustRightInd/>
        <w:snapToGrid/>
        <w:ind w:firstLineChars="0"/>
        <w:rPr>
          <w:b/>
        </w:rPr>
      </w:pPr>
      <w:r>
        <w:rPr>
          <w:rFonts w:hint="eastAsia"/>
          <w:b/>
        </w:rPr>
        <w:t>登记取号</w:t>
      </w:r>
    </w:p>
    <w:p>
      <w:pPr>
        <w:pStyle w:val="42"/>
        <w:numPr>
          <w:ilvl w:val="0"/>
          <w:numId w:val="45"/>
        </w:numPr>
        <w:adjustRightInd/>
        <w:snapToGrid/>
        <w:ind w:firstLineChars="0"/>
      </w:pPr>
      <w:r>
        <w:rPr>
          <w:rFonts w:hint="eastAsia"/>
        </w:rPr>
        <w:t>支持在病人登记完成后即自动分配排队号码，并打印排队号。</w:t>
      </w:r>
    </w:p>
    <w:p>
      <w:pPr>
        <w:pStyle w:val="42"/>
        <w:numPr>
          <w:ilvl w:val="0"/>
          <w:numId w:val="45"/>
        </w:numPr>
        <w:adjustRightInd/>
        <w:snapToGrid/>
        <w:ind w:firstLineChars="0"/>
      </w:pPr>
      <w:r>
        <w:rPr>
          <w:rFonts w:hint="eastAsia"/>
        </w:rPr>
        <w:t>支持排队队列与检查类型、检查机房的对应关系，根据登记时确定的检查类型和检查机房自动进入相应的队列。</w:t>
      </w:r>
    </w:p>
    <w:p>
      <w:pPr>
        <w:pStyle w:val="42"/>
        <w:numPr>
          <w:ilvl w:val="0"/>
          <w:numId w:val="45"/>
        </w:numPr>
        <w:adjustRightInd/>
        <w:snapToGrid/>
        <w:ind w:firstLineChars="0"/>
      </w:pPr>
      <w:r>
        <w:rPr>
          <w:rFonts w:hint="eastAsia"/>
        </w:rPr>
        <w:t>支持变更队列重新生成分诊号。</w:t>
      </w:r>
    </w:p>
    <w:p>
      <w:pPr>
        <w:pStyle w:val="42"/>
        <w:numPr>
          <w:ilvl w:val="0"/>
          <w:numId w:val="42"/>
        </w:numPr>
        <w:adjustRightInd/>
        <w:snapToGrid/>
        <w:ind w:firstLineChars="0"/>
        <w:rPr>
          <w:b/>
        </w:rPr>
      </w:pPr>
      <w:r>
        <w:rPr>
          <w:rFonts w:hint="eastAsia"/>
          <w:b/>
        </w:rPr>
        <w:t>超声工作站</w:t>
      </w:r>
    </w:p>
    <w:p>
      <w:pPr>
        <w:pStyle w:val="42"/>
        <w:numPr>
          <w:ilvl w:val="0"/>
          <w:numId w:val="46"/>
        </w:numPr>
        <w:adjustRightInd/>
        <w:snapToGrid/>
        <w:ind w:firstLineChars="0"/>
      </w:pPr>
      <w:r>
        <w:rPr>
          <w:rFonts w:hint="eastAsia"/>
        </w:rPr>
        <w:t>支持对患者呼叫、暂停、重新广播等基本操作。</w:t>
      </w:r>
    </w:p>
    <w:p>
      <w:pPr>
        <w:pStyle w:val="42"/>
        <w:numPr>
          <w:ilvl w:val="0"/>
          <w:numId w:val="46"/>
        </w:numPr>
        <w:adjustRightInd/>
        <w:snapToGrid/>
        <w:ind w:firstLineChars="0"/>
      </w:pPr>
      <w:r>
        <w:rPr>
          <w:rFonts w:hint="eastAsia"/>
        </w:rPr>
        <w:t>支持一台工作站控制多个队列。</w:t>
      </w:r>
    </w:p>
    <w:p>
      <w:pPr>
        <w:pStyle w:val="42"/>
        <w:numPr>
          <w:ilvl w:val="0"/>
          <w:numId w:val="46"/>
        </w:numPr>
        <w:adjustRightInd/>
        <w:snapToGrid/>
        <w:ind w:firstLineChars="0"/>
      </w:pPr>
      <w:r>
        <w:rPr>
          <w:rFonts w:hint="eastAsia"/>
        </w:rPr>
        <w:t>支持多部位检查一并呼入。</w:t>
      </w:r>
    </w:p>
    <w:p>
      <w:pPr>
        <w:pStyle w:val="42"/>
        <w:numPr>
          <w:ilvl w:val="0"/>
          <w:numId w:val="46"/>
        </w:numPr>
        <w:adjustRightInd/>
        <w:snapToGrid/>
        <w:ind w:firstLineChars="0"/>
      </w:pPr>
      <w:r>
        <w:rPr>
          <w:rFonts w:hint="eastAsia"/>
        </w:rPr>
        <w:t>支持对患者费用进行核收。</w:t>
      </w:r>
    </w:p>
    <w:p>
      <w:pPr>
        <w:pStyle w:val="42"/>
        <w:numPr>
          <w:ilvl w:val="0"/>
          <w:numId w:val="46"/>
        </w:numPr>
        <w:adjustRightInd/>
        <w:snapToGrid/>
        <w:ind w:firstLineChars="0"/>
      </w:pPr>
      <w:r>
        <w:rPr>
          <w:rFonts w:hint="eastAsia"/>
        </w:rPr>
        <w:t>支持对住院病人增加检查项目，并向HIS返回相应费用。</w:t>
      </w:r>
    </w:p>
    <w:p>
      <w:pPr>
        <w:pStyle w:val="42"/>
        <w:numPr>
          <w:ilvl w:val="0"/>
          <w:numId w:val="46"/>
        </w:numPr>
        <w:adjustRightInd/>
        <w:snapToGrid/>
        <w:ind w:firstLineChars="0"/>
      </w:pPr>
      <w:r>
        <w:rPr>
          <w:rFonts w:hint="eastAsia"/>
        </w:rPr>
        <w:t>支持设置房间候诊人数。</w:t>
      </w:r>
    </w:p>
    <w:p>
      <w:pPr>
        <w:pStyle w:val="42"/>
        <w:numPr>
          <w:ilvl w:val="0"/>
          <w:numId w:val="46"/>
        </w:numPr>
        <w:adjustRightInd/>
        <w:snapToGrid/>
        <w:ind w:firstLineChars="0"/>
      </w:pPr>
      <w:r>
        <w:rPr>
          <w:rFonts w:hint="eastAsia"/>
        </w:rPr>
        <w:t>支持查看队列完成情况。</w:t>
      </w:r>
    </w:p>
    <w:p>
      <w:pPr>
        <w:pStyle w:val="42"/>
        <w:numPr>
          <w:ilvl w:val="0"/>
          <w:numId w:val="46"/>
        </w:numPr>
        <w:adjustRightInd/>
        <w:snapToGrid/>
        <w:ind w:firstLineChars="0"/>
      </w:pPr>
      <w:r>
        <w:rPr>
          <w:rFonts w:hint="eastAsia"/>
        </w:rPr>
        <w:t>支持患者退回至候诊池重新分诊。</w:t>
      </w:r>
    </w:p>
    <w:p>
      <w:pPr>
        <w:pStyle w:val="42"/>
        <w:numPr>
          <w:ilvl w:val="0"/>
          <w:numId w:val="46"/>
        </w:numPr>
        <w:adjustRightInd/>
        <w:snapToGrid/>
        <w:ind w:firstLineChars="0"/>
      </w:pPr>
      <w:r>
        <w:rPr>
          <w:rFonts w:hint="eastAsia"/>
        </w:rPr>
        <w:t>支持查看患者申请单信息。</w:t>
      </w:r>
    </w:p>
    <w:p>
      <w:pPr>
        <w:pStyle w:val="42"/>
        <w:numPr>
          <w:ilvl w:val="0"/>
          <w:numId w:val="46"/>
        </w:numPr>
        <w:adjustRightInd/>
        <w:snapToGrid/>
        <w:ind w:firstLineChars="0"/>
      </w:pPr>
      <w:r>
        <w:rPr>
          <w:rFonts w:hint="eastAsia"/>
        </w:rPr>
        <w:t>支持完成检查报告时自动完成分诊。</w:t>
      </w:r>
    </w:p>
    <w:p>
      <w:pPr>
        <w:pStyle w:val="42"/>
        <w:numPr>
          <w:ilvl w:val="0"/>
          <w:numId w:val="42"/>
        </w:numPr>
        <w:adjustRightInd/>
        <w:snapToGrid/>
        <w:ind w:firstLineChars="0"/>
        <w:rPr>
          <w:b/>
        </w:rPr>
      </w:pPr>
      <w:r>
        <w:rPr>
          <w:rFonts w:hint="eastAsia"/>
          <w:b/>
        </w:rPr>
        <w:t>候诊屏</w:t>
      </w:r>
    </w:p>
    <w:p>
      <w:pPr>
        <w:pStyle w:val="42"/>
        <w:numPr>
          <w:ilvl w:val="0"/>
          <w:numId w:val="47"/>
        </w:numPr>
        <w:adjustRightInd/>
        <w:snapToGrid/>
        <w:ind w:firstLineChars="0"/>
      </w:pPr>
      <w:r>
        <w:rPr>
          <w:rFonts w:hint="eastAsia"/>
        </w:rPr>
        <w:t>支持具有实时语音播报。</w:t>
      </w:r>
    </w:p>
    <w:p>
      <w:pPr>
        <w:pStyle w:val="42"/>
        <w:numPr>
          <w:ilvl w:val="0"/>
          <w:numId w:val="47"/>
        </w:numPr>
        <w:adjustRightInd/>
        <w:snapToGrid/>
        <w:ind w:firstLineChars="0"/>
      </w:pPr>
      <w:r>
        <w:rPr>
          <w:rFonts w:hint="eastAsia"/>
        </w:rPr>
        <w:t>支持设置每次呼叫的语音播放次数、播放语速、男女声等。</w:t>
      </w:r>
    </w:p>
    <w:p>
      <w:pPr>
        <w:pStyle w:val="42"/>
        <w:numPr>
          <w:ilvl w:val="0"/>
          <w:numId w:val="47"/>
        </w:numPr>
        <w:adjustRightInd/>
        <w:snapToGrid/>
        <w:ind w:firstLineChars="0"/>
      </w:pPr>
      <w:r>
        <w:rPr>
          <w:rFonts w:hint="eastAsia"/>
        </w:rPr>
        <w:t>支持将屏幕自定义分割成多个区域，分别显示不同队列的信息。</w:t>
      </w:r>
    </w:p>
    <w:p>
      <w:pPr>
        <w:pStyle w:val="42"/>
        <w:numPr>
          <w:ilvl w:val="0"/>
          <w:numId w:val="47"/>
        </w:numPr>
        <w:adjustRightInd/>
        <w:snapToGrid/>
        <w:ind w:firstLineChars="0"/>
      </w:pPr>
      <w:r>
        <w:rPr>
          <w:rFonts w:hint="eastAsia"/>
        </w:rPr>
        <w:t>支持设置不同状态患者名字颜色显示，如急诊红色。</w:t>
      </w:r>
    </w:p>
    <w:p>
      <w:pPr>
        <w:pStyle w:val="42"/>
        <w:numPr>
          <w:ilvl w:val="0"/>
          <w:numId w:val="47"/>
        </w:numPr>
        <w:adjustRightInd/>
        <w:snapToGrid/>
        <w:ind w:firstLineChars="0"/>
      </w:pPr>
      <w:r>
        <w:rPr>
          <w:rFonts w:hint="eastAsia"/>
        </w:rPr>
        <w:t>支持患者姓名脱敏显示。</w:t>
      </w:r>
    </w:p>
    <w:p>
      <w:pPr>
        <w:pStyle w:val="42"/>
        <w:numPr>
          <w:ilvl w:val="0"/>
          <w:numId w:val="47"/>
        </w:numPr>
        <w:adjustRightInd/>
        <w:snapToGrid/>
        <w:ind w:firstLineChars="0"/>
      </w:pPr>
      <w:r>
        <w:rPr>
          <w:rFonts w:hint="eastAsia"/>
        </w:rPr>
        <w:t>支持显示就诊房间医生照片及姓名。</w:t>
      </w:r>
    </w:p>
    <w:p>
      <w:pPr>
        <w:pStyle w:val="42"/>
        <w:numPr>
          <w:ilvl w:val="0"/>
          <w:numId w:val="47"/>
        </w:numPr>
        <w:adjustRightInd/>
        <w:snapToGrid/>
        <w:ind w:firstLineChars="0"/>
      </w:pPr>
      <w:r>
        <w:rPr>
          <w:rFonts w:hint="eastAsia"/>
        </w:rPr>
        <w:t>支持滚动显示就诊注意事项。</w:t>
      </w:r>
    </w:p>
    <w:p>
      <w:pPr>
        <w:pStyle w:val="42"/>
        <w:numPr>
          <w:ilvl w:val="0"/>
          <w:numId w:val="47"/>
        </w:numPr>
        <w:adjustRightInd/>
        <w:snapToGrid/>
        <w:ind w:firstLineChars="0"/>
      </w:pPr>
      <w:r>
        <w:rPr>
          <w:rFonts w:hint="eastAsia"/>
        </w:rPr>
        <w:t>支持动态播放视频资料。</w:t>
      </w:r>
    </w:p>
    <w:p>
      <w:pPr>
        <w:pStyle w:val="42"/>
        <w:numPr>
          <w:ilvl w:val="0"/>
          <w:numId w:val="47"/>
        </w:numPr>
        <w:adjustRightInd/>
        <w:snapToGrid/>
        <w:ind w:firstLineChars="0"/>
      </w:pPr>
      <w:r>
        <w:rPr>
          <w:rFonts w:hint="eastAsia"/>
        </w:rPr>
        <w:t>支持配置显示候诊人数、是否显示在检患者。</w:t>
      </w:r>
    </w:p>
    <w:p>
      <w:pPr>
        <w:pStyle w:val="42"/>
        <w:numPr>
          <w:ilvl w:val="0"/>
          <w:numId w:val="47"/>
        </w:numPr>
        <w:adjustRightInd/>
        <w:snapToGrid/>
        <w:ind w:firstLineChars="0"/>
      </w:pPr>
      <w:r>
        <w:rPr>
          <w:rFonts w:hint="eastAsia"/>
        </w:rPr>
        <w:t>支持当前播报患者大屏幕突显。</w:t>
      </w:r>
    </w:p>
    <w:p>
      <w:pPr>
        <w:pStyle w:val="42"/>
        <w:numPr>
          <w:ilvl w:val="0"/>
          <w:numId w:val="47"/>
        </w:numPr>
        <w:adjustRightInd/>
        <w:snapToGrid/>
        <w:ind w:firstLineChars="0"/>
      </w:pPr>
      <w:r>
        <w:rPr>
          <w:rFonts w:hint="eastAsia" w:ascii="Times New Roman" w:hAnsi="Times New Roman" w:cs="Times New Roman"/>
          <w:kern w:val="0"/>
          <w:szCs w:val="24"/>
        </w:rPr>
        <w:t>支持多显示屏时选择任一屏上进行展现</w:t>
      </w:r>
      <w:r>
        <w:rPr>
          <w:rFonts w:hint="eastAsia"/>
        </w:rPr>
        <w:t>。</w:t>
      </w:r>
    </w:p>
    <w:p>
      <w:pPr>
        <w:pStyle w:val="8"/>
        <w:numPr>
          <w:ilvl w:val="6"/>
          <w:numId w:val="43"/>
        </w:numPr>
        <w:ind w:left="0" w:firstLine="0"/>
      </w:pPr>
      <w:r>
        <w:rPr>
          <w:rFonts w:hint="eastAsia"/>
        </w:rPr>
        <w:t>报告发放管理</w:t>
      </w:r>
    </w:p>
    <w:p>
      <w:pPr>
        <w:pStyle w:val="42"/>
        <w:numPr>
          <w:ilvl w:val="0"/>
          <w:numId w:val="48"/>
        </w:numPr>
        <w:adjustRightInd/>
        <w:snapToGrid/>
        <w:ind w:firstLineChars="0"/>
      </w:pPr>
      <w:r>
        <w:rPr>
          <w:rFonts w:hint="eastAsia"/>
        </w:rPr>
        <w:t>支持通过大屏显示可打印报告患者列表。</w:t>
      </w:r>
    </w:p>
    <w:p>
      <w:pPr>
        <w:pStyle w:val="7"/>
        <w:numPr>
          <w:ilvl w:val="5"/>
          <w:numId w:val="10"/>
        </w:numPr>
      </w:pPr>
      <w:r>
        <w:t>检验排队叫号</w:t>
      </w:r>
    </w:p>
    <w:p>
      <w:pPr>
        <w:numPr>
          <w:ilvl w:val="0"/>
          <w:numId w:val="49"/>
        </w:numPr>
        <w:snapToGrid/>
        <w:ind w:left="840"/>
        <w:rPr>
          <w:rFonts w:ascii="Times New Roman" w:hAnsi="Times New Roman" w:eastAsia="宋体" w:cs="Times New Roman"/>
          <w:szCs w:val="24"/>
        </w:rPr>
      </w:pPr>
      <w:r>
        <w:rPr>
          <w:rFonts w:ascii="Times New Roman" w:hAnsi="Times New Roman" w:eastAsia="宋体" w:cs="Times New Roman"/>
          <w:szCs w:val="24"/>
        </w:rPr>
        <w:t>支持根据医院需要集成抽血排队叫号系统</w:t>
      </w:r>
      <w:r>
        <w:rPr>
          <w:rFonts w:hint="eastAsia" w:ascii="Times New Roman" w:hAnsi="Times New Roman" w:eastAsia="宋体" w:cs="Times New Roman"/>
          <w:szCs w:val="24"/>
        </w:rPr>
        <w:t>。</w:t>
      </w:r>
    </w:p>
    <w:p>
      <w:pPr>
        <w:numPr>
          <w:ilvl w:val="0"/>
          <w:numId w:val="49"/>
        </w:numPr>
        <w:snapToGrid/>
        <w:ind w:left="840"/>
        <w:rPr>
          <w:rFonts w:ascii="Times New Roman" w:hAnsi="Times New Roman" w:eastAsia="宋体" w:cs="Times New Roman"/>
          <w:szCs w:val="24"/>
        </w:rPr>
      </w:pPr>
      <w:r>
        <w:rPr>
          <w:rFonts w:hint="eastAsia" w:ascii="Times New Roman" w:hAnsi="Times New Roman" w:eastAsia="宋体" w:cs="Times New Roman"/>
          <w:szCs w:val="24"/>
        </w:rPr>
        <w:t>支持</w:t>
      </w:r>
      <w:r>
        <w:rPr>
          <w:rFonts w:ascii="Times New Roman" w:hAnsi="Times New Roman" w:eastAsia="宋体" w:cs="Times New Roman"/>
          <w:szCs w:val="24"/>
        </w:rPr>
        <w:t>配置分诊叫号系统功能，实现标本采集的叫号操作，最大限度减少排队等待时间</w:t>
      </w:r>
      <w:r>
        <w:rPr>
          <w:rFonts w:hint="eastAsia" w:ascii="Times New Roman" w:hAnsi="Times New Roman" w:eastAsia="宋体" w:cs="Times New Roman"/>
          <w:szCs w:val="24"/>
        </w:rPr>
        <w:t>。</w:t>
      </w:r>
    </w:p>
    <w:p>
      <w:pPr>
        <w:numPr>
          <w:ilvl w:val="0"/>
          <w:numId w:val="49"/>
        </w:numPr>
        <w:snapToGrid/>
        <w:ind w:left="840"/>
        <w:rPr>
          <w:rFonts w:ascii="Times New Roman" w:hAnsi="Times New Roman" w:eastAsia="宋体" w:cs="Times New Roman"/>
          <w:szCs w:val="24"/>
        </w:rPr>
      </w:pPr>
      <w:r>
        <w:rPr>
          <w:rFonts w:ascii="Times New Roman" w:hAnsi="Times New Roman" w:eastAsia="宋体" w:cs="Times New Roman"/>
          <w:szCs w:val="24"/>
        </w:rPr>
        <w:t>支持病人通过触摸屏自助终端拿号、查询排队信息，按照检验类别分列排队功能</w:t>
      </w:r>
      <w:r>
        <w:rPr>
          <w:rFonts w:hint="eastAsia" w:ascii="Times New Roman" w:hAnsi="Times New Roman" w:eastAsia="宋体" w:cs="Times New Roman"/>
          <w:szCs w:val="24"/>
        </w:rPr>
        <w:t>。</w:t>
      </w:r>
    </w:p>
    <w:p>
      <w:pPr>
        <w:pStyle w:val="6"/>
        <w:numPr>
          <w:ilvl w:val="4"/>
          <w:numId w:val="10"/>
        </w:numPr>
      </w:pPr>
      <w:r>
        <w:rPr>
          <w:rFonts w:hint="eastAsia"/>
        </w:rPr>
        <w:t>平台基础模块</w:t>
      </w:r>
    </w:p>
    <w:p>
      <w:pPr>
        <w:pStyle w:val="7"/>
        <w:numPr>
          <w:ilvl w:val="5"/>
          <w:numId w:val="10"/>
        </w:numPr>
      </w:pPr>
      <w:r>
        <w:t>单点登录</w:t>
      </w:r>
    </w:p>
    <w:p>
      <w:pPr>
        <w:numPr>
          <w:ilvl w:val="0"/>
          <w:numId w:val="49"/>
        </w:numPr>
        <w:snapToGrid/>
        <w:ind w:left="840"/>
        <w:rPr>
          <w:rFonts w:ascii="Times New Roman" w:hAnsi="Times New Roman" w:eastAsia="宋体" w:cs="Times New Roman"/>
          <w:szCs w:val="24"/>
        </w:rPr>
      </w:pPr>
      <w:r>
        <w:rPr>
          <w:rFonts w:ascii="Times New Roman" w:hAnsi="Times New Roman" w:eastAsia="宋体" w:cs="Times New Roman"/>
          <w:szCs w:val="24"/>
        </w:rPr>
        <w:t>支持用户登录一次可访问所有相互信任的应用系统</w:t>
      </w:r>
      <w:r>
        <w:rPr>
          <w:rFonts w:hint="eastAsia" w:ascii="Times New Roman" w:hAnsi="Times New Roman" w:eastAsia="宋体" w:cs="Times New Roman"/>
          <w:szCs w:val="24"/>
        </w:rPr>
        <w:t>。</w:t>
      </w:r>
    </w:p>
    <w:p>
      <w:pPr>
        <w:numPr>
          <w:ilvl w:val="0"/>
          <w:numId w:val="49"/>
        </w:numPr>
        <w:snapToGrid/>
        <w:ind w:left="840"/>
        <w:rPr>
          <w:rFonts w:ascii="Times New Roman" w:hAnsi="Times New Roman" w:eastAsia="宋体" w:cs="Times New Roman"/>
          <w:szCs w:val="24"/>
        </w:rPr>
      </w:pPr>
      <w:r>
        <w:rPr>
          <w:rFonts w:ascii="Times New Roman" w:hAnsi="Times New Roman" w:eastAsia="宋体" w:cs="Times New Roman"/>
          <w:szCs w:val="24"/>
        </w:rPr>
        <w:t>支持用户账号密码管理</w:t>
      </w:r>
      <w:r>
        <w:rPr>
          <w:rFonts w:hint="eastAsia" w:ascii="Times New Roman" w:hAnsi="Times New Roman" w:eastAsia="宋体" w:cs="Times New Roman"/>
          <w:szCs w:val="24"/>
        </w:rPr>
        <w:t>。</w:t>
      </w:r>
    </w:p>
    <w:p>
      <w:pPr>
        <w:numPr>
          <w:ilvl w:val="0"/>
          <w:numId w:val="49"/>
        </w:numPr>
        <w:snapToGrid/>
        <w:ind w:left="840"/>
        <w:rPr>
          <w:rFonts w:ascii="Times New Roman" w:hAnsi="Times New Roman" w:eastAsia="宋体" w:cs="Times New Roman"/>
          <w:szCs w:val="24"/>
        </w:rPr>
      </w:pPr>
      <w:r>
        <w:rPr>
          <w:rFonts w:ascii="Times New Roman" w:hAnsi="Times New Roman" w:eastAsia="宋体" w:cs="Times New Roman"/>
          <w:szCs w:val="24"/>
        </w:rPr>
        <w:t>支持用户系统访问权限管理</w:t>
      </w:r>
      <w:r>
        <w:rPr>
          <w:rFonts w:hint="eastAsia" w:ascii="Times New Roman" w:hAnsi="Times New Roman" w:eastAsia="宋体" w:cs="Times New Roman"/>
          <w:szCs w:val="24"/>
        </w:rPr>
        <w:t>。</w:t>
      </w:r>
    </w:p>
    <w:p>
      <w:pPr>
        <w:pStyle w:val="7"/>
        <w:numPr>
          <w:ilvl w:val="5"/>
          <w:numId w:val="10"/>
        </w:numPr>
      </w:pPr>
      <w:bookmarkStart w:id="22" w:name="_Toc33531755"/>
      <w:r>
        <w:rPr>
          <w:rFonts w:hint="eastAsia"/>
        </w:rPr>
        <w:t>M</w:t>
      </w:r>
      <w:r>
        <w:t>DM术语主数据管理</w:t>
      </w:r>
      <w:bookmarkEnd w:id="22"/>
    </w:p>
    <w:p>
      <w:pPr>
        <w:pStyle w:val="12"/>
        <w:spacing w:before="156" w:after="156" w:line="360" w:lineRule="auto"/>
        <w:ind w:firstLine="480"/>
        <w:rPr>
          <w:sz w:val="24"/>
        </w:rPr>
      </w:pPr>
      <w:r>
        <w:rPr>
          <w:sz w:val="24"/>
        </w:rPr>
        <w:t>术语主数据管理工具，通过整合医院内各业务系统基础数据管理，进一步实现系统间的医疗协同和数据交换，保证了院内基础数据的一致性、完整性、准确性和实时性。</w:t>
      </w:r>
    </w:p>
    <w:p>
      <w:pPr>
        <w:pStyle w:val="8"/>
        <w:numPr>
          <w:ilvl w:val="6"/>
          <w:numId w:val="50"/>
        </w:numPr>
        <w:ind w:left="0" w:firstLine="0"/>
      </w:pPr>
      <w:bookmarkStart w:id="23" w:name="_Toc33531756"/>
      <w:r>
        <w:t>数据管理</w:t>
      </w:r>
      <w:bookmarkEnd w:id="23"/>
    </w:p>
    <w:p>
      <w:pPr>
        <w:pStyle w:val="42"/>
        <w:spacing w:before="46" w:after="93"/>
        <w:ind w:left="420" w:firstLine="0" w:firstLineChars="0"/>
        <w:rPr>
          <w:rFonts w:ascii="Times New Roman" w:hAnsi="Times New Roman" w:eastAsia="宋体" w:cs="Times New Roman"/>
          <w:b/>
          <w:color w:val="000000"/>
          <w:szCs w:val="24"/>
        </w:rPr>
      </w:pPr>
      <w:r>
        <w:rPr>
          <w:rFonts w:ascii="Times New Roman" w:hAnsi="Times New Roman" w:eastAsia="宋体" w:cs="Times New Roman"/>
          <w:b/>
          <w:color w:val="000000"/>
          <w:szCs w:val="24"/>
        </w:rPr>
        <w:t>主数据的浏览和维护</w:t>
      </w:r>
    </w:p>
    <w:p>
      <w:pPr>
        <w:pStyle w:val="42"/>
        <w:numPr>
          <w:ilvl w:val="0"/>
          <w:numId w:val="51"/>
        </w:numPr>
        <w:adjustRightInd/>
        <w:spacing w:before="46" w:after="93"/>
        <w:ind w:left="840"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支持树形结构分类展现</w:t>
      </w:r>
    </w:p>
    <w:p>
      <w:pPr>
        <w:pStyle w:val="42"/>
        <w:numPr>
          <w:ilvl w:val="0"/>
          <w:numId w:val="51"/>
        </w:numPr>
        <w:adjustRightInd/>
        <w:spacing w:before="46" w:after="93"/>
        <w:ind w:left="840"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支持从Excel或数据库导入已有的主数据</w:t>
      </w:r>
    </w:p>
    <w:p>
      <w:pPr>
        <w:pStyle w:val="42"/>
        <w:spacing w:before="46" w:after="93"/>
        <w:ind w:left="420" w:firstLine="0" w:firstLineChars="0"/>
        <w:rPr>
          <w:rFonts w:ascii="Times New Roman" w:hAnsi="Times New Roman" w:eastAsia="宋体" w:cs="Times New Roman"/>
          <w:b/>
          <w:color w:val="000000"/>
          <w:szCs w:val="24"/>
        </w:rPr>
      </w:pPr>
      <w:r>
        <w:rPr>
          <w:rFonts w:ascii="Times New Roman" w:hAnsi="Times New Roman" w:eastAsia="宋体" w:cs="Times New Roman"/>
          <w:b/>
          <w:color w:val="000000"/>
          <w:szCs w:val="24"/>
        </w:rPr>
        <w:t>主数据注册服务</w:t>
      </w:r>
    </w:p>
    <w:p>
      <w:pPr>
        <w:pStyle w:val="42"/>
        <w:numPr>
          <w:ilvl w:val="0"/>
          <w:numId w:val="52"/>
        </w:numPr>
        <w:adjustRightInd/>
        <w:spacing w:before="46" w:after="93"/>
        <w:ind w:left="840"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支持业务系统调用主数据注册服务，将主数据信息注册到主数据管理系统中。</w:t>
      </w:r>
    </w:p>
    <w:p>
      <w:pPr>
        <w:pStyle w:val="42"/>
        <w:spacing w:before="46" w:after="93"/>
        <w:ind w:left="420" w:firstLine="0" w:firstLineChars="0"/>
        <w:rPr>
          <w:rFonts w:ascii="Times New Roman" w:hAnsi="Times New Roman" w:eastAsia="宋体" w:cs="Times New Roman"/>
          <w:b/>
          <w:color w:val="000000"/>
          <w:szCs w:val="24"/>
        </w:rPr>
      </w:pPr>
      <w:r>
        <w:rPr>
          <w:rFonts w:ascii="Times New Roman" w:hAnsi="Times New Roman" w:eastAsia="宋体" w:cs="Times New Roman"/>
          <w:b/>
          <w:color w:val="000000"/>
          <w:szCs w:val="24"/>
        </w:rPr>
        <w:t>主数据查询服务</w:t>
      </w:r>
    </w:p>
    <w:p>
      <w:pPr>
        <w:pStyle w:val="42"/>
        <w:numPr>
          <w:ilvl w:val="0"/>
          <w:numId w:val="53"/>
        </w:numPr>
        <w:adjustRightInd/>
        <w:spacing w:before="46" w:after="93"/>
        <w:ind w:left="840"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支持主数据信息相关的代码或名称，筛选符合条件的主数据信息。</w:t>
      </w:r>
    </w:p>
    <w:p>
      <w:pPr>
        <w:pStyle w:val="42"/>
        <w:numPr>
          <w:ilvl w:val="0"/>
          <w:numId w:val="53"/>
        </w:numPr>
        <w:adjustRightInd/>
        <w:spacing w:before="46" w:after="93"/>
        <w:ind w:left="840"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w:t>
      </w:r>
      <w:r>
        <w:rPr>
          <w:rFonts w:ascii="Times New Roman" w:hAnsi="Times New Roman" w:eastAsia="宋体" w:cs="Times New Roman"/>
          <w:color w:val="000000"/>
        </w:rPr>
        <w:t>字段级搜索功能，</w:t>
      </w:r>
      <w:r>
        <w:rPr>
          <w:rFonts w:ascii="Times New Roman" w:hAnsi="Times New Roman" w:eastAsia="宋体" w:cs="Times New Roman"/>
          <w:color w:val="000000"/>
          <w:szCs w:val="24"/>
        </w:rPr>
        <w:t>要求提供截图证明。</w:t>
      </w:r>
    </w:p>
    <w:p>
      <w:pPr>
        <w:pStyle w:val="42"/>
        <w:spacing w:before="46" w:after="93"/>
        <w:ind w:left="420" w:firstLine="0" w:firstLineChars="0"/>
        <w:rPr>
          <w:rFonts w:ascii="Times New Roman" w:hAnsi="Times New Roman" w:eastAsia="宋体" w:cs="Times New Roman"/>
          <w:b/>
          <w:color w:val="000000"/>
          <w:szCs w:val="24"/>
        </w:rPr>
      </w:pPr>
      <w:r>
        <w:rPr>
          <w:rFonts w:ascii="Times New Roman" w:hAnsi="Times New Roman" w:eastAsia="宋体" w:cs="Times New Roman"/>
          <w:b/>
          <w:color w:val="000000"/>
          <w:szCs w:val="24"/>
        </w:rPr>
        <w:t>主数据通知</w:t>
      </w:r>
    </w:p>
    <w:p>
      <w:pPr>
        <w:pStyle w:val="42"/>
        <w:numPr>
          <w:ilvl w:val="0"/>
          <w:numId w:val="54"/>
        </w:numPr>
        <w:adjustRightInd/>
        <w:spacing w:before="46" w:after="93"/>
        <w:ind w:left="840"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支持主数据管理系统调用相关业务系统的接收服务，将变更的主数据信息传输到目标系统中。</w:t>
      </w:r>
    </w:p>
    <w:p>
      <w:pPr>
        <w:pStyle w:val="8"/>
        <w:numPr>
          <w:ilvl w:val="6"/>
          <w:numId w:val="50"/>
        </w:numPr>
        <w:ind w:left="0" w:firstLine="0"/>
      </w:pPr>
      <w:bookmarkStart w:id="24" w:name="_Toc33531757"/>
      <w:r>
        <w:t>数据映射</w:t>
      </w:r>
      <w:bookmarkEnd w:id="24"/>
    </w:p>
    <w:p>
      <w:pPr>
        <w:pStyle w:val="42"/>
        <w:numPr>
          <w:ilvl w:val="0"/>
          <w:numId w:val="14"/>
        </w:numPr>
        <w:adjustRightInd/>
        <w:spacing w:before="46" w:after="93"/>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支持基准主数据与业务系统数据的映射功能，包含建立映射、取消映射；</w:t>
      </w:r>
    </w:p>
    <w:p>
      <w:pPr>
        <w:pStyle w:val="42"/>
        <w:numPr>
          <w:ilvl w:val="0"/>
          <w:numId w:val="14"/>
        </w:numPr>
        <w:adjustRightInd/>
        <w:spacing w:before="46" w:after="93"/>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w:t>
      </w:r>
      <w:r>
        <w:rPr>
          <w:rFonts w:ascii="Times New Roman" w:hAnsi="Times New Roman" w:eastAsia="宋体" w:cs="Times New Roman"/>
          <w:color w:val="000000"/>
        </w:rPr>
        <w:t>自动创建映射模型，</w:t>
      </w:r>
      <w:r>
        <w:rPr>
          <w:rFonts w:ascii="Times New Roman" w:hAnsi="Times New Roman" w:eastAsia="宋体" w:cs="Times New Roman"/>
          <w:color w:val="000000"/>
          <w:szCs w:val="24"/>
        </w:rPr>
        <w:t>要求提供截图证明；</w:t>
      </w:r>
    </w:p>
    <w:p>
      <w:pPr>
        <w:pStyle w:val="42"/>
        <w:numPr>
          <w:ilvl w:val="0"/>
          <w:numId w:val="14"/>
        </w:numPr>
        <w:adjustRightInd/>
        <w:spacing w:before="46" w:after="93"/>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w:t>
      </w:r>
      <w:r>
        <w:rPr>
          <w:rFonts w:ascii="Times New Roman" w:hAnsi="Times New Roman" w:eastAsia="宋体" w:cs="Times New Roman"/>
          <w:color w:val="000000"/>
        </w:rPr>
        <w:t>自主选择基准并建立映射模型</w:t>
      </w:r>
    </w:p>
    <w:p>
      <w:pPr>
        <w:pStyle w:val="42"/>
        <w:numPr>
          <w:ilvl w:val="0"/>
          <w:numId w:val="14"/>
        </w:numPr>
        <w:adjustRightInd/>
        <w:spacing w:before="46" w:after="93"/>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支持主数据映射关系的导入、下载，支持自动映射，。</w:t>
      </w:r>
    </w:p>
    <w:p>
      <w:pPr>
        <w:pStyle w:val="8"/>
        <w:numPr>
          <w:ilvl w:val="6"/>
          <w:numId w:val="50"/>
        </w:numPr>
        <w:ind w:left="0" w:firstLine="0"/>
      </w:pPr>
      <w:bookmarkStart w:id="25" w:name="_Toc33531758"/>
      <w:r>
        <w:t>基础管理</w:t>
      </w:r>
      <w:bookmarkEnd w:id="25"/>
    </w:p>
    <w:p>
      <w:pPr>
        <w:pStyle w:val="42"/>
        <w:numPr>
          <w:ilvl w:val="0"/>
          <w:numId w:val="14"/>
        </w:numPr>
        <w:adjustRightInd/>
        <w:spacing w:before="46" w:after="93"/>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支持用户、角色、权限、基础信息等维护功能；</w:t>
      </w:r>
    </w:p>
    <w:p>
      <w:pPr>
        <w:pStyle w:val="42"/>
        <w:numPr>
          <w:ilvl w:val="0"/>
          <w:numId w:val="14"/>
        </w:numPr>
        <w:adjustRightInd/>
        <w:spacing w:before="46" w:after="93"/>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支持数据源、数据建模、数据权限的灵活配置；</w:t>
      </w:r>
    </w:p>
    <w:p>
      <w:pPr>
        <w:pStyle w:val="42"/>
        <w:numPr>
          <w:ilvl w:val="0"/>
          <w:numId w:val="14"/>
        </w:numPr>
        <w:adjustRightInd/>
        <w:spacing w:before="46" w:after="93"/>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支持医疗机构编号、院区管理，医疗机构的业务系统编号名称信息管理。</w:t>
      </w:r>
    </w:p>
    <w:p>
      <w:pPr>
        <w:pStyle w:val="8"/>
        <w:numPr>
          <w:ilvl w:val="6"/>
          <w:numId w:val="50"/>
        </w:numPr>
        <w:ind w:left="0" w:firstLine="0"/>
      </w:pPr>
      <w:bookmarkStart w:id="26" w:name="_Toc33531759"/>
      <w:r>
        <w:t>数据应用</w:t>
      </w:r>
      <w:bookmarkEnd w:id="26"/>
    </w:p>
    <w:p>
      <w:pPr>
        <w:pStyle w:val="42"/>
        <w:numPr>
          <w:ilvl w:val="0"/>
          <w:numId w:val="14"/>
        </w:numPr>
        <w:adjustRightInd/>
        <w:spacing w:before="46" w:after="93"/>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▲支持系统日志与接口日志查询，支持关键字及字段级别查询；要求提供系统日志与接口日志截图证明，提供关键字检索、字段级别查询截图证明；</w:t>
      </w:r>
    </w:p>
    <w:p>
      <w:pPr>
        <w:pStyle w:val="42"/>
        <w:numPr>
          <w:ilvl w:val="0"/>
          <w:numId w:val="14"/>
        </w:numPr>
        <w:adjustRightInd/>
        <w:spacing w:before="46" w:after="93"/>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支持业务系统按照主数据字典、字段的订阅、注册、查询进行权限配置管理；</w:t>
      </w:r>
    </w:p>
    <w:p>
      <w:pPr>
        <w:pStyle w:val="42"/>
        <w:numPr>
          <w:ilvl w:val="0"/>
          <w:numId w:val="14"/>
        </w:numPr>
        <w:adjustRightInd/>
        <w:spacing w:before="46" w:after="93"/>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▲支持字典字段级别权限控制；</w:t>
      </w:r>
    </w:p>
    <w:p>
      <w:pPr>
        <w:pStyle w:val="42"/>
        <w:numPr>
          <w:ilvl w:val="0"/>
          <w:numId w:val="14"/>
        </w:numPr>
        <w:adjustRightInd/>
        <w:spacing w:before="46" w:after="93"/>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支持主数据字典字段级别更改的日志监控，包括主数据的导入、编辑、接口传输的变更信息。</w:t>
      </w:r>
    </w:p>
    <w:p>
      <w:pPr>
        <w:pStyle w:val="8"/>
        <w:numPr>
          <w:ilvl w:val="6"/>
          <w:numId w:val="50"/>
        </w:numPr>
        <w:ind w:left="0" w:firstLine="0"/>
      </w:pPr>
      <w:bookmarkStart w:id="27" w:name="_Toc33531760"/>
      <w:r>
        <w:t>字典库管理</w:t>
      </w:r>
      <w:bookmarkEnd w:id="27"/>
    </w:p>
    <w:p>
      <w:pPr>
        <w:pStyle w:val="12"/>
        <w:spacing w:before="156" w:after="156" w:line="360" w:lineRule="auto"/>
        <w:ind w:firstLine="480"/>
        <w:rPr>
          <w:sz w:val="24"/>
        </w:rPr>
      </w:pPr>
      <w:r>
        <w:rPr>
          <w:sz w:val="24"/>
        </w:rPr>
        <w:t>支持院标级常用主数据字典库管理功能，要求包括以下内容：</w:t>
      </w:r>
    </w:p>
    <w:p>
      <w:pPr>
        <w:pStyle w:val="42"/>
        <w:numPr>
          <w:ilvl w:val="0"/>
          <w:numId w:val="14"/>
        </w:numPr>
        <w:adjustRightInd/>
        <w:spacing w:before="46" w:after="93"/>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组织类主数据：集团信息字典、医院信息字典、科室信息字典、病区信息字典；</w:t>
      </w:r>
    </w:p>
    <w:p>
      <w:pPr>
        <w:pStyle w:val="42"/>
        <w:numPr>
          <w:ilvl w:val="0"/>
          <w:numId w:val="14"/>
        </w:numPr>
        <w:adjustRightInd/>
        <w:spacing w:before="46" w:after="93"/>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资源类主数据：职工信息字典、床位信息字典；</w:t>
      </w:r>
    </w:p>
    <w:p>
      <w:pPr>
        <w:pStyle w:val="42"/>
        <w:numPr>
          <w:ilvl w:val="0"/>
          <w:numId w:val="14"/>
        </w:numPr>
        <w:adjustRightInd/>
        <w:spacing w:before="46" w:after="93"/>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关系类主数据：</w:t>
      </w:r>
      <w:bookmarkStart w:id="28" w:name="_Hlk33616888"/>
      <w:r>
        <w:rPr>
          <w:rFonts w:ascii="Times New Roman" w:hAnsi="Times New Roman" w:eastAsia="宋体" w:cs="Times New Roman"/>
          <w:color w:val="000000"/>
          <w:szCs w:val="24"/>
        </w:rPr>
        <w:t>诊断对照ICD-10字典、手术对照ICD-9字典</w:t>
      </w:r>
      <w:bookmarkEnd w:id="28"/>
      <w:r>
        <w:rPr>
          <w:rFonts w:ascii="Times New Roman" w:hAnsi="Times New Roman" w:eastAsia="宋体" w:cs="Times New Roman"/>
          <w:color w:val="000000"/>
          <w:szCs w:val="24"/>
        </w:rPr>
        <w:t>；</w:t>
      </w:r>
    </w:p>
    <w:p>
      <w:pPr>
        <w:pStyle w:val="42"/>
        <w:numPr>
          <w:ilvl w:val="0"/>
          <w:numId w:val="14"/>
        </w:numPr>
        <w:adjustRightInd/>
        <w:spacing w:before="46" w:after="93"/>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 xml:space="preserve">术语类主数据：西医诊断字典、中医病症字典、单位信息字典、检验标本代码字典、麻醉方法字典； </w:t>
      </w:r>
    </w:p>
    <w:p>
      <w:pPr>
        <w:pStyle w:val="42"/>
        <w:numPr>
          <w:ilvl w:val="0"/>
          <w:numId w:val="14"/>
        </w:numPr>
        <w:adjustRightInd/>
        <w:spacing w:before="46" w:after="93"/>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服务类主数据：收费项目字典、临床项目代码字典、药品规格目录；</w:t>
      </w:r>
    </w:p>
    <w:p>
      <w:pPr>
        <w:pStyle w:val="42"/>
        <w:numPr>
          <w:ilvl w:val="0"/>
          <w:numId w:val="14"/>
        </w:numPr>
        <w:adjustRightInd/>
        <w:spacing w:before="46" w:after="93"/>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其他类主数据：医嘱单据字典、药品账目字典。</w:t>
      </w:r>
    </w:p>
    <w:p>
      <w:pPr>
        <w:pStyle w:val="8"/>
        <w:numPr>
          <w:ilvl w:val="6"/>
          <w:numId w:val="50"/>
        </w:numPr>
        <w:ind w:left="0" w:firstLine="0"/>
      </w:pPr>
      <w:bookmarkStart w:id="29" w:name="_Toc33531761"/>
      <w:r>
        <w:t>标准规范</w:t>
      </w:r>
      <w:bookmarkEnd w:id="29"/>
    </w:p>
    <w:p>
      <w:pPr>
        <w:pStyle w:val="12"/>
        <w:spacing w:before="156" w:after="156" w:line="360" w:lineRule="auto"/>
        <w:ind w:firstLine="480"/>
        <w:rPr>
          <w:sz w:val="24"/>
        </w:rPr>
      </w:pPr>
      <w:r>
        <w:rPr>
          <w:sz w:val="24"/>
        </w:rPr>
        <w:t>内置国家标准、行业标准主数据字典，支持字典内容的检索和浏览功能，要求包含以下内容：</w:t>
      </w:r>
    </w:p>
    <w:p>
      <w:pPr>
        <w:pStyle w:val="42"/>
        <w:numPr>
          <w:ilvl w:val="0"/>
          <w:numId w:val="14"/>
        </w:numPr>
        <w:adjustRightInd/>
        <w:spacing w:before="46" w:after="93"/>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国标：行政区域代码、专业技术职务代码、中医临床诊疗术语治法部分、中医病症分类及代码、民族类别代码、家庭关系代码、生理性别代码、学历代码、经济类型分类代码、婚姻状况代码；</w:t>
      </w:r>
    </w:p>
    <w:p>
      <w:pPr>
        <w:pStyle w:val="42"/>
        <w:numPr>
          <w:ilvl w:val="0"/>
          <w:numId w:val="14"/>
        </w:numPr>
        <w:adjustRightInd/>
        <w:spacing w:before="46" w:after="93"/>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行标：ICD-10诊断代码、ICD-9手术编码，数据元值域的临床辅助检查、主诉与症状、人口学及社会经济学特征、健康史、医学评估、卫生费用、实验室检查、药品设备与材料、卫生机构、卫生管理。</w:t>
      </w:r>
    </w:p>
    <w:p>
      <w:pPr>
        <w:pStyle w:val="7"/>
        <w:numPr>
          <w:ilvl w:val="5"/>
          <w:numId w:val="10"/>
        </w:numPr>
      </w:pPr>
      <w:bookmarkStart w:id="30" w:name="_Toc4765"/>
      <w:r>
        <w:rPr>
          <w:rFonts w:hint="eastAsia"/>
        </w:rPr>
        <w:t>O</w:t>
      </w:r>
      <w:r>
        <w:t>DS复制库建设</w:t>
      </w:r>
      <w:r>
        <w:rPr>
          <w:rFonts w:hint="eastAsia"/>
        </w:rPr>
        <w:t>（</w:t>
      </w:r>
      <w:r>
        <w:t>发布订阅</w:t>
      </w:r>
      <w:bookmarkEnd w:id="30"/>
      <w:r>
        <w:rPr>
          <w:rFonts w:hint="eastAsia"/>
        </w:rPr>
        <w:t>）</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支持SQL SERVER的组件，主要实现SQL SERVER数据的容灾和复制，实现业务系统与平台的读写分离，降低数据同步对业务系统的影响。</w:t>
      </w:r>
    </w:p>
    <w:p>
      <w:pPr>
        <w:pStyle w:val="7"/>
        <w:numPr>
          <w:ilvl w:val="5"/>
          <w:numId w:val="10"/>
        </w:numPr>
      </w:pPr>
      <w:r>
        <w:rPr>
          <w:rFonts w:hint="eastAsia"/>
        </w:rPr>
        <w:t>E</w:t>
      </w:r>
      <w:r>
        <w:t>MPI患者主索引</w:t>
      </w:r>
    </w:p>
    <w:p>
      <w:pPr>
        <w:pStyle w:val="8"/>
        <w:numPr>
          <w:ilvl w:val="6"/>
          <w:numId w:val="55"/>
        </w:numPr>
        <w:ind w:left="0" w:firstLine="0"/>
      </w:pPr>
      <w:r>
        <w:t>患者主索引管理</w:t>
      </w:r>
    </w:p>
    <w:p>
      <w:pPr>
        <w:pStyle w:val="63"/>
        <w:numPr>
          <w:ilvl w:val="0"/>
          <w:numId w:val="56"/>
        </w:numPr>
        <w:spacing w:before="46" w:after="93"/>
        <w:ind w:firstLineChars="0"/>
        <w:rPr>
          <w:b/>
        </w:rPr>
      </w:pPr>
      <w:r>
        <w:rPr>
          <w:b/>
        </w:rPr>
        <w:t>患者注册</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支持在业务系统新增患者或者更新患者信息时，能将患者信息注册到EMPI系统中。</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支持在患者信息注册时根据规则进行匹配对患者关键信息字段进行自动校验，包含字段有身份证号、姓名、电话、地址、标识符。</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支持在患者信息注册时根据相同匹配规则与EMPI中已有的患者信息进行自动匹配后合并。</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支持在患者信息注册时根据相似匹配规则与EMPI中已有的患者信息进行自动建立相似关系。</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支持在患者信息注册到EMPI时对操作日志进行记录。</w:t>
      </w:r>
    </w:p>
    <w:p>
      <w:pPr>
        <w:pStyle w:val="63"/>
        <w:numPr>
          <w:ilvl w:val="0"/>
          <w:numId w:val="56"/>
        </w:numPr>
        <w:spacing w:before="46" w:after="93"/>
        <w:ind w:firstLineChars="0"/>
        <w:rPr>
          <w:b/>
        </w:rPr>
      </w:pPr>
      <w:r>
        <w:rPr>
          <w:b/>
        </w:rPr>
        <w:t>患者合并</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支持将符合相同匹配规则的患者信息进行自动合并。</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对相似患者进行详细信息差异比对，具体比对的信息包含患者标识符、姓名、性别、出生日期、身份证号、地址、电话、联系人、母亲姓名、婚姻状况、民族、出生顺序、就诊信息，当判定是相同患者时，可分别选取各自的真实信息部分进行手动合并。</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支持在患者信息合并时对操作日志进行记录。</w:t>
      </w:r>
    </w:p>
    <w:p>
      <w:pPr>
        <w:pStyle w:val="63"/>
        <w:numPr>
          <w:ilvl w:val="0"/>
          <w:numId w:val="56"/>
        </w:numPr>
        <w:spacing w:before="46" w:after="93"/>
        <w:ind w:firstLineChars="0"/>
        <w:rPr>
          <w:b/>
        </w:rPr>
      </w:pPr>
      <w:r>
        <w:rPr>
          <w:b/>
        </w:rPr>
        <w:t>患者拆分</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对手动合并后的患者进行详细信息差异比对，具体比对的信息包含患者标识符、姓名、性别、出生日期、身份证号、地址、电话、联系人、母亲姓名、婚姻状况、民族、出生顺序、就诊信息，当判定是不同患者时，可按照合并前的信息进行手动拆分。</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支持在患者信息拆分时对操作日志进行记录。</w:t>
      </w:r>
    </w:p>
    <w:p>
      <w:pPr>
        <w:pStyle w:val="63"/>
        <w:numPr>
          <w:ilvl w:val="0"/>
          <w:numId w:val="56"/>
        </w:numPr>
        <w:spacing w:before="46" w:after="93"/>
        <w:ind w:firstLineChars="0"/>
        <w:rPr>
          <w:b/>
        </w:rPr>
      </w:pPr>
      <w:r>
        <w:rPr>
          <w:b/>
        </w:rPr>
        <w:t>患者查询管理</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支持查看患者基本信息，可查看的信息包含患者姓名、性别、出生日期、身份证号、家庭地址、家庭电话和卡数，并能够对身份证号、电话号码进行脱敏处理。</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支持通过患者标识符对患者基本信息列表进行检索查询。</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支持对患者基本信息列表进行高级检索查询，可自由组合的查询条件包含有患者主索引号、姓名、性别、出生日期、卡数、电话、地址、就诊日期。</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支持通过详情下钻查看患者详细信息以及门诊、住院、体检就诊信息和相似患者信息。</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支持手机扫描二维码来获取患者信息，包含信息有患者主索引号、姓名、性别和脱敏的身份证号信息。</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支持手工将相似患者信息添加到待合并列表中，并可进行详细信息差异比对；支持当判定是相同患者时进行手动合并。</w:t>
      </w:r>
    </w:p>
    <w:p>
      <w:pPr>
        <w:pStyle w:val="8"/>
        <w:numPr>
          <w:ilvl w:val="6"/>
          <w:numId w:val="55"/>
        </w:numPr>
        <w:ind w:left="0" w:firstLine="0"/>
      </w:pPr>
      <w:r>
        <w:t>匹配规则管理</w:t>
      </w:r>
    </w:p>
    <w:p>
      <w:pPr>
        <w:pStyle w:val="63"/>
        <w:numPr>
          <w:ilvl w:val="0"/>
          <w:numId w:val="57"/>
        </w:numPr>
        <w:spacing w:before="46" w:after="93"/>
        <w:ind w:firstLineChars="0"/>
        <w:rPr>
          <w:b/>
        </w:rPr>
      </w:pPr>
      <w:r>
        <w:rPr>
          <w:b/>
        </w:rPr>
        <w:t>相同规则</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 xml:space="preserve"> 支持提供默认的相同匹配规则，一般是由多个患者信息字段组合的，包含身份证号和姓名全拼、医保卡号和姓名全拼，且是不允许删除的；支持当增加医疗机构时，EMPI将同步增加配套的相同匹配规则；支持当删除医疗机构时，配套的规则也随之删除。</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支持新增自定义的相同匹配规则；支持在新增规则时与已有规则进行校验，若已有规则包含新规则时，将进行提示说明，且不会新增该条相同匹配规则。</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支持对相同匹配规则进行修改；支持查看相同匹配规则，且支持模糊检索；支持对相同匹配规则进行打印。</w:t>
      </w:r>
    </w:p>
    <w:p>
      <w:pPr>
        <w:pStyle w:val="63"/>
        <w:numPr>
          <w:ilvl w:val="0"/>
          <w:numId w:val="57"/>
        </w:numPr>
        <w:spacing w:before="46" w:after="93"/>
        <w:ind w:firstLineChars="0"/>
        <w:rPr>
          <w:b/>
        </w:rPr>
      </w:pPr>
      <w:r>
        <w:rPr>
          <w:b/>
        </w:rPr>
        <w:t>相似规则</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支持提供默认的常用相似匹配规则；支持新增自定义的相似匹配规则；支持新增规则时与已有规则进行校验，若已有规则包含新规则时，将进行提示说明，且不会新增该条相似匹配规则。</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支持对相似规则进行修改；支持查看相似匹配规则，且支持模糊检索；支持对相似匹配规则进行打印。</w:t>
      </w:r>
    </w:p>
    <w:p>
      <w:pPr>
        <w:pStyle w:val="8"/>
        <w:numPr>
          <w:ilvl w:val="6"/>
          <w:numId w:val="55"/>
        </w:numPr>
        <w:ind w:left="0" w:firstLine="0"/>
      </w:pPr>
      <w:r>
        <w:t>查询统计</w:t>
      </w:r>
    </w:p>
    <w:p>
      <w:pPr>
        <w:pStyle w:val="63"/>
        <w:numPr>
          <w:ilvl w:val="0"/>
          <w:numId w:val="58"/>
        </w:numPr>
        <w:spacing w:before="46" w:after="93"/>
        <w:ind w:firstLineChars="0"/>
        <w:rPr>
          <w:b/>
        </w:rPr>
      </w:pPr>
      <w:r>
        <w:rPr>
          <w:b/>
        </w:rPr>
        <w:t>实时监控器</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支持查看今日和昨日注册到EMPI中的患者总数、新增患者总数、合并患者总数、新增患者占比和患者合并率。</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支持以曲线图的形式查看今日和昨日注册到EMPI中的患者总数、新增患者总数、合并患者总数；支持浮标显示各统计类型的具体总数。</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支持以曲线图的形式查看今日和昨日调用EMPI服务响应时间的平均耗时情况；支持浮标显示各统计类型的平均耗时。</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支持以饼状图的形式查看今日和昨日注册到EMPI中的患者各年龄段分布；支持浮标显示各年龄段总人数和占比。</w:t>
      </w:r>
    </w:p>
    <w:p>
      <w:pPr>
        <w:pStyle w:val="63"/>
        <w:numPr>
          <w:ilvl w:val="0"/>
          <w:numId w:val="58"/>
        </w:numPr>
        <w:spacing w:before="46" w:after="93"/>
        <w:ind w:firstLineChars="0"/>
        <w:rPr>
          <w:b/>
        </w:rPr>
      </w:pPr>
      <w:r>
        <w:rPr>
          <w:b/>
        </w:rPr>
        <w:t>历史查看器</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支持统计注册到EMPI中的历史患者总数、合并总数、注册服务次数、查询服务次数、通知服务次数和其他服务类型。</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支持统计选定时间内注册到EMPI中的患者总数和合并患者总数，且以曲线图的形式展示；支持浮标显示各统计类型的总数。</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支持统计选定时间内调用EMPI服务响应时间的平均耗时情况，且以曲线图的形式展现；支持浮标显示各统计类型的平均耗时。</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支持统计选定时间内注册到EMPI中的患者各年龄段分布；支持浮标显示各年龄段的总人数和占比。</w:t>
      </w:r>
    </w:p>
    <w:p>
      <w:pPr>
        <w:pStyle w:val="63"/>
        <w:numPr>
          <w:ilvl w:val="0"/>
          <w:numId w:val="58"/>
        </w:numPr>
        <w:spacing w:before="46" w:after="93"/>
        <w:ind w:firstLineChars="0"/>
        <w:rPr>
          <w:b/>
        </w:rPr>
      </w:pPr>
      <w:r>
        <w:rPr>
          <w:b/>
        </w:rPr>
        <w:t>匹配规则统计</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统计根据各相同规则进行自动合并的患者总数，支持下钻到详细患者信息列表，继续下钻进行患者详细信息差异比对，具体比对的信息包含患者标识符、姓名、性别、出生日期、身份证号、地址、电话、联系人、母亲姓名、婚姻状况、民族、出生顺序、就诊信息；并支持返回上一层级。</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支持统计根据各相同规则进行手动合并的患者总数，支持下钻到详细患者信息列表，继续下钻进行患者详细信息差异比对；并支持返回上一层级。</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支持统计根据相似匹配建立相似关系的患者总数，支持下钻到详细的患者信息列表，继续下钻进行患者详细信息差异比对；并支持返回上一层级。</w:t>
      </w:r>
    </w:p>
    <w:p>
      <w:pPr>
        <w:pStyle w:val="63"/>
        <w:numPr>
          <w:ilvl w:val="0"/>
          <w:numId w:val="58"/>
        </w:numPr>
        <w:spacing w:before="46" w:after="93"/>
        <w:ind w:firstLineChars="0"/>
        <w:rPr>
          <w:b/>
        </w:rPr>
      </w:pPr>
      <w:r>
        <w:rPr>
          <w:b/>
        </w:rPr>
        <w:t>消息日志查询</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查看调用EMPI服务的消息日志，默认显示当天消息日志，包括调用方名称、消息接收和返回时间、耗时、方向、参数类型、操作类型、成功失败以及入参和出参的详细信息；支持根据消息状态和消息类型对消息日志进行检索；并支持模糊检索；支持手动将消息重新注册。</w:t>
      </w:r>
    </w:p>
    <w:p>
      <w:pPr>
        <w:pStyle w:val="8"/>
        <w:numPr>
          <w:ilvl w:val="6"/>
          <w:numId w:val="55"/>
        </w:numPr>
        <w:ind w:left="0" w:firstLine="0"/>
      </w:pPr>
      <w:r>
        <w:t>基础管理</w:t>
      </w:r>
    </w:p>
    <w:p>
      <w:pPr>
        <w:pStyle w:val="63"/>
        <w:numPr>
          <w:ilvl w:val="0"/>
          <w:numId w:val="59"/>
        </w:numPr>
        <w:spacing w:before="46" w:after="93"/>
        <w:ind w:firstLineChars="0"/>
        <w:rPr>
          <w:b/>
        </w:rPr>
      </w:pPr>
      <w:r>
        <w:rPr>
          <w:b/>
        </w:rPr>
        <w:t>医疗机构管理</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支持医疗机构信息的新增；支持医疗机构信息的修改、删除和查看。</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支持设置多院区的上下级对应关系。</w:t>
      </w:r>
    </w:p>
    <w:p>
      <w:pPr>
        <w:pStyle w:val="63"/>
        <w:numPr>
          <w:ilvl w:val="0"/>
          <w:numId w:val="59"/>
        </w:numPr>
        <w:spacing w:before="46" w:after="93"/>
        <w:ind w:firstLineChars="0"/>
        <w:rPr>
          <w:b/>
        </w:rPr>
      </w:pPr>
      <w:r>
        <w:rPr>
          <w:b/>
        </w:rPr>
        <w:t>医疗系统管理</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支持当新增医疗机构时默认添加配套的常规医疗系统信息，有HIS、CIS、LIS、RIS、体检系统；支持当删除医疗机构时配套的医疗系统信息随之删除。</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支持新增医疗系统信息，新增成功后，该医疗系统获取调用EMPI服务的权限；支持医疗系统信息的修改、删除和查看。</w:t>
      </w:r>
    </w:p>
    <w:p>
      <w:pPr>
        <w:pStyle w:val="63"/>
        <w:numPr>
          <w:ilvl w:val="0"/>
          <w:numId w:val="59"/>
        </w:numPr>
        <w:spacing w:before="46" w:after="93"/>
        <w:ind w:firstLineChars="0"/>
        <w:rPr>
          <w:b/>
        </w:rPr>
      </w:pPr>
      <w:r>
        <w:rPr>
          <w:b/>
        </w:rPr>
        <w:t>标识符管理</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支持提供常用的标识符，包含身份证号、护照号、军官证号、暂住证号、社保卡号、医保卡号、银行卡号，且是不允许删除的。</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当添加医疗机构时默认添加配套的常用标识符，有全院患者ID、住院患者ID、门诊患者ID、体检患者ID、全院病历号、住院病历号、门诊病历号、体检病历号、住院就诊号、门诊就诊号、体检就诊号；支持当删除医疗机构时配套的标识符随之删除。</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支持新增标识符；支持标识符的修改、删除和查看，且支持模糊检索。</w:t>
      </w:r>
    </w:p>
    <w:p>
      <w:pPr>
        <w:pStyle w:val="63"/>
        <w:numPr>
          <w:ilvl w:val="0"/>
          <w:numId w:val="59"/>
        </w:numPr>
        <w:spacing w:before="46" w:after="93"/>
        <w:ind w:firstLineChars="0"/>
        <w:rPr>
          <w:b/>
        </w:rPr>
      </w:pPr>
      <w:r>
        <w:rPr>
          <w:b/>
        </w:rPr>
        <w:t>订阅管理</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支持新增通知消息，须指定通知类型，通知类型包含新增、修改、合并、拆分；</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支持通知信息的修改、删除和查看。</w:t>
      </w:r>
    </w:p>
    <w:p>
      <w:pPr>
        <w:pStyle w:val="63"/>
        <w:numPr>
          <w:ilvl w:val="0"/>
          <w:numId w:val="59"/>
        </w:numPr>
        <w:spacing w:before="46" w:after="93"/>
        <w:ind w:firstLineChars="0"/>
        <w:rPr>
          <w:b/>
        </w:rPr>
      </w:pPr>
      <w:r>
        <w:rPr>
          <w:b/>
        </w:rPr>
        <w:t>参数设置</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支持设置系统参数，并提供默认值；</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支持根据医院实际情况修改参数的取值，以提高患者主索引程序的灵活度；</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支持模糊检索系统参数。</w:t>
      </w:r>
    </w:p>
    <w:p>
      <w:pPr>
        <w:pStyle w:val="63"/>
        <w:numPr>
          <w:ilvl w:val="0"/>
          <w:numId w:val="59"/>
        </w:numPr>
        <w:spacing w:before="46" w:after="93"/>
        <w:ind w:firstLineChars="0"/>
        <w:rPr>
          <w:b/>
        </w:rPr>
      </w:pPr>
      <w:r>
        <w:rPr>
          <w:b/>
        </w:rPr>
        <w:t>▲患者时间轴</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支持以时间纵轴的形式查看患者信息在EMPI系统中的历次变更时间点、变更类型和造成变更的医疗系统名称，变更类型有新增、修改、合并、拆分。</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支持查看变更时间点的患者详细变更信息，包括变更前、待变更、变更后；</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支持在合并变更节点发生合并的患者，当判定是不同患者时，可进行手动拆分，并可自主选取待拆分患者信息至拆分后的患者信息中。</w:t>
      </w:r>
    </w:p>
    <w:p>
      <w:pPr>
        <w:pStyle w:val="42"/>
        <w:ind w:left="420" w:firstLine="0"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要求提供患者时间轴截图证明，图片内容包括时间轴上每个节点修改前、修改后内容对比及不同患者患者拆分功能</w:t>
      </w:r>
    </w:p>
    <w:p>
      <w:pPr>
        <w:pStyle w:val="63"/>
        <w:numPr>
          <w:ilvl w:val="0"/>
          <w:numId w:val="59"/>
        </w:numPr>
        <w:spacing w:before="46" w:after="93"/>
        <w:ind w:firstLineChars="0"/>
        <w:rPr>
          <w:b/>
        </w:rPr>
      </w:pPr>
      <w:r>
        <w:rPr>
          <w:b/>
        </w:rPr>
        <w:t>▲地址结构化、地域分布统计</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支持将患者信息中的非结构化地址，以国家行政区划分为基准进行结构化。</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支持统计注册到EMPI中</w:t>
      </w:r>
      <w:r>
        <w:rPr>
          <w:rFonts w:ascii="Times New Roman" w:hAnsi="Times New Roman" w:eastAsia="宋体" w:cs="Times New Roman"/>
          <w:szCs w:val="24"/>
        </w:rPr>
        <w:t>各区域患者总数，</w:t>
      </w:r>
      <w:r>
        <w:rPr>
          <w:rFonts w:ascii="Times New Roman" w:hAnsi="Times New Roman" w:eastAsia="宋体" w:cs="Times New Roman"/>
          <w:color w:val="000000"/>
          <w:szCs w:val="24"/>
        </w:rPr>
        <w:t>且通过</w:t>
      </w:r>
      <w:r>
        <w:rPr>
          <w:rFonts w:ascii="Times New Roman" w:hAnsi="Times New Roman" w:eastAsia="宋体" w:cs="Times New Roman"/>
          <w:szCs w:val="24"/>
        </w:rPr>
        <w:t>省市区三个层级的柱状图顺序下钻和返回进行展示</w:t>
      </w:r>
      <w:r>
        <w:rPr>
          <w:rFonts w:ascii="Times New Roman" w:hAnsi="Times New Roman" w:eastAsia="宋体" w:cs="Times New Roman"/>
          <w:color w:val="000000"/>
          <w:szCs w:val="24"/>
        </w:rPr>
        <w:t>；并支持</w:t>
      </w:r>
      <w:r>
        <w:rPr>
          <w:rFonts w:ascii="Times New Roman" w:hAnsi="Times New Roman" w:eastAsia="宋体" w:cs="Times New Roman"/>
          <w:szCs w:val="24"/>
        </w:rPr>
        <w:t>浮标显示各层级区域的总人数。</w:t>
      </w:r>
      <w:r>
        <w:rPr>
          <w:rFonts w:ascii="Times New Roman" w:hAnsi="Times New Roman" w:eastAsia="宋体" w:cs="Times New Roman"/>
          <w:color w:val="000000"/>
          <w:szCs w:val="24"/>
        </w:rPr>
        <w:t>支持各层级查看排名前十的患者总人数和占比；支持将每个层级的地图保存为本地图片。</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支持统计注册到EMPI中</w:t>
      </w:r>
      <w:r>
        <w:rPr>
          <w:rFonts w:ascii="Times New Roman" w:hAnsi="Times New Roman" w:eastAsia="宋体" w:cs="Times New Roman"/>
          <w:szCs w:val="24"/>
        </w:rPr>
        <w:t>各区域的患者总数，</w:t>
      </w:r>
      <w:r>
        <w:rPr>
          <w:rFonts w:ascii="Times New Roman" w:hAnsi="Times New Roman" w:eastAsia="宋体" w:cs="Times New Roman"/>
          <w:color w:val="000000"/>
          <w:szCs w:val="24"/>
        </w:rPr>
        <w:t>且通过</w:t>
      </w:r>
      <w:r>
        <w:rPr>
          <w:rFonts w:ascii="Times New Roman" w:hAnsi="Times New Roman" w:eastAsia="宋体" w:cs="Times New Roman"/>
          <w:szCs w:val="24"/>
        </w:rPr>
        <w:t>省市区三个层级的地图顺序下钻和返回进行展示</w:t>
      </w:r>
      <w:r>
        <w:rPr>
          <w:rFonts w:ascii="Times New Roman" w:hAnsi="Times New Roman" w:eastAsia="宋体" w:cs="Times New Roman"/>
          <w:color w:val="000000"/>
          <w:szCs w:val="24"/>
        </w:rPr>
        <w:t>；支持浮标显示各区域的总人数</w:t>
      </w:r>
      <w:r>
        <w:rPr>
          <w:rFonts w:ascii="Times New Roman" w:hAnsi="Times New Roman" w:eastAsia="宋体" w:cs="Times New Roman"/>
          <w:szCs w:val="24"/>
        </w:rPr>
        <w:t>；</w:t>
      </w:r>
      <w:r>
        <w:rPr>
          <w:rFonts w:ascii="Times New Roman" w:hAnsi="Times New Roman" w:eastAsia="宋体" w:cs="Times New Roman"/>
          <w:color w:val="000000"/>
          <w:szCs w:val="24"/>
        </w:rPr>
        <w:t>支持各层级查看排名前十的患者总人数和占比；支持将每个层级的地图保存为本地图片。</w:t>
      </w:r>
    </w:p>
    <w:p>
      <w:pPr>
        <w:pStyle w:val="42"/>
        <w:ind w:left="420" w:firstLine="0" w:firstLineChars="0"/>
        <w:rPr>
          <w:rFonts w:ascii="Times New Roman" w:hAnsi="Times New Roman" w:eastAsia="宋体" w:cs="Times New Roman"/>
        </w:rPr>
      </w:pPr>
      <w:r>
        <w:rPr>
          <w:rFonts w:ascii="Times New Roman" w:hAnsi="Times New Roman" w:eastAsia="宋体" w:cs="Times New Roman"/>
          <w:color w:val="000000"/>
          <w:szCs w:val="24"/>
        </w:rPr>
        <w:t xml:space="preserve">   要求提供至少2种图形化展示患者地域分布情况截图证明。要求患者从省级到地市级到区县级下钻，且能图形化展示显示。</w:t>
      </w:r>
    </w:p>
    <w:p>
      <w:pPr>
        <w:pStyle w:val="6"/>
        <w:numPr>
          <w:ilvl w:val="4"/>
          <w:numId w:val="10"/>
        </w:numPr>
      </w:pPr>
      <w:r>
        <w:rPr>
          <w:rFonts w:hint="eastAsia"/>
        </w:rPr>
        <w:t>E</w:t>
      </w:r>
      <w:r>
        <w:t>SB信息交互中间件</w:t>
      </w:r>
    </w:p>
    <w:p>
      <w:pPr>
        <w:pStyle w:val="7"/>
        <w:numPr>
          <w:ilvl w:val="5"/>
          <w:numId w:val="10"/>
        </w:numPr>
      </w:pPr>
      <w:r>
        <w:t>基本功能要求</w:t>
      </w:r>
    </w:p>
    <w:p>
      <w:pPr>
        <w:pStyle w:val="42"/>
        <w:numPr>
          <w:ilvl w:val="0"/>
          <w:numId w:val="14"/>
        </w:numPr>
        <w:adjustRightInd/>
        <w:ind w:firstLineChars="0"/>
        <w:rPr>
          <w:rFonts w:ascii="Times New Roman" w:hAnsi="Times New Roman" w:eastAsia="宋体" w:cs="Times New Roman"/>
          <w:szCs w:val="24"/>
        </w:rPr>
      </w:pPr>
      <w:r>
        <w:rPr>
          <w:rFonts w:ascii="Times New Roman" w:hAnsi="Times New Roman" w:eastAsia="宋体" w:cs="Times New Roman"/>
          <w:color w:val="000000"/>
          <w:szCs w:val="24"/>
        </w:rPr>
        <w:t>支持Windows、Linux服务器操作系统；</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▲支持热备高可用性部署，主备机之间配置、消息库可实时同步，当主机发生故障时，备机可在不需人工干预的情况下秒级自动启动，消息在备机中继续运行，当主机修复后，消息会转回主机中继续处理；</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支持HL7v2、HL7v3、国家互联互通CDA标准、FHIR、XML、JSON标准和规范，提供对这些标准处理的工具；</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支持HL7v2、HL7v3标准库；</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支持多种通讯协议，包括但不限于TCP/IP、SOAP Web 服务、REST Web 服务、文件、定时器、DLL、Kafka、数据库；</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支持简单代码映射lookup表配置功能、H2内存数据库；</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支持通用的JAVA脚本开发功能，包括 Groovy脚本, 支持对JSON, XML 结构数据的脚本处理；</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同一服务可同时支持接口模式和集成模式。</w:t>
      </w:r>
    </w:p>
    <w:p>
      <w:pPr>
        <w:pStyle w:val="7"/>
        <w:numPr>
          <w:ilvl w:val="5"/>
          <w:numId w:val="10"/>
        </w:numPr>
      </w:pPr>
      <w:r>
        <w:t>用户界面要求</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开发界面应均为网页界面；</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支持能在同一个界面中完成流程开发、调试、服务监控等工作，并能显示异常错误队列；</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▲支持拖拉式图形化路由设计及路由间衔接和串联；</w:t>
      </w:r>
    </w:p>
    <w:p>
      <w:pPr>
        <w:pStyle w:val="12"/>
        <w:spacing w:line="360" w:lineRule="auto"/>
        <w:ind w:left="420" w:firstLine="480"/>
        <w:rPr>
          <w:sz w:val="24"/>
        </w:rPr>
      </w:pPr>
      <w:r>
        <w:rPr>
          <w:sz w:val="24"/>
        </w:rPr>
        <w:t xml:space="preserve">  要求提供终端和路由拖拉式串联截图证明。</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▲支持全局视图显示整个流程完整流通线路，用户能直观查看包含多终端、多路由的完整消息处理流程，在一个视图页面上能看到整体业务流程图；</w:t>
      </w:r>
    </w:p>
    <w:p>
      <w:pPr>
        <w:pStyle w:val="12"/>
        <w:spacing w:line="360" w:lineRule="auto"/>
        <w:ind w:left="420" w:firstLine="480"/>
        <w:rPr>
          <w:sz w:val="24"/>
        </w:rPr>
      </w:pPr>
      <w:r>
        <w:rPr>
          <w:sz w:val="24"/>
        </w:rPr>
        <w:t>要求提供多终端、多路由完整消息处理流程的截图证明。</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支持图形化数据映射配置界面，并能支持通过代码编写进行数据映射配置。</w:t>
      </w:r>
    </w:p>
    <w:p>
      <w:pPr>
        <w:pStyle w:val="7"/>
        <w:numPr>
          <w:ilvl w:val="5"/>
          <w:numId w:val="10"/>
        </w:numPr>
      </w:pPr>
      <w:r>
        <w:t>数据库支持要求</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支持主流关系型数据库的数据抽取、更改、插入功能，如MS-SQL、 Oracle、MySQL，支持上传任意的数据库JDBC驱动以提供对其它数据库连接的支持;</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▲支持数据处理结果图形化全局流程显示，并提供流程树状显示，展示在整个流程中路由内每个节点数据的状态， 方便用户进行问题排查;</w:t>
      </w:r>
    </w:p>
    <w:p>
      <w:pPr>
        <w:pStyle w:val="12"/>
        <w:spacing w:line="360" w:lineRule="auto"/>
        <w:ind w:left="420" w:firstLine="480"/>
        <w:rPr>
          <w:sz w:val="24"/>
        </w:rPr>
      </w:pPr>
      <w:r>
        <w:rPr>
          <w:sz w:val="24"/>
        </w:rPr>
        <w:t xml:space="preserve">    要求提供图形化全局显示、树状显示截图证明，并显示每个节点数据状态。</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▲数据库事务支持，一库多表操作时可回滚，支持跨数据库事务处理;</w:t>
      </w:r>
    </w:p>
    <w:p>
      <w:pPr>
        <w:pStyle w:val="12"/>
        <w:spacing w:line="360" w:lineRule="auto"/>
        <w:ind w:left="420" w:firstLine="240" w:firstLineChars="100"/>
        <w:rPr>
          <w:sz w:val="24"/>
        </w:rPr>
      </w:pPr>
      <w:r>
        <w:rPr>
          <w:sz w:val="24"/>
        </w:rPr>
        <w:t>要求在系统设置界面提供支持回滚的数据证明。</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支持数据库终端结果可自动生成JSON schema方便数据映射;</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支持平台不使用特殊自定义数据库存储数据，允许用户在不使用引擎工具的情况下，用通用数据库工具也能查询数据。</w:t>
      </w:r>
    </w:p>
    <w:p>
      <w:pPr>
        <w:pStyle w:val="7"/>
        <w:numPr>
          <w:ilvl w:val="5"/>
          <w:numId w:val="10"/>
        </w:numPr>
      </w:pPr>
      <w:r>
        <w:t>运维管理要求</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支持在线查看系统状态信息、进行性能监控，可以进行数据管理，允许访问日志、进行故障诊断;</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监控均为网页界面，网页界面支持单页面随时切换中英文；</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支持在发生异常情况时或消息堆积时可发送通知和提醒，消息堆积警告和警报阙值可配置;</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▲支持在线服务自助式调试Web界面，调试界面支持单元测试及集成测试；</w:t>
      </w:r>
    </w:p>
    <w:p>
      <w:pPr>
        <w:pStyle w:val="12"/>
        <w:spacing w:line="360" w:lineRule="auto"/>
        <w:ind w:left="420" w:firstLine="480"/>
        <w:rPr>
          <w:sz w:val="24"/>
        </w:rPr>
      </w:pPr>
      <w:r>
        <w:rPr>
          <w:sz w:val="24"/>
        </w:rPr>
        <w:t>要求在集成引擎界面提供单元测试、集成测试的截图证明。</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支持可开放的集成平台管理、设置、监控的API，支持第三方的应用开发；</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支持采用H5技术，支持PC端和移动端设备查看引擎运行状态，界面自适应调整分辨率；</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▲支持选择性关闭路由中消息追踪功能，减少不必要排错消息存储，节省磁盘空间。</w:t>
      </w:r>
    </w:p>
    <w:p>
      <w:pPr>
        <w:pStyle w:val="12"/>
        <w:spacing w:line="360" w:lineRule="auto"/>
        <w:ind w:left="420" w:firstLine="480"/>
        <w:rPr>
          <w:sz w:val="24"/>
        </w:rPr>
      </w:pPr>
      <w:r>
        <w:rPr>
          <w:sz w:val="24"/>
        </w:rPr>
        <w:t>要求在关闭路由界面提供关闭路由中消息追踪功能的截图证明。</w:t>
      </w:r>
    </w:p>
    <w:p>
      <w:pPr>
        <w:pStyle w:val="6"/>
        <w:numPr>
          <w:ilvl w:val="4"/>
          <w:numId w:val="10"/>
        </w:numPr>
      </w:pPr>
      <w:r>
        <w:rPr>
          <w:rFonts w:hint="eastAsia"/>
        </w:rPr>
        <w:t>院内系统E</w:t>
      </w:r>
      <w:r>
        <w:t>SB数据集成服务</w:t>
      </w:r>
    </w:p>
    <w:p>
      <w:pPr>
        <w:pStyle w:val="7"/>
        <w:numPr>
          <w:ilvl w:val="5"/>
          <w:numId w:val="10"/>
        </w:numPr>
      </w:pPr>
      <w:r>
        <w:t>患者基本信息服务</w:t>
      </w:r>
    </w:p>
    <w:p>
      <w:pPr>
        <w:pStyle w:val="42"/>
        <w:numPr>
          <w:ilvl w:val="0"/>
          <w:numId w:val="14"/>
        </w:numPr>
        <w:adjustRightInd/>
        <w:ind w:firstLineChars="0"/>
        <w:rPr>
          <w:rFonts w:ascii="Times New Roman" w:hAnsi="Times New Roman" w:eastAsia="宋体" w:cs="Times New Roman"/>
          <w:szCs w:val="24"/>
        </w:rPr>
      </w:pPr>
      <w:r>
        <w:rPr>
          <w:rFonts w:ascii="Times New Roman" w:hAnsi="Times New Roman" w:eastAsia="宋体" w:cs="Times New Roman"/>
          <w:szCs w:val="24"/>
        </w:rPr>
        <w:t>集成平台支持标准患者基本信息接收服务，用于接收生产系统的患者信息以及联系人信息；集成平台根据医院实际应用场景发送给消费系统。消息内容包括：患者信息新增、患者信息修改等。</w:t>
      </w:r>
    </w:p>
    <w:p>
      <w:pPr>
        <w:pStyle w:val="7"/>
        <w:numPr>
          <w:ilvl w:val="5"/>
          <w:numId w:val="10"/>
        </w:numPr>
      </w:pPr>
      <w:r>
        <w:t>挂号服务</w:t>
      </w:r>
    </w:p>
    <w:p>
      <w:pPr>
        <w:pStyle w:val="42"/>
        <w:numPr>
          <w:ilvl w:val="0"/>
          <w:numId w:val="14"/>
        </w:numPr>
        <w:adjustRightInd/>
        <w:ind w:firstLineChars="0"/>
        <w:rPr>
          <w:rFonts w:ascii="Times New Roman" w:hAnsi="Times New Roman" w:eastAsia="宋体" w:cs="Times New Roman"/>
          <w:szCs w:val="24"/>
        </w:rPr>
      </w:pPr>
      <w:r>
        <w:rPr>
          <w:rFonts w:ascii="Times New Roman" w:hAnsi="Times New Roman" w:eastAsia="宋体" w:cs="Times New Roman"/>
          <w:szCs w:val="24"/>
        </w:rPr>
        <w:t>集成平台支持标准患者挂号信息接收服务，用于接收生产系统的患者信息以及挂号基本信息；集成平台根据医院实际应用场景给消费系统。</w:t>
      </w:r>
    </w:p>
    <w:p>
      <w:pPr>
        <w:pStyle w:val="7"/>
        <w:numPr>
          <w:ilvl w:val="5"/>
          <w:numId w:val="10"/>
        </w:numPr>
      </w:pPr>
      <w:r>
        <w:t>出入转服务</w:t>
      </w:r>
    </w:p>
    <w:p>
      <w:pPr>
        <w:pStyle w:val="42"/>
        <w:numPr>
          <w:ilvl w:val="0"/>
          <w:numId w:val="14"/>
        </w:numPr>
        <w:adjustRightInd/>
        <w:ind w:firstLineChars="0"/>
        <w:rPr>
          <w:rFonts w:ascii="Times New Roman" w:hAnsi="Times New Roman" w:eastAsia="宋体" w:cs="Times New Roman"/>
          <w:szCs w:val="24"/>
        </w:rPr>
      </w:pPr>
      <w:r>
        <w:rPr>
          <w:rFonts w:ascii="Times New Roman" w:hAnsi="Times New Roman" w:eastAsia="宋体" w:cs="Times New Roman"/>
          <w:szCs w:val="24"/>
        </w:rPr>
        <w:t>集成平台支持标准患者入出转信息接收服务，用于接收生产系统的患者信息以及病区登记信息；集成平台根据医院实际应用场景发送给消费系统。消息内容包括入院、入院取消、入区、入区取消、转区、转床、转区确认、出区、出区召回、出院等。</w:t>
      </w:r>
    </w:p>
    <w:p>
      <w:pPr>
        <w:pStyle w:val="7"/>
        <w:numPr>
          <w:ilvl w:val="5"/>
          <w:numId w:val="10"/>
        </w:numPr>
      </w:pPr>
      <w:r>
        <w:t>检查申请信息服务</w:t>
      </w:r>
    </w:p>
    <w:p>
      <w:pPr>
        <w:pStyle w:val="42"/>
        <w:numPr>
          <w:ilvl w:val="0"/>
          <w:numId w:val="14"/>
        </w:numPr>
        <w:adjustRightInd/>
        <w:ind w:firstLineChars="0"/>
        <w:rPr>
          <w:rFonts w:ascii="Times New Roman" w:hAnsi="Times New Roman" w:eastAsia="宋体" w:cs="Times New Roman"/>
          <w:szCs w:val="24"/>
        </w:rPr>
      </w:pPr>
      <w:r>
        <w:rPr>
          <w:rFonts w:ascii="Times New Roman" w:hAnsi="Times New Roman" w:eastAsia="宋体" w:cs="Times New Roman"/>
          <w:szCs w:val="24"/>
        </w:rPr>
        <w:t>集成平台支持标准检查申请单接收服务，用于接收生产系统的检查申请单及项目信息；集成平台根据医院实际应用场景发送给消费系统。消息内容包括检查申请单新增，检查申请单更新等。</w:t>
      </w:r>
    </w:p>
    <w:p>
      <w:pPr>
        <w:pStyle w:val="7"/>
        <w:numPr>
          <w:ilvl w:val="5"/>
          <w:numId w:val="10"/>
        </w:numPr>
      </w:pPr>
      <w:r>
        <w:t>检验申请信息服务</w:t>
      </w:r>
    </w:p>
    <w:p>
      <w:pPr>
        <w:pStyle w:val="42"/>
        <w:numPr>
          <w:ilvl w:val="0"/>
          <w:numId w:val="14"/>
        </w:numPr>
        <w:adjustRightInd/>
        <w:ind w:firstLineChars="0"/>
        <w:rPr>
          <w:rFonts w:ascii="Times New Roman" w:hAnsi="Times New Roman" w:eastAsia="宋体" w:cs="Times New Roman"/>
          <w:szCs w:val="24"/>
        </w:rPr>
      </w:pPr>
      <w:r>
        <w:rPr>
          <w:rFonts w:ascii="Times New Roman" w:hAnsi="Times New Roman" w:eastAsia="宋体" w:cs="Times New Roman"/>
          <w:szCs w:val="24"/>
        </w:rPr>
        <w:t>集成平台支持标准检验申请单接收服务，用于接收生产系统的检验申请单及项目信息；集成平台根据医院实际应用场景发送给消费系统。消息内容包括检验申请单新增，检验申请单更新等。</w:t>
      </w:r>
    </w:p>
    <w:p>
      <w:pPr>
        <w:pStyle w:val="7"/>
        <w:numPr>
          <w:ilvl w:val="5"/>
          <w:numId w:val="10"/>
        </w:numPr>
      </w:pPr>
      <w:r>
        <w:t>手麻申请信息服务</w:t>
      </w:r>
    </w:p>
    <w:p>
      <w:pPr>
        <w:pStyle w:val="42"/>
        <w:numPr>
          <w:ilvl w:val="0"/>
          <w:numId w:val="14"/>
        </w:numPr>
        <w:adjustRightInd/>
        <w:ind w:firstLineChars="0"/>
        <w:rPr>
          <w:rFonts w:ascii="Times New Roman" w:hAnsi="Times New Roman" w:eastAsia="宋体" w:cs="Times New Roman"/>
          <w:szCs w:val="24"/>
        </w:rPr>
      </w:pPr>
      <w:r>
        <w:rPr>
          <w:rFonts w:ascii="Times New Roman" w:hAnsi="Times New Roman" w:eastAsia="宋体" w:cs="Times New Roman"/>
          <w:szCs w:val="24"/>
        </w:rPr>
        <w:t>集成平台支持标准手麻申请单接收服务，用于接收生产系统的手麻申请单及项目信息；集成平台根据医院</w:t>
      </w:r>
      <w:r>
        <w:rPr>
          <w:rFonts w:ascii="Times New Roman" w:hAnsi="Times New Roman" w:eastAsia="宋体" w:cs="Times New Roman"/>
          <w:color w:val="000000"/>
          <w:szCs w:val="24"/>
        </w:rPr>
        <w:t>实际</w:t>
      </w:r>
      <w:r>
        <w:rPr>
          <w:rFonts w:ascii="Times New Roman" w:hAnsi="Times New Roman" w:eastAsia="宋体" w:cs="Times New Roman"/>
          <w:szCs w:val="24"/>
        </w:rPr>
        <w:t>应用场景发送给消费系统。消息内容包括手术申请单新增，手术申请单更新等。</w:t>
      </w:r>
    </w:p>
    <w:p>
      <w:pPr>
        <w:pStyle w:val="7"/>
        <w:numPr>
          <w:ilvl w:val="5"/>
          <w:numId w:val="10"/>
        </w:numPr>
      </w:pPr>
      <w:r>
        <w:t>检验项目执行服务</w:t>
      </w:r>
    </w:p>
    <w:p>
      <w:pPr>
        <w:pStyle w:val="42"/>
        <w:numPr>
          <w:ilvl w:val="0"/>
          <w:numId w:val="14"/>
        </w:numPr>
        <w:adjustRightInd/>
        <w:ind w:firstLineChars="0"/>
        <w:rPr>
          <w:rFonts w:ascii="Times New Roman" w:hAnsi="Times New Roman" w:eastAsia="宋体" w:cs="Times New Roman"/>
          <w:szCs w:val="24"/>
        </w:rPr>
      </w:pPr>
      <w:r>
        <w:rPr>
          <w:rFonts w:ascii="Times New Roman" w:hAnsi="Times New Roman" w:eastAsia="宋体" w:cs="Times New Roman"/>
          <w:szCs w:val="24"/>
        </w:rPr>
        <w:t>支持检验系统调用集成平台标准的项目执行服务，包括检验项目确认与取消确认。集成平台根据医院实际情况，通过路由推送消息至请求响应的系统，并将业务系统响应结果实时反馈给检验系统。消息内容包括检验项目确认、检验项目取消确认、新增收费项目、取消新增收费项目等。</w:t>
      </w:r>
    </w:p>
    <w:p>
      <w:pPr>
        <w:pStyle w:val="7"/>
        <w:numPr>
          <w:ilvl w:val="5"/>
          <w:numId w:val="10"/>
        </w:numPr>
      </w:pPr>
      <w:r>
        <w:t>检验报告服务</w:t>
      </w:r>
    </w:p>
    <w:p>
      <w:pPr>
        <w:pStyle w:val="42"/>
        <w:numPr>
          <w:ilvl w:val="0"/>
          <w:numId w:val="14"/>
        </w:numPr>
        <w:adjustRightInd/>
        <w:ind w:firstLineChars="0"/>
        <w:rPr>
          <w:rFonts w:ascii="Times New Roman" w:hAnsi="Times New Roman" w:eastAsia="宋体" w:cs="Times New Roman"/>
          <w:szCs w:val="24"/>
        </w:rPr>
      </w:pPr>
      <w:r>
        <w:rPr>
          <w:rFonts w:ascii="Times New Roman" w:hAnsi="Times New Roman" w:eastAsia="宋体" w:cs="Times New Roman"/>
          <w:szCs w:val="24"/>
        </w:rPr>
        <w:t>集成平台支持标准检验报告接收服务，用于接收检验报告信息；集成平台根据医院实际应用场景发送给消费系统。消息内容包含检验报告新增、检验报告撤销等。</w:t>
      </w:r>
    </w:p>
    <w:p>
      <w:pPr>
        <w:pStyle w:val="7"/>
        <w:numPr>
          <w:ilvl w:val="5"/>
          <w:numId w:val="10"/>
        </w:numPr>
      </w:pPr>
      <w:r>
        <w:t>微生物报告服务</w:t>
      </w:r>
    </w:p>
    <w:p>
      <w:pPr>
        <w:pStyle w:val="42"/>
        <w:numPr>
          <w:ilvl w:val="0"/>
          <w:numId w:val="14"/>
        </w:numPr>
        <w:adjustRightInd/>
        <w:ind w:firstLineChars="0"/>
        <w:rPr>
          <w:rFonts w:ascii="Times New Roman" w:hAnsi="Times New Roman" w:eastAsia="宋体" w:cs="Times New Roman"/>
          <w:szCs w:val="24"/>
        </w:rPr>
      </w:pPr>
      <w:r>
        <w:rPr>
          <w:rFonts w:ascii="Times New Roman" w:hAnsi="Times New Roman" w:eastAsia="宋体" w:cs="Times New Roman"/>
          <w:szCs w:val="24"/>
        </w:rPr>
        <w:t>集成平台支持标准微生物报告接收服务，用于接收微生物报告信息；集成平台根据医院实际应用场景发送给消费系统。消息内容包含微生物报告新增、微生物报告撤销等。</w:t>
      </w:r>
    </w:p>
    <w:p>
      <w:pPr>
        <w:pStyle w:val="7"/>
        <w:numPr>
          <w:ilvl w:val="5"/>
          <w:numId w:val="10"/>
        </w:numPr>
      </w:pPr>
      <w:r>
        <w:t>检查项目执行服务</w:t>
      </w:r>
    </w:p>
    <w:p>
      <w:pPr>
        <w:pStyle w:val="42"/>
        <w:numPr>
          <w:ilvl w:val="0"/>
          <w:numId w:val="14"/>
        </w:numPr>
        <w:adjustRightInd/>
        <w:ind w:firstLineChars="0"/>
        <w:rPr>
          <w:rFonts w:ascii="Times New Roman" w:hAnsi="Times New Roman" w:eastAsia="宋体" w:cs="Times New Roman"/>
          <w:szCs w:val="24"/>
        </w:rPr>
      </w:pPr>
      <w:r>
        <w:rPr>
          <w:rFonts w:ascii="Times New Roman" w:hAnsi="Times New Roman" w:eastAsia="宋体" w:cs="Times New Roman"/>
          <w:szCs w:val="24"/>
        </w:rPr>
        <w:t>支持检查系统调用集成平台标准的项目执行服务，包括检查项目确认与取消确认。集成平台根据医院实际情况，通过路由推送消息至请求响应的系统，并将业务系统响应结果实时反馈给检查系统。消息内容包括检查项目确认、检查项目取消确认、新增收费项目、取消新增收费项目等。</w:t>
      </w:r>
    </w:p>
    <w:p>
      <w:pPr>
        <w:pStyle w:val="7"/>
        <w:numPr>
          <w:ilvl w:val="5"/>
          <w:numId w:val="10"/>
        </w:numPr>
      </w:pPr>
      <w:r>
        <w:t>检查报告服务</w:t>
      </w:r>
    </w:p>
    <w:p>
      <w:pPr>
        <w:pStyle w:val="42"/>
        <w:numPr>
          <w:ilvl w:val="0"/>
          <w:numId w:val="14"/>
        </w:numPr>
        <w:adjustRightInd/>
        <w:ind w:firstLineChars="0"/>
        <w:rPr>
          <w:rFonts w:ascii="Times New Roman" w:hAnsi="Times New Roman" w:eastAsia="宋体" w:cs="Times New Roman"/>
          <w:szCs w:val="24"/>
        </w:rPr>
      </w:pPr>
      <w:r>
        <w:rPr>
          <w:rFonts w:ascii="Times New Roman" w:hAnsi="Times New Roman" w:eastAsia="宋体" w:cs="Times New Roman"/>
          <w:szCs w:val="24"/>
        </w:rPr>
        <w:t>集成平台支持标准检查报告接收服务，用于接收检查报告信息；集成平台根据医院实际应用场景发送给消费系统。消息内容包含检查报告新增、检查报告撤销等。</w:t>
      </w:r>
    </w:p>
    <w:p>
      <w:pPr>
        <w:pStyle w:val="7"/>
        <w:numPr>
          <w:ilvl w:val="5"/>
          <w:numId w:val="10"/>
        </w:numPr>
      </w:pPr>
      <w:r>
        <w:t>手术麻醉服务</w:t>
      </w:r>
    </w:p>
    <w:p>
      <w:pPr>
        <w:pStyle w:val="42"/>
        <w:numPr>
          <w:ilvl w:val="0"/>
          <w:numId w:val="14"/>
        </w:numPr>
        <w:adjustRightInd/>
        <w:ind w:firstLineChars="0"/>
        <w:rPr>
          <w:rFonts w:ascii="Times New Roman" w:hAnsi="Times New Roman" w:eastAsia="宋体" w:cs="Times New Roman"/>
        </w:rPr>
      </w:pPr>
      <w:r>
        <w:rPr>
          <w:rFonts w:ascii="Times New Roman" w:hAnsi="Times New Roman" w:eastAsia="宋体" w:cs="Times New Roman"/>
          <w:szCs w:val="24"/>
        </w:rPr>
        <w:t>集成平台支持标准手术安排结果及状态变更服务，供手麻系统调用。集成平台根据实际情况将手麻请求通过路由推送消息至业务响应系统，并将业务系统响应结果实时反馈给手麻系统。消息内容包括手术登记、手术登记撤销等。</w:t>
      </w:r>
    </w:p>
    <w:p>
      <w:pPr>
        <w:pStyle w:val="7"/>
        <w:numPr>
          <w:ilvl w:val="5"/>
          <w:numId w:val="10"/>
        </w:numPr>
      </w:pPr>
      <w:r>
        <w:t>健康体检服务</w:t>
      </w:r>
    </w:p>
    <w:p>
      <w:pPr>
        <w:pStyle w:val="42"/>
        <w:numPr>
          <w:ilvl w:val="0"/>
          <w:numId w:val="14"/>
        </w:numPr>
        <w:adjustRightInd/>
        <w:ind w:firstLineChars="0"/>
        <w:rPr>
          <w:rFonts w:ascii="Times New Roman" w:hAnsi="Times New Roman" w:eastAsia="宋体" w:cs="Times New Roman"/>
          <w:szCs w:val="24"/>
        </w:rPr>
      </w:pPr>
      <w:r>
        <w:rPr>
          <w:rFonts w:ascii="Times New Roman" w:hAnsi="Times New Roman" w:eastAsia="宋体" w:cs="Times New Roman"/>
          <w:szCs w:val="24"/>
        </w:rPr>
        <w:t>集成平台支持体检人员登记及体检项目提交服务，用于接收体检系统的患者基本信息以及体检项目信息；集成平台根据医院实际应用场景发送给消费系统。</w:t>
      </w:r>
    </w:p>
    <w:p>
      <w:pPr>
        <w:ind w:firstLine="480" w:firstLineChars="200"/>
        <w:rPr>
          <w:rFonts w:ascii="Times New Roman" w:hAnsi="Times New Roman" w:eastAsia="宋体" w:cs="Times New Roman"/>
          <w:szCs w:val="24"/>
        </w:rPr>
      </w:pPr>
      <w:r>
        <w:rPr>
          <w:rFonts w:ascii="Times New Roman" w:hAnsi="Times New Roman" w:eastAsia="宋体" w:cs="Times New Roman"/>
          <w:szCs w:val="24"/>
        </w:rPr>
        <w:t>集成平台支持调用体检系统的项目执行服务，用于将医技确认标志更新至体检系统。</w:t>
      </w:r>
    </w:p>
    <w:p>
      <w:pPr>
        <w:pStyle w:val="42"/>
        <w:numPr>
          <w:ilvl w:val="0"/>
          <w:numId w:val="14"/>
        </w:numPr>
        <w:adjustRightInd/>
        <w:ind w:firstLineChars="0"/>
        <w:rPr>
          <w:rFonts w:ascii="Times New Roman" w:hAnsi="Times New Roman" w:eastAsia="宋体" w:cs="Times New Roman"/>
          <w:b/>
          <w:sz w:val="22"/>
        </w:rPr>
      </w:pPr>
      <w:r>
        <w:rPr>
          <w:rFonts w:ascii="Times New Roman" w:hAnsi="Times New Roman" w:eastAsia="宋体" w:cs="Times New Roman"/>
          <w:szCs w:val="24"/>
        </w:rPr>
        <w:t>集成平台支持推送医技报告到体检系统，用于体检系统接收医技报告。消息内容包括体检人员登记、体检项目提交、体检项目确认、医技报告新增、医技报告撤销等。</w:t>
      </w:r>
    </w:p>
    <w:p>
      <w:pPr>
        <w:pStyle w:val="6"/>
        <w:numPr>
          <w:ilvl w:val="4"/>
          <w:numId w:val="10"/>
        </w:numPr>
      </w:pPr>
      <w:r>
        <w:t>数据交互服务标准化数据集成</w:t>
      </w:r>
    </w:p>
    <w:p>
      <w:pPr>
        <w:pStyle w:val="7"/>
        <w:numPr>
          <w:ilvl w:val="5"/>
          <w:numId w:val="10"/>
        </w:numPr>
      </w:pPr>
      <w:r>
        <w:t>互联互通数据交互服务</w:t>
      </w:r>
    </w:p>
    <w:p>
      <w:pPr>
        <w:rPr>
          <w:rFonts w:ascii="Times New Roman" w:hAnsi="Times New Roman" w:eastAsia="宋体" w:cs="Times New Roman"/>
          <w:szCs w:val="24"/>
        </w:rPr>
      </w:pPr>
      <w:r>
        <w:rPr>
          <w:rFonts w:ascii="Times New Roman" w:hAnsi="Times New Roman" w:eastAsia="宋体" w:cs="Times New Roman"/>
          <w:szCs w:val="24"/>
        </w:rPr>
        <w:t>支持互联互通数据交互服务，包括：</w:t>
      </w:r>
    </w:p>
    <w:tbl>
      <w:tblPr>
        <w:tblStyle w:val="28"/>
        <w:tblW w:w="7910" w:type="dxa"/>
        <w:tblInd w:w="0" w:type="dxa"/>
        <w:tblLayout w:type="fixed"/>
        <w:tblCellMar>
          <w:top w:w="0" w:type="dxa"/>
          <w:left w:w="0" w:type="dxa"/>
          <w:bottom w:w="0" w:type="dxa"/>
          <w:right w:w="0" w:type="dxa"/>
        </w:tblCellMar>
      </w:tblPr>
      <w:tblGrid>
        <w:gridCol w:w="3350"/>
        <w:gridCol w:w="4560"/>
      </w:tblGrid>
      <w:tr>
        <w:tblPrEx>
          <w:tblLayout w:type="fixed"/>
          <w:tblCellMar>
            <w:top w:w="0" w:type="dxa"/>
            <w:left w:w="0" w:type="dxa"/>
            <w:bottom w:w="0" w:type="dxa"/>
            <w:right w:w="0" w:type="dxa"/>
          </w:tblCellMar>
        </w:tblPrEx>
        <w:trPr>
          <w:trHeight w:val="345" w:hRule="atLeast"/>
        </w:trPr>
        <w:tc>
          <w:tcPr>
            <w:tcW w:w="3350"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 xml:space="preserve">文档注册、查询服务 </w:t>
            </w:r>
          </w:p>
        </w:tc>
        <w:tc>
          <w:tcPr>
            <w:tcW w:w="4560" w:type="dxa"/>
            <w:tcBorders>
              <w:top w:val="single" w:color="auto"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Style w:val="90"/>
                <w:rFonts w:ascii="宋体" w:hAnsi="宋体" w:eastAsia="宋体"/>
                <w:sz w:val="24"/>
                <w:szCs w:val="24"/>
                <w:lang w:bidi="ar"/>
              </w:rPr>
              <w:t xml:space="preserve">电子病历文档注册服务 </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电子病历文档检索服务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电子病历文档调阅服务</w:t>
            </w:r>
          </w:p>
        </w:tc>
      </w:tr>
      <w:tr>
        <w:tblPrEx>
          <w:tblLayout w:type="fixed"/>
          <w:tblCellMar>
            <w:top w:w="0" w:type="dxa"/>
            <w:left w:w="0" w:type="dxa"/>
            <w:bottom w:w="0" w:type="dxa"/>
            <w:right w:w="0" w:type="dxa"/>
          </w:tblCellMar>
        </w:tblPrEx>
        <w:trPr>
          <w:trHeight w:val="345" w:hRule="atLeast"/>
        </w:trPr>
        <w:tc>
          <w:tcPr>
            <w:tcW w:w="3350" w:type="dxa"/>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 xml:space="preserve">个人信息注册、查询服务 </w:t>
            </w: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个人信息注册服务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个人信息更新服务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个人信息合并服务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个人信息查询服务</w:t>
            </w:r>
          </w:p>
        </w:tc>
      </w:tr>
      <w:tr>
        <w:tblPrEx>
          <w:tblLayout w:type="fixed"/>
          <w:tblCellMar>
            <w:top w:w="0" w:type="dxa"/>
            <w:left w:w="0" w:type="dxa"/>
            <w:bottom w:w="0" w:type="dxa"/>
            <w:right w:w="0" w:type="dxa"/>
          </w:tblCellMar>
        </w:tblPrEx>
        <w:trPr>
          <w:trHeight w:val="345" w:hRule="atLeast"/>
        </w:trPr>
        <w:tc>
          <w:tcPr>
            <w:tcW w:w="3350" w:type="dxa"/>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苹方-简 常规体"/>
                <w:color w:val="000000"/>
                <w:szCs w:val="24"/>
              </w:rPr>
            </w:pPr>
            <w:r>
              <w:rPr>
                <w:rStyle w:val="90"/>
                <w:rFonts w:ascii="宋体" w:hAnsi="宋体" w:eastAsia="宋体"/>
                <w:sz w:val="24"/>
                <w:szCs w:val="24"/>
                <w:lang w:bidi="ar"/>
              </w:rPr>
              <w:t xml:space="preserve">医疗卫生机构注 册、查询服务 </w:t>
            </w: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医疗卫生机构(科室)信息注册服务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医疗卫生机构(科室)信息更新服务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医疗卫生机构(科室)信息查询服务</w:t>
            </w:r>
          </w:p>
        </w:tc>
      </w:tr>
      <w:tr>
        <w:tblPrEx>
          <w:tblLayout w:type="fixed"/>
          <w:tblCellMar>
            <w:top w:w="0" w:type="dxa"/>
            <w:left w:w="0" w:type="dxa"/>
            <w:bottom w:w="0" w:type="dxa"/>
            <w:right w:w="0" w:type="dxa"/>
          </w:tblCellMar>
        </w:tblPrEx>
        <w:trPr>
          <w:trHeight w:val="345" w:hRule="atLeast"/>
        </w:trPr>
        <w:tc>
          <w:tcPr>
            <w:tcW w:w="3350" w:type="dxa"/>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苹方-简 常规体"/>
                <w:color w:val="000000"/>
                <w:szCs w:val="24"/>
              </w:rPr>
            </w:pPr>
            <w:r>
              <w:rPr>
                <w:rStyle w:val="90"/>
                <w:rFonts w:ascii="宋体" w:hAnsi="宋体" w:eastAsia="宋体"/>
                <w:sz w:val="24"/>
                <w:szCs w:val="24"/>
                <w:lang w:bidi="ar"/>
              </w:rPr>
              <w:t xml:space="preserve">医疗卫生人员注 册、查询服务 </w:t>
            </w: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医疗卫生人员信息注册服务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医疗卫生人员信息更新服务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医疗卫生人员信息查询服务</w:t>
            </w:r>
          </w:p>
        </w:tc>
      </w:tr>
      <w:tr>
        <w:tblPrEx>
          <w:tblLayout w:type="fixed"/>
          <w:tblCellMar>
            <w:top w:w="0" w:type="dxa"/>
            <w:left w:w="0" w:type="dxa"/>
            <w:bottom w:w="0" w:type="dxa"/>
            <w:right w:w="0" w:type="dxa"/>
          </w:tblCellMar>
        </w:tblPrEx>
        <w:trPr>
          <w:trHeight w:val="345" w:hRule="atLeast"/>
        </w:trPr>
        <w:tc>
          <w:tcPr>
            <w:tcW w:w="3350" w:type="dxa"/>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苹方-简 常规体"/>
                <w:color w:val="000000"/>
                <w:szCs w:val="24"/>
              </w:rPr>
            </w:pPr>
            <w:r>
              <w:rPr>
                <w:rStyle w:val="90"/>
                <w:rFonts w:ascii="宋体" w:hAnsi="宋体" w:eastAsia="宋体"/>
                <w:sz w:val="24"/>
                <w:szCs w:val="24"/>
                <w:lang w:bidi="ar"/>
              </w:rPr>
              <w:t xml:space="preserve">就诊信息交互服务 </w:t>
            </w: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就诊卡信息新增服务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就诊卡信息更新服务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就诊卡信息查询服务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门诊挂号信息新增服务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门诊挂号信息更新服务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门诊挂号信息查询服务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住院就诊信息新增服务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住院就诊信息更新服务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住院就诊信息查询服务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住院转科信息新增服务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住院转科信息更新服务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住院转科信息查询服务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出院登记信息新增服务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出院登记信息更新服务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出院登记信息查询服务</w:t>
            </w:r>
          </w:p>
        </w:tc>
      </w:tr>
      <w:tr>
        <w:tblPrEx>
          <w:tblLayout w:type="fixed"/>
          <w:tblCellMar>
            <w:top w:w="0" w:type="dxa"/>
            <w:left w:w="0" w:type="dxa"/>
            <w:bottom w:w="0" w:type="dxa"/>
            <w:right w:w="0" w:type="dxa"/>
          </w:tblCellMar>
        </w:tblPrEx>
        <w:trPr>
          <w:trHeight w:val="345" w:hRule="atLeast"/>
        </w:trPr>
        <w:tc>
          <w:tcPr>
            <w:tcW w:w="3350" w:type="dxa"/>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苹方-简 常规体"/>
                <w:color w:val="000000"/>
                <w:szCs w:val="24"/>
              </w:rPr>
            </w:pPr>
            <w:r>
              <w:rPr>
                <w:rStyle w:val="90"/>
                <w:rFonts w:ascii="宋体" w:hAnsi="宋体" w:eastAsia="宋体"/>
                <w:sz w:val="24"/>
                <w:szCs w:val="24"/>
                <w:lang w:bidi="ar"/>
              </w:rPr>
              <w:t xml:space="preserve">医嘱信息交互服务 </w:t>
            </w: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医嘱信息新增服务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医嘱信息更新服务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医嘱信息查询服务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检验申请信息新增服务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检验申请信息更新服务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检验申请信息查询服务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检查申请信息新增服务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检查申请信息更新服务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检查申请信息查询服务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病理申请信息新增服务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病理申请信息更新服务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病理申请信息查询服务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输血申请信息新增服务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输血申请信息更新服务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输血申请信息查询服务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手术申请信息新增服务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手术申请信息更新服务</w:t>
            </w:r>
          </w:p>
        </w:tc>
      </w:tr>
      <w:tr>
        <w:tblPrEx>
          <w:tblLayout w:type="fixed"/>
          <w:tblCellMar>
            <w:top w:w="0" w:type="dxa"/>
            <w:left w:w="0" w:type="dxa"/>
            <w:bottom w:w="0" w:type="dxa"/>
            <w:right w:w="0" w:type="dxa"/>
          </w:tblCellMar>
        </w:tblPrEx>
        <w:trPr>
          <w:trHeight w:val="348" w:hRule="atLeast"/>
        </w:trPr>
        <w:tc>
          <w:tcPr>
            <w:tcW w:w="3350"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eastAsia="宋体" w:cs="苹方-简 常规体"/>
                <w:color w:val="000000"/>
                <w:szCs w:val="24"/>
              </w:rPr>
            </w:pPr>
          </w:p>
        </w:tc>
        <w:tc>
          <w:tcPr>
            <w:tcW w:w="4560" w:type="dxa"/>
            <w:tcBorders>
              <w:top w:val="nil"/>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ascii="宋体" w:hAnsi="宋体" w:eastAsia="宋体" w:cs="苹方-简 常规体"/>
                <w:color w:val="000000"/>
                <w:szCs w:val="24"/>
              </w:rPr>
            </w:pPr>
            <w:r>
              <w:rPr>
                <w:rFonts w:ascii="宋体" w:hAnsi="宋体" w:eastAsia="宋体" w:cs="苹方-简 常规体"/>
                <w:color w:val="000000"/>
                <w:kern w:val="0"/>
                <w:szCs w:val="24"/>
                <w:lang w:bidi="ar"/>
              </w:rPr>
              <w:t>手术申请信息查询服务</w:t>
            </w:r>
          </w:p>
        </w:tc>
      </w:tr>
    </w:tbl>
    <w:p>
      <w:pPr>
        <w:pStyle w:val="42"/>
        <w:adjustRightInd/>
        <w:ind w:left="840" w:firstLine="0" w:firstLineChars="0"/>
        <w:rPr>
          <w:rFonts w:ascii="Times New Roman" w:hAnsi="Times New Roman" w:eastAsia="宋体" w:cs="Times New Roman"/>
          <w:b/>
          <w:sz w:val="22"/>
        </w:rPr>
      </w:pPr>
    </w:p>
    <w:p>
      <w:pPr>
        <w:pStyle w:val="7"/>
        <w:numPr>
          <w:ilvl w:val="5"/>
          <w:numId w:val="10"/>
        </w:numPr>
      </w:pPr>
      <w:r>
        <w:t>集成平台管理系统</w:t>
      </w:r>
    </w:p>
    <w:p>
      <w:pPr>
        <w:pStyle w:val="8"/>
        <w:numPr>
          <w:ilvl w:val="6"/>
          <w:numId w:val="60"/>
        </w:numPr>
        <w:ind w:left="0" w:firstLine="0"/>
      </w:pPr>
      <w:r>
        <w:t>首页</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支持平台运行概况最近一次巡检得分</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支持巡检得分趋势</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支持服务消费方请求耗时Top10排名</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支持系统请求服务数的Top10排名</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支持服务吞吐量趋势</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支持服务器性能监控</w:t>
      </w:r>
    </w:p>
    <w:p>
      <w:pPr>
        <w:pStyle w:val="8"/>
        <w:numPr>
          <w:ilvl w:val="6"/>
          <w:numId w:val="60"/>
        </w:numPr>
        <w:ind w:left="0" w:firstLine="0"/>
      </w:pPr>
      <w:r>
        <w:rPr>
          <w:rFonts w:hint="eastAsia"/>
        </w:rPr>
        <w:t>服务管理</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支持服务列表</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支持服务查询</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支持导入、导出服务包</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支持服务配置及删除</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支持服务上线、下线</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支持服务审核授权</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支持服务字段级别授权</w:t>
      </w:r>
    </w:p>
    <w:p>
      <w:pPr>
        <w:pStyle w:val="8"/>
        <w:numPr>
          <w:ilvl w:val="6"/>
          <w:numId w:val="60"/>
        </w:numPr>
        <w:ind w:left="0" w:firstLine="0"/>
      </w:pPr>
      <w:r>
        <w:rPr>
          <w:rFonts w:hint="eastAsia"/>
        </w:rPr>
        <w:t>服务调试</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支持服务查询</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支持接口方案下载</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w:t>
      </w:r>
      <w:r>
        <w:rPr>
          <w:rFonts w:ascii="Times New Roman" w:hAnsi="Times New Roman" w:eastAsia="宋体" w:cs="Times New Roman"/>
          <w:color w:val="000000"/>
          <w:szCs w:val="24"/>
        </w:rPr>
        <w:t>服务申请、取消申请、重新申请、服务调试</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支持服务对接</w:t>
      </w:r>
    </w:p>
    <w:p>
      <w:pPr>
        <w:pStyle w:val="8"/>
        <w:numPr>
          <w:ilvl w:val="6"/>
          <w:numId w:val="60"/>
        </w:numPr>
        <w:ind w:left="0" w:firstLine="0"/>
      </w:pPr>
      <w:r>
        <w:rPr>
          <w:rFonts w:hint="eastAsia"/>
        </w:rPr>
        <w:t>服务校验</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w:t>
      </w:r>
      <w:r>
        <w:rPr>
          <w:rFonts w:ascii="Times New Roman" w:hAnsi="Times New Roman" w:eastAsia="宋体" w:cs="Times New Roman"/>
          <w:color w:val="000000"/>
          <w:szCs w:val="24"/>
        </w:rPr>
        <w:t>消息校验</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支持服务测试</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w:t>
      </w:r>
      <w:r>
        <w:rPr>
          <w:rFonts w:ascii="Times New Roman" w:hAnsi="Times New Roman" w:eastAsia="宋体" w:cs="Times New Roman"/>
          <w:color w:val="000000"/>
          <w:szCs w:val="24"/>
        </w:rPr>
        <w:t>消息格式化</w:t>
      </w:r>
      <w:r>
        <w:rPr>
          <w:rFonts w:hint="eastAsia" w:ascii="Times New Roman" w:hAnsi="Times New Roman" w:eastAsia="宋体" w:cs="Times New Roman"/>
          <w:color w:val="000000"/>
          <w:szCs w:val="24"/>
        </w:rPr>
        <w:t>展现</w:t>
      </w:r>
    </w:p>
    <w:p>
      <w:pPr>
        <w:pStyle w:val="8"/>
        <w:numPr>
          <w:ilvl w:val="6"/>
          <w:numId w:val="60"/>
        </w:numPr>
        <w:ind w:left="0" w:firstLine="0"/>
      </w:pPr>
      <w:r>
        <w:t>服务监控</w:t>
      </w:r>
    </w:p>
    <w:p>
      <w:pPr>
        <w:numPr>
          <w:ilvl w:val="0"/>
          <w:numId w:val="61"/>
        </w:numPr>
        <w:adjustRightInd/>
        <w:snapToGrid/>
        <w:ind w:left="845"/>
        <w:rPr>
          <w:rFonts w:ascii="Times New Roman" w:hAnsi="Times New Roman" w:eastAsia="宋体" w:cs="Times New Roman"/>
          <w:color w:val="000000"/>
          <w:kern w:val="0"/>
          <w:szCs w:val="24"/>
          <w:lang w:bidi="ar"/>
        </w:rPr>
      </w:pPr>
      <w:r>
        <w:rPr>
          <w:rFonts w:ascii="Times New Roman" w:hAnsi="Times New Roman" w:eastAsia="宋体" w:cs="Times New Roman"/>
          <w:color w:val="000000"/>
          <w:kern w:val="0"/>
          <w:szCs w:val="24"/>
          <w:lang w:bidi="ar"/>
        </w:rPr>
        <w:t>监控概览</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支持展示业务系统与集成平台之间的服务调用关系</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支持展示提供方、调用方服务调用次数</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支持展示服务关键指标，包含服务请求次数、服务异常次数、接入系统总数、接入服务总数</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支持监控服务吞吐量趋势</w:t>
      </w:r>
    </w:p>
    <w:p>
      <w:pPr>
        <w:numPr>
          <w:ilvl w:val="0"/>
          <w:numId w:val="61"/>
        </w:numPr>
        <w:adjustRightInd/>
        <w:snapToGrid/>
        <w:ind w:left="845"/>
        <w:rPr>
          <w:rFonts w:ascii="Times New Roman" w:hAnsi="Times New Roman" w:eastAsia="宋体" w:cs="Times New Roman"/>
          <w:color w:val="000000"/>
          <w:kern w:val="0"/>
          <w:szCs w:val="24"/>
          <w:lang w:bidi="ar"/>
        </w:rPr>
      </w:pPr>
      <w:r>
        <w:rPr>
          <w:rFonts w:ascii="Times New Roman" w:hAnsi="Times New Roman" w:eastAsia="宋体" w:cs="Times New Roman"/>
          <w:color w:val="000000"/>
          <w:kern w:val="0"/>
          <w:szCs w:val="24"/>
          <w:lang w:bidi="ar"/>
        </w:rPr>
        <w:t>实时监控</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支持系统服务流向关系图例展示</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支持展示服务列表</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支持服务调用详情，包含服务调用链路、耗时、路由名称、消息ID</w:t>
      </w:r>
    </w:p>
    <w:p>
      <w:pPr>
        <w:numPr>
          <w:ilvl w:val="0"/>
          <w:numId w:val="61"/>
        </w:numPr>
        <w:adjustRightInd/>
        <w:snapToGrid/>
        <w:ind w:left="845"/>
        <w:rPr>
          <w:rFonts w:ascii="Times New Roman" w:hAnsi="Times New Roman" w:eastAsia="宋体" w:cs="Times New Roman"/>
          <w:color w:val="000000"/>
          <w:kern w:val="0"/>
          <w:szCs w:val="24"/>
          <w:lang w:bidi="ar"/>
        </w:rPr>
      </w:pPr>
      <w:r>
        <w:rPr>
          <w:rFonts w:ascii="Times New Roman" w:hAnsi="Times New Roman" w:eastAsia="宋体" w:cs="Times New Roman"/>
          <w:color w:val="000000"/>
          <w:kern w:val="0"/>
          <w:szCs w:val="24"/>
          <w:lang w:bidi="ar"/>
        </w:rPr>
        <w:t>患者追踪</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支持模糊查询</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支持多条件组合查询，例如：患者门诊号、住院号、姓名、身份证号、卡号标识</w:t>
      </w:r>
    </w:p>
    <w:p>
      <w:pPr>
        <w:numPr>
          <w:ilvl w:val="0"/>
          <w:numId w:val="61"/>
        </w:numPr>
        <w:adjustRightInd/>
        <w:snapToGrid/>
        <w:ind w:left="845"/>
        <w:rPr>
          <w:rFonts w:ascii="Times New Roman" w:hAnsi="Times New Roman" w:eastAsia="宋体" w:cs="Times New Roman"/>
          <w:color w:val="000000"/>
          <w:kern w:val="0"/>
          <w:szCs w:val="24"/>
          <w:lang w:bidi="ar"/>
        </w:rPr>
      </w:pPr>
      <w:r>
        <w:rPr>
          <w:rFonts w:hint="eastAsia" w:ascii="Times New Roman" w:hAnsi="Times New Roman" w:eastAsia="宋体" w:cs="Times New Roman"/>
          <w:color w:val="000000"/>
          <w:kern w:val="0"/>
          <w:szCs w:val="24"/>
          <w:lang w:bidi="ar"/>
        </w:rPr>
        <w:t>消息</w:t>
      </w:r>
      <w:r>
        <w:rPr>
          <w:rFonts w:ascii="Times New Roman" w:hAnsi="Times New Roman" w:eastAsia="宋体" w:cs="Times New Roman"/>
          <w:color w:val="000000"/>
          <w:kern w:val="0"/>
          <w:szCs w:val="24"/>
          <w:lang w:bidi="ar"/>
        </w:rPr>
        <w:t>搜索</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支持追踪</w:t>
      </w:r>
      <w:r>
        <w:rPr>
          <w:rFonts w:ascii="Times New Roman" w:hAnsi="Times New Roman" w:eastAsia="宋体" w:cs="Times New Roman"/>
          <w:color w:val="000000"/>
          <w:szCs w:val="24"/>
        </w:rPr>
        <w:t>消息的流转状态及流转轨迹</w:t>
      </w:r>
      <w:r>
        <w:rPr>
          <w:rFonts w:hint="eastAsia" w:ascii="Times New Roman" w:hAnsi="Times New Roman" w:eastAsia="宋体" w:cs="Times New Roman"/>
          <w:color w:val="000000"/>
          <w:szCs w:val="24"/>
        </w:rPr>
        <w:t>，</w:t>
      </w:r>
      <w:r>
        <w:rPr>
          <w:rFonts w:ascii="Times New Roman" w:hAnsi="Times New Roman" w:eastAsia="宋体" w:cs="Times New Roman"/>
          <w:color w:val="000000"/>
          <w:szCs w:val="24"/>
        </w:rPr>
        <w:t>便于业务系统进行问题排查</w:t>
      </w:r>
    </w:p>
    <w:p>
      <w:pPr>
        <w:pStyle w:val="8"/>
        <w:numPr>
          <w:ilvl w:val="6"/>
          <w:numId w:val="60"/>
        </w:numPr>
        <w:ind w:left="0" w:firstLine="0"/>
      </w:pPr>
      <w:r>
        <w:t>告警管理</w:t>
      </w:r>
    </w:p>
    <w:p>
      <w:pPr>
        <w:numPr>
          <w:ilvl w:val="0"/>
          <w:numId w:val="62"/>
        </w:numPr>
        <w:adjustRightInd/>
        <w:snapToGrid/>
        <w:ind w:left="845"/>
        <w:rPr>
          <w:rFonts w:ascii="Times New Roman" w:hAnsi="Times New Roman" w:eastAsia="宋体" w:cs="Times New Roman"/>
          <w:color w:val="000000"/>
          <w:kern w:val="0"/>
          <w:szCs w:val="24"/>
          <w:lang w:bidi="ar"/>
        </w:rPr>
      </w:pPr>
      <w:r>
        <w:rPr>
          <w:rFonts w:ascii="Times New Roman" w:hAnsi="Times New Roman" w:eastAsia="宋体" w:cs="Times New Roman"/>
          <w:color w:val="000000"/>
          <w:kern w:val="0"/>
          <w:szCs w:val="24"/>
          <w:lang w:bidi="ar"/>
        </w:rPr>
        <w:t>告警中心</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支持模糊搜索</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支持告警处理</w:t>
      </w:r>
    </w:p>
    <w:p>
      <w:pPr>
        <w:numPr>
          <w:ilvl w:val="0"/>
          <w:numId w:val="62"/>
        </w:numPr>
        <w:adjustRightInd/>
        <w:snapToGrid/>
        <w:ind w:left="845"/>
        <w:rPr>
          <w:rFonts w:ascii="Times New Roman" w:hAnsi="Times New Roman" w:eastAsia="宋体" w:cs="Times New Roman"/>
          <w:color w:val="000000"/>
          <w:kern w:val="0"/>
          <w:szCs w:val="24"/>
          <w:lang w:bidi="ar"/>
        </w:rPr>
      </w:pPr>
      <w:r>
        <w:rPr>
          <w:rFonts w:ascii="Times New Roman" w:hAnsi="Times New Roman" w:eastAsia="宋体" w:cs="Times New Roman"/>
          <w:color w:val="000000"/>
          <w:kern w:val="0"/>
          <w:szCs w:val="24"/>
          <w:lang w:bidi="ar"/>
        </w:rPr>
        <w:t>告警规则配置</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支持类别管理配置</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支持总评配置</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支持搜索条件配置</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支持服务运行状态规则配置</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支持数据库链路状态规则配置</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支持硬件检测规则配置</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支持规则修改、删除</w:t>
      </w:r>
    </w:p>
    <w:p>
      <w:pPr>
        <w:numPr>
          <w:ilvl w:val="0"/>
          <w:numId w:val="62"/>
        </w:numPr>
        <w:adjustRightInd/>
        <w:snapToGrid/>
        <w:ind w:left="845"/>
        <w:rPr>
          <w:rFonts w:ascii="Times New Roman" w:hAnsi="Times New Roman" w:eastAsia="宋体" w:cs="Times New Roman"/>
          <w:color w:val="000000"/>
          <w:kern w:val="0"/>
          <w:szCs w:val="24"/>
          <w:lang w:bidi="ar"/>
        </w:rPr>
      </w:pPr>
      <w:r>
        <w:rPr>
          <w:rFonts w:ascii="Times New Roman" w:hAnsi="Times New Roman" w:eastAsia="宋体" w:cs="Times New Roman"/>
          <w:color w:val="000000"/>
          <w:kern w:val="0"/>
          <w:szCs w:val="24"/>
          <w:lang w:bidi="ar"/>
        </w:rPr>
        <w:t>告警订阅</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支持联系人分组</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支持配置告警级别</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支持配置订阅规则</w:t>
      </w:r>
    </w:p>
    <w:p>
      <w:pPr>
        <w:numPr>
          <w:ilvl w:val="0"/>
          <w:numId w:val="62"/>
        </w:numPr>
        <w:adjustRightInd/>
        <w:snapToGrid/>
        <w:ind w:left="845"/>
        <w:rPr>
          <w:rFonts w:ascii="Times New Roman" w:hAnsi="Times New Roman" w:eastAsia="宋体" w:cs="Times New Roman"/>
          <w:color w:val="000000"/>
          <w:kern w:val="0"/>
          <w:szCs w:val="24"/>
          <w:lang w:bidi="ar"/>
        </w:rPr>
      </w:pPr>
      <w:r>
        <w:rPr>
          <w:rFonts w:hint="eastAsia" w:ascii="Times New Roman" w:hAnsi="Times New Roman" w:eastAsia="宋体" w:cs="Times New Roman"/>
          <w:color w:val="000000"/>
          <w:kern w:val="0"/>
          <w:szCs w:val="24"/>
          <w:lang w:bidi="ar"/>
        </w:rPr>
        <w:t>数据</w:t>
      </w:r>
      <w:r>
        <w:rPr>
          <w:rFonts w:ascii="Times New Roman" w:hAnsi="Times New Roman" w:eastAsia="宋体" w:cs="Times New Roman"/>
          <w:color w:val="000000"/>
          <w:kern w:val="0"/>
          <w:szCs w:val="24"/>
          <w:lang w:bidi="ar"/>
        </w:rPr>
        <w:t>源管理</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数据源</w:t>
      </w:r>
      <w:r>
        <w:rPr>
          <w:rFonts w:ascii="Times New Roman" w:hAnsi="Times New Roman" w:eastAsia="宋体" w:cs="Times New Roman"/>
          <w:color w:val="000000"/>
          <w:szCs w:val="24"/>
        </w:rPr>
        <w:t>维护</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数据源</w:t>
      </w:r>
      <w:r>
        <w:rPr>
          <w:rFonts w:ascii="Times New Roman" w:hAnsi="Times New Roman" w:eastAsia="宋体" w:cs="Times New Roman"/>
          <w:color w:val="000000"/>
          <w:szCs w:val="24"/>
        </w:rPr>
        <w:t>连接性测试</w:t>
      </w:r>
    </w:p>
    <w:p>
      <w:pPr>
        <w:pStyle w:val="8"/>
        <w:numPr>
          <w:ilvl w:val="6"/>
          <w:numId w:val="60"/>
        </w:numPr>
        <w:ind w:left="0" w:firstLine="0"/>
      </w:pPr>
      <w:r>
        <w:t>基础管理</w:t>
      </w:r>
    </w:p>
    <w:p>
      <w:pPr>
        <w:numPr>
          <w:ilvl w:val="0"/>
          <w:numId w:val="63"/>
        </w:numPr>
        <w:adjustRightInd/>
        <w:snapToGrid/>
        <w:ind w:left="845"/>
        <w:rPr>
          <w:rFonts w:ascii="Times New Roman" w:hAnsi="Times New Roman" w:eastAsia="宋体" w:cs="Times New Roman"/>
          <w:szCs w:val="24"/>
        </w:rPr>
      </w:pPr>
      <w:r>
        <w:rPr>
          <w:rFonts w:ascii="Times New Roman" w:hAnsi="Times New Roman" w:eastAsia="宋体" w:cs="Times New Roman"/>
          <w:color w:val="000000"/>
          <w:kern w:val="0"/>
          <w:szCs w:val="24"/>
          <w:lang w:bidi="ar"/>
        </w:rPr>
        <w:t>集成平台</w:t>
      </w:r>
      <w:r>
        <w:rPr>
          <w:rFonts w:hint="eastAsia" w:ascii="Times New Roman" w:hAnsi="Times New Roman" w:eastAsia="宋体" w:cs="Times New Roman"/>
          <w:color w:val="000000"/>
          <w:kern w:val="0"/>
          <w:szCs w:val="24"/>
          <w:lang w:bidi="ar"/>
        </w:rPr>
        <w:t>配置</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支持新增平台</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支持平台入口地址管理</w:t>
      </w:r>
    </w:p>
    <w:p>
      <w:pPr>
        <w:numPr>
          <w:ilvl w:val="0"/>
          <w:numId w:val="63"/>
        </w:numPr>
        <w:adjustRightInd/>
        <w:snapToGrid/>
        <w:ind w:left="845"/>
        <w:rPr>
          <w:rFonts w:ascii="Times New Roman" w:hAnsi="Times New Roman" w:eastAsia="宋体" w:cs="Times New Roman"/>
          <w:color w:val="000000"/>
          <w:kern w:val="0"/>
          <w:szCs w:val="24"/>
          <w:lang w:bidi="ar"/>
        </w:rPr>
      </w:pPr>
      <w:r>
        <w:rPr>
          <w:rFonts w:ascii="Times New Roman" w:hAnsi="Times New Roman" w:eastAsia="宋体" w:cs="Times New Roman"/>
          <w:color w:val="000000"/>
          <w:kern w:val="0"/>
          <w:szCs w:val="24"/>
          <w:lang w:bidi="ar"/>
        </w:rPr>
        <w:t>医疗机构系统</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支持新增机构、修改机构、删除机构</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支持新增系统、修改系统、删除系统</w:t>
      </w:r>
    </w:p>
    <w:p>
      <w:pPr>
        <w:numPr>
          <w:ilvl w:val="0"/>
          <w:numId w:val="63"/>
        </w:numPr>
        <w:adjustRightInd/>
        <w:snapToGrid/>
        <w:ind w:left="845"/>
        <w:rPr>
          <w:rFonts w:ascii="Times New Roman" w:hAnsi="Times New Roman" w:eastAsia="宋体" w:cs="Times New Roman"/>
          <w:color w:val="000000"/>
          <w:kern w:val="0"/>
          <w:szCs w:val="24"/>
          <w:lang w:bidi="ar"/>
        </w:rPr>
      </w:pPr>
      <w:r>
        <w:rPr>
          <w:rFonts w:hint="eastAsia" w:ascii="Times New Roman" w:hAnsi="Times New Roman" w:eastAsia="宋体" w:cs="Times New Roman"/>
          <w:color w:val="000000"/>
          <w:kern w:val="0"/>
          <w:szCs w:val="24"/>
          <w:lang w:bidi="ar"/>
        </w:rPr>
        <w:t>数据元管理</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数据元的管理</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数据元批量导入导出</w:t>
      </w:r>
    </w:p>
    <w:p>
      <w:pPr>
        <w:numPr>
          <w:ilvl w:val="0"/>
          <w:numId w:val="63"/>
        </w:numPr>
        <w:adjustRightInd/>
        <w:snapToGrid/>
        <w:ind w:left="845"/>
        <w:rPr>
          <w:rFonts w:ascii="Times New Roman" w:hAnsi="Times New Roman" w:eastAsia="宋体" w:cs="Times New Roman"/>
          <w:color w:val="000000"/>
          <w:kern w:val="0"/>
          <w:szCs w:val="24"/>
          <w:lang w:bidi="ar"/>
        </w:rPr>
      </w:pPr>
      <w:r>
        <w:rPr>
          <w:rFonts w:hint="eastAsia" w:ascii="Times New Roman" w:hAnsi="Times New Roman" w:eastAsia="宋体" w:cs="Times New Roman"/>
          <w:color w:val="000000"/>
          <w:kern w:val="0"/>
          <w:szCs w:val="24"/>
          <w:lang w:bidi="ar"/>
        </w:rPr>
        <w:t>数据模型管理</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数据模型的停用启用</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数据模型的管理</w:t>
      </w:r>
    </w:p>
    <w:p>
      <w:pPr>
        <w:numPr>
          <w:ilvl w:val="0"/>
          <w:numId w:val="63"/>
        </w:numPr>
        <w:adjustRightInd/>
        <w:snapToGrid/>
        <w:ind w:left="845"/>
        <w:rPr>
          <w:rFonts w:ascii="Times New Roman" w:hAnsi="Times New Roman" w:eastAsia="宋体" w:cs="Times New Roman"/>
          <w:color w:val="000000"/>
          <w:kern w:val="0"/>
          <w:szCs w:val="24"/>
          <w:lang w:bidi="ar"/>
        </w:rPr>
      </w:pPr>
      <w:r>
        <w:rPr>
          <w:rFonts w:hint="eastAsia" w:ascii="Times New Roman" w:hAnsi="Times New Roman" w:eastAsia="宋体" w:cs="Times New Roman"/>
          <w:color w:val="000000"/>
          <w:kern w:val="0"/>
          <w:szCs w:val="24"/>
          <w:lang w:bidi="ar"/>
        </w:rPr>
        <w:t>资源管理</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验证规则的管理</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标准值域的管理</w:t>
      </w:r>
    </w:p>
    <w:p>
      <w:pPr>
        <w:numPr>
          <w:ilvl w:val="0"/>
          <w:numId w:val="63"/>
        </w:numPr>
        <w:adjustRightInd/>
        <w:snapToGrid/>
        <w:ind w:left="845"/>
        <w:rPr>
          <w:rFonts w:ascii="Times New Roman" w:hAnsi="Times New Roman" w:eastAsia="宋体" w:cs="Times New Roman"/>
          <w:color w:val="000000"/>
          <w:kern w:val="0"/>
          <w:szCs w:val="24"/>
          <w:lang w:bidi="ar"/>
        </w:rPr>
      </w:pPr>
      <w:r>
        <w:rPr>
          <w:rFonts w:ascii="Times New Roman" w:hAnsi="Times New Roman" w:eastAsia="宋体" w:cs="Times New Roman"/>
          <w:color w:val="000000"/>
          <w:kern w:val="0"/>
          <w:szCs w:val="24"/>
          <w:lang w:bidi="ar"/>
        </w:rPr>
        <w:t>厂商账户管理</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支持新增用户、修改用户</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支持维护用户的告警地址</w:t>
      </w:r>
    </w:p>
    <w:p>
      <w:pPr>
        <w:numPr>
          <w:ilvl w:val="0"/>
          <w:numId w:val="63"/>
        </w:numPr>
        <w:adjustRightInd/>
        <w:snapToGrid/>
        <w:ind w:left="845"/>
        <w:rPr>
          <w:rFonts w:ascii="Times New Roman" w:hAnsi="Times New Roman" w:eastAsia="宋体" w:cs="Times New Roman"/>
          <w:color w:val="000000"/>
          <w:kern w:val="0"/>
          <w:szCs w:val="24"/>
          <w:lang w:bidi="ar"/>
        </w:rPr>
      </w:pPr>
      <w:r>
        <w:rPr>
          <w:rFonts w:ascii="Times New Roman" w:hAnsi="Times New Roman" w:eastAsia="宋体" w:cs="Times New Roman"/>
          <w:color w:val="000000"/>
          <w:kern w:val="0"/>
          <w:szCs w:val="24"/>
          <w:lang w:bidi="ar"/>
        </w:rPr>
        <w:t>角色管理</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支持添加角色、编辑角色</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支持查看角色映射菜单</w:t>
      </w:r>
    </w:p>
    <w:p>
      <w:pPr>
        <w:numPr>
          <w:ilvl w:val="0"/>
          <w:numId w:val="63"/>
        </w:numPr>
        <w:adjustRightInd/>
        <w:snapToGrid/>
        <w:ind w:left="845"/>
        <w:rPr>
          <w:rFonts w:ascii="Times New Roman" w:hAnsi="Times New Roman" w:eastAsia="宋体" w:cs="Times New Roman"/>
          <w:color w:val="000000"/>
          <w:kern w:val="0"/>
          <w:szCs w:val="24"/>
          <w:lang w:bidi="ar"/>
        </w:rPr>
      </w:pPr>
      <w:r>
        <w:rPr>
          <w:rFonts w:hint="eastAsia" w:ascii="Times New Roman" w:hAnsi="Times New Roman" w:eastAsia="宋体" w:cs="Times New Roman"/>
          <w:color w:val="000000"/>
          <w:kern w:val="0"/>
          <w:szCs w:val="24"/>
          <w:lang w:bidi="ar"/>
        </w:rPr>
        <w:t>操作日志</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操作日志的模糊搜索</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操作日志的管理</w:t>
      </w:r>
    </w:p>
    <w:p>
      <w:pPr>
        <w:pStyle w:val="8"/>
        <w:numPr>
          <w:ilvl w:val="6"/>
          <w:numId w:val="60"/>
        </w:numPr>
        <w:ind w:left="0" w:firstLine="0"/>
      </w:pPr>
      <w:r>
        <w:t>通知管理</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支持通知订阅</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支持通知标记</w:t>
      </w:r>
    </w:p>
    <w:p>
      <w:pPr>
        <w:pStyle w:val="42"/>
        <w:numPr>
          <w:ilvl w:val="0"/>
          <w:numId w:val="14"/>
        </w:numPr>
        <w:adjustRightInd/>
        <w:ind w:firstLineChars="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支持通知清理</w:t>
      </w:r>
    </w:p>
    <w:p>
      <w:pPr>
        <w:pStyle w:val="6"/>
        <w:numPr>
          <w:ilvl w:val="4"/>
          <w:numId w:val="10"/>
        </w:numPr>
      </w:pPr>
      <w:bookmarkStart w:id="31" w:name="_Toc6354"/>
      <w:r>
        <w:t>互联互通标准化工具</w:t>
      </w:r>
      <w:bookmarkEnd w:id="31"/>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支持标准知识库内置管理；</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支持内置国家标准校验规则，支持可视化共享文档管理模板；</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支持源数据智能调试；</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支持非标数据与标准数据之间转换调试，数据组装环节定位清晰；</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支持标准数据交互转化；</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支持与主数据映射功能一体化集成，院标到国标的标准化转换；</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支持共享文档生成调阅；</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支持共享文档标准化模板生成；</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支持共享文档浏览、检索和调阅功能；</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支持跨系统间调阅浏览。</w:t>
      </w:r>
    </w:p>
    <w:p>
      <w:pPr>
        <w:pStyle w:val="6"/>
        <w:numPr>
          <w:ilvl w:val="4"/>
          <w:numId w:val="10"/>
        </w:numPr>
      </w:pPr>
      <w:r>
        <w:t>互联互通监控大屏</w:t>
      </w:r>
    </w:p>
    <w:p>
      <w:pPr>
        <w:pStyle w:val="7"/>
        <w:numPr>
          <w:ilvl w:val="5"/>
          <w:numId w:val="10"/>
        </w:numPr>
      </w:pPr>
      <w:r>
        <w:t>集成平台监控</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支持通过大屏对医院服务运行状况实时监控，包括接入的系统数、服务数量、当天服务调用次数、今日异常次数，以及各个系统的服务调用明细次数等，方便医院实时监控各服务运行状况。</w:t>
      </w:r>
    </w:p>
    <w:p>
      <w:pPr>
        <w:pStyle w:val="7"/>
        <w:numPr>
          <w:ilvl w:val="5"/>
          <w:numId w:val="10"/>
        </w:numPr>
      </w:pPr>
      <w:r>
        <w:t>数据中心监控</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通过大屏对医院数据中心的数据抽取流程进行全面监控，并对抽取的关键指标进行汇总和呈现，包括从业务系统抽取到数据仓库,然后分别从数据仓库抽取到运营数据中心、从数据仓库抽取到临床数据中心等全流程。对数据中心的流量进行全面24小时的监控，以便第一时间发现数据抽取过程中可能遇到的异常问题，为排查问题赢得宝贵的时间。</w:t>
      </w:r>
    </w:p>
    <w:p>
      <w:pPr>
        <w:pStyle w:val="7"/>
        <w:numPr>
          <w:ilvl w:val="5"/>
          <w:numId w:val="10"/>
        </w:numPr>
      </w:pPr>
      <w:r>
        <w:t>数据治理监控</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通过大屏对主数据、患者主索引和共享文档的相关情况进行监控。主数据分析主要对历史、每月下发和上传的数据量以及注册、分发和查询等重要服务的状态进行监控。共享文档监控可对院内的共享文档生成数量进行汇总分析。EMPI对患者合并数、合并率等重要指标可进行实时汇总与统计。</w:t>
      </w:r>
    </w:p>
    <w:p>
      <w:pPr>
        <w:pStyle w:val="6"/>
        <w:numPr>
          <w:ilvl w:val="4"/>
          <w:numId w:val="10"/>
        </w:numPr>
      </w:pPr>
      <w:r>
        <w:rPr>
          <w:rFonts w:hint="eastAsia"/>
        </w:rPr>
        <w:t>B</w:t>
      </w:r>
      <w:r>
        <w:t>I</w:t>
      </w:r>
      <w:r>
        <w:rPr>
          <w:rFonts w:hint="eastAsia"/>
        </w:rPr>
        <w:t>-</w:t>
      </w:r>
      <w:r>
        <w:t>运营数据中心</w:t>
      </w:r>
      <w:r>
        <w:rPr>
          <w:rFonts w:hint="eastAsia"/>
        </w:rPr>
        <w:t>（O</w:t>
      </w:r>
      <w:r>
        <w:t>DR</w:t>
      </w:r>
      <w:r>
        <w:rPr>
          <w:rFonts w:hint="eastAsia"/>
        </w:rPr>
        <w:t>）基础</w:t>
      </w:r>
      <w:r>
        <w:t xml:space="preserve"> </w:t>
      </w:r>
    </w:p>
    <w:p>
      <w:pPr>
        <w:pStyle w:val="7"/>
        <w:numPr>
          <w:ilvl w:val="5"/>
          <w:numId w:val="10"/>
        </w:numPr>
      </w:pPr>
      <w:r>
        <w:t>全院实时数据监控</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支持全院实时数据监控，监控指标包括门诊、住院、手术。要求具备以下内容：</w:t>
      </w:r>
    </w:p>
    <w:p>
      <w:pPr>
        <w:pStyle w:val="42"/>
        <w:ind w:left="420" w:firstLine="0" w:firstLineChars="0"/>
        <w:rPr>
          <w:rFonts w:ascii="Times New Roman" w:hAnsi="Times New Roman" w:eastAsia="宋体" w:cs="Times New Roman"/>
          <w:szCs w:val="24"/>
        </w:rPr>
      </w:pPr>
      <w:r>
        <w:rPr>
          <w:rFonts w:ascii="Times New Roman" w:hAnsi="Times New Roman" w:eastAsia="宋体" w:cs="Times New Roman"/>
          <w:b/>
          <w:bCs/>
          <w:szCs w:val="24"/>
        </w:rPr>
        <w:t>门诊指标：</w:t>
      </w:r>
      <w:r>
        <w:rPr>
          <w:rFonts w:ascii="Times New Roman" w:hAnsi="Times New Roman" w:eastAsia="宋体" w:cs="Times New Roman"/>
          <w:szCs w:val="24"/>
        </w:rPr>
        <w:t>门急诊人次、候诊人次、门急诊收入、门急诊人次（维度：挂号类型）饼图分析，门急诊人次（维度：科室）柱状图top10排名分析；门急诊人次和候诊人次（维度：小时）折线图趋势分析；</w:t>
      </w:r>
    </w:p>
    <w:p>
      <w:pPr>
        <w:pStyle w:val="42"/>
        <w:ind w:left="420" w:firstLine="0" w:firstLineChars="0"/>
        <w:rPr>
          <w:rFonts w:ascii="Times New Roman" w:hAnsi="Times New Roman" w:eastAsia="宋体" w:cs="Times New Roman"/>
          <w:szCs w:val="24"/>
        </w:rPr>
      </w:pPr>
      <w:r>
        <w:rPr>
          <w:rFonts w:ascii="Times New Roman" w:hAnsi="Times New Roman" w:eastAsia="宋体" w:cs="Times New Roman"/>
          <w:b/>
          <w:bCs/>
          <w:szCs w:val="24"/>
        </w:rPr>
        <w:t>住院指标：</w:t>
      </w:r>
      <w:r>
        <w:rPr>
          <w:rFonts w:ascii="Times New Roman" w:hAnsi="Times New Roman" w:eastAsia="宋体" w:cs="Times New Roman"/>
          <w:szCs w:val="24"/>
        </w:rPr>
        <w:t>出院人次、在院人次、危重人数、住院收入；</w:t>
      </w:r>
    </w:p>
    <w:p>
      <w:pPr>
        <w:pStyle w:val="42"/>
        <w:ind w:left="420" w:firstLine="0" w:firstLineChars="0"/>
        <w:rPr>
          <w:rFonts w:ascii="Times New Roman" w:hAnsi="Times New Roman" w:eastAsia="宋体" w:cs="Times New Roman"/>
          <w:szCs w:val="24"/>
        </w:rPr>
      </w:pPr>
      <w:r>
        <w:rPr>
          <w:rFonts w:ascii="Times New Roman" w:hAnsi="Times New Roman" w:eastAsia="宋体" w:cs="Times New Roman"/>
          <w:b/>
          <w:bCs/>
          <w:szCs w:val="24"/>
        </w:rPr>
        <w:t>手术指标：</w:t>
      </w:r>
      <w:r>
        <w:rPr>
          <w:rFonts w:ascii="Times New Roman" w:hAnsi="Times New Roman" w:eastAsia="宋体" w:cs="Times New Roman"/>
          <w:szCs w:val="24"/>
        </w:rPr>
        <w:t>门诊手术例数、门诊手术例数（维度：科室）柱状图TOP10排名，住院手术例数（维度：科室）柱状图TOP10排名分析。</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支持指标数据下钻。</w:t>
      </w:r>
    </w:p>
    <w:p>
      <w:pPr>
        <w:pStyle w:val="7"/>
        <w:numPr>
          <w:ilvl w:val="5"/>
          <w:numId w:val="10"/>
        </w:numPr>
      </w:pPr>
      <w:r>
        <w:t>全院门诊分析</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支持门诊业务概况统计：门急诊人次、门诊人次、急诊人次、门急诊退号人次、门急诊人次趋势分析、门急诊人次挂号类别维度分析、门急诊人次科室top10排名；</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支持门诊预约概况统计：门诊预约率、门诊预约人次、现场预约人次、微信预约人次、支付宝预约人次、自助预约人次；</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门急诊处方统计：门急诊处方数、门急诊抗生素处方数、门急诊药品处方数、门急诊大额处方数、门急诊抗生素处方率、门急诊抗生素处方趋势、科室门急诊药品处方数前十、门急诊药品处方率、门急诊药品处方数趋势、科室门急诊药品处方数前十、门急诊大额处方率、门急诊大额处方数趋势、科室门急诊大额处方数前十；</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支持门诊收入概况统计：门急诊收入、门诊收入、急诊收入、门急诊均次费、门急诊收入趋势、门急诊均次费趋势、科室门急诊收入-人次分布的散点图；</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支持收入大项目概况统计：收入大项目构成、收入大项目趋势、收入大项目占比趋势。</w:t>
      </w:r>
    </w:p>
    <w:p>
      <w:pPr>
        <w:pStyle w:val="7"/>
        <w:numPr>
          <w:ilvl w:val="5"/>
          <w:numId w:val="10"/>
        </w:numPr>
      </w:pPr>
      <w:r>
        <w:t>全院住院分析</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支持住院业务概况统计：平均住院日、入院人次趋势、平均住院日趋势、出院患者住院天数分布（0-7天，8-15天，16-30天，31-90天，90-180天，超多180天）、出院人次趋势；</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支持床位统计：床位使用率、床位使用率趋势、床位使用率科室排名、床位周转次数、出院患者实际占用总床日；</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支持住院收入概况统计：住院收入、住院均次费、住院药品收入、住院药品均次费、住院收入趋势、住院均次费趋势、住院收入科室排名、住院药品收入趋势、住院药品均次费趋势、住院药品收入科室排名；</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支持住院收入大项目概况统计：收入大项目构成、收入大项目趋势、收入大项目占比趋势；</w:t>
      </w:r>
    </w:p>
    <w:p>
      <w:pPr>
        <w:pStyle w:val="7"/>
        <w:numPr>
          <w:ilvl w:val="5"/>
          <w:numId w:val="10"/>
        </w:numPr>
      </w:pPr>
      <w:r>
        <w:t>全院医保分析</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门急诊医保概况统计：门急诊医保患者药占比、门急诊医保患者自费占比、门急诊医保人次、门急诊医保患者均次费、门急诊医保患者总费用、门急诊医保支付金额、门急诊医保患者总费用和均次费趋势、门急诊医保患者药品费用和均次费趋势、门急诊医保患者均次费、门急诊医保患者药占比；</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住院医保概况统计：住院医保患者药占比、医保自费占比、住院医保人次、住院医保患者总费用、住院医保患者药品均次费、住院医保支付金额、住院医院患者总费用和药占比趋势、住院医保患者药品费用和药占比趋势、住院医保患者药占比趋势。</w:t>
      </w:r>
    </w:p>
    <w:p>
      <w:pPr>
        <w:pStyle w:val="7"/>
        <w:numPr>
          <w:ilvl w:val="5"/>
          <w:numId w:val="10"/>
        </w:numPr>
      </w:pPr>
      <w:r>
        <w:t>全院患者用药分析</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支持药品概况统计：药占比、药品收入、中成药收入、中草药收入、西药收入、基本药品收入、基本药品收入占比、药品总收入趋势、药占比趋势、药占比科室前十、药品费用构成情况；</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支持门急诊药品概况统计：门急诊药品收入、门急诊药占比、门诊药占比、急诊药占比、门急诊药品收入趋势、门急诊药占比趋势、科室门急诊药占比-人次的散点图分布、门急诊药占比科室前十；</w:t>
      </w:r>
    </w:p>
    <w:p>
      <w:pPr>
        <w:pStyle w:val="42"/>
        <w:numPr>
          <w:ilvl w:val="0"/>
          <w:numId w:val="64"/>
        </w:numPr>
        <w:adjustRightInd/>
        <w:snapToGrid/>
        <w:ind w:firstLineChars="0"/>
        <w:rPr>
          <w:rFonts w:ascii="Times New Roman" w:hAnsi="Times New Roman" w:eastAsia="宋体" w:cs="Times New Roman"/>
          <w:szCs w:val="24"/>
        </w:rPr>
      </w:pPr>
      <w:r>
        <w:rPr>
          <w:rFonts w:ascii="Times New Roman" w:hAnsi="Times New Roman" w:eastAsia="宋体" w:cs="Times New Roman"/>
          <w:szCs w:val="24"/>
        </w:rPr>
        <w:t>支持住院药品概况统计：住院药品收入、住院药占比、住院药品收入趋势、住院药占比趋势、住院药品均次药费、科室住院药占比-出院人次的散点图分布、住院药占比科室排名；</w:t>
      </w:r>
    </w:p>
    <w:p>
      <w:pPr>
        <w:pStyle w:val="42"/>
        <w:numPr>
          <w:ilvl w:val="0"/>
          <w:numId w:val="64"/>
        </w:numPr>
        <w:adjustRightInd/>
        <w:snapToGrid/>
        <w:ind w:firstLineChars="0"/>
        <w:rPr>
          <w:rFonts w:ascii="Times New Roman" w:hAnsi="Times New Roman" w:eastAsia="宋体" w:cs="Times New Roman"/>
          <w:szCs w:val="24"/>
        </w:rPr>
      </w:pPr>
      <w:r>
        <w:rPr>
          <w:rFonts w:ascii="Times New Roman" w:hAnsi="Times New Roman" w:eastAsia="宋体" w:cs="Times New Roman"/>
          <w:szCs w:val="24"/>
        </w:rPr>
        <w:t>支持抗菌药物概况统计：抗菌药物总收入、抗菌收入趋势、抗菌药物占比趋势、抗菌药物占比、抗菌药物费用中门诊和住院的占比、抗菌药物占比科室排名；</w:t>
      </w:r>
    </w:p>
    <w:p>
      <w:pPr>
        <w:pStyle w:val="42"/>
        <w:numPr>
          <w:ilvl w:val="0"/>
          <w:numId w:val="64"/>
        </w:numPr>
        <w:adjustRightInd/>
        <w:snapToGrid/>
        <w:ind w:firstLineChars="0"/>
        <w:rPr>
          <w:rFonts w:ascii="Times New Roman" w:hAnsi="Times New Roman" w:eastAsia="宋体" w:cs="Times New Roman"/>
          <w:szCs w:val="24"/>
        </w:rPr>
      </w:pPr>
      <w:r>
        <w:rPr>
          <w:rFonts w:ascii="Times New Roman" w:hAnsi="Times New Roman" w:eastAsia="宋体" w:cs="Times New Roman"/>
          <w:szCs w:val="24"/>
        </w:rPr>
        <w:t>支持门急诊抗菌药物概况统计：门急诊抗菌药物收入、门急诊抗菌药物使用人次、门急诊抗菌药物均次费、门急诊抗菌药物占比、门急诊抗菌药物使用率、门急诊抗菌药物使用人次趋势、门急诊抗菌药物使用率趋势、门急诊抗菌药物收入和占比趋势、科室门急诊抗菌药物占比-使用人次的散点图分布、门急诊抗菌药物收入和均次费趋势、科室门急诊抗菌药物均次费-使用人次的散点图分布；</w:t>
      </w:r>
    </w:p>
    <w:p>
      <w:pPr>
        <w:pStyle w:val="42"/>
        <w:numPr>
          <w:ilvl w:val="0"/>
          <w:numId w:val="64"/>
        </w:numPr>
        <w:adjustRightInd/>
        <w:snapToGrid/>
        <w:ind w:firstLineChars="0"/>
        <w:rPr>
          <w:rFonts w:ascii="Times New Roman" w:hAnsi="Times New Roman" w:eastAsia="宋体" w:cs="Times New Roman"/>
          <w:szCs w:val="24"/>
        </w:rPr>
      </w:pPr>
      <w:r>
        <w:rPr>
          <w:rFonts w:ascii="Times New Roman" w:hAnsi="Times New Roman" w:eastAsia="宋体" w:cs="Times New Roman"/>
          <w:szCs w:val="24"/>
        </w:rPr>
        <w:t>支持住院抗菌药物概况统计：出院患者抗菌药物使用率、住院抗菌药物占比、住院抗菌药物收入、出院患者抗菌药物使用人次、住院抗菌药物均次费、抗菌药物使用前微生物送检率、出院患者抗菌药物使用人次和使用率趋势、出院患者抗菌药物使用率科室排名、住院抗菌药物费用和占比趋势、住院抗菌药物占比和使用人次科室的散点图分布。</w:t>
      </w:r>
    </w:p>
    <w:p>
      <w:pPr>
        <w:pStyle w:val="7"/>
        <w:numPr>
          <w:ilvl w:val="5"/>
          <w:numId w:val="10"/>
        </w:numPr>
      </w:pPr>
      <w:r>
        <w:t>全院治疗质量分析</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支持治疗结果指标统计：治愈好转率、住院总死亡率、出院治疗总人次、治愈好转人次、治愈好转人次和好转率趋势、治愈好转率科室排名、住院总死亡率趋势、住院总死亡率科室排名；</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支持危重抢救指标统计：抢救成功人次、抢救成功率、抢救成功率趋势、住院患者危重比、住院患者危重比趋势；</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支持符合率指标统计：入院和出院诊断符合人次、入院与出院诊断符合率、入院和出院诊断符合趋势；</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临床路径指标统计：临床路径病人路径率、临床路径病人路径率趋势、临床路径病人死亡率、临床路径病人死亡率趋势、临床路径病人治愈好转率、临床路径病人治愈好转率趋势、临床路径病人完成率、临床路径病人完成率趋势、临床路径病人退出率、临床路径病人退出率趋势。</w:t>
      </w:r>
    </w:p>
    <w:p>
      <w:pPr>
        <w:pStyle w:val="6"/>
        <w:numPr>
          <w:ilvl w:val="4"/>
          <w:numId w:val="10"/>
        </w:numPr>
      </w:pPr>
      <w:r>
        <w:rPr>
          <w:rFonts w:hint="eastAsia"/>
        </w:rPr>
        <w:t>B</w:t>
      </w:r>
      <w:r>
        <w:t>I</w:t>
      </w:r>
      <w:r>
        <w:rPr>
          <w:rFonts w:hint="eastAsia"/>
        </w:rPr>
        <w:t>-</w:t>
      </w:r>
      <w:r>
        <w:t>数据可视化分析引擎</w:t>
      </w:r>
    </w:p>
    <w:p>
      <w:pPr>
        <w:pStyle w:val="7"/>
        <w:numPr>
          <w:ilvl w:val="5"/>
          <w:numId w:val="10"/>
        </w:numPr>
      </w:pPr>
      <w:r>
        <w:t>基础管理</w:t>
      </w:r>
    </w:p>
    <w:p>
      <w:pPr>
        <w:ind w:firstLine="480"/>
        <w:rPr>
          <w:rFonts w:ascii="Times New Roman" w:hAnsi="Times New Roman" w:eastAsia="宋体" w:cs="Times New Roman"/>
          <w:szCs w:val="24"/>
        </w:rPr>
      </w:pPr>
      <w:r>
        <w:rPr>
          <w:rFonts w:ascii="Times New Roman" w:hAnsi="Times New Roman" w:eastAsia="宋体" w:cs="Times New Roman"/>
          <w:b/>
          <w:bCs/>
          <w:szCs w:val="24"/>
        </w:rPr>
        <w:t>人员管理</w:t>
      </w:r>
      <w:r>
        <w:rPr>
          <w:rFonts w:ascii="Times New Roman" w:hAnsi="Times New Roman" w:eastAsia="宋体" w:cs="Times New Roman"/>
          <w:szCs w:val="24"/>
        </w:rPr>
        <w:t>：</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支持人员新增、删除、停用；</w:t>
      </w:r>
    </w:p>
    <w:p>
      <w:pPr>
        <w:pStyle w:val="42"/>
        <w:numPr>
          <w:ilvl w:val="0"/>
          <w:numId w:val="14"/>
        </w:numPr>
        <w:adjustRightInd/>
        <w:ind w:firstLineChars="0"/>
        <w:rPr>
          <w:rFonts w:ascii="Times New Roman" w:hAnsi="Times New Roman" w:eastAsia="宋体" w:cs="Times New Roman"/>
          <w:color w:val="000000"/>
          <w:szCs w:val="24"/>
        </w:rPr>
      </w:pPr>
      <w:r>
        <w:rPr>
          <w:rFonts w:ascii="Times New Roman" w:hAnsi="Times New Roman" w:eastAsia="宋体" w:cs="Times New Roman"/>
          <w:color w:val="000000"/>
          <w:szCs w:val="24"/>
        </w:rPr>
        <w:t>支持人员科室设置，密码修改。</w:t>
      </w:r>
    </w:p>
    <w:p>
      <w:pPr>
        <w:ind w:firstLine="480"/>
        <w:rPr>
          <w:rFonts w:ascii="Times New Roman" w:hAnsi="Times New Roman" w:eastAsia="宋体" w:cs="Times New Roman"/>
          <w:szCs w:val="24"/>
        </w:rPr>
      </w:pPr>
      <w:r>
        <w:rPr>
          <w:rFonts w:ascii="Times New Roman" w:hAnsi="Times New Roman" w:eastAsia="宋体" w:cs="Times New Roman"/>
          <w:b/>
          <w:bCs/>
          <w:szCs w:val="24"/>
        </w:rPr>
        <w:t>菜单管理</w:t>
      </w:r>
      <w:r>
        <w:rPr>
          <w:rFonts w:ascii="Times New Roman" w:hAnsi="Times New Roman" w:eastAsia="宋体" w:cs="Times New Roman"/>
          <w:szCs w:val="24"/>
        </w:rPr>
        <w:t>：</w:t>
      </w:r>
    </w:p>
    <w:p>
      <w:pPr>
        <w:numPr>
          <w:ilvl w:val="0"/>
          <w:numId w:val="65"/>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支持菜单新增、删除；</w:t>
      </w:r>
    </w:p>
    <w:p>
      <w:pPr>
        <w:numPr>
          <w:ilvl w:val="0"/>
          <w:numId w:val="65"/>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支持菜单逐级添加。</w:t>
      </w:r>
    </w:p>
    <w:p>
      <w:pPr>
        <w:ind w:firstLine="480"/>
        <w:rPr>
          <w:rFonts w:ascii="Times New Roman" w:hAnsi="Times New Roman" w:eastAsia="宋体" w:cs="Times New Roman"/>
          <w:szCs w:val="24"/>
        </w:rPr>
      </w:pPr>
      <w:r>
        <w:rPr>
          <w:rFonts w:ascii="Times New Roman" w:hAnsi="Times New Roman" w:eastAsia="宋体" w:cs="Times New Roman"/>
          <w:b/>
          <w:bCs/>
          <w:szCs w:val="24"/>
        </w:rPr>
        <w:t>角色管理</w:t>
      </w:r>
      <w:r>
        <w:rPr>
          <w:rFonts w:ascii="Times New Roman" w:hAnsi="Times New Roman" w:eastAsia="宋体" w:cs="Times New Roman"/>
          <w:szCs w:val="24"/>
        </w:rPr>
        <w:t>：</w:t>
      </w:r>
    </w:p>
    <w:p>
      <w:pPr>
        <w:numPr>
          <w:ilvl w:val="0"/>
          <w:numId w:val="66"/>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支持角色新增、删除、停用；</w:t>
      </w:r>
    </w:p>
    <w:p>
      <w:pPr>
        <w:numPr>
          <w:ilvl w:val="0"/>
          <w:numId w:val="66"/>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支持角色权限设置。</w:t>
      </w:r>
    </w:p>
    <w:p>
      <w:pPr>
        <w:ind w:firstLine="480"/>
        <w:rPr>
          <w:rFonts w:ascii="Times New Roman" w:hAnsi="Times New Roman" w:eastAsia="宋体" w:cs="Times New Roman"/>
          <w:b/>
          <w:bCs/>
          <w:szCs w:val="24"/>
        </w:rPr>
      </w:pPr>
      <w:r>
        <w:rPr>
          <w:rFonts w:ascii="Times New Roman" w:hAnsi="Times New Roman" w:eastAsia="宋体" w:cs="Times New Roman"/>
          <w:b/>
          <w:bCs/>
          <w:szCs w:val="24"/>
        </w:rPr>
        <w:t>权限管理：</w:t>
      </w:r>
    </w:p>
    <w:p>
      <w:pPr>
        <w:numPr>
          <w:ilvl w:val="0"/>
          <w:numId w:val="67"/>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支持菜单权限设置；</w:t>
      </w:r>
    </w:p>
    <w:p>
      <w:pPr>
        <w:numPr>
          <w:ilvl w:val="0"/>
          <w:numId w:val="67"/>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支持数据权限设置，数据权限指不同科室只能查看对应科室的数据。</w:t>
      </w:r>
    </w:p>
    <w:p>
      <w:pPr>
        <w:ind w:firstLine="480"/>
        <w:rPr>
          <w:rFonts w:ascii="Times New Roman" w:hAnsi="Times New Roman" w:eastAsia="宋体" w:cs="Times New Roman"/>
          <w:b/>
          <w:bCs/>
          <w:szCs w:val="24"/>
        </w:rPr>
      </w:pPr>
      <w:r>
        <w:rPr>
          <w:rFonts w:ascii="Times New Roman" w:hAnsi="Times New Roman" w:eastAsia="宋体" w:cs="Times New Roman"/>
          <w:b/>
          <w:bCs/>
          <w:szCs w:val="24"/>
        </w:rPr>
        <w:t>指标管理：</w:t>
      </w:r>
    </w:p>
    <w:p>
      <w:pPr>
        <w:numPr>
          <w:ilvl w:val="0"/>
          <w:numId w:val="68"/>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支持按照医院管理业务域分类排列；</w:t>
      </w:r>
    </w:p>
    <w:p>
      <w:pPr>
        <w:numPr>
          <w:ilvl w:val="0"/>
          <w:numId w:val="68"/>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支持指标新增、启用、搜索、导出功能；</w:t>
      </w:r>
    </w:p>
    <w:p>
      <w:pPr>
        <w:numPr>
          <w:ilvl w:val="0"/>
          <w:numId w:val="68"/>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支持指标的下钻维度配置；</w:t>
      </w:r>
    </w:p>
    <w:p>
      <w:pPr>
        <w:numPr>
          <w:ilvl w:val="0"/>
          <w:numId w:val="68"/>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支持指标维护。维护的属性有：指标分类、指标名称、指标口径说明、有无小数位数、比率类型、评价标准、指标单位、是否补录、配置方式；</w:t>
      </w:r>
    </w:p>
    <w:p>
      <w:pPr>
        <w:numPr>
          <w:ilvl w:val="0"/>
          <w:numId w:val="68"/>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支持公式配置、维度配置、sql配置这3种口径配置方式；</w:t>
      </w:r>
    </w:p>
    <w:p>
      <w:pPr>
        <w:numPr>
          <w:ilvl w:val="0"/>
          <w:numId w:val="68"/>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支持指标规范管理，即指标出处和标准。</w:t>
      </w:r>
    </w:p>
    <w:p>
      <w:pPr>
        <w:ind w:firstLine="480"/>
        <w:rPr>
          <w:rFonts w:ascii="Times New Roman" w:hAnsi="Times New Roman" w:eastAsia="宋体" w:cs="Times New Roman"/>
          <w:b/>
          <w:bCs/>
          <w:szCs w:val="24"/>
        </w:rPr>
      </w:pPr>
      <w:r>
        <w:rPr>
          <w:rFonts w:ascii="Times New Roman" w:hAnsi="Times New Roman" w:eastAsia="宋体" w:cs="Times New Roman"/>
          <w:b/>
          <w:bCs/>
          <w:szCs w:val="24"/>
        </w:rPr>
        <w:t>目标值管理：</w:t>
      </w:r>
    </w:p>
    <w:p>
      <w:pPr>
        <w:numPr>
          <w:ilvl w:val="0"/>
          <w:numId w:val="69"/>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支持指标目标值统一管理；</w:t>
      </w:r>
    </w:p>
    <w:p>
      <w:pPr>
        <w:numPr>
          <w:ilvl w:val="0"/>
          <w:numId w:val="69"/>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支持全院、分院按照年度和月度设置指标目标值；</w:t>
      </w:r>
    </w:p>
    <w:p>
      <w:pPr>
        <w:numPr>
          <w:ilvl w:val="0"/>
          <w:numId w:val="69"/>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支持设置科室目标值；</w:t>
      </w:r>
    </w:p>
    <w:p>
      <w:pPr>
        <w:numPr>
          <w:ilvl w:val="0"/>
          <w:numId w:val="69"/>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支持目标值导入导出；</w:t>
      </w:r>
    </w:p>
    <w:p>
      <w:pPr>
        <w:numPr>
          <w:ilvl w:val="0"/>
          <w:numId w:val="69"/>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支持科室目标值按照全院目标值自动化分配。</w:t>
      </w:r>
    </w:p>
    <w:p>
      <w:pPr>
        <w:pStyle w:val="7"/>
        <w:numPr>
          <w:ilvl w:val="5"/>
          <w:numId w:val="10"/>
        </w:numPr>
      </w:pPr>
      <w:r>
        <w:t>预警知识管理</w:t>
      </w:r>
    </w:p>
    <w:p>
      <w:pPr>
        <w:numPr>
          <w:ilvl w:val="0"/>
          <w:numId w:val="70"/>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支持指标预警规则设置，规则包括大于、小于、等于、介于；</w:t>
      </w:r>
    </w:p>
    <w:p>
      <w:pPr>
        <w:numPr>
          <w:ilvl w:val="0"/>
          <w:numId w:val="70"/>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支持设置指标规则的标准，包括国家标准、区域标准、院内标准或行业标准；</w:t>
      </w:r>
    </w:p>
    <w:p>
      <w:pPr>
        <w:numPr>
          <w:ilvl w:val="0"/>
          <w:numId w:val="70"/>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支持设置预警的提醒模式，包括PC端提醒、移动端提醒；</w:t>
      </w:r>
    </w:p>
    <w:p>
      <w:pPr>
        <w:numPr>
          <w:ilvl w:val="0"/>
          <w:numId w:val="70"/>
        </w:numPr>
        <w:adjustRightInd/>
        <w:snapToGrid/>
        <w:ind w:left="840"/>
        <w:rPr>
          <w:rFonts w:ascii="Times New Roman" w:hAnsi="Times New Roman" w:eastAsia="宋体" w:cs="Times New Roman"/>
          <w:szCs w:val="24"/>
        </w:rPr>
      </w:pPr>
      <w:r>
        <w:rPr>
          <w:rFonts w:ascii="Times New Roman" w:hAnsi="Times New Roman" w:eastAsia="宋体" w:cs="Times New Roman"/>
          <w:szCs w:val="24"/>
        </w:rPr>
        <w:t>支持同一指标设置多个规则。</w:t>
      </w:r>
    </w:p>
    <w:p>
      <w:pPr>
        <w:pStyle w:val="7"/>
        <w:numPr>
          <w:ilvl w:val="5"/>
          <w:numId w:val="10"/>
        </w:numPr>
      </w:pPr>
      <w:r>
        <w:t>自助报表设计</w:t>
      </w:r>
    </w:p>
    <w:p>
      <w:pPr>
        <w:pStyle w:val="42"/>
        <w:numPr>
          <w:ilvl w:val="0"/>
          <w:numId w:val="71"/>
        </w:numPr>
        <w:snapToGrid/>
        <w:ind w:left="840" w:firstLineChars="0"/>
        <w:jc w:val="left"/>
        <w:rPr>
          <w:rFonts w:ascii="Times New Roman" w:hAnsi="Times New Roman" w:eastAsia="宋体" w:cs="Times New Roman"/>
          <w:szCs w:val="24"/>
        </w:rPr>
      </w:pPr>
      <w:r>
        <w:rPr>
          <w:rFonts w:ascii="Times New Roman" w:hAnsi="Times New Roman" w:eastAsia="宋体" w:cs="Times New Roman"/>
          <w:szCs w:val="24"/>
        </w:rPr>
        <w:t>支持宫格设计功能，包含2*2、3*3、3*4、3*7、4*3、4*4、4*6，4*7八套模板，支持模板拆分、合并、删除；</w:t>
      </w:r>
    </w:p>
    <w:p>
      <w:pPr>
        <w:pStyle w:val="42"/>
        <w:numPr>
          <w:ilvl w:val="0"/>
          <w:numId w:val="71"/>
        </w:numPr>
        <w:snapToGrid/>
        <w:ind w:left="840" w:firstLineChars="0"/>
        <w:jc w:val="left"/>
        <w:rPr>
          <w:rFonts w:ascii="Times New Roman" w:hAnsi="Times New Roman" w:eastAsia="宋体" w:cs="Times New Roman"/>
          <w:szCs w:val="24"/>
        </w:rPr>
      </w:pPr>
      <w:r>
        <w:rPr>
          <w:rFonts w:ascii="Times New Roman" w:hAnsi="Times New Roman" w:eastAsia="宋体" w:cs="Times New Roman"/>
          <w:szCs w:val="24"/>
        </w:rPr>
        <w:t>支持多种图例，包括标准折线图、堆积折线图、标准横纵互换折线图、标准面积图、堆积面积图、标准左右轴折线图、标准柱状图、堆积柱状图、标准条形图、堆积条形图、阶梯柱状图、极坐标柱状图</w:t>
      </w:r>
      <w:r>
        <w:rPr>
          <w:rFonts w:hint="eastAsia" w:ascii="Times New Roman" w:hAnsi="Times New Roman" w:eastAsia="宋体" w:cs="Times New Roman"/>
          <w:szCs w:val="24"/>
        </w:rPr>
        <w:t>。</w:t>
      </w:r>
    </w:p>
    <w:p>
      <w:pPr>
        <w:pStyle w:val="42"/>
        <w:numPr>
          <w:ilvl w:val="0"/>
          <w:numId w:val="71"/>
        </w:numPr>
        <w:snapToGrid/>
        <w:ind w:left="840" w:firstLineChars="0"/>
        <w:jc w:val="left"/>
        <w:rPr>
          <w:rFonts w:ascii="Times New Roman" w:hAnsi="Times New Roman" w:eastAsia="宋体" w:cs="Times New Roman"/>
          <w:szCs w:val="24"/>
        </w:rPr>
      </w:pPr>
      <w:r>
        <w:rPr>
          <w:rFonts w:ascii="Times New Roman" w:hAnsi="Times New Roman" w:eastAsia="宋体" w:cs="Times New Roman"/>
          <w:szCs w:val="24"/>
        </w:rPr>
        <w:t>支持图例的标题、边距、颜色属性编辑；</w:t>
      </w:r>
    </w:p>
    <w:p>
      <w:pPr>
        <w:pStyle w:val="42"/>
        <w:numPr>
          <w:ilvl w:val="0"/>
          <w:numId w:val="71"/>
        </w:numPr>
        <w:snapToGrid/>
        <w:ind w:left="840" w:firstLineChars="0"/>
        <w:jc w:val="left"/>
        <w:rPr>
          <w:rFonts w:ascii="Times New Roman" w:hAnsi="Times New Roman" w:eastAsia="宋体" w:cs="Times New Roman"/>
          <w:szCs w:val="24"/>
        </w:rPr>
      </w:pPr>
      <w:r>
        <w:rPr>
          <w:rFonts w:ascii="Times New Roman" w:hAnsi="Times New Roman" w:eastAsia="宋体" w:cs="Times New Roman"/>
          <w:szCs w:val="24"/>
        </w:rPr>
        <w:t>支持图形联动功能；</w:t>
      </w:r>
    </w:p>
    <w:p>
      <w:pPr>
        <w:pStyle w:val="42"/>
        <w:numPr>
          <w:ilvl w:val="0"/>
          <w:numId w:val="71"/>
        </w:numPr>
        <w:snapToGrid/>
        <w:ind w:left="840" w:firstLineChars="0"/>
        <w:jc w:val="left"/>
        <w:rPr>
          <w:rFonts w:ascii="Times New Roman" w:hAnsi="Times New Roman" w:eastAsia="宋体" w:cs="Times New Roman"/>
          <w:szCs w:val="24"/>
        </w:rPr>
      </w:pPr>
      <w:r>
        <w:rPr>
          <w:rFonts w:ascii="Times New Roman" w:hAnsi="Times New Roman" w:eastAsia="宋体" w:cs="Times New Roman"/>
          <w:szCs w:val="24"/>
        </w:rPr>
        <w:t>支持图例指标切换功能，即生成的报表图例可直接修改指标；</w:t>
      </w:r>
    </w:p>
    <w:p>
      <w:pPr>
        <w:pStyle w:val="42"/>
        <w:numPr>
          <w:ilvl w:val="0"/>
          <w:numId w:val="71"/>
        </w:numPr>
        <w:snapToGrid/>
        <w:ind w:left="840" w:firstLineChars="0"/>
        <w:jc w:val="left"/>
        <w:rPr>
          <w:rFonts w:ascii="Times New Roman" w:hAnsi="Times New Roman" w:eastAsia="宋体" w:cs="Times New Roman"/>
          <w:szCs w:val="24"/>
        </w:rPr>
      </w:pPr>
      <w:r>
        <w:rPr>
          <w:rFonts w:ascii="Times New Roman" w:hAnsi="Times New Roman" w:eastAsia="宋体" w:cs="Times New Roman"/>
          <w:szCs w:val="24"/>
        </w:rPr>
        <w:t>支持维度多级下钻功能，科室维度下钻到医生，医生维度下钻到患者明细；</w:t>
      </w:r>
    </w:p>
    <w:p>
      <w:pPr>
        <w:pStyle w:val="42"/>
        <w:numPr>
          <w:ilvl w:val="0"/>
          <w:numId w:val="71"/>
        </w:numPr>
        <w:snapToGrid/>
        <w:ind w:left="840" w:firstLineChars="0"/>
        <w:jc w:val="left"/>
        <w:rPr>
          <w:rFonts w:ascii="Times New Roman" w:hAnsi="Times New Roman" w:eastAsia="宋体" w:cs="Times New Roman"/>
          <w:szCs w:val="24"/>
        </w:rPr>
      </w:pPr>
      <w:r>
        <w:rPr>
          <w:rFonts w:ascii="Times New Roman" w:hAnsi="Times New Roman" w:eastAsia="宋体" w:cs="Times New Roman"/>
          <w:szCs w:val="24"/>
        </w:rPr>
        <w:t>支持维度对比功能，如在科室排名的基础上，进行性别维度的对比，支持查看不同科室的性别占比情况；</w:t>
      </w:r>
    </w:p>
    <w:p>
      <w:pPr>
        <w:pStyle w:val="42"/>
        <w:numPr>
          <w:ilvl w:val="0"/>
          <w:numId w:val="71"/>
        </w:numPr>
        <w:snapToGrid/>
        <w:ind w:left="840" w:firstLineChars="0"/>
        <w:jc w:val="left"/>
        <w:rPr>
          <w:rFonts w:ascii="Times New Roman" w:hAnsi="Times New Roman" w:eastAsia="宋体" w:cs="Times New Roman"/>
          <w:szCs w:val="24"/>
        </w:rPr>
      </w:pPr>
      <w:r>
        <w:rPr>
          <w:rFonts w:ascii="Times New Roman" w:hAnsi="Times New Roman" w:eastAsia="宋体" w:cs="Times New Roman"/>
          <w:szCs w:val="24"/>
        </w:rPr>
        <w:t>支持多维交叉分析；</w:t>
      </w:r>
    </w:p>
    <w:p>
      <w:pPr>
        <w:pStyle w:val="42"/>
        <w:numPr>
          <w:ilvl w:val="0"/>
          <w:numId w:val="71"/>
        </w:numPr>
        <w:snapToGrid/>
        <w:ind w:left="840" w:firstLineChars="0"/>
        <w:jc w:val="left"/>
        <w:rPr>
          <w:rFonts w:ascii="Times New Roman" w:hAnsi="Times New Roman" w:eastAsia="宋体" w:cs="Times New Roman"/>
          <w:szCs w:val="24"/>
        </w:rPr>
      </w:pPr>
      <w:r>
        <w:rPr>
          <w:rFonts w:ascii="Times New Roman" w:hAnsi="Times New Roman" w:eastAsia="宋体" w:cs="Times New Roman"/>
          <w:szCs w:val="24"/>
        </w:rPr>
        <w:t>支持指标同期、环期、同比、环比等信息配置，支持指标同期、环期、同比、环比等信息可视化展示；</w:t>
      </w:r>
    </w:p>
    <w:p>
      <w:pPr>
        <w:pStyle w:val="42"/>
        <w:numPr>
          <w:ilvl w:val="0"/>
          <w:numId w:val="71"/>
        </w:numPr>
        <w:snapToGrid/>
        <w:ind w:left="840" w:firstLineChars="0"/>
        <w:jc w:val="left"/>
        <w:rPr>
          <w:rFonts w:ascii="Times New Roman" w:hAnsi="Times New Roman" w:eastAsia="宋体" w:cs="Times New Roman"/>
          <w:szCs w:val="24"/>
        </w:rPr>
      </w:pPr>
      <w:r>
        <w:rPr>
          <w:rFonts w:ascii="Times New Roman" w:hAnsi="Times New Roman" w:eastAsia="宋体" w:cs="Times New Roman"/>
          <w:szCs w:val="24"/>
        </w:rPr>
        <w:t>支持坐标轴刻度设置。</w:t>
      </w:r>
    </w:p>
    <w:p>
      <w:pPr>
        <w:pStyle w:val="7"/>
        <w:numPr>
          <w:ilvl w:val="5"/>
          <w:numId w:val="10"/>
        </w:numPr>
      </w:pPr>
      <w:r>
        <w:t>自助多维交叉分析</w:t>
      </w:r>
    </w:p>
    <w:p>
      <w:pPr>
        <w:pStyle w:val="42"/>
        <w:numPr>
          <w:ilvl w:val="0"/>
          <w:numId w:val="72"/>
        </w:numPr>
        <w:snapToGrid/>
        <w:ind w:left="840" w:firstLineChars="0"/>
        <w:jc w:val="left"/>
        <w:rPr>
          <w:rFonts w:ascii="Times New Roman" w:hAnsi="Times New Roman" w:eastAsia="宋体" w:cs="Times New Roman"/>
          <w:szCs w:val="24"/>
        </w:rPr>
      </w:pPr>
      <w:r>
        <w:rPr>
          <w:rFonts w:ascii="Times New Roman" w:hAnsi="Times New Roman" w:eastAsia="宋体" w:cs="Times New Roman"/>
          <w:szCs w:val="24"/>
        </w:rPr>
        <w:t>支持通过简单拖拽数据集中的指标和维度，快速制作多维表格；</w:t>
      </w:r>
    </w:p>
    <w:p>
      <w:pPr>
        <w:pStyle w:val="42"/>
        <w:numPr>
          <w:ilvl w:val="0"/>
          <w:numId w:val="72"/>
        </w:numPr>
        <w:snapToGrid/>
        <w:ind w:left="840" w:firstLineChars="0"/>
        <w:jc w:val="left"/>
        <w:rPr>
          <w:rFonts w:ascii="Times New Roman" w:hAnsi="Times New Roman" w:eastAsia="宋体" w:cs="Times New Roman"/>
          <w:szCs w:val="24"/>
        </w:rPr>
      </w:pPr>
      <w:r>
        <w:rPr>
          <w:rFonts w:ascii="Times New Roman" w:hAnsi="Times New Roman" w:eastAsia="宋体" w:cs="Times New Roman"/>
          <w:szCs w:val="24"/>
        </w:rPr>
        <w:t>支持指标筛选功能；</w:t>
      </w:r>
    </w:p>
    <w:p>
      <w:pPr>
        <w:pStyle w:val="42"/>
        <w:numPr>
          <w:ilvl w:val="0"/>
          <w:numId w:val="72"/>
        </w:numPr>
        <w:snapToGrid/>
        <w:ind w:left="840" w:firstLineChars="0"/>
        <w:jc w:val="left"/>
        <w:rPr>
          <w:rFonts w:ascii="Times New Roman" w:hAnsi="Times New Roman" w:eastAsia="宋体" w:cs="Times New Roman"/>
          <w:szCs w:val="24"/>
        </w:rPr>
      </w:pPr>
      <w:r>
        <w:rPr>
          <w:rFonts w:ascii="Times New Roman" w:hAnsi="Times New Roman" w:eastAsia="宋体" w:cs="Times New Roman"/>
          <w:szCs w:val="24"/>
        </w:rPr>
        <w:t>支持表格行和列增加维度；</w:t>
      </w:r>
    </w:p>
    <w:p>
      <w:pPr>
        <w:pStyle w:val="42"/>
        <w:numPr>
          <w:ilvl w:val="0"/>
          <w:numId w:val="72"/>
        </w:numPr>
        <w:snapToGrid/>
        <w:ind w:left="840" w:firstLineChars="0"/>
        <w:jc w:val="left"/>
        <w:rPr>
          <w:rFonts w:ascii="Times New Roman" w:hAnsi="Times New Roman" w:eastAsia="宋体" w:cs="Times New Roman"/>
          <w:szCs w:val="24"/>
        </w:rPr>
      </w:pPr>
      <w:r>
        <w:rPr>
          <w:rFonts w:ascii="Times New Roman" w:hAnsi="Times New Roman" w:eastAsia="宋体" w:cs="Times New Roman"/>
          <w:szCs w:val="24"/>
        </w:rPr>
        <w:t>支持按维度过滤；</w:t>
      </w:r>
    </w:p>
    <w:p>
      <w:pPr>
        <w:pStyle w:val="42"/>
        <w:numPr>
          <w:ilvl w:val="0"/>
          <w:numId w:val="72"/>
        </w:numPr>
        <w:snapToGrid/>
        <w:ind w:left="840" w:firstLineChars="0"/>
        <w:jc w:val="left"/>
        <w:rPr>
          <w:rFonts w:ascii="Times New Roman" w:hAnsi="Times New Roman" w:eastAsia="宋体" w:cs="Times New Roman"/>
          <w:szCs w:val="24"/>
        </w:rPr>
      </w:pPr>
      <w:r>
        <w:rPr>
          <w:rFonts w:ascii="Times New Roman" w:hAnsi="Times New Roman" w:eastAsia="宋体" w:cs="Times New Roman"/>
          <w:szCs w:val="24"/>
        </w:rPr>
        <w:t>支持表格行列互换；</w:t>
      </w:r>
    </w:p>
    <w:p>
      <w:pPr>
        <w:pStyle w:val="42"/>
        <w:numPr>
          <w:ilvl w:val="0"/>
          <w:numId w:val="72"/>
        </w:numPr>
        <w:snapToGrid/>
        <w:ind w:left="840" w:firstLineChars="0"/>
        <w:jc w:val="left"/>
        <w:rPr>
          <w:rFonts w:ascii="Times New Roman" w:hAnsi="Times New Roman" w:eastAsia="宋体" w:cs="Times New Roman"/>
          <w:szCs w:val="24"/>
        </w:rPr>
      </w:pPr>
      <w:r>
        <w:rPr>
          <w:rFonts w:ascii="Times New Roman" w:hAnsi="Times New Roman" w:eastAsia="宋体" w:cs="Times New Roman"/>
          <w:szCs w:val="24"/>
        </w:rPr>
        <w:t>支持预警值设置；</w:t>
      </w:r>
    </w:p>
    <w:p>
      <w:pPr>
        <w:pStyle w:val="42"/>
        <w:numPr>
          <w:ilvl w:val="0"/>
          <w:numId w:val="72"/>
        </w:numPr>
        <w:snapToGrid/>
        <w:ind w:left="840" w:firstLineChars="0"/>
        <w:jc w:val="left"/>
        <w:rPr>
          <w:rFonts w:ascii="Times New Roman" w:hAnsi="Times New Roman" w:eastAsia="宋体" w:cs="Times New Roman"/>
          <w:szCs w:val="24"/>
        </w:rPr>
      </w:pPr>
      <w:r>
        <w:rPr>
          <w:rFonts w:ascii="Times New Roman" w:hAnsi="Times New Roman" w:eastAsia="宋体" w:cs="Times New Roman"/>
          <w:szCs w:val="24"/>
        </w:rPr>
        <w:t>支持excel导出；</w:t>
      </w:r>
    </w:p>
    <w:p>
      <w:pPr>
        <w:pStyle w:val="42"/>
        <w:numPr>
          <w:ilvl w:val="0"/>
          <w:numId w:val="72"/>
        </w:numPr>
        <w:snapToGrid/>
        <w:ind w:left="840" w:firstLineChars="0"/>
        <w:jc w:val="left"/>
        <w:rPr>
          <w:rFonts w:ascii="Times New Roman" w:hAnsi="Times New Roman" w:eastAsia="宋体" w:cs="Times New Roman"/>
          <w:szCs w:val="24"/>
        </w:rPr>
      </w:pPr>
      <w:r>
        <w:rPr>
          <w:rFonts w:ascii="Times New Roman" w:hAnsi="Times New Roman" w:eastAsia="宋体" w:cs="Times New Roman"/>
        </w:rPr>
        <w:t>▲</w:t>
      </w:r>
      <w:r>
        <w:rPr>
          <w:rFonts w:ascii="Times New Roman" w:hAnsi="Times New Roman" w:eastAsia="宋体" w:cs="Times New Roman"/>
          <w:szCs w:val="24"/>
        </w:rPr>
        <w:t>支持多维交叉分析</w:t>
      </w:r>
    </w:p>
    <w:p>
      <w:pPr>
        <w:pStyle w:val="42"/>
        <w:snapToGrid/>
        <w:ind w:left="840" w:firstLine="0" w:firstLineChars="0"/>
        <w:jc w:val="left"/>
        <w:rPr>
          <w:rFonts w:ascii="Times New Roman" w:hAnsi="Times New Roman" w:eastAsia="宋体" w:cs="Times New Roman"/>
          <w:szCs w:val="24"/>
        </w:rPr>
      </w:pPr>
      <w:r>
        <w:rPr>
          <w:rFonts w:ascii="Times New Roman" w:hAnsi="Times New Roman" w:eastAsia="宋体" w:cs="Times New Roman"/>
          <w:szCs w:val="24"/>
        </w:rPr>
        <w:t>要求在线分析界面提供可以设置行维度和列维度的截图证明。</w:t>
      </w:r>
    </w:p>
    <w:p>
      <w:pPr>
        <w:pStyle w:val="6"/>
        <w:numPr>
          <w:ilvl w:val="4"/>
          <w:numId w:val="10"/>
        </w:numPr>
      </w:pPr>
      <w:r>
        <w:rPr>
          <w:rFonts w:hint="eastAsia"/>
        </w:rPr>
        <w:t>B</w:t>
      </w:r>
      <w:r>
        <w:t>I</w:t>
      </w:r>
      <w:r>
        <w:rPr>
          <w:rFonts w:hint="eastAsia"/>
        </w:rPr>
        <w:t>-</w:t>
      </w:r>
      <w:r>
        <w:t>科级院级应用</w:t>
      </w:r>
    </w:p>
    <w:p>
      <w:pPr>
        <w:pStyle w:val="7"/>
        <w:numPr>
          <w:ilvl w:val="5"/>
          <w:numId w:val="10"/>
        </w:numPr>
      </w:pPr>
      <w:r>
        <w:t>住院手术分析</w:t>
      </w:r>
    </w:p>
    <w:p>
      <w:pPr>
        <w:pStyle w:val="42"/>
        <w:numPr>
          <w:ilvl w:val="0"/>
          <w:numId w:val="64"/>
        </w:numPr>
        <w:adjustRightInd/>
        <w:snapToGrid/>
        <w:ind w:firstLineChars="0"/>
        <w:rPr>
          <w:rFonts w:ascii="Times New Roman" w:hAnsi="Times New Roman" w:eastAsia="宋体" w:cs="Times New Roman"/>
          <w:szCs w:val="24"/>
        </w:rPr>
      </w:pPr>
      <w:r>
        <w:rPr>
          <w:rFonts w:ascii="Times New Roman" w:hAnsi="Times New Roman" w:eastAsia="宋体" w:cs="Times New Roman"/>
          <w:szCs w:val="24"/>
        </w:rPr>
        <w:t>支持手术概况统计：手术人数、住院手术例数、三四级手术占比、三四级手术例数、手术构成、住院手术例数趋势、三四级手术例数科室排名、住院手术例数科室排名；</w:t>
      </w:r>
    </w:p>
    <w:p>
      <w:pPr>
        <w:pStyle w:val="42"/>
        <w:numPr>
          <w:ilvl w:val="0"/>
          <w:numId w:val="64"/>
        </w:numPr>
        <w:adjustRightInd/>
        <w:snapToGrid/>
        <w:ind w:firstLineChars="0"/>
        <w:rPr>
          <w:rFonts w:ascii="Times New Roman" w:hAnsi="Times New Roman" w:eastAsia="宋体" w:cs="Times New Roman"/>
          <w:szCs w:val="24"/>
        </w:rPr>
      </w:pPr>
      <w:r>
        <w:rPr>
          <w:rFonts w:ascii="Times New Roman" w:hAnsi="Times New Roman" w:eastAsia="宋体" w:cs="Times New Roman"/>
          <w:szCs w:val="24"/>
        </w:rPr>
        <w:t>支持手术级别统计分析：手术级别构成、手术例数构成趋势、一级手术例数科室排名、二级手术例数科室排名、三级手术例数科室排名、四级手术例数科室排名；</w:t>
      </w:r>
    </w:p>
    <w:p>
      <w:pPr>
        <w:pStyle w:val="42"/>
        <w:numPr>
          <w:ilvl w:val="0"/>
          <w:numId w:val="64"/>
        </w:numPr>
        <w:adjustRightInd/>
        <w:snapToGrid/>
        <w:ind w:firstLineChars="0"/>
        <w:rPr>
          <w:rFonts w:ascii="Times New Roman" w:hAnsi="Times New Roman" w:eastAsia="宋体" w:cs="Times New Roman"/>
          <w:szCs w:val="24"/>
        </w:rPr>
      </w:pPr>
      <w:r>
        <w:rPr>
          <w:rFonts w:ascii="Times New Roman" w:hAnsi="Times New Roman" w:eastAsia="宋体" w:cs="Times New Roman"/>
          <w:szCs w:val="24"/>
        </w:rPr>
        <w:t>支持日间手术统计：日间手术例数、日间手术费用、日间三四级手术例数、日间手术药占比、日间手术预约例数、日间手术预约取消例数、日间手术预约取消率。</w:t>
      </w:r>
    </w:p>
    <w:p>
      <w:pPr>
        <w:pStyle w:val="7"/>
        <w:numPr>
          <w:ilvl w:val="5"/>
          <w:numId w:val="10"/>
        </w:numPr>
      </w:pPr>
      <w:r>
        <w:t>全院运营全景</w:t>
      </w:r>
    </w:p>
    <w:p>
      <w:pPr>
        <w:pStyle w:val="42"/>
        <w:numPr>
          <w:ilvl w:val="0"/>
          <w:numId w:val="73"/>
        </w:numPr>
        <w:snapToGrid/>
        <w:ind w:firstLineChars="0"/>
        <w:rPr>
          <w:rFonts w:ascii="Times New Roman" w:hAnsi="Times New Roman" w:eastAsia="宋体" w:cs="Times New Roman"/>
          <w:szCs w:val="24"/>
        </w:rPr>
      </w:pPr>
      <w:r>
        <w:rPr>
          <w:rFonts w:ascii="Times New Roman" w:hAnsi="Times New Roman" w:eastAsia="宋体" w:cs="Times New Roman"/>
          <w:szCs w:val="24"/>
        </w:rPr>
        <w:t>支持实时监控全院门急诊人次、急诊人次、门诊人次等门诊重要指标；</w:t>
      </w:r>
    </w:p>
    <w:p>
      <w:pPr>
        <w:pStyle w:val="42"/>
        <w:numPr>
          <w:ilvl w:val="0"/>
          <w:numId w:val="73"/>
        </w:numPr>
        <w:snapToGrid/>
        <w:ind w:firstLineChars="0"/>
        <w:rPr>
          <w:rFonts w:ascii="Times New Roman" w:hAnsi="Times New Roman" w:eastAsia="宋体" w:cs="Times New Roman"/>
          <w:szCs w:val="24"/>
        </w:rPr>
      </w:pPr>
      <w:r>
        <w:rPr>
          <w:rFonts w:ascii="Times New Roman" w:hAnsi="Times New Roman" w:eastAsia="宋体" w:cs="Times New Roman"/>
          <w:szCs w:val="24"/>
        </w:rPr>
        <w:t>支持实时监控在院人次、入院人次、三四级手术及住院相关指标等；</w:t>
      </w:r>
    </w:p>
    <w:p>
      <w:pPr>
        <w:pStyle w:val="42"/>
        <w:numPr>
          <w:ilvl w:val="0"/>
          <w:numId w:val="73"/>
        </w:numPr>
        <w:snapToGrid/>
        <w:ind w:firstLineChars="0"/>
        <w:rPr>
          <w:rFonts w:ascii="Times New Roman" w:hAnsi="Times New Roman" w:eastAsia="宋体" w:cs="Times New Roman"/>
          <w:szCs w:val="24"/>
        </w:rPr>
      </w:pPr>
      <w:r>
        <w:rPr>
          <w:rFonts w:ascii="Times New Roman" w:hAnsi="Times New Roman" w:eastAsia="宋体" w:cs="Times New Roman"/>
          <w:szCs w:val="24"/>
        </w:rPr>
        <w:t>支持监控药品耗材占比、手术分布、空床情况；</w:t>
      </w:r>
    </w:p>
    <w:p>
      <w:pPr>
        <w:pStyle w:val="42"/>
        <w:numPr>
          <w:ilvl w:val="0"/>
          <w:numId w:val="73"/>
        </w:numPr>
        <w:snapToGrid/>
        <w:ind w:firstLineChars="0"/>
        <w:rPr>
          <w:rFonts w:ascii="Times New Roman" w:hAnsi="Times New Roman" w:eastAsia="宋体" w:cs="Times New Roman"/>
          <w:szCs w:val="24"/>
        </w:rPr>
      </w:pPr>
      <w:r>
        <w:rPr>
          <w:rFonts w:ascii="Times New Roman" w:hAnsi="Times New Roman" w:eastAsia="宋体" w:cs="Times New Roman"/>
          <w:szCs w:val="24"/>
        </w:rPr>
        <w:t>支持监控挂号人次、挂号分布、挂号预约方式等情况指标；</w:t>
      </w:r>
    </w:p>
    <w:p>
      <w:pPr>
        <w:pStyle w:val="42"/>
        <w:numPr>
          <w:ilvl w:val="0"/>
          <w:numId w:val="73"/>
        </w:numPr>
        <w:snapToGrid/>
        <w:ind w:firstLineChars="0"/>
        <w:rPr>
          <w:rFonts w:ascii="Times New Roman" w:hAnsi="Times New Roman" w:eastAsia="宋体" w:cs="Times New Roman"/>
          <w:szCs w:val="24"/>
        </w:rPr>
      </w:pPr>
      <w:r>
        <w:rPr>
          <w:rFonts w:ascii="Times New Roman" w:hAnsi="Times New Roman" w:eastAsia="宋体" w:cs="Times New Roman"/>
          <w:szCs w:val="24"/>
        </w:rPr>
        <w:t>支持以动态地图形式监控医院患者来源分布。</w:t>
      </w:r>
    </w:p>
    <w:p>
      <w:pPr>
        <w:pStyle w:val="6"/>
        <w:numPr>
          <w:ilvl w:val="4"/>
          <w:numId w:val="10"/>
        </w:numPr>
      </w:pPr>
      <w:r>
        <w:t>临床数据中心及应用</w:t>
      </w:r>
    </w:p>
    <w:p>
      <w:pPr>
        <w:pStyle w:val="7"/>
        <w:numPr>
          <w:ilvl w:val="5"/>
          <w:numId w:val="10"/>
        </w:numPr>
      </w:pPr>
      <w:r>
        <w:rPr>
          <w:rFonts w:hint="eastAsia"/>
        </w:rPr>
        <w:t>C</w:t>
      </w:r>
      <w:r>
        <w:t>DR临床数据中心</w:t>
      </w:r>
    </w:p>
    <w:p>
      <w:pPr>
        <w:pStyle w:val="91"/>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临床数据中心以患者为中心，按照业务域、场景、事件，实现患者诊疗信息结果数据统一存储与统一管理，临床数据中心在可扩充性上需要满足医院未来对临床数据的存储及数据利用的要求，在性能及效率上应确保在正确的时间对正确的人员提供正确的数据格式。</w:t>
      </w:r>
    </w:p>
    <w:p>
      <w:pPr>
        <w:pStyle w:val="91"/>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临床数据中心范围包含以下内容：患者标识、患者服务、门诊处方、临床诊断、住院病历、住院医嘱、通用报告、手麻记录、门诊病历、体征记录、检验报告、PACS报告、电生理报告、病理报告。根据卫生部《基于电子病历的医院信息平台建设技术解决方案（2011）》建设要求结合临床实际建设需求进行临床数据的集成，主要数据集成内容有：</w:t>
      </w:r>
    </w:p>
    <w:p>
      <w:pPr>
        <w:pStyle w:val="91"/>
        <w:numPr>
          <w:ilvl w:val="0"/>
          <w:numId w:val="74"/>
        </w:numPr>
        <w:spacing w:line="360" w:lineRule="auto"/>
        <w:rPr>
          <w:rFonts w:ascii="Times New Roman" w:hAnsi="Times New Roman" w:eastAsia="宋体" w:cs="Times New Roman"/>
          <w:sz w:val="24"/>
        </w:rPr>
      </w:pPr>
      <w:r>
        <w:rPr>
          <w:rFonts w:ascii="Times New Roman" w:hAnsi="Times New Roman" w:eastAsia="宋体" w:cs="Times New Roman"/>
          <w:sz w:val="24"/>
        </w:rPr>
        <w:t>患者标识：支持对门急诊、住院患者就诊时的基本信息（如姓名、性别、出生日期、身份证号、就诊卡号、病历号、医保卡号、医保类别、联系电话、联系人、联系地址）进行数据集成。</w:t>
      </w:r>
    </w:p>
    <w:p>
      <w:pPr>
        <w:pStyle w:val="91"/>
        <w:numPr>
          <w:ilvl w:val="0"/>
          <w:numId w:val="74"/>
        </w:numPr>
        <w:spacing w:line="360" w:lineRule="auto"/>
        <w:rPr>
          <w:rFonts w:ascii="Times New Roman" w:hAnsi="Times New Roman" w:eastAsia="宋体" w:cs="Times New Roman"/>
          <w:sz w:val="24"/>
        </w:rPr>
      </w:pPr>
      <w:r>
        <w:rPr>
          <w:rFonts w:ascii="Times New Roman" w:hAnsi="Times New Roman" w:eastAsia="宋体" w:cs="Times New Roman"/>
          <w:sz w:val="24"/>
        </w:rPr>
        <w:t>患者服务：支持对门急诊、住院患者的就诊信息（挂号方式、候诊科室、看诊医生、入院登记时间、入院时间、入院病区等）进行数据集成。</w:t>
      </w:r>
    </w:p>
    <w:p>
      <w:pPr>
        <w:pStyle w:val="91"/>
        <w:numPr>
          <w:ilvl w:val="0"/>
          <w:numId w:val="74"/>
        </w:numPr>
        <w:spacing w:line="360" w:lineRule="auto"/>
        <w:rPr>
          <w:rFonts w:ascii="Times New Roman" w:hAnsi="Times New Roman" w:eastAsia="宋体" w:cs="Times New Roman"/>
          <w:sz w:val="24"/>
        </w:rPr>
      </w:pPr>
      <w:r>
        <w:rPr>
          <w:rFonts w:ascii="Times New Roman" w:hAnsi="Times New Roman" w:eastAsia="宋体" w:cs="Times New Roman"/>
          <w:sz w:val="24"/>
        </w:rPr>
        <w:t>门诊处方：支持对门急诊患者的处方信息（用药、治疗、检查、检验等）进行数据集成。</w:t>
      </w:r>
    </w:p>
    <w:p>
      <w:pPr>
        <w:pStyle w:val="91"/>
        <w:numPr>
          <w:ilvl w:val="0"/>
          <w:numId w:val="74"/>
        </w:numPr>
        <w:spacing w:line="360" w:lineRule="auto"/>
        <w:rPr>
          <w:rFonts w:ascii="Times New Roman" w:hAnsi="Times New Roman" w:eastAsia="宋体" w:cs="Times New Roman"/>
          <w:sz w:val="24"/>
        </w:rPr>
      </w:pPr>
      <w:r>
        <w:rPr>
          <w:rFonts w:ascii="Times New Roman" w:hAnsi="Times New Roman" w:eastAsia="宋体" w:cs="Times New Roman"/>
          <w:sz w:val="24"/>
        </w:rPr>
        <w:t>临床诊断：支持对门急诊、住院患者的中西医诊断信息（门诊诊断、入院诊断、出院诊断等）进行数据集成。</w:t>
      </w:r>
    </w:p>
    <w:p>
      <w:pPr>
        <w:pStyle w:val="91"/>
        <w:numPr>
          <w:ilvl w:val="0"/>
          <w:numId w:val="74"/>
        </w:numPr>
        <w:spacing w:line="360" w:lineRule="auto"/>
        <w:rPr>
          <w:rFonts w:ascii="Times New Roman" w:hAnsi="Times New Roman" w:eastAsia="宋体" w:cs="Times New Roman"/>
          <w:sz w:val="24"/>
        </w:rPr>
      </w:pPr>
      <w:r>
        <w:rPr>
          <w:rFonts w:ascii="Times New Roman" w:hAnsi="Times New Roman" w:eastAsia="宋体" w:cs="Times New Roman"/>
          <w:sz w:val="24"/>
        </w:rPr>
        <w:t>住院病历：支持对住院患者的病历进行数据集成。支持病历非结构化数据、半结构化数据存储。</w:t>
      </w:r>
    </w:p>
    <w:p>
      <w:pPr>
        <w:pStyle w:val="91"/>
        <w:numPr>
          <w:ilvl w:val="0"/>
          <w:numId w:val="74"/>
        </w:numPr>
        <w:spacing w:line="360" w:lineRule="auto"/>
        <w:rPr>
          <w:rFonts w:ascii="Times New Roman" w:hAnsi="Times New Roman" w:eastAsia="宋体" w:cs="Times New Roman"/>
          <w:sz w:val="24"/>
        </w:rPr>
      </w:pPr>
      <w:r>
        <w:rPr>
          <w:rFonts w:ascii="Times New Roman" w:hAnsi="Times New Roman" w:eastAsia="宋体" w:cs="Times New Roman"/>
          <w:sz w:val="24"/>
        </w:rPr>
        <w:t>住院医嘱：支持对住院患者的医嘱信息（长期医嘱、临时医嘱）进行数据集成。</w:t>
      </w:r>
    </w:p>
    <w:p>
      <w:pPr>
        <w:pStyle w:val="91"/>
        <w:numPr>
          <w:ilvl w:val="0"/>
          <w:numId w:val="74"/>
        </w:numPr>
        <w:spacing w:line="360" w:lineRule="auto"/>
        <w:rPr>
          <w:rFonts w:ascii="Times New Roman" w:hAnsi="Times New Roman" w:eastAsia="宋体" w:cs="Times New Roman"/>
          <w:sz w:val="24"/>
        </w:rPr>
      </w:pPr>
      <w:r>
        <w:rPr>
          <w:rFonts w:ascii="Times New Roman" w:hAnsi="Times New Roman" w:eastAsia="宋体" w:cs="Times New Roman"/>
          <w:sz w:val="24"/>
        </w:rPr>
        <w:t>通用报告：支持对门急诊、住院患者的检查报告（检查所见、检查所得、检查结论）进行数据集成。</w:t>
      </w:r>
    </w:p>
    <w:p>
      <w:pPr>
        <w:pStyle w:val="91"/>
        <w:numPr>
          <w:ilvl w:val="0"/>
          <w:numId w:val="74"/>
        </w:numPr>
        <w:spacing w:line="360" w:lineRule="auto"/>
        <w:rPr>
          <w:rFonts w:ascii="Times New Roman" w:hAnsi="Times New Roman" w:eastAsia="宋体" w:cs="Times New Roman"/>
          <w:sz w:val="24"/>
        </w:rPr>
      </w:pPr>
      <w:r>
        <w:rPr>
          <w:rFonts w:ascii="Times New Roman" w:hAnsi="Times New Roman" w:eastAsia="宋体" w:cs="Times New Roman"/>
          <w:sz w:val="24"/>
        </w:rPr>
        <w:t>手麻记录：支持对住院患者手术麻醉信息（手术记录、麻醉记录、手术中的输血、用药、基本生命体征、麻醉事件）进行数据集成。</w:t>
      </w:r>
    </w:p>
    <w:p>
      <w:pPr>
        <w:pStyle w:val="91"/>
        <w:numPr>
          <w:ilvl w:val="0"/>
          <w:numId w:val="74"/>
        </w:numPr>
        <w:spacing w:line="360" w:lineRule="auto"/>
        <w:rPr>
          <w:rFonts w:ascii="Times New Roman" w:hAnsi="Times New Roman" w:eastAsia="宋体" w:cs="Times New Roman"/>
          <w:sz w:val="24"/>
        </w:rPr>
      </w:pPr>
      <w:r>
        <w:rPr>
          <w:rFonts w:ascii="Times New Roman" w:hAnsi="Times New Roman" w:eastAsia="宋体" w:cs="Times New Roman"/>
          <w:sz w:val="24"/>
        </w:rPr>
        <w:t>门诊病历：支持对门急诊患者的病历进行数据集成。</w:t>
      </w:r>
    </w:p>
    <w:p>
      <w:pPr>
        <w:pStyle w:val="91"/>
        <w:numPr>
          <w:ilvl w:val="0"/>
          <w:numId w:val="74"/>
        </w:numPr>
        <w:spacing w:line="360" w:lineRule="auto"/>
        <w:rPr>
          <w:rFonts w:ascii="Times New Roman" w:hAnsi="Times New Roman" w:eastAsia="宋体" w:cs="Times New Roman"/>
          <w:sz w:val="24"/>
        </w:rPr>
      </w:pPr>
      <w:r>
        <w:rPr>
          <w:rFonts w:ascii="Times New Roman" w:hAnsi="Times New Roman" w:eastAsia="宋体" w:cs="Times New Roman"/>
          <w:sz w:val="24"/>
        </w:rPr>
        <w:t>体征记录：支持对住院患者体温单中的症状体征信息进行数据集成。</w:t>
      </w:r>
    </w:p>
    <w:p>
      <w:pPr>
        <w:pStyle w:val="91"/>
        <w:numPr>
          <w:ilvl w:val="0"/>
          <w:numId w:val="74"/>
        </w:numPr>
        <w:spacing w:line="360" w:lineRule="auto"/>
        <w:rPr>
          <w:rFonts w:ascii="Times New Roman" w:hAnsi="Times New Roman" w:eastAsia="宋体" w:cs="Times New Roman"/>
          <w:sz w:val="24"/>
        </w:rPr>
      </w:pPr>
      <w:r>
        <w:rPr>
          <w:rFonts w:ascii="Times New Roman" w:hAnsi="Times New Roman" w:eastAsia="宋体" w:cs="Times New Roman"/>
          <w:sz w:val="24"/>
        </w:rPr>
        <w:t>检验报告：支持对门急诊、住院患者的实验室检验信息（项目名称、检验结果、单位、参考值和趋势）进行数据集成。</w:t>
      </w:r>
    </w:p>
    <w:p>
      <w:pPr>
        <w:pStyle w:val="91"/>
        <w:numPr>
          <w:ilvl w:val="0"/>
          <w:numId w:val="74"/>
        </w:numPr>
        <w:spacing w:line="360" w:lineRule="auto"/>
        <w:rPr>
          <w:rFonts w:ascii="Times New Roman" w:hAnsi="Times New Roman" w:eastAsia="宋体" w:cs="Times New Roman"/>
          <w:sz w:val="24"/>
        </w:rPr>
      </w:pPr>
      <w:r>
        <w:rPr>
          <w:rFonts w:ascii="Times New Roman" w:hAnsi="Times New Roman" w:eastAsia="宋体" w:cs="Times New Roman"/>
          <w:sz w:val="24"/>
        </w:rPr>
        <w:t>PACS报告：对门急诊、住院患者的全数字化医学影像检查报告（CR、DR、CT、MRI、DSA、ECT、PET、B 超、内镜等影像设备产生的报告信息包括检查所见、检查所得、检查结论）进行数据集成。</w:t>
      </w:r>
    </w:p>
    <w:p>
      <w:pPr>
        <w:pStyle w:val="91"/>
        <w:numPr>
          <w:ilvl w:val="0"/>
          <w:numId w:val="74"/>
        </w:numPr>
        <w:spacing w:line="360" w:lineRule="auto"/>
        <w:rPr>
          <w:rFonts w:ascii="Times New Roman" w:hAnsi="Times New Roman" w:eastAsia="宋体" w:cs="Times New Roman"/>
          <w:sz w:val="24"/>
        </w:rPr>
      </w:pPr>
      <w:r>
        <w:rPr>
          <w:rFonts w:ascii="Times New Roman" w:hAnsi="Times New Roman" w:eastAsia="宋体" w:cs="Times New Roman"/>
          <w:sz w:val="24"/>
        </w:rPr>
        <w:t>电生理报告：对门急诊、住院患者的电生理检查报告（心电图、脑电图、肌电图、视网膜电图、听觉诱发电位）进行数据集成。</w:t>
      </w:r>
    </w:p>
    <w:p>
      <w:pPr>
        <w:pStyle w:val="91"/>
        <w:numPr>
          <w:ilvl w:val="0"/>
          <w:numId w:val="74"/>
        </w:numPr>
        <w:spacing w:line="360" w:lineRule="auto"/>
        <w:rPr>
          <w:rFonts w:ascii="Times New Roman" w:hAnsi="Times New Roman" w:eastAsia="宋体" w:cs="Times New Roman"/>
          <w:sz w:val="24"/>
        </w:rPr>
      </w:pPr>
      <w:r>
        <w:rPr>
          <w:rFonts w:ascii="Times New Roman" w:hAnsi="Times New Roman" w:eastAsia="宋体" w:cs="Times New Roman"/>
          <w:sz w:val="24"/>
        </w:rPr>
        <w:t>病理报告：对住院患者的病理检查报告(检查所见、病理诊断）进行数据集成。</w:t>
      </w:r>
    </w:p>
    <w:p>
      <w:pPr>
        <w:pStyle w:val="7"/>
        <w:numPr>
          <w:ilvl w:val="5"/>
          <w:numId w:val="10"/>
        </w:numPr>
      </w:pPr>
      <w:r>
        <w:t>CDR应用-患者360视图</w:t>
      </w:r>
    </w:p>
    <w:p>
      <w:pPr>
        <w:spacing w:after="156" w:afterLines="50"/>
        <w:ind w:firstLine="480" w:firstLineChars="20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建立以患者为中心的临床信息统一视图，包括患者的基本信息、历次就诊记录、检查、检验、用药、手术、病历等信息；针对患者信息进行连续管理，为医生提供统一的患者临床信息视图浏览，并提供界面调阅服务，支持实时智能检索，以辅助医生直观、快速了解患者治疗方案，提高诊疗质量和效率。</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1、就诊时间轴</w:t>
      </w:r>
    </w:p>
    <w:p>
      <w:pPr>
        <w:numPr>
          <w:ilvl w:val="0"/>
          <w:numId w:val="75"/>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支持按就诊时间轴展示患者门急诊、住院和体检就诊情况；</w:t>
      </w:r>
    </w:p>
    <w:p>
      <w:pPr>
        <w:numPr>
          <w:ilvl w:val="0"/>
          <w:numId w:val="75"/>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支持通过概览形式展示患者历次就诊资料情况；</w:t>
      </w:r>
    </w:p>
    <w:p>
      <w:pPr>
        <w:numPr>
          <w:ilvl w:val="0"/>
          <w:numId w:val="75"/>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支持详细临床资料查看；</w:t>
      </w:r>
    </w:p>
    <w:p>
      <w:pPr>
        <w:numPr>
          <w:ilvl w:val="0"/>
          <w:numId w:val="75"/>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支持按医生诊疗需要单独查看门急诊、住院或体检类别的就诊记录；</w:t>
      </w:r>
    </w:p>
    <w:p>
      <w:pPr>
        <w:numPr>
          <w:ilvl w:val="0"/>
          <w:numId w:val="75"/>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支持本科室就诊记录筛选；</w:t>
      </w:r>
    </w:p>
    <w:p>
      <w:pPr>
        <w:numPr>
          <w:ilvl w:val="0"/>
          <w:numId w:val="75"/>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▲多维浏览：支持就诊时间维度和临床资料维度切换查看。</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  要求在多维浏览界面提供时间维度和临床资料维度切换的截图证明。    </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2、关注患者</w:t>
      </w:r>
    </w:p>
    <w:p>
      <w:pPr>
        <w:numPr>
          <w:ilvl w:val="0"/>
          <w:numId w:val="7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支持临床医生、护士关注重点患者；</w:t>
      </w:r>
    </w:p>
    <w:p>
      <w:pPr>
        <w:numPr>
          <w:ilvl w:val="0"/>
          <w:numId w:val="7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支持实现重点患者跟踪分组功能；</w:t>
      </w:r>
    </w:p>
    <w:p>
      <w:pPr>
        <w:numPr>
          <w:ilvl w:val="0"/>
          <w:numId w:val="7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支持集中浏览关注患者列表；</w:t>
      </w:r>
    </w:p>
    <w:p>
      <w:pPr>
        <w:numPr>
          <w:ilvl w:val="0"/>
          <w:numId w:val="7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支持快捷查看患者详细资料信息。</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3、关键指标</w:t>
      </w:r>
    </w:p>
    <w:p>
      <w:pPr>
        <w:numPr>
          <w:ilvl w:val="0"/>
          <w:numId w:val="77"/>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支持医生根据疾病、病情跟踪需要自定义创建关键检验指标分组；</w:t>
      </w:r>
    </w:p>
    <w:p>
      <w:pPr>
        <w:numPr>
          <w:ilvl w:val="0"/>
          <w:numId w:val="77"/>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支持原始报告跳转、趋势查看；</w:t>
      </w:r>
    </w:p>
    <w:p>
      <w:pPr>
        <w:numPr>
          <w:ilvl w:val="0"/>
          <w:numId w:val="77"/>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▲支持关键指标组的科室内分享；</w:t>
      </w:r>
    </w:p>
    <w:p>
      <w:pPr>
        <w:numPr>
          <w:ilvl w:val="0"/>
          <w:numId w:val="77"/>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▲支持引用其他医生分享的组。</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要求在指标管理界面提供指标分享与引用其他医生分享的截图证明。</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4、检查报告</w:t>
      </w:r>
    </w:p>
    <w:p>
      <w:pPr>
        <w:numPr>
          <w:ilvl w:val="0"/>
          <w:numId w:val="78"/>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支持按照时间轴将患者历次检查报告进行展示；</w:t>
      </w:r>
    </w:p>
    <w:p>
      <w:pPr>
        <w:numPr>
          <w:ilvl w:val="0"/>
          <w:numId w:val="78"/>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支持按报告类别进行筛选；</w:t>
      </w:r>
    </w:p>
    <w:p>
      <w:pPr>
        <w:numPr>
          <w:ilvl w:val="0"/>
          <w:numId w:val="78"/>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支持文字报告及对应图像信息的查看操作；</w:t>
      </w:r>
    </w:p>
    <w:p>
      <w:pPr>
        <w:numPr>
          <w:ilvl w:val="0"/>
          <w:numId w:val="78"/>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支持原始报告查看功能；</w:t>
      </w:r>
    </w:p>
    <w:p>
      <w:pPr>
        <w:numPr>
          <w:ilvl w:val="0"/>
          <w:numId w:val="78"/>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支持与知识库对接实现检查结论关键词自动标记；</w:t>
      </w:r>
    </w:p>
    <w:p>
      <w:pPr>
        <w:numPr>
          <w:ilvl w:val="0"/>
          <w:numId w:val="78"/>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支持标记内容查看临床症状、临床表现意义；</w:t>
      </w:r>
    </w:p>
    <w:p>
      <w:pPr>
        <w:numPr>
          <w:ilvl w:val="0"/>
          <w:numId w:val="78"/>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支持按照不同报告类别定义报告展示内容。</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5、检验报告</w:t>
      </w:r>
    </w:p>
    <w:p>
      <w:pPr>
        <w:numPr>
          <w:ilvl w:val="0"/>
          <w:numId w:val="79"/>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支持按照时间轴将患者历次常规检验、微生物检验报告进行集中展示；</w:t>
      </w:r>
    </w:p>
    <w:p>
      <w:pPr>
        <w:numPr>
          <w:ilvl w:val="0"/>
          <w:numId w:val="79"/>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支持按报告类别快捷筛选，对检验异常结果有明显的高低标识；</w:t>
      </w:r>
    </w:p>
    <w:p>
      <w:pPr>
        <w:numPr>
          <w:ilvl w:val="0"/>
          <w:numId w:val="79"/>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支持结果本次就诊、近三次就诊、全部就诊趋势查看；</w:t>
      </w:r>
    </w:p>
    <w:p>
      <w:pPr>
        <w:numPr>
          <w:ilvl w:val="0"/>
          <w:numId w:val="79"/>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支持原始报告详细查看；</w:t>
      </w:r>
    </w:p>
    <w:p>
      <w:pPr>
        <w:numPr>
          <w:ilvl w:val="0"/>
          <w:numId w:val="79"/>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支持浏览检验报告快捷收藏检验指标功能、可集中浏览关键指标；</w:t>
      </w:r>
    </w:p>
    <w:p>
      <w:pPr>
        <w:numPr>
          <w:ilvl w:val="0"/>
          <w:numId w:val="79"/>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支持与知识库对接实现检验结果指标临床意义、注意事项、检验过程、参考值范围、处理建议查看。</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6、病历资料</w:t>
      </w:r>
    </w:p>
    <w:p>
      <w:pPr>
        <w:numPr>
          <w:ilvl w:val="0"/>
          <w:numId w:val="80"/>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支持患者门诊、住院病历资料的集中展示，如包括入院记录、病程记录、查房、出院小结；</w:t>
      </w:r>
    </w:p>
    <w:p>
      <w:pPr>
        <w:numPr>
          <w:ilvl w:val="0"/>
          <w:numId w:val="80"/>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支持按照就诊记录切换；</w:t>
      </w:r>
    </w:p>
    <w:p>
      <w:pPr>
        <w:numPr>
          <w:ilvl w:val="0"/>
          <w:numId w:val="80"/>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支持文本段数据、PDF、JPG、HTML形式展示；</w:t>
      </w:r>
    </w:p>
    <w:p>
      <w:pPr>
        <w:numPr>
          <w:ilvl w:val="0"/>
          <w:numId w:val="80"/>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根据不同角色可以控制访问不同类型病历； </w:t>
      </w:r>
    </w:p>
    <w:p>
      <w:pPr>
        <w:numPr>
          <w:ilvl w:val="0"/>
          <w:numId w:val="80"/>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支持对已翻拍的临床资料文书的集中浏览；</w:t>
      </w:r>
    </w:p>
    <w:p>
      <w:pPr>
        <w:numPr>
          <w:ilvl w:val="0"/>
          <w:numId w:val="80"/>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支持病历详细内容查看。</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7、住院医嘱</w:t>
      </w:r>
    </w:p>
    <w:p>
      <w:pPr>
        <w:numPr>
          <w:ilvl w:val="0"/>
          <w:numId w:val="81"/>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支持展示患者历次诊疗的医嘱信息查看；</w:t>
      </w:r>
    </w:p>
    <w:p>
      <w:pPr>
        <w:numPr>
          <w:ilvl w:val="0"/>
          <w:numId w:val="81"/>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支持按医嘱类别长期、临时、有效查看；</w:t>
      </w:r>
    </w:p>
    <w:p>
      <w:pPr>
        <w:numPr>
          <w:ilvl w:val="0"/>
          <w:numId w:val="81"/>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支持药品、检验、检查、输血、手术、治疗、护理、膳食、其他医嘱类型筛选；</w:t>
      </w:r>
    </w:p>
    <w:p>
      <w:pPr>
        <w:numPr>
          <w:ilvl w:val="0"/>
          <w:numId w:val="81"/>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支持按照日期筛选；</w:t>
      </w:r>
    </w:p>
    <w:p>
      <w:pPr>
        <w:numPr>
          <w:ilvl w:val="0"/>
          <w:numId w:val="81"/>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支持按项目或药品名称快速搜索定位功能；</w:t>
      </w:r>
    </w:p>
    <w:p>
      <w:pPr>
        <w:numPr>
          <w:ilvl w:val="0"/>
          <w:numId w:val="81"/>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支持抗生素医嘱的过滤；</w:t>
      </w:r>
    </w:p>
    <w:p>
      <w:pPr>
        <w:numPr>
          <w:ilvl w:val="0"/>
          <w:numId w:val="81"/>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支持与知识库对接查看药品的成份、适应症、用法用量、不良反应、禁忌、注意事项、药物相互作用、药理作用信息。</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8、手术麻醉记录</w:t>
      </w:r>
    </w:p>
    <w:p>
      <w:pPr>
        <w:numPr>
          <w:ilvl w:val="0"/>
          <w:numId w:val="82"/>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支持患者历次手术、麻醉记录内容集中展示；</w:t>
      </w:r>
    </w:p>
    <w:p>
      <w:pPr>
        <w:numPr>
          <w:ilvl w:val="0"/>
          <w:numId w:val="82"/>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支持手术中的体征信息、用药信息、输血信息展示。</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9、门诊处方</w:t>
      </w:r>
    </w:p>
    <w:p>
      <w:pPr>
        <w:numPr>
          <w:ilvl w:val="0"/>
          <w:numId w:val="83"/>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支持患者历次就诊的门诊处方（用药、治疗、检查、检验等）信息查看；</w:t>
      </w:r>
    </w:p>
    <w:p>
      <w:pPr>
        <w:numPr>
          <w:ilvl w:val="0"/>
          <w:numId w:val="83"/>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支持按项目或药品名称快速搜索定位功能。</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10、过敏信息</w:t>
      </w:r>
    </w:p>
    <w:p>
      <w:pPr>
        <w:spacing w:after="156" w:afterLines="50"/>
        <w:ind w:firstLine="480" w:firstLineChars="20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支持按照过敏源分类、过敏信息采集时间集中展示患者的历史过敏记录，展示过敏源分类、过敏结果、发生时间信息。</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11、临床诊断</w:t>
      </w:r>
    </w:p>
    <w:p>
      <w:pPr>
        <w:spacing w:after="156" w:afterLines="50"/>
        <w:ind w:firstLine="480" w:firstLineChars="20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支持患者历次就诊的诊断信息集中展示，有明确标识突出主诊断信息。</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12、输血记录</w:t>
      </w:r>
    </w:p>
    <w:p>
      <w:pPr>
        <w:spacing w:after="156" w:afterLines="50"/>
        <w:ind w:firstLine="480" w:firstLineChars="20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患者历次输血申请的配发血信息、血型鉴定信息、输血信息、输血过程中发生的不良反应信息集中展示。</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13、授权</w:t>
      </w:r>
    </w:p>
    <w:p>
      <w:pPr>
        <w:numPr>
          <w:ilvl w:val="0"/>
          <w:numId w:val="84"/>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支持按角色对用户授权，保障临床资料访问的安全；</w:t>
      </w:r>
    </w:p>
    <w:p>
      <w:pPr>
        <w:numPr>
          <w:ilvl w:val="0"/>
          <w:numId w:val="84"/>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支持按角色需求设置临床模块的显示顺序；</w:t>
      </w:r>
    </w:p>
    <w:p>
      <w:pPr>
        <w:numPr>
          <w:ilvl w:val="0"/>
          <w:numId w:val="84"/>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支持按角色设置可访问的检查报告类型；</w:t>
      </w:r>
    </w:p>
    <w:p>
      <w:pPr>
        <w:numPr>
          <w:ilvl w:val="0"/>
          <w:numId w:val="84"/>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支持按角色设置可访问的检验报告类型；</w:t>
      </w:r>
    </w:p>
    <w:p>
      <w:pPr>
        <w:numPr>
          <w:ilvl w:val="0"/>
          <w:numId w:val="84"/>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▲支持患者指令授权控制，当未经患者授权时，临床医生访问资料将进行提醒。</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  要求提供患者指令授权控制截图证明。</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14、浏览量监控</w:t>
      </w:r>
    </w:p>
    <w:p>
      <w:pPr>
        <w:numPr>
          <w:ilvl w:val="0"/>
          <w:numId w:val="85"/>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支持对用户访问情况监控：今日、昨日、历史累计浏览量趋势分析，支持使用科室数、使用人次、使用人数统计；支持每天使用人次峰值分析；</w:t>
      </w:r>
    </w:p>
    <w:p>
      <w:pPr>
        <w:pStyle w:val="42"/>
        <w:numPr>
          <w:ilvl w:val="0"/>
          <w:numId w:val="85"/>
        </w:numPr>
        <w:snapToGrid/>
        <w:spacing w:after="156" w:afterLines="50"/>
        <w:ind w:firstLineChars="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支持科室浏览量分析，并支持下钻到医生明细；支持不同科室、医生浏览量对比分析；</w:t>
      </w:r>
    </w:p>
    <w:p>
      <w:pPr>
        <w:pStyle w:val="42"/>
        <w:numPr>
          <w:ilvl w:val="0"/>
          <w:numId w:val="85"/>
        </w:numPr>
        <w:snapToGrid/>
        <w:spacing w:after="156" w:afterLines="50"/>
        <w:ind w:firstLineChars="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支持业务客户端访问量的分析，支持临床资料维度访问量的分析。</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15、全景视图</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支持将患者就诊的临床资料分类按诊疗时间轴显示；</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支持按照临床人员的关注重点进行自定义展示；</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支持患者的体征、出入量变化、用药、检查、检验、手术等信息放在同一时间维度上进行对比；</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支持相应检查报告、检验报告、病历资料、用药、过敏信息详细信息的查看；</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▲支持临床视图功能页面模块化，支持业务系统嵌入式调用，实现临床资料精准调阅，包含病历、检验、检查、处方、医嘱、麻醉记录、手术记录、过敏信息、护理文书、诊断、CDA、检查索引、纸质病历模块。</w:t>
      </w:r>
    </w:p>
    <w:p>
      <w:pPr>
        <w:spacing w:after="156" w:afterLines="50"/>
        <w:ind w:firstLine="480" w:firstLineChars="20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要求在业务系统界面提供嵌入360视图截图证明。</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17、隐私保护</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病人信息隐私保护：支持患者数据隐私保护，支持通过后台灵活配置来对患者基本信息字段如患者姓名、手机号、身份证号、联系地址、联系人、联系人地址、卡号、病历号等进行选择性脱敏处理，并支持脱敏快捷开启和关闭；</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     要求提供患者信息隐私设置及脱敏显示截图证明。</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检验结果敏感项目隐私保护：支持按角色对检验结果敏感项目隐私处理，如HIV、梅毒等敏感结果，当设置隐私脱敏后，当前角色人员将无权限查看脱敏项目，敏感项目在报告中将不再显示；支持脱敏功能快捷开启和关闭；支持按照检验项目名称快捷检索需要脱敏的项目；针对不同类型报告可根据角色进行授权访问。</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 xml:space="preserve">     要求提供患者检验项目隐私设置的截图证明。</w:t>
      </w:r>
    </w:p>
    <w:p>
      <w:pPr>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18、CDA文档</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支持院内互联互通CDA共享文档的集中展示，并支持文档类别筛选功能；同时支持业务系统碎片化嵌入调阅。</w:t>
      </w:r>
    </w:p>
    <w:p>
      <w:pPr>
        <w:numPr>
          <w:ilvl w:val="0"/>
          <w:numId w:val="87"/>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检查索引</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支持患者历次就诊检查报告图像集中展示，支持按照报告类别进行筛选。</w:t>
      </w:r>
    </w:p>
    <w:p>
      <w:pPr>
        <w:numPr>
          <w:ilvl w:val="0"/>
          <w:numId w:val="87"/>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患者搜索</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支持按照患者姓名、身份证号、病历号、院内卡号、医保卡号、联系电话进行快捷搜索，支持下钻查看患者详细临床资料。</w:t>
      </w:r>
    </w:p>
    <w:p>
      <w:pPr>
        <w:pStyle w:val="7"/>
        <w:numPr>
          <w:ilvl w:val="5"/>
          <w:numId w:val="10"/>
        </w:numPr>
      </w:pPr>
      <w:r>
        <w:rPr>
          <w:rFonts w:hint="eastAsia"/>
        </w:rPr>
        <w:t>C</w:t>
      </w:r>
      <w:r>
        <w:t>DSS知识库</w:t>
      </w:r>
    </w:p>
    <w:p>
      <w:pPr>
        <w:ind w:firstLine="480"/>
        <w:rPr>
          <w:rFonts w:ascii="Times New Roman" w:hAnsi="Times New Roman" w:eastAsia="宋体" w:cs="Times New Roman"/>
          <w:szCs w:val="24"/>
        </w:rPr>
      </w:pPr>
      <w:r>
        <w:rPr>
          <w:rFonts w:ascii="Times New Roman" w:hAnsi="Times New Roman" w:eastAsia="宋体" w:cs="Times New Roman"/>
          <w:szCs w:val="24"/>
        </w:rPr>
        <w:t>要求对接内容至少包含：</w:t>
      </w:r>
    </w:p>
    <w:p>
      <w:pPr>
        <w:ind w:firstLine="420"/>
        <w:rPr>
          <w:rFonts w:ascii="Times New Roman" w:hAnsi="Times New Roman" w:eastAsia="宋体" w:cs="Times New Roman"/>
          <w:szCs w:val="24"/>
        </w:rPr>
      </w:pPr>
      <w:r>
        <w:rPr>
          <w:rFonts w:ascii="Times New Roman" w:hAnsi="Times New Roman" w:eastAsia="宋体" w:cs="Times New Roman"/>
          <w:szCs w:val="24"/>
        </w:rPr>
        <w:t>疾病知识：包含不少于9700条疾病知识，常见病种全覆盖。包括流行病学、发病机制、病理、临床表现、诊断、治疗和预防等。</w:t>
      </w:r>
    </w:p>
    <w:p>
      <w:pPr>
        <w:ind w:firstLine="420"/>
        <w:rPr>
          <w:rFonts w:ascii="Times New Roman" w:hAnsi="Times New Roman" w:eastAsia="宋体" w:cs="Times New Roman"/>
          <w:szCs w:val="24"/>
        </w:rPr>
      </w:pPr>
      <w:r>
        <w:rPr>
          <w:rFonts w:ascii="Times New Roman" w:hAnsi="Times New Roman" w:eastAsia="宋体" w:cs="Times New Roman"/>
          <w:szCs w:val="24"/>
        </w:rPr>
        <w:t>典型病例知识：包含不少于3800条典型病例。包含术前讨论、临床决策、治疗过程和临床经验等目录。</w:t>
      </w:r>
    </w:p>
    <w:p>
      <w:pPr>
        <w:ind w:firstLine="420"/>
        <w:rPr>
          <w:rFonts w:ascii="Times New Roman" w:hAnsi="Times New Roman" w:eastAsia="宋体" w:cs="Times New Roman"/>
          <w:szCs w:val="24"/>
        </w:rPr>
      </w:pPr>
      <w:r>
        <w:rPr>
          <w:rFonts w:ascii="Times New Roman" w:hAnsi="Times New Roman" w:eastAsia="宋体" w:cs="Times New Roman"/>
          <w:szCs w:val="24"/>
        </w:rPr>
        <w:t>药品知识：包含不少于50000条药物信息、不少于2500例用药分析案例、不少于5000对药物相互作用分析。</w:t>
      </w:r>
    </w:p>
    <w:p>
      <w:pPr>
        <w:ind w:firstLine="420"/>
        <w:rPr>
          <w:rFonts w:ascii="Times New Roman" w:hAnsi="Times New Roman" w:eastAsia="宋体" w:cs="Times New Roman"/>
          <w:szCs w:val="24"/>
        </w:rPr>
      </w:pPr>
      <w:r>
        <w:rPr>
          <w:rFonts w:ascii="Times New Roman" w:hAnsi="Times New Roman" w:eastAsia="宋体" w:cs="Times New Roman"/>
          <w:szCs w:val="24"/>
        </w:rPr>
        <w:t>检验知识：包含不少于2100条检验知识库内容。</w:t>
      </w:r>
    </w:p>
    <w:p>
      <w:pPr>
        <w:ind w:firstLine="420"/>
        <w:rPr>
          <w:rFonts w:ascii="Times New Roman" w:hAnsi="Times New Roman" w:eastAsia="宋体" w:cs="Times New Roman"/>
          <w:szCs w:val="24"/>
        </w:rPr>
      </w:pPr>
      <w:r>
        <w:rPr>
          <w:rFonts w:ascii="Times New Roman" w:hAnsi="Times New Roman" w:eastAsia="宋体" w:cs="Times New Roman"/>
          <w:szCs w:val="24"/>
        </w:rPr>
        <w:t>检查知识：包含不少于1300条检查知识库内容。</w:t>
      </w:r>
    </w:p>
    <w:p>
      <w:pPr>
        <w:ind w:firstLine="420"/>
        <w:rPr>
          <w:rFonts w:ascii="Times New Roman" w:hAnsi="Times New Roman" w:eastAsia="宋体" w:cs="Times New Roman"/>
          <w:szCs w:val="24"/>
        </w:rPr>
      </w:pPr>
      <w:r>
        <w:rPr>
          <w:rFonts w:ascii="Times New Roman" w:hAnsi="Times New Roman" w:eastAsia="宋体" w:cs="Times New Roman"/>
          <w:szCs w:val="24"/>
        </w:rPr>
        <w:t>法律法规知识：包含不少于700条医学法律法规知识库内容。</w:t>
      </w:r>
    </w:p>
    <w:p>
      <w:pPr>
        <w:ind w:firstLine="420"/>
        <w:rPr>
          <w:rFonts w:ascii="Times New Roman" w:hAnsi="Times New Roman" w:eastAsia="宋体" w:cs="Times New Roman"/>
          <w:szCs w:val="24"/>
        </w:rPr>
      </w:pPr>
      <w:r>
        <w:rPr>
          <w:rFonts w:ascii="Times New Roman" w:hAnsi="Times New Roman" w:eastAsia="宋体" w:cs="Times New Roman"/>
          <w:szCs w:val="24"/>
        </w:rPr>
        <w:t>医疗损害防范案例知识：包含不少于350条医疗损害防范案例知识库内容。</w:t>
      </w:r>
    </w:p>
    <w:p>
      <w:pPr>
        <w:ind w:firstLine="420"/>
        <w:rPr>
          <w:rFonts w:ascii="Times New Roman" w:hAnsi="Times New Roman" w:eastAsia="宋体" w:cs="Times New Roman"/>
        </w:rPr>
      </w:pPr>
      <w:r>
        <w:rPr>
          <w:rFonts w:ascii="Times New Roman" w:hAnsi="Times New Roman" w:eastAsia="宋体" w:cs="Times New Roman"/>
          <w:szCs w:val="24"/>
        </w:rPr>
        <w:t>支持医患沟通知识：包含不少于1300条医患沟通知识库内容。</w:t>
      </w:r>
    </w:p>
    <w:p>
      <w:pPr>
        <w:pStyle w:val="7"/>
        <w:numPr>
          <w:ilvl w:val="5"/>
          <w:numId w:val="10"/>
        </w:numPr>
      </w:pPr>
      <w:r>
        <w:rPr>
          <w:rFonts w:hint="eastAsia"/>
        </w:rPr>
        <w:t>C</w:t>
      </w:r>
      <w:r>
        <w:t>DSS临床辅助决策支持</w:t>
      </w:r>
    </w:p>
    <w:p>
      <w:pPr>
        <w:pStyle w:val="8"/>
        <w:numPr>
          <w:ilvl w:val="6"/>
          <w:numId w:val="88"/>
        </w:numPr>
        <w:ind w:left="0" w:firstLine="0"/>
      </w:pPr>
      <w:r>
        <w:t>知识审批与发布管理</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支持审批角色、发布角色权限维护；</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支持自定义知识审批、发布管理；</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支持自定义知识启用、停用管理。</w:t>
      </w:r>
    </w:p>
    <w:p>
      <w:pPr>
        <w:pStyle w:val="8"/>
        <w:numPr>
          <w:ilvl w:val="6"/>
          <w:numId w:val="88"/>
        </w:numPr>
        <w:ind w:left="0" w:firstLine="0"/>
      </w:pPr>
      <w:r>
        <w:t>自定义静态知识管理</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支持用户自定义静态医学知识、知识文档文献、医疗法律法规等内容的更新上传。</w:t>
      </w:r>
    </w:p>
    <w:p>
      <w:pPr>
        <w:pStyle w:val="8"/>
        <w:numPr>
          <w:ilvl w:val="6"/>
          <w:numId w:val="88"/>
        </w:numPr>
        <w:ind w:left="0" w:firstLine="0"/>
      </w:pPr>
      <w:r>
        <w:t>智能诊疗推荐</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支持基于NLP自然语言处理技术进行实体识别、特征提取；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支持基于知识图谱进行诊疗辅助内容推荐。</w:t>
      </w:r>
    </w:p>
    <w:p>
      <w:pPr>
        <w:pStyle w:val="8"/>
        <w:numPr>
          <w:ilvl w:val="6"/>
          <w:numId w:val="88"/>
        </w:numPr>
        <w:ind w:left="0" w:firstLine="0"/>
      </w:pPr>
      <w:r>
        <w:t>智能医嘱提醒</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▲知识提示：支持针对开立药品、检查、检验、手术项目信息时，给予关键信息提示；</w:t>
      </w:r>
    </w:p>
    <w:p>
      <w:pPr>
        <w:ind w:firstLine="480" w:firstLineChars="200"/>
        <w:rPr>
          <w:rFonts w:ascii="Times New Roman" w:hAnsi="Times New Roman" w:eastAsia="宋体" w:cs="Times New Roman"/>
          <w:szCs w:val="24"/>
        </w:rPr>
      </w:pPr>
      <w:r>
        <w:rPr>
          <w:rFonts w:ascii="Times New Roman" w:hAnsi="Times New Roman" w:eastAsia="宋体" w:cs="Times New Roman"/>
          <w:szCs w:val="24"/>
        </w:rPr>
        <w:t>要求医嘱录入界面提供截图证明。</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▲药品合理性校验：支持基于系统药品-诊断合理性、药品相互作用等知识体系，结合现有合理用药系统，提供相应的临床用药辅助决策；</w:t>
      </w:r>
    </w:p>
    <w:p>
      <w:pPr>
        <w:ind w:firstLine="480" w:firstLineChars="200"/>
        <w:rPr>
          <w:rFonts w:ascii="Times New Roman" w:hAnsi="Times New Roman" w:eastAsia="宋体" w:cs="Times New Roman"/>
          <w:szCs w:val="24"/>
        </w:rPr>
      </w:pPr>
      <w:r>
        <w:rPr>
          <w:rFonts w:ascii="Times New Roman" w:hAnsi="Times New Roman" w:eastAsia="宋体" w:cs="Times New Roman"/>
          <w:szCs w:val="24"/>
        </w:rPr>
        <w:t>要求医嘱录入界面提供截图证明。</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手术辅助决策：支持基于系统手术禁忌等相关知识体系，辅助临床加强对患者围手术期的管理；</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▲检查检验辅助决策：支持基于系统检查检验禁忌等相关知识体系，对医生开立的检查检验申请单的合理性、指标等进行判断或提示，规范临床检查检验的流程；</w:t>
      </w:r>
    </w:p>
    <w:p>
      <w:pPr>
        <w:ind w:firstLine="480" w:firstLineChars="200"/>
        <w:rPr>
          <w:rFonts w:ascii="Times New Roman" w:hAnsi="Times New Roman" w:eastAsia="宋体" w:cs="Times New Roman"/>
          <w:szCs w:val="24"/>
        </w:rPr>
      </w:pPr>
      <w:r>
        <w:rPr>
          <w:rFonts w:ascii="Times New Roman" w:hAnsi="Times New Roman" w:eastAsia="宋体" w:cs="Times New Roman"/>
          <w:szCs w:val="24"/>
        </w:rPr>
        <w:t>要求申请单录入界面提供截图证明。</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用血辅助决策：支持基于系统临床用血相关知识体系，对临床输血申请进行合理性判断及提示，保障临床输血业务的规范及安全；</w:t>
      </w:r>
    </w:p>
    <w:p>
      <w:pPr>
        <w:pStyle w:val="8"/>
        <w:numPr>
          <w:ilvl w:val="6"/>
          <w:numId w:val="88"/>
        </w:numPr>
        <w:ind w:left="0" w:firstLine="0"/>
      </w:pPr>
      <w:r>
        <w:t>临床知识查询</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支持医学静态知识的检索与调阅功能；</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支持查看疾病、症状、药品、检验、检查、手术、治疗、护理、用血、膳食等相关医学静态知识。</w:t>
      </w:r>
    </w:p>
    <w:p>
      <w:pPr>
        <w:pStyle w:val="8"/>
        <w:numPr>
          <w:ilvl w:val="6"/>
          <w:numId w:val="88"/>
        </w:numPr>
        <w:ind w:left="0" w:firstLine="0"/>
      </w:pPr>
      <w:r>
        <w:t>辅助决策引擎</w:t>
      </w:r>
    </w:p>
    <w:p>
      <w:pPr>
        <w:pStyle w:val="63"/>
        <w:numPr>
          <w:ilvl w:val="0"/>
          <w:numId w:val="89"/>
        </w:numPr>
        <w:spacing w:before="46" w:after="93"/>
        <w:ind w:firstLineChars="0"/>
        <w:rPr>
          <w:b/>
        </w:rPr>
      </w:pPr>
      <w:r>
        <w:rPr>
          <w:b/>
        </w:rPr>
        <w:t>路由管理</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路由引擎作为主控处理单元，支持通过路由引擎针对药品、检查、检验、手术、输血等不同的知识体系分配相应的辅助诊疗策略。</w:t>
      </w:r>
    </w:p>
    <w:p>
      <w:pPr>
        <w:pStyle w:val="63"/>
        <w:numPr>
          <w:ilvl w:val="0"/>
          <w:numId w:val="89"/>
        </w:numPr>
        <w:spacing w:before="46" w:after="93"/>
        <w:ind w:firstLineChars="0"/>
        <w:rPr>
          <w:b/>
        </w:rPr>
      </w:pPr>
      <w:r>
        <w:rPr>
          <w:b/>
        </w:rPr>
        <w:t>本体元建模管理</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支持根据病历书写、医嘱开立等临床场景建立相应的本体元；</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支持根据检验检查合理性校验、报告解读等具体的业务需要创建相应的临床业务模型；</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支持根据医院或临床科室的需求快捷构建满足业务需要的临床规则库；</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支持对本体元属性的创建、本体元属性映射；</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支持系统字典查询、更新、映射等管理功能。</w:t>
      </w:r>
    </w:p>
    <w:p>
      <w:pPr>
        <w:pStyle w:val="63"/>
        <w:numPr>
          <w:ilvl w:val="0"/>
          <w:numId w:val="89"/>
        </w:numPr>
        <w:spacing w:before="46" w:after="93"/>
        <w:ind w:firstLineChars="0"/>
        <w:rPr>
          <w:b/>
        </w:rPr>
      </w:pPr>
      <w:r>
        <w:rPr>
          <w:b/>
        </w:rPr>
        <w:t>规则引擎</w:t>
      </w:r>
    </w:p>
    <w:p>
      <w:pPr>
        <w:ind w:firstLine="420"/>
        <w:rPr>
          <w:rFonts w:ascii="Times New Roman" w:hAnsi="Times New Roman" w:eastAsia="宋体" w:cs="Times New Roman"/>
          <w:color w:val="000000"/>
          <w:szCs w:val="24"/>
        </w:rPr>
      </w:pPr>
      <w:r>
        <w:rPr>
          <w:rFonts w:ascii="Times New Roman" w:hAnsi="Times New Roman" w:eastAsia="宋体" w:cs="Times New Roman"/>
          <w:color w:val="000000"/>
          <w:szCs w:val="24"/>
        </w:rPr>
        <w:t>规则引擎应基于RETE算法，基于内存计算，能快速高效的计算匹配结果。要求具备以下功能：</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支持将可规则化的临床知识转换成可用规则；</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支持依据病人临床数据，基于内存计算，引擎快速、高效的自动匹配出当前最合适的结果；</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支持将计算机运算后的动态规则结果转化为临床能够理解的医学专业表达方式。</w:t>
      </w:r>
    </w:p>
    <w:p>
      <w:pPr>
        <w:pStyle w:val="8"/>
        <w:numPr>
          <w:ilvl w:val="6"/>
          <w:numId w:val="88"/>
        </w:numPr>
        <w:ind w:left="0" w:firstLine="0"/>
      </w:pPr>
      <w:r>
        <w:t>知识字典转换映射服务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支持对医院字典及知识字典之间进行转换映射。</w:t>
      </w:r>
    </w:p>
    <w:p>
      <w:pPr>
        <w:pStyle w:val="6"/>
        <w:numPr>
          <w:ilvl w:val="4"/>
          <w:numId w:val="10"/>
        </w:numPr>
      </w:pPr>
      <w:r>
        <w:rPr>
          <w:rFonts w:hint="eastAsia"/>
        </w:rPr>
        <w:t>B</w:t>
      </w:r>
      <w:r>
        <w:t>I</w:t>
      </w:r>
      <w:r>
        <w:rPr>
          <w:rFonts w:hint="eastAsia"/>
        </w:rPr>
        <w:t>-质量指标管理</w:t>
      </w:r>
    </w:p>
    <w:p>
      <w:pPr>
        <w:pStyle w:val="7"/>
        <w:numPr>
          <w:ilvl w:val="5"/>
          <w:numId w:val="10"/>
        </w:numPr>
      </w:pPr>
      <w:r>
        <w:t>质量管理指标</w:t>
      </w:r>
    </w:p>
    <w:p>
      <w:pPr>
        <w:pStyle w:val="8"/>
        <w:numPr>
          <w:ilvl w:val="6"/>
          <w:numId w:val="90"/>
        </w:numPr>
        <w:ind w:left="0" w:firstLine="0"/>
      </w:pPr>
      <w:r>
        <w:t>基本监测指标</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支持住院患者总例数统计；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支持死亡例数统计；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支持当日再住院例数统计；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支持住院费用统计；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支持平均住院日统计；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支持患者总台次统计；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支持手术（或操作）总例数统计；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支持死亡例数统计；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支持非计划再次手术例数统计；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支持非计划再次手术率统计；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支持住院费用统计；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支持术前住院日统计。</w:t>
      </w:r>
    </w:p>
    <w:p>
      <w:pPr>
        <w:pStyle w:val="8"/>
        <w:numPr>
          <w:ilvl w:val="6"/>
          <w:numId w:val="90"/>
        </w:numPr>
        <w:ind w:left="0" w:firstLine="0"/>
      </w:pPr>
      <w:r>
        <w:t>麻醉管理</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支持麻醉科医患比统计；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支持各ASA分级麻醉患者比例统计；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支持急诊非择期麻醉比例统计；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支持各类麻醉方式比例统计；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支持麻醉开始后手术取消率统计；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支持麻醉后监测治疗室（PACU）转出延迟率统计；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支持PACU入室低体温率统计；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支持非计划转入ICU率统计；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支持非计划二次气管插管率统计；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支持麻醉开始后24小时内死亡率统计；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支持麻醉开始后24小时内心跳骤停率统计；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支持术中自体血输注率统计；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支持麻醉期间严重过敏反应发生率统计；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支持椎管内麻醉后严重神经并发症发生率统计；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支持中心静脉穿刺严重并发症发生率统计；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支持全麻气管插管拔管后声音嘶哑发生率统计；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支持麻醉后新发昏迷发生率统计。</w:t>
      </w:r>
    </w:p>
    <w:p>
      <w:pPr>
        <w:pStyle w:val="8"/>
        <w:numPr>
          <w:ilvl w:val="6"/>
          <w:numId w:val="90"/>
        </w:numPr>
        <w:ind w:left="0" w:firstLine="0"/>
      </w:pPr>
      <w:r>
        <w:t>重症医学</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支持ICU患者收治率统计；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支持ICU患者收治床日率统计；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支持急性生理与慢性健康评分（APACHEⅡ评分）≥15分患者收治率统计；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支持感染性休克3h集束化治疗（bundle）完成率统计；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支持感染性休克6h集束化治疗（bundle）完成率统计；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支持ICU抗菌药物治疗前病原学送检率统计；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支持ICU深静脉血栓（DVT）预防率统计；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支持ICU患者预计病死率统计；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支持ICU患者标化病死指数（Standardized Mortality Ratio）统计；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支持ICU非计划气管插管拔管率统计；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支持ICU气管插管拔管后48h内再插管率统计；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支持非计划转入ICU率统计；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支持转出ICU后48h内重返率统计；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支持ICU呼吸机相关性肺炎（VAP）发病率统计；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支持ICU血管内导管相关血流感染（CRBSI）发病率统计；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支持ICU导尿管相关泌尿系感染（CAUTI）发病率统计。</w:t>
      </w:r>
    </w:p>
    <w:p>
      <w:pPr>
        <w:pStyle w:val="8"/>
        <w:numPr>
          <w:ilvl w:val="6"/>
          <w:numId w:val="90"/>
        </w:numPr>
        <w:ind w:left="0" w:firstLine="0"/>
      </w:pPr>
      <w:r>
        <w:t>患者安全管理</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支持住院患者出院当天再住院率统计；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支持患者出院2-31天内再住院率统计；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支持肺部感染统计；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支持压疮发生例数统计；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支持跌倒/坠床发生例数统计；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支持人工气道意外脱出例数统计；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支持手术患者术后并发症的总例数统计；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支持择期手术后并发症总例数统计；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支持急诊手术术后并发症总例数统计；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支持新生儿产伤发生例数统计；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支持器械辅助阴道分娩产伤发生例数统计；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支持非器械辅助阴道分娩产伤发生例数统计；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支持不良事件上报例数统计；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支持输血反应发生例数统计；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支持输液反应发生例数统计。</w:t>
      </w:r>
    </w:p>
    <w:p>
      <w:pPr>
        <w:pStyle w:val="8"/>
        <w:numPr>
          <w:ilvl w:val="6"/>
          <w:numId w:val="90"/>
        </w:numPr>
        <w:ind w:left="0" w:firstLine="0"/>
      </w:pPr>
      <w:r>
        <w:t>医院感染管理</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支持医院感染发病（例次）率统计；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支持医院感染现患（例次）率统计；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支持医院感染病例漏报率统计；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支持多重耐药菌感染发现率统计；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支持多重耐药菌感染检出率统计；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支持医务人员手卫生依从率统计；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支持住院患者抗菌药物使用率统计；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支持抗菌药物治疗前病原学送检率统计；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支持I类切口手术部位感染率统计；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支持I类切口手术抗菌药物预防使用率统计；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支持呼吸机相关肺炎发病率（‰）统计；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支持留置导尿管相关泌尿系感染发病率（‰）统计；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支持血管导管相关血流感染率（‰）统计。</w:t>
      </w:r>
    </w:p>
    <w:p>
      <w:pPr>
        <w:pStyle w:val="8"/>
        <w:numPr>
          <w:ilvl w:val="6"/>
          <w:numId w:val="90"/>
        </w:numPr>
        <w:ind w:left="0" w:firstLine="0"/>
      </w:pPr>
      <w:r>
        <w:rPr>
          <w:rFonts w:ascii="Times New Roman" w:hAnsi="Times New Roman" w:eastAsia="宋体" w:cs="Times New Roman"/>
        </w:rPr>
        <w:t>药事管理监测</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支持抗菌药物处方数/每百张门诊处方（%）统计；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支持注射剂处方数/每百张门诊处方（%）统计；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支持药费收入占医疗总收入比重（%）统计；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支持抗菌药物占西药出库总金额比重（%） 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支持常用抗菌药物种类与可提供药敏试验种类比例（%）统计；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支持药物不良反应例数统计。</w:t>
      </w:r>
    </w:p>
    <w:p>
      <w:pPr>
        <w:pStyle w:val="7"/>
        <w:numPr>
          <w:ilvl w:val="5"/>
          <w:numId w:val="10"/>
        </w:numPr>
      </w:pPr>
      <w:r>
        <w:t>疾病病种管理</w:t>
      </w:r>
    </w:p>
    <w:p>
      <w:pPr>
        <w:pStyle w:val="8"/>
        <w:numPr>
          <w:ilvl w:val="6"/>
          <w:numId w:val="91"/>
        </w:numPr>
        <w:ind w:left="0" w:firstLine="0"/>
      </w:pPr>
      <w:r>
        <w:t>重点疾病</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支持代表性疾病（重点）总例数统计；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支持代表性疾病（重点）死亡例数统计；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支持代表性疾病（重点）再住院例数统计；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支持代表性疾病（重点）平均住院日与住院费用统计；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支持代表性疾病（重点）肺部感染统计；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支持代表性疾病（重点）压疮发生统计；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支持代表性疾病（重点）跌倒/坠床发生等并发症统计。</w:t>
      </w:r>
    </w:p>
    <w:p>
      <w:pPr>
        <w:pStyle w:val="8"/>
        <w:numPr>
          <w:ilvl w:val="6"/>
          <w:numId w:val="91"/>
        </w:numPr>
        <w:ind w:left="0" w:firstLine="0"/>
      </w:pPr>
      <w:r>
        <w:t>重点手术</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支持代表性（重点）手术或操作的总台次统计；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支持支持代表性（重点）手术或操作的死亡例数统计；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支持代表性（重点）手术或操作的术后非预期再手术统计；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支持代表性（重点）手术或操作的术前住院日统计；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支持代表性（重点）手术或操作的住院日与住院费用统计；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支持代表性（重点）手术或操作的术后并发症例数统计；</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支持代表性（重点）手术或操作的非计划再次手术例数</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支持重点手术概况，重点手术统计分析。</w:t>
      </w:r>
    </w:p>
    <w:p>
      <w:pPr>
        <w:pStyle w:val="6"/>
        <w:numPr>
          <w:ilvl w:val="4"/>
          <w:numId w:val="10"/>
        </w:numPr>
      </w:pPr>
      <w:r>
        <w:t>闭环管理</w:t>
      </w:r>
    </w:p>
    <w:p>
      <w:pPr>
        <w:pStyle w:val="7"/>
        <w:numPr>
          <w:ilvl w:val="5"/>
          <w:numId w:val="10"/>
        </w:numPr>
      </w:pPr>
      <w:r>
        <w:rPr>
          <w:rFonts w:hint="eastAsia"/>
        </w:rPr>
        <w:t>口服药医嘱</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支持患者门诊口服药医嘱的在各个医疗服务点上的人员、时间和状态的集中采集，节点包含 ：处方开立、删除处方、处方打印、药师自动审方通过、药师自动审方不通过、药师人工审方通过、药师人工审方不通过、已缴费、药房配药、药房发药、患者领药、退费。</w:t>
      </w:r>
    </w:p>
    <w:p>
      <w:pPr>
        <w:pStyle w:val="7"/>
        <w:numPr>
          <w:ilvl w:val="5"/>
          <w:numId w:val="10"/>
        </w:numPr>
      </w:pPr>
      <w:r>
        <w:rPr>
          <w:rFonts w:hint="eastAsia"/>
        </w:rPr>
        <w:t>注射医嘱</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支持患者门诊注射医嘱的在各个医疗服务点上的人员、时间和状态的集中采集，节点包含 ：处方开立、处方打印、药师自动审方通过、药师自动审方不通过、药师人工审方通过、药师人工审方不通过、药房发药、注射单打印、皮试开始、皮试结束、已缴费、注射液配制、注射执行、护士上报不良反应、职能部门处理、归档。</w:t>
      </w:r>
    </w:p>
    <w:p>
      <w:pPr>
        <w:pStyle w:val="7"/>
        <w:numPr>
          <w:ilvl w:val="5"/>
          <w:numId w:val="10"/>
        </w:numPr>
      </w:pPr>
      <w:r>
        <w:rPr>
          <w:rFonts w:hint="eastAsia"/>
        </w:rPr>
        <w:t>中草药医嘱</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患者住院草药在各个医疗服务点上的人员、时间和状态的集中采集，节点包括：医嘱下达、医嘱拒绝、药师自动审方通过、药师自动审方不通过、药师人工审方通过、药师人工审方不通过、医嘱审核、医嘱作废（DC）、医嘱执行、草药房发药、代煎入库、代煎出库、配送装箱、配送转运、配送签收（双签）、用药执行成功、申请停止医嘱、停止审核。</w:t>
      </w:r>
    </w:p>
    <w:p>
      <w:pPr>
        <w:pStyle w:val="7"/>
        <w:numPr>
          <w:ilvl w:val="5"/>
          <w:numId w:val="10"/>
        </w:numPr>
      </w:pPr>
      <w:r>
        <w:rPr>
          <w:rFonts w:hint="eastAsia"/>
        </w:rPr>
        <w:t>输液医嘱</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支持患者输液医嘱（无静配）的在各个医疗服务点上的人员、时间和状态的集中采集，节点包含 ：医嘱下达、医嘱撤回、医嘱审核、医嘱作废（DC）、医嘱执行、药师审核自动审核通过、药师审核人工审核通过、药师审核不通过、住院药房发药、配送装箱、配送转运、配送签收、皮试开始、皮试结束、输液执行、输液巡视、输液停止、输液执行完毕、停止医嘱、停止审核、护士上报输液不良反应、职能部门处理、归档。</w:t>
      </w:r>
    </w:p>
    <w:p>
      <w:pPr>
        <w:pStyle w:val="7"/>
        <w:numPr>
          <w:ilvl w:val="5"/>
          <w:numId w:val="10"/>
        </w:numPr>
      </w:pPr>
      <w:r>
        <w:rPr>
          <w:rFonts w:hint="eastAsia"/>
        </w:rPr>
        <w:t>自备药</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支持患者住院自备药的在各个医疗服务点上的人员、时间和状态的集中采集，节点包含 ：医嘱下达、医嘱撤回、医嘱审核、医嘱作废（DC）、医嘱执行、药师审核自动审核通过、药师审核人工审核通过、药师审核不通过、服药执行、停止医嘱、停止审核。</w:t>
      </w:r>
    </w:p>
    <w:p>
      <w:pPr>
        <w:pStyle w:val="7"/>
        <w:numPr>
          <w:ilvl w:val="5"/>
          <w:numId w:val="10"/>
        </w:numPr>
      </w:pPr>
      <w:r>
        <w:rPr>
          <w:rFonts w:hint="eastAsia"/>
        </w:rPr>
        <w:t>出院带药</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支持患者住院出院带药的在各个医疗服务点上的人员、时间和状态的集中采集，节点包含 ：医嘱下达、医嘱撤回、医嘱审核、医嘱作废（DC）、医嘱执行、药师审核自动审核通过、药师审核人工审核通过、药师审核不通过、住院药房发药、自助机包药、住院药房摆药、配送装箱、配送转运、配送签收。</w:t>
      </w:r>
    </w:p>
    <w:p>
      <w:pPr>
        <w:pStyle w:val="7"/>
        <w:numPr>
          <w:ilvl w:val="5"/>
          <w:numId w:val="10"/>
        </w:numPr>
      </w:pPr>
      <w:r>
        <w:rPr>
          <w:rFonts w:hint="eastAsia"/>
        </w:rPr>
        <w:t>门诊检验闭环</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支持患者门诊常规检验标本在各个医疗服务点上的人员、时间和状态的集中采集，节点包含 ：检验申请开立、缴费、试管条码打印、标本采集、标本运送、标本签收、标本撤销、标本拒收、标本入库、取消入库、上机检测、初始报告、报告审核、报告撤销、报告发布。</w:t>
      </w:r>
    </w:p>
    <w:p>
      <w:pPr>
        <w:pStyle w:val="7"/>
        <w:numPr>
          <w:ilvl w:val="5"/>
          <w:numId w:val="10"/>
        </w:numPr>
      </w:pPr>
      <w:r>
        <w:rPr>
          <w:rFonts w:hint="eastAsia"/>
        </w:rPr>
        <w:t>住院检验闭环</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支持患者住院常规检验标本在各个医疗服务点上的人员、时间和状态的集中采集，节点包含 ：检验申请开立、检验申请撤回、医嘱审核、医嘱作废、医嘱执行、试管条码打印、标本采集、标本运送、标本签收、标本入库、上机检测、初始报告、报告审核、报告撤销、报告发布。</w:t>
      </w:r>
    </w:p>
    <w:p>
      <w:pPr>
        <w:pStyle w:val="7"/>
        <w:numPr>
          <w:ilvl w:val="5"/>
          <w:numId w:val="10"/>
        </w:numPr>
      </w:pPr>
      <w:r>
        <w:rPr>
          <w:rFonts w:hint="eastAsia"/>
        </w:rPr>
        <w:t>检验危急值闭环</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支持患者门诊检验危急值在各个医疗服务点上的人员、时间和状态的集中采集，节点包含 ：危急值生成、危急值复核、危急值发布医生接收、医生处理危急值、危急值处理反馈、危急值医技确认。</w:t>
      </w:r>
    </w:p>
    <w:p>
      <w:pPr>
        <w:pStyle w:val="6"/>
        <w:numPr>
          <w:ilvl w:val="4"/>
          <w:numId w:val="10"/>
        </w:numPr>
      </w:pPr>
      <w:r>
        <w:rPr>
          <w:rFonts w:hint="eastAsia"/>
        </w:rPr>
        <w:t>电子签名管理</w:t>
      </w:r>
    </w:p>
    <w:p>
      <w:pPr>
        <w:pStyle w:val="7"/>
        <w:numPr>
          <w:ilvl w:val="5"/>
          <w:numId w:val="10"/>
        </w:numPr>
      </w:pPr>
      <w:r>
        <w:rPr>
          <w:rFonts w:hint="eastAsia"/>
        </w:rPr>
        <w:t>用户登录管理</w:t>
      </w:r>
    </w:p>
    <w:p>
      <w:pPr>
        <w:pStyle w:val="8"/>
        <w:numPr>
          <w:ilvl w:val="6"/>
          <w:numId w:val="92"/>
        </w:numPr>
        <w:ind w:left="0" w:firstLine="0"/>
      </w:pPr>
      <w:r>
        <w:rPr>
          <w:rFonts w:hint="eastAsia"/>
        </w:rPr>
        <w:t>登录用户管理</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支持对登录用户进行权限设置，并与签名的操作进行绑定。</w:t>
      </w:r>
    </w:p>
    <w:p>
      <w:pPr>
        <w:pStyle w:val="8"/>
        <w:numPr>
          <w:ilvl w:val="6"/>
          <w:numId w:val="92"/>
        </w:numPr>
        <w:ind w:left="0" w:firstLine="0"/>
      </w:pPr>
      <w:r>
        <w:rPr>
          <w:rFonts w:hint="eastAsia"/>
        </w:rPr>
        <w:t>登录用户权限设置</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支持对登录用户的签名范围或特殊医疗记录的签名流程进行控制，单独授权。</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支持对临时用户的权限进行管理和控制。</w:t>
      </w:r>
    </w:p>
    <w:p>
      <w:pPr>
        <w:pStyle w:val="8"/>
        <w:numPr>
          <w:ilvl w:val="6"/>
          <w:numId w:val="92"/>
        </w:numPr>
        <w:ind w:left="0" w:firstLine="0"/>
      </w:pPr>
      <w:r>
        <w:rPr>
          <w:rFonts w:hint="eastAsia"/>
        </w:rPr>
        <w:t>证书自动登录</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支持已有数字证书用户自动登录。</w:t>
      </w:r>
    </w:p>
    <w:p>
      <w:pPr>
        <w:pStyle w:val="7"/>
        <w:numPr>
          <w:ilvl w:val="5"/>
          <w:numId w:val="10"/>
        </w:numPr>
      </w:pPr>
      <w:r>
        <w:rPr>
          <w:rFonts w:hint="eastAsia"/>
        </w:rPr>
        <w:t>门急诊签名流程</w:t>
      </w:r>
    </w:p>
    <w:p>
      <w:pPr>
        <w:pStyle w:val="8"/>
        <w:numPr>
          <w:ilvl w:val="6"/>
          <w:numId w:val="93"/>
        </w:numPr>
        <w:ind w:left="0" w:firstLine="0"/>
      </w:pPr>
      <w:r>
        <w:rPr>
          <w:rFonts w:hint="eastAsia"/>
        </w:rPr>
        <w:t>电子处方</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支持门急诊处方电子签名，处方打印时支持打印电子签章。</w:t>
      </w:r>
    </w:p>
    <w:p>
      <w:pPr>
        <w:pStyle w:val="8"/>
        <w:numPr>
          <w:ilvl w:val="6"/>
          <w:numId w:val="93"/>
        </w:numPr>
        <w:ind w:left="0" w:firstLine="0"/>
      </w:pPr>
      <w:r>
        <w:rPr>
          <w:rFonts w:hint="eastAsia"/>
        </w:rPr>
        <w:t>门诊电子申请单</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支持申请单电子签名，电子申请单打印时打印医生的电子签章。</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点击电子签章，显示签名动作发生的时间、签名人。</w:t>
      </w:r>
    </w:p>
    <w:p>
      <w:pPr>
        <w:pStyle w:val="8"/>
        <w:numPr>
          <w:ilvl w:val="6"/>
          <w:numId w:val="93"/>
        </w:numPr>
        <w:ind w:left="0" w:firstLine="0"/>
      </w:pPr>
      <w:r>
        <w:rPr>
          <w:rFonts w:hint="eastAsia"/>
        </w:rPr>
        <w:t>门诊病历</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支持门诊病历电子签名，可设置医生对病历的签名权限，可设置门诊病历中需要签名的字段信息和文字内容。</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支持在门诊病历显示电子签章信息并支持电子签章的打印。</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点击电子签章，可显示签名动作发生的时间、签名人。</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支持在住院电子申请单中显示电子签章信息。</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点击电子签章，可显示签名动作发生的时间、签名人。</w:t>
      </w:r>
    </w:p>
    <w:p>
      <w:pPr>
        <w:pStyle w:val="7"/>
        <w:numPr>
          <w:ilvl w:val="5"/>
          <w:numId w:val="10"/>
        </w:numPr>
        <w:ind w:left="0" w:firstLine="0"/>
      </w:pPr>
      <w:r>
        <w:rPr>
          <w:rFonts w:hint="eastAsia"/>
        </w:rPr>
        <w:t>药房签名流程</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支持设置药房医生的电子签名权限。</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支持门诊药房发药，退药时在发药单（退药单）上增加药师医生电子签名。</w:t>
      </w:r>
    </w:p>
    <w:p>
      <w:pPr>
        <w:pStyle w:val="7"/>
        <w:numPr>
          <w:ilvl w:val="5"/>
          <w:numId w:val="10"/>
        </w:numPr>
      </w:pPr>
      <w:r>
        <w:rPr>
          <w:rFonts w:hint="eastAsia"/>
        </w:rPr>
        <w:t>报告签名流程</w:t>
      </w:r>
    </w:p>
    <w:p>
      <w:pPr>
        <w:pStyle w:val="8"/>
        <w:numPr>
          <w:ilvl w:val="6"/>
          <w:numId w:val="94"/>
        </w:numPr>
        <w:ind w:left="0" w:firstLine="0"/>
      </w:pPr>
      <w:r>
        <w:rPr>
          <w:rFonts w:hint="eastAsia"/>
        </w:rPr>
        <w:t>检验报告</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支持设置检验科医生对报告的签名权限、审核权限。证书与用户进行绑定，与操作员签章进行绑定。</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支持设置可签名的检验报告。</w:t>
      </w:r>
    </w:p>
    <w:p>
      <w:pPr>
        <w:pStyle w:val="8"/>
        <w:numPr>
          <w:ilvl w:val="6"/>
          <w:numId w:val="94"/>
        </w:numPr>
        <w:ind w:left="0" w:firstLine="0"/>
      </w:pPr>
      <w:r>
        <w:rPr>
          <w:rFonts w:hint="eastAsia"/>
        </w:rPr>
        <w:t>检查报告</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支持设置医技科室的医生对报告的签名权限、审核权限。证书与用户进行绑定，与操作员签章进行绑定。</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支持设置可签名的检查报告。</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支持为心电系统提供可信时间服务，解决关键数据产生、提交、审批等环节的责任认定。</w:t>
      </w:r>
    </w:p>
    <w:p>
      <w:pPr>
        <w:pStyle w:val="7"/>
        <w:numPr>
          <w:ilvl w:val="5"/>
          <w:numId w:val="10"/>
        </w:numPr>
      </w:pPr>
      <w:r>
        <w:rPr>
          <w:rFonts w:hint="eastAsia"/>
        </w:rPr>
        <w:t>接口封装</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支持对已签名数据的验证，对已签名过的各类医疗记录通过验证接口进行比对，提供防篡改和抗抵赖支持。</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支持签名操作查询。支持按照时间段查询签名的各类动作，提交时间，提交状态，签名时间、签名人。支持对原签名文件的查看，可以查看签名后的文件，并对签章进行验证。</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支持跟踪追溯签名使用情况，进行签名动作分析。</w:t>
      </w:r>
    </w:p>
    <w:p>
      <w:pPr>
        <w:pStyle w:val="8"/>
        <w:numPr>
          <w:ilvl w:val="6"/>
          <w:numId w:val="95"/>
        </w:numPr>
        <w:ind w:left="0" w:firstLine="0"/>
      </w:pPr>
      <w:r>
        <w:rPr>
          <w:rFonts w:hint="eastAsia"/>
        </w:rPr>
        <w:t>身份认证接口封装</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身份认证接口封装，支持将</w:t>
      </w:r>
      <w:r>
        <w:rPr>
          <w:rFonts w:ascii="Times New Roman" w:hAnsi="Times New Roman" w:eastAsia="宋体" w:cs="Times New Roman"/>
          <w:color w:val="000000" w:themeColor="text1"/>
          <w:szCs w:val="24"/>
          <w14:textFill>
            <w14:solidFill>
              <w14:schemeClr w14:val="tx1"/>
            </w14:solidFill>
          </w14:textFill>
        </w:rPr>
        <w:t>CA</w:t>
      </w:r>
      <w:r>
        <w:rPr>
          <w:rFonts w:hint="eastAsia" w:ascii="Times New Roman" w:hAnsi="Times New Roman" w:eastAsia="宋体" w:cs="Times New Roman"/>
          <w:color w:val="000000" w:themeColor="text1"/>
          <w:szCs w:val="24"/>
          <w14:textFill>
            <w14:solidFill>
              <w14:schemeClr w14:val="tx1"/>
            </w14:solidFill>
          </w14:textFill>
        </w:rPr>
        <w:t>公司提供的接口封装给业务系统调用，用于验证Usbkey，识别患者标志。</w:t>
      </w:r>
    </w:p>
    <w:p>
      <w:pPr>
        <w:pStyle w:val="8"/>
        <w:numPr>
          <w:ilvl w:val="6"/>
          <w:numId w:val="95"/>
        </w:numPr>
        <w:ind w:left="0" w:firstLine="0"/>
      </w:pPr>
      <w:r>
        <w:rPr>
          <w:rFonts w:hint="eastAsia"/>
        </w:rPr>
        <w:t>数字签名接口封装</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数字签名接口封装，支持将</w:t>
      </w:r>
      <w:r>
        <w:rPr>
          <w:rFonts w:ascii="Times New Roman" w:hAnsi="Times New Roman" w:eastAsia="宋体" w:cs="Times New Roman"/>
          <w:color w:val="000000" w:themeColor="text1"/>
          <w:szCs w:val="24"/>
          <w14:textFill>
            <w14:solidFill>
              <w14:schemeClr w14:val="tx1"/>
            </w14:solidFill>
          </w14:textFill>
        </w:rPr>
        <w:t>CA</w:t>
      </w:r>
      <w:r>
        <w:rPr>
          <w:rFonts w:hint="eastAsia" w:ascii="Times New Roman" w:hAnsi="Times New Roman" w:eastAsia="宋体" w:cs="Times New Roman"/>
          <w:color w:val="000000" w:themeColor="text1"/>
          <w:szCs w:val="24"/>
          <w14:textFill>
            <w14:solidFill>
              <w14:schemeClr w14:val="tx1"/>
            </w14:solidFill>
          </w14:textFill>
        </w:rPr>
        <w:t>公司提供的接口封装给业务系统调用，用于实现诊疗数据签名认证。</w:t>
      </w:r>
    </w:p>
    <w:p>
      <w:pPr>
        <w:pStyle w:val="8"/>
        <w:numPr>
          <w:ilvl w:val="6"/>
          <w:numId w:val="95"/>
        </w:numPr>
        <w:ind w:left="0" w:firstLine="0"/>
      </w:pPr>
      <w:r>
        <w:rPr>
          <w:rFonts w:hint="eastAsia"/>
        </w:rPr>
        <w:t>时间戳接口封装</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时间戳接口封装。支持将</w:t>
      </w:r>
      <w:r>
        <w:rPr>
          <w:rFonts w:ascii="Times New Roman" w:hAnsi="Times New Roman" w:eastAsia="宋体" w:cs="Times New Roman"/>
          <w:color w:val="000000" w:themeColor="text1"/>
          <w:szCs w:val="24"/>
          <w14:textFill>
            <w14:solidFill>
              <w14:schemeClr w14:val="tx1"/>
            </w14:solidFill>
          </w14:textFill>
        </w:rPr>
        <w:t>CA</w:t>
      </w:r>
      <w:r>
        <w:rPr>
          <w:rFonts w:hint="eastAsia" w:ascii="Times New Roman" w:hAnsi="Times New Roman" w:eastAsia="宋体" w:cs="Times New Roman"/>
          <w:color w:val="000000" w:themeColor="text1"/>
          <w:szCs w:val="24"/>
          <w14:textFill>
            <w14:solidFill>
              <w14:schemeClr w14:val="tx1"/>
            </w14:solidFill>
          </w14:textFill>
        </w:rPr>
        <w:t>公司提供的接口封装给业务系统调用，用于实现数据加签时间戳认证。</w:t>
      </w:r>
    </w:p>
    <w:p>
      <w:pPr>
        <w:pStyle w:val="8"/>
        <w:numPr>
          <w:ilvl w:val="6"/>
          <w:numId w:val="95"/>
        </w:numPr>
        <w:ind w:left="0" w:firstLine="0"/>
      </w:pPr>
      <w:r>
        <w:rPr>
          <w:rFonts w:hint="eastAsia"/>
        </w:rPr>
        <w:t>数字印章接口封装</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数字印章接口封装。支持将</w:t>
      </w:r>
      <w:r>
        <w:rPr>
          <w:rFonts w:ascii="Times New Roman" w:hAnsi="Times New Roman" w:eastAsia="宋体" w:cs="Times New Roman"/>
          <w:color w:val="000000" w:themeColor="text1"/>
          <w:szCs w:val="24"/>
          <w14:textFill>
            <w14:solidFill>
              <w14:schemeClr w14:val="tx1"/>
            </w14:solidFill>
          </w14:textFill>
        </w:rPr>
        <w:t>CA</w:t>
      </w:r>
      <w:r>
        <w:rPr>
          <w:rFonts w:hint="eastAsia" w:ascii="Times New Roman" w:hAnsi="Times New Roman" w:eastAsia="宋体" w:cs="Times New Roman"/>
          <w:color w:val="000000" w:themeColor="text1"/>
          <w:szCs w:val="24"/>
          <w14:textFill>
            <w14:solidFill>
              <w14:schemeClr w14:val="tx1"/>
            </w14:solidFill>
          </w14:textFill>
        </w:rPr>
        <w:t>公司提供的接口封装给业务系统调用，用于实现</w:t>
      </w:r>
      <w:r>
        <w:rPr>
          <w:rFonts w:ascii="Times New Roman" w:hAnsi="Times New Roman" w:eastAsia="宋体" w:cs="Times New Roman"/>
          <w:color w:val="000000" w:themeColor="text1"/>
          <w:szCs w:val="24"/>
          <w14:textFill>
            <w14:solidFill>
              <w14:schemeClr w14:val="tx1"/>
            </w14:solidFill>
          </w14:textFill>
        </w:rPr>
        <w:t>PDF</w:t>
      </w:r>
      <w:r>
        <w:rPr>
          <w:rFonts w:hint="eastAsia" w:ascii="Times New Roman" w:hAnsi="Times New Roman" w:eastAsia="宋体" w:cs="Times New Roman"/>
          <w:color w:val="000000" w:themeColor="text1"/>
          <w:szCs w:val="24"/>
          <w14:textFill>
            <w14:solidFill>
              <w14:schemeClr w14:val="tx1"/>
            </w14:solidFill>
          </w14:textFill>
        </w:rPr>
        <w:t>文档数字印章认证。</w:t>
      </w:r>
    </w:p>
    <w:p>
      <w:pPr>
        <w:pStyle w:val="6"/>
        <w:numPr>
          <w:ilvl w:val="4"/>
          <w:numId w:val="10"/>
        </w:numPr>
      </w:pPr>
      <w:r>
        <w:rPr>
          <w:rFonts w:hint="eastAsia"/>
        </w:rPr>
        <w:t>护理会诊管理</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支持护理会诊申请、安排、床边会诊、反馈、意见落实的全过程实现电子化过程管理。</w:t>
      </w:r>
    </w:p>
    <w:p>
      <w:pPr>
        <w:pStyle w:val="6"/>
        <w:numPr>
          <w:ilvl w:val="4"/>
          <w:numId w:val="10"/>
        </w:numPr>
      </w:pPr>
      <w:r>
        <w:rPr>
          <w:rFonts w:hint="eastAsia"/>
        </w:rPr>
        <w:t>护理排班管理</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排班管理支持手动排班和自动排班。</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支持班次设置，可对护士班次的名称以及时间进行设置。</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支持班组设置，用户可根据需求添加班组以及班组中的人员，并且支持人员滚动和班次滚动的方式自动生成排班。</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支持护理排班设置，可按班组分类的，针对每个班组中的单个人员进行排班并可设置人员的班次及职责。</w:t>
      </w:r>
    </w:p>
    <w:p>
      <w:pPr>
        <w:pStyle w:val="6"/>
        <w:numPr>
          <w:ilvl w:val="4"/>
          <w:numId w:val="10"/>
        </w:numPr>
        <w:rPr>
          <w:rFonts w:ascii="宋体" w:hAnsi="宋体" w:cs="黑体"/>
          <w:szCs w:val="24"/>
        </w:rPr>
      </w:pPr>
      <w:r>
        <w:t>治疗项目扫描计费</w:t>
      </w:r>
    </w:p>
    <w:p>
      <w:pPr>
        <w:pStyle w:val="7"/>
        <w:numPr>
          <w:ilvl w:val="5"/>
          <w:numId w:val="10"/>
        </w:numPr>
      </w:pPr>
      <w:r>
        <w:t>扫描项目配置</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 xml:space="preserve">病区增加设置界面：设置哪些项目走移动扫码计费 </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医嘱执行时针对此类项目不计费</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单据打印差费；</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医嘱自动退费处理（不自动退）</w:t>
      </w:r>
    </w:p>
    <w:p>
      <w:pPr>
        <w:pStyle w:val="7"/>
        <w:numPr>
          <w:ilvl w:val="5"/>
          <w:numId w:val="10"/>
        </w:numPr>
      </w:pPr>
      <w:r>
        <w:t>扫描计费</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可以通过移动pda扫描计费并记录开始与结束时间</w:t>
      </w:r>
    </w:p>
    <w:p>
      <w:pPr>
        <w:pStyle w:val="6"/>
        <w:numPr>
          <w:ilvl w:val="4"/>
          <w:numId w:val="10"/>
        </w:numPr>
      </w:pPr>
      <w:r>
        <w:rPr>
          <w:rFonts w:hint="eastAsia"/>
        </w:rPr>
        <w:t>配药核药扫码</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支持扫码配置药品，记录配置人、配置时间，进行药品配置记录。</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支持医嘱执行前扫码核对用药，支持单次核对、二次核对。</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支持配置核对记录。支持按患者列表展示药品配置、核对记录；支持时间、药品类别、配置/核对分类、长期/临时分类、关注病人筛选；支持显示病区已配置、未配置、已核对、未核对数量。</w:t>
      </w:r>
    </w:p>
    <w:p>
      <w:pPr>
        <w:pStyle w:val="6"/>
        <w:numPr>
          <w:ilvl w:val="4"/>
          <w:numId w:val="10"/>
        </w:numPr>
      </w:pPr>
      <w:r>
        <w:t>双人扫码核对</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支持患者采血、领血、输血、血袋回收的全流程集中管理。</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支持列表展示，需输血病人列表及病人输血医嘱。</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支持扫码采血、领血、输血双工号核对。</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提供多袋小血袋同步执行，包含某成份的血袋可同步执行，有血浆置换标志的可同步执行。</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支持输血巡视，输血中、输血后均可记录输血不良反应。</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支持输血首次15分钟巡视提醒，支持血袋过期提醒。</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支持作废输血项目。</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支持展示输血巡视记录。时间轴展示患者输血记录，包含节点：领血、核对、开始、巡视、暂停、重启、结束、回收（血袋回收节点）、观察（输血结束后记录不良反应的节点）。</w:t>
      </w:r>
    </w:p>
    <w:p>
      <w:pPr>
        <w:numPr>
          <w:ilvl w:val="0"/>
          <w:numId w:val="86"/>
        </w:numPr>
        <w:snapToGrid/>
        <w:spacing w:after="156" w:afterLines="50"/>
        <w:rPr>
          <w:rFonts w:ascii="宋体" w:hAnsi="宋体" w:cs="宋体"/>
          <w:color w:val="000000"/>
          <w:szCs w:val="24"/>
        </w:rPr>
      </w:pPr>
      <w:r>
        <w:rPr>
          <w:rFonts w:hint="eastAsia" w:ascii="Times New Roman" w:hAnsi="Times New Roman" w:eastAsia="宋体" w:cs="Times New Roman"/>
          <w:color w:val="000000" w:themeColor="text1"/>
          <w:szCs w:val="24"/>
          <w14:textFill>
            <w14:solidFill>
              <w14:schemeClr w14:val="tx1"/>
            </w14:solidFill>
          </w14:textFill>
        </w:rPr>
        <w:t>支持输血记录写入记录单。</w:t>
      </w:r>
      <w:r>
        <w:rPr>
          <w:rFonts w:hint="eastAsia" w:ascii="宋体" w:hAnsi="宋体" w:cs="宋体"/>
          <w:color w:val="000000"/>
          <w:szCs w:val="24"/>
        </w:rPr>
        <w:t xml:space="preserve"> </w:t>
      </w:r>
    </w:p>
    <w:p>
      <w:pPr>
        <w:pStyle w:val="6"/>
        <w:numPr>
          <w:ilvl w:val="4"/>
          <w:numId w:val="10"/>
        </w:numPr>
      </w:pPr>
      <w:r>
        <w:rPr>
          <w:rFonts w:hint="eastAsia"/>
        </w:rPr>
        <w:t>移动医生站（PAD）</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同时支持IOS和Andr</w:t>
      </w:r>
      <w:r>
        <w:rPr>
          <w:rFonts w:ascii="Times New Roman" w:hAnsi="Times New Roman" w:eastAsia="宋体" w:cs="Times New Roman"/>
          <w:color w:val="000000" w:themeColor="text1"/>
          <w:szCs w:val="24"/>
          <w14:textFill>
            <w14:solidFill>
              <w14:schemeClr w14:val="tx1"/>
            </w14:solidFill>
          </w14:textFill>
        </w:rPr>
        <w:t>oi</w:t>
      </w:r>
      <w:r>
        <w:rPr>
          <w:rFonts w:hint="eastAsia" w:ascii="Times New Roman" w:hAnsi="Times New Roman" w:eastAsia="宋体" w:cs="Times New Roman"/>
          <w:color w:val="000000" w:themeColor="text1"/>
          <w:szCs w:val="24"/>
          <w14:textFill>
            <w14:solidFill>
              <w14:schemeClr w14:val="tx1"/>
            </w14:solidFill>
          </w14:textFill>
        </w:rPr>
        <w:t>d系统。</w:t>
      </w:r>
    </w:p>
    <w:p>
      <w:pPr>
        <w:pStyle w:val="7"/>
        <w:numPr>
          <w:ilvl w:val="5"/>
          <w:numId w:val="10"/>
        </w:numPr>
      </w:pPr>
      <w:r>
        <w:rPr>
          <w:rFonts w:hint="eastAsia"/>
        </w:rPr>
        <w:t>病程记录书写</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支持日常病程、主治医师、副主任医师、主任医师查房记录的病历书写。</w:t>
      </w:r>
    </w:p>
    <w:p>
      <w:pPr>
        <w:pStyle w:val="7"/>
        <w:numPr>
          <w:ilvl w:val="5"/>
          <w:numId w:val="10"/>
        </w:numPr>
      </w:pPr>
      <w:r>
        <w:rPr>
          <w:rFonts w:hint="eastAsia"/>
        </w:rPr>
        <w:t>医嘱录入（手工、语音）</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支持语音单条、组套医嘱录入。</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支持单条、成套医嘱录入。</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支持医嘱的DC与停止。</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支持待提交医嘱的成组/撤销成组、排序功能</w:t>
      </w:r>
    </w:p>
    <w:p>
      <w:pPr>
        <w:pStyle w:val="7"/>
        <w:numPr>
          <w:ilvl w:val="5"/>
          <w:numId w:val="10"/>
        </w:numPr>
      </w:pPr>
      <w:r>
        <w:rPr>
          <w:rFonts w:hint="eastAsia"/>
        </w:rPr>
        <w:t>语音定位病例资料</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支持语音快速定位患者信息。</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支持语音快速定位打开患者医技报告、床位、病历、医嘱、护理资料。</w:t>
      </w:r>
    </w:p>
    <w:p>
      <w:pPr>
        <w:pStyle w:val="7"/>
        <w:numPr>
          <w:ilvl w:val="5"/>
          <w:numId w:val="10"/>
        </w:numPr>
      </w:pPr>
      <w:r>
        <w:rPr>
          <w:rFonts w:hint="eastAsia"/>
        </w:rPr>
        <w:t>水印安全</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在病人相关敏感信息界面内容底层显示登录人姓名、登录时间水印信息，防止移动端截屏和拍照导致患者隐私泄露。</w:t>
      </w:r>
    </w:p>
    <w:p>
      <w:pPr>
        <w:pStyle w:val="7"/>
        <w:numPr>
          <w:ilvl w:val="5"/>
          <w:numId w:val="10"/>
        </w:numPr>
      </w:pPr>
      <w:r>
        <w:rPr>
          <w:rFonts w:hint="eastAsia"/>
        </w:rPr>
        <w:t>危急值提醒与处理</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支持医生在移动端查看检查检验危急值消息提醒，如可查看患者姓名及危急值项目名称及报告结果。</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支持医生在移动端对危急值进行处理与答复，如接收并录入处理意见。</w:t>
      </w:r>
    </w:p>
    <w:p>
      <w:pPr>
        <w:pStyle w:val="7"/>
        <w:numPr>
          <w:ilvl w:val="5"/>
          <w:numId w:val="10"/>
        </w:numPr>
      </w:pPr>
      <w:r>
        <w:rPr>
          <w:rFonts w:hint="eastAsia"/>
        </w:rPr>
        <w:t>第三方语音集成（百度、云知声、思必驰）</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支持百度、云知声、思必驰语音集成</w:t>
      </w:r>
    </w:p>
    <w:p>
      <w:pPr>
        <w:pStyle w:val="7"/>
        <w:numPr>
          <w:ilvl w:val="5"/>
          <w:numId w:val="10"/>
        </w:numPr>
      </w:pPr>
      <w:r>
        <w:rPr>
          <w:rFonts w:hint="eastAsia"/>
        </w:rPr>
        <w:t>医生临床助理（手机）</w:t>
      </w:r>
    </w:p>
    <w:p>
      <w:pPr>
        <w:pStyle w:val="8"/>
        <w:numPr>
          <w:ilvl w:val="6"/>
          <w:numId w:val="96"/>
        </w:numPr>
        <w:ind w:left="0" w:firstLine="0"/>
      </w:pPr>
      <w:r>
        <w:rPr>
          <w:rFonts w:hint="eastAsia"/>
        </w:rPr>
        <w:t>手机水印安全</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在病人相关敏感信息界面内容底层显示登录人姓名、登录时间水印信息，防止移动端截屏和拍照导致患者隐私泄露。</w:t>
      </w:r>
    </w:p>
    <w:p>
      <w:pPr>
        <w:pStyle w:val="8"/>
        <w:numPr>
          <w:ilvl w:val="6"/>
          <w:numId w:val="96"/>
        </w:numPr>
        <w:ind w:left="0" w:firstLine="0"/>
      </w:pPr>
      <w:r>
        <w:rPr>
          <w:rFonts w:hint="eastAsia"/>
        </w:rPr>
        <w:t>手机患者临床信息查看</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提供医生查房时所需患者信息，包含患者基本信息、病历、医嘱、检查、检验、护理。</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支持查看患者费用、过敏、住院等基本信息。</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 xml:space="preserve">支持查询患者有效医嘱、临时医嘱、长期医嘱信息。  </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 xml:space="preserve">支持查看患者在院病历信息，包括病程记录、入院记录、主任查房、术前小结、手术同意书、手术记录、出院记录。 </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 xml:space="preserve">支持查看患者医技报告，包括检查/检验报告、放射报告、临检报告、生化报告。 </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支持查看检验报告相关指标趋势图。</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 xml:space="preserve">支持查询患者被记录的护理体温、呼吸和脉搏信息及趋势图，可查看患者出入量、血糖信息  </w:t>
      </w:r>
    </w:p>
    <w:p>
      <w:pPr>
        <w:pStyle w:val="8"/>
        <w:numPr>
          <w:ilvl w:val="6"/>
          <w:numId w:val="96"/>
        </w:numPr>
        <w:ind w:left="0" w:firstLine="0"/>
      </w:pPr>
      <w:r>
        <w:rPr>
          <w:rFonts w:hint="eastAsia"/>
        </w:rPr>
        <w:t>手机病例查询</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支持根据在院、出院状态、诊断、科室查询患者信息。</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支持通过手术状态、手术日期等条件来查询手术相关信息。</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支持按日期对查房便签进行汇总展示查询。</w:t>
      </w:r>
    </w:p>
    <w:p>
      <w:pPr>
        <w:pStyle w:val="8"/>
        <w:numPr>
          <w:ilvl w:val="6"/>
          <w:numId w:val="96"/>
        </w:numPr>
        <w:ind w:left="0" w:firstLine="0"/>
      </w:pPr>
      <w:r>
        <w:rPr>
          <w:rFonts w:hint="eastAsia"/>
        </w:rPr>
        <w:t>手机查房便签</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支持用手指或触控笔模仿纸和笔来进行随手写，记录查房事项。</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支持文字、拍照、录音方式记录查房事项。</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支持查房便签的修改、删除。</w:t>
      </w:r>
    </w:p>
    <w:p>
      <w:pPr>
        <w:pStyle w:val="8"/>
        <w:numPr>
          <w:ilvl w:val="6"/>
          <w:numId w:val="96"/>
        </w:numPr>
        <w:ind w:left="0" w:firstLine="0"/>
      </w:pPr>
      <w:r>
        <w:rPr>
          <w:rFonts w:hint="eastAsia"/>
        </w:rPr>
        <w:t>手机扫码定位患者</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支持患者腕带条码、二维码扫描定位患者信息。</w:t>
      </w:r>
    </w:p>
    <w:p>
      <w:pPr>
        <w:pStyle w:val="8"/>
        <w:numPr>
          <w:ilvl w:val="6"/>
          <w:numId w:val="96"/>
        </w:numPr>
        <w:ind w:left="0" w:firstLine="0"/>
      </w:pPr>
      <w:r>
        <w:rPr>
          <w:rFonts w:hint="eastAsia"/>
        </w:rPr>
        <w:t>手机语音定位病例资料</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支持通过语音检索床位号、姓名定位患者。</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支持通过语音精确检索并定位到患者的医技报告、床位、病历、医嘱、护理信息。</w:t>
      </w:r>
    </w:p>
    <w:p>
      <w:pPr>
        <w:pStyle w:val="8"/>
        <w:numPr>
          <w:ilvl w:val="6"/>
          <w:numId w:val="96"/>
        </w:numPr>
        <w:ind w:left="0" w:firstLine="0"/>
      </w:pPr>
      <w:r>
        <w:rPr>
          <w:rFonts w:hint="eastAsia"/>
        </w:rPr>
        <w:t>移动审批与申请进度跟踪</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支持查看个人申请的抗菌药物、病历撤销归档、重大手术进度。</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支持对抗菌药物申请的审批。</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支持对病历撤销归档申请的审批。</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支持对重大手术申请的审批。</w:t>
      </w:r>
    </w:p>
    <w:p>
      <w:pPr>
        <w:pStyle w:val="8"/>
        <w:numPr>
          <w:ilvl w:val="6"/>
          <w:numId w:val="96"/>
        </w:numPr>
        <w:ind w:left="0" w:firstLine="0"/>
      </w:pPr>
      <w:r>
        <w:rPr>
          <w:rFonts w:hint="eastAsia"/>
        </w:rPr>
        <w:t>今日工作</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支持查看医生本人当天手术安排、会议安排情况。</w:t>
      </w:r>
    </w:p>
    <w:p>
      <w:pPr>
        <w:pStyle w:val="6"/>
        <w:numPr>
          <w:ilvl w:val="4"/>
          <w:numId w:val="10"/>
        </w:numPr>
      </w:pPr>
      <w:r>
        <w:t>接口</w:t>
      </w:r>
    </w:p>
    <w:p>
      <w:pPr>
        <w:pStyle w:val="7"/>
        <w:numPr>
          <w:ilvl w:val="5"/>
          <w:numId w:val="10"/>
        </w:numPr>
      </w:pPr>
      <w:r>
        <w:t>少儿基金办接口</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支持与少儿基金办接口对接</w:t>
      </w:r>
    </w:p>
    <w:p>
      <w:pPr>
        <w:pStyle w:val="7"/>
        <w:numPr>
          <w:ilvl w:val="5"/>
          <w:numId w:val="10"/>
        </w:numPr>
      </w:pPr>
      <w:r>
        <w:t>微医对接</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支持与微医接口对接</w:t>
      </w:r>
    </w:p>
    <w:p>
      <w:pPr>
        <w:pStyle w:val="7"/>
        <w:numPr>
          <w:ilvl w:val="5"/>
          <w:numId w:val="10"/>
        </w:numPr>
      </w:pPr>
      <w:r>
        <w:t>残联接口</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支持与残联接口对接</w:t>
      </w:r>
    </w:p>
    <w:p>
      <w:pPr>
        <w:pStyle w:val="7"/>
        <w:numPr>
          <w:ilvl w:val="5"/>
          <w:numId w:val="10"/>
        </w:numPr>
      </w:pPr>
      <w:r>
        <w:t>短信平台</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支持与医院短信平台对接</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发送预约</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停诊</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危急值等消息</w:t>
      </w:r>
      <w:r>
        <w:rPr>
          <w:rFonts w:hint="eastAsia" w:ascii="Times New Roman" w:hAnsi="Times New Roman" w:eastAsia="宋体" w:cs="Times New Roman"/>
          <w:color w:val="000000" w:themeColor="text1"/>
          <w:szCs w:val="24"/>
          <w14:textFill>
            <w14:solidFill>
              <w14:schemeClr w14:val="tx1"/>
            </w14:solidFill>
          </w14:textFill>
        </w:rPr>
        <w:t>。</w:t>
      </w:r>
    </w:p>
    <w:p>
      <w:pPr>
        <w:pStyle w:val="7"/>
        <w:numPr>
          <w:ilvl w:val="5"/>
          <w:numId w:val="10"/>
        </w:numPr>
      </w:pPr>
      <w:r>
        <w:t>智能提醒</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支持与平台对接</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发送相关信息</w:t>
      </w:r>
      <w:r>
        <w:rPr>
          <w:rFonts w:hint="eastAsia" w:ascii="Times New Roman" w:hAnsi="Times New Roman" w:eastAsia="宋体" w:cs="Times New Roman"/>
          <w:color w:val="000000" w:themeColor="text1"/>
          <w:szCs w:val="24"/>
          <w14:textFill>
            <w14:solidFill>
              <w14:schemeClr w14:val="tx1"/>
            </w14:solidFill>
          </w14:textFill>
        </w:rPr>
        <w:t>。</w:t>
      </w:r>
    </w:p>
    <w:p>
      <w:pPr>
        <w:pStyle w:val="6"/>
        <w:numPr>
          <w:ilvl w:val="4"/>
          <w:numId w:val="10"/>
        </w:numPr>
      </w:pPr>
      <w:r>
        <w:rPr>
          <w:rFonts w:hint="eastAsia"/>
        </w:rPr>
        <w:t>自助预约</w:t>
      </w:r>
    </w:p>
    <w:p>
      <w:pPr>
        <w:pStyle w:val="7"/>
        <w:numPr>
          <w:ilvl w:val="5"/>
          <w:numId w:val="10"/>
        </w:numPr>
      </w:pPr>
      <w:r>
        <w:rPr>
          <w:rFonts w:hint="eastAsia"/>
        </w:rPr>
        <w:t>自助预约</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支持患者通过身份验证后，可以按照科室医生，日期，时间段或号序进行预约业务办理。</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支持预约时患者预留电话号码修改。</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支持患者选择预约科目时，可按日期选择科室医生或按科室医生选择日期。</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支持预约时提前付费挂号。在患者预约操作过程中有自助预约流程提示。</w:t>
      </w:r>
    </w:p>
    <w:p>
      <w:pPr>
        <w:pStyle w:val="7"/>
        <w:numPr>
          <w:ilvl w:val="5"/>
          <w:numId w:val="10"/>
        </w:numPr>
      </w:pPr>
      <w:r>
        <w:rPr>
          <w:rFonts w:hint="eastAsia"/>
        </w:rPr>
        <w:t>预约取消（其它途径预约取消）</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支持通过其他途径（如微信公众号、支付宝生活号、电话114预约、医院官网）预约后的患者在自助机上进行取消预约。</w:t>
      </w:r>
    </w:p>
    <w:p>
      <w:pPr>
        <w:pStyle w:val="7"/>
        <w:numPr>
          <w:ilvl w:val="5"/>
          <w:numId w:val="10"/>
        </w:numPr>
      </w:pPr>
      <w:r>
        <w:rPr>
          <w:rFonts w:hint="eastAsia"/>
        </w:rPr>
        <w:t>预约后现场取号</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支持预约后患者就诊当天可在自助上进行取号。</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支持取号费用支付。</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支持取号后打印凭证。</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支持取号后自动进入分诊队列。</w:t>
      </w:r>
    </w:p>
    <w:p>
      <w:pPr>
        <w:pStyle w:val="6"/>
        <w:numPr>
          <w:ilvl w:val="4"/>
          <w:numId w:val="10"/>
        </w:numPr>
      </w:pPr>
      <w:bookmarkStart w:id="32" w:name="_Toc7781"/>
      <w:r>
        <w:t>治疗叫号</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针对需要来院做二次治疗的复诊患者</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对院内排队叫号系统进行改造</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支持一次挂号二次就诊</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患者到院后直接签到</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签到完成进入就诊序列</w:t>
      </w:r>
      <w:r>
        <w:rPr>
          <w:rFonts w:hint="eastAsia" w:ascii="Times New Roman" w:hAnsi="Times New Roman" w:eastAsia="宋体" w:cs="Times New Roman"/>
          <w:color w:val="000000" w:themeColor="text1"/>
          <w:szCs w:val="24"/>
          <w14:textFill>
            <w14:solidFill>
              <w14:schemeClr w14:val="tx1"/>
            </w14:solidFill>
          </w14:textFill>
        </w:rPr>
        <w:t>。</w:t>
      </w:r>
    </w:p>
    <w:p>
      <w:pPr>
        <w:pStyle w:val="6"/>
        <w:numPr>
          <w:ilvl w:val="4"/>
          <w:numId w:val="10"/>
        </w:numPr>
      </w:pPr>
      <w:r>
        <w:t>互联互通</w:t>
      </w:r>
      <w:bookmarkEnd w:id="32"/>
      <w:r>
        <w:t>评级服务</w:t>
      </w:r>
    </w:p>
    <w:p>
      <w:pPr>
        <w:pStyle w:val="7"/>
        <w:numPr>
          <w:ilvl w:val="5"/>
          <w:numId w:val="10"/>
        </w:numPr>
      </w:pPr>
      <w:r>
        <w:t>标准数据集</w:t>
      </w:r>
    </w:p>
    <w:p>
      <w:pPr>
        <w:spacing w:after="156" w:afterLines="50"/>
        <w:ind w:firstLine="480" w:firstLineChars="200"/>
        <w:rPr>
          <w:rFonts w:ascii="Times New Roman" w:hAnsi="Times New Roman" w:eastAsia="宋体" w:cs="Times New Roman"/>
          <w:color w:val="000000"/>
          <w:szCs w:val="24"/>
        </w:rPr>
      </w:pPr>
      <w:r>
        <w:rPr>
          <w:rFonts w:ascii="Times New Roman" w:hAnsi="Times New Roman" w:eastAsia="宋体" w:cs="Times New Roman"/>
          <w:color w:val="000000"/>
          <w:szCs w:val="24"/>
        </w:rPr>
        <w:t>标准化数据集：</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支持患者基本信息数据集标准化；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支持基本健康信息数据集标准化；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支持卫生事件摘要数据集标准化；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支持医疗费用记录数据集标准化；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支持门急诊病历数据集标准化；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支持西药处方数据集标准化；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支持中药处方数据集标准化；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支持检查记录数据集标准化；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支持检验记录数据集标准化；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支持治疗记录数据集标准化；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支持一般手术记录数据集标准化；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支持麻醉术前访视记录数据集标准化；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支持麻醉记录数据集标准化；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支持麻醉术后访视记录数据集标准化；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支持输血记录数据集标准化；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支持阴道分娩记录数据集标准化；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支持一般护理记录数据集标准化；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支持病危（重）护理记录数据集标准化；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支持手术护理记录数据集标准化；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支持生命体征测量记录数据集标准化；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支持出入量记录数据集标准化；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支持高值耗材使用记录数据集标准化；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支持入院评估记录数据集标准化；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支持护理计划记录数据集标准化；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支持出院评估与指导记录数据集标准化；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支持手术同意书记录数据集标准化；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支持麻醉知情同意书记录数据集标准化；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支持输血治疗同意书记录数据集标准化；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支持特殊检查及特殊治疗同意书记录数据集标准化；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支持病危（重）通知书记录数据集标准化；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支持其他知情同意书记录数据集标准化；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支持住院病案首页记录数据集标准化；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支持中医住院病案首页记录数据集标准化；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支持入院记录数据集标准化；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支持24h内入出院记录数据集标准化；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支持24h内入院死亡记录数据集标准化；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支持首次病程记录数据集标准化；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支持日常病程记录数据集标准化；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支持上级医师查房记录数据集标准化；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支持疑难病例讨论记录数据集标准化；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支持交接班记录数据集标准化；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支持转科记录数据集标准化；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支持阶段小结记录数据集标准化；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支持抢救记录数据集标准化；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支持会诊记录数据集标准化；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支持术前小结记录数据集标准化；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支持术前讨论记录数据集标准化；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支持术后首次病程记录数据集标准化；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支持出院记录数据集标准化；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支持死亡记录数据集标准化；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支持死亡病例讨论记录数据集标准化；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支持住院医嘱记录数据集标准化；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支持出院小结记录数据集标准化；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支持转诊（院）记录数据集标准化；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支持医疗机构信息记录数据集标准化。</w:t>
      </w:r>
    </w:p>
    <w:p>
      <w:pPr>
        <w:pStyle w:val="7"/>
        <w:numPr>
          <w:ilvl w:val="5"/>
          <w:numId w:val="10"/>
        </w:numPr>
      </w:pPr>
      <w:r>
        <w:t>CDA共享文档</w:t>
      </w:r>
    </w:p>
    <w:p>
      <w:pPr>
        <w:spacing w:after="156" w:afterLines="50"/>
        <w:ind w:firstLine="480" w:firstLineChars="200"/>
        <w:rPr>
          <w:rFonts w:ascii="Times New Roman" w:hAnsi="Times New Roman" w:eastAsia="宋体" w:cs="Times New Roman"/>
          <w:color w:val="000000"/>
          <w:szCs w:val="24"/>
        </w:rPr>
      </w:pPr>
      <w:r>
        <w:rPr>
          <w:rFonts w:ascii="Times New Roman" w:hAnsi="Times New Roman" w:eastAsia="宋体" w:cs="Times New Roman"/>
          <w:color w:val="000000"/>
          <w:szCs w:val="24"/>
        </w:rPr>
        <w:t>标准化共享文档：</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支持病历摘要共享文档标准化；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支持门（急）诊病历共享文档标准化；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支持急诊留观病历共享文档标准化；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支持西药处方共享文档标准化；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支持中药处方共享文档标准化；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支持检查报告共享文档标准化；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支持检验报告共享文档标准化；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支持治疗记录共享文档标准化；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支持一般手术记录共享文档标准化；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支持麻醉术前访视记录共享文档标准化；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支持麻醉记录共享文档标准化；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支持麻醉术后访视记录共享文档标准化；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支持输血记录共享文档标准化；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支持一般护理记录共享文档标准化；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支持病重（病危）护理记录共享文档标准化；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支持手术护理记录共享文档标准化；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支持生命体征测量记录共享文档标准化；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支持出入量记录共享文档标准化；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支持高值耗材使用记录共享文档标准化；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支持入院评估记录共享文档标准化；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支持护理计划记录共享文档标准化；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支持出院评估与指导记录共享文档标准化；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支持手术同意书记录共享文档标准化；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支持麻醉知情同意书记录共享文档标准化；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支持输血治疗同意书记录共享文档标准化；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支持特殊检查及特殊治疗同意书记录共享文档标准化；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支持病危（重）通知书记录共享文档标准化；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支持其他知情告知同意书记录共享文档标准化；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支持住院病案首页记录共享文档标准化；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支持中医住院病案首页记录共享文档标准化；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支持入院记录共享文档标准化；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支持24小时内入出院记录共享文档标准化；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支持24小时内入院死亡记录共享文档标准化；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支持住院病程记录 首次病程记录共享文档标准化；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支持住院病程记录 日常病程记录共享文档标准化；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支持住院病程记录 上级医师查房记录共享文档标准化；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支持住院病程记录 疑难病例讨论记录共享文档标准化；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支持住院病程记录 交接班记录共享文档标准化；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支持住院病程记录 转科记录共享文档标准化；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支持住院病程记录 阶段小结共享文档标准化；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支持住院病程记录 抢救记录共享文档标准化；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支持住院病程记录 会诊记录共享文档标准化；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支持住院病程记录 术前小结共享文档标准化；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支持住院病程记录 术前讨论记录共享文档标准化；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支持住院病程记录 术后首次病程记录共享文档标准化；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支持住院病程记录 出院记录共享文档标准化；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支持住院病程记录 死亡记录共享文档标准化；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支持住院病程记录 死亡病例讨论记录共享文档标准化；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支持住院医嘱记录共享文档标准化；</w:t>
      </w:r>
    </w:p>
    <w:p>
      <w:pPr>
        <w:numPr>
          <w:ilvl w:val="0"/>
          <w:numId w:val="86"/>
        </w:numPr>
        <w:snapToGrid/>
        <w:spacing w:after="156" w:afterLines="5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支持出院小结记录共享文档标准化。</w:t>
      </w:r>
    </w:p>
    <w:p>
      <w:pPr>
        <w:pStyle w:val="3"/>
        <w:numPr>
          <w:ilvl w:val="1"/>
          <w:numId w:val="10"/>
        </w:numPr>
      </w:pPr>
      <w:bookmarkStart w:id="33" w:name="_Toc488051737"/>
      <w:bookmarkStart w:id="34" w:name="_Toc11163327"/>
      <w:bookmarkStart w:id="35" w:name="_Toc22209"/>
      <w:r>
        <w:rPr>
          <w:rFonts w:hint="eastAsia"/>
        </w:rPr>
        <w:t>项目工期要求</w:t>
      </w:r>
      <w:bookmarkEnd w:id="33"/>
      <w:bookmarkEnd w:id="34"/>
      <w:r>
        <w:rPr>
          <w:rFonts w:hint="eastAsia"/>
          <w:lang w:eastAsia="zh-CN"/>
        </w:rPr>
        <w:t>、验收标准及人员团队要求</w:t>
      </w:r>
      <w:bookmarkEnd w:id="35"/>
    </w:p>
    <w:p>
      <w:pPr>
        <w:pStyle w:val="54"/>
        <w:numPr>
          <w:ilvl w:val="0"/>
          <w:numId w:val="0"/>
        </w:numPr>
        <w:spacing w:line="360" w:lineRule="auto"/>
        <w:ind w:leftChars="98" w:right="0" w:rightChars="0"/>
        <w:rPr>
          <w:rFonts w:hint="eastAsia" w:ascii="宋体" w:hAnsi="宋体"/>
          <w:sz w:val="24"/>
          <w:szCs w:val="24"/>
        </w:rPr>
      </w:pPr>
      <w:r>
        <w:rPr>
          <w:rFonts w:hint="eastAsia" w:ascii="宋体" w:hAnsi="宋体" w:cs="Arial"/>
          <w:sz w:val="24"/>
          <w:szCs w:val="24"/>
          <w:lang w:val="en-US" w:eastAsia="zh-CN"/>
        </w:rPr>
        <w:t>1.</w:t>
      </w:r>
      <w:r>
        <w:rPr>
          <w:rFonts w:hint="eastAsia" w:ascii="宋体" w:hAnsi="宋体" w:cs="Arial"/>
          <w:sz w:val="24"/>
          <w:szCs w:val="24"/>
        </w:rPr>
        <w:t>中标人需在合同生效后</w:t>
      </w:r>
      <w:r>
        <w:rPr>
          <w:rFonts w:ascii="宋体" w:hAnsi="宋体" w:cs="Arial"/>
          <w:sz w:val="24"/>
          <w:szCs w:val="24"/>
        </w:rPr>
        <w:t>1</w:t>
      </w:r>
      <w:r>
        <w:rPr>
          <w:rFonts w:hint="eastAsia" w:ascii="宋体" w:hAnsi="宋体" w:cs="Arial"/>
          <w:sz w:val="24"/>
          <w:szCs w:val="24"/>
        </w:rPr>
        <w:t>个星期</w:t>
      </w:r>
      <w:r>
        <w:rPr>
          <w:rFonts w:ascii="宋体" w:hAnsi="宋体" w:cs="Arial"/>
          <w:sz w:val="24"/>
          <w:szCs w:val="24"/>
        </w:rPr>
        <w:t>内</w:t>
      </w:r>
      <w:r>
        <w:rPr>
          <w:rFonts w:hint="eastAsia" w:ascii="宋体" w:hAnsi="宋体" w:cs="Arial"/>
          <w:sz w:val="24"/>
          <w:szCs w:val="24"/>
        </w:rPr>
        <w:t>派项目实施人员到达用户现场开展工作，并必须在</w:t>
      </w:r>
      <w:r>
        <w:rPr>
          <w:rFonts w:ascii="宋体" w:hAnsi="宋体" w:cs="Arial"/>
          <w:sz w:val="24"/>
          <w:szCs w:val="24"/>
        </w:rPr>
        <w:t>2</w:t>
      </w:r>
      <w:r>
        <w:rPr>
          <w:rFonts w:hint="eastAsia" w:ascii="宋体" w:hAnsi="宋体" w:cs="Arial"/>
          <w:sz w:val="24"/>
          <w:szCs w:val="24"/>
        </w:rPr>
        <w:t>个月内完成系统的上线，</w:t>
      </w:r>
      <w:r>
        <w:rPr>
          <w:rFonts w:hint="eastAsia" w:ascii="宋体" w:hAnsi="宋体"/>
          <w:sz w:val="24"/>
          <w:szCs w:val="24"/>
        </w:rPr>
        <w:t>项目整体上线时需要保证现场工程师不少于8人，并进行不少于1个月的在线试运行和不少于1次的实际运行演练。项目整体建设期为</w:t>
      </w:r>
      <w:r>
        <w:rPr>
          <w:rFonts w:ascii="宋体" w:hAnsi="宋体"/>
          <w:sz w:val="24"/>
          <w:szCs w:val="24"/>
          <w:u w:val="single"/>
        </w:rPr>
        <w:t>10</w:t>
      </w:r>
      <w:r>
        <w:rPr>
          <w:rFonts w:hint="eastAsia" w:ascii="宋体" w:hAnsi="宋体"/>
          <w:sz w:val="24"/>
          <w:szCs w:val="24"/>
          <w:u w:val="single"/>
        </w:rPr>
        <w:t>个月</w:t>
      </w:r>
      <w:r>
        <w:rPr>
          <w:rFonts w:hint="eastAsia" w:ascii="宋体" w:hAnsi="宋体"/>
          <w:sz w:val="24"/>
          <w:szCs w:val="24"/>
        </w:rPr>
        <w:t>。</w:t>
      </w:r>
    </w:p>
    <w:p>
      <w:pPr>
        <w:pStyle w:val="54"/>
        <w:numPr>
          <w:ilvl w:val="0"/>
          <w:numId w:val="0"/>
        </w:numPr>
        <w:spacing w:line="360" w:lineRule="auto"/>
        <w:ind w:leftChars="98" w:right="0" w:rightChars="0"/>
        <w:rPr>
          <w:rFonts w:hint="default" w:ascii="宋体" w:hAnsi="宋体" w:cs="Arial"/>
          <w:sz w:val="24"/>
          <w:szCs w:val="24"/>
          <w:lang w:val="en-US" w:eastAsia="zh-CN"/>
        </w:rPr>
      </w:pPr>
      <w:r>
        <w:rPr>
          <w:rFonts w:hint="eastAsia" w:ascii="宋体" w:hAnsi="宋体" w:cs="Arial"/>
          <w:sz w:val="24"/>
          <w:szCs w:val="24"/>
          <w:lang w:val="en-US" w:eastAsia="zh-CN"/>
        </w:rPr>
        <w:t>2.专业服务团队不少于8人，其中驻场开发维护人员不少于5名、售后培训服务人员不少于3名，现场常驻专职项目经理至少1人 。</w:t>
      </w:r>
    </w:p>
    <w:p>
      <w:pPr>
        <w:pStyle w:val="54"/>
        <w:spacing w:line="360" w:lineRule="auto"/>
        <w:ind w:left="0" w:right="0" w:firstLine="235" w:firstLineChars="98"/>
        <w:rPr>
          <w:rFonts w:ascii="宋体" w:hAnsi="宋体"/>
          <w:sz w:val="24"/>
          <w:szCs w:val="24"/>
        </w:rPr>
      </w:pPr>
      <w:r>
        <w:rPr>
          <w:rFonts w:hint="eastAsia" w:ascii="宋体" w:hAnsi="宋体"/>
          <w:sz w:val="24"/>
          <w:szCs w:val="24"/>
          <w:lang w:val="en-US" w:eastAsia="zh-CN"/>
        </w:rPr>
        <w:t>3</w:t>
      </w:r>
      <w:r>
        <w:rPr>
          <w:rFonts w:ascii="宋体" w:hAnsi="宋体"/>
          <w:sz w:val="24"/>
          <w:szCs w:val="24"/>
        </w:rPr>
        <w:t>.</w:t>
      </w:r>
      <w:r>
        <w:rPr>
          <w:rFonts w:hint="eastAsia" w:ascii="宋体" w:hAnsi="宋体"/>
          <w:sz w:val="24"/>
          <w:szCs w:val="24"/>
        </w:rPr>
        <w:t>由中标人负责包含设备购置费、运输费、安装费、调试费、系统集成、培训、售后服务费、保险、利润、税金及合同包含的所有风险、责任，从项目中标起到项目验收合格以及维保期内所发生的费用。</w:t>
      </w:r>
    </w:p>
    <w:p>
      <w:pPr>
        <w:pStyle w:val="54"/>
        <w:spacing w:line="360" w:lineRule="auto"/>
        <w:ind w:left="0" w:right="0" w:firstLine="235" w:firstLineChars="98"/>
        <w:rPr>
          <w:rFonts w:ascii="宋体" w:hAnsi="宋体"/>
          <w:sz w:val="24"/>
          <w:szCs w:val="24"/>
        </w:rPr>
      </w:pPr>
      <w:r>
        <w:rPr>
          <w:rFonts w:hint="eastAsia" w:ascii="宋体" w:hAnsi="宋体" w:cs="Arial"/>
          <w:sz w:val="24"/>
          <w:szCs w:val="24"/>
          <w:lang w:val="en-US" w:eastAsia="zh-CN"/>
        </w:rPr>
        <w:t>4</w:t>
      </w:r>
      <w:r>
        <w:rPr>
          <w:rFonts w:ascii="宋体" w:hAnsi="宋体" w:cs="Arial"/>
          <w:sz w:val="24"/>
          <w:szCs w:val="24"/>
        </w:rPr>
        <w:t>.</w:t>
      </w:r>
      <w:r>
        <w:rPr>
          <w:rFonts w:hint="eastAsia" w:ascii="宋体" w:hAnsi="宋体"/>
          <w:sz w:val="24"/>
          <w:szCs w:val="24"/>
        </w:rPr>
        <w:t>项目验收：</w:t>
      </w:r>
    </w:p>
    <w:p>
      <w:pPr>
        <w:pStyle w:val="42"/>
        <w:numPr>
          <w:ilvl w:val="0"/>
          <w:numId w:val="97"/>
        </w:numPr>
        <w:adjustRightInd/>
        <w:snapToGrid/>
        <w:ind w:firstLineChars="0"/>
        <w:rPr>
          <w:rFonts w:ascii="宋体" w:hAnsi="宋体"/>
          <w:szCs w:val="24"/>
        </w:rPr>
      </w:pPr>
      <w:r>
        <w:rPr>
          <w:rFonts w:hint="eastAsia" w:ascii="宋体" w:hAnsi="宋体"/>
          <w:szCs w:val="24"/>
        </w:rPr>
        <w:t>完成</w:t>
      </w:r>
      <w:r>
        <w:rPr>
          <w:rFonts w:ascii="宋体" w:hAnsi="宋体"/>
          <w:szCs w:val="24"/>
        </w:rPr>
        <w:t>整体系统上线，</w:t>
      </w:r>
      <w:r>
        <w:rPr>
          <w:rFonts w:hint="eastAsia" w:ascii="宋体" w:hAnsi="宋体"/>
          <w:szCs w:val="24"/>
        </w:rPr>
        <w:t>平稳</w:t>
      </w:r>
      <w:r>
        <w:rPr>
          <w:rFonts w:ascii="宋体" w:hAnsi="宋体"/>
          <w:szCs w:val="24"/>
        </w:rPr>
        <w:t>运行</w:t>
      </w:r>
      <w:r>
        <w:rPr>
          <w:rFonts w:hint="eastAsia" w:ascii="宋体" w:hAnsi="宋体"/>
          <w:szCs w:val="24"/>
        </w:rPr>
        <w:t>1个月</w:t>
      </w:r>
      <w:r>
        <w:rPr>
          <w:rFonts w:ascii="宋体" w:hAnsi="宋体"/>
          <w:szCs w:val="24"/>
        </w:rPr>
        <w:t>后，</w:t>
      </w:r>
      <w:r>
        <w:rPr>
          <w:rFonts w:hint="eastAsia" w:ascii="宋体" w:hAnsi="宋体"/>
          <w:szCs w:val="24"/>
        </w:rPr>
        <w:t>进行</w:t>
      </w:r>
      <w:r>
        <w:rPr>
          <w:rFonts w:ascii="宋体" w:hAnsi="宋体"/>
          <w:szCs w:val="24"/>
        </w:rPr>
        <w:t>整体系统的验收。</w:t>
      </w:r>
    </w:p>
    <w:p>
      <w:pPr>
        <w:pStyle w:val="42"/>
        <w:numPr>
          <w:ilvl w:val="0"/>
          <w:numId w:val="97"/>
        </w:numPr>
        <w:adjustRightInd/>
        <w:snapToGrid/>
        <w:ind w:firstLineChars="0"/>
        <w:rPr>
          <w:rFonts w:ascii="宋体" w:hAnsi="宋体"/>
          <w:szCs w:val="24"/>
        </w:rPr>
      </w:pPr>
      <w:bookmarkStart w:id="36" w:name="_Toc226172751"/>
      <w:r>
        <w:rPr>
          <w:rFonts w:hint="eastAsia" w:ascii="宋体" w:hAnsi="宋体"/>
          <w:szCs w:val="24"/>
        </w:rPr>
        <w:t>技术文档</w:t>
      </w:r>
      <w:bookmarkEnd w:id="36"/>
      <w:r>
        <w:rPr>
          <w:rFonts w:ascii="宋体" w:hAnsi="宋体"/>
          <w:szCs w:val="24"/>
        </w:rPr>
        <w:t>要求</w:t>
      </w:r>
      <w:r>
        <w:rPr>
          <w:rFonts w:hint="eastAsia" w:ascii="宋体" w:hAnsi="宋体"/>
          <w:szCs w:val="24"/>
        </w:rPr>
        <w:t>：项目验收后投标方须提供详细的软件相关技术文档（含数据结构、数据流程图、系统字典说明等）、使用说明书、维护手册等文档资料。</w:t>
      </w:r>
    </w:p>
    <w:p>
      <w:pPr>
        <w:pStyle w:val="42"/>
        <w:numPr>
          <w:ilvl w:val="0"/>
          <w:numId w:val="97"/>
        </w:numPr>
        <w:adjustRightInd/>
        <w:snapToGrid/>
        <w:ind w:firstLineChars="0"/>
        <w:rPr>
          <w:rFonts w:ascii="宋体" w:hAnsi="宋体"/>
          <w:szCs w:val="24"/>
        </w:rPr>
      </w:pPr>
      <w:r>
        <w:rPr>
          <w:rFonts w:hint="eastAsia" w:ascii="宋体" w:hAnsi="宋体"/>
          <w:szCs w:val="24"/>
        </w:rPr>
        <w:t>文档（必须是中文）包括但不限于以下内容：</w:t>
      </w:r>
    </w:p>
    <w:p>
      <w:pPr>
        <w:pStyle w:val="42"/>
        <w:numPr>
          <w:ilvl w:val="1"/>
          <w:numId w:val="97"/>
        </w:numPr>
        <w:adjustRightInd/>
        <w:snapToGrid/>
        <w:ind w:firstLineChars="0"/>
        <w:rPr>
          <w:rFonts w:ascii="宋体" w:hAnsi="宋体"/>
          <w:szCs w:val="24"/>
        </w:rPr>
      </w:pPr>
      <w:r>
        <w:rPr>
          <w:rFonts w:hint="eastAsia" w:ascii="宋体" w:hAnsi="宋体"/>
          <w:szCs w:val="24"/>
        </w:rPr>
        <w:t>安装、测试报告：包括《安装报告》、《测试报告》等；</w:t>
      </w:r>
    </w:p>
    <w:p>
      <w:pPr>
        <w:pStyle w:val="42"/>
        <w:numPr>
          <w:ilvl w:val="1"/>
          <w:numId w:val="97"/>
        </w:numPr>
        <w:adjustRightInd/>
        <w:snapToGrid/>
        <w:ind w:firstLineChars="0"/>
        <w:rPr>
          <w:rFonts w:ascii="宋体" w:hAnsi="宋体"/>
          <w:szCs w:val="24"/>
        </w:rPr>
      </w:pPr>
      <w:r>
        <w:rPr>
          <w:rFonts w:hint="eastAsia" w:ascii="宋体" w:hAnsi="宋体"/>
          <w:szCs w:val="24"/>
        </w:rPr>
        <w:t>使用手册：包括《用户手册》、《培训手册》等；</w:t>
      </w:r>
    </w:p>
    <w:p>
      <w:pPr>
        <w:pStyle w:val="42"/>
        <w:numPr>
          <w:ilvl w:val="1"/>
          <w:numId w:val="97"/>
        </w:numPr>
        <w:adjustRightInd/>
        <w:snapToGrid/>
        <w:ind w:firstLineChars="0"/>
        <w:rPr>
          <w:rFonts w:ascii="宋体" w:hAnsi="宋体"/>
          <w:szCs w:val="24"/>
        </w:rPr>
      </w:pPr>
      <w:r>
        <w:rPr>
          <w:rFonts w:hint="eastAsia" w:ascii="宋体" w:hAnsi="宋体"/>
          <w:szCs w:val="24"/>
        </w:rPr>
        <w:t>系统、设备维护手册；</w:t>
      </w:r>
    </w:p>
    <w:p>
      <w:pPr>
        <w:pStyle w:val="42"/>
        <w:numPr>
          <w:ilvl w:val="1"/>
          <w:numId w:val="97"/>
        </w:numPr>
        <w:adjustRightInd/>
        <w:snapToGrid/>
        <w:ind w:firstLineChars="0"/>
        <w:rPr>
          <w:rFonts w:ascii="宋体" w:hAnsi="宋体"/>
          <w:szCs w:val="24"/>
        </w:rPr>
      </w:pPr>
      <w:r>
        <w:rPr>
          <w:rFonts w:hint="eastAsia" w:ascii="宋体" w:hAnsi="宋体"/>
          <w:szCs w:val="24"/>
        </w:rPr>
        <w:t>验收报告；</w:t>
      </w:r>
    </w:p>
    <w:p>
      <w:pPr>
        <w:pStyle w:val="3"/>
        <w:numPr>
          <w:ilvl w:val="1"/>
          <w:numId w:val="10"/>
        </w:numPr>
      </w:pPr>
      <w:bookmarkStart w:id="37" w:name="_Toc488051738"/>
      <w:bookmarkStart w:id="38" w:name="_Toc11163328"/>
      <w:bookmarkStart w:id="39" w:name="_Toc24222"/>
      <w:r>
        <w:rPr>
          <w:rFonts w:hint="eastAsia"/>
        </w:rPr>
        <w:t>质量保证要求</w:t>
      </w:r>
      <w:bookmarkEnd w:id="37"/>
      <w:bookmarkEnd w:id="38"/>
      <w:bookmarkEnd w:id="39"/>
    </w:p>
    <w:p>
      <w:pPr>
        <w:ind w:firstLine="480" w:firstLineChars="200"/>
        <w:rPr>
          <w:rFonts w:ascii="宋体" w:hAnsi="宋体" w:cs="Arial"/>
          <w:szCs w:val="24"/>
        </w:rPr>
      </w:pPr>
      <w:r>
        <w:rPr>
          <w:rFonts w:hint="eastAsia" w:ascii="宋体" w:hAnsi="宋体" w:cs="Arial"/>
          <w:szCs w:val="24"/>
        </w:rPr>
        <w:t>1.投标人需提供采用国际通用的规范化的软件开发、软件工程实施和项目管理方法，提供完善的质量保证体系，对项目实施的全过程进行监控和管理，对项目进度和工程实施</w:t>
      </w:r>
      <w:r>
        <w:rPr>
          <w:rFonts w:hint="eastAsia" w:ascii="宋体" w:hAnsi="宋体"/>
          <w:szCs w:val="24"/>
        </w:rPr>
        <w:t>进度</w:t>
      </w:r>
      <w:r>
        <w:rPr>
          <w:rFonts w:hint="eastAsia" w:ascii="宋体" w:hAnsi="宋体" w:cs="Arial"/>
          <w:szCs w:val="24"/>
        </w:rPr>
        <w:t>进行控制；同时必须有详细易懂的系统的安装、运行、验收测试的技术文件，所有的技术文件必须是中文版或有中文对照说明，并且本项目所有文档应该按照所使用的质量管理体系要求编写。</w:t>
      </w:r>
    </w:p>
    <w:p>
      <w:pPr>
        <w:pStyle w:val="3"/>
        <w:numPr>
          <w:ilvl w:val="1"/>
          <w:numId w:val="10"/>
        </w:numPr>
      </w:pPr>
      <w:bookmarkStart w:id="40" w:name="_Toc488051739"/>
      <w:bookmarkStart w:id="41" w:name="_Toc11163329"/>
      <w:bookmarkStart w:id="42" w:name="_Toc11039"/>
      <w:r>
        <w:rPr>
          <w:rFonts w:hint="eastAsia"/>
        </w:rPr>
        <w:t>培训要求</w:t>
      </w:r>
      <w:bookmarkEnd w:id="40"/>
      <w:bookmarkEnd w:id="41"/>
      <w:bookmarkEnd w:id="42"/>
    </w:p>
    <w:p>
      <w:pPr>
        <w:ind w:firstLine="480" w:firstLineChars="200"/>
        <w:rPr>
          <w:rFonts w:ascii="宋体" w:hAnsi="宋体"/>
          <w:szCs w:val="24"/>
        </w:rPr>
      </w:pPr>
      <w:r>
        <w:rPr>
          <w:rFonts w:ascii="宋体" w:hAnsi="宋体"/>
          <w:szCs w:val="24"/>
        </w:rPr>
        <w:t>1.</w:t>
      </w:r>
      <w:r>
        <w:rPr>
          <w:rFonts w:hint="eastAsia" w:ascii="宋体" w:hAnsi="宋体"/>
          <w:szCs w:val="24"/>
        </w:rPr>
        <w:t>为保证医院信息系统正常、安全地运行，技术支持力量和优良的服务是系统正常、安全运行的保障。投标方应据此制定系统详细的技术支持与服务方案</w:t>
      </w:r>
    </w:p>
    <w:p>
      <w:pPr>
        <w:ind w:firstLine="480" w:firstLineChars="200"/>
        <w:rPr>
          <w:rFonts w:ascii="宋体" w:hAnsi="宋体"/>
          <w:szCs w:val="24"/>
        </w:rPr>
      </w:pPr>
      <w:r>
        <w:rPr>
          <w:rFonts w:hint="eastAsia" w:ascii="宋体" w:hAnsi="宋体"/>
          <w:szCs w:val="24"/>
        </w:rPr>
        <w:t>2.投标人必须在对整个项目过程进行科学、有效的项目管理，以确保项目质量和进度，避免扰乱院方正常工作秩序和流程，并节省院方各类资源，充分发挥系统效益。</w:t>
      </w:r>
    </w:p>
    <w:p>
      <w:pPr>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在整个项目期间，中标人在各类故障的排除工作中，记录故障情况，分析故障原因，制定科学、合理、有效可行的解决方案，形成文档。</w:t>
      </w:r>
    </w:p>
    <w:p>
      <w:pPr>
        <w:ind w:firstLine="470" w:firstLineChars="196"/>
        <w:rPr>
          <w:rFonts w:ascii="宋体" w:hAnsi="宋体"/>
          <w:szCs w:val="24"/>
        </w:rPr>
      </w:pPr>
      <w:r>
        <w:rPr>
          <w:rFonts w:ascii="宋体" w:hAnsi="宋体"/>
          <w:szCs w:val="24"/>
        </w:rPr>
        <w:t>4.</w:t>
      </w:r>
      <w:r>
        <w:rPr>
          <w:rFonts w:hint="eastAsia" w:ascii="宋体" w:hAnsi="宋体"/>
          <w:szCs w:val="24"/>
        </w:rPr>
        <w:t>培训工作是整个系统得以正常运行的关键，除了对普通业务人员的专项培训以外，应对系统维护人员进行系统维护人员进行系统维护的培训。</w:t>
      </w:r>
    </w:p>
    <w:p>
      <w:pPr>
        <w:pStyle w:val="3"/>
        <w:numPr>
          <w:ilvl w:val="1"/>
          <w:numId w:val="10"/>
        </w:numPr>
      </w:pPr>
      <w:bookmarkStart w:id="43" w:name="_Toc488051740"/>
      <w:bookmarkStart w:id="44" w:name="_Toc11163330"/>
      <w:bookmarkStart w:id="45" w:name="_Toc320"/>
      <w:r>
        <w:rPr>
          <w:rFonts w:hint="eastAsia"/>
        </w:rPr>
        <w:t>售后服务要求</w:t>
      </w:r>
      <w:bookmarkEnd w:id="43"/>
      <w:bookmarkEnd w:id="44"/>
      <w:bookmarkEnd w:id="45"/>
    </w:p>
    <w:p>
      <w:pPr>
        <w:ind w:firstLine="360" w:firstLineChars="150"/>
        <w:rPr>
          <w:rFonts w:ascii="宋体" w:hAnsi="宋体"/>
          <w:szCs w:val="24"/>
        </w:rPr>
      </w:pPr>
      <w:r>
        <w:rPr>
          <w:rFonts w:hint="eastAsia" w:ascii="宋体" w:hAnsi="宋体"/>
          <w:szCs w:val="24"/>
        </w:rPr>
        <w:t>1.系统在验收合格后，投标人必须提供软件一年的免费功能增强性维护及免费技术维护服务（其中包括系统维护、跟踪检测等），并保证所投的系统正常运行。</w:t>
      </w:r>
    </w:p>
    <w:p>
      <w:pPr>
        <w:ind w:firstLine="360" w:firstLineChars="150"/>
        <w:rPr>
          <w:rFonts w:ascii="宋体" w:hAnsi="宋体"/>
          <w:szCs w:val="24"/>
        </w:rPr>
      </w:pPr>
      <w:r>
        <w:rPr>
          <w:rFonts w:hint="eastAsia" w:ascii="宋体" w:hAnsi="宋体"/>
          <w:szCs w:val="24"/>
        </w:rPr>
        <w:t>2.由于医院管理信息系统的特殊性（必须满足医院7*24小时不间断工作）因此，在接到系统故障通知后，投标人必须在30分钟内响应。对于影响系统正常运行的严重故障（包括由系统软硬件等原因引起的），投标人工程师及其他相关技术人员必须在接到故障通知后1小时内赶到现场，查找原因，提供解决方案，并工作至故障修妥完全修复正常服务为止，一般要求保证系统在24小时之内修复，并需要提供确保承诺实现的措施。投标人需提供7*24小时的维护和故障解决服务。</w:t>
      </w:r>
    </w:p>
    <w:p>
      <w:pPr>
        <w:ind w:firstLine="360" w:firstLineChars="150"/>
        <w:rPr>
          <w:rFonts w:ascii="宋体" w:hAnsi="宋体"/>
          <w:szCs w:val="24"/>
        </w:rPr>
      </w:pPr>
      <w:r>
        <w:rPr>
          <w:rFonts w:hint="eastAsia" w:ascii="宋体" w:hAnsi="宋体"/>
          <w:szCs w:val="24"/>
        </w:rPr>
        <w:t>3.在实施和质保期（即免费维护期）内，投标人需提供同版本软件免费客户化修改与免费升级服务，保证合同范围内功能模块满足客户化需求；</w:t>
      </w:r>
    </w:p>
    <w:p>
      <w:pPr>
        <w:ind w:firstLine="360" w:firstLineChars="150"/>
        <w:rPr>
          <w:rFonts w:ascii="宋体" w:hAnsi="宋体"/>
          <w:szCs w:val="24"/>
        </w:rPr>
      </w:pPr>
      <w:r>
        <w:rPr>
          <w:rFonts w:ascii="宋体" w:hAnsi="宋体"/>
          <w:szCs w:val="24"/>
        </w:rPr>
        <w:t>4.</w:t>
      </w:r>
      <w:r>
        <w:rPr>
          <w:rFonts w:hint="eastAsia" w:ascii="宋体" w:hAnsi="宋体"/>
          <w:szCs w:val="24"/>
        </w:rPr>
        <w:t>系统免费质保期内，投标方工程师负责服务跟踪，至少每月对系统巡检一次，保证系统在最优化的状态下稳定运行。</w:t>
      </w:r>
    </w:p>
    <w:p>
      <w:pPr>
        <w:ind w:firstLine="360" w:firstLineChars="150"/>
        <w:rPr>
          <w:rFonts w:ascii="宋体" w:hAnsi="宋体"/>
          <w:szCs w:val="24"/>
        </w:rPr>
      </w:pPr>
      <w:r>
        <w:rPr>
          <w:rFonts w:ascii="宋体" w:hAnsi="宋体"/>
          <w:szCs w:val="24"/>
        </w:rPr>
        <w:t>5</w:t>
      </w:r>
      <w:r>
        <w:rPr>
          <w:rFonts w:hint="eastAsia" w:ascii="宋体" w:hAnsi="宋体"/>
          <w:szCs w:val="24"/>
        </w:rPr>
        <w:t xml:space="preserve">.在质保期结束前，须由投标人工程师和院方代表进行一次全面检查，任何缺陷必须由投标人负责修改，在修改之后，投标人应将缺陷原因、修改内容、完成修改及恢复正常的时间和日期等报告给院方。报告一式两份。 </w:t>
      </w:r>
      <w:r>
        <w:rPr>
          <w:rFonts w:ascii="宋体" w:hAnsi="宋体"/>
          <w:szCs w:val="24"/>
        </w:rPr>
        <w:t xml:space="preserve"> </w:t>
      </w:r>
    </w:p>
    <w:p>
      <w:pPr>
        <w:pStyle w:val="3"/>
        <w:numPr>
          <w:ilvl w:val="1"/>
          <w:numId w:val="10"/>
        </w:numPr>
      </w:pPr>
      <w:bookmarkStart w:id="46" w:name="_Toc21536"/>
      <w:r>
        <w:rPr>
          <w:rFonts w:hint="eastAsia"/>
        </w:rPr>
        <w:t>合同付款方式要求</w:t>
      </w:r>
      <w:bookmarkEnd w:id="46"/>
    </w:p>
    <w:p>
      <w:pPr>
        <w:ind w:firstLine="360" w:firstLineChars="150"/>
        <w:rPr>
          <w:rFonts w:hint="eastAsia" w:ascii="宋体" w:hAnsi="宋体"/>
          <w:szCs w:val="24"/>
        </w:rPr>
      </w:pPr>
      <w:r>
        <w:rPr>
          <w:rFonts w:hint="eastAsia" w:ascii="宋体" w:hAnsi="宋体"/>
          <w:szCs w:val="24"/>
        </w:rPr>
        <w:t>1.中标人和甲方合同签订后，甲方收到中标人提供的正规发票15个工作日内甲方支付30%的合同预付款；项目验收合格后，经财务监理审核出具审核结算报告后中标人提供正规发票15个工作日内支付至合同最终审定价的95%；合同最终审定价的5%于项目验收一年后，甲方收到中标人提供的正规发票后15个工作日内支付。</w:t>
      </w:r>
    </w:p>
    <w:p>
      <w:pPr>
        <w:ind w:firstLine="480"/>
      </w:pPr>
    </w:p>
    <w:sectPr>
      <w:pgSz w:w="11906" w:h="16838"/>
      <w:pgMar w:top="1418" w:right="1418" w:bottom="1418" w:left="1418" w:header="907"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utura Hv">
    <w:altName w:val="Times New Roman"/>
    <w:panose1 w:val="00000000000000000000"/>
    <w:charset w:val="00"/>
    <w:family w:val="roman"/>
    <w:pitch w:val="default"/>
    <w:sig w:usb0="00000000" w:usb1="00000000" w:usb2="00000000" w:usb3="00000000" w:csb0="00040001" w:csb1="00000000"/>
  </w:font>
  <w:font w:name="苹方-简 常规体">
    <w:altName w:val="宋体"/>
    <w:panose1 w:val="00000000000000000000"/>
    <w:charset w:val="86"/>
    <w:family w:val="swiss"/>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r>
      <w:rPr>
        <w:rFonts w:hint="eastAsia"/>
        <w:color w:val="005F97"/>
      </w:rPr>
      <w:t>第</w:t>
    </w:r>
    <w:r>
      <w:rPr>
        <w:color w:val="005F97"/>
      </w:rPr>
      <w:fldChar w:fldCharType="begin"/>
    </w:r>
    <w:r>
      <w:rPr>
        <w:color w:val="005F97"/>
      </w:rPr>
      <w:instrText xml:space="preserve">PAGE   \* MERGEFORMAT</w:instrText>
    </w:r>
    <w:r>
      <w:rPr>
        <w:color w:val="005F97"/>
      </w:rPr>
      <w:fldChar w:fldCharType="separate"/>
    </w:r>
    <w:r>
      <w:rPr>
        <w:color w:val="005F97"/>
        <w:lang w:val="zh-CN"/>
      </w:rPr>
      <w:t>90</w:t>
    </w:r>
    <w:r>
      <w:rPr>
        <w:color w:val="005F97"/>
      </w:rPr>
      <w:fldChar w:fldCharType="end"/>
    </w:r>
    <w:r>
      <w:rPr>
        <w:color w:val="005F97"/>
      </w:rPr>
      <w:t>页</w:t>
    </w:r>
  </w:p>
  <w:p>
    <w:pPr>
      <w:pStyle w:val="2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11"/>
      </w:pBdr>
      <w:jc w:val="center"/>
      <w:rPr>
        <w:rFonts w:hint="eastAsia"/>
        <w:sz w:val="21"/>
        <w:szCs w:val="21"/>
      </w:rPr>
    </w:pPr>
    <w:r>
      <w:rPr>
        <w:rFonts w:hint="eastAsia"/>
        <w:sz w:val="21"/>
        <w:szCs w:val="21"/>
        <w:lang w:val="en-US" w:eastAsia="zh-CN"/>
      </w:rPr>
      <w:t>ZC20210087</w:t>
    </w:r>
    <w:r>
      <w:rPr>
        <w:rFonts w:hint="eastAsia"/>
        <w:sz w:val="21"/>
        <w:szCs w:val="21"/>
      </w:rPr>
      <w:t xml:space="preserve"> </w:t>
    </w:r>
    <w:r>
      <w:rPr>
        <w:rFonts w:hint="eastAsia"/>
        <w:sz w:val="21"/>
        <w:szCs w:val="21"/>
        <w:lang w:val="en-US" w:eastAsia="zh-CN"/>
      </w:rPr>
      <w:t xml:space="preserve"> </w:t>
    </w:r>
    <w:r>
      <w:rPr>
        <w:rFonts w:hint="eastAsia"/>
        <w:sz w:val="21"/>
        <w:szCs w:val="21"/>
      </w:rPr>
      <w:t>上海市长宁区天山中医医院信息系统改造与扩容二期（临床部分）公开招标项目</w:t>
    </w:r>
    <w:r>
      <w:rPr>
        <w:rFonts w:hint="eastAsia"/>
        <w:sz w:val="21"/>
        <w:szCs w:val="21"/>
        <w:lang w:val="en-US" w:eastAsia="zh-CN"/>
      </w:rPr>
      <w:t xml:space="preserve">       </w:t>
    </w:r>
    <w:r>
      <w:rPr>
        <w:rFonts w:hint="eastAsia"/>
        <w:sz w:val="21"/>
        <w:szCs w:val="21"/>
      </w:rPr>
      <w:t>需求文件</w:t>
    </w:r>
    <w:bookmarkStart w:id="47" w:name="_GoBack"/>
    <w:bookmarkEnd w:id="4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35CD8"/>
    <w:multiLevelType w:val="singleLevel"/>
    <w:tmpl w:val="83B35CD8"/>
    <w:lvl w:ilvl="0" w:tentative="0">
      <w:start w:val="1"/>
      <w:numFmt w:val="bullet"/>
      <w:lvlText w:val=""/>
      <w:lvlJc w:val="left"/>
      <w:pPr>
        <w:ind w:left="420" w:hanging="420"/>
      </w:pPr>
      <w:rPr>
        <w:rFonts w:hint="default" w:ascii="Wingdings" w:hAnsi="Wingdings"/>
      </w:rPr>
    </w:lvl>
  </w:abstractNum>
  <w:abstractNum w:abstractNumId="1">
    <w:nsid w:val="864D5E9A"/>
    <w:multiLevelType w:val="singleLevel"/>
    <w:tmpl w:val="864D5E9A"/>
    <w:lvl w:ilvl="0" w:tentative="0">
      <w:start w:val="1"/>
      <w:numFmt w:val="bullet"/>
      <w:lvlText w:val=""/>
      <w:lvlJc w:val="left"/>
      <w:pPr>
        <w:ind w:left="420" w:hanging="420"/>
      </w:pPr>
      <w:rPr>
        <w:rFonts w:hint="default" w:ascii="Wingdings" w:hAnsi="Wingdings"/>
      </w:rPr>
    </w:lvl>
  </w:abstractNum>
  <w:abstractNum w:abstractNumId="2">
    <w:nsid w:val="8852B487"/>
    <w:multiLevelType w:val="multilevel"/>
    <w:tmpl w:val="8852B487"/>
    <w:lvl w:ilvl="0" w:tentative="0">
      <w:start w:val="1"/>
      <w:numFmt w:val="decimal"/>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Letter"/>
      <w:lvlText w:val="%3)"/>
      <w:lvlJc w:val="left"/>
      <w:pPr>
        <w:tabs>
          <w:tab w:val="left" w:pos="1260"/>
        </w:tabs>
        <w:ind w:left="1260" w:hanging="420"/>
      </w:pPr>
      <w:rPr>
        <w:rFonts w:hint="default"/>
      </w:rPr>
    </w:lvl>
    <w:lvl w:ilvl="3" w:tentative="0">
      <w:start w:val="1"/>
      <w:numFmt w:val="lowerRoman"/>
      <w:lvlText w:val="%4."/>
      <w:lvlJc w:val="left"/>
      <w:pPr>
        <w:tabs>
          <w:tab w:val="left" w:pos="1680"/>
        </w:tabs>
        <w:ind w:left="1680" w:hanging="420"/>
      </w:pPr>
      <w:rPr>
        <w:rFonts w:hint="default"/>
      </w:rPr>
    </w:lvl>
    <w:lvl w:ilvl="4" w:tentative="0">
      <w:start w:val="1"/>
      <w:numFmt w:val="lowerRoman"/>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Letter"/>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
    <w:nsid w:val="889F5CBE"/>
    <w:multiLevelType w:val="singleLevel"/>
    <w:tmpl w:val="889F5CBE"/>
    <w:lvl w:ilvl="0" w:tentative="0">
      <w:start w:val="1"/>
      <w:numFmt w:val="bullet"/>
      <w:lvlText w:val=""/>
      <w:lvlJc w:val="left"/>
      <w:pPr>
        <w:ind w:left="420" w:hanging="420"/>
      </w:pPr>
      <w:rPr>
        <w:rFonts w:hint="default" w:ascii="Wingdings" w:hAnsi="Wingdings"/>
      </w:rPr>
    </w:lvl>
  </w:abstractNum>
  <w:abstractNum w:abstractNumId="4">
    <w:nsid w:val="8B46CDF3"/>
    <w:multiLevelType w:val="singleLevel"/>
    <w:tmpl w:val="8B46CDF3"/>
    <w:lvl w:ilvl="0" w:tentative="0">
      <w:start w:val="1"/>
      <w:numFmt w:val="bullet"/>
      <w:lvlText w:val=""/>
      <w:lvlJc w:val="left"/>
      <w:pPr>
        <w:ind w:left="420" w:hanging="420"/>
      </w:pPr>
      <w:rPr>
        <w:rFonts w:hint="default" w:ascii="Wingdings" w:hAnsi="Wingdings"/>
      </w:rPr>
    </w:lvl>
  </w:abstractNum>
  <w:abstractNum w:abstractNumId="5">
    <w:nsid w:val="8E519179"/>
    <w:multiLevelType w:val="singleLevel"/>
    <w:tmpl w:val="8E519179"/>
    <w:lvl w:ilvl="0" w:tentative="0">
      <w:start w:val="1"/>
      <w:numFmt w:val="bullet"/>
      <w:lvlText w:val=""/>
      <w:lvlJc w:val="left"/>
      <w:pPr>
        <w:ind w:left="420" w:hanging="420"/>
      </w:pPr>
      <w:rPr>
        <w:rFonts w:hint="default" w:ascii="Wingdings" w:hAnsi="Wingdings"/>
      </w:rPr>
    </w:lvl>
  </w:abstractNum>
  <w:abstractNum w:abstractNumId="6">
    <w:nsid w:val="92CA95BC"/>
    <w:multiLevelType w:val="multilevel"/>
    <w:tmpl w:val="92CA95BC"/>
    <w:lvl w:ilvl="0" w:tentative="0">
      <w:start w:val="1"/>
      <w:numFmt w:val="decimal"/>
      <w:suff w:val="space"/>
      <w:lvlText w:val="%1."/>
      <w:lvlJc w:val="left"/>
      <w:pPr>
        <w:ind w:left="8500" w:hanging="425"/>
      </w:pPr>
      <w:rPr>
        <w:rFonts w:hint="eastAsia"/>
        <w:b/>
        <w:i w:val="0"/>
        <w:sz w:val="32"/>
        <w:szCs w:val="32"/>
      </w:rPr>
    </w:lvl>
    <w:lvl w:ilvl="1" w:tentative="0">
      <w:start w:val="1"/>
      <w:numFmt w:val="decimal"/>
      <w:suff w:val="space"/>
      <w:lvlText w:val="%1.%2."/>
      <w:lvlJc w:val="left"/>
      <w:pPr>
        <w:ind w:left="425" w:hanging="425"/>
      </w:pPr>
      <w:rPr>
        <w:rFonts w:hint="eastAsia"/>
        <w:b/>
        <w:i w:val="0"/>
        <w:sz w:val="28"/>
        <w:szCs w:val="28"/>
      </w:rPr>
    </w:lvl>
    <w:lvl w:ilvl="2" w:tentative="0">
      <w:start w:val="1"/>
      <w:numFmt w:val="decimal"/>
      <w:pStyle w:val="92"/>
      <w:suff w:val="space"/>
      <w:lvlText w:val="%1.%2.%3."/>
      <w:lvlJc w:val="left"/>
      <w:pPr>
        <w:ind w:left="8500" w:hanging="425"/>
      </w:pPr>
      <w:rPr>
        <w:rFonts w:hint="eastAsia"/>
        <w:b/>
        <w:i w:val="0"/>
        <w:sz w:val="24"/>
        <w:szCs w:val="24"/>
      </w:rPr>
    </w:lvl>
    <w:lvl w:ilvl="3" w:tentative="0">
      <w:start w:val="1"/>
      <w:numFmt w:val="decimal"/>
      <w:suff w:val="space"/>
      <w:lvlText w:val="%1.%2.%3.%4."/>
      <w:lvlJc w:val="left"/>
      <w:pPr>
        <w:ind w:left="8500" w:hanging="425"/>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7">
    <w:nsid w:val="9D6BB72F"/>
    <w:multiLevelType w:val="multilevel"/>
    <w:tmpl w:val="9D6BB72F"/>
    <w:lvl w:ilvl="0" w:tentative="0">
      <w:start w:val="1"/>
      <w:numFmt w:val="decimal"/>
      <w:lvlText w:val="%1)"/>
      <w:lvlJc w:val="left"/>
      <w:pPr>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Letter"/>
      <w:lvlText w:val="%3)"/>
      <w:lvlJc w:val="left"/>
      <w:pPr>
        <w:tabs>
          <w:tab w:val="left" w:pos="1260"/>
        </w:tabs>
        <w:ind w:left="1260" w:hanging="420"/>
      </w:pPr>
      <w:rPr>
        <w:rFonts w:hint="default"/>
      </w:rPr>
    </w:lvl>
    <w:lvl w:ilvl="3" w:tentative="0">
      <w:start w:val="1"/>
      <w:numFmt w:val="lowerRoman"/>
      <w:lvlText w:val="%4."/>
      <w:lvlJc w:val="left"/>
      <w:pPr>
        <w:tabs>
          <w:tab w:val="left" w:pos="1680"/>
        </w:tabs>
        <w:ind w:left="1680" w:hanging="420"/>
      </w:pPr>
      <w:rPr>
        <w:rFonts w:hint="default"/>
      </w:rPr>
    </w:lvl>
    <w:lvl w:ilvl="4" w:tentative="0">
      <w:start w:val="1"/>
      <w:numFmt w:val="lowerRoman"/>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Letter"/>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8">
    <w:nsid w:val="A99974BE"/>
    <w:multiLevelType w:val="singleLevel"/>
    <w:tmpl w:val="A99974BE"/>
    <w:lvl w:ilvl="0" w:tentative="0">
      <w:start w:val="1"/>
      <w:numFmt w:val="bullet"/>
      <w:lvlText w:val=""/>
      <w:lvlJc w:val="left"/>
      <w:pPr>
        <w:ind w:left="420" w:hanging="420"/>
      </w:pPr>
      <w:rPr>
        <w:rFonts w:hint="default" w:ascii="Wingdings" w:hAnsi="Wingdings"/>
      </w:rPr>
    </w:lvl>
  </w:abstractNum>
  <w:abstractNum w:abstractNumId="9">
    <w:nsid w:val="ADF36355"/>
    <w:multiLevelType w:val="singleLevel"/>
    <w:tmpl w:val="ADF36355"/>
    <w:lvl w:ilvl="0" w:tentative="0">
      <w:start w:val="1"/>
      <w:numFmt w:val="bullet"/>
      <w:lvlText w:val=""/>
      <w:lvlJc w:val="left"/>
      <w:pPr>
        <w:ind w:left="420" w:hanging="420"/>
      </w:pPr>
      <w:rPr>
        <w:rFonts w:hint="default" w:ascii="Wingdings" w:hAnsi="Wingdings"/>
      </w:rPr>
    </w:lvl>
  </w:abstractNum>
  <w:abstractNum w:abstractNumId="10">
    <w:nsid w:val="B68B6FE4"/>
    <w:multiLevelType w:val="singleLevel"/>
    <w:tmpl w:val="B68B6FE4"/>
    <w:lvl w:ilvl="0" w:tentative="0">
      <w:start w:val="1"/>
      <w:numFmt w:val="decimal"/>
      <w:lvlText w:val="(%1)"/>
      <w:lvlJc w:val="left"/>
      <w:pPr>
        <w:ind w:left="425" w:hanging="425"/>
      </w:pPr>
      <w:rPr>
        <w:rFonts w:hint="default"/>
      </w:rPr>
    </w:lvl>
  </w:abstractNum>
  <w:abstractNum w:abstractNumId="11">
    <w:nsid w:val="C4A972F0"/>
    <w:multiLevelType w:val="singleLevel"/>
    <w:tmpl w:val="C4A972F0"/>
    <w:lvl w:ilvl="0" w:tentative="0">
      <w:start w:val="1"/>
      <w:numFmt w:val="bullet"/>
      <w:lvlText w:val=""/>
      <w:lvlJc w:val="left"/>
      <w:pPr>
        <w:ind w:left="420" w:hanging="420"/>
      </w:pPr>
      <w:rPr>
        <w:rFonts w:hint="default" w:ascii="Wingdings" w:hAnsi="Wingdings"/>
      </w:rPr>
    </w:lvl>
  </w:abstractNum>
  <w:abstractNum w:abstractNumId="12">
    <w:nsid w:val="CB2CEBCA"/>
    <w:multiLevelType w:val="singleLevel"/>
    <w:tmpl w:val="CB2CEBCA"/>
    <w:lvl w:ilvl="0" w:tentative="0">
      <w:start w:val="1"/>
      <w:numFmt w:val="bullet"/>
      <w:lvlText w:val=""/>
      <w:lvlJc w:val="left"/>
      <w:pPr>
        <w:ind w:left="420" w:hanging="420"/>
      </w:pPr>
      <w:rPr>
        <w:rFonts w:hint="default" w:ascii="Wingdings" w:hAnsi="Wingdings"/>
      </w:rPr>
    </w:lvl>
  </w:abstractNum>
  <w:abstractNum w:abstractNumId="13">
    <w:nsid w:val="CC6FDF02"/>
    <w:multiLevelType w:val="singleLevel"/>
    <w:tmpl w:val="CC6FDF02"/>
    <w:lvl w:ilvl="0" w:tentative="0">
      <w:start w:val="1"/>
      <w:numFmt w:val="bullet"/>
      <w:lvlText w:val=""/>
      <w:lvlJc w:val="left"/>
      <w:pPr>
        <w:ind w:left="420" w:hanging="420"/>
      </w:pPr>
      <w:rPr>
        <w:rFonts w:hint="default" w:ascii="Wingdings" w:hAnsi="Wingdings"/>
      </w:rPr>
    </w:lvl>
  </w:abstractNum>
  <w:abstractNum w:abstractNumId="14">
    <w:nsid w:val="D29E0435"/>
    <w:multiLevelType w:val="singleLevel"/>
    <w:tmpl w:val="D29E0435"/>
    <w:lvl w:ilvl="0" w:tentative="0">
      <w:start w:val="1"/>
      <w:numFmt w:val="bullet"/>
      <w:lvlText w:val=""/>
      <w:lvlJc w:val="left"/>
      <w:pPr>
        <w:ind w:left="420" w:hanging="420"/>
      </w:pPr>
      <w:rPr>
        <w:rFonts w:hint="default" w:ascii="Wingdings" w:hAnsi="Wingdings"/>
      </w:rPr>
    </w:lvl>
  </w:abstractNum>
  <w:abstractNum w:abstractNumId="15">
    <w:nsid w:val="D82FE27F"/>
    <w:multiLevelType w:val="singleLevel"/>
    <w:tmpl w:val="D82FE27F"/>
    <w:lvl w:ilvl="0" w:tentative="0">
      <w:start w:val="1"/>
      <w:numFmt w:val="bullet"/>
      <w:lvlText w:val=""/>
      <w:lvlJc w:val="left"/>
      <w:pPr>
        <w:ind w:left="420" w:hanging="420"/>
      </w:pPr>
      <w:rPr>
        <w:rFonts w:hint="default" w:ascii="Wingdings" w:hAnsi="Wingdings"/>
      </w:rPr>
    </w:lvl>
  </w:abstractNum>
  <w:abstractNum w:abstractNumId="16">
    <w:nsid w:val="DB31C955"/>
    <w:multiLevelType w:val="singleLevel"/>
    <w:tmpl w:val="DB31C955"/>
    <w:lvl w:ilvl="0" w:tentative="0">
      <w:start w:val="1"/>
      <w:numFmt w:val="bullet"/>
      <w:lvlText w:val=""/>
      <w:lvlJc w:val="left"/>
      <w:pPr>
        <w:ind w:left="420" w:hanging="420"/>
      </w:pPr>
      <w:rPr>
        <w:rFonts w:hint="default" w:ascii="Wingdings" w:hAnsi="Wingdings"/>
      </w:rPr>
    </w:lvl>
  </w:abstractNum>
  <w:abstractNum w:abstractNumId="17">
    <w:nsid w:val="DB97CFAB"/>
    <w:multiLevelType w:val="singleLevel"/>
    <w:tmpl w:val="DB97CFAB"/>
    <w:lvl w:ilvl="0" w:tentative="0">
      <w:start w:val="1"/>
      <w:numFmt w:val="bullet"/>
      <w:lvlText w:val=""/>
      <w:lvlJc w:val="left"/>
      <w:pPr>
        <w:ind w:left="420" w:hanging="420"/>
      </w:pPr>
      <w:rPr>
        <w:rFonts w:hint="default" w:ascii="Wingdings" w:hAnsi="Wingdings"/>
      </w:rPr>
    </w:lvl>
  </w:abstractNum>
  <w:abstractNum w:abstractNumId="18">
    <w:nsid w:val="E873C9C4"/>
    <w:multiLevelType w:val="singleLevel"/>
    <w:tmpl w:val="E873C9C4"/>
    <w:lvl w:ilvl="0" w:tentative="0">
      <w:start w:val="1"/>
      <w:numFmt w:val="bullet"/>
      <w:lvlText w:val=""/>
      <w:lvlJc w:val="left"/>
      <w:pPr>
        <w:ind w:left="420" w:hanging="420"/>
      </w:pPr>
      <w:rPr>
        <w:rFonts w:hint="default" w:ascii="Wingdings" w:hAnsi="Wingdings"/>
      </w:rPr>
    </w:lvl>
  </w:abstractNum>
  <w:abstractNum w:abstractNumId="19">
    <w:nsid w:val="E91BC1C7"/>
    <w:multiLevelType w:val="singleLevel"/>
    <w:tmpl w:val="E91BC1C7"/>
    <w:lvl w:ilvl="0" w:tentative="0">
      <w:start w:val="1"/>
      <w:numFmt w:val="decimal"/>
      <w:lvlText w:val="%1."/>
      <w:lvlJc w:val="left"/>
      <w:pPr>
        <w:ind w:left="425" w:hanging="425"/>
      </w:pPr>
      <w:rPr>
        <w:rFonts w:hint="default"/>
      </w:rPr>
    </w:lvl>
  </w:abstractNum>
  <w:abstractNum w:abstractNumId="20">
    <w:nsid w:val="FA614F3C"/>
    <w:multiLevelType w:val="singleLevel"/>
    <w:tmpl w:val="FA614F3C"/>
    <w:lvl w:ilvl="0" w:tentative="0">
      <w:start w:val="1"/>
      <w:numFmt w:val="decimal"/>
      <w:lvlText w:val="%1."/>
      <w:lvlJc w:val="left"/>
      <w:pPr>
        <w:ind w:left="425" w:hanging="425"/>
      </w:pPr>
      <w:rPr>
        <w:rFonts w:hint="default"/>
      </w:rPr>
    </w:lvl>
  </w:abstractNum>
  <w:abstractNum w:abstractNumId="21">
    <w:nsid w:val="FAFB4CB9"/>
    <w:multiLevelType w:val="singleLevel"/>
    <w:tmpl w:val="FAFB4CB9"/>
    <w:lvl w:ilvl="0" w:tentative="0">
      <w:start w:val="1"/>
      <w:numFmt w:val="bullet"/>
      <w:lvlText w:val=""/>
      <w:lvlJc w:val="left"/>
      <w:pPr>
        <w:ind w:left="420" w:hanging="420"/>
      </w:pPr>
      <w:rPr>
        <w:rFonts w:hint="default" w:ascii="Wingdings" w:hAnsi="Wingdings"/>
      </w:rPr>
    </w:lvl>
  </w:abstractNum>
  <w:abstractNum w:abstractNumId="22">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23">
    <w:nsid w:val="00000023"/>
    <w:multiLevelType w:val="multilevel"/>
    <w:tmpl w:val="00000023"/>
    <w:lvl w:ilvl="0" w:tentative="0">
      <w:start w:val="1"/>
      <w:numFmt w:val="decimal"/>
      <w:pStyle w:val="89"/>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0079F4BA"/>
    <w:multiLevelType w:val="singleLevel"/>
    <w:tmpl w:val="0079F4BA"/>
    <w:lvl w:ilvl="0" w:tentative="0">
      <w:start w:val="1"/>
      <w:numFmt w:val="bullet"/>
      <w:lvlText w:val=""/>
      <w:lvlJc w:val="left"/>
      <w:pPr>
        <w:ind w:left="420" w:hanging="420"/>
      </w:pPr>
      <w:rPr>
        <w:rFonts w:hint="default" w:ascii="Wingdings" w:hAnsi="Wingdings"/>
      </w:rPr>
    </w:lvl>
  </w:abstractNum>
  <w:abstractNum w:abstractNumId="25">
    <w:nsid w:val="02047287"/>
    <w:multiLevelType w:val="multilevel"/>
    <w:tmpl w:val="02047287"/>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26">
    <w:nsid w:val="03C9CD4C"/>
    <w:multiLevelType w:val="singleLevel"/>
    <w:tmpl w:val="03C9CD4C"/>
    <w:lvl w:ilvl="0" w:tentative="0">
      <w:start w:val="1"/>
      <w:numFmt w:val="bullet"/>
      <w:lvlText w:val=""/>
      <w:lvlJc w:val="left"/>
      <w:pPr>
        <w:ind w:left="420" w:hanging="420"/>
      </w:pPr>
      <w:rPr>
        <w:rFonts w:hint="default" w:ascii="Wingdings" w:hAnsi="Wingdings"/>
      </w:rPr>
    </w:lvl>
  </w:abstractNum>
  <w:abstractNum w:abstractNumId="27">
    <w:nsid w:val="048E585D"/>
    <w:multiLevelType w:val="multilevel"/>
    <w:tmpl w:val="048E585D"/>
    <w:lvl w:ilvl="0" w:tentative="0">
      <w:start w:val="1"/>
      <w:numFmt w:val="decimal"/>
      <w:lvlText w:val="%1"/>
      <w:lvlJc w:val="left"/>
      <w:pPr>
        <w:ind w:left="425" w:hanging="425"/>
      </w:pPr>
    </w:lvl>
    <w:lvl w:ilvl="1" w:tentative="0">
      <w:start w:val="1"/>
      <w:numFmt w:val="decimal"/>
      <w:pStyle w:val="94"/>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8">
    <w:nsid w:val="053773E0"/>
    <w:multiLevelType w:val="singleLevel"/>
    <w:tmpl w:val="053773E0"/>
    <w:lvl w:ilvl="0" w:tentative="0">
      <w:start w:val="1"/>
      <w:numFmt w:val="bullet"/>
      <w:lvlText w:val=""/>
      <w:lvlJc w:val="left"/>
      <w:pPr>
        <w:ind w:left="420" w:hanging="420"/>
      </w:pPr>
      <w:rPr>
        <w:rFonts w:hint="default" w:ascii="Wingdings" w:hAnsi="Wingdings"/>
      </w:rPr>
    </w:lvl>
  </w:abstractNum>
  <w:abstractNum w:abstractNumId="29">
    <w:nsid w:val="07D06DCD"/>
    <w:multiLevelType w:val="multilevel"/>
    <w:tmpl w:val="07D06DCD"/>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30">
    <w:nsid w:val="080B2C5B"/>
    <w:multiLevelType w:val="singleLevel"/>
    <w:tmpl w:val="080B2C5B"/>
    <w:lvl w:ilvl="0" w:tentative="0">
      <w:start w:val="1"/>
      <w:numFmt w:val="decimal"/>
      <w:lvlText w:val="%1)"/>
      <w:lvlJc w:val="left"/>
      <w:pPr>
        <w:ind w:left="425" w:hanging="425"/>
      </w:pPr>
      <w:rPr>
        <w:rFonts w:hint="default"/>
      </w:rPr>
    </w:lvl>
  </w:abstractNum>
  <w:abstractNum w:abstractNumId="31">
    <w:nsid w:val="0EE92BCA"/>
    <w:multiLevelType w:val="multilevel"/>
    <w:tmpl w:val="0EE92BCA"/>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2">
    <w:nsid w:val="0EFE6A17"/>
    <w:multiLevelType w:val="multilevel"/>
    <w:tmpl w:val="0EFE6A17"/>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33">
    <w:nsid w:val="0FFF6046"/>
    <w:multiLevelType w:val="multilevel"/>
    <w:tmpl w:val="0FFF6046"/>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4">
    <w:nsid w:val="123E1900"/>
    <w:multiLevelType w:val="multilevel"/>
    <w:tmpl w:val="123E1900"/>
    <w:lvl w:ilvl="0" w:tentative="0">
      <w:start w:val="1"/>
      <w:numFmt w:val="chineseCountingThousand"/>
      <w:pStyle w:val="46"/>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12881D93"/>
    <w:multiLevelType w:val="multilevel"/>
    <w:tmpl w:val="12881D93"/>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36">
    <w:nsid w:val="13C47337"/>
    <w:multiLevelType w:val="multilevel"/>
    <w:tmpl w:val="13C4733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7">
    <w:nsid w:val="153130E9"/>
    <w:multiLevelType w:val="multilevel"/>
    <w:tmpl w:val="153130E9"/>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38">
    <w:nsid w:val="157C7430"/>
    <w:multiLevelType w:val="multilevel"/>
    <w:tmpl w:val="157C7430"/>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39">
    <w:nsid w:val="15A76180"/>
    <w:multiLevelType w:val="multilevel"/>
    <w:tmpl w:val="15A76180"/>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40">
    <w:nsid w:val="16197B52"/>
    <w:multiLevelType w:val="multilevel"/>
    <w:tmpl w:val="16197B52"/>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41">
    <w:nsid w:val="19102657"/>
    <w:multiLevelType w:val="multilevel"/>
    <w:tmpl w:val="19102657"/>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42">
    <w:nsid w:val="19B57495"/>
    <w:multiLevelType w:val="multilevel"/>
    <w:tmpl w:val="19B57495"/>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43">
    <w:nsid w:val="1B73361B"/>
    <w:multiLevelType w:val="multilevel"/>
    <w:tmpl w:val="1B73361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1D3645B1"/>
    <w:multiLevelType w:val="multilevel"/>
    <w:tmpl w:val="1D3645B1"/>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45">
    <w:nsid w:val="1F5D679A"/>
    <w:multiLevelType w:val="multilevel"/>
    <w:tmpl w:val="1F5D679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6">
    <w:nsid w:val="213A5C94"/>
    <w:multiLevelType w:val="multilevel"/>
    <w:tmpl w:val="213A5C94"/>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7">
    <w:nsid w:val="22694FFB"/>
    <w:multiLevelType w:val="multilevel"/>
    <w:tmpl w:val="22694FFB"/>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48">
    <w:nsid w:val="246C81B8"/>
    <w:multiLevelType w:val="singleLevel"/>
    <w:tmpl w:val="246C81B8"/>
    <w:lvl w:ilvl="0" w:tentative="0">
      <w:start w:val="1"/>
      <w:numFmt w:val="bullet"/>
      <w:lvlText w:val=""/>
      <w:lvlJc w:val="left"/>
      <w:pPr>
        <w:ind w:left="420" w:hanging="420"/>
      </w:pPr>
      <w:rPr>
        <w:rFonts w:hint="default" w:ascii="Wingdings" w:hAnsi="Wingdings"/>
      </w:rPr>
    </w:lvl>
  </w:abstractNum>
  <w:abstractNum w:abstractNumId="49">
    <w:nsid w:val="264F6348"/>
    <w:multiLevelType w:val="multilevel"/>
    <w:tmpl w:val="264F6348"/>
    <w:lvl w:ilvl="0" w:tentative="0">
      <w:start w:val="1"/>
      <w:numFmt w:val="chineseCountingThousand"/>
      <w:pStyle w:val="2"/>
      <w:lvlText w:val="第%1章"/>
      <w:lvlJc w:val="left"/>
      <w:pPr>
        <w:ind w:left="425" w:hanging="425"/>
      </w:pPr>
      <w:rPr>
        <w:rFonts w:hint="eastAsia"/>
        <w:lang w:val="en-US"/>
      </w:rPr>
    </w:lvl>
    <w:lvl w:ilvl="1" w:tentative="0">
      <w:start w:val="1"/>
      <w:numFmt w:val="decimal"/>
      <w:pStyle w:val="3"/>
      <w:isLgl/>
      <w:suff w:val="space"/>
      <w:lvlText w:val="%1.%2."/>
      <w:lvlJc w:val="left"/>
      <w:pPr>
        <w:ind w:left="567" w:hanging="567"/>
      </w:pPr>
      <w:rPr>
        <w:rFonts w:hint="eastAsia"/>
      </w:rPr>
    </w:lvl>
    <w:lvl w:ilvl="2" w:tentative="0">
      <w:start w:val="1"/>
      <w:numFmt w:val="decimal"/>
      <w:pStyle w:val="4"/>
      <w:isLgl/>
      <w:suff w:val="space"/>
      <w:lvlText w:val="%1.%2.%3."/>
      <w:lvlJc w:val="left"/>
      <w:pPr>
        <w:ind w:left="709" w:hanging="709"/>
      </w:pPr>
      <w:rPr>
        <w:rFonts w:hint="eastAsia"/>
      </w:rPr>
    </w:lvl>
    <w:lvl w:ilvl="3" w:tentative="0">
      <w:start w:val="1"/>
      <w:numFmt w:val="decimal"/>
      <w:pStyle w:val="5"/>
      <w:isLgl/>
      <w:lvlText w:val="%1.%2.%3.%4."/>
      <w:lvlJc w:val="left"/>
      <w:pPr>
        <w:ind w:left="851" w:hanging="851"/>
      </w:pPr>
      <w:rPr>
        <w:rFonts w:hint="eastAsia"/>
      </w:rPr>
    </w:lvl>
    <w:lvl w:ilvl="4" w:tentative="0">
      <w:start w:val="1"/>
      <w:numFmt w:val="decimal"/>
      <w:pStyle w:val="6"/>
      <w:isLgl/>
      <w:lvlText w:val="%1.%2.%3.%4.%5."/>
      <w:lvlJc w:val="left"/>
      <w:pPr>
        <w:ind w:left="992" w:hanging="992"/>
      </w:pPr>
      <w:rPr>
        <w:rFonts w:hint="eastAsia"/>
      </w:rPr>
    </w:lvl>
    <w:lvl w:ilvl="5" w:tentative="0">
      <w:start w:val="1"/>
      <w:numFmt w:val="decimal"/>
      <w:pStyle w:val="7"/>
      <w:isLgl/>
      <w:lvlText w:val="%1.%2.%3.%4.%5.%6."/>
      <w:lvlJc w:val="left"/>
      <w:pPr>
        <w:ind w:left="1134" w:hanging="1134"/>
      </w:pPr>
      <w:rPr>
        <w:rFonts w:hint="eastAsia"/>
      </w:rPr>
    </w:lvl>
    <w:lvl w:ilvl="6" w:tentative="0">
      <w:start w:val="1"/>
      <w:numFmt w:val="decimal"/>
      <w:pStyle w:val="8"/>
      <w:isLgl/>
      <w:lvlText w:val="%1.%2.%3.%4.%5.%6.%7."/>
      <w:lvlJc w:val="left"/>
      <w:pPr>
        <w:ind w:left="1276" w:hanging="1276"/>
      </w:pPr>
      <w:rPr>
        <w:rFonts w:hint="eastAsia"/>
      </w:rPr>
    </w:lvl>
    <w:lvl w:ilvl="7" w:tentative="0">
      <w:start w:val="1"/>
      <w:numFmt w:val="decimal"/>
      <w:pStyle w:val="9"/>
      <w:isLgl/>
      <w:lvlText w:val="%1.%2.%3.%4.%5.%6.%7.%8."/>
      <w:lvlJc w:val="left"/>
      <w:pPr>
        <w:ind w:left="1418" w:hanging="1418"/>
      </w:pPr>
      <w:rPr>
        <w:rFonts w:hint="eastAsia"/>
      </w:rPr>
    </w:lvl>
    <w:lvl w:ilvl="8" w:tentative="0">
      <w:start w:val="1"/>
      <w:numFmt w:val="decimal"/>
      <w:pStyle w:val="10"/>
      <w:isLgl/>
      <w:lvlText w:val="%1.%2.%3.%4.%5.%6.%7.%8.%9."/>
      <w:lvlJc w:val="left"/>
      <w:pPr>
        <w:ind w:left="1559" w:hanging="1559"/>
      </w:pPr>
      <w:rPr>
        <w:rFonts w:hint="eastAsia"/>
      </w:rPr>
    </w:lvl>
  </w:abstractNum>
  <w:abstractNum w:abstractNumId="50">
    <w:nsid w:val="265B3CBB"/>
    <w:multiLevelType w:val="multilevel"/>
    <w:tmpl w:val="265B3CBB"/>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51">
    <w:nsid w:val="26F07DA4"/>
    <w:multiLevelType w:val="multilevel"/>
    <w:tmpl w:val="26F07DA4"/>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52">
    <w:nsid w:val="27EC4A14"/>
    <w:multiLevelType w:val="multilevel"/>
    <w:tmpl w:val="27EC4A14"/>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3">
    <w:nsid w:val="29A3A568"/>
    <w:multiLevelType w:val="singleLevel"/>
    <w:tmpl w:val="29A3A568"/>
    <w:lvl w:ilvl="0" w:tentative="0">
      <w:start w:val="1"/>
      <w:numFmt w:val="bullet"/>
      <w:lvlText w:val=""/>
      <w:lvlJc w:val="left"/>
      <w:pPr>
        <w:ind w:left="420" w:hanging="420"/>
      </w:pPr>
      <w:rPr>
        <w:rFonts w:hint="default" w:ascii="Wingdings" w:hAnsi="Wingdings"/>
      </w:rPr>
    </w:lvl>
  </w:abstractNum>
  <w:abstractNum w:abstractNumId="54">
    <w:nsid w:val="2A163AD0"/>
    <w:multiLevelType w:val="multilevel"/>
    <w:tmpl w:val="2A163AD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5">
    <w:nsid w:val="2A454756"/>
    <w:multiLevelType w:val="multilevel"/>
    <w:tmpl w:val="2A454756"/>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56">
    <w:nsid w:val="2B424CEE"/>
    <w:multiLevelType w:val="multilevel"/>
    <w:tmpl w:val="2B424CEE"/>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7">
    <w:nsid w:val="2CA03B00"/>
    <w:multiLevelType w:val="multilevel"/>
    <w:tmpl w:val="2CA03B00"/>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8">
    <w:nsid w:val="2D3920E9"/>
    <w:multiLevelType w:val="multilevel"/>
    <w:tmpl w:val="2D3920E9"/>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59">
    <w:nsid w:val="2F6C6E5A"/>
    <w:multiLevelType w:val="multilevel"/>
    <w:tmpl w:val="2F6C6E5A"/>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0">
    <w:nsid w:val="31F7097B"/>
    <w:multiLevelType w:val="multilevel"/>
    <w:tmpl w:val="31F7097B"/>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61">
    <w:nsid w:val="335212BF"/>
    <w:multiLevelType w:val="multilevel"/>
    <w:tmpl w:val="335212BF"/>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62">
    <w:nsid w:val="33841791"/>
    <w:multiLevelType w:val="multilevel"/>
    <w:tmpl w:val="3384179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3">
    <w:nsid w:val="33D857B2"/>
    <w:multiLevelType w:val="singleLevel"/>
    <w:tmpl w:val="33D857B2"/>
    <w:lvl w:ilvl="0" w:tentative="0">
      <w:start w:val="1"/>
      <w:numFmt w:val="bullet"/>
      <w:lvlText w:val=""/>
      <w:lvlJc w:val="left"/>
      <w:pPr>
        <w:ind w:left="420" w:hanging="420"/>
      </w:pPr>
      <w:rPr>
        <w:rFonts w:hint="default" w:ascii="Wingdings" w:hAnsi="Wingdings"/>
      </w:rPr>
    </w:lvl>
  </w:abstractNum>
  <w:abstractNum w:abstractNumId="64">
    <w:nsid w:val="33F742F8"/>
    <w:multiLevelType w:val="multilevel"/>
    <w:tmpl w:val="33F742F8"/>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65">
    <w:nsid w:val="36981FB1"/>
    <w:multiLevelType w:val="multilevel"/>
    <w:tmpl w:val="36981FB1"/>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66">
    <w:nsid w:val="37B85216"/>
    <w:multiLevelType w:val="multilevel"/>
    <w:tmpl w:val="37B85216"/>
    <w:lvl w:ilvl="0" w:tentative="0">
      <w:start w:val="1"/>
      <w:numFmt w:val="decimal"/>
      <w:lvlText w:val="%1."/>
      <w:lvlJc w:val="left"/>
      <w:pPr>
        <w:ind w:left="1320" w:hanging="420"/>
      </w:pPr>
      <w:rPr>
        <w:rFonts w:hint="default"/>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67">
    <w:nsid w:val="40BD572E"/>
    <w:multiLevelType w:val="multilevel"/>
    <w:tmpl w:val="40BD572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8">
    <w:nsid w:val="452726C1"/>
    <w:multiLevelType w:val="multilevel"/>
    <w:tmpl w:val="452726C1"/>
    <w:lvl w:ilvl="0" w:tentative="0">
      <w:start w:val="1"/>
      <w:numFmt w:val="decimal"/>
      <w:lvlText w:val="第%1章."/>
      <w:lvlJc w:val="left"/>
      <w:pPr>
        <w:tabs>
          <w:tab w:val="left" w:pos="0"/>
        </w:tabs>
        <w:ind w:left="420" w:hanging="420"/>
      </w:pPr>
      <w:rPr>
        <w:rFonts w:hint="eastAsia"/>
        <w:sz w:val="44"/>
        <w:szCs w:val="44"/>
        <w:lang w:val="en-US"/>
      </w:rPr>
    </w:lvl>
    <w:lvl w:ilvl="1" w:tentative="0">
      <w:start w:val="1"/>
      <w:numFmt w:val="decimal"/>
      <w:lvlText w:val="%1.%2"/>
      <w:lvlJc w:val="left"/>
      <w:pPr>
        <w:tabs>
          <w:tab w:val="left" w:pos="576"/>
        </w:tabs>
        <w:ind w:left="576" w:hanging="576"/>
      </w:pPr>
      <w:rPr>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tabs>
          <w:tab w:val="left" w:pos="720"/>
        </w:tabs>
        <w:ind w:left="720" w:hanging="720"/>
      </w:pPr>
      <w:rPr>
        <w:b w:val="0"/>
        <w:bCs w:val="0"/>
        <w:i w:val="0"/>
        <w:iCs w:val="0"/>
        <w:caps w:val="0"/>
        <w:smallCaps w:val="0"/>
        <w:strike w:val="0"/>
        <w:dstrike w:val="0"/>
        <w:vanish w:val="0"/>
        <w:color w:val="000000"/>
        <w:spacing w:val="0"/>
        <w:position w:val="0"/>
        <w:u w:val="none"/>
        <w:vertAlign w:val="baseline"/>
      </w:rPr>
    </w:lvl>
    <w:lvl w:ilvl="3" w:tentative="0">
      <w:start w:val="1"/>
      <w:numFmt w:val="decimal"/>
      <w:pStyle w:val="49"/>
      <w:lvlText w:val="%1.%2.%3.%4"/>
      <w:lvlJc w:val="left"/>
      <w:pPr>
        <w:tabs>
          <w:tab w:val="left" w:pos="864"/>
        </w:tabs>
        <w:ind w:left="864" w:hanging="864"/>
      </w:pPr>
      <w:rPr>
        <w:rFonts w:hint="eastAsia"/>
      </w:rPr>
    </w:lvl>
    <w:lvl w:ilvl="4" w:tentative="0">
      <w:start w:val="1"/>
      <w:numFmt w:val="decimal"/>
      <w:pStyle w:val="50"/>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9">
    <w:nsid w:val="46283B17"/>
    <w:multiLevelType w:val="multilevel"/>
    <w:tmpl w:val="46283B17"/>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0">
    <w:nsid w:val="47577D5F"/>
    <w:multiLevelType w:val="singleLevel"/>
    <w:tmpl w:val="47577D5F"/>
    <w:lvl w:ilvl="0" w:tentative="0">
      <w:start w:val="1"/>
      <w:numFmt w:val="bullet"/>
      <w:lvlText w:val=""/>
      <w:lvlJc w:val="left"/>
      <w:pPr>
        <w:ind w:left="420" w:hanging="420"/>
      </w:pPr>
      <w:rPr>
        <w:rFonts w:hint="default" w:ascii="Wingdings" w:hAnsi="Wingdings"/>
      </w:rPr>
    </w:lvl>
  </w:abstractNum>
  <w:abstractNum w:abstractNumId="71">
    <w:nsid w:val="490744FD"/>
    <w:multiLevelType w:val="multilevel"/>
    <w:tmpl w:val="490744FD"/>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2">
    <w:nsid w:val="492C690F"/>
    <w:multiLevelType w:val="multilevel"/>
    <w:tmpl w:val="492C690F"/>
    <w:lvl w:ilvl="0" w:tentative="0">
      <w:start w:val="1"/>
      <w:numFmt w:val="decimal"/>
      <w:pStyle w:val="83"/>
      <w:suff w:val="nothing"/>
      <w:lvlText w:val="第%1章"/>
      <w:lvlJc w:val="center"/>
      <w:pPr>
        <w:ind w:left="0" w:firstLine="0"/>
      </w:pPr>
      <w:rPr>
        <w:rFonts w:hint="eastAsia" w:ascii="宋体" w:hAnsi="宋体" w:eastAsia="宋体"/>
        <w:color w:val="000000"/>
      </w:rPr>
    </w:lvl>
    <w:lvl w:ilvl="1" w:tentative="0">
      <w:start w:val="1"/>
      <w:numFmt w:val="decimal"/>
      <w:pStyle w:val="84"/>
      <w:suff w:val="nothing"/>
      <w:lvlText w:val="%1.%2"/>
      <w:lvlJc w:val="left"/>
      <w:pPr>
        <w:ind w:left="0" w:firstLine="0"/>
      </w:pPr>
      <w:rPr>
        <w:rFonts w:hint="eastAsia" w:ascii="宋体" w:hAnsi="宋体" w:eastAsia="宋体"/>
      </w:rPr>
    </w:lvl>
    <w:lvl w:ilvl="2" w:tentative="0">
      <w:start w:val="1"/>
      <w:numFmt w:val="decimal"/>
      <w:pStyle w:val="85"/>
      <w:suff w:val="nothing"/>
      <w:lvlText w:val="%1.%2.%3"/>
      <w:lvlJc w:val="left"/>
      <w:pPr>
        <w:ind w:left="0" w:firstLine="0"/>
      </w:pPr>
      <w:rPr>
        <w:rFonts w:hint="eastAsia" w:ascii="宋体" w:hAnsi="宋体" w:eastAsia="宋体"/>
      </w:rPr>
    </w:lvl>
    <w:lvl w:ilvl="3" w:tentative="0">
      <w:start w:val="1"/>
      <w:numFmt w:val="decimal"/>
      <w:pStyle w:val="86"/>
      <w:suff w:val="nothing"/>
      <w:lvlText w:val="%1.%2.%3.%4"/>
      <w:lvlJc w:val="left"/>
      <w:pPr>
        <w:ind w:left="0" w:firstLine="0"/>
      </w:pPr>
      <w:rPr>
        <w:rFonts w:hint="eastAsia" w:ascii="宋体" w:hAnsi="宋体" w:eastAsia="宋体"/>
      </w:rPr>
    </w:lvl>
    <w:lvl w:ilvl="4" w:tentative="0">
      <w:start w:val="1"/>
      <w:numFmt w:val="decimal"/>
      <w:pStyle w:val="88"/>
      <w:suff w:val="nothing"/>
      <w:lvlText w:val="（%5）"/>
      <w:lvlJc w:val="left"/>
      <w:pPr>
        <w:ind w:left="0" w:firstLine="0"/>
      </w:pPr>
      <w:rPr>
        <w:rFonts w:hint="eastAsia" w:ascii="宋体" w:hAnsi="宋体" w:eastAsia="宋体"/>
      </w:rPr>
    </w:lvl>
    <w:lvl w:ilvl="5" w:tentative="0">
      <w:start w:val="1"/>
      <w:numFmt w:val="decimal"/>
      <w:lvlText w:val="%1.%2.%3.%4.%5.%6"/>
      <w:lvlJc w:val="left"/>
      <w:pPr>
        <w:tabs>
          <w:tab w:val="left" w:pos="720"/>
        </w:tabs>
        <w:ind w:left="0" w:firstLine="0"/>
      </w:pPr>
      <w:rPr>
        <w:rFonts w:hint="eastAsia" w:ascii="宋体" w:hAnsi="宋体" w:eastAsia="宋体"/>
      </w:rPr>
    </w:lvl>
    <w:lvl w:ilvl="6" w:tentative="0">
      <w:start w:val="1"/>
      <w:numFmt w:val="decimal"/>
      <w:lvlText w:val="%1.%2.%3.%4.%5.%6.%7"/>
      <w:lvlJc w:val="left"/>
      <w:pPr>
        <w:tabs>
          <w:tab w:val="left" w:pos="720"/>
        </w:tabs>
        <w:ind w:left="0" w:firstLine="0"/>
      </w:pPr>
      <w:rPr>
        <w:rFonts w:hint="eastAsia" w:ascii="宋体" w:hAnsi="宋体" w:eastAsia="宋体"/>
      </w:rPr>
    </w:lvl>
    <w:lvl w:ilvl="7" w:tentative="0">
      <w:start w:val="1"/>
      <w:numFmt w:val="decimal"/>
      <w:lvlText w:val="%1.%2.%3.%4.%5.%6.%7.%8"/>
      <w:lvlJc w:val="left"/>
      <w:pPr>
        <w:tabs>
          <w:tab w:val="left" w:pos="720"/>
        </w:tabs>
        <w:ind w:left="0" w:firstLine="0"/>
      </w:pPr>
      <w:rPr>
        <w:rFonts w:hint="eastAsia" w:ascii="宋体" w:hAnsi="宋体" w:eastAsia="宋体"/>
      </w:rPr>
    </w:lvl>
    <w:lvl w:ilvl="8" w:tentative="0">
      <w:start w:val="1"/>
      <w:numFmt w:val="decimal"/>
      <w:lvlText w:val="%1.%2.%3.%4.%5.%6.%7.%8.%9"/>
      <w:lvlJc w:val="left"/>
      <w:pPr>
        <w:tabs>
          <w:tab w:val="left" w:pos="720"/>
        </w:tabs>
        <w:ind w:left="0" w:firstLine="0"/>
      </w:pPr>
      <w:rPr>
        <w:rFonts w:hint="eastAsia" w:ascii="宋体" w:hAnsi="宋体" w:eastAsia="宋体"/>
      </w:rPr>
    </w:lvl>
  </w:abstractNum>
  <w:abstractNum w:abstractNumId="73">
    <w:nsid w:val="4AD92B0A"/>
    <w:multiLevelType w:val="multilevel"/>
    <w:tmpl w:val="4AD92B0A"/>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4">
    <w:nsid w:val="4D15A66B"/>
    <w:multiLevelType w:val="singleLevel"/>
    <w:tmpl w:val="4D15A66B"/>
    <w:lvl w:ilvl="0" w:tentative="0">
      <w:start w:val="1"/>
      <w:numFmt w:val="bullet"/>
      <w:lvlText w:val=""/>
      <w:lvlJc w:val="left"/>
      <w:pPr>
        <w:ind w:left="420" w:hanging="420"/>
      </w:pPr>
      <w:rPr>
        <w:rFonts w:hint="default" w:ascii="Wingdings" w:hAnsi="Wingdings"/>
      </w:rPr>
    </w:lvl>
  </w:abstractNum>
  <w:abstractNum w:abstractNumId="75">
    <w:nsid w:val="51B37998"/>
    <w:multiLevelType w:val="singleLevel"/>
    <w:tmpl w:val="51B37998"/>
    <w:lvl w:ilvl="0" w:tentative="0">
      <w:start w:val="1"/>
      <w:numFmt w:val="bullet"/>
      <w:lvlText w:val=""/>
      <w:lvlJc w:val="left"/>
      <w:pPr>
        <w:ind w:left="420" w:hanging="420"/>
      </w:pPr>
      <w:rPr>
        <w:rFonts w:hint="default" w:ascii="Wingdings" w:hAnsi="Wingdings"/>
      </w:rPr>
    </w:lvl>
  </w:abstractNum>
  <w:abstractNum w:abstractNumId="76">
    <w:nsid w:val="54649CEB"/>
    <w:multiLevelType w:val="singleLevel"/>
    <w:tmpl w:val="54649CEB"/>
    <w:lvl w:ilvl="0" w:tentative="0">
      <w:start w:val="1"/>
      <w:numFmt w:val="bullet"/>
      <w:lvlText w:val=""/>
      <w:lvlJc w:val="left"/>
      <w:pPr>
        <w:ind w:left="420" w:hanging="420"/>
      </w:pPr>
      <w:rPr>
        <w:rFonts w:hint="default" w:ascii="Wingdings" w:hAnsi="Wingdings"/>
      </w:rPr>
    </w:lvl>
  </w:abstractNum>
  <w:abstractNum w:abstractNumId="77">
    <w:nsid w:val="559F721C"/>
    <w:multiLevelType w:val="multilevel"/>
    <w:tmpl w:val="559F721C"/>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8">
    <w:nsid w:val="56070DA6"/>
    <w:multiLevelType w:val="multilevel"/>
    <w:tmpl w:val="56070DA6"/>
    <w:lvl w:ilvl="0" w:tentative="0">
      <w:start w:val="1"/>
      <w:numFmt w:val="bullet"/>
      <w:lvlText w:val=""/>
      <w:lvlJc w:val="left"/>
      <w:pPr>
        <w:ind w:left="432" w:hanging="432"/>
      </w:pPr>
      <w:rPr>
        <w:rFonts w:hint="default" w:ascii="Wingdings" w:hAnsi="Wingdings"/>
      </w:rPr>
    </w:lvl>
    <w:lvl w:ilvl="1" w:tentative="0">
      <w:start w:val="1"/>
      <w:numFmt w:val="decimal"/>
      <w:isLgl/>
      <w:lvlText w:val="%1.%2"/>
      <w:lvlJc w:val="left"/>
      <w:pPr>
        <w:ind w:left="576" w:hanging="576"/>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2" w:hanging="1152"/>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79">
    <w:nsid w:val="586D0933"/>
    <w:multiLevelType w:val="multilevel"/>
    <w:tmpl w:val="586D0933"/>
    <w:lvl w:ilvl="0" w:tentative="0">
      <w:start w:val="1"/>
      <w:numFmt w:val="decimal"/>
      <w:lvlText w:val="%1"/>
      <w:lvlJc w:val="left"/>
      <w:pPr>
        <w:ind w:left="425" w:hanging="425"/>
      </w:pPr>
      <w:rPr>
        <w:rFonts w:hint="eastAsia"/>
      </w:rPr>
    </w:lvl>
    <w:lvl w:ilvl="1" w:tentative="0">
      <w:start w:val="1"/>
      <w:numFmt w:val="decimal"/>
      <w:pStyle w:val="93"/>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417"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0">
    <w:nsid w:val="5F61D57B"/>
    <w:multiLevelType w:val="singleLevel"/>
    <w:tmpl w:val="5F61D57B"/>
    <w:lvl w:ilvl="0" w:tentative="0">
      <w:start w:val="1"/>
      <w:numFmt w:val="bullet"/>
      <w:lvlText w:val=""/>
      <w:lvlJc w:val="left"/>
      <w:pPr>
        <w:ind w:left="420" w:hanging="420"/>
      </w:pPr>
      <w:rPr>
        <w:rFonts w:hint="default" w:ascii="Wingdings" w:hAnsi="Wingdings"/>
      </w:rPr>
    </w:lvl>
  </w:abstractNum>
  <w:abstractNum w:abstractNumId="81">
    <w:nsid w:val="5F8071DE"/>
    <w:multiLevelType w:val="multilevel"/>
    <w:tmpl w:val="5F8071DE"/>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82">
    <w:nsid w:val="604A9817"/>
    <w:multiLevelType w:val="singleLevel"/>
    <w:tmpl w:val="604A9817"/>
    <w:lvl w:ilvl="0" w:tentative="0">
      <w:start w:val="19"/>
      <w:numFmt w:val="decimal"/>
      <w:suff w:val="nothing"/>
      <w:lvlText w:val="%1、"/>
      <w:lvlJc w:val="left"/>
    </w:lvl>
  </w:abstractNum>
  <w:abstractNum w:abstractNumId="83">
    <w:nsid w:val="6210DF53"/>
    <w:multiLevelType w:val="singleLevel"/>
    <w:tmpl w:val="6210DF53"/>
    <w:lvl w:ilvl="0" w:tentative="0">
      <w:start w:val="1"/>
      <w:numFmt w:val="bullet"/>
      <w:lvlText w:val=""/>
      <w:lvlJc w:val="left"/>
      <w:pPr>
        <w:ind w:left="420" w:hanging="420"/>
      </w:pPr>
      <w:rPr>
        <w:rFonts w:hint="default" w:ascii="Wingdings" w:hAnsi="Wingdings"/>
      </w:rPr>
    </w:lvl>
  </w:abstractNum>
  <w:abstractNum w:abstractNumId="84">
    <w:nsid w:val="62EE7D2E"/>
    <w:multiLevelType w:val="multilevel"/>
    <w:tmpl w:val="62EE7D2E"/>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85">
    <w:nsid w:val="635C15BE"/>
    <w:multiLevelType w:val="multilevel"/>
    <w:tmpl w:val="635C15BE"/>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86">
    <w:nsid w:val="66EE109F"/>
    <w:multiLevelType w:val="multilevel"/>
    <w:tmpl w:val="66EE109F"/>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87">
    <w:nsid w:val="6754CC7E"/>
    <w:multiLevelType w:val="singleLevel"/>
    <w:tmpl w:val="6754CC7E"/>
    <w:lvl w:ilvl="0" w:tentative="0">
      <w:start w:val="1"/>
      <w:numFmt w:val="bullet"/>
      <w:lvlText w:val=""/>
      <w:lvlJc w:val="left"/>
      <w:pPr>
        <w:ind w:left="420" w:hanging="420"/>
      </w:pPr>
      <w:rPr>
        <w:rFonts w:hint="default" w:ascii="Wingdings" w:hAnsi="Wingdings"/>
      </w:rPr>
    </w:lvl>
  </w:abstractNum>
  <w:abstractNum w:abstractNumId="88">
    <w:nsid w:val="68D8CE08"/>
    <w:multiLevelType w:val="singleLevel"/>
    <w:tmpl w:val="68D8CE08"/>
    <w:lvl w:ilvl="0" w:tentative="0">
      <w:start w:val="1"/>
      <w:numFmt w:val="decimal"/>
      <w:suff w:val="nothing"/>
      <w:lvlText w:val="（%1）"/>
      <w:lvlJc w:val="left"/>
    </w:lvl>
  </w:abstractNum>
  <w:abstractNum w:abstractNumId="89">
    <w:nsid w:val="6C444841"/>
    <w:multiLevelType w:val="multilevel"/>
    <w:tmpl w:val="6C444841"/>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90">
    <w:nsid w:val="6FBF3554"/>
    <w:multiLevelType w:val="multilevel"/>
    <w:tmpl w:val="6FBF3554"/>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91">
    <w:nsid w:val="755989FD"/>
    <w:multiLevelType w:val="singleLevel"/>
    <w:tmpl w:val="755989FD"/>
    <w:lvl w:ilvl="0" w:tentative="0">
      <w:start w:val="1"/>
      <w:numFmt w:val="bullet"/>
      <w:lvlText w:val=""/>
      <w:lvlJc w:val="left"/>
      <w:pPr>
        <w:ind w:left="420" w:hanging="420"/>
      </w:pPr>
      <w:rPr>
        <w:rFonts w:hint="default" w:ascii="Wingdings" w:hAnsi="Wingdings"/>
      </w:rPr>
    </w:lvl>
  </w:abstractNum>
  <w:abstractNum w:abstractNumId="92">
    <w:nsid w:val="774033C2"/>
    <w:multiLevelType w:val="multilevel"/>
    <w:tmpl w:val="774033C2"/>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93">
    <w:nsid w:val="78C164EB"/>
    <w:multiLevelType w:val="multilevel"/>
    <w:tmpl w:val="78C164EB"/>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abstractNum w:abstractNumId="94">
    <w:nsid w:val="7AA13F4D"/>
    <w:multiLevelType w:val="multilevel"/>
    <w:tmpl w:val="7AA13F4D"/>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7AD4576B"/>
    <w:multiLevelType w:val="multilevel"/>
    <w:tmpl w:val="7AD4576B"/>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6">
    <w:nsid w:val="7B967B85"/>
    <w:multiLevelType w:val="multilevel"/>
    <w:tmpl w:val="7B967B85"/>
    <w:lvl w:ilvl="0" w:tentative="0">
      <w:start w:val="1"/>
      <w:numFmt w:val="chineseCountingThousand"/>
      <w:lvlText w:val="第%1章"/>
      <w:lvlJc w:val="left"/>
      <w:pPr>
        <w:ind w:left="425" w:hanging="425"/>
      </w:pPr>
      <w:rPr>
        <w:rFonts w:hint="eastAsia"/>
        <w:lang w:val="en-US"/>
      </w:rPr>
    </w:lvl>
    <w:lvl w:ilvl="1" w:tentative="0">
      <w:start w:val="1"/>
      <w:numFmt w:val="decimal"/>
      <w:isLgl/>
      <w:suff w:val="space"/>
      <w:lvlText w:val="%1.%2."/>
      <w:lvlJc w:val="left"/>
      <w:pPr>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lvlText w:val="%1.%2.%3.%4."/>
      <w:lvlJc w:val="left"/>
      <w:pPr>
        <w:ind w:left="851" w:hanging="851"/>
      </w:pPr>
      <w:rPr>
        <w:rFonts w:hint="eastAsia"/>
      </w:rPr>
    </w:lvl>
    <w:lvl w:ilvl="4" w:tentative="0">
      <w:start w:val="1"/>
      <w:numFmt w:val="decimal"/>
      <w:isLgl/>
      <w:lvlText w:val="%1.%2.%3.%4.%5."/>
      <w:lvlJc w:val="left"/>
      <w:pPr>
        <w:ind w:left="992" w:hanging="992"/>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7."/>
      <w:lvlJc w:val="left"/>
      <w:pPr>
        <w:ind w:left="1276" w:hanging="1276"/>
      </w:pPr>
      <w:rPr>
        <w:rFonts w:hint="eastAsia"/>
      </w:rPr>
    </w:lvl>
    <w:lvl w:ilvl="7" w:tentative="0">
      <w:start w:val="1"/>
      <w:numFmt w:val="decimal"/>
      <w:lvlText w:val="%8)"/>
      <w:lvlJc w:val="left"/>
      <w:pPr>
        <w:ind w:left="1418" w:hanging="1418"/>
      </w:pPr>
      <w:rPr>
        <w:rFonts w:hint="default"/>
      </w:rPr>
    </w:lvl>
    <w:lvl w:ilvl="8" w:tentative="0">
      <w:start w:val="1"/>
      <w:numFmt w:val="decimal"/>
      <w:isLgl/>
      <w:lvlText w:val="%1.%2.%3.%4.%5.%6.%7.%8.%9."/>
      <w:lvlJc w:val="left"/>
      <w:pPr>
        <w:ind w:left="1559" w:hanging="1559"/>
      </w:pPr>
      <w:rPr>
        <w:rFonts w:hint="eastAsia"/>
      </w:rPr>
    </w:lvl>
  </w:abstractNum>
  <w:num w:numId="1">
    <w:abstractNumId w:val="49"/>
  </w:num>
  <w:num w:numId="2">
    <w:abstractNumId w:val="22"/>
  </w:num>
  <w:num w:numId="3">
    <w:abstractNumId w:val="34"/>
  </w:num>
  <w:num w:numId="4">
    <w:abstractNumId w:val="68"/>
  </w:num>
  <w:num w:numId="5">
    <w:abstractNumId w:val="72"/>
  </w:num>
  <w:num w:numId="6">
    <w:abstractNumId w:val="23"/>
  </w:num>
  <w:num w:numId="7">
    <w:abstractNumId w:val="6"/>
  </w:num>
  <w:num w:numId="8">
    <w:abstractNumId w:val="79"/>
  </w:num>
  <w:num w:numId="9">
    <w:abstractNumId w:val="27"/>
  </w:num>
  <w:num w:numId="10">
    <w:abstractNumId w:val="89"/>
  </w:num>
  <w:num w:numId="11">
    <w:abstractNumId w:val="25"/>
  </w:num>
  <w:num w:numId="12">
    <w:abstractNumId w:val="88"/>
  </w:num>
  <w:num w:numId="13">
    <w:abstractNumId w:val="81"/>
  </w:num>
  <w:num w:numId="14">
    <w:abstractNumId w:val="67"/>
  </w:num>
  <w:num w:numId="15">
    <w:abstractNumId w:val="52"/>
  </w:num>
  <w:num w:numId="16">
    <w:abstractNumId w:val="46"/>
  </w:num>
  <w:num w:numId="17">
    <w:abstractNumId w:val="37"/>
  </w:num>
  <w:num w:numId="18">
    <w:abstractNumId w:val="95"/>
  </w:num>
  <w:num w:numId="19">
    <w:abstractNumId w:val="80"/>
  </w:num>
  <w:num w:numId="20">
    <w:abstractNumId w:val="59"/>
  </w:num>
  <w:num w:numId="21">
    <w:abstractNumId w:val="56"/>
  </w:num>
  <w:num w:numId="22">
    <w:abstractNumId w:val="31"/>
  </w:num>
  <w:num w:numId="23">
    <w:abstractNumId w:val="29"/>
  </w:num>
  <w:num w:numId="24">
    <w:abstractNumId w:val="38"/>
  </w:num>
  <w:num w:numId="25">
    <w:abstractNumId w:val="65"/>
  </w:num>
  <w:num w:numId="26">
    <w:abstractNumId w:val="78"/>
  </w:num>
  <w:num w:numId="27">
    <w:abstractNumId w:val="40"/>
  </w:num>
  <w:num w:numId="28">
    <w:abstractNumId w:val="60"/>
  </w:num>
  <w:num w:numId="29">
    <w:abstractNumId w:val="94"/>
  </w:num>
  <w:num w:numId="30">
    <w:abstractNumId w:val="8"/>
  </w:num>
  <w:num w:numId="31">
    <w:abstractNumId w:val="93"/>
  </w:num>
  <w:num w:numId="32">
    <w:abstractNumId w:val="10"/>
  </w:num>
  <w:num w:numId="33">
    <w:abstractNumId w:val="85"/>
  </w:num>
  <w:num w:numId="34">
    <w:abstractNumId w:val="21"/>
  </w:num>
  <w:num w:numId="35">
    <w:abstractNumId w:val="83"/>
  </w:num>
  <w:num w:numId="36">
    <w:abstractNumId w:val="51"/>
  </w:num>
  <w:num w:numId="37">
    <w:abstractNumId w:val="71"/>
  </w:num>
  <w:num w:numId="38">
    <w:abstractNumId w:val="11"/>
  </w:num>
  <w:num w:numId="39">
    <w:abstractNumId w:val="54"/>
  </w:num>
  <w:num w:numId="40">
    <w:abstractNumId w:val="19"/>
  </w:num>
  <w:num w:numId="41">
    <w:abstractNumId w:val="86"/>
  </w:num>
  <w:num w:numId="42">
    <w:abstractNumId w:val="62"/>
  </w:num>
  <w:num w:numId="43">
    <w:abstractNumId w:val="96"/>
  </w:num>
  <w:num w:numId="44">
    <w:abstractNumId w:val="50"/>
  </w:num>
  <w:num w:numId="45">
    <w:abstractNumId w:val="66"/>
  </w:num>
  <w:num w:numId="46">
    <w:abstractNumId w:val="55"/>
  </w:num>
  <w:num w:numId="47">
    <w:abstractNumId w:val="44"/>
  </w:num>
  <w:num w:numId="48">
    <w:abstractNumId w:val="43"/>
  </w:num>
  <w:num w:numId="49">
    <w:abstractNumId w:val="5"/>
  </w:num>
  <w:num w:numId="50">
    <w:abstractNumId w:val="42"/>
  </w:num>
  <w:num w:numId="51">
    <w:abstractNumId w:val="28"/>
  </w:num>
  <w:num w:numId="52">
    <w:abstractNumId w:val="24"/>
  </w:num>
  <w:num w:numId="53">
    <w:abstractNumId w:val="91"/>
  </w:num>
  <w:num w:numId="54">
    <w:abstractNumId w:val="75"/>
  </w:num>
  <w:num w:numId="55">
    <w:abstractNumId w:val="35"/>
  </w:num>
  <w:num w:numId="56">
    <w:abstractNumId w:val="57"/>
  </w:num>
  <w:num w:numId="57">
    <w:abstractNumId w:val="73"/>
  </w:num>
  <w:num w:numId="58">
    <w:abstractNumId w:val="77"/>
  </w:num>
  <w:num w:numId="59">
    <w:abstractNumId w:val="33"/>
  </w:num>
  <w:num w:numId="60">
    <w:abstractNumId w:val="61"/>
  </w:num>
  <w:num w:numId="61">
    <w:abstractNumId w:val="7"/>
  </w:num>
  <w:num w:numId="62">
    <w:abstractNumId w:val="2"/>
  </w:num>
  <w:num w:numId="63">
    <w:abstractNumId w:val="30"/>
  </w:num>
  <w:num w:numId="64">
    <w:abstractNumId w:val="45"/>
  </w:num>
  <w:num w:numId="65">
    <w:abstractNumId w:val="74"/>
  </w:num>
  <w:num w:numId="66">
    <w:abstractNumId w:val="63"/>
  </w:num>
  <w:num w:numId="67">
    <w:abstractNumId w:val="70"/>
  </w:num>
  <w:num w:numId="68">
    <w:abstractNumId w:val="0"/>
  </w:num>
  <w:num w:numId="69">
    <w:abstractNumId w:val="87"/>
  </w:num>
  <w:num w:numId="70">
    <w:abstractNumId w:val="13"/>
  </w:num>
  <w:num w:numId="71">
    <w:abstractNumId w:val="1"/>
  </w:num>
  <w:num w:numId="72">
    <w:abstractNumId w:val="4"/>
  </w:num>
  <w:num w:numId="73">
    <w:abstractNumId w:val="58"/>
  </w:num>
  <w:num w:numId="74">
    <w:abstractNumId w:val="20"/>
  </w:num>
  <w:num w:numId="75">
    <w:abstractNumId w:val="3"/>
  </w:num>
  <w:num w:numId="76">
    <w:abstractNumId w:val="16"/>
  </w:num>
  <w:num w:numId="77">
    <w:abstractNumId w:val="14"/>
  </w:num>
  <w:num w:numId="78">
    <w:abstractNumId w:val="26"/>
  </w:num>
  <w:num w:numId="79">
    <w:abstractNumId w:val="12"/>
  </w:num>
  <w:num w:numId="80">
    <w:abstractNumId w:val="18"/>
  </w:num>
  <w:num w:numId="81">
    <w:abstractNumId w:val="48"/>
  </w:num>
  <w:num w:numId="82">
    <w:abstractNumId w:val="15"/>
  </w:num>
  <w:num w:numId="83">
    <w:abstractNumId w:val="17"/>
  </w:num>
  <w:num w:numId="84">
    <w:abstractNumId w:val="9"/>
  </w:num>
  <w:num w:numId="85">
    <w:abstractNumId w:val="76"/>
  </w:num>
  <w:num w:numId="86">
    <w:abstractNumId w:val="53"/>
  </w:num>
  <w:num w:numId="87">
    <w:abstractNumId w:val="82"/>
  </w:num>
  <w:num w:numId="88">
    <w:abstractNumId w:val="32"/>
  </w:num>
  <w:num w:numId="89">
    <w:abstractNumId w:val="69"/>
  </w:num>
  <w:num w:numId="90">
    <w:abstractNumId w:val="64"/>
  </w:num>
  <w:num w:numId="91">
    <w:abstractNumId w:val="39"/>
  </w:num>
  <w:num w:numId="92">
    <w:abstractNumId w:val="41"/>
  </w:num>
  <w:num w:numId="93">
    <w:abstractNumId w:val="47"/>
  </w:num>
  <w:num w:numId="94">
    <w:abstractNumId w:val="90"/>
  </w:num>
  <w:num w:numId="95">
    <w:abstractNumId w:val="92"/>
  </w:num>
  <w:num w:numId="96">
    <w:abstractNumId w:val="84"/>
  </w:num>
  <w:num w:numId="9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3D"/>
    <w:rsid w:val="0000294B"/>
    <w:rsid w:val="00003390"/>
    <w:rsid w:val="00004513"/>
    <w:rsid w:val="00006C0D"/>
    <w:rsid w:val="00014638"/>
    <w:rsid w:val="000150CB"/>
    <w:rsid w:val="00016F01"/>
    <w:rsid w:val="00027188"/>
    <w:rsid w:val="00031E3C"/>
    <w:rsid w:val="000320D9"/>
    <w:rsid w:val="00032C2D"/>
    <w:rsid w:val="000336EA"/>
    <w:rsid w:val="00034833"/>
    <w:rsid w:val="000351FB"/>
    <w:rsid w:val="00035DC9"/>
    <w:rsid w:val="00036A66"/>
    <w:rsid w:val="00037ABF"/>
    <w:rsid w:val="00040684"/>
    <w:rsid w:val="000448CA"/>
    <w:rsid w:val="00045DF5"/>
    <w:rsid w:val="00050563"/>
    <w:rsid w:val="00050A59"/>
    <w:rsid w:val="00051536"/>
    <w:rsid w:val="00053CA4"/>
    <w:rsid w:val="00056C93"/>
    <w:rsid w:val="000578E0"/>
    <w:rsid w:val="00060DA2"/>
    <w:rsid w:val="00063883"/>
    <w:rsid w:val="00064348"/>
    <w:rsid w:val="00064E12"/>
    <w:rsid w:val="00066A75"/>
    <w:rsid w:val="0007125B"/>
    <w:rsid w:val="00075033"/>
    <w:rsid w:val="00080436"/>
    <w:rsid w:val="00082589"/>
    <w:rsid w:val="00085C99"/>
    <w:rsid w:val="00086426"/>
    <w:rsid w:val="00090C21"/>
    <w:rsid w:val="00092C53"/>
    <w:rsid w:val="00092C9C"/>
    <w:rsid w:val="0009355D"/>
    <w:rsid w:val="000A1325"/>
    <w:rsid w:val="000A1E3F"/>
    <w:rsid w:val="000A6351"/>
    <w:rsid w:val="000B1197"/>
    <w:rsid w:val="000B19A2"/>
    <w:rsid w:val="000B21FF"/>
    <w:rsid w:val="000B6210"/>
    <w:rsid w:val="000B6542"/>
    <w:rsid w:val="000B6EB0"/>
    <w:rsid w:val="000C18EB"/>
    <w:rsid w:val="000C71DE"/>
    <w:rsid w:val="000D006E"/>
    <w:rsid w:val="000D00A5"/>
    <w:rsid w:val="000D026F"/>
    <w:rsid w:val="000D088B"/>
    <w:rsid w:val="000D1141"/>
    <w:rsid w:val="000D2258"/>
    <w:rsid w:val="000D2294"/>
    <w:rsid w:val="000D5303"/>
    <w:rsid w:val="000D6258"/>
    <w:rsid w:val="000E0877"/>
    <w:rsid w:val="000E0F82"/>
    <w:rsid w:val="000E167B"/>
    <w:rsid w:val="000E2186"/>
    <w:rsid w:val="000E4098"/>
    <w:rsid w:val="000E57E1"/>
    <w:rsid w:val="000E70E0"/>
    <w:rsid w:val="000F0EBE"/>
    <w:rsid w:val="000F26AF"/>
    <w:rsid w:val="000F3201"/>
    <w:rsid w:val="000F4371"/>
    <w:rsid w:val="000F49A0"/>
    <w:rsid w:val="000F5B5E"/>
    <w:rsid w:val="000F6CA3"/>
    <w:rsid w:val="00101A08"/>
    <w:rsid w:val="0010300F"/>
    <w:rsid w:val="00105575"/>
    <w:rsid w:val="0010564F"/>
    <w:rsid w:val="00105BF2"/>
    <w:rsid w:val="00113E0C"/>
    <w:rsid w:val="0011425E"/>
    <w:rsid w:val="0011579E"/>
    <w:rsid w:val="00121193"/>
    <w:rsid w:val="00123C68"/>
    <w:rsid w:val="00125070"/>
    <w:rsid w:val="001259C2"/>
    <w:rsid w:val="00127819"/>
    <w:rsid w:val="001353AA"/>
    <w:rsid w:val="00136F05"/>
    <w:rsid w:val="00140199"/>
    <w:rsid w:val="0014143F"/>
    <w:rsid w:val="00142CCE"/>
    <w:rsid w:val="001450F8"/>
    <w:rsid w:val="00147A09"/>
    <w:rsid w:val="00151AB5"/>
    <w:rsid w:val="00152C85"/>
    <w:rsid w:val="00154370"/>
    <w:rsid w:val="00160B2E"/>
    <w:rsid w:val="0016544E"/>
    <w:rsid w:val="00165858"/>
    <w:rsid w:val="001669B6"/>
    <w:rsid w:val="001704BD"/>
    <w:rsid w:val="00174F8B"/>
    <w:rsid w:val="001756F9"/>
    <w:rsid w:val="001769DA"/>
    <w:rsid w:val="001810CC"/>
    <w:rsid w:val="00183CFD"/>
    <w:rsid w:val="001869E4"/>
    <w:rsid w:val="00186B36"/>
    <w:rsid w:val="001872AF"/>
    <w:rsid w:val="00191E0F"/>
    <w:rsid w:val="00192F72"/>
    <w:rsid w:val="00193F55"/>
    <w:rsid w:val="00195623"/>
    <w:rsid w:val="00195F57"/>
    <w:rsid w:val="001A0203"/>
    <w:rsid w:val="001A369A"/>
    <w:rsid w:val="001A4510"/>
    <w:rsid w:val="001A5444"/>
    <w:rsid w:val="001A5DF0"/>
    <w:rsid w:val="001B334B"/>
    <w:rsid w:val="001B7413"/>
    <w:rsid w:val="001C2E4F"/>
    <w:rsid w:val="001D48D9"/>
    <w:rsid w:val="001D5F5A"/>
    <w:rsid w:val="001D5F8B"/>
    <w:rsid w:val="001D61CF"/>
    <w:rsid w:val="001D653E"/>
    <w:rsid w:val="001D6633"/>
    <w:rsid w:val="001D73D6"/>
    <w:rsid w:val="001D78C6"/>
    <w:rsid w:val="001E151D"/>
    <w:rsid w:val="001E1B1D"/>
    <w:rsid w:val="001E4AD5"/>
    <w:rsid w:val="001E5BFC"/>
    <w:rsid w:val="001E6292"/>
    <w:rsid w:val="001E6BF1"/>
    <w:rsid w:val="001F002F"/>
    <w:rsid w:val="001F0B35"/>
    <w:rsid w:val="001F1A91"/>
    <w:rsid w:val="001F2026"/>
    <w:rsid w:val="001F3025"/>
    <w:rsid w:val="001F5222"/>
    <w:rsid w:val="001F540D"/>
    <w:rsid w:val="001F552B"/>
    <w:rsid w:val="001F5EAC"/>
    <w:rsid w:val="00203985"/>
    <w:rsid w:val="00206660"/>
    <w:rsid w:val="00206DF4"/>
    <w:rsid w:val="00207674"/>
    <w:rsid w:val="0021010D"/>
    <w:rsid w:val="002110AD"/>
    <w:rsid w:val="0021214C"/>
    <w:rsid w:val="00213E48"/>
    <w:rsid w:val="00214654"/>
    <w:rsid w:val="002179E9"/>
    <w:rsid w:val="0022180A"/>
    <w:rsid w:val="0022229C"/>
    <w:rsid w:val="0022232E"/>
    <w:rsid w:val="00223950"/>
    <w:rsid w:val="0022457D"/>
    <w:rsid w:val="002258E1"/>
    <w:rsid w:val="00226B53"/>
    <w:rsid w:val="00231918"/>
    <w:rsid w:val="00240462"/>
    <w:rsid w:val="00244197"/>
    <w:rsid w:val="00244B73"/>
    <w:rsid w:val="00245579"/>
    <w:rsid w:val="00246BD5"/>
    <w:rsid w:val="0025176E"/>
    <w:rsid w:val="00254370"/>
    <w:rsid w:val="00254C52"/>
    <w:rsid w:val="00257256"/>
    <w:rsid w:val="00270DE9"/>
    <w:rsid w:val="00270DFC"/>
    <w:rsid w:val="00270F66"/>
    <w:rsid w:val="00272355"/>
    <w:rsid w:val="00274DEA"/>
    <w:rsid w:val="00277984"/>
    <w:rsid w:val="00280545"/>
    <w:rsid w:val="002826A0"/>
    <w:rsid w:val="00284711"/>
    <w:rsid w:val="002856A7"/>
    <w:rsid w:val="00285A31"/>
    <w:rsid w:val="00290EDF"/>
    <w:rsid w:val="002919CD"/>
    <w:rsid w:val="00293BCF"/>
    <w:rsid w:val="00296C9F"/>
    <w:rsid w:val="002A0E80"/>
    <w:rsid w:val="002A420B"/>
    <w:rsid w:val="002A5152"/>
    <w:rsid w:val="002A5C5D"/>
    <w:rsid w:val="002A72AE"/>
    <w:rsid w:val="002B17AE"/>
    <w:rsid w:val="002B1FCA"/>
    <w:rsid w:val="002B619F"/>
    <w:rsid w:val="002B6BAE"/>
    <w:rsid w:val="002C5419"/>
    <w:rsid w:val="002C7EEC"/>
    <w:rsid w:val="002D0DDB"/>
    <w:rsid w:val="002D5F92"/>
    <w:rsid w:val="002D6256"/>
    <w:rsid w:val="002D63EF"/>
    <w:rsid w:val="002E076C"/>
    <w:rsid w:val="002E269C"/>
    <w:rsid w:val="002E38DF"/>
    <w:rsid w:val="002F13D9"/>
    <w:rsid w:val="002F1D7A"/>
    <w:rsid w:val="002F3E65"/>
    <w:rsid w:val="002F586A"/>
    <w:rsid w:val="002F5A74"/>
    <w:rsid w:val="002F6718"/>
    <w:rsid w:val="002F6FD6"/>
    <w:rsid w:val="00304641"/>
    <w:rsid w:val="00304D5B"/>
    <w:rsid w:val="00305F59"/>
    <w:rsid w:val="00310804"/>
    <w:rsid w:val="00311943"/>
    <w:rsid w:val="00314663"/>
    <w:rsid w:val="00314CDF"/>
    <w:rsid w:val="003334B7"/>
    <w:rsid w:val="00334A10"/>
    <w:rsid w:val="003356D7"/>
    <w:rsid w:val="00336989"/>
    <w:rsid w:val="0033722E"/>
    <w:rsid w:val="003408AE"/>
    <w:rsid w:val="00340CC1"/>
    <w:rsid w:val="00341BF9"/>
    <w:rsid w:val="003427F1"/>
    <w:rsid w:val="003465B2"/>
    <w:rsid w:val="00350093"/>
    <w:rsid w:val="00350146"/>
    <w:rsid w:val="003543F8"/>
    <w:rsid w:val="00354B99"/>
    <w:rsid w:val="00354D90"/>
    <w:rsid w:val="003638DB"/>
    <w:rsid w:val="003649A9"/>
    <w:rsid w:val="00365679"/>
    <w:rsid w:val="0036615E"/>
    <w:rsid w:val="00370C9D"/>
    <w:rsid w:val="003710F6"/>
    <w:rsid w:val="0037152D"/>
    <w:rsid w:val="00372F77"/>
    <w:rsid w:val="0037430F"/>
    <w:rsid w:val="0037453C"/>
    <w:rsid w:val="00375B6E"/>
    <w:rsid w:val="003825DB"/>
    <w:rsid w:val="003903E0"/>
    <w:rsid w:val="00393608"/>
    <w:rsid w:val="003945CA"/>
    <w:rsid w:val="00395499"/>
    <w:rsid w:val="0039735E"/>
    <w:rsid w:val="003A0C5B"/>
    <w:rsid w:val="003A4E5E"/>
    <w:rsid w:val="003A5AA5"/>
    <w:rsid w:val="003B04F3"/>
    <w:rsid w:val="003B6673"/>
    <w:rsid w:val="003B6B51"/>
    <w:rsid w:val="003B7662"/>
    <w:rsid w:val="003C13A4"/>
    <w:rsid w:val="003C1802"/>
    <w:rsid w:val="003C1B5B"/>
    <w:rsid w:val="003C6A76"/>
    <w:rsid w:val="003D0A15"/>
    <w:rsid w:val="003D2B3C"/>
    <w:rsid w:val="003D31CD"/>
    <w:rsid w:val="003D3A6F"/>
    <w:rsid w:val="003D43AD"/>
    <w:rsid w:val="003D4BC5"/>
    <w:rsid w:val="003D5B30"/>
    <w:rsid w:val="003D5DC9"/>
    <w:rsid w:val="003E01BD"/>
    <w:rsid w:val="003E0F13"/>
    <w:rsid w:val="003E6DA5"/>
    <w:rsid w:val="003E7936"/>
    <w:rsid w:val="003F4544"/>
    <w:rsid w:val="003F4BB9"/>
    <w:rsid w:val="0040164E"/>
    <w:rsid w:val="00401D0C"/>
    <w:rsid w:val="004029E8"/>
    <w:rsid w:val="00402ED3"/>
    <w:rsid w:val="004055FF"/>
    <w:rsid w:val="00406DE2"/>
    <w:rsid w:val="004076C0"/>
    <w:rsid w:val="00407C4A"/>
    <w:rsid w:val="00407ED7"/>
    <w:rsid w:val="004122AF"/>
    <w:rsid w:val="00413ACA"/>
    <w:rsid w:val="00415011"/>
    <w:rsid w:val="00422330"/>
    <w:rsid w:val="004226A0"/>
    <w:rsid w:val="00424108"/>
    <w:rsid w:val="00426DDC"/>
    <w:rsid w:val="00427149"/>
    <w:rsid w:val="00430493"/>
    <w:rsid w:val="004330EA"/>
    <w:rsid w:val="00433B47"/>
    <w:rsid w:val="004344BD"/>
    <w:rsid w:val="004348BE"/>
    <w:rsid w:val="0043541C"/>
    <w:rsid w:val="00445500"/>
    <w:rsid w:val="00445820"/>
    <w:rsid w:val="004531BB"/>
    <w:rsid w:val="00453B87"/>
    <w:rsid w:val="00457584"/>
    <w:rsid w:val="004605AF"/>
    <w:rsid w:val="0046065D"/>
    <w:rsid w:val="00460CA1"/>
    <w:rsid w:val="0046286B"/>
    <w:rsid w:val="00462CCA"/>
    <w:rsid w:val="00462F33"/>
    <w:rsid w:val="004656CC"/>
    <w:rsid w:val="00466393"/>
    <w:rsid w:val="00470196"/>
    <w:rsid w:val="00471816"/>
    <w:rsid w:val="004738AD"/>
    <w:rsid w:val="004813B1"/>
    <w:rsid w:val="00484BEF"/>
    <w:rsid w:val="00487F31"/>
    <w:rsid w:val="00490E98"/>
    <w:rsid w:val="00494BCD"/>
    <w:rsid w:val="004956F1"/>
    <w:rsid w:val="00497601"/>
    <w:rsid w:val="00497978"/>
    <w:rsid w:val="004A01D0"/>
    <w:rsid w:val="004A4C67"/>
    <w:rsid w:val="004B2ABD"/>
    <w:rsid w:val="004B33C7"/>
    <w:rsid w:val="004B358A"/>
    <w:rsid w:val="004B3781"/>
    <w:rsid w:val="004B59EC"/>
    <w:rsid w:val="004B61C1"/>
    <w:rsid w:val="004B64A2"/>
    <w:rsid w:val="004C08ED"/>
    <w:rsid w:val="004C0B7A"/>
    <w:rsid w:val="004C2036"/>
    <w:rsid w:val="004C2E4D"/>
    <w:rsid w:val="004C4D20"/>
    <w:rsid w:val="004C5527"/>
    <w:rsid w:val="004C739C"/>
    <w:rsid w:val="004C758C"/>
    <w:rsid w:val="004D35B5"/>
    <w:rsid w:val="004D5700"/>
    <w:rsid w:val="004D6BFB"/>
    <w:rsid w:val="004E389B"/>
    <w:rsid w:val="004E3914"/>
    <w:rsid w:val="004E3F0E"/>
    <w:rsid w:val="004E480C"/>
    <w:rsid w:val="004E53AD"/>
    <w:rsid w:val="004E73B0"/>
    <w:rsid w:val="004F1E1C"/>
    <w:rsid w:val="004F2CCB"/>
    <w:rsid w:val="004F5169"/>
    <w:rsid w:val="004F559F"/>
    <w:rsid w:val="004F7903"/>
    <w:rsid w:val="005003BE"/>
    <w:rsid w:val="005023E9"/>
    <w:rsid w:val="00502C0F"/>
    <w:rsid w:val="00506901"/>
    <w:rsid w:val="005117B3"/>
    <w:rsid w:val="00513771"/>
    <w:rsid w:val="0051568C"/>
    <w:rsid w:val="00516F86"/>
    <w:rsid w:val="005219A3"/>
    <w:rsid w:val="0052745F"/>
    <w:rsid w:val="0053008F"/>
    <w:rsid w:val="005302FF"/>
    <w:rsid w:val="005313D5"/>
    <w:rsid w:val="00535C0B"/>
    <w:rsid w:val="0053712C"/>
    <w:rsid w:val="0053730E"/>
    <w:rsid w:val="0054037D"/>
    <w:rsid w:val="00541BA4"/>
    <w:rsid w:val="00544D1D"/>
    <w:rsid w:val="005472B5"/>
    <w:rsid w:val="00547FCE"/>
    <w:rsid w:val="005504C1"/>
    <w:rsid w:val="00551182"/>
    <w:rsid w:val="00556FFA"/>
    <w:rsid w:val="0056165E"/>
    <w:rsid w:val="00565BC3"/>
    <w:rsid w:val="00565E64"/>
    <w:rsid w:val="00566808"/>
    <w:rsid w:val="00574465"/>
    <w:rsid w:val="0057465B"/>
    <w:rsid w:val="005759F8"/>
    <w:rsid w:val="00575C66"/>
    <w:rsid w:val="00576343"/>
    <w:rsid w:val="005804FB"/>
    <w:rsid w:val="00581207"/>
    <w:rsid w:val="00581937"/>
    <w:rsid w:val="005834E4"/>
    <w:rsid w:val="00585032"/>
    <w:rsid w:val="005859E6"/>
    <w:rsid w:val="00586121"/>
    <w:rsid w:val="0059256F"/>
    <w:rsid w:val="00592A7D"/>
    <w:rsid w:val="0059557C"/>
    <w:rsid w:val="005A295B"/>
    <w:rsid w:val="005A53C8"/>
    <w:rsid w:val="005A5719"/>
    <w:rsid w:val="005B20B1"/>
    <w:rsid w:val="005B29E6"/>
    <w:rsid w:val="005B5345"/>
    <w:rsid w:val="005B54B3"/>
    <w:rsid w:val="005B59EF"/>
    <w:rsid w:val="005B687D"/>
    <w:rsid w:val="005B6EA5"/>
    <w:rsid w:val="005C02B7"/>
    <w:rsid w:val="005C1FDA"/>
    <w:rsid w:val="005D2820"/>
    <w:rsid w:val="005D60A4"/>
    <w:rsid w:val="005D7B98"/>
    <w:rsid w:val="005E0823"/>
    <w:rsid w:val="005E180B"/>
    <w:rsid w:val="005E1AB2"/>
    <w:rsid w:val="005E4AD2"/>
    <w:rsid w:val="005F318E"/>
    <w:rsid w:val="00603CB5"/>
    <w:rsid w:val="00604DB5"/>
    <w:rsid w:val="00606DBB"/>
    <w:rsid w:val="00612A24"/>
    <w:rsid w:val="00613F8E"/>
    <w:rsid w:val="00617650"/>
    <w:rsid w:val="00620886"/>
    <w:rsid w:val="00621690"/>
    <w:rsid w:val="00621C8F"/>
    <w:rsid w:val="00626800"/>
    <w:rsid w:val="00632FB3"/>
    <w:rsid w:val="006337D5"/>
    <w:rsid w:val="0063385C"/>
    <w:rsid w:val="0063398B"/>
    <w:rsid w:val="006354F3"/>
    <w:rsid w:val="006373A5"/>
    <w:rsid w:val="00640AA5"/>
    <w:rsid w:val="00642240"/>
    <w:rsid w:val="006435BE"/>
    <w:rsid w:val="00646409"/>
    <w:rsid w:val="00646D8B"/>
    <w:rsid w:val="00647B1A"/>
    <w:rsid w:val="00652C3C"/>
    <w:rsid w:val="00656B32"/>
    <w:rsid w:val="00657068"/>
    <w:rsid w:val="0066120B"/>
    <w:rsid w:val="00662FDD"/>
    <w:rsid w:val="00670083"/>
    <w:rsid w:val="00673794"/>
    <w:rsid w:val="00675AF6"/>
    <w:rsid w:val="00677823"/>
    <w:rsid w:val="00681982"/>
    <w:rsid w:val="00686BD6"/>
    <w:rsid w:val="00686C52"/>
    <w:rsid w:val="00686CCA"/>
    <w:rsid w:val="00692119"/>
    <w:rsid w:val="00693D6F"/>
    <w:rsid w:val="00694CB1"/>
    <w:rsid w:val="006957F0"/>
    <w:rsid w:val="006A2618"/>
    <w:rsid w:val="006A2E0D"/>
    <w:rsid w:val="006A4CE9"/>
    <w:rsid w:val="006A53A5"/>
    <w:rsid w:val="006A5AD3"/>
    <w:rsid w:val="006A7693"/>
    <w:rsid w:val="006A7B1B"/>
    <w:rsid w:val="006B11CD"/>
    <w:rsid w:val="006B12F6"/>
    <w:rsid w:val="006B26B5"/>
    <w:rsid w:val="006B2BDC"/>
    <w:rsid w:val="006B2CCD"/>
    <w:rsid w:val="006B33A1"/>
    <w:rsid w:val="006C3A55"/>
    <w:rsid w:val="006D35F7"/>
    <w:rsid w:val="006E30F3"/>
    <w:rsid w:val="006E3CEE"/>
    <w:rsid w:val="006E645A"/>
    <w:rsid w:val="006F1182"/>
    <w:rsid w:val="006F171B"/>
    <w:rsid w:val="006F1D9D"/>
    <w:rsid w:val="006F2502"/>
    <w:rsid w:val="006F3ABE"/>
    <w:rsid w:val="006F5283"/>
    <w:rsid w:val="006F7E97"/>
    <w:rsid w:val="0070057D"/>
    <w:rsid w:val="00702192"/>
    <w:rsid w:val="00702EDB"/>
    <w:rsid w:val="007030B6"/>
    <w:rsid w:val="00705181"/>
    <w:rsid w:val="007113FE"/>
    <w:rsid w:val="007119BB"/>
    <w:rsid w:val="007154BC"/>
    <w:rsid w:val="00717B0B"/>
    <w:rsid w:val="00732039"/>
    <w:rsid w:val="00732E0D"/>
    <w:rsid w:val="00733323"/>
    <w:rsid w:val="00740B6D"/>
    <w:rsid w:val="0074111E"/>
    <w:rsid w:val="00741F47"/>
    <w:rsid w:val="00742298"/>
    <w:rsid w:val="0074490F"/>
    <w:rsid w:val="007467F0"/>
    <w:rsid w:val="00750875"/>
    <w:rsid w:val="007515F0"/>
    <w:rsid w:val="00753E17"/>
    <w:rsid w:val="00754492"/>
    <w:rsid w:val="0075582C"/>
    <w:rsid w:val="00756A83"/>
    <w:rsid w:val="00757099"/>
    <w:rsid w:val="007615B2"/>
    <w:rsid w:val="0076379F"/>
    <w:rsid w:val="00764255"/>
    <w:rsid w:val="007666CA"/>
    <w:rsid w:val="007700C7"/>
    <w:rsid w:val="007706F6"/>
    <w:rsid w:val="00770F1F"/>
    <w:rsid w:val="00773364"/>
    <w:rsid w:val="007733D7"/>
    <w:rsid w:val="00776098"/>
    <w:rsid w:val="0077731A"/>
    <w:rsid w:val="0077733B"/>
    <w:rsid w:val="0078452F"/>
    <w:rsid w:val="0078672E"/>
    <w:rsid w:val="00786954"/>
    <w:rsid w:val="00787F17"/>
    <w:rsid w:val="00791C1C"/>
    <w:rsid w:val="00792CC7"/>
    <w:rsid w:val="00793E82"/>
    <w:rsid w:val="00797753"/>
    <w:rsid w:val="00797F2E"/>
    <w:rsid w:val="007A2F2E"/>
    <w:rsid w:val="007A51AC"/>
    <w:rsid w:val="007A725E"/>
    <w:rsid w:val="007B100B"/>
    <w:rsid w:val="007B225B"/>
    <w:rsid w:val="007B524C"/>
    <w:rsid w:val="007B5F01"/>
    <w:rsid w:val="007B7DCA"/>
    <w:rsid w:val="007C4134"/>
    <w:rsid w:val="007C7C9A"/>
    <w:rsid w:val="007D0450"/>
    <w:rsid w:val="007D07CF"/>
    <w:rsid w:val="007D115E"/>
    <w:rsid w:val="007D1FB4"/>
    <w:rsid w:val="007D21CF"/>
    <w:rsid w:val="007D3F11"/>
    <w:rsid w:val="007D6502"/>
    <w:rsid w:val="007E02EC"/>
    <w:rsid w:val="007E16ED"/>
    <w:rsid w:val="007E3F91"/>
    <w:rsid w:val="007E6D4B"/>
    <w:rsid w:val="007E7AAA"/>
    <w:rsid w:val="007F0A23"/>
    <w:rsid w:val="007F0E6B"/>
    <w:rsid w:val="007F1D3E"/>
    <w:rsid w:val="007F2557"/>
    <w:rsid w:val="007F3079"/>
    <w:rsid w:val="007F7142"/>
    <w:rsid w:val="008005FB"/>
    <w:rsid w:val="00800B87"/>
    <w:rsid w:val="00802810"/>
    <w:rsid w:val="00802BC7"/>
    <w:rsid w:val="0080409F"/>
    <w:rsid w:val="0080600F"/>
    <w:rsid w:val="00806373"/>
    <w:rsid w:val="00807020"/>
    <w:rsid w:val="0081517F"/>
    <w:rsid w:val="00823807"/>
    <w:rsid w:val="00823A2F"/>
    <w:rsid w:val="00823D43"/>
    <w:rsid w:val="008240DA"/>
    <w:rsid w:val="00824A55"/>
    <w:rsid w:val="00832D61"/>
    <w:rsid w:val="0083603D"/>
    <w:rsid w:val="0083697B"/>
    <w:rsid w:val="00836E2B"/>
    <w:rsid w:val="0083772D"/>
    <w:rsid w:val="008415C8"/>
    <w:rsid w:val="008433A3"/>
    <w:rsid w:val="00844008"/>
    <w:rsid w:val="008458D5"/>
    <w:rsid w:val="0085075D"/>
    <w:rsid w:val="008529EF"/>
    <w:rsid w:val="00852E89"/>
    <w:rsid w:val="00862753"/>
    <w:rsid w:val="00862F79"/>
    <w:rsid w:val="0086351E"/>
    <w:rsid w:val="00864895"/>
    <w:rsid w:val="00866C0A"/>
    <w:rsid w:val="0086787F"/>
    <w:rsid w:val="00871091"/>
    <w:rsid w:val="00872151"/>
    <w:rsid w:val="00873020"/>
    <w:rsid w:val="008731A4"/>
    <w:rsid w:val="00880AA6"/>
    <w:rsid w:val="00880D34"/>
    <w:rsid w:val="00881B97"/>
    <w:rsid w:val="00885CE7"/>
    <w:rsid w:val="00887DBE"/>
    <w:rsid w:val="00890BC7"/>
    <w:rsid w:val="0089418A"/>
    <w:rsid w:val="0089652A"/>
    <w:rsid w:val="008A0543"/>
    <w:rsid w:val="008A329D"/>
    <w:rsid w:val="008A45AE"/>
    <w:rsid w:val="008A47A9"/>
    <w:rsid w:val="008A6D4E"/>
    <w:rsid w:val="008B082F"/>
    <w:rsid w:val="008B0BF1"/>
    <w:rsid w:val="008B2094"/>
    <w:rsid w:val="008B2482"/>
    <w:rsid w:val="008B2F88"/>
    <w:rsid w:val="008B393C"/>
    <w:rsid w:val="008B40F7"/>
    <w:rsid w:val="008B6A74"/>
    <w:rsid w:val="008C16D1"/>
    <w:rsid w:val="008C2311"/>
    <w:rsid w:val="008C363D"/>
    <w:rsid w:val="008C6420"/>
    <w:rsid w:val="008C7283"/>
    <w:rsid w:val="008D4A97"/>
    <w:rsid w:val="008D4BFF"/>
    <w:rsid w:val="008E24AA"/>
    <w:rsid w:val="008E35A7"/>
    <w:rsid w:val="008E3AB6"/>
    <w:rsid w:val="008E71B7"/>
    <w:rsid w:val="008E7E42"/>
    <w:rsid w:val="008F1187"/>
    <w:rsid w:val="008F4B48"/>
    <w:rsid w:val="008F6154"/>
    <w:rsid w:val="0090012D"/>
    <w:rsid w:val="009003AB"/>
    <w:rsid w:val="009005AA"/>
    <w:rsid w:val="00900B52"/>
    <w:rsid w:val="00902463"/>
    <w:rsid w:val="0090293F"/>
    <w:rsid w:val="0090538F"/>
    <w:rsid w:val="0091121B"/>
    <w:rsid w:val="00911927"/>
    <w:rsid w:val="0091274D"/>
    <w:rsid w:val="00927009"/>
    <w:rsid w:val="00933881"/>
    <w:rsid w:val="00941C75"/>
    <w:rsid w:val="00942676"/>
    <w:rsid w:val="00945BFE"/>
    <w:rsid w:val="009460B5"/>
    <w:rsid w:val="0095010D"/>
    <w:rsid w:val="00956979"/>
    <w:rsid w:val="00957501"/>
    <w:rsid w:val="0095778A"/>
    <w:rsid w:val="0096173C"/>
    <w:rsid w:val="009617DF"/>
    <w:rsid w:val="00963E14"/>
    <w:rsid w:val="00964B5B"/>
    <w:rsid w:val="00964EE0"/>
    <w:rsid w:val="009651E5"/>
    <w:rsid w:val="00972040"/>
    <w:rsid w:val="00972CA3"/>
    <w:rsid w:val="00972CB7"/>
    <w:rsid w:val="00973109"/>
    <w:rsid w:val="00976D41"/>
    <w:rsid w:val="00976EFC"/>
    <w:rsid w:val="0098048A"/>
    <w:rsid w:val="00995ADD"/>
    <w:rsid w:val="009A251F"/>
    <w:rsid w:val="009A3489"/>
    <w:rsid w:val="009A3EFE"/>
    <w:rsid w:val="009A5030"/>
    <w:rsid w:val="009A69DB"/>
    <w:rsid w:val="009A7534"/>
    <w:rsid w:val="009B1236"/>
    <w:rsid w:val="009B17AC"/>
    <w:rsid w:val="009B18EB"/>
    <w:rsid w:val="009B19A7"/>
    <w:rsid w:val="009B32EB"/>
    <w:rsid w:val="009B4906"/>
    <w:rsid w:val="009B4C44"/>
    <w:rsid w:val="009B63C4"/>
    <w:rsid w:val="009B6F77"/>
    <w:rsid w:val="009C33A4"/>
    <w:rsid w:val="009C535E"/>
    <w:rsid w:val="009D01BA"/>
    <w:rsid w:val="009D1EFA"/>
    <w:rsid w:val="009D68FE"/>
    <w:rsid w:val="009D6C78"/>
    <w:rsid w:val="009E39C5"/>
    <w:rsid w:val="009E3C77"/>
    <w:rsid w:val="009F0417"/>
    <w:rsid w:val="009F17D0"/>
    <w:rsid w:val="009F2C32"/>
    <w:rsid w:val="009F35ED"/>
    <w:rsid w:val="009F3F02"/>
    <w:rsid w:val="009F4F4A"/>
    <w:rsid w:val="009F606E"/>
    <w:rsid w:val="009F72B0"/>
    <w:rsid w:val="00A0137E"/>
    <w:rsid w:val="00A02A39"/>
    <w:rsid w:val="00A04F3F"/>
    <w:rsid w:val="00A12432"/>
    <w:rsid w:val="00A14415"/>
    <w:rsid w:val="00A1594D"/>
    <w:rsid w:val="00A2198D"/>
    <w:rsid w:val="00A2362F"/>
    <w:rsid w:val="00A2494E"/>
    <w:rsid w:val="00A27D38"/>
    <w:rsid w:val="00A33670"/>
    <w:rsid w:val="00A3367C"/>
    <w:rsid w:val="00A341B6"/>
    <w:rsid w:val="00A343D5"/>
    <w:rsid w:val="00A34AB7"/>
    <w:rsid w:val="00A3595B"/>
    <w:rsid w:val="00A37F06"/>
    <w:rsid w:val="00A415FC"/>
    <w:rsid w:val="00A437F7"/>
    <w:rsid w:val="00A45624"/>
    <w:rsid w:val="00A4722B"/>
    <w:rsid w:val="00A54EDB"/>
    <w:rsid w:val="00A56177"/>
    <w:rsid w:val="00A579AD"/>
    <w:rsid w:val="00A57C2D"/>
    <w:rsid w:val="00A6059B"/>
    <w:rsid w:val="00A654BD"/>
    <w:rsid w:val="00A6634D"/>
    <w:rsid w:val="00A66792"/>
    <w:rsid w:val="00A679D2"/>
    <w:rsid w:val="00A732A8"/>
    <w:rsid w:val="00A77AF1"/>
    <w:rsid w:val="00A81255"/>
    <w:rsid w:val="00A84933"/>
    <w:rsid w:val="00A86183"/>
    <w:rsid w:val="00A870B2"/>
    <w:rsid w:val="00A901DB"/>
    <w:rsid w:val="00A906C7"/>
    <w:rsid w:val="00A9513A"/>
    <w:rsid w:val="00A958FC"/>
    <w:rsid w:val="00A963F4"/>
    <w:rsid w:val="00A96C92"/>
    <w:rsid w:val="00AA0B2A"/>
    <w:rsid w:val="00AA3A79"/>
    <w:rsid w:val="00AA6480"/>
    <w:rsid w:val="00AA7AD5"/>
    <w:rsid w:val="00AB0788"/>
    <w:rsid w:val="00AB185C"/>
    <w:rsid w:val="00AB52E8"/>
    <w:rsid w:val="00AC2B97"/>
    <w:rsid w:val="00AC3578"/>
    <w:rsid w:val="00AC45B6"/>
    <w:rsid w:val="00AC47B1"/>
    <w:rsid w:val="00AC7531"/>
    <w:rsid w:val="00AC7BA6"/>
    <w:rsid w:val="00AD13BA"/>
    <w:rsid w:val="00AD1D9B"/>
    <w:rsid w:val="00AD45D7"/>
    <w:rsid w:val="00AD5827"/>
    <w:rsid w:val="00AD5AAE"/>
    <w:rsid w:val="00AE03ED"/>
    <w:rsid w:val="00AE104C"/>
    <w:rsid w:val="00AE27DF"/>
    <w:rsid w:val="00AE3184"/>
    <w:rsid w:val="00AE32F7"/>
    <w:rsid w:val="00AE3378"/>
    <w:rsid w:val="00AE378F"/>
    <w:rsid w:val="00AE3E0E"/>
    <w:rsid w:val="00AE3E20"/>
    <w:rsid w:val="00AE4ECB"/>
    <w:rsid w:val="00AE79E2"/>
    <w:rsid w:val="00AF247E"/>
    <w:rsid w:val="00AF6B1D"/>
    <w:rsid w:val="00B00F73"/>
    <w:rsid w:val="00B01068"/>
    <w:rsid w:val="00B018C0"/>
    <w:rsid w:val="00B02B9B"/>
    <w:rsid w:val="00B0318D"/>
    <w:rsid w:val="00B067A6"/>
    <w:rsid w:val="00B12246"/>
    <w:rsid w:val="00B123EE"/>
    <w:rsid w:val="00B12426"/>
    <w:rsid w:val="00B138EF"/>
    <w:rsid w:val="00B14C7C"/>
    <w:rsid w:val="00B14DA0"/>
    <w:rsid w:val="00B15318"/>
    <w:rsid w:val="00B15A39"/>
    <w:rsid w:val="00B163B4"/>
    <w:rsid w:val="00B1786B"/>
    <w:rsid w:val="00B17FBC"/>
    <w:rsid w:val="00B215C4"/>
    <w:rsid w:val="00B23A94"/>
    <w:rsid w:val="00B255D9"/>
    <w:rsid w:val="00B26944"/>
    <w:rsid w:val="00B328A5"/>
    <w:rsid w:val="00B36621"/>
    <w:rsid w:val="00B36A78"/>
    <w:rsid w:val="00B44AAA"/>
    <w:rsid w:val="00B4603A"/>
    <w:rsid w:val="00B47D3F"/>
    <w:rsid w:val="00B523AD"/>
    <w:rsid w:val="00B54371"/>
    <w:rsid w:val="00B5525A"/>
    <w:rsid w:val="00B55CC7"/>
    <w:rsid w:val="00B55FED"/>
    <w:rsid w:val="00B604CE"/>
    <w:rsid w:val="00B60803"/>
    <w:rsid w:val="00B6108B"/>
    <w:rsid w:val="00B61EF2"/>
    <w:rsid w:val="00B628F4"/>
    <w:rsid w:val="00B6322D"/>
    <w:rsid w:val="00B64416"/>
    <w:rsid w:val="00B67079"/>
    <w:rsid w:val="00B67D4C"/>
    <w:rsid w:val="00B7005A"/>
    <w:rsid w:val="00B7051E"/>
    <w:rsid w:val="00B72138"/>
    <w:rsid w:val="00B72CE2"/>
    <w:rsid w:val="00B75AC1"/>
    <w:rsid w:val="00B820A8"/>
    <w:rsid w:val="00B868C9"/>
    <w:rsid w:val="00B87F70"/>
    <w:rsid w:val="00B939A6"/>
    <w:rsid w:val="00B96F06"/>
    <w:rsid w:val="00B97037"/>
    <w:rsid w:val="00BA0E95"/>
    <w:rsid w:val="00BA4711"/>
    <w:rsid w:val="00BA6024"/>
    <w:rsid w:val="00BA61AF"/>
    <w:rsid w:val="00BA6227"/>
    <w:rsid w:val="00BA6AD2"/>
    <w:rsid w:val="00BA7DA4"/>
    <w:rsid w:val="00BA7E48"/>
    <w:rsid w:val="00BB295D"/>
    <w:rsid w:val="00BB3905"/>
    <w:rsid w:val="00BC06BC"/>
    <w:rsid w:val="00BC0CFC"/>
    <w:rsid w:val="00BC1324"/>
    <w:rsid w:val="00BC1FD6"/>
    <w:rsid w:val="00BC1FE0"/>
    <w:rsid w:val="00BC251B"/>
    <w:rsid w:val="00BC5339"/>
    <w:rsid w:val="00BC7D54"/>
    <w:rsid w:val="00BD04D5"/>
    <w:rsid w:val="00BD3AD1"/>
    <w:rsid w:val="00BD55C1"/>
    <w:rsid w:val="00BD7E86"/>
    <w:rsid w:val="00BE33BF"/>
    <w:rsid w:val="00BE513D"/>
    <w:rsid w:val="00BE7E44"/>
    <w:rsid w:val="00BF1599"/>
    <w:rsid w:val="00BF15BE"/>
    <w:rsid w:val="00BF6EC4"/>
    <w:rsid w:val="00BF70FF"/>
    <w:rsid w:val="00C011E2"/>
    <w:rsid w:val="00C04502"/>
    <w:rsid w:val="00C05730"/>
    <w:rsid w:val="00C062B7"/>
    <w:rsid w:val="00C07243"/>
    <w:rsid w:val="00C12DC3"/>
    <w:rsid w:val="00C13490"/>
    <w:rsid w:val="00C14741"/>
    <w:rsid w:val="00C21EF2"/>
    <w:rsid w:val="00C23FBE"/>
    <w:rsid w:val="00C24638"/>
    <w:rsid w:val="00C24B4E"/>
    <w:rsid w:val="00C3247F"/>
    <w:rsid w:val="00C3627F"/>
    <w:rsid w:val="00C36D6F"/>
    <w:rsid w:val="00C37980"/>
    <w:rsid w:val="00C40103"/>
    <w:rsid w:val="00C42DF0"/>
    <w:rsid w:val="00C42F8E"/>
    <w:rsid w:val="00C45C80"/>
    <w:rsid w:val="00C51007"/>
    <w:rsid w:val="00C51956"/>
    <w:rsid w:val="00C536CA"/>
    <w:rsid w:val="00C53B0B"/>
    <w:rsid w:val="00C57984"/>
    <w:rsid w:val="00C61950"/>
    <w:rsid w:val="00C61CEC"/>
    <w:rsid w:val="00C628D0"/>
    <w:rsid w:val="00C63360"/>
    <w:rsid w:val="00C6490C"/>
    <w:rsid w:val="00C75861"/>
    <w:rsid w:val="00C764E7"/>
    <w:rsid w:val="00C810CF"/>
    <w:rsid w:val="00C811F7"/>
    <w:rsid w:val="00C8266E"/>
    <w:rsid w:val="00C839CE"/>
    <w:rsid w:val="00C83A8D"/>
    <w:rsid w:val="00C85550"/>
    <w:rsid w:val="00C86FDD"/>
    <w:rsid w:val="00C87FC0"/>
    <w:rsid w:val="00C90093"/>
    <w:rsid w:val="00C90EB3"/>
    <w:rsid w:val="00C92714"/>
    <w:rsid w:val="00C92DC0"/>
    <w:rsid w:val="00C93712"/>
    <w:rsid w:val="00C94203"/>
    <w:rsid w:val="00C95873"/>
    <w:rsid w:val="00CA05B0"/>
    <w:rsid w:val="00CA1705"/>
    <w:rsid w:val="00CA259A"/>
    <w:rsid w:val="00CA2E17"/>
    <w:rsid w:val="00CA4778"/>
    <w:rsid w:val="00CA64E9"/>
    <w:rsid w:val="00CA739A"/>
    <w:rsid w:val="00CA73F3"/>
    <w:rsid w:val="00CB0CDC"/>
    <w:rsid w:val="00CB1E46"/>
    <w:rsid w:val="00CB4833"/>
    <w:rsid w:val="00CB4A71"/>
    <w:rsid w:val="00CB4F2C"/>
    <w:rsid w:val="00CB5985"/>
    <w:rsid w:val="00CB6BEC"/>
    <w:rsid w:val="00CC0046"/>
    <w:rsid w:val="00CC2B85"/>
    <w:rsid w:val="00CC3EC5"/>
    <w:rsid w:val="00CC44E6"/>
    <w:rsid w:val="00CC6D89"/>
    <w:rsid w:val="00CD0ACE"/>
    <w:rsid w:val="00CD0E0A"/>
    <w:rsid w:val="00CD5A16"/>
    <w:rsid w:val="00CD5AFB"/>
    <w:rsid w:val="00CD678C"/>
    <w:rsid w:val="00CE021D"/>
    <w:rsid w:val="00CE0C20"/>
    <w:rsid w:val="00CE50CA"/>
    <w:rsid w:val="00CF58C9"/>
    <w:rsid w:val="00D00760"/>
    <w:rsid w:val="00D042D8"/>
    <w:rsid w:val="00D07C85"/>
    <w:rsid w:val="00D07CF1"/>
    <w:rsid w:val="00D1014B"/>
    <w:rsid w:val="00D11C12"/>
    <w:rsid w:val="00D12946"/>
    <w:rsid w:val="00D1787E"/>
    <w:rsid w:val="00D20621"/>
    <w:rsid w:val="00D22D7B"/>
    <w:rsid w:val="00D22E2B"/>
    <w:rsid w:val="00D2543A"/>
    <w:rsid w:val="00D34630"/>
    <w:rsid w:val="00D358F5"/>
    <w:rsid w:val="00D367E7"/>
    <w:rsid w:val="00D36E14"/>
    <w:rsid w:val="00D37ACD"/>
    <w:rsid w:val="00D475ED"/>
    <w:rsid w:val="00D51DC7"/>
    <w:rsid w:val="00D52C7B"/>
    <w:rsid w:val="00D53D3A"/>
    <w:rsid w:val="00D544BE"/>
    <w:rsid w:val="00D55113"/>
    <w:rsid w:val="00D6237B"/>
    <w:rsid w:val="00D63323"/>
    <w:rsid w:val="00D63A4C"/>
    <w:rsid w:val="00D6671E"/>
    <w:rsid w:val="00D672AC"/>
    <w:rsid w:val="00D6740B"/>
    <w:rsid w:val="00D73BFA"/>
    <w:rsid w:val="00D75A09"/>
    <w:rsid w:val="00D7635F"/>
    <w:rsid w:val="00D766E4"/>
    <w:rsid w:val="00D77DB7"/>
    <w:rsid w:val="00D82DA9"/>
    <w:rsid w:val="00D84F76"/>
    <w:rsid w:val="00D84FE5"/>
    <w:rsid w:val="00D853FC"/>
    <w:rsid w:val="00D8575B"/>
    <w:rsid w:val="00D93077"/>
    <w:rsid w:val="00D933EE"/>
    <w:rsid w:val="00D94A10"/>
    <w:rsid w:val="00D973CF"/>
    <w:rsid w:val="00D976D0"/>
    <w:rsid w:val="00D97BB7"/>
    <w:rsid w:val="00DA75C3"/>
    <w:rsid w:val="00DB03C2"/>
    <w:rsid w:val="00DB3723"/>
    <w:rsid w:val="00DB4A96"/>
    <w:rsid w:val="00DB5AA2"/>
    <w:rsid w:val="00DB6AFF"/>
    <w:rsid w:val="00DC23B6"/>
    <w:rsid w:val="00DC3DA2"/>
    <w:rsid w:val="00DC7560"/>
    <w:rsid w:val="00DC78B1"/>
    <w:rsid w:val="00DC7D06"/>
    <w:rsid w:val="00DD2F41"/>
    <w:rsid w:val="00DD68A8"/>
    <w:rsid w:val="00DD7308"/>
    <w:rsid w:val="00DE0F60"/>
    <w:rsid w:val="00DE182E"/>
    <w:rsid w:val="00DE334E"/>
    <w:rsid w:val="00DE52F6"/>
    <w:rsid w:val="00DE5EE9"/>
    <w:rsid w:val="00DF0392"/>
    <w:rsid w:val="00DF0896"/>
    <w:rsid w:val="00DF0FEC"/>
    <w:rsid w:val="00DF134D"/>
    <w:rsid w:val="00DF237B"/>
    <w:rsid w:val="00DF29B2"/>
    <w:rsid w:val="00DF3815"/>
    <w:rsid w:val="00DF4472"/>
    <w:rsid w:val="00DF689B"/>
    <w:rsid w:val="00E0005D"/>
    <w:rsid w:val="00E00F5C"/>
    <w:rsid w:val="00E01C95"/>
    <w:rsid w:val="00E0585F"/>
    <w:rsid w:val="00E071DC"/>
    <w:rsid w:val="00E13210"/>
    <w:rsid w:val="00E13FFF"/>
    <w:rsid w:val="00E22879"/>
    <w:rsid w:val="00E22C11"/>
    <w:rsid w:val="00E279A1"/>
    <w:rsid w:val="00E33D14"/>
    <w:rsid w:val="00E34B53"/>
    <w:rsid w:val="00E35524"/>
    <w:rsid w:val="00E36332"/>
    <w:rsid w:val="00E42426"/>
    <w:rsid w:val="00E42F8C"/>
    <w:rsid w:val="00E4581C"/>
    <w:rsid w:val="00E4586A"/>
    <w:rsid w:val="00E464D5"/>
    <w:rsid w:val="00E467B4"/>
    <w:rsid w:val="00E50E4D"/>
    <w:rsid w:val="00E52A3D"/>
    <w:rsid w:val="00E52FA3"/>
    <w:rsid w:val="00E54794"/>
    <w:rsid w:val="00E5518A"/>
    <w:rsid w:val="00E63D29"/>
    <w:rsid w:val="00E66053"/>
    <w:rsid w:val="00E66B0F"/>
    <w:rsid w:val="00E67449"/>
    <w:rsid w:val="00E71B6B"/>
    <w:rsid w:val="00E7213E"/>
    <w:rsid w:val="00E76936"/>
    <w:rsid w:val="00E76A89"/>
    <w:rsid w:val="00E810A1"/>
    <w:rsid w:val="00E81FDE"/>
    <w:rsid w:val="00E831E5"/>
    <w:rsid w:val="00E857D9"/>
    <w:rsid w:val="00E87E45"/>
    <w:rsid w:val="00E923C0"/>
    <w:rsid w:val="00E92CF6"/>
    <w:rsid w:val="00E945C3"/>
    <w:rsid w:val="00E95F5F"/>
    <w:rsid w:val="00E965E5"/>
    <w:rsid w:val="00E96D62"/>
    <w:rsid w:val="00E97574"/>
    <w:rsid w:val="00EA14B6"/>
    <w:rsid w:val="00EA7E08"/>
    <w:rsid w:val="00EB01D6"/>
    <w:rsid w:val="00EB5510"/>
    <w:rsid w:val="00EB5A85"/>
    <w:rsid w:val="00EC0B90"/>
    <w:rsid w:val="00EC31FB"/>
    <w:rsid w:val="00EC4119"/>
    <w:rsid w:val="00EC520B"/>
    <w:rsid w:val="00EC5E38"/>
    <w:rsid w:val="00ED414C"/>
    <w:rsid w:val="00ED58F4"/>
    <w:rsid w:val="00EE07A5"/>
    <w:rsid w:val="00EE17F3"/>
    <w:rsid w:val="00EE1864"/>
    <w:rsid w:val="00EE64F2"/>
    <w:rsid w:val="00EE6E51"/>
    <w:rsid w:val="00EF11AB"/>
    <w:rsid w:val="00EF21BB"/>
    <w:rsid w:val="00EF4E6C"/>
    <w:rsid w:val="00EF6390"/>
    <w:rsid w:val="00EF6648"/>
    <w:rsid w:val="00EF6AAA"/>
    <w:rsid w:val="00F05EC2"/>
    <w:rsid w:val="00F124F5"/>
    <w:rsid w:val="00F138C9"/>
    <w:rsid w:val="00F153FA"/>
    <w:rsid w:val="00F16653"/>
    <w:rsid w:val="00F27645"/>
    <w:rsid w:val="00F30FAD"/>
    <w:rsid w:val="00F35544"/>
    <w:rsid w:val="00F41C3B"/>
    <w:rsid w:val="00F41D40"/>
    <w:rsid w:val="00F43F2F"/>
    <w:rsid w:val="00F4426E"/>
    <w:rsid w:val="00F4798B"/>
    <w:rsid w:val="00F53D33"/>
    <w:rsid w:val="00F556F3"/>
    <w:rsid w:val="00F56473"/>
    <w:rsid w:val="00F60134"/>
    <w:rsid w:val="00F606CD"/>
    <w:rsid w:val="00F63A2E"/>
    <w:rsid w:val="00F6477C"/>
    <w:rsid w:val="00F737ED"/>
    <w:rsid w:val="00F74AC6"/>
    <w:rsid w:val="00F77454"/>
    <w:rsid w:val="00F803F9"/>
    <w:rsid w:val="00F80731"/>
    <w:rsid w:val="00F81A54"/>
    <w:rsid w:val="00F81DC3"/>
    <w:rsid w:val="00F840A3"/>
    <w:rsid w:val="00F866DE"/>
    <w:rsid w:val="00F86E79"/>
    <w:rsid w:val="00F87367"/>
    <w:rsid w:val="00F87B8F"/>
    <w:rsid w:val="00F90FE3"/>
    <w:rsid w:val="00F946C7"/>
    <w:rsid w:val="00F957B5"/>
    <w:rsid w:val="00F957EE"/>
    <w:rsid w:val="00F96B41"/>
    <w:rsid w:val="00FA0437"/>
    <w:rsid w:val="00FA073E"/>
    <w:rsid w:val="00FA19E9"/>
    <w:rsid w:val="00FA332F"/>
    <w:rsid w:val="00FA3F02"/>
    <w:rsid w:val="00FA4E0F"/>
    <w:rsid w:val="00FA6EEB"/>
    <w:rsid w:val="00FA7622"/>
    <w:rsid w:val="00FA798E"/>
    <w:rsid w:val="00FB0DBC"/>
    <w:rsid w:val="00FB3F87"/>
    <w:rsid w:val="00FB49AF"/>
    <w:rsid w:val="00FB6131"/>
    <w:rsid w:val="00FB7FCE"/>
    <w:rsid w:val="00FC1D40"/>
    <w:rsid w:val="00FC1D7B"/>
    <w:rsid w:val="00FC3210"/>
    <w:rsid w:val="00FC44CD"/>
    <w:rsid w:val="00FC537B"/>
    <w:rsid w:val="00FC57A2"/>
    <w:rsid w:val="00FD09E9"/>
    <w:rsid w:val="00FD5828"/>
    <w:rsid w:val="00FD5C19"/>
    <w:rsid w:val="00FD7042"/>
    <w:rsid w:val="00FD7311"/>
    <w:rsid w:val="00FD7A0C"/>
    <w:rsid w:val="00FD7DDD"/>
    <w:rsid w:val="00FE0D54"/>
    <w:rsid w:val="00FE283E"/>
    <w:rsid w:val="00FF21D5"/>
    <w:rsid w:val="00FF3E9C"/>
    <w:rsid w:val="00FF7967"/>
    <w:rsid w:val="0BF43741"/>
    <w:rsid w:val="28B32476"/>
    <w:rsid w:val="32C6769D"/>
    <w:rsid w:val="32CB50E7"/>
    <w:rsid w:val="3F3028A6"/>
    <w:rsid w:val="48CC3D8E"/>
    <w:rsid w:val="7FC6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33"/>
    <w:qFormat/>
    <w:uiPriority w:val="9"/>
    <w:pPr>
      <w:keepNext/>
      <w:keepLines/>
      <w:numPr>
        <w:ilvl w:val="0"/>
        <w:numId w:val="1"/>
      </w:numPr>
      <w:jc w:val="center"/>
      <w:outlineLvl w:val="0"/>
    </w:pPr>
    <w:rPr>
      <w:b/>
      <w:bCs/>
      <w:kern w:val="44"/>
      <w:sz w:val="36"/>
      <w:szCs w:val="44"/>
    </w:rPr>
  </w:style>
  <w:style w:type="paragraph" w:styleId="3">
    <w:name w:val="heading 2"/>
    <w:basedOn w:val="1"/>
    <w:next w:val="1"/>
    <w:link w:val="34"/>
    <w:unhideWhenUsed/>
    <w:qFormat/>
    <w:uiPriority w:val="0"/>
    <w:pPr>
      <w:keepNext/>
      <w:keepLines/>
      <w:numPr>
        <w:ilvl w:val="1"/>
        <w:numId w:val="1"/>
      </w:numPr>
      <w:outlineLvl w:val="1"/>
    </w:pPr>
    <w:rPr>
      <w:rFonts w:asciiTheme="majorEastAsia" w:hAnsiTheme="majorHAnsi" w:eastAsiaTheme="majorEastAsia" w:cstheme="majorBidi"/>
      <w:b/>
      <w:bCs/>
      <w:sz w:val="32"/>
      <w:szCs w:val="32"/>
    </w:rPr>
  </w:style>
  <w:style w:type="paragraph" w:styleId="4">
    <w:name w:val="heading 3"/>
    <w:basedOn w:val="1"/>
    <w:next w:val="1"/>
    <w:link w:val="35"/>
    <w:unhideWhenUsed/>
    <w:qFormat/>
    <w:uiPriority w:val="0"/>
    <w:pPr>
      <w:keepNext/>
      <w:keepLines/>
      <w:numPr>
        <w:ilvl w:val="2"/>
        <w:numId w:val="1"/>
      </w:numPr>
      <w:spacing w:before="260" w:after="260" w:line="415" w:lineRule="auto"/>
      <w:outlineLvl w:val="2"/>
    </w:pPr>
    <w:rPr>
      <w:rFonts w:asciiTheme="minorEastAsia"/>
      <w:b/>
      <w:bCs/>
      <w:sz w:val="30"/>
      <w:szCs w:val="32"/>
    </w:rPr>
  </w:style>
  <w:style w:type="paragraph" w:styleId="5">
    <w:name w:val="heading 4"/>
    <w:basedOn w:val="1"/>
    <w:next w:val="1"/>
    <w:link w:val="36"/>
    <w:unhideWhenUsed/>
    <w:qFormat/>
    <w:uiPriority w:val="0"/>
    <w:pPr>
      <w:keepNext/>
      <w:keepLines/>
      <w:numPr>
        <w:ilvl w:val="3"/>
        <w:numId w:val="1"/>
      </w:numPr>
      <w:outlineLvl w:val="3"/>
    </w:pPr>
    <w:rPr>
      <w:rFonts w:asciiTheme="majorEastAsia" w:hAnsiTheme="majorHAnsi" w:eastAsiaTheme="majorEastAsia" w:cstheme="majorBidi"/>
      <w:b/>
      <w:bCs/>
      <w:sz w:val="28"/>
      <w:szCs w:val="28"/>
    </w:rPr>
  </w:style>
  <w:style w:type="paragraph" w:styleId="6">
    <w:name w:val="heading 5"/>
    <w:basedOn w:val="1"/>
    <w:next w:val="1"/>
    <w:link w:val="37"/>
    <w:unhideWhenUsed/>
    <w:qFormat/>
    <w:uiPriority w:val="9"/>
    <w:pPr>
      <w:keepNext/>
      <w:keepLines/>
      <w:numPr>
        <w:ilvl w:val="4"/>
        <w:numId w:val="1"/>
      </w:numPr>
      <w:outlineLvl w:val="4"/>
    </w:pPr>
    <w:rPr>
      <w:rFonts w:asciiTheme="minorEastAsia"/>
      <w:b/>
      <w:bCs/>
      <w:szCs w:val="28"/>
    </w:rPr>
  </w:style>
  <w:style w:type="paragraph" w:styleId="7">
    <w:name w:val="heading 6"/>
    <w:basedOn w:val="1"/>
    <w:next w:val="1"/>
    <w:link w:val="38"/>
    <w:unhideWhenUsed/>
    <w:qFormat/>
    <w:uiPriority w:val="9"/>
    <w:pPr>
      <w:keepNext/>
      <w:keepLines/>
      <w:numPr>
        <w:ilvl w:val="5"/>
        <w:numId w:val="1"/>
      </w:numPr>
      <w:outlineLvl w:val="5"/>
    </w:pPr>
    <w:rPr>
      <w:rFonts w:asciiTheme="majorEastAsia" w:hAnsiTheme="majorHAnsi" w:eastAsiaTheme="majorEastAsia" w:cstheme="majorBidi"/>
      <w:b/>
      <w:bCs/>
      <w:szCs w:val="24"/>
    </w:rPr>
  </w:style>
  <w:style w:type="paragraph" w:styleId="8">
    <w:name w:val="heading 7"/>
    <w:basedOn w:val="1"/>
    <w:next w:val="1"/>
    <w:link w:val="39"/>
    <w:unhideWhenUsed/>
    <w:qFormat/>
    <w:uiPriority w:val="0"/>
    <w:pPr>
      <w:keepNext/>
      <w:keepLines/>
      <w:numPr>
        <w:ilvl w:val="6"/>
        <w:numId w:val="1"/>
      </w:numPr>
      <w:outlineLvl w:val="6"/>
    </w:pPr>
    <w:rPr>
      <w:rFonts w:asciiTheme="minorEastAsia"/>
      <w:b/>
      <w:bCs/>
      <w:szCs w:val="24"/>
    </w:rPr>
  </w:style>
  <w:style w:type="paragraph" w:styleId="9">
    <w:name w:val="heading 8"/>
    <w:basedOn w:val="1"/>
    <w:next w:val="1"/>
    <w:link w:val="40"/>
    <w:unhideWhenUsed/>
    <w:qFormat/>
    <w:uiPriority w:val="0"/>
    <w:pPr>
      <w:keepNext/>
      <w:keepLines/>
      <w:numPr>
        <w:ilvl w:val="7"/>
        <w:numId w:val="1"/>
      </w:numPr>
      <w:outlineLvl w:val="7"/>
    </w:pPr>
    <w:rPr>
      <w:rFonts w:asciiTheme="majorEastAsia" w:hAnsiTheme="majorHAnsi" w:eastAsiaTheme="majorEastAsia" w:cstheme="majorBidi"/>
      <w:b/>
      <w:szCs w:val="24"/>
    </w:rPr>
  </w:style>
  <w:style w:type="paragraph" w:styleId="10">
    <w:name w:val="heading 9"/>
    <w:basedOn w:val="1"/>
    <w:next w:val="1"/>
    <w:link w:val="41"/>
    <w:unhideWhenUsed/>
    <w:qFormat/>
    <w:uiPriority w:val="0"/>
    <w:pPr>
      <w:keepNext/>
      <w:keepLines/>
      <w:numPr>
        <w:ilvl w:val="8"/>
        <w:numId w:val="1"/>
      </w:numPr>
      <w:outlineLvl w:val="8"/>
    </w:pPr>
    <w:rPr>
      <w:rFonts w:asciiTheme="majorEastAsia" w:hAnsiTheme="majorHAnsi" w:eastAsiaTheme="majorEastAsia" w:cstheme="majorBidi"/>
      <w:b/>
      <w:szCs w:val="21"/>
    </w:rPr>
  </w:style>
  <w:style w:type="character" w:default="1" w:styleId="30">
    <w:name w:val="Default Paragraph Font"/>
    <w:semiHidden/>
    <w:unhideWhenUsed/>
    <w:uiPriority w:val="1"/>
  </w:style>
  <w:style w:type="table" w:default="1" w:styleId="28">
    <w:name w:val="Normal Table"/>
    <w:semiHidden/>
    <w:unhideWhenUsed/>
    <w:uiPriority w:val="99"/>
    <w:tblPr>
      <w:tblLayout w:type="fixed"/>
      <w:tblCellMar>
        <w:top w:w="0" w:type="dxa"/>
        <w:left w:w="108" w:type="dxa"/>
        <w:bottom w:w="0" w:type="dxa"/>
        <w:right w:w="108" w:type="dxa"/>
      </w:tblCellMar>
    </w:tblPr>
  </w:style>
  <w:style w:type="paragraph" w:styleId="11">
    <w:name w:val="List Number"/>
    <w:basedOn w:val="1"/>
    <w:qFormat/>
    <w:uiPriority w:val="0"/>
    <w:pPr>
      <w:widowControl/>
      <w:numPr>
        <w:ilvl w:val="0"/>
        <w:numId w:val="2"/>
      </w:numPr>
      <w:topLinePunct/>
      <w:spacing w:before="160" w:after="160" w:line="240" w:lineRule="atLeast"/>
      <w:jc w:val="left"/>
    </w:pPr>
    <w:rPr>
      <w:rFonts w:ascii="Times New Roman" w:hAnsi="Times New Roman" w:eastAsia="宋体" w:cs="Arial"/>
      <w:sz w:val="21"/>
      <w:szCs w:val="21"/>
    </w:rPr>
  </w:style>
  <w:style w:type="paragraph" w:styleId="12">
    <w:name w:val="Normal Indent"/>
    <w:basedOn w:val="1"/>
    <w:link w:val="72"/>
    <w:qFormat/>
    <w:uiPriority w:val="0"/>
    <w:pPr>
      <w:adjustRightInd/>
      <w:snapToGrid/>
      <w:spacing w:line="240" w:lineRule="auto"/>
      <w:ind w:firstLine="420" w:firstLineChars="200"/>
    </w:pPr>
    <w:rPr>
      <w:rFonts w:ascii="Times New Roman" w:hAnsi="Times New Roman" w:eastAsia="宋体" w:cs="Times New Roman"/>
      <w:sz w:val="21"/>
      <w:szCs w:val="24"/>
    </w:rPr>
  </w:style>
  <w:style w:type="paragraph" w:styleId="13">
    <w:name w:val="Document Map"/>
    <w:basedOn w:val="1"/>
    <w:link w:val="73"/>
    <w:unhideWhenUsed/>
    <w:qFormat/>
    <w:uiPriority w:val="99"/>
    <w:pPr>
      <w:adjustRightInd/>
      <w:snapToGrid/>
      <w:ind w:firstLine="200" w:firstLineChars="200"/>
    </w:pPr>
    <w:rPr>
      <w:rFonts w:ascii="宋体" w:eastAsia="宋体"/>
      <w:sz w:val="18"/>
      <w:szCs w:val="18"/>
    </w:rPr>
  </w:style>
  <w:style w:type="paragraph" w:styleId="14">
    <w:name w:val="annotation text"/>
    <w:basedOn w:val="1"/>
    <w:link w:val="56"/>
    <w:unhideWhenUsed/>
    <w:qFormat/>
    <w:uiPriority w:val="99"/>
    <w:pPr>
      <w:adjustRightInd/>
      <w:snapToGrid/>
      <w:spacing w:line="240" w:lineRule="auto"/>
      <w:jc w:val="left"/>
    </w:pPr>
    <w:rPr>
      <w:rFonts w:ascii="Times New Roman" w:hAnsi="Times New Roman" w:eastAsia="宋体" w:cs="Times New Roman"/>
      <w:sz w:val="21"/>
      <w:szCs w:val="20"/>
    </w:rPr>
  </w:style>
  <w:style w:type="paragraph" w:styleId="15">
    <w:name w:val="Body Text"/>
    <w:basedOn w:val="1"/>
    <w:link w:val="67"/>
    <w:unhideWhenUsed/>
    <w:qFormat/>
    <w:uiPriority w:val="99"/>
    <w:pPr>
      <w:adjustRightInd/>
      <w:snapToGrid/>
      <w:spacing w:after="120"/>
    </w:pPr>
    <w:rPr>
      <w:rFonts w:ascii="Calibri" w:hAnsi="Calibri" w:eastAsia="宋体" w:cs="Times New Roman"/>
      <w:szCs w:val="24"/>
      <w:lang w:val="zh-CN" w:eastAsia="zh-CN"/>
    </w:rPr>
  </w:style>
  <w:style w:type="paragraph" w:styleId="16">
    <w:name w:val="Block Text"/>
    <w:basedOn w:val="1"/>
    <w:semiHidden/>
    <w:unhideWhenUsed/>
    <w:uiPriority w:val="99"/>
    <w:pPr>
      <w:spacing w:after="120"/>
      <w:ind w:left="1440" w:leftChars="700" w:right="1440" w:rightChars="700"/>
    </w:pPr>
  </w:style>
  <w:style w:type="paragraph" w:styleId="17">
    <w:name w:val="toc 5"/>
    <w:basedOn w:val="1"/>
    <w:next w:val="1"/>
    <w:semiHidden/>
    <w:unhideWhenUsed/>
    <w:qFormat/>
    <w:uiPriority w:val="39"/>
    <w:pPr>
      <w:ind w:left="1680" w:leftChars="800"/>
    </w:pPr>
  </w:style>
  <w:style w:type="paragraph" w:styleId="18">
    <w:name w:val="toc 3"/>
    <w:basedOn w:val="1"/>
    <w:next w:val="1"/>
    <w:unhideWhenUsed/>
    <w:uiPriority w:val="39"/>
    <w:pPr>
      <w:tabs>
        <w:tab w:val="right" w:leader="dot" w:pos="9060"/>
      </w:tabs>
      <w:ind w:left="420"/>
    </w:pPr>
    <w:rPr>
      <w:b/>
    </w:rPr>
  </w:style>
  <w:style w:type="paragraph" w:styleId="19">
    <w:name w:val="Plain Text"/>
    <w:basedOn w:val="1"/>
    <w:link w:val="58"/>
    <w:uiPriority w:val="0"/>
    <w:pPr>
      <w:adjustRightInd/>
      <w:snapToGrid/>
      <w:spacing w:line="240" w:lineRule="auto"/>
    </w:pPr>
    <w:rPr>
      <w:rFonts w:ascii="宋体" w:hAnsi="Courier New" w:eastAsia="宋体" w:cs="Courier New"/>
      <w:sz w:val="21"/>
      <w:szCs w:val="21"/>
    </w:rPr>
  </w:style>
  <w:style w:type="paragraph" w:styleId="20">
    <w:name w:val="Balloon Text"/>
    <w:basedOn w:val="1"/>
    <w:link w:val="45"/>
    <w:semiHidden/>
    <w:unhideWhenUsed/>
    <w:uiPriority w:val="99"/>
    <w:rPr>
      <w:sz w:val="18"/>
      <w:szCs w:val="18"/>
    </w:rPr>
  </w:style>
  <w:style w:type="paragraph" w:styleId="21">
    <w:name w:val="footer"/>
    <w:basedOn w:val="1"/>
    <w:link w:val="44"/>
    <w:unhideWhenUsed/>
    <w:qFormat/>
    <w:uiPriority w:val="99"/>
    <w:pPr>
      <w:tabs>
        <w:tab w:val="center" w:pos="4153"/>
        <w:tab w:val="right" w:pos="8306"/>
      </w:tabs>
      <w:jc w:val="left"/>
    </w:pPr>
    <w:rPr>
      <w:sz w:val="18"/>
      <w:szCs w:val="18"/>
    </w:rPr>
  </w:style>
  <w:style w:type="paragraph" w:styleId="22">
    <w:name w:val="header"/>
    <w:basedOn w:val="1"/>
    <w:link w:val="43"/>
    <w:unhideWhenUsed/>
    <w:uiPriority w:val="99"/>
    <w:pPr>
      <w:pBdr>
        <w:bottom w:val="single" w:color="auto" w:sz="6" w:space="1"/>
      </w:pBdr>
      <w:tabs>
        <w:tab w:val="center" w:pos="4153"/>
        <w:tab w:val="right" w:pos="8306"/>
      </w:tabs>
      <w:jc w:val="center"/>
    </w:pPr>
    <w:rPr>
      <w:sz w:val="18"/>
      <w:szCs w:val="18"/>
    </w:rPr>
  </w:style>
  <w:style w:type="paragraph" w:styleId="23">
    <w:name w:val="toc 1"/>
    <w:basedOn w:val="1"/>
    <w:next w:val="1"/>
    <w:unhideWhenUsed/>
    <w:uiPriority w:val="39"/>
    <w:rPr>
      <w:b/>
    </w:rPr>
  </w:style>
  <w:style w:type="paragraph" w:styleId="24">
    <w:name w:val="toc 4"/>
    <w:basedOn w:val="1"/>
    <w:next w:val="1"/>
    <w:semiHidden/>
    <w:unhideWhenUsed/>
    <w:uiPriority w:val="39"/>
    <w:pPr>
      <w:ind w:left="629"/>
    </w:pPr>
    <w:rPr>
      <w:b/>
    </w:rPr>
  </w:style>
  <w:style w:type="paragraph" w:styleId="25">
    <w:name w:val="toc 2"/>
    <w:basedOn w:val="1"/>
    <w:next w:val="1"/>
    <w:unhideWhenUsed/>
    <w:uiPriority w:val="39"/>
    <w:pPr>
      <w:tabs>
        <w:tab w:val="right" w:leader="dot" w:pos="9060"/>
      </w:tabs>
      <w:ind w:left="210"/>
    </w:pPr>
    <w:rPr>
      <w:b/>
    </w:rPr>
  </w:style>
  <w:style w:type="paragraph" w:styleId="26">
    <w:name w:val="Normal (Web)"/>
    <w:basedOn w:val="1"/>
    <w:uiPriority w:val="0"/>
    <w:pPr>
      <w:spacing w:before="100" w:beforeAutospacing="1" w:after="100" w:afterAutospacing="1"/>
      <w:ind w:left="0" w:right="0"/>
      <w:jc w:val="left"/>
    </w:pPr>
    <w:rPr>
      <w:kern w:val="0"/>
      <w:sz w:val="24"/>
      <w:lang w:val="en-US" w:eastAsia="zh-CN" w:bidi="ar"/>
    </w:rPr>
  </w:style>
  <w:style w:type="paragraph" w:styleId="27">
    <w:name w:val="annotation subject"/>
    <w:basedOn w:val="14"/>
    <w:next w:val="14"/>
    <w:link w:val="71"/>
    <w:semiHidden/>
    <w:unhideWhenUsed/>
    <w:qFormat/>
    <w:uiPriority w:val="99"/>
    <w:pPr>
      <w:adjustRightInd w:val="0"/>
      <w:snapToGrid w:val="0"/>
      <w:spacing w:line="360" w:lineRule="auto"/>
    </w:pPr>
    <w:rPr>
      <w:rFonts w:asciiTheme="minorHAnsi" w:hAnsiTheme="minorHAnsi" w:eastAsiaTheme="minorEastAsia" w:cstheme="minorBidi"/>
      <w:b/>
      <w:bCs/>
      <w:sz w:val="24"/>
      <w:szCs w:val="22"/>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1">
    <w:name w:val="Hyperlink"/>
    <w:basedOn w:val="30"/>
    <w:unhideWhenUsed/>
    <w:uiPriority w:val="99"/>
    <w:rPr>
      <w:color w:val="0000FF" w:themeColor="hyperlink"/>
      <w:u w:val="single"/>
      <w14:textFill>
        <w14:solidFill>
          <w14:schemeClr w14:val="hlink"/>
        </w14:solidFill>
      </w14:textFill>
    </w:rPr>
  </w:style>
  <w:style w:type="character" w:styleId="32">
    <w:name w:val="annotation reference"/>
    <w:unhideWhenUsed/>
    <w:qFormat/>
    <w:uiPriority w:val="99"/>
    <w:rPr>
      <w:sz w:val="21"/>
    </w:rPr>
  </w:style>
  <w:style w:type="character" w:customStyle="1" w:styleId="33">
    <w:name w:val="标题 1 字符"/>
    <w:basedOn w:val="30"/>
    <w:link w:val="2"/>
    <w:uiPriority w:val="9"/>
    <w:rPr>
      <w:b/>
      <w:bCs/>
      <w:kern w:val="44"/>
      <w:sz w:val="36"/>
      <w:szCs w:val="44"/>
    </w:rPr>
  </w:style>
  <w:style w:type="character" w:customStyle="1" w:styleId="34">
    <w:name w:val="标题 2 字符"/>
    <w:basedOn w:val="30"/>
    <w:link w:val="3"/>
    <w:uiPriority w:val="0"/>
    <w:rPr>
      <w:rFonts w:asciiTheme="majorEastAsia" w:hAnsiTheme="majorHAnsi" w:eastAsiaTheme="majorEastAsia" w:cstheme="majorBidi"/>
      <w:b/>
      <w:bCs/>
      <w:sz w:val="32"/>
      <w:szCs w:val="32"/>
    </w:rPr>
  </w:style>
  <w:style w:type="character" w:customStyle="1" w:styleId="35">
    <w:name w:val="标题 3 字符"/>
    <w:basedOn w:val="30"/>
    <w:link w:val="4"/>
    <w:uiPriority w:val="0"/>
    <w:rPr>
      <w:rFonts w:asciiTheme="minorEastAsia"/>
      <w:b/>
      <w:bCs/>
      <w:sz w:val="30"/>
      <w:szCs w:val="32"/>
    </w:rPr>
  </w:style>
  <w:style w:type="character" w:customStyle="1" w:styleId="36">
    <w:name w:val="标题 4 字符"/>
    <w:basedOn w:val="30"/>
    <w:link w:val="5"/>
    <w:uiPriority w:val="0"/>
    <w:rPr>
      <w:rFonts w:asciiTheme="majorEastAsia" w:hAnsiTheme="majorHAnsi" w:eastAsiaTheme="majorEastAsia" w:cstheme="majorBidi"/>
      <w:b/>
      <w:bCs/>
      <w:sz w:val="28"/>
      <w:szCs w:val="28"/>
    </w:rPr>
  </w:style>
  <w:style w:type="character" w:customStyle="1" w:styleId="37">
    <w:name w:val="标题 5 字符"/>
    <w:basedOn w:val="30"/>
    <w:link w:val="6"/>
    <w:uiPriority w:val="9"/>
    <w:rPr>
      <w:rFonts w:asciiTheme="minorEastAsia"/>
      <w:b/>
      <w:bCs/>
      <w:sz w:val="24"/>
      <w:szCs w:val="28"/>
    </w:rPr>
  </w:style>
  <w:style w:type="character" w:customStyle="1" w:styleId="38">
    <w:name w:val="标题 6 字符"/>
    <w:basedOn w:val="30"/>
    <w:link w:val="7"/>
    <w:uiPriority w:val="9"/>
    <w:rPr>
      <w:rFonts w:asciiTheme="majorEastAsia" w:hAnsiTheme="majorHAnsi" w:eastAsiaTheme="majorEastAsia" w:cstheme="majorBidi"/>
      <w:b/>
      <w:bCs/>
      <w:sz w:val="24"/>
      <w:szCs w:val="24"/>
    </w:rPr>
  </w:style>
  <w:style w:type="character" w:customStyle="1" w:styleId="39">
    <w:name w:val="标题 7 字符"/>
    <w:basedOn w:val="30"/>
    <w:link w:val="8"/>
    <w:uiPriority w:val="0"/>
    <w:rPr>
      <w:rFonts w:asciiTheme="minorEastAsia"/>
      <w:b/>
      <w:bCs/>
      <w:sz w:val="24"/>
      <w:szCs w:val="24"/>
    </w:rPr>
  </w:style>
  <w:style w:type="character" w:customStyle="1" w:styleId="40">
    <w:name w:val="标题 8 字符"/>
    <w:basedOn w:val="30"/>
    <w:link w:val="9"/>
    <w:uiPriority w:val="0"/>
    <w:rPr>
      <w:rFonts w:asciiTheme="majorEastAsia" w:hAnsiTheme="majorHAnsi" w:eastAsiaTheme="majorEastAsia" w:cstheme="majorBidi"/>
      <w:b/>
      <w:sz w:val="24"/>
      <w:szCs w:val="24"/>
    </w:rPr>
  </w:style>
  <w:style w:type="character" w:customStyle="1" w:styleId="41">
    <w:name w:val="标题 9 字符"/>
    <w:basedOn w:val="30"/>
    <w:link w:val="10"/>
    <w:uiPriority w:val="0"/>
    <w:rPr>
      <w:rFonts w:asciiTheme="majorEastAsia" w:hAnsiTheme="majorHAnsi" w:eastAsiaTheme="majorEastAsia" w:cstheme="majorBidi"/>
      <w:b/>
      <w:sz w:val="24"/>
      <w:szCs w:val="21"/>
    </w:rPr>
  </w:style>
  <w:style w:type="paragraph" w:styleId="42">
    <w:name w:val="List Paragraph"/>
    <w:basedOn w:val="1"/>
    <w:link w:val="51"/>
    <w:qFormat/>
    <w:uiPriority w:val="34"/>
    <w:pPr>
      <w:ind w:firstLine="420" w:firstLineChars="200"/>
    </w:pPr>
  </w:style>
  <w:style w:type="character" w:customStyle="1" w:styleId="43">
    <w:name w:val="页眉 字符"/>
    <w:basedOn w:val="30"/>
    <w:link w:val="22"/>
    <w:uiPriority w:val="99"/>
    <w:rPr>
      <w:sz w:val="18"/>
      <w:szCs w:val="18"/>
    </w:rPr>
  </w:style>
  <w:style w:type="character" w:customStyle="1" w:styleId="44">
    <w:name w:val="页脚 字符"/>
    <w:basedOn w:val="30"/>
    <w:link w:val="21"/>
    <w:uiPriority w:val="99"/>
    <w:rPr>
      <w:sz w:val="18"/>
      <w:szCs w:val="18"/>
    </w:rPr>
  </w:style>
  <w:style w:type="character" w:customStyle="1" w:styleId="45">
    <w:name w:val="批注框文本 字符"/>
    <w:basedOn w:val="30"/>
    <w:link w:val="20"/>
    <w:semiHidden/>
    <w:uiPriority w:val="99"/>
    <w:rPr>
      <w:sz w:val="18"/>
      <w:szCs w:val="18"/>
    </w:rPr>
  </w:style>
  <w:style w:type="paragraph" w:customStyle="1" w:styleId="46">
    <w:name w:val="正文-列出段落"/>
    <w:basedOn w:val="1"/>
    <w:next w:val="1"/>
    <w:qFormat/>
    <w:uiPriority w:val="0"/>
    <w:pPr>
      <w:numPr>
        <w:ilvl w:val="0"/>
        <w:numId w:val="3"/>
      </w:numPr>
      <w:ind w:firstLine="0"/>
    </w:pPr>
    <w:rPr>
      <w:rFonts w:ascii="微软雅黑" w:hAnsi="微软雅黑" w:eastAsia="微软雅黑" w:cs="Times New Roman"/>
      <w:b/>
    </w:rPr>
  </w:style>
  <w:style w:type="paragraph" w:customStyle="1" w:styleId="47">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48">
    <w:name w:val="TOC Heading"/>
    <w:basedOn w:val="2"/>
    <w:next w:val="1"/>
    <w:unhideWhenUsed/>
    <w:qFormat/>
    <w:uiPriority w:val="39"/>
    <w:pPr>
      <w:widowControl/>
      <w:numPr>
        <w:numId w:val="0"/>
      </w:numPr>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9">
    <w:name w:val="样式4"/>
    <w:basedOn w:val="1"/>
    <w:qFormat/>
    <w:uiPriority w:val="99"/>
    <w:pPr>
      <w:numPr>
        <w:ilvl w:val="3"/>
        <w:numId w:val="4"/>
      </w:numPr>
      <w:adjustRightInd/>
      <w:snapToGrid/>
      <w:ind w:firstLine="177" w:firstLineChars="177"/>
    </w:pPr>
    <w:rPr>
      <w:rFonts w:ascii="Calibri" w:hAnsi="Calibri" w:eastAsia="宋体" w:cs="Times New Roman"/>
    </w:rPr>
  </w:style>
  <w:style w:type="paragraph" w:customStyle="1" w:styleId="50">
    <w:name w:val="样式5"/>
    <w:basedOn w:val="1"/>
    <w:qFormat/>
    <w:uiPriority w:val="99"/>
    <w:pPr>
      <w:numPr>
        <w:ilvl w:val="4"/>
        <w:numId w:val="4"/>
      </w:numPr>
      <w:adjustRightInd/>
      <w:snapToGrid/>
      <w:ind w:firstLine="177" w:firstLineChars="177"/>
    </w:pPr>
    <w:rPr>
      <w:rFonts w:ascii="Calibri" w:hAnsi="Calibri" w:eastAsia="宋体" w:cs="Times New Roman"/>
    </w:rPr>
  </w:style>
  <w:style w:type="character" w:customStyle="1" w:styleId="51">
    <w:name w:val="列出段落 字符"/>
    <w:link w:val="42"/>
    <w:qFormat/>
    <w:uiPriority w:val="0"/>
    <w:rPr>
      <w:sz w:val="24"/>
    </w:rPr>
  </w:style>
  <w:style w:type="paragraph" w:customStyle="1" w:styleId="52">
    <w:name w:val="列出段落1"/>
    <w:basedOn w:val="1"/>
    <w:link w:val="53"/>
    <w:qFormat/>
    <w:uiPriority w:val="34"/>
    <w:pPr>
      <w:adjustRightInd/>
      <w:snapToGrid/>
      <w:spacing w:line="240" w:lineRule="auto"/>
      <w:ind w:firstLine="420" w:firstLineChars="200"/>
    </w:pPr>
    <w:rPr>
      <w:rFonts w:ascii="Calibri" w:hAnsi="Calibri" w:eastAsia="宋体" w:cs="Times New Roman"/>
      <w:sz w:val="21"/>
      <w:szCs w:val="20"/>
    </w:rPr>
  </w:style>
  <w:style w:type="character" w:customStyle="1" w:styleId="53">
    <w:name w:val="列出段落 Char"/>
    <w:link w:val="52"/>
    <w:qFormat/>
    <w:locked/>
    <w:uiPriority w:val="34"/>
    <w:rPr>
      <w:rFonts w:ascii="Calibri" w:hAnsi="Calibri" w:eastAsia="宋体" w:cs="Times New Roman"/>
      <w:szCs w:val="20"/>
    </w:rPr>
  </w:style>
  <w:style w:type="paragraph" w:customStyle="1" w:styleId="54">
    <w:name w:val="样式"/>
    <w:basedOn w:val="1"/>
    <w:next w:val="16"/>
    <w:uiPriority w:val="0"/>
    <w:pPr>
      <w:adjustRightInd/>
      <w:snapToGrid/>
      <w:spacing w:line="240" w:lineRule="auto"/>
      <w:ind w:left="572" w:right="32" w:firstLine="478" w:firstLineChars="200"/>
      <w:jc w:val="left"/>
    </w:pPr>
    <w:rPr>
      <w:rFonts w:ascii="Times New Roman" w:hAnsi="Times New Roman" w:eastAsia="宋体" w:cs="Times New Roman"/>
      <w:sz w:val="21"/>
      <w:szCs w:val="21"/>
    </w:rPr>
  </w:style>
  <w:style w:type="character" w:customStyle="1" w:styleId="55">
    <w:name w:val="批注文字 字符"/>
    <w:basedOn w:val="30"/>
    <w:qFormat/>
    <w:uiPriority w:val="99"/>
    <w:rPr>
      <w:sz w:val="24"/>
    </w:rPr>
  </w:style>
  <w:style w:type="character" w:customStyle="1" w:styleId="56">
    <w:name w:val="批注文字 字符1"/>
    <w:link w:val="14"/>
    <w:qFormat/>
    <w:locked/>
    <w:uiPriority w:val="99"/>
    <w:rPr>
      <w:rFonts w:ascii="Times New Roman" w:hAnsi="Times New Roman" w:eastAsia="宋体" w:cs="Times New Roman"/>
      <w:szCs w:val="20"/>
    </w:rPr>
  </w:style>
  <w:style w:type="character" w:customStyle="1" w:styleId="57">
    <w:name w:val="纯文本 字符"/>
    <w:basedOn w:val="30"/>
    <w:semiHidden/>
    <w:uiPriority w:val="99"/>
    <w:rPr>
      <w:rFonts w:hAnsi="Courier New" w:cs="Courier New" w:asciiTheme="minorEastAsia"/>
      <w:sz w:val="24"/>
    </w:rPr>
  </w:style>
  <w:style w:type="character" w:customStyle="1" w:styleId="58">
    <w:name w:val="纯文本 字符1"/>
    <w:link w:val="19"/>
    <w:uiPriority w:val="0"/>
    <w:rPr>
      <w:rFonts w:ascii="宋体" w:hAnsi="Courier New" w:eastAsia="宋体" w:cs="Courier New"/>
      <w:szCs w:val="21"/>
    </w:rPr>
  </w:style>
  <w:style w:type="paragraph" w:customStyle="1" w:styleId="59">
    <w:name w:val="G_标题1"/>
    <w:basedOn w:val="1"/>
    <w:next w:val="1"/>
    <w:qFormat/>
    <w:uiPriority w:val="0"/>
    <w:pPr>
      <w:widowControl/>
      <w:tabs>
        <w:tab w:val="left" w:pos="720"/>
      </w:tabs>
      <w:adjustRightInd/>
      <w:snapToGrid/>
      <w:spacing w:after="468" w:afterLines="150"/>
      <w:jc w:val="center"/>
      <w:outlineLvl w:val="0"/>
    </w:pPr>
    <w:rPr>
      <w:rFonts w:ascii="Times New Roman" w:hAnsi="Times New Roman" w:cs="Times New Roman"/>
      <w:b/>
      <w:bCs/>
      <w:kern w:val="0"/>
      <w:sz w:val="44"/>
      <w:szCs w:val="32"/>
    </w:rPr>
  </w:style>
  <w:style w:type="paragraph" w:customStyle="1" w:styleId="60">
    <w:name w:val="G_标题2"/>
    <w:basedOn w:val="1"/>
    <w:next w:val="1"/>
    <w:link w:val="76"/>
    <w:qFormat/>
    <w:uiPriority w:val="0"/>
    <w:pPr>
      <w:widowControl/>
      <w:tabs>
        <w:tab w:val="left" w:pos="426"/>
        <w:tab w:val="left" w:pos="720"/>
      </w:tabs>
      <w:adjustRightInd/>
      <w:snapToGrid/>
      <w:spacing w:before="312" w:beforeLines="100" w:after="312" w:afterLines="100"/>
      <w:ind w:left="200"/>
      <w:jc w:val="left"/>
      <w:outlineLvl w:val="1"/>
    </w:pPr>
    <w:rPr>
      <w:rFonts w:ascii="Times New Roman" w:hAnsi="Times New Roman" w:eastAsia="宋体" w:cs="Times New Roman"/>
      <w:b/>
      <w:bCs/>
      <w:kern w:val="0"/>
      <w:sz w:val="36"/>
      <w:szCs w:val="28"/>
    </w:rPr>
  </w:style>
  <w:style w:type="paragraph" w:customStyle="1" w:styleId="61">
    <w:name w:val="G_标题3"/>
    <w:basedOn w:val="60"/>
    <w:next w:val="1"/>
    <w:link w:val="65"/>
    <w:qFormat/>
    <w:uiPriority w:val="0"/>
    <w:pPr>
      <w:tabs>
        <w:tab w:val="left" w:pos="1647"/>
      </w:tabs>
      <w:outlineLvl w:val="2"/>
    </w:pPr>
    <w:rPr>
      <w:sz w:val="32"/>
    </w:rPr>
  </w:style>
  <w:style w:type="paragraph" w:customStyle="1" w:styleId="62">
    <w:name w:val="G_标题4"/>
    <w:basedOn w:val="61"/>
    <w:next w:val="1"/>
    <w:link w:val="77"/>
    <w:qFormat/>
    <w:uiPriority w:val="0"/>
    <w:pPr>
      <w:tabs>
        <w:tab w:val="left" w:pos="0"/>
        <w:tab w:val="left" w:pos="284"/>
        <w:tab w:val="left" w:pos="1440"/>
        <w:tab w:val="left" w:pos="3969"/>
        <w:tab w:val="clear" w:pos="426"/>
      </w:tabs>
      <w:ind w:left="0"/>
      <w:outlineLvl w:val="3"/>
    </w:pPr>
    <w:rPr>
      <w:sz w:val="30"/>
    </w:rPr>
  </w:style>
  <w:style w:type="paragraph" w:customStyle="1" w:styleId="63">
    <w:name w:val="_正文段落"/>
    <w:basedOn w:val="19"/>
    <w:link w:val="64"/>
    <w:qFormat/>
    <w:uiPriority w:val="0"/>
    <w:pPr>
      <w:spacing w:beforeLines="15" w:afterLines="30" w:line="360" w:lineRule="auto"/>
      <w:ind w:firstLine="200" w:firstLineChars="200"/>
    </w:pPr>
    <w:rPr>
      <w:rFonts w:cs="Times New Roman"/>
      <w:sz w:val="24"/>
      <w:szCs w:val="20"/>
    </w:rPr>
  </w:style>
  <w:style w:type="character" w:customStyle="1" w:styleId="64">
    <w:name w:val="_正文段落 Char"/>
    <w:link w:val="63"/>
    <w:qFormat/>
    <w:uiPriority w:val="0"/>
    <w:rPr>
      <w:rFonts w:ascii="宋体" w:hAnsi="Courier New" w:eastAsia="宋体" w:cs="Times New Roman"/>
      <w:sz w:val="24"/>
      <w:szCs w:val="20"/>
    </w:rPr>
  </w:style>
  <w:style w:type="character" w:customStyle="1" w:styleId="65">
    <w:name w:val="G_标题3 Char"/>
    <w:link w:val="61"/>
    <w:qFormat/>
    <w:uiPriority w:val="0"/>
    <w:rPr>
      <w:rFonts w:ascii="Times New Roman" w:hAnsi="Times New Roman" w:eastAsia="宋体" w:cs="Times New Roman"/>
      <w:b/>
      <w:bCs/>
      <w:kern w:val="0"/>
      <w:sz w:val="32"/>
      <w:szCs w:val="28"/>
    </w:rPr>
  </w:style>
  <w:style w:type="character" w:customStyle="1" w:styleId="66">
    <w:name w:val="正文文本 字符"/>
    <w:basedOn w:val="30"/>
    <w:semiHidden/>
    <w:qFormat/>
    <w:uiPriority w:val="99"/>
    <w:rPr>
      <w:sz w:val="24"/>
    </w:rPr>
  </w:style>
  <w:style w:type="character" w:customStyle="1" w:styleId="67">
    <w:name w:val="正文文本 字符1"/>
    <w:link w:val="15"/>
    <w:qFormat/>
    <w:uiPriority w:val="99"/>
    <w:rPr>
      <w:rFonts w:ascii="Calibri" w:hAnsi="Calibri" w:eastAsia="宋体" w:cs="Times New Roman"/>
      <w:sz w:val="24"/>
      <w:szCs w:val="24"/>
      <w:lang w:val="zh-CN" w:eastAsia="zh-CN"/>
    </w:rPr>
  </w:style>
  <w:style w:type="paragraph" w:customStyle="1" w:styleId="68">
    <w:name w:val="列出段落11"/>
    <w:basedOn w:val="1"/>
    <w:link w:val="80"/>
    <w:qFormat/>
    <w:uiPriority w:val="0"/>
    <w:pPr>
      <w:adjustRightInd/>
      <w:snapToGrid/>
      <w:spacing w:line="240" w:lineRule="auto"/>
      <w:ind w:firstLine="420"/>
    </w:pPr>
    <w:rPr>
      <w:rFonts w:ascii="Times New Roman" w:hAnsi="Times New Roman" w:eastAsia="宋体" w:cs="Times New Roman"/>
      <w:color w:val="000000"/>
      <w:kern w:val="1"/>
      <w:sz w:val="21"/>
      <w:szCs w:val="24"/>
    </w:rPr>
  </w:style>
  <w:style w:type="paragraph" w:customStyle="1" w:styleId="69">
    <w:name w:val="表格"/>
    <w:basedOn w:val="1"/>
    <w:link w:val="70"/>
    <w:qFormat/>
    <w:uiPriority w:val="0"/>
    <w:pPr>
      <w:adjustRightInd/>
      <w:snapToGrid/>
      <w:spacing w:line="240" w:lineRule="auto"/>
      <w:jc w:val="left"/>
    </w:pPr>
    <w:rPr>
      <w:rFonts w:ascii="Arial" w:hAnsi="Arial" w:eastAsia="宋体" w:cs="Times New Roman"/>
      <w:sz w:val="21"/>
      <w:szCs w:val="24"/>
    </w:rPr>
  </w:style>
  <w:style w:type="character" w:customStyle="1" w:styleId="70">
    <w:name w:val="表格 Char"/>
    <w:basedOn w:val="30"/>
    <w:link w:val="69"/>
    <w:qFormat/>
    <w:uiPriority w:val="0"/>
    <w:rPr>
      <w:rFonts w:ascii="Arial" w:hAnsi="Arial" w:eastAsia="宋体" w:cs="Times New Roman"/>
      <w:szCs w:val="24"/>
    </w:rPr>
  </w:style>
  <w:style w:type="character" w:customStyle="1" w:styleId="71">
    <w:name w:val="批注主题 字符"/>
    <w:basedOn w:val="56"/>
    <w:link w:val="27"/>
    <w:semiHidden/>
    <w:qFormat/>
    <w:uiPriority w:val="99"/>
    <w:rPr>
      <w:rFonts w:ascii="Times New Roman" w:hAnsi="Times New Roman" w:eastAsia="宋体" w:cs="Times New Roman"/>
      <w:b/>
      <w:bCs/>
      <w:sz w:val="24"/>
      <w:szCs w:val="20"/>
    </w:rPr>
  </w:style>
  <w:style w:type="character" w:customStyle="1" w:styleId="72">
    <w:name w:val="正文缩进 字符"/>
    <w:link w:val="12"/>
    <w:qFormat/>
    <w:uiPriority w:val="0"/>
    <w:rPr>
      <w:rFonts w:ascii="Times New Roman" w:hAnsi="Times New Roman" w:eastAsia="宋体" w:cs="Times New Roman"/>
      <w:szCs w:val="24"/>
    </w:rPr>
  </w:style>
  <w:style w:type="character" w:customStyle="1" w:styleId="73">
    <w:name w:val="文档结构图 字符"/>
    <w:basedOn w:val="30"/>
    <w:link w:val="13"/>
    <w:qFormat/>
    <w:uiPriority w:val="99"/>
    <w:rPr>
      <w:rFonts w:ascii="宋体" w:eastAsia="宋体"/>
      <w:sz w:val="18"/>
      <w:szCs w:val="18"/>
    </w:rPr>
  </w:style>
  <w:style w:type="paragraph" w:customStyle="1" w:styleId="74">
    <w:name w:val="图片"/>
    <w:link w:val="75"/>
    <w:qFormat/>
    <w:uiPriority w:val="0"/>
    <w:pPr>
      <w:spacing w:line="360" w:lineRule="auto"/>
      <w:jc w:val="center"/>
    </w:pPr>
    <w:rPr>
      <w:rFonts w:ascii="Times New Roman" w:hAnsi="Times New Roman" w:eastAsia="仿宋" w:cs="Times New Roman"/>
      <w:kern w:val="2"/>
      <w:sz w:val="24"/>
      <w:szCs w:val="22"/>
      <w:lang w:val="en-US" w:eastAsia="zh-CN" w:bidi="ar-SA"/>
    </w:rPr>
  </w:style>
  <w:style w:type="character" w:customStyle="1" w:styleId="75">
    <w:name w:val="图片 Char"/>
    <w:link w:val="74"/>
    <w:qFormat/>
    <w:uiPriority w:val="0"/>
    <w:rPr>
      <w:rFonts w:ascii="Times New Roman" w:hAnsi="Times New Roman" w:eastAsia="仿宋" w:cs="Times New Roman"/>
      <w:sz w:val="24"/>
    </w:rPr>
  </w:style>
  <w:style w:type="character" w:customStyle="1" w:styleId="76">
    <w:name w:val="G_标题2 Char"/>
    <w:basedOn w:val="30"/>
    <w:link w:val="60"/>
    <w:qFormat/>
    <w:uiPriority w:val="0"/>
    <w:rPr>
      <w:rFonts w:ascii="Times New Roman" w:hAnsi="Times New Roman" w:eastAsia="宋体" w:cs="Times New Roman"/>
      <w:b/>
      <w:bCs/>
      <w:kern w:val="0"/>
      <w:sz w:val="36"/>
      <w:szCs w:val="28"/>
    </w:rPr>
  </w:style>
  <w:style w:type="character" w:customStyle="1" w:styleId="77">
    <w:name w:val="G_标题4 Char"/>
    <w:basedOn w:val="65"/>
    <w:link w:val="62"/>
    <w:qFormat/>
    <w:uiPriority w:val="0"/>
    <w:rPr>
      <w:rFonts w:ascii="Times New Roman" w:hAnsi="Times New Roman" w:eastAsia="宋体" w:cs="Times New Roman"/>
      <w:kern w:val="0"/>
      <w:sz w:val="30"/>
      <w:szCs w:val="28"/>
    </w:rPr>
  </w:style>
  <w:style w:type="paragraph" w:customStyle="1" w:styleId="78">
    <w:name w:val="[正文行首缩进]"/>
    <w:link w:val="79"/>
    <w:qFormat/>
    <w:uiPriority w:val="0"/>
    <w:pPr>
      <w:widowControl w:val="0"/>
      <w:spacing w:line="360" w:lineRule="auto"/>
      <w:ind w:firstLine="200" w:firstLineChars="200"/>
      <w:jc w:val="both"/>
    </w:pPr>
    <w:rPr>
      <w:rFonts w:ascii="Times New Roman" w:hAnsi="Times New Roman" w:eastAsia="宋体" w:cs="Times New Roman"/>
      <w:bCs/>
      <w:color w:val="000000"/>
      <w:kern w:val="2"/>
      <w:sz w:val="24"/>
      <w:szCs w:val="24"/>
      <w:lang w:val="en-US" w:eastAsia="zh-CN" w:bidi="ar-SA"/>
    </w:rPr>
  </w:style>
  <w:style w:type="character" w:customStyle="1" w:styleId="79">
    <w:name w:val="[正文行首缩进] Char"/>
    <w:basedOn w:val="30"/>
    <w:link w:val="78"/>
    <w:qFormat/>
    <w:uiPriority w:val="0"/>
    <w:rPr>
      <w:rFonts w:ascii="Times New Roman" w:hAnsi="Times New Roman" w:eastAsia="宋体" w:cs="Times New Roman"/>
      <w:bCs/>
      <w:color w:val="000000"/>
      <w:sz w:val="24"/>
      <w:szCs w:val="24"/>
    </w:rPr>
  </w:style>
  <w:style w:type="character" w:customStyle="1" w:styleId="80">
    <w:name w:val="List Paragraph Char"/>
    <w:link w:val="68"/>
    <w:qFormat/>
    <w:locked/>
    <w:uiPriority w:val="34"/>
    <w:rPr>
      <w:rFonts w:ascii="Times New Roman" w:hAnsi="Times New Roman" w:eastAsia="宋体" w:cs="Times New Roman"/>
      <w:color w:val="000000"/>
      <w:kern w:val="1"/>
      <w:szCs w:val="24"/>
    </w:rPr>
  </w:style>
  <w:style w:type="paragraph" w:customStyle="1" w:styleId="81">
    <w:name w:val="1样式-正文"/>
    <w:basedOn w:val="1"/>
    <w:qFormat/>
    <w:uiPriority w:val="0"/>
    <w:pPr>
      <w:adjustRightInd/>
      <w:snapToGrid/>
      <w:ind w:firstLine="482"/>
      <w:jc w:val="left"/>
    </w:pPr>
    <w:rPr>
      <w:bCs/>
      <w:szCs w:val="21"/>
      <w:lang w:val="zh-CN"/>
    </w:rPr>
  </w:style>
  <w:style w:type="paragraph" w:customStyle="1" w:styleId="82">
    <w:name w:val="表格内容左对齐"/>
    <w:basedOn w:val="1"/>
    <w:qFormat/>
    <w:uiPriority w:val="0"/>
    <w:pPr>
      <w:keepNext/>
      <w:widowControl/>
      <w:snapToGrid/>
      <w:spacing w:line="240" w:lineRule="exact"/>
    </w:pPr>
    <w:rPr>
      <w:rFonts w:ascii="Futura Hv" w:hAnsi="Times New Roman" w:eastAsia="Futura Hv" w:cs="Futura Hv"/>
      <w:kern w:val="0"/>
      <w:sz w:val="18"/>
      <w:szCs w:val="21"/>
    </w:rPr>
  </w:style>
  <w:style w:type="paragraph" w:customStyle="1" w:styleId="83">
    <w:name w:val="sq_标题1"/>
    <w:basedOn w:val="1"/>
    <w:next w:val="1"/>
    <w:qFormat/>
    <w:uiPriority w:val="0"/>
    <w:pPr>
      <w:widowControl/>
      <w:numPr>
        <w:ilvl w:val="0"/>
        <w:numId w:val="5"/>
      </w:numPr>
      <w:adjustRightInd/>
      <w:snapToGrid/>
      <w:spacing w:before="100" w:beforeAutospacing="1" w:afterLines="150"/>
      <w:jc w:val="center"/>
      <w:outlineLvl w:val="0"/>
    </w:pPr>
    <w:rPr>
      <w:rFonts w:ascii="Times New Roman" w:hAnsi="Times New Roman" w:eastAsia="宋体" w:cs="Times New Roman"/>
      <w:b/>
      <w:bCs/>
      <w:kern w:val="0"/>
      <w:sz w:val="32"/>
      <w:szCs w:val="44"/>
    </w:rPr>
  </w:style>
  <w:style w:type="paragraph" w:customStyle="1" w:styleId="84">
    <w:name w:val="sq_标题2"/>
    <w:basedOn w:val="83"/>
    <w:next w:val="1"/>
    <w:qFormat/>
    <w:uiPriority w:val="0"/>
    <w:pPr>
      <w:numPr>
        <w:ilvl w:val="1"/>
      </w:numPr>
      <w:spacing w:before="50" w:beforeLines="50" w:beforeAutospacing="0" w:after="50" w:afterLines="50"/>
      <w:jc w:val="left"/>
      <w:outlineLvl w:val="1"/>
    </w:pPr>
    <w:rPr>
      <w:bCs w:val="0"/>
      <w:sz w:val="30"/>
      <w:szCs w:val="36"/>
    </w:rPr>
  </w:style>
  <w:style w:type="paragraph" w:customStyle="1" w:styleId="85">
    <w:name w:val="sq_标题3"/>
    <w:basedOn w:val="84"/>
    <w:next w:val="1"/>
    <w:qFormat/>
    <w:uiPriority w:val="0"/>
    <w:pPr>
      <w:numPr>
        <w:ilvl w:val="2"/>
      </w:numPr>
      <w:outlineLvl w:val="2"/>
    </w:pPr>
    <w:rPr>
      <w:bCs/>
      <w:sz w:val="28"/>
      <w:szCs w:val="32"/>
    </w:rPr>
  </w:style>
  <w:style w:type="paragraph" w:customStyle="1" w:styleId="86">
    <w:name w:val="sq_标题4"/>
    <w:basedOn w:val="85"/>
    <w:next w:val="1"/>
    <w:qFormat/>
    <w:uiPriority w:val="0"/>
    <w:pPr>
      <w:numPr>
        <w:ilvl w:val="3"/>
      </w:numPr>
      <w:outlineLvl w:val="3"/>
    </w:pPr>
    <w:rPr>
      <w:sz w:val="24"/>
      <w:szCs w:val="30"/>
    </w:rPr>
  </w:style>
  <w:style w:type="paragraph" w:customStyle="1" w:styleId="87">
    <w:name w:val="列出段落2"/>
    <w:basedOn w:val="1"/>
    <w:qFormat/>
    <w:uiPriority w:val="34"/>
    <w:pPr>
      <w:adjustRightInd/>
      <w:snapToGrid/>
      <w:spacing w:line="240" w:lineRule="auto"/>
      <w:ind w:firstLine="420" w:firstLineChars="200"/>
    </w:pPr>
    <w:rPr>
      <w:sz w:val="21"/>
    </w:rPr>
  </w:style>
  <w:style w:type="paragraph" w:customStyle="1" w:styleId="88">
    <w:name w:val="sq_标题5"/>
    <w:basedOn w:val="86"/>
    <w:next w:val="63"/>
    <w:qFormat/>
    <w:uiPriority w:val="0"/>
    <w:pPr>
      <w:numPr>
        <w:ilvl w:val="4"/>
      </w:numPr>
      <w:autoSpaceDE w:val="0"/>
      <w:ind w:hanging="200" w:hangingChars="200"/>
      <w:outlineLvl w:val="4"/>
    </w:pPr>
    <w:rPr>
      <w:rFonts w:ascii="宋体" w:hAnsi="宋体"/>
      <w:szCs w:val="24"/>
    </w:rPr>
  </w:style>
  <w:style w:type="paragraph" w:customStyle="1" w:styleId="89">
    <w:name w:val="塔河正文序号1）"/>
    <w:basedOn w:val="1"/>
    <w:qFormat/>
    <w:uiPriority w:val="0"/>
    <w:pPr>
      <w:widowControl/>
      <w:numPr>
        <w:ilvl w:val="0"/>
        <w:numId w:val="6"/>
      </w:numPr>
      <w:adjustRightInd/>
      <w:snapToGrid/>
      <w:ind w:firstLine="0"/>
      <w:jc w:val="left"/>
    </w:pPr>
    <w:rPr>
      <w:rFonts w:ascii="宋体" w:hAnsi="宋体" w:eastAsia="宋体" w:cs="Times New Roman"/>
      <w:kern w:val="0"/>
      <w:szCs w:val="21"/>
    </w:rPr>
  </w:style>
  <w:style w:type="character" w:customStyle="1" w:styleId="90">
    <w:name w:val="font01"/>
    <w:basedOn w:val="30"/>
    <w:qFormat/>
    <w:uiPriority w:val="0"/>
    <w:rPr>
      <w:rFonts w:hint="default" w:ascii="苹方-简 常规体" w:hAnsi="苹方-简 常规体" w:eastAsia="苹方-简 常规体" w:cs="苹方-简 常规体"/>
      <w:color w:val="000000"/>
      <w:sz w:val="28"/>
      <w:szCs w:val="28"/>
      <w:u w:val="none"/>
    </w:rPr>
  </w:style>
  <w:style w:type="paragraph" w:customStyle="1" w:styleId="91">
    <w:name w:val="04-正文"/>
    <w:basedOn w:val="1"/>
    <w:qFormat/>
    <w:uiPriority w:val="0"/>
    <w:pPr>
      <w:adjustRightInd/>
      <w:snapToGrid/>
      <w:spacing w:line="360" w:lineRule="exact"/>
      <w:ind w:firstLine="482"/>
    </w:pPr>
    <w:rPr>
      <w:rFonts w:eastAsia="仿宋"/>
      <w:sz w:val="21"/>
      <w:szCs w:val="24"/>
    </w:rPr>
  </w:style>
  <w:style w:type="paragraph" w:customStyle="1" w:styleId="92">
    <w:name w:val="最新标题3"/>
    <w:basedOn w:val="1"/>
    <w:next w:val="1"/>
    <w:qFormat/>
    <w:uiPriority w:val="0"/>
    <w:pPr>
      <w:numPr>
        <w:ilvl w:val="2"/>
        <w:numId w:val="7"/>
      </w:numPr>
      <w:adjustRightInd/>
      <w:snapToGrid/>
      <w:spacing w:line="240" w:lineRule="auto"/>
      <w:ind w:left="0" w:firstLine="0"/>
    </w:pPr>
    <w:rPr>
      <w:rFonts w:ascii="宋体" w:hAnsi="宋体" w:eastAsia="宋体" w:cs="宋体"/>
      <w:bCs/>
      <w:snapToGrid w:val="0"/>
    </w:rPr>
  </w:style>
  <w:style w:type="paragraph" w:customStyle="1" w:styleId="93">
    <w:name w:val="1级"/>
    <w:basedOn w:val="3"/>
    <w:qFormat/>
    <w:uiPriority w:val="0"/>
    <w:pPr>
      <w:numPr>
        <w:numId w:val="8"/>
      </w:numPr>
      <w:adjustRightInd/>
      <w:snapToGrid/>
      <w:spacing w:before="260" w:after="260" w:line="416" w:lineRule="auto"/>
    </w:pPr>
    <w:rPr>
      <w:rFonts w:asciiTheme="majorHAnsi"/>
      <w:color w:val="000000" w:themeColor="text1"/>
      <w14:textFill>
        <w14:solidFill>
          <w14:schemeClr w14:val="tx1"/>
        </w14:solidFill>
      </w14:textFill>
    </w:rPr>
  </w:style>
  <w:style w:type="paragraph" w:customStyle="1" w:styleId="94">
    <w:name w:val="2级"/>
    <w:basedOn w:val="4"/>
    <w:qFormat/>
    <w:uiPriority w:val="0"/>
    <w:pPr>
      <w:numPr>
        <w:ilvl w:val="1"/>
        <w:numId w:val="9"/>
      </w:numPr>
      <w:adjustRightInd/>
      <w:snapToGrid/>
      <w:spacing w:line="416" w:lineRule="auto"/>
    </w:pPr>
    <w:rPr>
      <w:rFonts w:asciiTheme="minorHAnsi"/>
      <w:color w:val="000000" w:themeColor="text1"/>
      <w:sz w:val="32"/>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D4A9C5-9EEE-4F0D-8BFC-4CDC170B472F}">
  <ds:schemaRefs/>
</ds:datastoreItem>
</file>

<file path=docProps/app.xml><?xml version="1.0" encoding="utf-8"?>
<Properties xmlns="http://schemas.openxmlformats.org/officeDocument/2006/extended-properties" xmlns:vt="http://schemas.openxmlformats.org/officeDocument/2006/docPropsVTypes">
  <Template>Normal</Template>
  <Pages>90</Pages>
  <Words>44667</Words>
  <Characters>45812</Characters>
  <Lines>364</Lines>
  <Paragraphs>102</Paragraphs>
  <TotalTime>2</TotalTime>
  <ScaleCrop>false</ScaleCrop>
  <LinksUpToDate>false</LinksUpToDate>
  <CharactersWithSpaces>45995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2021-07-07T06:40:00Z</dcterms:created>
  <dc:creator> </dc:creator>
  <cp:lastModifiedBy>wangq</cp:lastModifiedBy>
  <cp:lastPrinted>2015-09-09T07:07:00Z</cp:lastPrinted>
  <dcterms:modified xsi:type="dcterms:W3CDTF">2021-07-12T06:44:03Z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