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1" w:after="81"/>
        <w:ind w:firstLine="0" w:firstLineChars="0"/>
        <w:jc w:val="center"/>
        <w:rPr>
          <w:rFonts w:ascii="宋体" w:hAnsi="宋体"/>
          <w:b/>
          <w:sz w:val="52"/>
          <w:szCs w:val="52"/>
        </w:rPr>
      </w:pPr>
    </w:p>
    <w:p>
      <w:pPr>
        <w:spacing w:before="81" w:after="81"/>
        <w:ind w:firstLine="0" w:firstLineChars="0"/>
        <w:rPr>
          <w:rFonts w:ascii="宋体" w:hAnsi="宋体"/>
          <w:b/>
          <w:sz w:val="52"/>
          <w:szCs w:val="52"/>
        </w:rPr>
      </w:pPr>
    </w:p>
    <w:p>
      <w:pPr>
        <w:snapToGrid w:val="0"/>
        <w:ind w:left="1441" w:leftChars="0" w:hanging="1441" w:hangingChars="300"/>
        <w:jc w:val="both"/>
        <w:rPr>
          <w:rFonts w:hint="eastAsia" w:eastAsia="隶书"/>
          <w:b/>
          <w:color w:val="auto"/>
          <w:sz w:val="48"/>
          <w:highlight w:val="none"/>
          <w:lang w:eastAsia="zh-CN"/>
        </w:rPr>
      </w:pPr>
      <w:r>
        <w:rPr>
          <w:rFonts w:hint="eastAsia" w:eastAsia="隶书"/>
          <w:b/>
          <w:color w:val="auto"/>
          <w:sz w:val="48"/>
          <w:highlight w:val="none"/>
          <w:lang w:eastAsia="zh-CN"/>
        </w:rPr>
        <w:t>天山中医院数字化转型及智慧医疗服务建设公开招标项目需求文件</w:t>
      </w:r>
    </w:p>
    <w:p>
      <w:pPr>
        <w:spacing w:before="81" w:after="81"/>
        <w:ind w:firstLine="883"/>
        <w:rPr>
          <w:rFonts w:ascii="宋体" w:hAnsi="宋体"/>
          <w:b/>
          <w:sz w:val="44"/>
          <w:szCs w:val="44"/>
        </w:rPr>
      </w:pPr>
      <w:r>
        <w:rPr>
          <w:rFonts w:hint="eastAsia" w:ascii="宋体" w:hAnsi="宋体"/>
          <w:b/>
          <w:sz w:val="44"/>
          <w:szCs w:val="44"/>
        </w:rPr>
        <w:t xml:space="preserve"> </w:t>
      </w:r>
      <w:r>
        <w:rPr>
          <w:rFonts w:ascii="宋体" w:hAnsi="宋体"/>
          <w:b/>
          <w:sz w:val="44"/>
          <w:szCs w:val="44"/>
        </w:rPr>
        <w:t xml:space="preserve">          </w:t>
      </w:r>
    </w:p>
    <w:p>
      <w:pPr>
        <w:spacing w:before="81" w:after="81"/>
        <w:ind w:firstLine="883"/>
        <w:jc w:val="center"/>
        <w:rPr>
          <w:rFonts w:ascii="宋体" w:hAnsi="宋体"/>
          <w:b/>
          <w:sz w:val="44"/>
          <w:szCs w:val="44"/>
        </w:rPr>
      </w:pPr>
    </w:p>
    <w:p>
      <w:pPr>
        <w:spacing w:before="81" w:after="81"/>
        <w:ind w:firstLine="883"/>
        <w:jc w:val="center"/>
        <w:rPr>
          <w:rFonts w:ascii="宋体" w:hAnsi="宋体"/>
          <w:b/>
          <w:sz w:val="44"/>
          <w:szCs w:val="44"/>
        </w:rPr>
      </w:pPr>
    </w:p>
    <w:p>
      <w:pPr>
        <w:tabs>
          <w:tab w:val="left" w:pos="4309"/>
        </w:tabs>
        <w:spacing w:before="81" w:after="81"/>
        <w:ind w:firstLine="1680"/>
        <w:rPr>
          <w:rFonts w:ascii="宋体" w:hAnsi="宋体"/>
          <w:sz w:val="84"/>
          <w:szCs w:val="84"/>
        </w:rPr>
      </w:pPr>
      <w:r>
        <w:rPr>
          <w:rFonts w:ascii="宋体" w:hAnsi="宋体"/>
          <w:sz w:val="84"/>
          <w:szCs w:val="84"/>
        </w:rPr>
        <w:tab/>
      </w:r>
    </w:p>
    <w:p>
      <w:pPr>
        <w:tabs>
          <w:tab w:val="left" w:pos="4309"/>
        </w:tabs>
        <w:spacing w:before="81" w:after="81"/>
        <w:ind w:firstLine="1680"/>
        <w:rPr>
          <w:rFonts w:ascii="宋体" w:hAnsi="宋体"/>
          <w:sz w:val="84"/>
          <w:szCs w:val="8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37" w:footer="340" w:gutter="0"/>
          <w:pgNumType w:fmt="upperRoman"/>
          <w:cols w:space="720" w:num="1"/>
          <w:docGrid w:type="lines" w:linePitch="326" w:charSpace="0"/>
        </w:sectPr>
      </w:pPr>
      <w:r>
        <w:rPr>
          <w:rFonts w:ascii="宋体" w:hAnsi="宋体"/>
          <w:sz w:val="84"/>
          <w:szCs w:val="84"/>
        </w:rPr>
        <w:tab/>
      </w:r>
    </w:p>
    <w:p>
      <w:pPr>
        <w:spacing w:before="78" w:after="78"/>
        <w:ind w:firstLine="0" w:firstLineChars="0"/>
        <w:jc w:val="center"/>
        <w:rPr>
          <w:rFonts w:ascii="宋体" w:hAnsi="宋体"/>
          <w:b/>
          <w:color w:val="000000"/>
          <w:sz w:val="36"/>
          <w:szCs w:val="36"/>
        </w:rPr>
      </w:pPr>
      <w:r>
        <w:rPr>
          <w:rFonts w:hint="eastAsia" w:ascii="宋体" w:hAnsi="宋体"/>
          <w:b/>
          <w:color w:val="000000"/>
          <w:sz w:val="36"/>
          <w:szCs w:val="36"/>
        </w:rPr>
        <w:t>目 录</w:t>
      </w:r>
    </w:p>
    <w:p>
      <w:pPr>
        <w:pStyle w:val="24"/>
        <w:tabs>
          <w:tab w:val="right" w:leader="dot" w:pos="8306"/>
          <w:tab w:val="clear" w:pos="1680"/>
          <w:tab w:val="clear" w:pos="8296"/>
        </w:tabs>
      </w:pPr>
      <w:r>
        <w:rPr>
          <w:rFonts w:ascii="宋体" w:hAnsi="宋体"/>
          <w:color w:val="000000"/>
          <w:kern w:val="0"/>
          <w:szCs w:val="24"/>
        </w:rPr>
        <w:fldChar w:fldCharType="begin"/>
      </w:r>
      <w:r>
        <w:rPr>
          <w:rFonts w:ascii="宋体" w:hAnsi="宋体"/>
          <w:color w:val="000000"/>
          <w:szCs w:val="24"/>
        </w:rPr>
        <w:instrText xml:space="preserve"> TOC \o "1-3" \h \z \u </w:instrText>
      </w:r>
      <w:r>
        <w:rPr>
          <w:rFonts w:ascii="宋体" w:hAnsi="宋体"/>
          <w:color w:val="000000"/>
          <w:kern w:val="0"/>
          <w:szCs w:val="24"/>
        </w:rPr>
        <w:fldChar w:fldCharType="separate"/>
      </w:r>
      <w:r>
        <w:rPr>
          <w:rFonts w:ascii="宋体" w:hAnsi="宋体"/>
          <w:color w:val="000000"/>
          <w:kern w:val="0"/>
          <w:szCs w:val="24"/>
        </w:rPr>
        <w:fldChar w:fldCharType="begin"/>
      </w:r>
      <w:r>
        <w:rPr>
          <w:rFonts w:ascii="宋体" w:hAnsi="宋体"/>
          <w:kern w:val="0"/>
          <w:szCs w:val="24"/>
        </w:rPr>
        <w:instrText xml:space="preserve"> HYPERLINK \l _Toc14661 </w:instrText>
      </w:r>
      <w:r>
        <w:rPr>
          <w:rFonts w:ascii="宋体" w:hAnsi="宋体"/>
          <w:kern w:val="0"/>
          <w:szCs w:val="24"/>
        </w:rPr>
        <w:fldChar w:fldCharType="separate"/>
      </w:r>
      <w:r>
        <w:rPr>
          <w:rFonts w:hint="eastAsia" w:ascii="宋体" w:hAnsi="宋体"/>
        </w:rPr>
        <w:t>第一章 投标资格要求</w:t>
      </w:r>
      <w:r>
        <w:tab/>
      </w:r>
      <w:r>
        <w:fldChar w:fldCharType="begin"/>
      </w:r>
      <w:r>
        <w:instrText xml:space="preserve"> PAGEREF _Toc14661 \h </w:instrText>
      </w:r>
      <w:r>
        <w:fldChar w:fldCharType="separate"/>
      </w:r>
      <w:r>
        <w:t>1</w:t>
      </w:r>
      <w:r>
        <w:fldChar w:fldCharType="end"/>
      </w:r>
      <w:r>
        <w:rPr>
          <w:rFonts w:ascii="宋体" w:hAnsi="宋体"/>
          <w:color w:val="000000"/>
          <w:kern w:val="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_Toc11009 </w:instrText>
      </w:r>
      <w:r>
        <w:rPr>
          <w:rFonts w:ascii="宋体" w:hAnsi="宋体"/>
          <w:szCs w:val="24"/>
        </w:rPr>
        <w:fldChar w:fldCharType="separate"/>
      </w:r>
      <w:r>
        <w:rPr>
          <w:rFonts w:hint="eastAsia" w:ascii="宋体" w:hAnsi="宋体"/>
        </w:rPr>
        <w:t>1.1 《中华人民共和国政府采购法》规定的条件</w:t>
      </w:r>
      <w:r>
        <w:tab/>
      </w:r>
      <w:r>
        <w:fldChar w:fldCharType="begin"/>
      </w:r>
      <w:r>
        <w:instrText xml:space="preserve"> PAGEREF _Toc11009 \h </w:instrText>
      </w:r>
      <w:r>
        <w:fldChar w:fldCharType="separate"/>
      </w:r>
      <w:r>
        <w:t>1</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_Toc4114 </w:instrText>
      </w:r>
      <w:r>
        <w:rPr>
          <w:rFonts w:ascii="宋体" w:hAnsi="宋体"/>
          <w:szCs w:val="24"/>
        </w:rPr>
        <w:fldChar w:fldCharType="separate"/>
      </w:r>
      <w:r>
        <w:rPr>
          <w:rFonts w:hint="eastAsia" w:ascii="宋体" w:hAnsi="宋体"/>
        </w:rPr>
        <w:t xml:space="preserve">1.2 </w:t>
      </w:r>
      <w:r>
        <w:rPr>
          <w:rFonts w:ascii="宋体" w:hAnsi="宋体"/>
        </w:rPr>
        <w:t>是否接受</w:t>
      </w:r>
      <w:r>
        <w:rPr>
          <w:rFonts w:hint="eastAsia" w:ascii="宋体" w:hAnsi="宋体"/>
        </w:rPr>
        <w:t>联合投标体</w:t>
      </w:r>
      <w:r>
        <w:tab/>
      </w:r>
      <w:r>
        <w:fldChar w:fldCharType="begin"/>
      </w:r>
      <w:r>
        <w:instrText xml:space="preserve"> PAGEREF _Toc4114 \h </w:instrText>
      </w:r>
      <w:r>
        <w:fldChar w:fldCharType="separate"/>
      </w:r>
      <w:r>
        <w:t>1</w:t>
      </w:r>
      <w:r>
        <w:fldChar w:fldCharType="end"/>
      </w:r>
      <w:r>
        <w:rPr>
          <w:rFonts w:ascii="宋体" w:hAnsi="宋体"/>
          <w:color w:val="000000"/>
          <w:szCs w:val="24"/>
        </w:rPr>
        <w:fldChar w:fldCharType="end"/>
      </w:r>
    </w:p>
    <w:p>
      <w:pPr>
        <w:pStyle w:val="24"/>
        <w:tabs>
          <w:tab w:val="right" w:leader="dot" w:pos="8306"/>
          <w:tab w:val="clear" w:pos="1680"/>
          <w:tab w:val="clear" w:pos="8296"/>
        </w:tabs>
      </w:pPr>
      <w:r>
        <w:rPr>
          <w:rFonts w:ascii="宋体" w:hAnsi="宋体"/>
          <w:color w:val="000000"/>
          <w:szCs w:val="24"/>
        </w:rPr>
        <w:fldChar w:fldCharType="begin"/>
      </w:r>
      <w:r>
        <w:rPr>
          <w:rFonts w:ascii="宋体" w:hAnsi="宋体"/>
          <w:szCs w:val="24"/>
        </w:rPr>
        <w:instrText xml:space="preserve"> HYPERLINK \l _Toc16956 </w:instrText>
      </w:r>
      <w:r>
        <w:rPr>
          <w:rFonts w:ascii="宋体" w:hAnsi="宋体"/>
          <w:szCs w:val="24"/>
        </w:rPr>
        <w:fldChar w:fldCharType="separate"/>
      </w:r>
      <w:r>
        <w:rPr>
          <w:rFonts w:hint="eastAsia" w:ascii="宋体" w:hAnsi="宋体"/>
        </w:rPr>
        <w:t xml:space="preserve">第二章 </w:t>
      </w:r>
      <w:r>
        <w:rPr>
          <w:rFonts w:ascii="宋体" w:hAnsi="宋体"/>
        </w:rPr>
        <w:t>招标</w:t>
      </w:r>
      <w:r>
        <w:rPr>
          <w:rFonts w:hint="eastAsia" w:ascii="宋体" w:hAnsi="宋体"/>
        </w:rPr>
        <w:t>技术</w:t>
      </w:r>
      <w:r>
        <w:rPr>
          <w:rFonts w:ascii="宋体" w:hAnsi="宋体"/>
        </w:rPr>
        <w:t>需求</w:t>
      </w:r>
      <w:r>
        <w:tab/>
      </w:r>
      <w:r>
        <w:fldChar w:fldCharType="begin"/>
      </w:r>
      <w:r>
        <w:instrText xml:space="preserve"> PAGEREF _Toc16956 \h </w:instrText>
      </w:r>
      <w:r>
        <w:fldChar w:fldCharType="separate"/>
      </w:r>
      <w:r>
        <w:t>2</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_Toc5912 </w:instrText>
      </w:r>
      <w:r>
        <w:rPr>
          <w:rFonts w:ascii="宋体" w:hAnsi="宋体"/>
          <w:szCs w:val="24"/>
        </w:rPr>
        <w:fldChar w:fldCharType="separate"/>
      </w:r>
      <w:r>
        <w:rPr>
          <w:rFonts w:hint="eastAsia" w:ascii="宋体" w:hAnsi="宋体"/>
        </w:rPr>
        <w:t xml:space="preserve">2.1 </w:t>
      </w:r>
      <w:r>
        <w:rPr>
          <w:rFonts w:ascii="宋体" w:hAnsi="宋体"/>
        </w:rPr>
        <w:t>系统设计原则</w:t>
      </w:r>
      <w:r>
        <w:tab/>
      </w:r>
      <w:r>
        <w:fldChar w:fldCharType="begin"/>
      </w:r>
      <w:r>
        <w:instrText xml:space="preserve"> PAGEREF _Toc5912 \h </w:instrText>
      </w:r>
      <w:r>
        <w:fldChar w:fldCharType="separate"/>
      </w:r>
      <w:r>
        <w:t>2</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_Toc26668 </w:instrText>
      </w:r>
      <w:r>
        <w:rPr>
          <w:rFonts w:ascii="宋体" w:hAnsi="宋体"/>
          <w:szCs w:val="24"/>
        </w:rPr>
        <w:fldChar w:fldCharType="separate"/>
      </w:r>
      <w:r>
        <w:rPr>
          <w:rFonts w:hint="eastAsia" w:ascii="宋体" w:hAnsi="宋体"/>
        </w:rPr>
        <w:t>2.1.1 先进性原则</w:t>
      </w:r>
      <w:r>
        <w:tab/>
      </w:r>
      <w:r>
        <w:fldChar w:fldCharType="begin"/>
      </w:r>
      <w:r>
        <w:instrText xml:space="preserve"> PAGEREF _Toc26668 \h </w:instrText>
      </w:r>
      <w:r>
        <w:fldChar w:fldCharType="separate"/>
      </w:r>
      <w:r>
        <w:t>2</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_Toc4334 </w:instrText>
      </w:r>
      <w:r>
        <w:rPr>
          <w:rFonts w:ascii="宋体" w:hAnsi="宋体"/>
          <w:szCs w:val="24"/>
        </w:rPr>
        <w:fldChar w:fldCharType="separate"/>
      </w:r>
      <w:r>
        <w:rPr>
          <w:rFonts w:hint="eastAsia" w:ascii="宋体" w:hAnsi="宋体"/>
        </w:rPr>
        <w:t>2.1.2 可靠性原则</w:t>
      </w:r>
      <w:r>
        <w:tab/>
      </w:r>
      <w:r>
        <w:fldChar w:fldCharType="begin"/>
      </w:r>
      <w:r>
        <w:instrText xml:space="preserve"> PAGEREF _Toc4334 \h </w:instrText>
      </w:r>
      <w:r>
        <w:fldChar w:fldCharType="separate"/>
      </w:r>
      <w:r>
        <w:t>2</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_Toc25053 </w:instrText>
      </w:r>
      <w:r>
        <w:rPr>
          <w:rFonts w:ascii="宋体" w:hAnsi="宋体"/>
          <w:szCs w:val="24"/>
        </w:rPr>
        <w:fldChar w:fldCharType="separate"/>
      </w:r>
      <w:r>
        <w:rPr>
          <w:rFonts w:hint="eastAsia" w:ascii="宋体" w:hAnsi="宋体"/>
        </w:rPr>
        <w:t>2.1.3 实用性原则</w:t>
      </w:r>
      <w:r>
        <w:tab/>
      </w:r>
      <w:r>
        <w:fldChar w:fldCharType="begin"/>
      </w:r>
      <w:r>
        <w:instrText xml:space="preserve"> PAGEREF _Toc25053 \h </w:instrText>
      </w:r>
      <w:r>
        <w:fldChar w:fldCharType="separate"/>
      </w:r>
      <w:r>
        <w:t>3</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_Toc28638 </w:instrText>
      </w:r>
      <w:r>
        <w:rPr>
          <w:rFonts w:ascii="宋体" w:hAnsi="宋体"/>
          <w:szCs w:val="24"/>
        </w:rPr>
        <w:fldChar w:fldCharType="separate"/>
      </w:r>
      <w:r>
        <w:rPr>
          <w:rFonts w:hint="eastAsia" w:ascii="宋体" w:hAnsi="宋体"/>
        </w:rPr>
        <w:t>2.1.4 开放性原则</w:t>
      </w:r>
      <w:r>
        <w:tab/>
      </w:r>
      <w:r>
        <w:fldChar w:fldCharType="begin"/>
      </w:r>
      <w:r>
        <w:instrText xml:space="preserve"> PAGEREF _Toc28638 \h </w:instrText>
      </w:r>
      <w:r>
        <w:fldChar w:fldCharType="separate"/>
      </w:r>
      <w:r>
        <w:t>5</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_Toc23584 </w:instrText>
      </w:r>
      <w:r>
        <w:rPr>
          <w:rFonts w:ascii="宋体" w:hAnsi="宋体"/>
          <w:szCs w:val="24"/>
        </w:rPr>
        <w:fldChar w:fldCharType="separate"/>
      </w:r>
      <w:r>
        <w:rPr>
          <w:rFonts w:hint="eastAsia" w:ascii="宋体" w:hAnsi="宋体"/>
        </w:rPr>
        <w:t>2.1.5 扩展性原则</w:t>
      </w:r>
      <w:r>
        <w:tab/>
      </w:r>
      <w:r>
        <w:fldChar w:fldCharType="begin"/>
      </w:r>
      <w:r>
        <w:instrText xml:space="preserve"> PAGEREF _Toc23584 \h </w:instrText>
      </w:r>
      <w:r>
        <w:fldChar w:fldCharType="separate"/>
      </w:r>
      <w:r>
        <w:t>7</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_Toc19068 </w:instrText>
      </w:r>
      <w:r>
        <w:rPr>
          <w:rFonts w:ascii="宋体" w:hAnsi="宋体"/>
          <w:szCs w:val="24"/>
        </w:rPr>
        <w:fldChar w:fldCharType="separate"/>
      </w:r>
      <w:r>
        <w:rPr>
          <w:rFonts w:hint="eastAsia" w:ascii="宋体" w:hAnsi="宋体"/>
        </w:rPr>
        <w:t>2.1.6 安全性原则</w:t>
      </w:r>
      <w:r>
        <w:tab/>
      </w:r>
      <w:r>
        <w:fldChar w:fldCharType="begin"/>
      </w:r>
      <w:r>
        <w:instrText xml:space="preserve"> PAGEREF _Toc19068 \h </w:instrText>
      </w:r>
      <w:r>
        <w:fldChar w:fldCharType="separate"/>
      </w:r>
      <w:r>
        <w:t>8</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_Toc17458 </w:instrText>
      </w:r>
      <w:r>
        <w:rPr>
          <w:rFonts w:ascii="宋体" w:hAnsi="宋体"/>
          <w:szCs w:val="24"/>
        </w:rPr>
        <w:fldChar w:fldCharType="separate"/>
      </w:r>
      <w:r>
        <w:rPr>
          <w:rFonts w:hint="eastAsia" w:ascii="宋体" w:hAnsi="宋体"/>
        </w:rPr>
        <w:t>2.1.7 管理性原则</w:t>
      </w:r>
      <w:r>
        <w:tab/>
      </w:r>
      <w:r>
        <w:fldChar w:fldCharType="begin"/>
      </w:r>
      <w:r>
        <w:instrText xml:space="preserve"> PAGEREF _Toc17458 \h </w:instrText>
      </w:r>
      <w:r>
        <w:fldChar w:fldCharType="separate"/>
      </w:r>
      <w:r>
        <w:t>9</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_Toc11807 </w:instrText>
      </w:r>
      <w:r>
        <w:rPr>
          <w:rFonts w:ascii="宋体" w:hAnsi="宋体"/>
          <w:szCs w:val="24"/>
        </w:rPr>
        <w:fldChar w:fldCharType="separate"/>
      </w:r>
      <w:r>
        <w:rPr>
          <w:rFonts w:hint="eastAsia" w:ascii="宋体" w:hAnsi="宋体"/>
        </w:rPr>
        <w:t xml:space="preserve">2.2 </w:t>
      </w:r>
      <w:r>
        <w:rPr>
          <w:rFonts w:ascii="宋体" w:hAnsi="宋体"/>
        </w:rPr>
        <w:t>招标内容要求</w:t>
      </w:r>
      <w:r>
        <w:tab/>
      </w:r>
      <w:r>
        <w:fldChar w:fldCharType="begin"/>
      </w:r>
      <w:r>
        <w:instrText xml:space="preserve"> PAGEREF _Toc11807 \h </w:instrText>
      </w:r>
      <w:r>
        <w:fldChar w:fldCharType="separate"/>
      </w:r>
      <w:r>
        <w:t>9</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_Toc15063 </w:instrText>
      </w:r>
      <w:r>
        <w:rPr>
          <w:rFonts w:ascii="宋体" w:hAnsi="宋体"/>
          <w:szCs w:val="24"/>
        </w:rPr>
        <w:fldChar w:fldCharType="separate"/>
      </w:r>
      <w:r>
        <w:rPr>
          <w:rFonts w:hint="eastAsia" w:ascii="宋体" w:hAnsi="宋体"/>
        </w:rPr>
        <w:t>2.2.1 项目招标清单</w:t>
      </w:r>
      <w:r>
        <w:tab/>
      </w:r>
      <w:r>
        <w:fldChar w:fldCharType="begin"/>
      </w:r>
      <w:r>
        <w:instrText xml:space="preserve"> PAGEREF _Toc15063 \h </w:instrText>
      </w:r>
      <w:r>
        <w:fldChar w:fldCharType="separate"/>
      </w:r>
      <w:r>
        <w:t>9</w:t>
      </w:r>
      <w:r>
        <w:fldChar w:fldCharType="end"/>
      </w:r>
      <w:r>
        <w:rPr>
          <w:rFonts w:ascii="宋体" w:hAnsi="宋体"/>
          <w:color w:val="000000"/>
          <w:szCs w:val="24"/>
        </w:rPr>
        <w:fldChar w:fldCharType="end"/>
      </w:r>
    </w:p>
    <w:p>
      <w:pPr>
        <w:pStyle w:val="17"/>
        <w:tabs>
          <w:tab w:val="right" w:leader="dot" w:pos="8306"/>
        </w:tabs>
      </w:pPr>
      <w:r>
        <w:rPr>
          <w:rFonts w:ascii="宋体" w:hAnsi="宋体"/>
          <w:color w:val="000000"/>
          <w:szCs w:val="24"/>
        </w:rPr>
        <w:fldChar w:fldCharType="begin"/>
      </w:r>
      <w:r>
        <w:rPr>
          <w:rFonts w:ascii="宋体" w:hAnsi="宋体"/>
          <w:szCs w:val="24"/>
        </w:rPr>
        <w:instrText xml:space="preserve"> HYPERLINK \l _Toc1570 </w:instrText>
      </w:r>
      <w:r>
        <w:rPr>
          <w:rFonts w:ascii="宋体" w:hAnsi="宋体"/>
          <w:szCs w:val="24"/>
        </w:rPr>
        <w:fldChar w:fldCharType="separate"/>
      </w:r>
      <w:r>
        <w:rPr>
          <w:rFonts w:hint="eastAsia" w:ascii="宋体" w:hAnsi="宋体"/>
        </w:rPr>
        <w:t>2.2.2 软件技术要求</w:t>
      </w:r>
      <w:r>
        <w:tab/>
      </w:r>
      <w:r>
        <w:fldChar w:fldCharType="begin"/>
      </w:r>
      <w:r>
        <w:instrText xml:space="preserve"> PAGEREF _Toc1570 \h </w:instrText>
      </w:r>
      <w:r>
        <w:fldChar w:fldCharType="separate"/>
      </w:r>
      <w:r>
        <w:t>16</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_Toc7454 </w:instrText>
      </w:r>
      <w:r>
        <w:rPr>
          <w:rFonts w:ascii="宋体" w:hAnsi="宋体"/>
          <w:szCs w:val="24"/>
        </w:rPr>
        <w:fldChar w:fldCharType="separate"/>
      </w:r>
      <w:r>
        <w:rPr>
          <w:rFonts w:hint="eastAsia" w:ascii="宋体" w:hAnsi="宋体"/>
        </w:rPr>
        <w:t>2.3 实施范围要求</w:t>
      </w:r>
      <w:r>
        <w:tab/>
      </w:r>
      <w:r>
        <w:fldChar w:fldCharType="begin"/>
      </w:r>
      <w:r>
        <w:instrText xml:space="preserve"> PAGEREF _Toc7454 \h </w:instrText>
      </w:r>
      <w:r>
        <w:fldChar w:fldCharType="separate"/>
      </w:r>
      <w:r>
        <w:t>57</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_Toc17927 </w:instrText>
      </w:r>
      <w:r>
        <w:rPr>
          <w:rFonts w:ascii="宋体" w:hAnsi="宋体"/>
          <w:szCs w:val="24"/>
        </w:rPr>
        <w:fldChar w:fldCharType="separate"/>
      </w:r>
      <w:r>
        <w:rPr>
          <w:rFonts w:hint="eastAsia" w:ascii="宋体" w:hAnsi="宋体"/>
        </w:rPr>
        <w:t xml:space="preserve">2.4 </w:t>
      </w:r>
      <w:r>
        <w:rPr>
          <w:rFonts w:ascii="宋体" w:hAnsi="宋体"/>
        </w:rPr>
        <w:t>项目工期要求</w:t>
      </w:r>
      <w:r>
        <w:tab/>
      </w:r>
      <w:r>
        <w:fldChar w:fldCharType="begin"/>
      </w:r>
      <w:r>
        <w:instrText xml:space="preserve"> PAGEREF _Toc17927 \h </w:instrText>
      </w:r>
      <w:r>
        <w:fldChar w:fldCharType="separate"/>
      </w:r>
      <w:r>
        <w:t>57</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_Toc14433 </w:instrText>
      </w:r>
      <w:r>
        <w:rPr>
          <w:rFonts w:ascii="宋体" w:hAnsi="宋体"/>
          <w:szCs w:val="24"/>
        </w:rPr>
        <w:fldChar w:fldCharType="separate"/>
      </w:r>
      <w:r>
        <w:rPr>
          <w:rFonts w:hint="eastAsia" w:ascii="宋体" w:hAnsi="宋体"/>
        </w:rPr>
        <w:t>2.5 人员团队要求</w:t>
      </w:r>
      <w:r>
        <w:tab/>
      </w:r>
      <w:r>
        <w:fldChar w:fldCharType="begin"/>
      </w:r>
      <w:r>
        <w:instrText xml:space="preserve"> PAGEREF _Toc14433 \h </w:instrText>
      </w:r>
      <w:r>
        <w:fldChar w:fldCharType="separate"/>
      </w:r>
      <w:r>
        <w:t>58</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_Toc13825 </w:instrText>
      </w:r>
      <w:r>
        <w:rPr>
          <w:rFonts w:ascii="宋体" w:hAnsi="宋体"/>
          <w:szCs w:val="24"/>
        </w:rPr>
        <w:fldChar w:fldCharType="separate"/>
      </w:r>
      <w:r>
        <w:rPr>
          <w:rFonts w:hint="eastAsia" w:ascii="宋体" w:hAnsi="宋体"/>
        </w:rPr>
        <w:t xml:space="preserve">2.6 </w:t>
      </w:r>
      <w:r>
        <w:rPr>
          <w:rFonts w:ascii="宋体" w:hAnsi="宋体"/>
        </w:rPr>
        <w:t>质量保证要求</w:t>
      </w:r>
      <w:r>
        <w:tab/>
      </w:r>
      <w:r>
        <w:fldChar w:fldCharType="begin"/>
      </w:r>
      <w:r>
        <w:instrText xml:space="preserve"> PAGEREF _Toc13825 \h </w:instrText>
      </w:r>
      <w:r>
        <w:fldChar w:fldCharType="separate"/>
      </w:r>
      <w:r>
        <w:t>58</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_Toc11081 </w:instrText>
      </w:r>
      <w:r>
        <w:rPr>
          <w:rFonts w:ascii="宋体" w:hAnsi="宋体"/>
          <w:szCs w:val="24"/>
        </w:rPr>
        <w:fldChar w:fldCharType="separate"/>
      </w:r>
      <w:r>
        <w:rPr>
          <w:rFonts w:hint="eastAsia" w:ascii="宋体" w:hAnsi="宋体"/>
        </w:rPr>
        <w:t xml:space="preserve">2.7 </w:t>
      </w:r>
      <w:r>
        <w:rPr>
          <w:rFonts w:ascii="宋体" w:hAnsi="宋体"/>
        </w:rPr>
        <w:t>培训</w:t>
      </w:r>
      <w:r>
        <w:rPr>
          <w:rFonts w:hint="eastAsia" w:ascii="宋体" w:hAnsi="宋体"/>
        </w:rPr>
        <w:t>工作</w:t>
      </w:r>
      <w:r>
        <w:rPr>
          <w:rFonts w:ascii="宋体" w:hAnsi="宋体"/>
        </w:rPr>
        <w:t>要求</w:t>
      </w:r>
      <w:r>
        <w:tab/>
      </w:r>
      <w:r>
        <w:fldChar w:fldCharType="begin"/>
      </w:r>
      <w:r>
        <w:instrText xml:space="preserve"> PAGEREF _Toc11081 \h </w:instrText>
      </w:r>
      <w:r>
        <w:fldChar w:fldCharType="separate"/>
      </w:r>
      <w:r>
        <w:t>58</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_Toc31847 </w:instrText>
      </w:r>
      <w:r>
        <w:rPr>
          <w:rFonts w:ascii="宋体" w:hAnsi="宋体"/>
          <w:szCs w:val="24"/>
        </w:rPr>
        <w:fldChar w:fldCharType="separate"/>
      </w:r>
      <w:r>
        <w:rPr>
          <w:rFonts w:hint="eastAsia" w:ascii="宋体" w:hAnsi="宋体"/>
        </w:rPr>
        <w:t xml:space="preserve">2.8 </w:t>
      </w:r>
      <w:r>
        <w:rPr>
          <w:rFonts w:ascii="宋体" w:hAnsi="宋体"/>
        </w:rPr>
        <w:t>售后服务要求</w:t>
      </w:r>
      <w:r>
        <w:tab/>
      </w:r>
      <w:r>
        <w:fldChar w:fldCharType="begin"/>
      </w:r>
      <w:r>
        <w:instrText xml:space="preserve"> PAGEREF _Toc31847 \h </w:instrText>
      </w:r>
      <w:r>
        <w:fldChar w:fldCharType="separate"/>
      </w:r>
      <w:r>
        <w:t>59</w:t>
      </w:r>
      <w:r>
        <w:fldChar w:fldCharType="end"/>
      </w:r>
      <w:r>
        <w:rPr>
          <w:rFonts w:ascii="宋体" w:hAnsi="宋体"/>
          <w:color w:val="000000"/>
          <w:szCs w:val="24"/>
        </w:rPr>
        <w:fldChar w:fldCharType="end"/>
      </w:r>
    </w:p>
    <w:p>
      <w:pPr>
        <w:pStyle w:val="24"/>
        <w:tabs>
          <w:tab w:val="right" w:leader="dot" w:pos="8306"/>
          <w:tab w:val="clear" w:pos="1680"/>
          <w:tab w:val="clear" w:pos="8296"/>
        </w:tabs>
      </w:pPr>
      <w:r>
        <w:rPr>
          <w:rFonts w:ascii="宋体" w:hAnsi="宋体"/>
          <w:color w:val="000000"/>
          <w:szCs w:val="24"/>
        </w:rPr>
        <w:fldChar w:fldCharType="begin"/>
      </w:r>
      <w:r>
        <w:rPr>
          <w:rFonts w:ascii="宋体" w:hAnsi="宋体"/>
          <w:szCs w:val="24"/>
        </w:rPr>
        <w:instrText xml:space="preserve"> HYPERLINK \l _Toc17367 </w:instrText>
      </w:r>
      <w:r>
        <w:rPr>
          <w:rFonts w:ascii="宋体" w:hAnsi="宋体"/>
          <w:szCs w:val="24"/>
        </w:rPr>
        <w:fldChar w:fldCharType="separate"/>
      </w:r>
      <w:r>
        <w:rPr>
          <w:rFonts w:hint="eastAsia" w:ascii="宋体" w:hAnsi="宋体"/>
        </w:rPr>
        <w:t>第三章 评分标准</w:t>
      </w:r>
      <w:r>
        <w:tab/>
      </w:r>
      <w:r>
        <w:fldChar w:fldCharType="begin"/>
      </w:r>
      <w:r>
        <w:instrText xml:space="preserve"> PAGEREF _Toc17367 \h </w:instrText>
      </w:r>
      <w:r>
        <w:fldChar w:fldCharType="separate"/>
      </w:r>
      <w:r>
        <w:t>60</w:t>
      </w:r>
      <w:r>
        <w:fldChar w:fldCharType="end"/>
      </w:r>
      <w:r>
        <w:rPr>
          <w:rFonts w:ascii="宋体" w:hAnsi="宋体"/>
          <w:color w:val="000000"/>
          <w:szCs w:val="24"/>
        </w:rPr>
        <w:fldChar w:fldCharType="end"/>
      </w:r>
    </w:p>
    <w:p>
      <w:pPr>
        <w:pStyle w:val="24"/>
        <w:tabs>
          <w:tab w:val="right" w:leader="dot" w:pos="8306"/>
          <w:tab w:val="clear" w:pos="1680"/>
          <w:tab w:val="clear" w:pos="8296"/>
        </w:tabs>
      </w:pPr>
      <w:r>
        <w:rPr>
          <w:rFonts w:ascii="宋体" w:hAnsi="宋体"/>
          <w:color w:val="000000"/>
          <w:szCs w:val="24"/>
        </w:rPr>
        <w:fldChar w:fldCharType="begin"/>
      </w:r>
      <w:r>
        <w:rPr>
          <w:rFonts w:ascii="宋体" w:hAnsi="宋体"/>
          <w:szCs w:val="24"/>
        </w:rPr>
        <w:instrText xml:space="preserve"> HYPERLINK \l _Toc5149 </w:instrText>
      </w:r>
      <w:r>
        <w:rPr>
          <w:rFonts w:ascii="宋体" w:hAnsi="宋体"/>
          <w:szCs w:val="24"/>
        </w:rPr>
        <w:fldChar w:fldCharType="separate"/>
      </w:r>
      <w:r>
        <w:rPr>
          <w:rFonts w:hint="eastAsia" w:ascii="宋体" w:hAnsi="宋体"/>
        </w:rPr>
        <w:t>第四章 其他要求</w:t>
      </w:r>
      <w:r>
        <w:tab/>
      </w:r>
      <w:r>
        <w:fldChar w:fldCharType="begin"/>
      </w:r>
      <w:r>
        <w:instrText xml:space="preserve"> PAGEREF _Toc5149 \h </w:instrText>
      </w:r>
      <w:r>
        <w:fldChar w:fldCharType="separate"/>
      </w:r>
      <w:r>
        <w:t>64</w:t>
      </w:r>
      <w:r>
        <w:fldChar w:fldCharType="end"/>
      </w:r>
      <w:r>
        <w:rPr>
          <w:rFonts w:ascii="宋体" w:hAnsi="宋体"/>
          <w:color w:val="000000"/>
          <w:szCs w:val="24"/>
        </w:rPr>
        <w:fldChar w:fldCharType="end"/>
      </w:r>
    </w:p>
    <w:p>
      <w:pPr>
        <w:pStyle w:val="27"/>
        <w:tabs>
          <w:tab w:val="right" w:leader="dot" w:pos="8306"/>
        </w:tabs>
      </w:pPr>
      <w:r>
        <w:rPr>
          <w:rFonts w:ascii="宋体" w:hAnsi="宋体"/>
          <w:color w:val="000000"/>
          <w:szCs w:val="24"/>
        </w:rPr>
        <w:fldChar w:fldCharType="begin"/>
      </w:r>
      <w:r>
        <w:rPr>
          <w:rFonts w:ascii="宋体" w:hAnsi="宋体"/>
          <w:szCs w:val="24"/>
        </w:rPr>
        <w:instrText xml:space="preserve"> HYPERLINK \l _Toc27324 </w:instrText>
      </w:r>
      <w:r>
        <w:rPr>
          <w:rFonts w:ascii="宋体" w:hAnsi="宋体"/>
          <w:szCs w:val="24"/>
        </w:rPr>
        <w:fldChar w:fldCharType="separate"/>
      </w:r>
      <w:r>
        <w:rPr>
          <w:rFonts w:hint="eastAsia" w:ascii="宋体" w:hAnsi="宋体"/>
        </w:rPr>
        <w:t>4.1 合同付款方式</w:t>
      </w:r>
      <w:r>
        <w:tab/>
      </w:r>
      <w:r>
        <w:fldChar w:fldCharType="begin"/>
      </w:r>
      <w:r>
        <w:instrText xml:space="preserve"> PAGEREF _Toc27324 \h </w:instrText>
      </w:r>
      <w:r>
        <w:fldChar w:fldCharType="separate"/>
      </w:r>
      <w:r>
        <w:t>64</w:t>
      </w:r>
      <w:r>
        <w:fldChar w:fldCharType="end"/>
      </w:r>
      <w:r>
        <w:rPr>
          <w:rFonts w:ascii="宋体" w:hAnsi="宋体"/>
          <w:color w:val="000000"/>
          <w:szCs w:val="24"/>
        </w:rPr>
        <w:fldChar w:fldCharType="end"/>
      </w:r>
    </w:p>
    <w:p>
      <w:pPr>
        <w:spacing w:before="78" w:after="78"/>
        <w:ind w:firstLine="480"/>
        <w:rPr>
          <w:rFonts w:ascii="宋体" w:hAnsi="宋体"/>
          <w:color w:val="000000"/>
          <w:szCs w:val="24"/>
        </w:rPr>
        <w:sectPr>
          <w:footerReference r:id="rId9" w:type="default"/>
          <w:pgSz w:w="11906" w:h="16838"/>
          <w:pgMar w:top="1440" w:right="1800" w:bottom="1440" w:left="1800" w:header="851" w:footer="992" w:gutter="0"/>
          <w:cols w:space="720" w:num="1"/>
          <w:docGrid w:type="lines" w:linePitch="312" w:charSpace="0"/>
        </w:sectPr>
      </w:pPr>
      <w:r>
        <w:rPr>
          <w:rFonts w:ascii="宋体" w:hAnsi="宋体"/>
          <w:color w:val="000000"/>
          <w:szCs w:val="24"/>
        </w:rPr>
        <w:fldChar w:fldCharType="end"/>
      </w:r>
      <w:r>
        <w:rPr>
          <w:rFonts w:ascii="宋体" w:hAnsi="宋体"/>
          <w:color w:val="000000"/>
          <w:szCs w:val="24"/>
        </w:rPr>
        <w:t xml:space="preserve">   </w:t>
      </w:r>
    </w:p>
    <w:p>
      <w:pPr>
        <w:pStyle w:val="3"/>
        <w:spacing w:before="81" w:after="81"/>
        <w:rPr>
          <w:rFonts w:ascii="宋体" w:hAnsi="宋体"/>
        </w:rPr>
      </w:pPr>
      <w:bookmarkStart w:id="0" w:name="_Toc508208842"/>
      <w:bookmarkStart w:id="1" w:name="_Toc44516255"/>
      <w:bookmarkStart w:id="2" w:name="_Toc44516094"/>
      <w:bookmarkStart w:id="3" w:name="_Toc497483773"/>
      <w:bookmarkStart w:id="4" w:name="_Toc14661"/>
      <w:bookmarkStart w:id="5" w:name="_Toc351117190"/>
      <w:r>
        <w:rPr>
          <w:rFonts w:hint="eastAsia" w:ascii="宋体" w:hAnsi="宋体"/>
        </w:rPr>
        <w:t>投标资格要求</w:t>
      </w:r>
      <w:bookmarkEnd w:id="0"/>
      <w:bookmarkEnd w:id="1"/>
      <w:bookmarkEnd w:id="2"/>
      <w:bookmarkEnd w:id="3"/>
      <w:bookmarkEnd w:id="4"/>
    </w:p>
    <w:p>
      <w:pPr>
        <w:spacing w:before="81" w:after="81"/>
        <w:ind w:firstLine="480"/>
        <w:rPr>
          <w:rFonts w:ascii="宋体" w:hAnsi="宋体"/>
        </w:rPr>
      </w:pPr>
      <w:r>
        <w:rPr>
          <w:rFonts w:hint="eastAsia" w:ascii="宋体" w:hAnsi="宋体"/>
        </w:rPr>
        <w:t>合格投标人应首先符合政府采购法第二十二条规定的基本条件，同时符合根据该项目特点设置的特定资格条件。</w:t>
      </w:r>
    </w:p>
    <w:p>
      <w:pPr>
        <w:pStyle w:val="4"/>
        <w:spacing w:before="81" w:after="81"/>
        <w:rPr>
          <w:rFonts w:ascii="宋体" w:hAnsi="宋体"/>
        </w:rPr>
      </w:pPr>
      <w:bookmarkStart w:id="6" w:name="_Toc44516074"/>
      <w:bookmarkStart w:id="7" w:name="_Toc44516256"/>
      <w:bookmarkStart w:id="8" w:name="_Toc44516095"/>
      <w:bookmarkStart w:id="9" w:name="_Toc508208843"/>
      <w:bookmarkStart w:id="10" w:name="_Toc497483774"/>
      <w:bookmarkStart w:id="11" w:name="_Toc11009"/>
      <w:r>
        <w:rPr>
          <w:rFonts w:hint="eastAsia" w:ascii="宋体" w:hAnsi="宋体"/>
        </w:rPr>
        <w:t>《中华人民共和国政府采购法》规定的条件</w:t>
      </w:r>
      <w:bookmarkEnd w:id="6"/>
      <w:bookmarkEnd w:id="7"/>
      <w:bookmarkEnd w:id="8"/>
      <w:bookmarkEnd w:id="9"/>
      <w:bookmarkEnd w:id="10"/>
      <w:bookmarkEnd w:id="11"/>
    </w:p>
    <w:p>
      <w:pPr>
        <w:rPr>
          <w:rFonts w:hint="eastAsia" w:eastAsiaTheme="minorEastAsia"/>
          <w:lang w:eastAsia="zh-CN"/>
        </w:rPr>
      </w:pPr>
      <w:r>
        <w:rPr>
          <w:rFonts w:hint="eastAsia" w:ascii="宋体" w:hAnsi="宋体"/>
          <w:lang w:eastAsia="zh-CN"/>
        </w:rPr>
        <w:t>按采购公告要求。</w:t>
      </w:r>
    </w:p>
    <w:p>
      <w:pPr>
        <w:pStyle w:val="4"/>
        <w:spacing w:before="81" w:after="81"/>
        <w:rPr>
          <w:rFonts w:ascii="宋体" w:hAnsi="宋体"/>
        </w:rPr>
      </w:pPr>
      <w:bookmarkStart w:id="12" w:name="_Toc497483775"/>
      <w:bookmarkStart w:id="13" w:name="_Toc44516257"/>
      <w:bookmarkStart w:id="14" w:name="_Toc508208844"/>
      <w:bookmarkStart w:id="15" w:name="_Toc44516075"/>
      <w:bookmarkStart w:id="16" w:name="_Toc44516096"/>
      <w:bookmarkStart w:id="17" w:name="_Toc4114"/>
      <w:r>
        <w:rPr>
          <w:rFonts w:ascii="宋体" w:hAnsi="宋体"/>
        </w:rPr>
        <w:t>是否接受</w:t>
      </w:r>
      <w:r>
        <w:rPr>
          <w:rFonts w:hint="eastAsia" w:ascii="宋体" w:hAnsi="宋体"/>
        </w:rPr>
        <w:t>联合投标体</w:t>
      </w:r>
      <w:bookmarkEnd w:id="12"/>
      <w:bookmarkEnd w:id="13"/>
      <w:bookmarkEnd w:id="14"/>
      <w:bookmarkEnd w:id="15"/>
      <w:bookmarkEnd w:id="16"/>
      <w:bookmarkEnd w:id="17"/>
    </w:p>
    <w:p>
      <w:pPr>
        <w:spacing w:before="81" w:after="81"/>
        <w:ind w:firstLine="480"/>
        <w:rPr>
          <w:rFonts w:ascii="宋体" w:hAnsi="宋体"/>
        </w:rPr>
      </w:pPr>
      <w:r>
        <w:rPr>
          <w:rFonts w:hint="eastAsia" w:ascii="宋体" w:hAnsi="宋体"/>
        </w:rPr>
        <w:t>本次</w:t>
      </w:r>
      <w:r>
        <w:rPr>
          <w:rFonts w:ascii="宋体" w:hAnsi="宋体"/>
        </w:rPr>
        <w:t>招标不接受</w:t>
      </w:r>
      <w:r>
        <w:rPr>
          <w:rFonts w:hint="eastAsia" w:ascii="宋体" w:hAnsi="宋体"/>
        </w:rPr>
        <w:t>联合</w:t>
      </w:r>
      <w:r>
        <w:rPr>
          <w:rFonts w:ascii="宋体" w:hAnsi="宋体"/>
        </w:rPr>
        <w:t>投标体。</w:t>
      </w:r>
    </w:p>
    <w:p>
      <w:pPr>
        <w:pStyle w:val="3"/>
        <w:spacing w:before="81" w:after="81"/>
        <w:rPr>
          <w:rFonts w:ascii="宋体" w:hAnsi="宋体"/>
        </w:rPr>
      </w:pPr>
      <w:bookmarkStart w:id="18" w:name="_Toc44516258"/>
      <w:bookmarkStart w:id="19" w:name="_Toc44516097"/>
      <w:bookmarkStart w:id="20" w:name="_Toc16956"/>
      <w:r>
        <w:rPr>
          <w:rFonts w:ascii="宋体" w:hAnsi="宋体"/>
        </w:rPr>
        <w:t>招标</w:t>
      </w:r>
      <w:r>
        <w:rPr>
          <w:rFonts w:hint="eastAsia" w:ascii="宋体" w:hAnsi="宋体"/>
        </w:rPr>
        <w:t>技术</w:t>
      </w:r>
      <w:r>
        <w:rPr>
          <w:rFonts w:ascii="宋体" w:hAnsi="宋体"/>
        </w:rPr>
        <w:t>需求</w:t>
      </w:r>
      <w:bookmarkEnd w:id="18"/>
      <w:bookmarkEnd w:id="19"/>
      <w:bookmarkEnd w:id="20"/>
    </w:p>
    <w:p>
      <w:pPr>
        <w:pStyle w:val="4"/>
        <w:spacing w:before="81" w:after="81"/>
        <w:rPr>
          <w:rFonts w:ascii="宋体" w:hAnsi="宋体"/>
        </w:rPr>
      </w:pPr>
      <w:bookmarkStart w:id="21" w:name="_Toc44516099"/>
      <w:bookmarkStart w:id="22" w:name="_Toc44516260"/>
      <w:bookmarkStart w:id="23" w:name="_Toc5912"/>
      <w:bookmarkStart w:id="24" w:name="_Toc447642833"/>
      <w:r>
        <w:rPr>
          <w:rFonts w:ascii="宋体" w:hAnsi="宋体"/>
        </w:rPr>
        <w:t>系统设计原则</w:t>
      </w:r>
      <w:bookmarkEnd w:id="21"/>
      <w:bookmarkEnd w:id="22"/>
      <w:bookmarkEnd w:id="23"/>
    </w:p>
    <w:p>
      <w:pPr>
        <w:pStyle w:val="5"/>
        <w:spacing w:before="81" w:after="81"/>
        <w:rPr>
          <w:rFonts w:ascii="宋体" w:hAnsi="宋体"/>
        </w:rPr>
      </w:pPr>
      <w:bookmarkStart w:id="25" w:name="_Toc44516261"/>
      <w:bookmarkStart w:id="26" w:name="_Toc44516100"/>
      <w:bookmarkStart w:id="27" w:name="_Toc26668"/>
      <w:r>
        <w:rPr>
          <w:rFonts w:hint="eastAsia" w:ascii="宋体" w:hAnsi="宋体"/>
        </w:rPr>
        <w:t>先进性原则</w:t>
      </w:r>
      <w:bookmarkEnd w:id="25"/>
      <w:bookmarkEnd w:id="26"/>
      <w:bookmarkEnd w:id="27"/>
    </w:p>
    <w:p>
      <w:pPr>
        <w:spacing w:before="81" w:after="81"/>
        <w:ind w:firstLine="480"/>
        <w:rPr>
          <w:rFonts w:ascii="宋体" w:hAnsi="宋体"/>
        </w:rPr>
      </w:pPr>
      <w:r>
        <w:rPr>
          <w:rFonts w:hint="eastAsia" w:ascii="宋体" w:hAnsi="宋体"/>
        </w:rPr>
        <w:t>在我院信息化建设中要采用国内外先进的计算机技术、信息技术及通信技术；采用先进的体系结构和技术发展的主流产品，保证系统高效运行。</w:t>
      </w:r>
    </w:p>
    <w:p>
      <w:pPr>
        <w:pStyle w:val="5"/>
        <w:spacing w:before="81" w:after="81"/>
        <w:rPr>
          <w:rFonts w:ascii="宋体" w:hAnsi="宋体"/>
        </w:rPr>
      </w:pPr>
      <w:bookmarkStart w:id="28" w:name="_Toc44516262"/>
      <w:bookmarkStart w:id="29" w:name="_Toc44516101"/>
      <w:bookmarkStart w:id="30" w:name="_Toc4334"/>
      <w:r>
        <w:rPr>
          <w:rFonts w:hint="eastAsia" w:ascii="宋体" w:hAnsi="宋体"/>
        </w:rPr>
        <w:t>可靠性原则</w:t>
      </w:r>
      <w:bookmarkEnd w:id="28"/>
      <w:bookmarkEnd w:id="29"/>
      <w:bookmarkEnd w:id="30"/>
    </w:p>
    <w:p>
      <w:pPr>
        <w:spacing w:before="81" w:after="81"/>
        <w:ind w:firstLine="480"/>
        <w:rPr>
          <w:rFonts w:ascii="宋体" w:hAnsi="宋体"/>
          <w:szCs w:val="24"/>
        </w:rPr>
      </w:pPr>
      <w:r>
        <w:rPr>
          <w:rFonts w:hint="eastAsia" w:ascii="宋体" w:hAnsi="宋体"/>
          <w:szCs w:val="24"/>
        </w:rPr>
        <w:t>要求系统运行稳定可靠，根据业务量分析和预测，考虑系统设备的处理能力，系统应具有超负荷控制能力；考虑系统在平时和峰值情况下，安全可靠运行的设备和数据备份机制，确保不会死机，没有数据丢失。软硬件设备要求365×24小时不间断运行。</w:t>
      </w:r>
    </w:p>
    <w:p>
      <w:pPr>
        <w:pStyle w:val="5"/>
        <w:spacing w:before="81" w:after="81"/>
        <w:rPr>
          <w:rFonts w:ascii="宋体" w:hAnsi="宋体"/>
        </w:rPr>
      </w:pPr>
      <w:bookmarkStart w:id="31" w:name="_Toc44516263"/>
      <w:bookmarkStart w:id="32" w:name="_Toc44516102"/>
      <w:bookmarkStart w:id="33" w:name="_Toc25053"/>
      <w:r>
        <w:rPr>
          <w:rFonts w:hint="eastAsia" w:ascii="宋体" w:hAnsi="宋体"/>
        </w:rPr>
        <w:t>实用性原则</w:t>
      </w:r>
      <w:bookmarkEnd w:id="31"/>
      <w:bookmarkEnd w:id="32"/>
      <w:bookmarkEnd w:id="33"/>
    </w:p>
    <w:p>
      <w:pPr>
        <w:spacing w:before="81" w:after="81"/>
        <w:ind w:firstLine="480"/>
        <w:rPr>
          <w:rFonts w:ascii="宋体" w:hAnsi="宋体"/>
          <w:szCs w:val="24"/>
        </w:rPr>
      </w:pPr>
      <w:r>
        <w:rPr>
          <w:rFonts w:hint="eastAsia" w:ascii="宋体" w:hAnsi="宋体"/>
          <w:szCs w:val="24"/>
        </w:rPr>
        <w:t>能够最大限度地满足医院信息化工作的需要，一方面计算机系统应实现基础数据共享，为相关的应用系统调用，另一方面各种系统应提供适用于各个层次计算机知识水平的人员及其管理人员，系统的报表定制，参数设置等便利直观、个性化。</w:t>
      </w:r>
    </w:p>
    <w:p>
      <w:pPr>
        <w:pStyle w:val="5"/>
        <w:spacing w:before="81" w:after="81"/>
        <w:rPr>
          <w:rFonts w:ascii="宋体" w:hAnsi="宋体"/>
        </w:rPr>
      </w:pPr>
      <w:bookmarkStart w:id="34" w:name="_Toc44516103"/>
      <w:bookmarkStart w:id="35" w:name="_Toc44516264"/>
      <w:bookmarkStart w:id="36" w:name="_Toc28638"/>
      <w:r>
        <w:rPr>
          <w:rFonts w:hint="eastAsia" w:ascii="宋体" w:hAnsi="宋体"/>
        </w:rPr>
        <w:t>开放性原则</w:t>
      </w:r>
      <w:bookmarkEnd w:id="34"/>
      <w:bookmarkEnd w:id="35"/>
      <w:bookmarkEnd w:id="36"/>
    </w:p>
    <w:p>
      <w:pPr>
        <w:spacing w:before="81" w:after="81"/>
        <w:ind w:firstLine="480"/>
        <w:rPr>
          <w:rFonts w:ascii="宋体" w:hAnsi="宋体"/>
          <w:szCs w:val="24"/>
        </w:rPr>
      </w:pPr>
      <w:r>
        <w:rPr>
          <w:rFonts w:hint="eastAsia" w:ascii="宋体" w:hAnsi="宋体"/>
          <w:szCs w:val="24"/>
        </w:rPr>
        <w:t>系统要构建灵活、开放的体系结构，保证现有数据库的数据的移植，有效利用。同时为系统扩展、升级及不可预见的管理模式的改变留有余地，并为后期建设的平稳过渡打下基础。</w:t>
      </w:r>
    </w:p>
    <w:p>
      <w:pPr>
        <w:pStyle w:val="5"/>
        <w:spacing w:before="81" w:after="81"/>
        <w:rPr>
          <w:rFonts w:ascii="宋体" w:hAnsi="宋体"/>
        </w:rPr>
      </w:pPr>
      <w:bookmarkStart w:id="37" w:name="_Toc44516265"/>
      <w:bookmarkStart w:id="38" w:name="_Toc44516104"/>
      <w:bookmarkStart w:id="39" w:name="_Toc23584"/>
      <w:r>
        <w:rPr>
          <w:rFonts w:hint="eastAsia" w:ascii="宋体" w:hAnsi="宋体"/>
        </w:rPr>
        <w:t>扩展性原则</w:t>
      </w:r>
      <w:bookmarkEnd w:id="37"/>
      <w:bookmarkEnd w:id="38"/>
      <w:bookmarkEnd w:id="39"/>
    </w:p>
    <w:p>
      <w:pPr>
        <w:spacing w:before="81" w:after="81"/>
        <w:ind w:firstLine="480"/>
        <w:rPr>
          <w:rFonts w:ascii="宋体" w:hAnsi="宋体"/>
          <w:szCs w:val="24"/>
        </w:rPr>
      </w:pPr>
      <w:r>
        <w:rPr>
          <w:rFonts w:hint="eastAsia" w:ascii="宋体" w:hAnsi="宋体"/>
          <w:szCs w:val="24"/>
        </w:rPr>
        <w:t>在系统的设计中不仅应考虑目前的业务需求，更应该满足未来业务量及接入手段种类增长的需求，系统规模应具有可调性。</w:t>
      </w:r>
    </w:p>
    <w:p>
      <w:pPr>
        <w:pStyle w:val="5"/>
        <w:spacing w:before="81" w:after="81"/>
        <w:rPr>
          <w:rFonts w:ascii="宋体" w:hAnsi="宋体"/>
        </w:rPr>
      </w:pPr>
      <w:bookmarkStart w:id="40" w:name="_Toc44516105"/>
      <w:bookmarkStart w:id="41" w:name="_Toc44516266"/>
      <w:bookmarkStart w:id="42" w:name="_Toc19068"/>
      <w:r>
        <w:rPr>
          <w:rFonts w:hint="eastAsia" w:ascii="宋体" w:hAnsi="宋体"/>
        </w:rPr>
        <w:t>安全性原则</w:t>
      </w:r>
      <w:bookmarkEnd w:id="40"/>
      <w:bookmarkEnd w:id="41"/>
      <w:bookmarkEnd w:id="42"/>
    </w:p>
    <w:p>
      <w:pPr>
        <w:spacing w:before="81" w:after="81"/>
        <w:ind w:firstLine="480"/>
        <w:rPr>
          <w:rFonts w:ascii="宋体" w:hAnsi="宋体"/>
          <w:szCs w:val="24"/>
        </w:rPr>
      </w:pPr>
      <w:r>
        <w:rPr>
          <w:rFonts w:hint="eastAsia" w:ascii="宋体" w:hAnsi="宋体"/>
          <w:szCs w:val="24"/>
        </w:rPr>
        <w:t>系统的安全考虑重点在加强其抗干扰能力和抗破坏能力。需要采用多种手段，确保数据安全，保证信息传递的及时、准确，提高系统的抗干扰能力和抗破坏能力。</w:t>
      </w:r>
    </w:p>
    <w:p>
      <w:pPr>
        <w:pStyle w:val="5"/>
        <w:spacing w:before="81" w:after="81"/>
        <w:rPr>
          <w:rFonts w:ascii="宋体" w:hAnsi="宋体"/>
        </w:rPr>
      </w:pPr>
      <w:bookmarkStart w:id="43" w:name="_Toc44516267"/>
      <w:bookmarkStart w:id="44" w:name="_Toc44516106"/>
      <w:bookmarkStart w:id="45" w:name="_Toc17458"/>
      <w:r>
        <w:rPr>
          <w:rFonts w:hint="eastAsia" w:ascii="宋体" w:hAnsi="宋体"/>
        </w:rPr>
        <w:t>管理性原则</w:t>
      </w:r>
      <w:bookmarkEnd w:id="43"/>
      <w:bookmarkEnd w:id="44"/>
      <w:bookmarkEnd w:id="45"/>
    </w:p>
    <w:p>
      <w:pPr>
        <w:spacing w:before="81" w:after="81"/>
        <w:ind w:firstLine="480"/>
        <w:rPr>
          <w:rFonts w:ascii="宋体" w:hAnsi="宋体"/>
          <w:szCs w:val="24"/>
        </w:rPr>
      </w:pPr>
      <w:r>
        <w:rPr>
          <w:rFonts w:hint="eastAsia" w:ascii="宋体" w:hAnsi="宋体"/>
          <w:szCs w:val="24"/>
        </w:rPr>
        <w:t>提供良好的应用操作维护界面，维护操作简单。系统对网络连接、硬件设备、软件进程、日志记录等提供实时监控管理，能提供工具对中心的服务工作进行数据化的管理。</w:t>
      </w:r>
      <w:bookmarkEnd w:id="24"/>
    </w:p>
    <w:p>
      <w:pPr>
        <w:pStyle w:val="4"/>
        <w:spacing w:before="81" w:after="81"/>
        <w:rPr>
          <w:rFonts w:ascii="宋体" w:hAnsi="宋体"/>
        </w:rPr>
      </w:pPr>
      <w:bookmarkStart w:id="46" w:name="_Toc44516268"/>
      <w:bookmarkStart w:id="47" w:name="_Toc44516107"/>
      <w:bookmarkStart w:id="48" w:name="_Toc11807"/>
      <w:bookmarkStart w:id="49" w:name="_Hlk532227420"/>
      <w:r>
        <w:rPr>
          <w:rFonts w:ascii="宋体" w:hAnsi="宋体"/>
        </w:rPr>
        <w:t>招标内容要求</w:t>
      </w:r>
      <w:bookmarkEnd w:id="46"/>
      <w:bookmarkEnd w:id="47"/>
      <w:bookmarkEnd w:id="48"/>
    </w:p>
    <w:p>
      <w:pPr>
        <w:pStyle w:val="5"/>
        <w:spacing w:before="81" w:after="81"/>
        <w:rPr>
          <w:rFonts w:ascii="宋体" w:hAnsi="宋体"/>
        </w:rPr>
      </w:pPr>
      <w:bookmarkStart w:id="50" w:name="_Toc44516269"/>
      <w:bookmarkStart w:id="51" w:name="_Toc44516108"/>
      <w:bookmarkStart w:id="52" w:name="_Toc15063"/>
      <w:r>
        <w:rPr>
          <w:rFonts w:hint="eastAsia" w:ascii="宋体" w:hAnsi="宋体"/>
        </w:rPr>
        <w:t>项目招标清单</w:t>
      </w:r>
      <w:bookmarkEnd w:id="50"/>
      <w:bookmarkEnd w:id="51"/>
      <w:bookmarkEnd w:id="52"/>
    </w:p>
    <w:p>
      <w:pPr>
        <w:spacing w:before="81" w:after="81"/>
        <w:ind w:firstLine="480"/>
        <w:rPr>
          <w:rFonts w:ascii="宋体" w:hAnsi="宋体"/>
          <w:szCs w:val="24"/>
        </w:rPr>
      </w:pPr>
      <w:r>
        <w:rPr>
          <w:rFonts w:hint="eastAsia" w:ascii="宋体" w:hAnsi="宋体"/>
          <w:szCs w:val="24"/>
        </w:rPr>
        <w:t>依据医院业务的实际需求，</w:t>
      </w:r>
      <w:r>
        <w:rPr>
          <w:rFonts w:ascii="宋体" w:hAnsi="宋体"/>
          <w:szCs w:val="24"/>
        </w:rPr>
        <w:t>具体建设的需求如下表所示，要求包括但不限于以下功能模块。</w:t>
      </w:r>
    </w:p>
    <w:tbl>
      <w:tblPr>
        <w:tblStyle w:val="32"/>
        <w:tblpPr w:leftFromText="180" w:rightFromText="180" w:vertAnchor="text" w:horzAnchor="page" w:tblpX="2088" w:tblpY="493"/>
        <w:tblOverlap w:val="never"/>
        <w:tblW w:w="7736" w:type="dxa"/>
        <w:tblInd w:w="0" w:type="dxa"/>
        <w:tblLayout w:type="fixed"/>
        <w:tblCellMar>
          <w:top w:w="0" w:type="dxa"/>
          <w:left w:w="108" w:type="dxa"/>
          <w:bottom w:w="0" w:type="dxa"/>
          <w:right w:w="108" w:type="dxa"/>
        </w:tblCellMar>
      </w:tblPr>
      <w:tblGrid>
        <w:gridCol w:w="1101"/>
        <w:gridCol w:w="1243"/>
        <w:gridCol w:w="1816"/>
        <w:gridCol w:w="3576"/>
      </w:tblGrid>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b/>
                <w:bCs/>
              </w:rPr>
            </w:pPr>
            <w:r>
              <w:rPr>
                <w:rFonts w:hint="eastAsia" w:ascii="宋体" w:hAnsi="宋体" w:cs="宋体"/>
                <w:b/>
                <w:bCs/>
              </w:rPr>
              <w:t>序号</w:t>
            </w:r>
          </w:p>
        </w:tc>
        <w:tc>
          <w:tcPr>
            <w:tcW w:w="1243" w:type="dxa"/>
            <w:tcBorders>
              <w:top w:val="single" w:color="auto" w:sz="4" w:space="0"/>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b/>
                <w:bCs/>
              </w:rPr>
            </w:pPr>
            <w:r>
              <w:rPr>
                <w:rFonts w:hint="eastAsia" w:ascii="宋体" w:hAnsi="宋体" w:cs="宋体"/>
                <w:b/>
                <w:bCs/>
              </w:rPr>
              <w:t>大类</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b/>
                <w:bCs/>
              </w:rPr>
            </w:pPr>
            <w:r>
              <w:rPr>
                <w:rFonts w:hint="eastAsia" w:ascii="宋体" w:hAnsi="宋体" w:cs="宋体"/>
                <w:b/>
                <w:bCs/>
              </w:rPr>
              <w:t>建设内容</w:t>
            </w:r>
          </w:p>
        </w:tc>
        <w:tc>
          <w:tcPr>
            <w:tcW w:w="3576" w:type="dxa"/>
            <w:tcBorders>
              <w:top w:val="single" w:color="auto" w:sz="4" w:space="0"/>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b/>
                <w:bCs/>
              </w:rPr>
            </w:pPr>
            <w:r>
              <w:rPr>
                <w:rFonts w:hint="eastAsia" w:ascii="宋体" w:hAnsi="宋体" w:cs="宋体"/>
                <w:b/>
                <w:bCs/>
              </w:rPr>
              <w:t>系统</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nil"/>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无纸化病案管理系统</w:t>
            </w: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无纸化病案管理系统</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病案翻拍</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无纸化病案归档</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无纸化病案浏览器</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无纸化病案打印</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无纸化病案权限管理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无纸化病案查询统计</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HIS/CIS数据标准接口</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nil"/>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无纸化病案便民服务</w:t>
            </w:r>
          </w:p>
        </w:tc>
        <w:tc>
          <w:tcPr>
            <w:tcW w:w="1816" w:type="dxa"/>
            <w:vMerge w:val="restart"/>
            <w:tcBorders>
              <w:top w:val="nil"/>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r>
              <w:rPr>
                <w:rFonts w:hint="eastAsia" w:ascii="宋体" w:hAnsi="宋体" w:cs="宋体"/>
                <w:color w:val="000000"/>
              </w:rPr>
              <w:t>自助线上申请流程</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微信预约登记+微信支付</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微信扫码支付/支付宝扫码支付</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病案质控管理系统</w:t>
            </w: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病案质控管理系统</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病案自动监控设置</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病案质控设置</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病案自动监控</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病案筛选</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首页质控问题查询</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病案质控</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病案评优</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质控报表</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病案示踪管理系统</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病案示踪管理系统</w:t>
            </w:r>
          </w:p>
        </w:tc>
        <w:tc>
          <w:tcPr>
            <w:tcW w:w="3576" w:type="dxa"/>
            <w:tcBorders>
              <w:top w:val="single" w:color="auto" w:sz="4" w:space="0"/>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病案流转示踪</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病案入库</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病案复印计费</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病案借阅</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single" w:color="auto" w:sz="4" w:space="0"/>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数据中心管理系统</w:t>
            </w:r>
          </w:p>
        </w:tc>
        <w:tc>
          <w:tcPr>
            <w:tcW w:w="1816"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数据质量评估</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数据质量评估总览</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校验评估进度</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校验规则维护</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病历文书标准化</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病历文书管理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病历模板标准映射</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数据集病历节点管理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数据集病历节50点映射</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病历结构化任务管理</w:t>
            </w:r>
          </w:p>
        </w:tc>
      </w:tr>
      <w:tr>
        <w:tblPrEx>
          <w:tblLayout w:type="fixed"/>
          <w:tblCellMar>
            <w:top w:w="0" w:type="dxa"/>
            <w:left w:w="108" w:type="dxa"/>
            <w:bottom w:w="0" w:type="dxa"/>
            <w:right w:w="108" w:type="dxa"/>
          </w:tblCellMar>
        </w:tblPrEx>
        <w:trPr>
          <w:trHeight w:val="130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医师交接班管理系统</w:t>
            </w: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医师交接班管理</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医师交接班管理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nil"/>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护理管理系统</w:t>
            </w: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护理管理门户</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护理部管理门户、（科）护士长门户</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护理排班查询与提醒</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排班查询</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排班智能提醒</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人员请假申请、审批</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护理人力资源管理</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护理人员管理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实习护士管理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规培护士管理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nil"/>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护理大屏</w:t>
            </w: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护理大屏</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护理工作项目备选清单</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医护分管床位信息展示</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医护值班和医院后勤信息展示</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病区备忘录</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病区专科个性化设置</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护理工作融合分组备选清单</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护理工作项目清单展示</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数据下钻功能</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患者用药状态监控</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病区床位清单</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rPr>
              <w:t>患者护理详细信息展示</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rPr>
              <w:t>辅助交班</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rPr>
              <w:t>电子白板多样组件</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rPr>
              <w:t>综合提醒</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rPr>
              <w:t>护理人员排班动态</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急诊管理系统</w:t>
            </w:r>
          </w:p>
        </w:tc>
        <w:tc>
          <w:tcPr>
            <w:tcW w:w="1816" w:type="dxa"/>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一体化工作台</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一体化框架</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预检分诊</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预检登记</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患者分级</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群伤管理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绿色通道</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预检台挂号</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预检知识库</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院前预警</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设备联机</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护理监护（留观护士站）</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患者管理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费用管理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医嘱管理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护理病历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restart"/>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急诊诊疗（急诊医生站）</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急诊抢救及留观病历书写</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留观转归及长处方管理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患者管理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诊断管理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医嘱管理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检查检验申请单管理</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报告调阅</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急诊手术申请</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急诊时间轴</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急诊会诊</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急诊病历</w:t>
            </w:r>
          </w:p>
        </w:tc>
      </w:tr>
      <w:tr>
        <w:tblPrEx>
          <w:tblLayout w:type="fixed"/>
          <w:tblCellMar>
            <w:top w:w="0" w:type="dxa"/>
            <w:left w:w="108" w:type="dxa"/>
            <w:bottom w:w="0" w:type="dxa"/>
            <w:right w:w="108" w:type="dxa"/>
          </w:tblCellMar>
        </w:tblPrEx>
        <w:trPr>
          <w:trHeight w:val="130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院前急救系统与院内系统对接</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院前急救系统与院内系统对接</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restart"/>
            <w:tcBorders>
              <w:top w:val="nil"/>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闭环管理系统</w:t>
            </w: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闭环管理</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门诊检查危急值闭环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住院检查危急值闭环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住院放射闭环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住院超声闭环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住院心电闭环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住院病理闭环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color w:val="000000"/>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门诊放射闭环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门诊超声闭环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门诊心电闭环</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医技便民服务系统</w:t>
            </w:r>
          </w:p>
        </w:tc>
        <w:tc>
          <w:tcPr>
            <w:tcW w:w="1816" w:type="dxa"/>
            <w:vMerge w:val="restart"/>
            <w:tcBorders>
              <w:top w:val="nil"/>
              <w:left w:val="nil"/>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检验便民服务</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检验自助取报告</w:t>
            </w:r>
          </w:p>
        </w:tc>
      </w:tr>
      <w:tr>
        <w:tblPrEx>
          <w:tblLayout w:type="fixed"/>
          <w:tblCellMar>
            <w:top w:w="0" w:type="dxa"/>
            <w:left w:w="108" w:type="dxa"/>
            <w:bottom w:w="0" w:type="dxa"/>
            <w:right w:w="108" w:type="dxa"/>
          </w:tblCellMar>
        </w:tblPrEx>
        <w:trPr>
          <w:trHeight w:val="1224"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color w:val="000000"/>
              </w:rPr>
            </w:pPr>
          </w:p>
        </w:tc>
        <w:tc>
          <w:tcPr>
            <w:tcW w:w="1816" w:type="dxa"/>
            <w:vMerge w:val="continue"/>
            <w:tcBorders>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取报告通知大屏服务/TAT大屏服务/危急值大屏服务等</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检查便民服务</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检查自助去报告</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nil"/>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智能预问诊</w:t>
            </w: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病情信息智能采集</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病情信息智能采集</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智能语音转译</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智能语音转译</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结构化预问诊报告</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结构化预问诊报告</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预问诊病历引入</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预问诊病历引入</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基础问卷知识库</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基础问卷知识库</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预问诊模板管理</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预问诊模板管理</w:t>
            </w:r>
          </w:p>
        </w:tc>
      </w:tr>
      <w:tr>
        <w:tblPrEx>
          <w:tblLayout w:type="fixed"/>
          <w:tblCellMar>
            <w:top w:w="0" w:type="dxa"/>
            <w:left w:w="108" w:type="dxa"/>
            <w:bottom w:w="0" w:type="dxa"/>
            <w:right w:w="108" w:type="dxa"/>
          </w:tblCellMar>
        </w:tblPrEx>
        <w:trPr>
          <w:trHeight w:val="91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181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预问诊业务监管</w:t>
            </w:r>
          </w:p>
        </w:tc>
        <w:tc>
          <w:tcPr>
            <w:tcW w:w="3576" w:type="dxa"/>
            <w:tcBorders>
              <w:top w:val="nil"/>
              <w:left w:val="nil"/>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预问诊业务监管</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电子病历卡和电子出院小结</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电子记录册</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线上患者电子病历册</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门诊电子病历PDF电子签章</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门诊电子病历自助打印</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电子出院小结</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出院小结PDF电子签章</w:t>
            </w:r>
          </w:p>
        </w:tc>
      </w:tr>
      <w:tr>
        <w:tblPrEx>
          <w:tblLayout w:type="fixed"/>
          <w:tblCellMar>
            <w:top w:w="0" w:type="dxa"/>
            <w:left w:w="108" w:type="dxa"/>
            <w:bottom w:w="0" w:type="dxa"/>
            <w:right w:w="108" w:type="dxa"/>
          </w:tblCellMar>
        </w:tblPrEx>
        <w:trPr>
          <w:trHeight w:val="52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出院小结PDF上传服务</w:t>
            </w:r>
          </w:p>
        </w:tc>
      </w:tr>
      <w:tr>
        <w:tblPrEx>
          <w:tblLayout w:type="fixed"/>
          <w:tblCellMar>
            <w:top w:w="0" w:type="dxa"/>
            <w:left w:w="108" w:type="dxa"/>
            <w:bottom w:w="0" w:type="dxa"/>
            <w:right w:w="108" w:type="dxa"/>
          </w:tblCellMar>
        </w:tblPrEx>
        <w:trPr>
          <w:trHeight w:val="86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线上电子出院小结推送及展示</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restart"/>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手术室移动管理系统</w:t>
            </w:r>
          </w:p>
        </w:tc>
        <w:tc>
          <w:tcPr>
            <w:tcW w:w="1816" w:type="dxa"/>
            <w:vMerge w:val="restart"/>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手术移动护理工作站</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手术转运交接</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安全核查</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器械清点</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术前访视</w:t>
            </w:r>
          </w:p>
        </w:tc>
      </w:tr>
      <w:tr>
        <w:tblPrEx>
          <w:tblLayout w:type="fixed"/>
          <w:tblCellMar>
            <w:top w:w="0" w:type="dxa"/>
            <w:left w:w="108" w:type="dxa"/>
            <w:bottom w:w="0" w:type="dxa"/>
            <w:right w:w="108" w:type="dxa"/>
          </w:tblCellMar>
        </w:tblPrEx>
        <w:trPr>
          <w:trHeight w:val="918"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麻醉移动访视工作站</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麻醉访视</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restart"/>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接口</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高值耗材归码计费</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消毒包扫码核对清点</w:t>
            </w:r>
          </w:p>
        </w:tc>
      </w:tr>
      <w:tr>
        <w:tblPrEx>
          <w:tblLayout w:type="fixed"/>
          <w:tblCellMar>
            <w:top w:w="0" w:type="dxa"/>
            <w:left w:w="108" w:type="dxa"/>
            <w:bottom w:w="0" w:type="dxa"/>
            <w:right w:w="108" w:type="dxa"/>
          </w:tblCellMar>
        </w:tblPrEx>
        <w:trPr>
          <w:trHeight w:val="918"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单病种管理系统</w:t>
            </w:r>
          </w:p>
        </w:tc>
        <w:tc>
          <w:tcPr>
            <w:tcW w:w="1816" w:type="dxa"/>
            <w:vMerge w:val="restart"/>
            <w:tcBorders>
              <w:top w:val="single" w:color="auto" w:sz="4" w:space="0"/>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单病种管理系统</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单病种质量指标填=填报及审核</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单病种质量指标上传接口</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病种字典管理</w:t>
            </w:r>
          </w:p>
        </w:tc>
      </w:tr>
      <w:tr>
        <w:tblPrEx>
          <w:tblLayout w:type="fixed"/>
          <w:tblCellMar>
            <w:top w:w="0" w:type="dxa"/>
            <w:left w:w="108" w:type="dxa"/>
            <w:bottom w:w="0" w:type="dxa"/>
            <w:right w:w="108" w:type="dxa"/>
          </w:tblCellMar>
        </w:tblPrEx>
        <w:trPr>
          <w:trHeight w:val="918"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单病种质量指标采集及自动填充</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病种评估量表</w:t>
            </w:r>
          </w:p>
        </w:tc>
      </w:tr>
      <w:tr>
        <w:tblPrEx>
          <w:tblLayout w:type="fixed"/>
          <w:tblCellMar>
            <w:top w:w="0" w:type="dxa"/>
            <w:left w:w="108" w:type="dxa"/>
            <w:bottom w:w="0" w:type="dxa"/>
            <w:right w:w="108" w:type="dxa"/>
          </w:tblCellMar>
        </w:tblPrEx>
        <w:trPr>
          <w:trHeight w:val="918"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单病种质控事中提醒、单病种诊疗方案推荐</w:t>
            </w:r>
          </w:p>
        </w:tc>
      </w:tr>
      <w:tr>
        <w:tblPrEx>
          <w:tblLayout w:type="fixed"/>
          <w:tblCellMar>
            <w:top w:w="0" w:type="dxa"/>
            <w:left w:w="108" w:type="dxa"/>
            <w:bottom w:w="0" w:type="dxa"/>
            <w:right w:w="108" w:type="dxa"/>
          </w:tblCellMar>
        </w:tblPrEx>
        <w:trPr>
          <w:trHeight w:val="918"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单病种诊疗规范依从性统计分析</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VTE智能防治管理系统</w:t>
            </w:r>
          </w:p>
        </w:tc>
        <w:tc>
          <w:tcPr>
            <w:tcW w:w="1816" w:type="dxa"/>
            <w:vMerge w:val="restart"/>
            <w:tcBorders>
              <w:top w:val="single" w:color="auto" w:sz="4" w:space="0"/>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VTE基础服务</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临床数据集成</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患者主索引管理</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restart"/>
            <w:tcBorders>
              <w:top w:val="single" w:color="auto" w:sz="4" w:space="0"/>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VTE知识引擎</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知识引擎</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知识生产</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患者信息调阅</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restart"/>
            <w:tcBorders>
              <w:top w:val="single" w:color="auto" w:sz="4" w:space="0"/>
              <w:left w:val="single" w:color="auto" w:sz="4" w:space="0"/>
              <w:right w:val="single" w:color="auto" w:sz="4" w:space="0"/>
            </w:tcBorders>
            <w:vAlign w:val="center"/>
          </w:tcPr>
          <w:p>
            <w:pPr>
              <w:spacing w:before="81" w:after="81"/>
              <w:ind w:firstLine="0" w:firstLineChars="0"/>
              <w:jc w:val="center"/>
              <w:rPr>
                <w:rFonts w:ascii="宋体" w:hAnsi="宋体" w:cs="宋体"/>
              </w:rPr>
            </w:pPr>
            <w:r>
              <w:rPr>
                <w:rFonts w:hint="eastAsia" w:ascii="宋体" w:hAnsi="宋体" w:cs="宋体"/>
              </w:rPr>
              <w:t>VTE智能辅助决策</w:t>
            </w: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VTE智能评估</w:t>
            </w:r>
          </w:p>
        </w:tc>
      </w:tr>
      <w:tr>
        <w:tblPrEx>
          <w:tblLayout w:type="fixed"/>
          <w:tblCellMar>
            <w:top w:w="0" w:type="dxa"/>
            <w:left w:w="108" w:type="dxa"/>
            <w:bottom w:w="0" w:type="dxa"/>
            <w:right w:w="108" w:type="dxa"/>
          </w:tblCellMar>
        </w:tblPrEx>
        <w:trPr>
          <w:trHeight w:val="529"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VTE预警提醒</w:t>
            </w:r>
          </w:p>
        </w:tc>
      </w:tr>
      <w:tr>
        <w:tblPrEx>
          <w:tblLayout w:type="fixed"/>
          <w:tblCellMar>
            <w:top w:w="0" w:type="dxa"/>
            <w:left w:w="108" w:type="dxa"/>
            <w:bottom w:w="0" w:type="dxa"/>
            <w:right w:w="108" w:type="dxa"/>
          </w:tblCellMar>
        </w:tblPrEx>
        <w:trPr>
          <w:trHeight w:val="537"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rPr>
            </w:pPr>
          </w:p>
        </w:tc>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color w:val="000000"/>
              </w:rPr>
            </w:pPr>
            <w:r>
              <w:rPr>
                <w:rFonts w:hint="eastAsia" w:ascii="宋体" w:hAnsi="宋体" w:cs="宋体"/>
                <w:color w:val="000000"/>
              </w:rPr>
              <w:t>VTE诊疗监控</w:t>
            </w:r>
          </w:p>
        </w:tc>
      </w:tr>
      <w:tr>
        <w:tblPrEx>
          <w:tblLayout w:type="fixed"/>
          <w:tblCellMar>
            <w:top w:w="0" w:type="dxa"/>
            <w:left w:w="108" w:type="dxa"/>
            <w:bottom w:w="0" w:type="dxa"/>
            <w:right w:w="108" w:type="dxa"/>
          </w:tblCellMar>
        </w:tblPrEx>
        <w:trPr>
          <w:trHeight w:val="537"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rPr>
            </w:pPr>
          </w:p>
        </w:tc>
        <w:tc>
          <w:tcPr>
            <w:tcW w:w="1243" w:type="dxa"/>
            <w:vMerge w:val="restart"/>
            <w:tcBorders>
              <w:top w:val="single" w:color="auto" w:sz="4" w:space="0"/>
              <w:left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r>
              <w:rPr>
                <w:rFonts w:hint="eastAsia" w:ascii="宋体" w:hAnsi="宋体" w:cs="宋体"/>
              </w:rPr>
              <w:t>接口</w:t>
            </w:r>
          </w:p>
        </w:tc>
        <w:tc>
          <w:tcPr>
            <w:tcW w:w="5392" w:type="dxa"/>
            <w:gridSpan w:val="2"/>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r>
              <w:rPr>
                <w:rFonts w:hint="eastAsia" w:ascii="宋体" w:hAnsi="宋体" w:cs="宋体"/>
                <w:color w:val="000000"/>
              </w:rPr>
              <w:t>肺功能、骨密度联机及报告数字化</w:t>
            </w:r>
          </w:p>
        </w:tc>
      </w:tr>
      <w:tr>
        <w:tblPrEx>
          <w:tblLayout w:type="fixed"/>
          <w:tblCellMar>
            <w:top w:w="0" w:type="dxa"/>
            <w:left w:w="108" w:type="dxa"/>
            <w:bottom w:w="0" w:type="dxa"/>
            <w:right w:w="108" w:type="dxa"/>
          </w:tblCellMar>
        </w:tblPrEx>
        <w:trPr>
          <w:trHeight w:val="537"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7"/>
              <w:numPr>
                <w:ilvl w:val="0"/>
                <w:numId w:val="3"/>
              </w:numPr>
              <w:spacing w:before="81" w:after="81"/>
              <w:ind w:firstLine="0" w:firstLineChars="0"/>
              <w:jc w:val="center"/>
              <w:rPr>
                <w:rFonts w:ascii="宋体" w:hAnsi="宋体" w:cs="宋体"/>
                <w:color w:val="000000"/>
                <w:lang w:eastAsia="zh-CN"/>
              </w:rPr>
            </w:pPr>
          </w:p>
        </w:tc>
        <w:tc>
          <w:tcPr>
            <w:tcW w:w="1243" w:type="dxa"/>
            <w:vMerge w:val="continue"/>
            <w:tcBorders>
              <w:left w:val="single" w:color="auto" w:sz="4" w:space="0"/>
              <w:bottom w:val="single" w:color="auto" w:sz="4" w:space="0"/>
              <w:right w:val="single" w:color="auto" w:sz="4" w:space="0"/>
            </w:tcBorders>
            <w:shd w:val="clear" w:color="auto" w:fill="auto"/>
            <w:vAlign w:val="center"/>
          </w:tcPr>
          <w:p>
            <w:pPr>
              <w:spacing w:before="81" w:after="81"/>
              <w:ind w:firstLine="0" w:firstLineChars="0"/>
              <w:jc w:val="center"/>
              <w:rPr>
                <w:rFonts w:ascii="宋体" w:hAnsi="宋体" w:cs="宋体"/>
              </w:rPr>
            </w:pPr>
          </w:p>
        </w:tc>
        <w:tc>
          <w:tcPr>
            <w:tcW w:w="5392" w:type="dxa"/>
            <w:gridSpan w:val="2"/>
            <w:tcBorders>
              <w:top w:val="single" w:color="auto" w:sz="4" w:space="0"/>
              <w:left w:val="single" w:color="auto" w:sz="4" w:space="0"/>
              <w:bottom w:val="single" w:color="auto" w:sz="4" w:space="0"/>
              <w:right w:val="single" w:color="auto" w:sz="4" w:space="0"/>
            </w:tcBorders>
            <w:vAlign w:val="center"/>
          </w:tcPr>
          <w:p>
            <w:pPr>
              <w:spacing w:before="81" w:after="81"/>
              <w:ind w:firstLine="0" w:firstLineChars="0"/>
              <w:jc w:val="center"/>
              <w:rPr>
                <w:rFonts w:ascii="宋体" w:hAnsi="宋体" w:cs="宋体"/>
                <w:color w:val="000000"/>
              </w:rPr>
            </w:pPr>
            <w:r>
              <w:rPr>
                <w:rFonts w:hint="eastAsia" w:ascii="宋体" w:hAnsi="宋体" w:cs="宋体"/>
                <w:color w:val="000000"/>
              </w:rPr>
              <w:t>OA接口</w:t>
            </w:r>
          </w:p>
        </w:tc>
      </w:tr>
    </w:tbl>
    <w:p>
      <w:pPr>
        <w:spacing w:before="81" w:after="81"/>
        <w:ind w:firstLine="0" w:firstLineChars="0"/>
        <w:rPr>
          <w:rFonts w:ascii="宋体" w:hAnsi="宋体" w:cs="宋体"/>
          <w:lang w:bidi="th-TH"/>
        </w:rPr>
      </w:pPr>
    </w:p>
    <w:p>
      <w:pPr>
        <w:spacing w:before="81" w:after="81"/>
        <w:ind w:firstLine="480"/>
        <w:rPr>
          <w:rFonts w:ascii="宋体" w:hAnsi="宋体" w:cs="宋体"/>
          <w:lang w:bidi="th-TH"/>
        </w:rPr>
      </w:pPr>
    </w:p>
    <w:p>
      <w:pPr>
        <w:spacing w:before="81" w:after="81"/>
        <w:ind w:firstLine="480"/>
        <w:rPr>
          <w:rFonts w:ascii="宋体" w:hAnsi="宋体" w:cs="宋体"/>
          <w:lang w:bidi="th-TH"/>
        </w:rPr>
      </w:pPr>
    </w:p>
    <w:p>
      <w:pPr>
        <w:spacing w:before="81" w:after="81"/>
        <w:ind w:firstLine="480"/>
        <w:rPr>
          <w:rFonts w:ascii="宋体" w:hAnsi="宋体" w:cs="宋体"/>
          <w:lang w:bidi="th-TH"/>
        </w:rPr>
      </w:pPr>
    </w:p>
    <w:p>
      <w:pPr>
        <w:spacing w:before="81" w:after="81"/>
        <w:ind w:firstLine="480"/>
        <w:rPr>
          <w:rFonts w:ascii="宋体" w:hAnsi="宋体" w:cs="宋体"/>
          <w:lang w:bidi="th-TH"/>
        </w:rPr>
      </w:pPr>
    </w:p>
    <w:p>
      <w:pPr>
        <w:spacing w:before="81" w:after="81"/>
        <w:ind w:firstLine="0" w:firstLineChars="0"/>
        <w:rPr>
          <w:rFonts w:ascii="宋体" w:hAnsi="宋体" w:cs="宋体"/>
          <w:lang w:bidi="th-TH"/>
        </w:rPr>
      </w:pPr>
    </w:p>
    <w:p>
      <w:pPr>
        <w:spacing w:before="81" w:after="81"/>
        <w:ind w:firstLine="480"/>
        <w:rPr>
          <w:rFonts w:ascii="宋体" w:hAnsi="宋体" w:cs="宋体"/>
          <w:lang w:bidi="th-TH"/>
        </w:rPr>
      </w:pPr>
      <w:r>
        <w:rPr>
          <w:rFonts w:ascii="宋体" w:hAnsi="宋体" w:cs="宋体"/>
          <w:lang w:bidi="th-TH"/>
        </w:rPr>
        <w:t>备注：对投标人现有软件模块名称不要求与列表内名称完全一致，但所投产品须能满足实现招标</w:t>
      </w:r>
      <w:r>
        <w:rPr>
          <w:rFonts w:hint="eastAsia" w:ascii="宋体" w:hAnsi="宋体" w:cs="宋体"/>
          <w:lang w:bidi="th-TH"/>
        </w:rPr>
        <w:t>文件</w:t>
      </w:r>
      <w:r>
        <w:rPr>
          <w:rFonts w:ascii="宋体" w:hAnsi="宋体" w:cs="宋体"/>
          <w:lang w:bidi="th-TH"/>
        </w:rPr>
        <w:t>描述所达到的所有功能需求，并可在此基础</w:t>
      </w:r>
      <w:r>
        <w:rPr>
          <w:rFonts w:hint="eastAsia" w:ascii="宋体" w:hAnsi="宋体" w:cs="宋体"/>
          <w:lang w:bidi="th-TH"/>
        </w:rPr>
        <w:t>上做</w:t>
      </w:r>
      <w:r>
        <w:rPr>
          <w:rFonts w:ascii="宋体" w:hAnsi="宋体" w:cs="宋体"/>
          <w:lang w:bidi="th-TH"/>
        </w:rPr>
        <w:t>适量的扩展。</w:t>
      </w:r>
    </w:p>
    <w:p>
      <w:pPr>
        <w:pStyle w:val="5"/>
        <w:spacing w:before="81" w:after="81"/>
        <w:rPr>
          <w:rFonts w:ascii="宋体" w:hAnsi="宋体"/>
        </w:rPr>
      </w:pPr>
      <w:bookmarkStart w:id="53" w:name="_Toc1570"/>
      <w:r>
        <w:rPr>
          <w:rFonts w:hint="eastAsia" w:ascii="宋体" w:hAnsi="宋体"/>
        </w:rPr>
        <w:t>软件技术要求</w:t>
      </w:r>
      <w:bookmarkEnd w:id="53"/>
    </w:p>
    <w:p>
      <w:pPr>
        <w:pStyle w:val="6"/>
        <w:spacing w:before="81" w:after="81"/>
        <w:ind w:left="0"/>
      </w:pPr>
      <w:r>
        <w:rPr>
          <w:rFonts w:hint="eastAsia"/>
        </w:rPr>
        <w:t>无纸化病案管理系统</w:t>
      </w:r>
    </w:p>
    <w:p>
      <w:pPr>
        <w:pStyle w:val="7"/>
        <w:spacing w:before="81" w:after="81"/>
        <w:ind w:left="0"/>
        <w:rPr>
          <w:rFonts w:ascii="宋体" w:hAnsi="宋体"/>
        </w:rPr>
      </w:pPr>
      <w:r>
        <w:rPr>
          <w:rFonts w:hint="eastAsia" w:ascii="宋体" w:hAnsi="宋体"/>
        </w:rPr>
        <w:t>病案翻拍</w:t>
      </w:r>
    </w:p>
    <w:p>
      <w:pPr>
        <w:pStyle w:val="37"/>
        <w:numPr>
          <w:ilvl w:val="0"/>
          <w:numId w:val="4"/>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翻拍登记</w:t>
      </w:r>
    </w:p>
    <w:p>
      <w:pPr>
        <w:spacing w:before="81" w:after="81"/>
        <w:ind w:firstLine="480"/>
        <w:rPr>
          <w:rFonts w:ascii="宋体" w:hAnsi="宋体"/>
          <w:szCs w:val="24"/>
        </w:rPr>
      </w:pPr>
      <w:r>
        <w:rPr>
          <w:rFonts w:hint="eastAsia" w:ascii="宋体" w:hAnsi="宋体"/>
          <w:szCs w:val="24"/>
        </w:rPr>
        <w:t>具备对未完成翻拍的病案，进行翻拍登记功能。</w:t>
      </w:r>
    </w:p>
    <w:p>
      <w:pPr>
        <w:spacing w:before="81" w:after="81"/>
        <w:ind w:firstLine="480"/>
        <w:rPr>
          <w:rFonts w:ascii="宋体" w:hAnsi="宋体"/>
          <w:szCs w:val="24"/>
        </w:rPr>
      </w:pPr>
      <w:r>
        <w:rPr>
          <w:rFonts w:hint="eastAsia" w:ascii="宋体" w:hAnsi="宋体"/>
          <w:szCs w:val="24"/>
        </w:rPr>
        <w:t>支持与临床信息系统对接，通过标准接口对接，获取住院患者基本信息。</w:t>
      </w:r>
    </w:p>
    <w:p>
      <w:pPr>
        <w:pStyle w:val="37"/>
        <w:numPr>
          <w:ilvl w:val="0"/>
          <w:numId w:val="4"/>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文件翻拍</w:t>
      </w:r>
    </w:p>
    <w:p>
      <w:pPr>
        <w:spacing w:before="81" w:after="81"/>
        <w:ind w:firstLine="480"/>
        <w:rPr>
          <w:rFonts w:ascii="宋体" w:hAnsi="宋体"/>
          <w:szCs w:val="24"/>
        </w:rPr>
      </w:pPr>
      <w:r>
        <w:rPr>
          <w:rFonts w:hint="eastAsia" w:ascii="宋体" w:hAnsi="宋体" w:cs="宋体"/>
          <w:lang w:bidi="th-TH"/>
        </w:rPr>
        <w:t>具</w:t>
      </w:r>
      <w:r>
        <w:rPr>
          <w:rFonts w:hint="eastAsia" w:ascii="宋体" w:hAnsi="宋体"/>
          <w:szCs w:val="24"/>
        </w:rPr>
        <w:t>备通过出院日期、病案号、患者姓名、出院科室查询翻拍病案功能。</w:t>
      </w:r>
    </w:p>
    <w:p>
      <w:pPr>
        <w:spacing w:before="81" w:after="81"/>
        <w:ind w:firstLine="480"/>
        <w:rPr>
          <w:rFonts w:ascii="宋体" w:hAnsi="宋体"/>
          <w:szCs w:val="24"/>
        </w:rPr>
      </w:pPr>
      <w:r>
        <w:rPr>
          <w:rFonts w:hint="eastAsia" w:ascii="宋体" w:hAnsi="宋体"/>
          <w:szCs w:val="24"/>
        </w:rPr>
        <w:t>具备文件翻拍及文件自动保存功能，具备通过快捷键快速选择病案分类功能。</w:t>
      </w:r>
    </w:p>
    <w:p>
      <w:pPr>
        <w:spacing w:before="81" w:after="81"/>
        <w:ind w:firstLine="480"/>
        <w:rPr>
          <w:rFonts w:ascii="宋体" w:hAnsi="宋体"/>
          <w:szCs w:val="24"/>
        </w:rPr>
      </w:pPr>
      <w:r>
        <w:rPr>
          <w:rFonts w:hint="eastAsia" w:ascii="宋体" w:hAnsi="宋体"/>
          <w:szCs w:val="24"/>
        </w:rPr>
        <w:t>具备对已翻拍病历文件重新分类功能。</w:t>
      </w:r>
    </w:p>
    <w:p>
      <w:pPr>
        <w:spacing w:before="81" w:after="81"/>
        <w:ind w:firstLine="480"/>
        <w:rPr>
          <w:rFonts w:ascii="宋体" w:hAnsi="宋体"/>
          <w:szCs w:val="24"/>
        </w:rPr>
      </w:pPr>
      <w:r>
        <w:rPr>
          <w:rFonts w:hint="eastAsia" w:ascii="宋体" w:hAnsi="宋体"/>
          <w:szCs w:val="24"/>
        </w:rPr>
        <w:t>支持与临床信息系统，护理信息系统对接，将翻拍功能集成到医生站或护士站，医生或护士拿到纸质文档时即可在医生站或护士站使用翻拍功能对单个患者病历进行实时翻拍。</w:t>
      </w:r>
    </w:p>
    <w:p>
      <w:pPr>
        <w:spacing w:before="81" w:after="81"/>
        <w:ind w:firstLine="480"/>
        <w:rPr>
          <w:rFonts w:ascii="宋体" w:hAnsi="宋体"/>
          <w:szCs w:val="24"/>
        </w:rPr>
      </w:pPr>
      <w:r>
        <w:rPr>
          <w:rFonts w:hint="eastAsia" w:ascii="宋体" w:hAnsi="宋体"/>
          <w:szCs w:val="24"/>
        </w:rPr>
        <w:t>具备翻拍文件自动上传功能，翻拍后自动将翻拍文件上传到指定FTP服务器中，对于上传失败文件可手动重传。</w:t>
      </w:r>
    </w:p>
    <w:p>
      <w:pPr>
        <w:pStyle w:val="37"/>
        <w:numPr>
          <w:ilvl w:val="0"/>
          <w:numId w:val="4"/>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翻拍文件查看</w:t>
      </w:r>
    </w:p>
    <w:p>
      <w:pPr>
        <w:spacing w:before="81" w:after="81"/>
        <w:ind w:firstLine="480"/>
        <w:rPr>
          <w:rFonts w:ascii="宋体" w:hAnsi="宋体"/>
          <w:szCs w:val="24"/>
        </w:rPr>
      </w:pPr>
      <w:r>
        <w:rPr>
          <w:rFonts w:hint="eastAsia" w:ascii="宋体" w:hAnsi="宋体"/>
          <w:szCs w:val="24"/>
        </w:rPr>
        <w:t>具备已翻拍病历文件查看功能。</w:t>
      </w:r>
    </w:p>
    <w:p>
      <w:pPr>
        <w:spacing w:before="81" w:after="81"/>
        <w:ind w:firstLine="480"/>
        <w:rPr>
          <w:rFonts w:ascii="宋体" w:hAnsi="宋体"/>
          <w:szCs w:val="24"/>
        </w:rPr>
      </w:pPr>
      <w:r>
        <w:rPr>
          <w:rFonts w:hint="eastAsia" w:ascii="宋体" w:hAnsi="宋体"/>
          <w:szCs w:val="24"/>
        </w:rPr>
        <w:t>具备多条件查询病案功能，包括翻拍日期、住院号、患者姓名、翻拍人员。</w:t>
      </w:r>
    </w:p>
    <w:p>
      <w:pPr>
        <w:spacing w:before="81" w:after="81"/>
        <w:ind w:firstLine="480"/>
        <w:rPr>
          <w:rFonts w:ascii="宋体" w:hAnsi="宋体" w:cs="宋体"/>
          <w:lang w:bidi="th-TH"/>
        </w:rPr>
      </w:pPr>
      <w:r>
        <w:rPr>
          <w:rFonts w:hint="eastAsia" w:ascii="宋体" w:hAnsi="宋体"/>
          <w:szCs w:val="24"/>
        </w:rPr>
        <w:t>支持外部系统通过标准接口调取翻拍文件进行查看浏览。</w:t>
      </w:r>
    </w:p>
    <w:p>
      <w:pPr>
        <w:pStyle w:val="37"/>
        <w:numPr>
          <w:ilvl w:val="0"/>
          <w:numId w:val="4"/>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翻拍入库</w:t>
      </w:r>
    </w:p>
    <w:p>
      <w:pPr>
        <w:spacing w:before="81" w:after="81"/>
        <w:ind w:firstLine="480"/>
        <w:rPr>
          <w:rFonts w:ascii="宋体" w:hAnsi="宋体"/>
          <w:szCs w:val="24"/>
        </w:rPr>
      </w:pPr>
      <w:r>
        <w:rPr>
          <w:rFonts w:hint="eastAsia" w:ascii="宋体" w:hAnsi="宋体"/>
          <w:szCs w:val="24"/>
        </w:rPr>
        <w:t>具备对已翻拍后的纸质病案进行入库登记功能。</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具备多条件查询病案功能，包括入库日期、出院日期、病案号、姓名、入库位置。</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具备多种入库方式功能，包括选择病案批量入库或扫描病案号快速入库。</w:t>
      </w:r>
    </w:p>
    <w:p>
      <w:pPr>
        <w:spacing w:before="81" w:after="81"/>
        <w:ind w:firstLine="480"/>
        <w:rPr>
          <w:rFonts w:ascii="宋体" w:hAnsi="宋体"/>
          <w:szCs w:val="24"/>
        </w:rPr>
      </w:pPr>
      <w:r>
        <w:rPr>
          <w:rFonts w:hint="eastAsia" w:ascii="宋体" w:hAnsi="宋体"/>
          <w:szCs w:val="24"/>
        </w:rPr>
        <w:t>具备库房设置维护功能，可自定义维护库房、货架、箱号，并且箱号绑定货架，货架绑定库房。</w:t>
      </w:r>
    </w:p>
    <w:p>
      <w:pPr>
        <w:pStyle w:val="7"/>
        <w:spacing w:before="81" w:after="81"/>
        <w:ind w:left="0"/>
        <w:rPr>
          <w:rFonts w:ascii="宋体" w:hAnsi="宋体"/>
        </w:rPr>
      </w:pPr>
      <w:r>
        <w:rPr>
          <w:rFonts w:hint="eastAsia" w:ascii="宋体" w:hAnsi="宋体"/>
        </w:rPr>
        <w:t>无纸化病案归档</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电子病案采集</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具备电子病案自动采集功能，能对各业务系统产生的电子病案自动下载保存到存储服务器中。</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通过标准系统接口与临床信息系统、护理信息系统、手麻系统、ICU系统、检查系统、检验系统、用血系统对接，自动将分布在各个业务系统中的电子病案数据，在单个病历或报告完成时即可实时采集到无纸化病案系统中。</w:t>
      </w:r>
    </w:p>
    <w:p>
      <w:pPr>
        <w:spacing w:before="81" w:after="81"/>
        <w:ind w:firstLine="480"/>
        <w:rPr>
          <w:rFonts w:ascii="宋体" w:hAnsi="宋体"/>
          <w:szCs w:val="24"/>
        </w:rPr>
      </w:pPr>
      <w:r>
        <w:rPr>
          <w:rFonts w:hint="eastAsia" w:ascii="宋体" w:hAnsi="宋体"/>
          <w:szCs w:val="24"/>
        </w:rPr>
        <w:t>具备下载失败的文件自动重新下载功能。</w:t>
      </w:r>
    </w:p>
    <w:p>
      <w:pPr>
        <w:spacing w:before="81" w:after="81"/>
        <w:ind w:firstLine="480"/>
        <w:rPr>
          <w:rFonts w:ascii="宋体" w:hAnsi="宋体"/>
          <w:szCs w:val="24"/>
        </w:rPr>
      </w:pPr>
      <w:r>
        <w:rPr>
          <w:rFonts w:hint="eastAsia" w:ascii="宋体" w:hAnsi="宋体"/>
          <w:szCs w:val="24"/>
        </w:rPr>
        <w:t>具备电子病案目录和文件一致性校验功能，一致性校验不通过时自动通知各个业务系统重新生成，系统自动补传。</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电子病案存储</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具备文件存储服务功能，能对接收的电子病历文件加密存储，防止非法拷贝。</w:t>
      </w:r>
    </w:p>
    <w:p>
      <w:pPr>
        <w:spacing w:before="81" w:after="81"/>
        <w:ind w:firstLine="480"/>
        <w:rPr>
          <w:rFonts w:ascii="宋体" w:hAnsi="宋体"/>
          <w:szCs w:val="24"/>
        </w:rPr>
      </w:pPr>
      <w:r>
        <w:rPr>
          <w:rFonts w:hint="eastAsia" w:ascii="宋体" w:hAnsi="宋体"/>
          <w:szCs w:val="24"/>
        </w:rPr>
        <w:t>提供标准接口将保存电子病案文件提供给授权的第三方系统调用。</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电子病案归档</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具备电子病案归档功能，能自动对出院患者电子病案进行归档，并保障归档病历文件的准确性和一致性。</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具备归档电子病案文件自动编目功能，能根据设置的病案目录自动归类、自动生成页码，方便浏览，打印。</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具备病案文件目录支持自定义配置功能，目录支持配置多级，并可配置单个目录的打印、上传、翻拍、提前复印权限。</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支持多种归档方式，包括自动归档、手工补充归档、医生提交归档。</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具备自动归档时间自定义配置功能，能根据不同的患者类型配置不同的归档时间，比如普通患者出院5天归档，死亡患者3天归档。</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具备自动补归档功能，病案归档后新增的病历（比如检验报告，迟归报告）系统自动归档。</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具备完整性校验功能，包括归档目录校验、文件一致性校验，校验规则支持自定义配置。</w:t>
      </w:r>
    </w:p>
    <w:p>
      <w:pPr>
        <w:spacing w:before="81" w:after="81"/>
        <w:ind w:firstLine="480"/>
        <w:rPr>
          <w:rFonts w:ascii="宋体" w:hAnsi="宋体"/>
          <w:szCs w:val="24"/>
        </w:rPr>
      </w:pPr>
      <w:r>
        <w:rPr>
          <w:rFonts w:hint="eastAsia" w:ascii="宋体" w:hAnsi="宋体"/>
          <w:szCs w:val="24"/>
        </w:rPr>
        <w:t>支持与医技系统对接，已送检未出报告校验，存在未出报告时，显示未出报告名称及预计出报告时间。</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电子病案撤销归档</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具备业务系统提交撤销归档申请修改病历的功能。撤销归档审核通过后才允许修改，修改后的病历提交后自动重新归档。</w:t>
      </w:r>
    </w:p>
    <w:p>
      <w:pPr>
        <w:spacing w:before="81" w:after="81"/>
        <w:ind w:firstLine="480"/>
        <w:rPr>
          <w:rFonts w:ascii="宋体" w:hAnsi="宋体"/>
          <w:szCs w:val="24"/>
        </w:rPr>
      </w:pPr>
      <w:r>
        <w:rPr>
          <w:rFonts w:hint="eastAsia" w:ascii="宋体" w:hAnsi="宋体"/>
          <w:szCs w:val="24"/>
        </w:rPr>
        <w:t>具备撤销归档多级审核功能，能根据不同的业务系统配置不同的审核流程，比如医生申请（科主任、医务科审核、病案室审），护士申请（护士长、分管院长、病案室审核）</w:t>
      </w:r>
    </w:p>
    <w:p>
      <w:pPr>
        <w:spacing w:before="81" w:after="81"/>
        <w:ind w:firstLine="480"/>
        <w:rPr>
          <w:rFonts w:ascii="宋体" w:hAnsi="宋体"/>
          <w:szCs w:val="24"/>
        </w:rPr>
      </w:pPr>
      <w:r>
        <w:rPr>
          <w:rFonts w:hint="eastAsia" w:ascii="宋体" w:hAnsi="宋体"/>
          <w:szCs w:val="24"/>
        </w:rPr>
        <w:t>支持将撤销归档申请功能嵌入到各业务系统，在业务系统即可提交申请。</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电子病案文件导出</w:t>
      </w:r>
    </w:p>
    <w:p>
      <w:pPr>
        <w:spacing w:before="81" w:after="81"/>
        <w:ind w:firstLine="480"/>
        <w:rPr>
          <w:rFonts w:ascii="宋体" w:hAnsi="宋体"/>
          <w:szCs w:val="24"/>
        </w:rPr>
      </w:pPr>
      <w:r>
        <w:rPr>
          <w:rFonts w:hint="eastAsia" w:ascii="宋体" w:hAnsi="宋体"/>
          <w:szCs w:val="24"/>
        </w:rPr>
        <w:t>具备电子病历文件导出功能，导出病历权限能支持自定义配置。</w:t>
      </w:r>
    </w:p>
    <w:p>
      <w:pPr>
        <w:spacing w:before="81" w:after="81"/>
        <w:ind w:firstLine="480"/>
        <w:rPr>
          <w:rFonts w:ascii="宋体" w:hAnsi="宋体"/>
          <w:szCs w:val="24"/>
        </w:rPr>
      </w:pPr>
      <w:r>
        <w:rPr>
          <w:rFonts w:hint="eastAsia" w:ascii="宋体" w:hAnsi="宋体"/>
          <w:szCs w:val="24"/>
        </w:rPr>
        <w:t>具备多种类型导出功能，包括按患者将单次住院的电子病案文件合并成一份的总PDF文档导出、按病案分类目录导出。</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电子病案文件导入</w:t>
      </w:r>
    </w:p>
    <w:p>
      <w:pPr>
        <w:spacing w:before="81" w:after="81"/>
        <w:ind w:firstLine="480"/>
        <w:rPr>
          <w:rFonts w:ascii="宋体" w:hAnsi="宋体"/>
          <w:szCs w:val="24"/>
        </w:rPr>
      </w:pPr>
      <w:r>
        <w:rPr>
          <w:rFonts w:hint="eastAsia" w:ascii="宋体" w:hAnsi="宋体"/>
          <w:szCs w:val="24"/>
        </w:rPr>
        <w:t>具备手动导入病历文件到出院患者指定病案目录功能。</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运维管理</w:t>
      </w:r>
    </w:p>
    <w:p>
      <w:pPr>
        <w:spacing w:before="81" w:after="81"/>
        <w:ind w:firstLine="480"/>
        <w:rPr>
          <w:rFonts w:ascii="宋体" w:hAnsi="宋体"/>
          <w:szCs w:val="24"/>
        </w:rPr>
      </w:pPr>
      <w:r>
        <w:rPr>
          <w:rFonts w:hint="eastAsia" w:ascii="宋体" w:hAnsi="宋体"/>
          <w:szCs w:val="24"/>
        </w:rPr>
        <w:t>具备校验失败、接口异常、归档异常时自动发送预警消息，并能对异常问题进行跟踪处理。</w:t>
      </w:r>
    </w:p>
    <w:p>
      <w:pPr>
        <w:spacing w:before="81" w:after="81"/>
        <w:ind w:firstLine="480"/>
        <w:rPr>
          <w:rFonts w:ascii="宋体" w:hAnsi="宋体"/>
          <w:szCs w:val="24"/>
        </w:rPr>
      </w:pPr>
      <w:r>
        <w:rPr>
          <w:rFonts w:hint="eastAsia" w:ascii="宋体" w:hAnsi="宋体"/>
          <w:szCs w:val="24"/>
        </w:rPr>
        <w:t>支持与短信平台对接，校验失败、接口异常、归档异常时自动发送短信提醒。</w:t>
      </w:r>
    </w:p>
    <w:p>
      <w:pPr>
        <w:pStyle w:val="37"/>
        <w:numPr>
          <w:ilvl w:val="0"/>
          <w:numId w:val="5"/>
        </w:numPr>
        <w:snapToGrid w:val="0"/>
        <w:spacing w:before="81" w:after="81" w:line="360" w:lineRule="auto"/>
        <w:ind w:firstLine="480"/>
        <w:rPr>
          <w:rFonts w:eastAsia="宋体" w:cs="Times New Roman"/>
          <w:color w:val="000000"/>
          <w:sz w:val="24"/>
          <w:szCs w:val="24"/>
          <w:lang w:eastAsia="zh-CN"/>
        </w:rPr>
      </w:pPr>
      <w:r>
        <w:rPr>
          <w:rFonts w:hint="eastAsia" w:eastAsia="宋体" w:cs="Times New Roman"/>
          <w:color w:val="000000"/>
          <w:sz w:val="24"/>
          <w:szCs w:val="24"/>
          <w:lang w:eastAsia="zh-CN"/>
        </w:rPr>
        <w:t>安全技术保障</w:t>
      </w:r>
    </w:p>
    <w:p>
      <w:pPr>
        <w:spacing w:before="81" w:after="81"/>
        <w:ind w:firstLine="480"/>
        <w:rPr>
          <w:rFonts w:ascii="宋体" w:hAnsi="宋体"/>
          <w:szCs w:val="24"/>
        </w:rPr>
      </w:pPr>
      <w:r>
        <w:rPr>
          <w:rFonts w:hint="eastAsia" w:ascii="宋体" w:hAnsi="宋体"/>
          <w:szCs w:val="24"/>
        </w:rPr>
        <w:t>支持与CA系统对接，对电子病案进行CA电子签名、电子签章功能。</w:t>
      </w:r>
    </w:p>
    <w:p>
      <w:pPr>
        <w:spacing w:before="81" w:after="81"/>
        <w:ind w:firstLine="480"/>
        <w:rPr>
          <w:rFonts w:ascii="宋体" w:hAnsi="宋体"/>
          <w:szCs w:val="24"/>
        </w:rPr>
      </w:pPr>
      <w:r>
        <w:rPr>
          <w:rFonts w:hint="eastAsia" w:ascii="宋体" w:hAnsi="宋体"/>
          <w:szCs w:val="24"/>
        </w:rPr>
        <w:t>具备存储电子病案异地灾备，永久保存功能。</w:t>
      </w:r>
    </w:p>
    <w:p>
      <w:pPr>
        <w:spacing w:before="81" w:after="81"/>
        <w:ind w:firstLine="480"/>
        <w:rPr>
          <w:rFonts w:ascii="宋体" w:hAnsi="宋体"/>
          <w:szCs w:val="24"/>
        </w:rPr>
      </w:pPr>
      <w:r>
        <w:rPr>
          <w:rFonts w:hint="eastAsia" w:ascii="宋体" w:hAnsi="宋体"/>
          <w:szCs w:val="24"/>
        </w:rPr>
        <w:t>具备用户分级授权管理功能。</w:t>
      </w:r>
    </w:p>
    <w:p>
      <w:pPr>
        <w:spacing w:before="81" w:after="81"/>
        <w:ind w:firstLine="480"/>
        <w:rPr>
          <w:rFonts w:ascii="宋体" w:hAnsi="宋体"/>
          <w:szCs w:val="24"/>
        </w:rPr>
      </w:pPr>
      <w:r>
        <w:rPr>
          <w:rFonts w:hint="eastAsia" w:ascii="宋体" w:hAnsi="宋体"/>
          <w:szCs w:val="24"/>
        </w:rPr>
        <w:t>具备病案浏览操作留痕功能，发生泄漏时可追溯。</w:t>
      </w:r>
    </w:p>
    <w:p>
      <w:pPr>
        <w:pStyle w:val="7"/>
        <w:spacing w:before="81" w:after="81"/>
        <w:ind w:left="0"/>
        <w:rPr>
          <w:rFonts w:ascii="宋体" w:hAnsi="宋体"/>
        </w:rPr>
      </w:pPr>
      <w:r>
        <w:rPr>
          <w:rFonts w:hint="eastAsia" w:ascii="宋体" w:hAnsi="宋体"/>
        </w:rPr>
        <w:t>无纸化病案浏览器</w:t>
      </w:r>
    </w:p>
    <w:p>
      <w:pPr>
        <w:numPr>
          <w:ilvl w:val="0"/>
          <w:numId w:val="6"/>
        </w:numPr>
        <w:spacing w:before="81" w:after="81"/>
        <w:ind w:firstLine="480"/>
      </w:pPr>
      <w:r>
        <w:rPr>
          <w:rFonts w:hint="eastAsia"/>
        </w:rPr>
        <w:t>病案借阅申请</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具备医护人员因不同目的借阅病案功能，包括科研、教学、晋升等。</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具备借阅目的自定义配置功能。</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具备多条件查询病案功能，包括住院号、患者姓名、出院日期、出院科室。</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具备查询条件能根据病案首页字段自定义配置功能。</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具备借阅到期病案自动收回功能。</w:t>
      </w:r>
    </w:p>
    <w:p>
      <w:pPr>
        <w:spacing w:before="81" w:after="81"/>
        <w:ind w:firstLine="480"/>
        <w:rPr>
          <w:rFonts w:ascii="宋体" w:hAnsi="宋体"/>
          <w:szCs w:val="24"/>
        </w:rPr>
      </w:pPr>
      <w:r>
        <w:rPr>
          <w:rFonts w:hint="eastAsia" w:ascii="宋体" w:hAnsi="宋体"/>
          <w:szCs w:val="24"/>
        </w:rPr>
        <w:t>具备病案续借功能，审核通过后自动计算借阅到期时间。</w:t>
      </w:r>
    </w:p>
    <w:p>
      <w:pPr>
        <w:spacing w:before="81" w:after="81"/>
        <w:ind w:firstLine="480"/>
        <w:rPr>
          <w:rFonts w:ascii="宋体" w:hAnsi="宋体"/>
          <w:szCs w:val="24"/>
        </w:rPr>
      </w:pPr>
      <w:r>
        <w:rPr>
          <w:rFonts w:hint="eastAsia" w:ascii="宋体" w:hAnsi="宋体"/>
          <w:szCs w:val="24"/>
        </w:rPr>
        <w:t>支持与临床系统对接，将病案借阅申请功能嵌入到医生站系统，在医生站系统即可提交申请。</w:t>
      </w:r>
    </w:p>
    <w:p>
      <w:pPr>
        <w:numPr>
          <w:ilvl w:val="0"/>
          <w:numId w:val="6"/>
        </w:numPr>
        <w:spacing w:before="81" w:after="81"/>
        <w:ind w:firstLine="480"/>
      </w:pPr>
      <w:r>
        <w:rPr>
          <w:rFonts w:hint="eastAsia"/>
        </w:rPr>
        <w:t>病案借阅浏览</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具备病案浏览权限配置功能，包括本科室病案浏览，指定科室浏览，全院科室浏览，有权限的用户可直接浏览，浏览的内容支持自定义配置。</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具备多重安全机制配置功能，包括</w:t>
      </w:r>
      <w:bookmarkStart w:id="54" w:name="_Hlk72678299"/>
      <w:r>
        <w:rPr>
          <w:rFonts w:hint="eastAsia" w:ascii="宋体" w:hAnsi="宋体"/>
          <w:szCs w:val="24"/>
        </w:rPr>
        <w:t>浏览水印设置、浏览权限配置、用户IP访问权限配置，保证浏览病案的安全</w:t>
      </w:r>
      <w:bookmarkEnd w:id="54"/>
      <w:r>
        <w:rPr>
          <w:rFonts w:hint="eastAsia" w:ascii="宋体" w:hAnsi="宋体"/>
          <w:szCs w:val="24"/>
        </w:rPr>
        <w:t>。</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具备浏览病案完整日志追踪功能。</w:t>
      </w:r>
    </w:p>
    <w:p>
      <w:pPr>
        <w:spacing w:before="81" w:after="81"/>
        <w:ind w:firstLine="480"/>
        <w:rPr>
          <w:rFonts w:ascii="宋体" w:hAnsi="宋体"/>
          <w:szCs w:val="24"/>
        </w:rPr>
      </w:pPr>
      <w:r>
        <w:rPr>
          <w:rFonts w:hint="eastAsia" w:ascii="宋体" w:hAnsi="宋体"/>
          <w:szCs w:val="24"/>
        </w:rPr>
        <w:t>具备电子病案收藏并添加笔记功能。</w:t>
      </w:r>
    </w:p>
    <w:p>
      <w:pPr>
        <w:spacing w:before="81" w:after="81"/>
        <w:ind w:firstLine="480"/>
        <w:rPr>
          <w:rFonts w:ascii="宋体" w:hAnsi="宋体"/>
          <w:szCs w:val="24"/>
        </w:rPr>
      </w:pPr>
      <w:r>
        <w:rPr>
          <w:rFonts w:hint="eastAsia" w:ascii="宋体" w:hAnsi="宋体"/>
          <w:szCs w:val="24"/>
        </w:rPr>
        <w:t>具备电子病案浏览历史记录查看功能。</w:t>
      </w:r>
    </w:p>
    <w:p>
      <w:pPr>
        <w:numPr>
          <w:ilvl w:val="0"/>
          <w:numId w:val="6"/>
        </w:numPr>
        <w:spacing w:before="81" w:after="81"/>
        <w:ind w:firstLine="480"/>
      </w:pPr>
      <w:r>
        <w:rPr>
          <w:rFonts w:hint="eastAsia"/>
        </w:rPr>
        <w:t>病案借阅审核</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具备对已提交借阅申请病案批量审核功能。</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具备借阅审核流程自定义配置功能，能根据申请角色、借阅目的配置不同的审核流程，包括：医生借阅申请【病历所在科主任审批，出院科室主任审批，医务科审批，病案室审批】。护士借阅申请【病历所在科的护士长审批，护理部审批，病案室审批】。</w:t>
      </w:r>
    </w:p>
    <w:p>
      <w:pPr>
        <w:pStyle w:val="7"/>
        <w:spacing w:before="81" w:after="81"/>
        <w:ind w:left="0"/>
        <w:rPr>
          <w:rFonts w:ascii="宋体" w:hAnsi="宋体"/>
        </w:rPr>
      </w:pPr>
      <w:r>
        <w:rPr>
          <w:rFonts w:hint="eastAsia" w:ascii="宋体" w:hAnsi="宋体"/>
        </w:rPr>
        <w:t>无纸化病案打印</w:t>
      </w:r>
    </w:p>
    <w:p>
      <w:pPr>
        <w:spacing w:before="81" w:after="81"/>
        <w:ind w:left="425"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（1）患者打印登记</w:t>
      </w:r>
    </w:p>
    <w:p>
      <w:pPr>
        <w:spacing w:before="81" w:after="81"/>
        <w:ind w:firstLine="480"/>
        <w:rPr>
          <w:rFonts w:ascii="宋体" w:hAnsi="宋体"/>
          <w:szCs w:val="24"/>
        </w:rPr>
      </w:pPr>
      <w:r>
        <w:rPr>
          <w:rFonts w:hint="eastAsia" w:ascii="宋体" w:hAnsi="宋体"/>
          <w:szCs w:val="24"/>
        </w:rPr>
        <w:t>提供多种复印申请人类型，包括个人申请、代理人申请、机构申请。</w:t>
      </w:r>
    </w:p>
    <w:p>
      <w:pPr>
        <w:spacing w:before="81" w:after="81"/>
        <w:ind w:firstLine="480"/>
        <w:rPr>
          <w:rFonts w:ascii="宋体" w:hAnsi="宋体"/>
          <w:szCs w:val="24"/>
        </w:rPr>
      </w:pPr>
      <w:r>
        <w:rPr>
          <w:rFonts w:hint="eastAsia" w:ascii="宋体" w:hAnsi="宋体"/>
          <w:szCs w:val="24"/>
        </w:rPr>
        <w:t>具备多种取件方式，包括预约时间自取、快递。</w:t>
      </w:r>
    </w:p>
    <w:p>
      <w:pPr>
        <w:spacing w:before="81" w:after="81"/>
        <w:ind w:firstLine="480"/>
        <w:rPr>
          <w:rFonts w:ascii="宋体" w:hAnsi="宋体"/>
          <w:szCs w:val="24"/>
        </w:rPr>
      </w:pPr>
      <w:r>
        <w:rPr>
          <w:rFonts w:hint="eastAsia" w:ascii="宋体" w:hAnsi="宋体"/>
          <w:szCs w:val="24"/>
        </w:rPr>
        <w:t>具备复印登记预收费功能。</w:t>
      </w:r>
    </w:p>
    <w:p>
      <w:pPr>
        <w:spacing w:before="81" w:after="81"/>
        <w:ind w:left="425"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（2）打印收费</w:t>
      </w:r>
    </w:p>
    <w:p>
      <w:pPr>
        <w:spacing w:before="81" w:after="81"/>
        <w:ind w:firstLine="480"/>
        <w:rPr>
          <w:rFonts w:ascii="宋体" w:hAnsi="宋体"/>
          <w:szCs w:val="24"/>
        </w:rPr>
      </w:pPr>
      <w:r>
        <w:rPr>
          <w:rFonts w:hint="eastAsia" w:ascii="宋体" w:hAnsi="宋体"/>
          <w:szCs w:val="24"/>
        </w:rPr>
        <w:t>具备对已登记病案自动计费功能，能根据打印内容、份数及收费标准自动计算费用。</w:t>
      </w:r>
    </w:p>
    <w:p>
      <w:pPr>
        <w:spacing w:before="81" w:after="81"/>
        <w:ind w:firstLine="480"/>
        <w:rPr>
          <w:rFonts w:ascii="宋体" w:hAnsi="宋体"/>
          <w:szCs w:val="24"/>
        </w:rPr>
      </w:pPr>
      <w:r>
        <w:rPr>
          <w:rFonts w:hint="eastAsia" w:ascii="宋体" w:hAnsi="宋体"/>
          <w:szCs w:val="24"/>
        </w:rPr>
        <w:t>具备多种支付方式，包括微信支付、支付宝支付和现金支付。</w:t>
      </w:r>
    </w:p>
    <w:p>
      <w:pPr>
        <w:spacing w:before="81" w:after="81"/>
        <w:ind w:left="425"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（3）病案打印</w:t>
      </w:r>
    </w:p>
    <w:p>
      <w:pPr>
        <w:spacing w:before="81" w:after="81"/>
        <w:ind w:firstLine="480"/>
        <w:rPr>
          <w:rFonts w:ascii="宋体" w:hAnsi="宋体"/>
          <w:szCs w:val="24"/>
        </w:rPr>
      </w:pPr>
      <w:r>
        <w:rPr>
          <w:rFonts w:hint="eastAsia" w:ascii="宋体" w:hAnsi="宋体"/>
          <w:szCs w:val="24"/>
        </w:rPr>
        <w:t>具备根据打印目的一键打印病案功能，打印目的及内容支持自定义配置，可根据需求设定医疗、医保、保险等打印目的。</w:t>
      </w:r>
    </w:p>
    <w:p>
      <w:pPr>
        <w:spacing w:before="81" w:after="81"/>
        <w:ind w:firstLine="480"/>
        <w:rPr>
          <w:rFonts w:ascii="宋体" w:hAnsi="宋体"/>
          <w:szCs w:val="24"/>
        </w:rPr>
      </w:pPr>
      <w:r>
        <w:rPr>
          <w:rFonts w:hint="eastAsia" w:ascii="宋体" w:hAnsi="宋体"/>
          <w:szCs w:val="24"/>
        </w:rPr>
        <w:t>具备根据打印用途自动选中默认的病案分类功能，也可根据患者需要选择对应目的中可选的病案分类。</w:t>
      </w:r>
    </w:p>
    <w:p>
      <w:pPr>
        <w:spacing w:before="81" w:after="81"/>
        <w:ind w:firstLine="480"/>
        <w:rPr>
          <w:rFonts w:ascii="宋体" w:hAnsi="宋体"/>
          <w:szCs w:val="24"/>
        </w:rPr>
      </w:pPr>
      <w:r>
        <w:rPr>
          <w:rFonts w:hint="eastAsia" w:ascii="宋体" w:hAnsi="宋体"/>
          <w:szCs w:val="24"/>
        </w:rPr>
        <w:t>具备对已收费病案重打功能，并记录打印明细。</w:t>
      </w:r>
    </w:p>
    <w:p>
      <w:pPr>
        <w:spacing w:before="81" w:after="81"/>
        <w:ind w:firstLine="480"/>
        <w:rPr>
          <w:rFonts w:ascii="宋体" w:hAnsi="宋体"/>
          <w:szCs w:val="24"/>
        </w:rPr>
      </w:pPr>
      <w:r>
        <w:rPr>
          <w:rFonts w:hint="eastAsia" w:ascii="宋体" w:hAnsi="宋体"/>
          <w:szCs w:val="24"/>
        </w:rPr>
        <w:t>具备打印自动生成水印功能，水印支持自定义配置。</w:t>
      </w:r>
    </w:p>
    <w:p>
      <w:pPr>
        <w:spacing w:before="81" w:after="81"/>
        <w:ind w:firstLine="480"/>
        <w:rPr>
          <w:rFonts w:ascii="宋体" w:hAnsi="宋体"/>
          <w:szCs w:val="24"/>
        </w:rPr>
      </w:pPr>
      <w:r>
        <w:rPr>
          <w:rFonts w:hint="eastAsia" w:ascii="宋体" w:hAnsi="宋体"/>
          <w:szCs w:val="24"/>
        </w:rPr>
        <w:t>支持自动对患者已经打印的病案进行标记，并显示在病人列表中。</w:t>
      </w:r>
    </w:p>
    <w:p>
      <w:pPr>
        <w:spacing w:before="81" w:after="81"/>
        <w:ind w:firstLine="480"/>
        <w:rPr>
          <w:rFonts w:ascii="宋体" w:hAnsi="宋体"/>
          <w:szCs w:val="24"/>
        </w:rPr>
      </w:pPr>
      <w:r>
        <w:rPr>
          <w:rFonts w:hint="eastAsia" w:ascii="宋体" w:hAnsi="宋体"/>
          <w:szCs w:val="24"/>
        </w:rPr>
        <w:t>支持与业务系统对接，对已打印的病案文件控制业务系统不允许修改。</w:t>
      </w:r>
    </w:p>
    <w:p>
      <w:pPr>
        <w:spacing w:before="81" w:after="81"/>
        <w:ind w:left="425"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（4）提前复印标记</w:t>
      </w:r>
    </w:p>
    <w:p>
      <w:pPr>
        <w:spacing w:before="81" w:after="81"/>
        <w:ind w:firstLine="480"/>
        <w:rPr>
          <w:rFonts w:ascii="宋体" w:hAnsi="宋体"/>
          <w:szCs w:val="24"/>
        </w:rPr>
      </w:pPr>
      <w:r>
        <w:rPr>
          <w:rFonts w:hint="eastAsia" w:ascii="宋体" w:hAnsi="宋体"/>
          <w:szCs w:val="24"/>
        </w:rPr>
        <w:t>具备病历允许提前打印功能，对于需要提前打印的病历文件（比如检验、检查报告）可配置病历在下载保存后即可打印，不受归档及人工归档审核控制。</w:t>
      </w:r>
    </w:p>
    <w:p>
      <w:pPr>
        <w:spacing w:before="81" w:after="81"/>
        <w:ind w:left="425"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（4）无纸化病案自助打印</w:t>
      </w:r>
    </w:p>
    <w:p>
      <w:pPr>
        <w:spacing w:before="81" w:after="81"/>
        <w:ind w:firstLine="480"/>
        <w:rPr>
          <w:rFonts w:ascii="宋体" w:hAnsi="宋体"/>
          <w:szCs w:val="24"/>
        </w:rPr>
      </w:pPr>
      <w:r>
        <w:rPr>
          <w:rFonts w:hint="eastAsia" w:ascii="宋体" w:hAnsi="宋体"/>
          <w:szCs w:val="24"/>
        </w:rPr>
        <w:t>具备患者身份证件读取功能，能通过读取患者身份证查询需要打印病案。</w:t>
      </w:r>
    </w:p>
    <w:p>
      <w:pPr>
        <w:spacing w:before="81" w:after="81"/>
        <w:ind w:firstLine="480"/>
        <w:rPr>
          <w:rFonts w:ascii="宋体" w:hAnsi="宋体"/>
          <w:szCs w:val="24"/>
        </w:rPr>
      </w:pPr>
      <w:r>
        <w:rPr>
          <w:rFonts w:hint="eastAsia" w:ascii="宋体" w:hAnsi="宋体"/>
          <w:szCs w:val="24"/>
        </w:rPr>
        <w:t>具备多种打印用途选择功能，能根据选择的打印用途列出打印内容并自动计算页数和费用，打印用途支持后台自定义配置。</w:t>
      </w:r>
    </w:p>
    <w:p>
      <w:pPr>
        <w:spacing w:before="81" w:after="81"/>
        <w:ind w:firstLine="480"/>
        <w:rPr>
          <w:rFonts w:ascii="宋体" w:hAnsi="宋体"/>
          <w:szCs w:val="24"/>
        </w:rPr>
      </w:pPr>
      <w:r>
        <w:rPr>
          <w:rFonts w:hint="eastAsia" w:ascii="宋体" w:hAnsi="宋体"/>
          <w:szCs w:val="24"/>
        </w:rPr>
        <w:t>支持与移动支付平台对接，通过微信、支付宝扫码支付打印病案费用。</w:t>
      </w:r>
    </w:p>
    <w:p>
      <w:pPr>
        <w:spacing w:before="81" w:after="81"/>
        <w:ind w:firstLine="480"/>
        <w:rPr>
          <w:rFonts w:ascii="宋体" w:hAnsi="宋体"/>
          <w:szCs w:val="24"/>
        </w:rPr>
      </w:pPr>
      <w:r>
        <w:rPr>
          <w:rFonts w:hint="eastAsia" w:ascii="宋体" w:hAnsi="宋体"/>
          <w:szCs w:val="24"/>
        </w:rPr>
        <w:t>支持与CA对接，在自助机上直接打印带电子签章的病案。</w:t>
      </w:r>
    </w:p>
    <w:p>
      <w:pPr>
        <w:spacing w:before="81" w:after="81"/>
        <w:ind w:firstLine="480"/>
        <w:rPr>
          <w:rFonts w:ascii="宋体" w:hAnsi="宋体"/>
          <w:szCs w:val="24"/>
        </w:rPr>
      </w:pPr>
      <w:r>
        <w:rPr>
          <w:rFonts w:hint="eastAsia" w:ascii="宋体" w:hAnsi="宋体"/>
          <w:szCs w:val="24"/>
        </w:rPr>
        <w:t>支持通过标准接口与无纸化系统对接，在病案无纸化审核后才能打印，打印后的病例不允许修改。</w:t>
      </w:r>
    </w:p>
    <w:p>
      <w:pPr>
        <w:pStyle w:val="7"/>
        <w:spacing w:before="81" w:after="81"/>
        <w:ind w:left="0"/>
        <w:rPr>
          <w:rFonts w:ascii="宋体" w:hAnsi="宋体"/>
        </w:rPr>
      </w:pPr>
      <w:r>
        <w:rPr>
          <w:rFonts w:hint="eastAsia" w:ascii="宋体" w:hAnsi="宋体"/>
        </w:rPr>
        <w:t>无纸化病案权限管理</w:t>
      </w:r>
    </w:p>
    <w:p>
      <w:pPr>
        <w:spacing w:before="81" w:after="81"/>
        <w:ind w:firstLine="480"/>
        <w:rPr>
          <w:rFonts w:ascii="宋体" w:hAnsi="宋体"/>
          <w:szCs w:val="24"/>
        </w:rPr>
      </w:pPr>
      <w:r>
        <w:rPr>
          <w:rFonts w:hint="eastAsia" w:ascii="宋体" w:hAnsi="宋体"/>
          <w:szCs w:val="24"/>
        </w:rPr>
        <w:t>支持用户菜单权限设置。</w:t>
      </w:r>
    </w:p>
    <w:p>
      <w:pPr>
        <w:spacing w:before="81" w:after="81"/>
        <w:ind w:firstLine="480"/>
        <w:rPr>
          <w:rFonts w:ascii="宋体" w:hAnsi="宋体"/>
          <w:szCs w:val="24"/>
        </w:rPr>
      </w:pPr>
      <w:r>
        <w:rPr>
          <w:rFonts w:hint="eastAsia" w:ascii="宋体" w:hAnsi="宋体"/>
          <w:szCs w:val="24"/>
        </w:rPr>
        <w:t>支持用户浏览访问权限配置。</w:t>
      </w:r>
    </w:p>
    <w:p>
      <w:pPr>
        <w:spacing w:before="81" w:after="81"/>
        <w:ind w:firstLine="480"/>
        <w:rPr>
          <w:rFonts w:ascii="宋体" w:hAnsi="宋体"/>
          <w:szCs w:val="24"/>
        </w:rPr>
      </w:pPr>
      <w:r>
        <w:rPr>
          <w:rFonts w:hint="eastAsia" w:ascii="宋体" w:hAnsi="宋体"/>
          <w:szCs w:val="24"/>
        </w:rPr>
        <w:t>支持病案分类模板设置。</w:t>
      </w:r>
    </w:p>
    <w:p>
      <w:pPr>
        <w:spacing w:before="81" w:after="81"/>
        <w:ind w:firstLine="480"/>
        <w:rPr>
          <w:rFonts w:ascii="宋体" w:hAnsi="宋体"/>
          <w:szCs w:val="24"/>
        </w:rPr>
      </w:pPr>
      <w:r>
        <w:rPr>
          <w:rFonts w:hint="eastAsia" w:ascii="宋体" w:hAnsi="宋体"/>
          <w:szCs w:val="24"/>
        </w:rPr>
        <w:t>支持借阅审批人员和流程设置。</w:t>
      </w:r>
    </w:p>
    <w:p>
      <w:pPr>
        <w:pStyle w:val="7"/>
        <w:spacing w:before="81" w:after="81"/>
        <w:ind w:left="0"/>
        <w:rPr>
          <w:rFonts w:ascii="宋体" w:hAnsi="宋体"/>
        </w:rPr>
      </w:pPr>
      <w:r>
        <w:rPr>
          <w:rFonts w:hint="eastAsia" w:ascii="宋体" w:hAnsi="宋体"/>
        </w:rPr>
        <w:t>无纸化病案查询统计</w:t>
      </w:r>
    </w:p>
    <w:p>
      <w:pPr>
        <w:spacing w:before="81" w:after="81"/>
        <w:ind w:firstLine="480"/>
        <w:rPr>
          <w:rFonts w:ascii="宋体" w:hAnsi="宋体"/>
          <w:szCs w:val="24"/>
        </w:rPr>
      </w:pPr>
      <w:r>
        <w:rPr>
          <w:rFonts w:hint="eastAsia" w:ascii="宋体" w:hAnsi="宋体"/>
          <w:szCs w:val="24"/>
        </w:rPr>
        <w:t>（1）系统日志查询</w:t>
      </w:r>
    </w:p>
    <w:p>
      <w:pPr>
        <w:spacing w:before="81" w:after="81"/>
        <w:ind w:firstLine="480"/>
        <w:rPr>
          <w:rFonts w:ascii="宋体" w:hAnsi="宋体"/>
          <w:szCs w:val="24"/>
        </w:rPr>
      </w:pPr>
      <w:r>
        <w:rPr>
          <w:rFonts w:hint="eastAsia" w:ascii="宋体" w:hAnsi="宋体"/>
          <w:szCs w:val="24"/>
        </w:rPr>
        <w:t>具备系统日志查询功能，包括错误日志、病案归档日志。</w:t>
      </w:r>
    </w:p>
    <w:p>
      <w:pPr>
        <w:spacing w:before="81" w:after="81"/>
        <w:ind w:left="480" w:leftChars="200" w:firstLine="0" w:firstLineChars="0"/>
      </w:pPr>
      <w:r>
        <w:rPr>
          <w:rFonts w:hint="eastAsia"/>
        </w:rPr>
        <w:t>（2）浏览历史查询</w:t>
      </w:r>
    </w:p>
    <w:p>
      <w:pPr>
        <w:spacing w:before="81" w:after="81"/>
        <w:ind w:firstLine="480"/>
        <w:rPr>
          <w:rFonts w:ascii="Arial" w:hAnsi="Arial" w:eastAsia="宋体" w:cs="Arial"/>
          <w:color w:val="333333"/>
          <w:szCs w:val="24"/>
          <w:shd w:val="clear" w:color="auto" w:fill="FFFFFF"/>
        </w:rPr>
      </w:pPr>
      <w:r>
        <w:rPr>
          <w:rFonts w:hint="eastAsia" w:ascii="宋体" w:hAnsi="宋体"/>
          <w:szCs w:val="24"/>
        </w:rPr>
        <w:t>具备借阅记录查询、统计分析功能，包括借阅记录查询、病案浏览历史查询，病案浏览申请记录查询，科室借阅统计，人员借阅统计、病案分类借阅统计。</w:t>
      </w:r>
    </w:p>
    <w:p>
      <w:pPr>
        <w:spacing w:before="81" w:after="81"/>
        <w:ind w:left="425" w:firstLine="0" w:firstLineChars="0"/>
        <w:rPr>
          <w:rFonts w:ascii="Arial" w:hAnsi="Arial" w:eastAsia="宋体" w:cs="Arial"/>
          <w:color w:val="333333"/>
          <w:szCs w:val="24"/>
          <w:shd w:val="clear" w:color="auto" w:fill="FFFFFF"/>
        </w:rPr>
      </w:pPr>
      <w:r>
        <w:rPr>
          <w:rFonts w:hint="eastAsia"/>
        </w:rPr>
        <w:t>（3）</w:t>
      </w:r>
      <w:r>
        <w:rPr>
          <w:rFonts w:hint="eastAsia" w:ascii="Arial" w:hAnsi="Arial" w:eastAsia="宋体" w:cs="Arial"/>
          <w:color w:val="333333"/>
          <w:szCs w:val="24"/>
          <w:shd w:val="clear" w:color="auto" w:fill="FFFFFF"/>
        </w:rPr>
        <w:t>打印工作量统计</w:t>
      </w:r>
    </w:p>
    <w:p>
      <w:pPr>
        <w:spacing w:before="81" w:after="81"/>
        <w:ind w:firstLine="480"/>
        <w:rPr>
          <w:rFonts w:ascii="宋体" w:hAnsi="宋体"/>
          <w:szCs w:val="24"/>
        </w:rPr>
      </w:pPr>
      <w:bookmarkStart w:id="55" w:name="_Hlk72679749"/>
      <w:r>
        <w:rPr>
          <w:rFonts w:hint="eastAsia" w:ascii="宋体" w:hAnsi="宋体"/>
          <w:szCs w:val="24"/>
        </w:rPr>
        <w:t>具备病案复印统计功能，包括病案打印日志查询、病案打印工作量统计、打印收费对账</w:t>
      </w:r>
      <w:bookmarkEnd w:id="55"/>
      <w:r>
        <w:rPr>
          <w:rFonts w:hint="eastAsia" w:ascii="宋体" w:hAnsi="宋体"/>
          <w:szCs w:val="24"/>
        </w:rPr>
        <w:t>。</w:t>
      </w:r>
    </w:p>
    <w:p>
      <w:pPr>
        <w:pStyle w:val="7"/>
        <w:spacing w:before="81" w:after="81"/>
        <w:ind w:left="0"/>
        <w:rPr>
          <w:rFonts w:ascii="宋体" w:hAnsi="宋体"/>
        </w:rPr>
      </w:pPr>
      <w:r>
        <w:rPr>
          <w:rFonts w:hint="eastAsia" w:ascii="宋体" w:hAnsi="宋体"/>
        </w:rPr>
        <w:t>HIS/CIS数据标准接口</w:t>
      </w:r>
    </w:p>
    <w:p>
      <w:pPr>
        <w:spacing w:before="81" w:after="81"/>
        <w:ind w:firstLine="480"/>
      </w:pPr>
      <w:r>
        <w:rPr>
          <w:rFonts w:hint="eastAsia" w:ascii="宋体" w:hAnsi="宋体"/>
          <w:szCs w:val="24"/>
        </w:rPr>
        <w:t>支持提供标准接口与各业务系统进行对接，包括文件接口，归档接口，反归档接口，封存接口等。</w:t>
      </w:r>
    </w:p>
    <w:p>
      <w:pPr>
        <w:pStyle w:val="6"/>
        <w:spacing w:before="81" w:after="81"/>
        <w:ind w:left="0"/>
      </w:pPr>
      <w:r>
        <w:rPr>
          <w:rFonts w:hint="eastAsia"/>
        </w:rPr>
        <w:t>无纸化病案便民服务</w:t>
      </w:r>
    </w:p>
    <w:p>
      <w:pPr>
        <w:pStyle w:val="7"/>
        <w:spacing w:before="81" w:after="81"/>
        <w:ind w:left="0"/>
        <w:rPr>
          <w:rFonts w:ascii="宋体" w:hAnsi="宋体"/>
        </w:rPr>
      </w:pPr>
      <w:r>
        <w:rPr>
          <w:rFonts w:hint="eastAsia" w:ascii="宋体" w:hAnsi="宋体"/>
        </w:rPr>
        <w:t>自助线上申请流程</w:t>
      </w:r>
    </w:p>
    <w:p>
      <w:pPr>
        <w:spacing w:before="81" w:after="81"/>
        <w:ind w:firstLine="480"/>
      </w:pPr>
      <w:r>
        <w:rPr>
          <w:rFonts w:hint="eastAsia" w:ascii="宋体" w:hAnsi="宋体"/>
          <w:szCs w:val="28"/>
        </w:rPr>
        <w:t>（1）微信预约登记+微信支付</w:t>
      </w:r>
    </w:p>
    <w:p>
      <w:pPr>
        <w:spacing w:before="81" w:after="81"/>
        <w:ind w:firstLine="480"/>
        <w:rPr>
          <w:rFonts w:ascii="宋体" w:hAnsi="宋体"/>
          <w:szCs w:val="24"/>
        </w:rPr>
      </w:pPr>
      <w:r>
        <w:rPr>
          <w:rFonts w:hint="eastAsia" w:ascii="宋体" w:hAnsi="宋体"/>
          <w:szCs w:val="24"/>
        </w:rPr>
        <w:t>支持通过接口实现微信预约复印系统和无纸化系统的对接。</w:t>
      </w:r>
    </w:p>
    <w:p>
      <w:pPr>
        <w:spacing w:before="81" w:after="81"/>
        <w:ind w:firstLine="480"/>
        <w:rPr>
          <w:rFonts w:ascii="宋体" w:hAnsi="宋体"/>
        </w:rPr>
      </w:pPr>
      <w:r>
        <w:rPr>
          <w:rFonts w:hint="eastAsia" w:ascii="宋体" w:hAnsi="宋体"/>
        </w:rPr>
        <w:t>支持通过微信支付相关费用后即可实现远程病案打印。</w:t>
      </w:r>
    </w:p>
    <w:p>
      <w:pPr>
        <w:spacing w:before="81" w:after="81"/>
        <w:ind w:firstLine="480"/>
      </w:pPr>
      <w:r>
        <w:rPr>
          <w:rFonts w:hint="eastAsia" w:ascii="宋体" w:hAnsi="宋体"/>
          <w:szCs w:val="28"/>
        </w:rPr>
        <w:t>（2）微信扫码支付/支付宝扫码支付</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支持通过微信/支付宝扫码支付接口在病案室窗口使用扫码枪/扫码灯收取患者复印病案的费用。</w:t>
      </w:r>
    </w:p>
    <w:p>
      <w:pPr>
        <w:pStyle w:val="6"/>
        <w:spacing w:before="81" w:after="81"/>
        <w:ind w:left="0"/>
      </w:pPr>
      <w:r>
        <w:rPr>
          <w:rFonts w:hint="eastAsia"/>
        </w:rPr>
        <w:t>病案质控管理系统</w:t>
      </w:r>
    </w:p>
    <w:p>
      <w:pPr>
        <w:pStyle w:val="7"/>
        <w:spacing w:before="81" w:after="81"/>
        <w:ind w:left="0"/>
        <w:rPr>
          <w:rFonts w:ascii="宋体" w:hAnsi="宋体"/>
        </w:rPr>
      </w:pPr>
      <w:r>
        <w:rPr>
          <w:rFonts w:hint="eastAsia" w:ascii="宋体" w:hAnsi="宋体"/>
        </w:rPr>
        <w:t>病案自动监控设置</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支持病案首页自动验证规则设置（如逻辑性、非空项验证），执行频率设置。</w:t>
      </w:r>
    </w:p>
    <w:p>
      <w:pPr>
        <w:pStyle w:val="7"/>
        <w:spacing w:before="81" w:after="81"/>
        <w:ind w:left="0"/>
      </w:pPr>
      <w:r>
        <w:rPr>
          <w:rFonts w:hint="eastAsia" w:ascii="宋体" w:hAnsi="宋体"/>
        </w:rPr>
        <w:t>病案质控设置</w:t>
      </w:r>
    </w:p>
    <w:p>
      <w:pPr>
        <w:spacing w:before="81" w:after="81"/>
        <w:ind w:firstLine="480"/>
        <w:rPr>
          <w:rFonts w:ascii="宋体" w:hAnsi="宋体"/>
          <w:szCs w:val="24"/>
        </w:rPr>
      </w:pPr>
      <w:r>
        <w:rPr>
          <w:rFonts w:hint="eastAsia" w:ascii="宋体" w:hAnsi="宋体"/>
          <w:szCs w:val="24"/>
        </w:rPr>
        <w:t>支持人工质控问题的模板设置。</w:t>
      </w:r>
    </w:p>
    <w:p>
      <w:pPr>
        <w:pStyle w:val="7"/>
        <w:spacing w:before="81" w:after="81"/>
        <w:ind w:left="0"/>
      </w:pPr>
      <w:r>
        <w:rPr>
          <w:rFonts w:hint="eastAsia"/>
        </w:rPr>
        <w:t>病案自动监控</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支持通过病案出院时间，根据执行频率建立自动监控提醒，记录自动质控问题列表。</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支持医生提交首页时通过标准接口接入进行实时质控。</w:t>
      </w:r>
    </w:p>
    <w:p>
      <w:pPr>
        <w:pStyle w:val="7"/>
        <w:spacing w:before="81" w:after="81"/>
        <w:ind w:left="0"/>
      </w:pPr>
      <w:r>
        <w:rPr>
          <w:rFonts w:hint="eastAsia"/>
        </w:rPr>
        <w:t>病案筛选</w:t>
      </w:r>
    </w:p>
    <w:p>
      <w:pPr>
        <w:spacing w:before="81" w:after="81"/>
        <w:ind w:firstLine="480"/>
        <w:rPr>
          <w:rFonts w:ascii="宋体" w:hAnsi="宋体"/>
          <w:szCs w:val="24"/>
        </w:rPr>
      </w:pPr>
      <w:r>
        <w:rPr>
          <w:rFonts w:hint="eastAsia" w:ascii="宋体" w:hAnsi="宋体"/>
          <w:szCs w:val="24"/>
        </w:rPr>
        <w:t>支持按科室、出院日期等病案查询条件，筛选出记录中需要质控的病案。</w:t>
      </w:r>
    </w:p>
    <w:p>
      <w:pPr>
        <w:pStyle w:val="7"/>
        <w:spacing w:before="81" w:after="81"/>
        <w:ind w:left="0"/>
      </w:pPr>
      <w:r>
        <w:rPr>
          <w:rFonts w:hint="eastAsia"/>
        </w:rPr>
        <w:t>首页质控问题查询</w:t>
      </w:r>
    </w:p>
    <w:p>
      <w:pPr>
        <w:spacing w:before="81" w:after="81"/>
        <w:ind w:firstLine="480"/>
        <w:rPr>
          <w:rFonts w:ascii="宋体" w:hAnsi="宋体"/>
          <w:szCs w:val="24"/>
        </w:rPr>
      </w:pPr>
      <w:r>
        <w:rPr>
          <w:rFonts w:hint="eastAsia" w:ascii="宋体" w:hAnsi="宋体"/>
          <w:szCs w:val="24"/>
        </w:rPr>
        <w:t>支持病案首页质控问题查询。</w:t>
      </w:r>
    </w:p>
    <w:p>
      <w:pPr>
        <w:spacing w:before="81" w:after="81"/>
        <w:ind w:firstLine="480"/>
        <w:rPr>
          <w:rFonts w:ascii="宋体" w:hAnsi="宋体"/>
          <w:szCs w:val="24"/>
        </w:rPr>
      </w:pPr>
      <w:r>
        <w:rPr>
          <w:rFonts w:hint="eastAsia" w:ascii="宋体" w:hAnsi="宋体"/>
          <w:szCs w:val="24"/>
        </w:rPr>
        <w:t>支持医生对质控问题进行回复。</w:t>
      </w:r>
    </w:p>
    <w:p>
      <w:pPr>
        <w:pStyle w:val="7"/>
        <w:spacing w:before="81" w:after="81"/>
        <w:ind w:left="0"/>
      </w:pPr>
      <w:r>
        <w:rPr>
          <w:rFonts w:hint="eastAsia"/>
        </w:rPr>
        <w:t>病案质控</w:t>
      </w:r>
    </w:p>
    <w:p>
      <w:pPr>
        <w:spacing w:before="81" w:after="81"/>
        <w:ind w:firstLine="480"/>
        <w:rPr>
          <w:rFonts w:ascii="宋体" w:hAnsi="宋体"/>
          <w:szCs w:val="24"/>
        </w:rPr>
      </w:pPr>
      <w:r>
        <w:rPr>
          <w:rFonts w:hint="eastAsia" w:ascii="宋体" w:hAnsi="宋体"/>
          <w:bCs/>
          <w:szCs w:val="24"/>
        </w:rPr>
        <w:t>▲</w:t>
      </w:r>
      <w:r>
        <w:rPr>
          <w:rFonts w:hint="eastAsia" w:ascii="宋体" w:hAnsi="宋体"/>
          <w:szCs w:val="24"/>
        </w:rPr>
        <w:t>支持对已筛选的病案或全部病案进行人工质控，登记质控问题，并支持打回医生返修。</w:t>
      </w:r>
    </w:p>
    <w:p>
      <w:pPr>
        <w:pStyle w:val="7"/>
        <w:spacing w:before="81" w:after="81"/>
        <w:ind w:left="0"/>
      </w:pPr>
      <w:r>
        <w:rPr>
          <w:rFonts w:hint="eastAsia"/>
        </w:rPr>
        <w:t>病案评优</w:t>
      </w:r>
    </w:p>
    <w:p>
      <w:pPr>
        <w:spacing w:before="81" w:after="81"/>
        <w:ind w:firstLine="480"/>
        <w:rPr>
          <w:rFonts w:ascii="宋体" w:hAnsi="宋体"/>
          <w:szCs w:val="24"/>
        </w:rPr>
      </w:pPr>
      <w:r>
        <w:rPr>
          <w:rFonts w:hint="eastAsia" w:ascii="宋体" w:hAnsi="宋体"/>
          <w:szCs w:val="24"/>
        </w:rPr>
        <w:t>支持选择合适病案进行评优标记。</w:t>
      </w:r>
    </w:p>
    <w:p>
      <w:pPr>
        <w:pStyle w:val="7"/>
        <w:spacing w:before="81" w:after="81"/>
        <w:ind w:left="0"/>
      </w:pPr>
      <w:r>
        <w:rPr>
          <w:rFonts w:hint="eastAsia"/>
        </w:rPr>
        <w:t>质控报表</w:t>
      </w:r>
    </w:p>
    <w:p>
      <w:pPr>
        <w:spacing w:before="81" w:after="81"/>
        <w:ind w:firstLine="480"/>
        <w:rPr>
          <w:rFonts w:ascii="宋体" w:hAnsi="宋体"/>
          <w:szCs w:val="24"/>
        </w:rPr>
      </w:pPr>
      <w:r>
        <w:rPr>
          <w:rFonts w:hint="eastAsia" w:ascii="宋体" w:hAnsi="宋体"/>
          <w:szCs w:val="24"/>
        </w:rPr>
        <w:t>支持病案的人工审核进度跟踪查询、人工审核工作量汇总、首页完整率报表和缺陷分析查询。</w:t>
      </w:r>
    </w:p>
    <w:p>
      <w:pPr>
        <w:pStyle w:val="6"/>
        <w:spacing w:before="81" w:after="81"/>
        <w:ind w:left="0"/>
      </w:pPr>
      <w:r>
        <w:rPr>
          <w:rFonts w:hint="eastAsia"/>
        </w:rPr>
        <w:t>病案示踪管理系统</w:t>
      </w:r>
    </w:p>
    <w:p>
      <w:pPr>
        <w:pStyle w:val="7"/>
        <w:spacing w:before="81" w:after="81"/>
        <w:ind w:left="0"/>
        <w:rPr>
          <w:rFonts w:ascii="宋体" w:hAnsi="宋体"/>
        </w:rPr>
      </w:pPr>
      <w:r>
        <w:rPr>
          <w:rFonts w:hint="eastAsia" w:ascii="宋体" w:hAnsi="宋体"/>
        </w:rPr>
        <w:t>病案流转示踪</w:t>
      </w:r>
    </w:p>
    <w:p>
      <w:pPr>
        <w:pStyle w:val="37"/>
        <w:widowControl w:val="0"/>
        <w:spacing w:before="81" w:after="81" w:line="360" w:lineRule="auto"/>
        <w:ind w:firstLine="480"/>
        <w:rPr>
          <w:rFonts w:ascii="Arial" w:hAnsi="Arial" w:eastAsia="宋体" w:cs="Arial"/>
          <w:color w:val="333333"/>
          <w:sz w:val="24"/>
          <w:szCs w:val="24"/>
          <w:shd w:val="clear" w:color="auto" w:fill="FFFFFF"/>
        </w:rPr>
      </w:pPr>
      <w:r>
        <w:rPr>
          <w:rFonts w:hint="eastAsia" w:ascii="Arial" w:hAnsi="Arial" w:eastAsia="宋体" w:cs="Arial"/>
          <w:color w:val="333333"/>
          <w:sz w:val="24"/>
          <w:szCs w:val="24"/>
          <w:shd w:val="clear" w:color="auto" w:fill="FFFFFF"/>
          <w:lang w:eastAsia="zh-CN"/>
        </w:rPr>
        <w:t>（1）</w:t>
      </w:r>
      <w:r>
        <w:rPr>
          <w:rFonts w:hint="eastAsia" w:ascii="Arial" w:hAnsi="Arial" w:eastAsia="宋体" w:cs="Arial"/>
          <w:color w:val="333333"/>
          <w:sz w:val="24"/>
          <w:szCs w:val="24"/>
          <w:shd w:val="clear" w:color="auto" w:fill="FFFFFF"/>
        </w:rPr>
        <w:t>纸质病案签出</w:t>
      </w:r>
    </w:p>
    <w:p>
      <w:pPr>
        <w:pStyle w:val="37"/>
        <w:widowControl w:val="0"/>
        <w:spacing w:before="81" w:after="81" w:line="360" w:lineRule="auto"/>
        <w:ind w:firstLine="480"/>
        <w:rPr>
          <w:rFonts w:ascii="Arial" w:hAnsi="Arial"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具备多种签出模式，</w:t>
      </w:r>
      <w:r>
        <w:rPr>
          <w:rFonts w:hint="eastAsia" w:cs="Times New Roman" w:asciiTheme="minorEastAsia" w:hAnsiTheme="minorEastAsia"/>
          <w:sz w:val="24"/>
          <w:lang w:eastAsia="zh-CN"/>
        </w:rPr>
        <w:t>包括医生签出→护士签出、护士直接签出。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具备通过出院日期、病案号、姓名、出院科室、出院病区查询未签出病案功能。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支持将医生签出功能嵌入到医生站系统，在医生站系统即可操作。</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具备护士签出功能，通过出院日期、病案号、姓名、出院科室、出院病区查询未签出病案。</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具备逾期未签出病案提醒，病案签出登记，已签出病案查询功能。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支持护士签出功能嵌入到护士站系统，在护士站系统即可进行病案签出。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（2）纸质病案签收</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具备对纸质病案回收登记功能，并能提供多种回收流程，包括护士签出→病案室签收、病案室直接签收。</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具备多条件查询待签收病案功能，包括出院日期、签出日期、病案号、姓名、出院科室、出院病区。</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具备多种签收方式功能，包括通过查询条件查询病案批量签收或扫码枪扫码病案条码一键签收，已签收的病案能直观展示。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具备回收病案示踪轴查看功能，病案签出签收节点、操作人和操作时间能在示踪轴上直观展示。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（3）病案催缴</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具备对未及时签出病案催缴功能。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具备一键催缴所有逾期未签出病案功能。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具备催缴人自定义设置功能，只有催缴人能收到消息提醒。</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具备接收内部消息提醒功能。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支持与短信平台对接，发送短信提醒。</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具备催缴整改单打印功能。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具备逾期未交病案整改登记功能。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（4）病案缺陷整改</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具备多种查询条件查询需整改病案功能，包括签收日期、病案号、姓名、科室、病区。</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具备缺陷内容登记功能，包括病历内容缺少、病案整理情况、报告粘贴情况、打印情况问题，并可打印整改通知单。</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具备病区护士长查看需整改病案并对整改内容进行回复功能。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具备病案室对已回复的整改单进行整改确认功能。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（5）病案内部流转</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具备病案室纸质病案的内部流转登记功能，包括收集、编码、整理、质控、修订、上架、总检、录入。</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具备病案室内部分组自定义维护，设置不同的内部流转流程功能。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具备病案内部签出后自动签入或内部签出后手动签入功能。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具备在内部签出时手动选择下一签收分组功能。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（6）条码技术</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具备条码定位病案功能。能使用“扫描枪”扫描病案条码快速操作，包括护士签出、病案回收、病案内部流转、病案查询、借阅、复印。</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具备病案条码打印功能，能根据病案号、姓名、次数、出院科室，出院日期自动生成条码 。</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（7）病案示踪轴</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具备完整病案示踪时间轴查看功能，能在示踪轴上查看病案完整的流转状态，包括入院、入区、出区、出院、签出、签收、病案室内部流转、入库、借阅、复印、封存。</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（8）病案回收统计</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具备病案归档率统计功能，包括病案24小时归档率、3日归档率、7日归档率。</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具备归档统计时自动排除节假日的功能。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具备节假日自定义维护功能，系统内置通用节假日。</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具备病案室内部业务工作量统计及数据导出功能。</w:t>
      </w:r>
    </w:p>
    <w:p>
      <w:pPr>
        <w:pStyle w:val="7"/>
        <w:spacing w:before="81" w:after="81"/>
        <w:ind w:left="0"/>
        <w:rPr>
          <w:rFonts w:ascii="宋体" w:hAnsi="宋体"/>
        </w:rPr>
      </w:pPr>
      <w:r>
        <w:rPr>
          <w:rFonts w:hint="eastAsia" w:ascii="宋体" w:hAnsi="宋体"/>
        </w:rPr>
        <w:t>病案入库</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（1）入库登记</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具备根据库房、货架、箱号完成病案入库登记功能。</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具备批量手动选择病案或扫码枪扫描条码快速完成病案入库登记功能。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具备已入库病案记录查询及数据导出功能。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（2）迁库、移库登记</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具备根据库房、货架、箱号完成病案迁库、移库登记功能；</w:t>
      </w:r>
    </w:p>
    <w:p>
      <w:pPr>
        <w:pStyle w:val="37"/>
        <w:widowControl w:val="0"/>
        <w:spacing w:before="81" w:after="81" w:line="360" w:lineRule="auto"/>
        <w:ind w:firstLine="400"/>
        <w:rPr>
          <w:rFonts w:ascii="Arial" w:hAnsi="Arial" w:eastAsia="宋体" w:cs="Arial"/>
          <w:color w:val="333333"/>
          <w:sz w:val="24"/>
          <w:szCs w:val="24"/>
          <w:shd w:val="clear" w:color="auto" w:fill="FFFFFF"/>
          <w:lang w:eastAsia="zh-CN"/>
        </w:rPr>
      </w:pPr>
      <w:r>
        <w:rPr>
          <w:rFonts w:hint="eastAsia" w:ascii="宋体" w:hAnsi="宋体"/>
          <w:bCs/>
          <w:szCs w:val="24"/>
          <w:lang w:eastAsia="zh-CN"/>
        </w:rPr>
        <w:t>▲</w:t>
      </w:r>
      <w:r>
        <w:rPr>
          <w:rFonts w:hint="eastAsia" w:ascii="Arial" w:hAnsi="Arial" w:eastAsia="宋体" w:cs="Arial"/>
          <w:color w:val="333333"/>
          <w:sz w:val="24"/>
          <w:szCs w:val="24"/>
          <w:shd w:val="clear" w:color="auto" w:fill="FFFFFF"/>
          <w:lang w:eastAsia="zh-CN"/>
        </w:rPr>
        <w:t>具备通过批量选择病案或扫码枪扫码快速完成病案迁库、移库功能。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（3）库房维护</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具备库房设置自定义维护功能，包括库房、货架、箱号维护，并且箱号绑定货架、货架绑定库房；</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具备箱号自动生成功能，可根据箱号前缀及位数自动生成，在入库时根据设置规则自动生成下一箱号。</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（4）入库统计</w:t>
      </w:r>
    </w:p>
    <w:p>
      <w:pPr>
        <w:spacing w:before="81" w:after="81"/>
        <w:ind w:firstLine="480"/>
      </w:pPr>
      <w:r>
        <w:rPr>
          <w:rFonts w:hint="eastAsia" w:ascii="Arial" w:hAnsi="Arial" w:eastAsia="宋体" w:cs="Arial"/>
          <w:color w:val="333333"/>
          <w:szCs w:val="24"/>
          <w:shd w:val="clear" w:color="auto" w:fill="FFFFFF"/>
        </w:rPr>
        <w:t>具备病案入库记录查询、入库率统计及数据导出功能。</w:t>
      </w:r>
    </w:p>
    <w:p>
      <w:pPr>
        <w:pStyle w:val="7"/>
        <w:spacing w:before="81" w:after="81"/>
        <w:ind w:left="0"/>
        <w:rPr>
          <w:rFonts w:ascii="宋体" w:hAnsi="宋体"/>
        </w:rPr>
      </w:pPr>
      <w:r>
        <w:rPr>
          <w:rFonts w:hint="eastAsia" w:ascii="宋体" w:hAnsi="宋体"/>
        </w:rPr>
        <w:t>病案复印计费</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（1）复印登记</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具备多种申请类型，包括个人申请、代理人申请、机构申请。</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具备多种取件方式，包括预约时间自取、快递。</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具备复印登记预收费功能。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具备患者复印需要医生授权申请才能复印或病案室直接复印登记功能。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具备患者身份证件读取、授权文件上传功能，授权文件能在线查看预览。</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（2）复印收费</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具备对已复印登记病案进行收费功能。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具备收费标准、复印目的、复印内容自定义维护功能，包括按页或按份收费，根据不同的目的设置不同的收费标准，配置目的下允许复印的病历内容。</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具备复印人关系字典维护、复印机构类型自定义维护功能。</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（3）复印统计</w:t>
      </w:r>
    </w:p>
    <w:p>
      <w:pPr>
        <w:spacing w:before="81" w:after="81"/>
        <w:ind w:firstLine="480"/>
      </w:pPr>
      <w:r>
        <w:rPr>
          <w:rFonts w:hint="eastAsia" w:ascii="Arial" w:hAnsi="Arial" w:eastAsia="宋体" w:cs="Arial"/>
          <w:color w:val="333333"/>
          <w:szCs w:val="24"/>
          <w:shd w:val="clear" w:color="auto" w:fill="FFFFFF"/>
        </w:rPr>
        <w:t>具备病案复印记录查询、复印费用、工作量统计及数据导出功能。</w:t>
      </w:r>
    </w:p>
    <w:p>
      <w:pPr>
        <w:pStyle w:val="7"/>
        <w:spacing w:before="81" w:after="81"/>
        <w:ind w:left="0"/>
        <w:rPr>
          <w:rFonts w:ascii="宋体" w:hAnsi="宋体"/>
        </w:rPr>
      </w:pPr>
      <w:r>
        <w:rPr>
          <w:rFonts w:hint="eastAsia" w:ascii="宋体" w:hAnsi="宋体"/>
        </w:rPr>
        <w:t>病案借阅</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（1）借阅申请</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具备医护人员因不同目的借阅病案功能，包括科研、教学、晋升等，借阅目的能根据需求自定义配置。</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具备多条件查询借阅病案功能，包括住院号、患者姓名、出院日期、出院科室、出院病区，查询病案能显示病案可借状态及预计可借时间。</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支持将病案借阅申请功能嵌入到医生站。</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（2）借阅审核</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具备对已借阅申请病案审核功能。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 xml:space="preserve">具备借阅多级审核、审核流程自定义配置功能，能根据借阅目的配置不同的审核流程，包括科主任审核、病案室审核、分管院长审核。 </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（3）病案借出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具备对已审核通过的病案借阅登记功能。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具备多条件查询待借出病案，包括申请日期、科室、病案号、姓名、在库状态、借阅人。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具备借阅病案位置打印功能，方便去库房查找。</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具备借阅人的借阅归还情况查询功能，包括借阅份数，未归还份数，按时归还率、逾期归还率。</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（4）直接借出</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具备特殊人员无需提交借阅申请，直接借出病案的功能。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具备借出时登记借阅人、借阅天数功能。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具备借阅时查看病案状态功能，包括病案位置、借出状态及预计可借时间。</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（5）病案归还</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具备对已借出病案进行归还登记功能。</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具备多条件查询待归还病案功能，包括借阅日期、病案号、姓名、借阅人、借阅人科室。</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具备在归还时显示借出病案状态的功能，包括病案借阅天数、病案超期情况。</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具备对借阅到期未及时归还病案进行催还的功能，催还支持发送消息提醒。</w:t>
      </w:r>
    </w:p>
    <w:p>
      <w:pPr>
        <w:spacing w:before="81" w:after="81"/>
        <w:ind w:left="480" w:leftChars="200" w:firstLine="0" w:firstLineChars="0"/>
        <w:rPr>
          <w:rFonts w:ascii="Arial" w:hAnsi="Arial" w:eastAsia="宋体" w:cs="Arial"/>
          <w:color w:val="333333"/>
          <w:szCs w:val="24"/>
          <w:shd w:val="clear" w:color="auto" w:fill="FFFFFF"/>
        </w:rPr>
      </w:pPr>
      <w:r>
        <w:rPr>
          <w:rFonts w:hint="eastAsia" w:ascii="Arial" w:hAnsi="Arial" w:eastAsia="宋体" w:cs="Arial"/>
          <w:color w:val="333333"/>
          <w:szCs w:val="24"/>
          <w:shd w:val="clear" w:color="auto" w:fill="FFFFFF"/>
        </w:rPr>
        <w:t>（6）借阅统计</w:t>
      </w:r>
    </w:p>
    <w:p>
      <w:pPr>
        <w:pStyle w:val="37"/>
        <w:widowControl w:val="0"/>
        <w:spacing w:before="81" w:after="81" w:line="360" w:lineRule="auto"/>
        <w:ind w:firstLine="480"/>
        <w:rPr>
          <w:rFonts w:ascii="Arial" w:hAnsi="Arial" w:eastAsia="宋体" w:cs="Arial"/>
          <w:color w:val="333333"/>
          <w:sz w:val="24"/>
          <w:szCs w:val="24"/>
          <w:shd w:val="clear" w:color="auto" w:fill="FFFFFF"/>
          <w:lang w:eastAsia="zh-CN"/>
        </w:rPr>
      </w:pPr>
      <w:r>
        <w:rPr>
          <w:rFonts w:hint="eastAsia" w:ascii="Arial" w:hAnsi="Arial" w:eastAsia="宋体" w:cs="Arial"/>
          <w:color w:val="333333"/>
          <w:sz w:val="24"/>
          <w:szCs w:val="24"/>
          <w:shd w:val="clear" w:color="auto" w:fill="FFFFFF"/>
          <w:lang w:eastAsia="zh-CN"/>
        </w:rPr>
        <w:t>具备借阅申请记录查询及导出、借阅归还数据统计及导出功能。</w:t>
      </w:r>
    </w:p>
    <w:p>
      <w:pPr>
        <w:pStyle w:val="6"/>
        <w:spacing w:before="81" w:after="81"/>
        <w:ind w:left="0"/>
      </w:pPr>
      <w:r>
        <w:rPr>
          <w:rFonts w:hint="eastAsia"/>
        </w:rPr>
        <w:t>数据中心管理系统</w:t>
      </w:r>
    </w:p>
    <w:p>
      <w:pPr>
        <w:pStyle w:val="7"/>
        <w:spacing w:before="81" w:after="81"/>
        <w:ind w:left="0"/>
        <w:rPr>
          <w:rFonts w:ascii="宋体" w:hAnsi="宋体"/>
        </w:rPr>
      </w:pPr>
      <w:r>
        <w:rPr>
          <w:rFonts w:hint="eastAsia" w:ascii="宋体" w:hAnsi="宋体"/>
        </w:rPr>
        <w:t>数据质量评估</w:t>
      </w:r>
    </w:p>
    <w:p>
      <w:pPr>
        <w:spacing w:before="81" w:after="163" w:afterLines="50"/>
        <w:ind w:firstLine="480"/>
        <w:rPr>
          <w:rFonts w:eastAsia="宋体" w:cs="Times New Roman"/>
          <w:color w:val="000000"/>
          <w:szCs w:val="24"/>
        </w:rPr>
      </w:pPr>
      <w:r>
        <w:rPr>
          <w:rFonts w:eastAsia="宋体" w:cs="Times New Roman"/>
          <w:color w:val="000000"/>
          <w:szCs w:val="24"/>
        </w:rPr>
        <w:t>数据质量评估管理系统支持电子病历系统应用水平质量评估方法，建立数据质量规则库实现数据质量的全面、及时、精准的监控，支持对接入平台的数据进行跟踪，对关键事件产生的状态进行分析，进而</w:t>
      </w:r>
      <w:r>
        <w:rPr>
          <w:rFonts w:hint="eastAsia" w:eastAsia="宋体" w:cs="Times New Roman"/>
          <w:color w:val="000000"/>
          <w:szCs w:val="24"/>
        </w:rPr>
        <w:t>迅速地找到</w:t>
      </w:r>
      <w:r>
        <w:rPr>
          <w:rFonts w:eastAsia="宋体" w:cs="Times New Roman"/>
          <w:color w:val="000000"/>
          <w:szCs w:val="24"/>
        </w:rPr>
        <w:t>排错伏点，最终解决问题。</w:t>
      </w:r>
    </w:p>
    <w:p>
      <w:pPr>
        <w:spacing w:before="81" w:after="163" w:afterLines="50"/>
        <w:ind w:firstLine="480"/>
        <w:rPr>
          <w:rFonts w:eastAsia="宋体" w:cs="Times New Roman"/>
          <w:color w:val="000000"/>
          <w:szCs w:val="24"/>
        </w:rPr>
      </w:pPr>
      <w:r>
        <w:rPr>
          <w:rFonts w:eastAsia="宋体" w:cs="Times New Roman"/>
          <w:color w:val="000000"/>
          <w:szCs w:val="24"/>
        </w:rPr>
        <w:t>要求具有以下四种评估方法：</w:t>
      </w:r>
    </w:p>
    <w:p>
      <w:pPr>
        <w:spacing w:before="81" w:after="163" w:afterLines="50"/>
        <w:ind w:firstLine="480"/>
        <w:rPr>
          <w:rFonts w:eastAsia="宋体" w:cs="Times New Roman"/>
          <w:color w:val="000000"/>
          <w:szCs w:val="24"/>
        </w:rPr>
      </w:pPr>
      <w:r>
        <w:rPr>
          <w:rFonts w:eastAsia="宋体" w:cs="Times New Roman"/>
          <w:color w:val="000000"/>
          <w:szCs w:val="24"/>
        </w:rPr>
        <w:t>支持数据一致性，通过可视化方式展现电子病历评价项中的关键数据项内容与字典数据内容的一致性；</w:t>
      </w:r>
    </w:p>
    <w:p>
      <w:pPr>
        <w:spacing w:before="81" w:after="163" w:afterLines="50"/>
        <w:ind w:firstLine="480"/>
        <w:rPr>
          <w:rFonts w:eastAsia="宋体" w:cs="Times New Roman"/>
          <w:color w:val="000000"/>
          <w:szCs w:val="24"/>
        </w:rPr>
      </w:pPr>
      <w:r>
        <w:rPr>
          <w:rFonts w:eastAsia="宋体" w:cs="Times New Roman"/>
          <w:color w:val="000000"/>
          <w:szCs w:val="24"/>
        </w:rPr>
        <w:t>支持数据完整性，通过可视化方式展现电子病历评价项中的必填项数据、常用项数据的完整情况；</w:t>
      </w:r>
    </w:p>
    <w:p>
      <w:pPr>
        <w:spacing w:before="81" w:after="163" w:afterLines="50"/>
        <w:ind w:firstLine="480"/>
        <w:rPr>
          <w:rFonts w:eastAsia="宋体" w:cs="Times New Roman"/>
          <w:color w:val="000000"/>
          <w:szCs w:val="24"/>
        </w:rPr>
      </w:pPr>
      <w:r>
        <w:rPr>
          <w:rFonts w:eastAsia="宋体" w:cs="Times New Roman"/>
          <w:color w:val="000000"/>
          <w:szCs w:val="24"/>
        </w:rPr>
        <w:t>支持数据整合性项目在评价时，通过可视化方式展现电子病历评价项中的关键项数据与相关项目（或系统）对应项目可否对照或关联；</w:t>
      </w:r>
    </w:p>
    <w:p>
      <w:pPr>
        <w:spacing w:before="81" w:after="163" w:afterLines="50"/>
        <w:ind w:firstLine="480"/>
        <w:rPr>
          <w:rFonts w:eastAsia="宋体" w:cs="Times New Roman"/>
          <w:color w:val="000000"/>
          <w:szCs w:val="24"/>
        </w:rPr>
      </w:pPr>
      <w:r>
        <w:rPr>
          <w:rFonts w:eastAsia="宋体" w:cs="Times New Roman"/>
          <w:color w:val="000000"/>
          <w:szCs w:val="24"/>
        </w:rPr>
        <w:t>支持数据及时性项目在评价时，通过可视化方式展现电子病历评价项中的逻辑合理性，按照医疗流程有先后顺序的各个记录中时间值是否符合先后顺序的逻辑关系。</w:t>
      </w:r>
    </w:p>
    <w:p>
      <w:pPr>
        <w:pStyle w:val="37"/>
        <w:snapToGrid w:val="0"/>
        <w:spacing w:before="81" w:after="81" w:line="360" w:lineRule="auto"/>
        <w:ind w:left="420" w:firstLine="0" w:firstLineChars="0"/>
        <w:rPr>
          <w:rFonts w:ascii="宋体" w:hAnsi="宋体" w:eastAsia="宋体" w:cs="宋体"/>
          <w:sz w:val="24"/>
          <w:szCs w:val="24"/>
          <w:lang w:eastAsia="zh-CN"/>
        </w:rPr>
      </w:pPr>
      <w:r>
        <w:rPr>
          <w:rFonts w:ascii="宋体" w:hAnsi="宋体" w:eastAsia="宋体" w:cs="宋体"/>
          <w:sz w:val="24"/>
          <w:szCs w:val="24"/>
          <w:lang w:eastAsia="zh-CN"/>
        </w:rPr>
        <w:t>可视化展现包含以下功能：</w:t>
      </w:r>
    </w:p>
    <w:p>
      <w:pPr>
        <w:spacing w:before="81" w:after="163" w:afterLines="50"/>
        <w:ind w:firstLine="480"/>
        <w:rPr>
          <w:rFonts w:eastAsia="宋体" w:cs="Times New Roman"/>
          <w:color w:val="000000"/>
          <w:szCs w:val="24"/>
        </w:rPr>
      </w:pPr>
      <w:r>
        <w:rPr>
          <w:rFonts w:eastAsia="宋体" w:cs="Times New Roman"/>
          <w:color w:val="000000"/>
          <w:szCs w:val="24"/>
        </w:rPr>
        <w:t>医院整体的数据质量情况，包括：质量指标统计总览、质量评分趋势、四大维度得分一周趋势。</w:t>
      </w:r>
    </w:p>
    <w:p>
      <w:pPr>
        <w:spacing w:before="81" w:after="163" w:afterLines="50"/>
        <w:ind w:firstLine="480"/>
        <w:rPr>
          <w:rFonts w:eastAsia="宋体" w:cs="Times New Roman"/>
          <w:color w:val="000000"/>
          <w:szCs w:val="24"/>
        </w:rPr>
      </w:pPr>
      <w:r>
        <w:rPr>
          <w:rFonts w:eastAsia="宋体" w:cs="Times New Roman"/>
          <w:color w:val="000000"/>
          <w:szCs w:val="24"/>
        </w:rPr>
        <w:t>要求在评估总览界面提供完整性、整合性、一致性的得分和日、周评分趋势截图证明；</w:t>
      </w:r>
    </w:p>
    <w:p>
      <w:pPr>
        <w:spacing w:before="81" w:after="163" w:afterLines="50"/>
        <w:ind w:firstLine="480"/>
        <w:rPr>
          <w:rFonts w:eastAsia="宋体" w:cs="Times New Roman"/>
          <w:color w:val="000000"/>
          <w:szCs w:val="24"/>
        </w:rPr>
      </w:pPr>
      <w:r>
        <w:rPr>
          <w:rFonts w:eastAsia="宋体" w:cs="Times New Roman"/>
          <w:color w:val="000000"/>
          <w:szCs w:val="24"/>
        </w:rPr>
        <w:t>数据校验监控报告支持展现医院的数据质量校验进度，从电子病历评审要求的一致性、完整性、整合性和及时性四个维度统计并展现校验进度报告，支持查看四个维度中进度明细、规则详情及符合率；</w:t>
      </w:r>
    </w:p>
    <w:p>
      <w:pPr>
        <w:spacing w:before="81" w:after="163" w:afterLines="50"/>
        <w:ind w:firstLine="480"/>
        <w:rPr>
          <w:rFonts w:eastAsia="宋体" w:cs="Times New Roman"/>
          <w:color w:val="000000"/>
          <w:szCs w:val="24"/>
        </w:rPr>
      </w:pPr>
      <w:r>
        <w:rPr>
          <w:rFonts w:eastAsia="宋体" w:cs="Times New Roman"/>
          <w:color w:val="000000"/>
          <w:szCs w:val="24"/>
        </w:rPr>
        <w:t>支持自定义数据质量校验规则配置功能，为医院沉淀数据校验规则知识库，系统可以按照执行计划结合校验规则对数据进行自动化数据校验。</w:t>
      </w:r>
    </w:p>
    <w:p>
      <w:pPr>
        <w:pStyle w:val="7"/>
        <w:spacing w:before="81" w:after="81"/>
        <w:ind w:left="0"/>
        <w:rPr>
          <w:rFonts w:ascii="宋体" w:hAnsi="宋体"/>
        </w:rPr>
      </w:pPr>
      <w:r>
        <w:rPr>
          <w:rFonts w:hint="eastAsia" w:ascii="宋体" w:hAnsi="宋体"/>
        </w:rPr>
        <w:t>病历文书标准化</w:t>
      </w:r>
    </w:p>
    <w:p>
      <w:pPr>
        <w:pStyle w:val="8"/>
        <w:spacing w:before="81" w:after="81"/>
        <w:ind w:left="0"/>
        <w:rPr>
          <w:rFonts w:ascii="宋体" w:hAnsi="宋体"/>
          <w:szCs w:val="28"/>
        </w:rPr>
      </w:pPr>
      <w:r>
        <w:rPr>
          <w:rFonts w:hint="eastAsia" w:ascii="宋体" w:hAnsi="宋体"/>
          <w:szCs w:val="28"/>
        </w:rPr>
        <w:t>病历文书管理</w:t>
      </w:r>
    </w:p>
    <w:p>
      <w:pPr>
        <w:spacing w:before="81" w:after="163" w:afterLines="50"/>
        <w:ind w:firstLine="480"/>
      </w:pPr>
      <w:r>
        <w:rPr>
          <w:rFonts w:hint="eastAsia" w:eastAsia="宋体" w:cs="Times New Roman"/>
          <w:color w:val="000000"/>
          <w:szCs w:val="24"/>
        </w:rPr>
        <w:t>支持</w:t>
      </w:r>
      <w:r>
        <w:rPr>
          <w:rFonts w:eastAsia="宋体" w:cs="Times New Roman"/>
          <w:color w:val="000000"/>
          <w:szCs w:val="24"/>
        </w:rPr>
        <w:t>根据互联互通评审标准的病历分类，将医院的全院病历模板和医生个人病历模板按照国家分类进行映射和管理。</w:t>
      </w:r>
    </w:p>
    <w:p>
      <w:pPr>
        <w:pStyle w:val="8"/>
        <w:spacing w:before="81" w:after="81"/>
        <w:ind w:left="0"/>
        <w:rPr>
          <w:rFonts w:ascii="宋体" w:hAnsi="宋体"/>
          <w:szCs w:val="28"/>
        </w:rPr>
      </w:pPr>
      <w:r>
        <w:rPr>
          <w:rFonts w:hint="eastAsia" w:ascii="宋体" w:hAnsi="宋体"/>
          <w:szCs w:val="28"/>
        </w:rPr>
        <w:t>病历模板标准映射</w:t>
      </w:r>
    </w:p>
    <w:p>
      <w:pPr>
        <w:shd w:val="clear" w:color="auto" w:fill="FFFFFF"/>
        <w:spacing w:before="81" w:after="163" w:afterLines="50"/>
        <w:ind w:firstLine="480"/>
      </w:pPr>
      <w:r>
        <w:rPr>
          <w:rFonts w:hint="eastAsia"/>
        </w:rPr>
        <w:t>支持</w:t>
      </w:r>
      <w:r>
        <w:t>根据智能映射功能进行病历模板和国家分类匹配</w:t>
      </w:r>
      <w:r>
        <w:rPr>
          <w:rFonts w:hint="eastAsia"/>
        </w:rPr>
        <w:t>；</w:t>
      </w:r>
    </w:p>
    <w:p>
      <w:pPr>
        <w:shd w:val="clear" w:color="auto" w:fill="FFFFFF"/>
        <w:spacing w:before="81" w:after="163" w:afterLines="50"/>
        <w:ind w:firstLine="480"/>
      </w:pPr>
      <w:r>
        <w:rPr>
          <w:rFonts w:hint="eastAsia"/>
        </w:rPr>
        <w:t>支持</w:t>
      </w:r>
      <w:r>
        <w:t>对匹配不上或匹配错误的病历，根据编码进行手动编辑调整。</w:t>
      </w:r>
    </w:p>
    <w:p>
      <w:pPr>
        <w:pStyle w:val="8"/>
        <w:spacing w:before="81" w:after="81"/>
        <w:ind w:left="0"/>
        <w:rPr>
          <w:rFonts w:ascii="宋体" w:hAnsi="宋体"/>
          <w:szCs w:val="28"/>
        </w:rPr>
      </w:pPr>
      <w:r>
        <w:rPr>
          <w:rFonts w:hint="eastAsia" w:ascii="宋体" w:hAnsi="宋体"/>
          <w:szCs w:val="28"/>
        </w:rPr>
        <w:t>数据集病历节点管理</w:t>
      </w:r>
    </w:p>
    <w:p>
      <w:pPr>
        <w:shd w:val="clear" w:color="auto" w:fill="FFFFFF"/>
        <w:spacing w:before="81" w:after="163" w:afterLines="50"/>
        <w:ind w:firstLine="480"/>
      </w:pPr>
      <w:r>
        <w:rPr>
          <w:rFonts w:hint="eastAsia"/>
        </w:rPr>
        <w:t>支持</w:t>
      </w:r>
      <w:r>
        <w:t>根据已建立映射关系病历，对病历详细的节点和元素根据国家标准进行匹配对应。</w:t>
      </w:r>
    </w:p>
    <w:p>
      <w:pPr>
        <w:pStyle w:val="8"/>
        <w:spacing w:before="81" w:after="81"/>
        <w:ind w:left="0"/>
        <w:rPr>
          <w:rFonts w:ascii="宋体" w:hAnsi="宋体"/>
          <w:szCs w:val="28"/>
        </w:rPr>
      </w:pPr>
      <w:r>
        <w:rPr>
          <w:rFonts w:hint="eastAsia" w:ascii="宋体" w:hAnsi="宋体"/>
          <w:szCs w:val="28"/>
        </w:rPr>
        <w:t>数据集病历节点映射</w:t>
      </w:r>
    </w:p>
    <w:p>
      <w:pPr>
        <w:shd w:val="clear" w:color="auto" w:fill="FFFFFF"/>
        <w:spacing w:before="81" w:after="163" w:afterLines="50"/>
        <w:ind w:firstLine="480"/>
      </w:pPr>
      <w:r>
        <w:rPr>
          <w:rFonts w:hint="eastAsia"/>
        </w:rPr>
        <w:t>支持</w:t>
      </w:r>
      <w:r>
        <w:t>根据智能映射功能进行病历节点和国家标准数据元匹配</w:t>
      </w:r>
      <w:r>
        <w:rPr>
          <w:rFonts w:hint="eastAsia"/>
        </w:rPr>
        <w:t>；</w:t>
      </w:r>
    </w:p>
    <w:p>
      <w:pPr>
        <w:shd w:val="clear" w:color="auto" w:fill="FFFFFF"/>
        <w:spacing w:before="81" w:after="163" w:afterLines="50"/>
        <w:ind w:firstLine="480"/>
      </w:pPr>
      <w:r>
        <w:rPr>
          <w:rFonts w:hint="eastAsia"/>
        </w:rPr>
        <w:t>支持</w:t>
      </w:r>
      <w:r>
        <w:t>对匹配不上或匹配错误的病历节点，根据编码进行手动编辑调整。</w:t>
      </w:r>
    </w:p>
    <w:p>
      <w:pPr>
        <w:pStyle w:val="8"/>
        <w:spacing w:before="81" w:after="81"/>
        <w:ind w:left="0"/>
        <w:rPr>
          <w:rFonts w:ascii="宋体" w:hAnsi="宋体"/>
          <w:szCs w:val="28"/>
        </w:rPr>
      </w:pPr>
      <w:r>
        <w:rPr>
          <w:rFonts w:hint="eastAsia" w:ascii="宋体" w:hAnsi="宋体"/>
          <w:szCs w:val="28"/>
        </w:rPr>
        <w:t>病历结构化任务管理</w:t>
      </w:r>
    </w:p>
    <w:p>
      <w:pPr>
        <w:shd w:val="clear" w:color="auto" w:fill="FFFFFF"/>
        <w:spacing w:before="81" w:after="163" w:afterLines="50"/>
        <w:ind w:firstLine="480"/>
      </w:pPr>
      <w:r>
        <w:rPr>
          <w:rFonts w:hint="eastAsia"/>
        </w:rPr>
        <w:t>支持</w:t>
      </w:r>
      <w:r>
        <w:t>根据数据节点配置信息，解析XML病历数据进行存储</w:t>
      </w:r>
      <w:r>
        <w:rPr>
          <w:rFonts w:hint="eastAsia"/>
        </w:rPr>
        <w:t>；</w:t>
      </w:r>
    </w:p>
    <w:p>
      <w:pPr>
        <w:shd w:val="clear" w:color="auto" w:fill="FFFFFF"/>
        <w:spacing w:before="81" w:after="163" w:afterLines="50"/>
        <w:ind w:firstLine="480"/>
      </w:pPr>
      <w:r>
        <w:rPr>
          <w:rFonts w:hint="eastAsia"/>
        </w:rPr>
        <w:t>支持</w:t>
      </w:r>
      <w:r>
        <w:t>选择需要标准化的病历分类，根据需要标准化病历的时间段或根据病人主键信息对病历文书数据进行解析，并将解析的数据存储到指定的标准数据集结构化模型。</w:t>
      </w:r>
    </w:p>
    <w:p>
      <w:pPr>
        <w:pStyle w:val="6"/>
        <w:spacing w:before="81" w:after="81"/>
        <w:ind w:left="0"/>
      </w:pPr>
      <w:r>
        <w:rPr>
          <w:rFonts w:hint="eastAsia"/>
        </w:rPr>
        <w:t>医师交接班管理系统</w:t>
      </w:r>
    </w:p>
    <w:p>
      <w:pPr>
        <w:shd w:val="clear" w:color="auto" w:fill="FFFFFF"/>
        <w:spacing w:before="81" w:after="163" w:afterLines="50"/>
        <w:ind w:firstLine="480"/>
      </w:pPr>
      <w:r>
        <w:rPr>
          <w:rFonts w:hint="eastAsia" w:ascii="宋体" w:hAnsi="宋体"/>
          <w:bCs/>
          <w:szCs w:val="24"/>
        </w:rPr>
        <w:t>▲</w:t>
      </w:r>
      <w:r>
        <w:rPr>
          <w:rFonts w:hint="eastAsia"/>
        </w:rPr>
        <w:t>具备医生交班人数汇总信息（如：现有、新入、转入、转出、手术、分娩、病危、病种等）自动计算并将患者自动导入患者列表中；</w:t>
      </w:r>
    </w:p>
    <w:p>
      <w:pPr>
        <w:shd w:val="clear" w:color="auto" w:fill="FFFFFF"/>
        <w:spacing w:before="81" w:after="163" w:afterLines="50"/>
        <w:ind w:firstLine="480"/>
      </w:pPr>
      <w:r>
        <w:rPr>
          <w:rFonts w:hint="eastAsia" w:ascii="宋体" w:hAnsi="宋体"/>
          <w:bCs/>
          <w:szCs w:val="24"/>
        </w:rPr>
        <w:t>▲</w:t>
      </w:r>
      <w:r>
        <w:rPr>
          <w:rFonts w:hint="eastAsia"/>
        </w:rPr>
        <w:t>具备手动添加未自动导入的交接班患者功能，并编辑交接班内容；</w:t>
      </w:r>
    </w:p>
    <w:p>
      <w:pPr>
        <w:shd w:val="clear" w:color="auto" w:fill="FFFFFF"/>
        <w:spacing w:before="81" w:after="163" w:afterLines="50"/>
        <w:ind w:firstLine="480"/>
      </w:pPr>
      <w:r>
        <w:rPr>
          <w:rFonts w:hint="eastAsia"/>
        </w:rPr>
        <w:t>具备双击患者弹出交接班内容编辑界面可查看诊疗记录同时进行交接班内容编辑；</w:t>
      </w:r>
    </w:p>
    <w:p>
      <w:pPr>
        <w:shd w:val="clear" w:color="auto" w:fill="FFFFFF"/>
        <w:spacing w:before="81" w:after="163" w:afterLines="50"/>
        <w:ind w:firstLine="480"/>
      </w:pPr>
      <w:r>
        <w:rPr>
          <w:rFonts w:hint="eastAsia"/>
        </w:rPr>
        <w:t>具备提供一日两次交班和一日一次交班两种交班方式；</w:t>
      </w:r>
    </w:p>
    <w:p>
      <w:pPr>
        <w:shd w:val="clear" w:color="auto" w:fill="FFFFFF"/>
        <w:spacing w:before="81" w:after="163" w:afterLines="50"/>
        <w:ind w:firstLine="480"/>
      </w:pPr>
      <w:r>
        <w:rPr>
          <w:rFonts w:hint="eastAsia"/>
        </w:rPr>
        <w:t>支持根据医院病区和科室灵活设置交接班组，如多科室、多病区联合交班；</w:t>
      </w:r>
    </w:p>
    <w:p>
      <w:pPr>
        <w:shd w:val="clear" w:color="auto" w:fill="FFFFFF"/>
        <w:spacing w:before="81" w:after="163" w:afterLines="50"/>
        <w:ind w:firstLine="480"/>
      </w:pPr>
      <w:r>
        <w:rPr>
          <w:rFonts w:hint="eastAsia"/>
        </w:rPr>
        <w:t>支持按质控要求设置交接班补填控制，过期未进行医生交接班限制医生进行补填。</w:t>
      </w:r>
    </w:p>
    <w:p>
      <w:pPr>
        <w:pStyle w:val="6"/>
        <w:spacing w:before="81" w:after="81"/>
        <w:ind w:left="0"/>
      </w:pPr>
      <w:r>
        <w:rPr>
          <w:rFonts w:hint="eastAsia"/>
        </w:rPr>
        <w:t>护理管理系统</w:t>
      </w:r>
    </w:p>
    <w:p>
      <w:pPr>
        <w:pStyle w:val="7"/>
        <w:spacing w:before="81" w:after="81"/>
        <w:ind w:left="0"/>
        <w:rPr>
          <w:rFonts w:ascii="宋体" w:hAnsi="宋体"/>
        </w:rPr>
      </w:pPr>
      <w:r>
        <w:rPr>
          <w:rFonts w:hint="eastAsia" w:ascii="宋体" w:hAnsi="宋体"/>
        </w:rPr>
        <w:t>护理管理门户</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具备一体化界面，集成包括人力资源管理、护理排班管理等；</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支持根据用户角色岗位不同提供护理部、院级护理分管工作者、科护士长、护士长角色的门户首页，支持用户个性化设置。</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支持根据用户实际工作提供常用工作快捷入口，支持个性化设置。</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支持集中处理工作台，直接在门户首页即可关注需要处理的所有事项及事项内容，点击可直接处理工作；</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支持提供包括患者分布、分析监控、护理资源分布监控、人员总览、敏感指标总览在内的多种数据监控，且支持个性化设置；</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支持监控数据图形化展示，包括玫瑰图、折线图、扇形图、柱状图等。根据用户权限和监控视角选择数据范围，并支持数据下钻和数据下载导出。</w:t>
      </w:r>
    </w:p>
    <w:p>
      <w:pPr>
        <w:pStyle w:val="7"/>
        <w:spacing w:before="81" w:after="81"/>
        <w:ind w:left="0"/>
      </w:pPr>
      <w:r>
        <w:rPr>
          <w:rFonts w:hint="eastAsia" w:ascii="宋体" w:hAnsi="宋体"/>
        </w:rPr>
        <w:t>护理排班</w:t>
      </w:r>
      <w:r>
        <w:rPr>
          <w:rFonts w:hint="eastAsia"/>
        </w:rPr>
        <w:t>查询与提醒</w:t>
      </w:r>
    </w:p>
    <w:p>
      <w:pPr>
        <w:pStyle w:val="8"/>
        <w:spacing w:before="81" w:after="81"/>
        <w:ind w:left="0"/>
        <w:rPr>
          <w:rFonts w:ascii="宋体" w:hAnsi="宋体"/>
          <w:szCs w:val="28"/>
        </w:rPr>
      </w:pPr>
      <w:r>
        <w:rPr>
          <w:rFonts w:hint="eastAsia" w:ascii="宋体" w:hAnsi="宋体"/>
          <w:szCs w:val="28"/>
        </w:rPr>
        <w:t>排班查询</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具备工作时长、公休天数、补休天数、周休天数统计。</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具备护士查看个人排班情况。</w:t>
      </w:r>
    </w:p>
    <w:p>
      <w:pPr>
        <w:spacing w:before="81" w:after="81"/>
        <w:ind w:firstLine="480"/>
      </w:pPr>
      <w:r>
        <w:rPr>
          <w:rFonts w:hint="eastAsia" w:asciiTheme="minorEastAsia" w:hAnsiTheme="minorEastAsia" w:cstheme="minorEastAsia"/>
          <w:szCs w:val="24"/>
        </w:rPr>
        <w:t>具备管理人员查看负责科室排班情况以及排班人员分布情况。</w:t>
      </w:r>
    </w:p>
    <w:p>
      <w:pPr>
        <w:pStyle w:val="8"/>
        <w:spacing w:before="81" w:after="81"/>
        <w:ind w:left="0"/>
        <w:rPr>
          <w:rFonts w:ascii="宋体" w:hAnsi="宋体"/>
          <w:szCs w:val="28"/>
        </w:rPr>
      </w:pPr>
      <w:r>
        <w:rPr>
          <w:rFonts w:hint="eastAsia" w:ascii="宋体" w:hAnsi="宋体"/>
          <w:szCs w:val="28"/>
        </w:rPr>
        <w:t>排班智能提醒</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具备设置自动排班规则功能，下周排班时按照规则生成排班数据。</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具备排班前录入护士个人意愿，并在排班时提示排班者。</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排班界面展示影响到排班的信息概要，包括班次、人员、工时。</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支持护士进行个人的调换班申请，管理者审批后即可更改班次。</w:t>
      </w:r>
    </w:p>
    <w:p>
      <w:pPr>
        <w:spacing w:before="81" w:after="81"/>
        <w:ind w:firstLine="480"/>
        <w:rPr>
          <w:rFonts w:asciiTheme="minorEastAsia" w:hAnsiTheme="minorEastAsia" w:cstheme="minorEastAsia"/>
          <w:szCs w:val="24"/>
        </w:rPr>
      </w:pPr>
      <w:r>
        <w:rPr>
          <w:rFonts w:hint="eastAsia" w:ascii="宋体" w:hAnsi="宋体"/>
          <w:bCs/>
          <w:szCs w:val="24"/>
        </w:rPr>
        <w:t>▲</w:t>
      </w:r>
      <w:r>
        <w:rPr>
          <w:rFonts w:hint="eastAsia" w:asciiTheme="minorEastAsia" w:hAnsiTheme="minorEastAsia" w:cstheme="minorEastAsia"/>
          <w:szCs w:val="24"/>
        </w:rPr>
        <w:t>具备排班管理者对调换班申请进行审批，审批通过后直接更新排班表。</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具备排班界面进行人员班组调整，并直接更新调整后的人员分组。</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具备按照排班班次要求，在排班时自动给出合理性提醒，包括能级、连续工作时长、工作组。</w:t>
      </w:r>
    </w:p>
    <w:p>
      <w:pPr>
        <w:pStyle w:val="8"/>
        <w:spacing w:before="81" w:after="81"/>
        <w:ind w:left="0"/>
        <w:rPr>
          <w:rFonts w:ascii="宋体" w:hAnsi="宋体"/>
          <w:szCs w:val="28"/>
        </w:rPr>
      </w:pPr>
      <w:r>
        <w:rPr>
          <w:rFonts w:hint="eastAsia" w:ascii="宋体" w:hAnsi="宋体"/>
          <w:szCs w:val="28"/>
        </w:rPr>
        <w:t>人员请假申请、审批</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具备护士请假申请。</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具备护士长对护士请假进行审批，并自动更新排班表。</w:t>
      </w:r>
    </w:p>
    <w:p>
      <w:pPr>
        <w:pStyle w:val="7"/>
        <w:spacing w:before="81" w:after="81"/>
        <w:ind w:left="0"/>
      </w:pPr>
      <w:r>
        <w:rPr>
          <w:rFonts w:hint="eastAsia"/>
        </w:rPr>
        <w:t>护理人力资源</w:t>
      </w:r>
    </w:p>
    <w:p>
      <w:pPr>
        <w:pStyle w:val="8"/>
        <w:spacing w:before="81" w:after="81"/>
        <w:ind w:left="0"/>
        <w:rPr>
          <w:rFonts w:ascii="宋体" w:hAnsi="宋体"/>
          <w:szCs w:val="28"/>
        </w:rPr>
      </w:pPr>
      <w:r>
        <w:rPr>
          <w:rFonts w:hint="eastAsia" w:ascii="宋体" w:hAnsi="宋体"/>
          <w:szCs w:val="28"/>
        </w:rPr>
        <w:t>护理人员管理</w:t>
      </w:r>
    </w:p>
    <w:p>
      <w:pPr>
        <w:pStyle w:val="71"/>
        <w:spacing w:before="81" w:after="81"/>
        <w:ind w:firstLine="480"/>
        <w:rPr>
          <w:rFonts w:asciiTheme="minorEastAsia" w:hAnsiTheme="minorEastAsia" w:eastAsiaTheme="minorEastAsia" w:cstheme="minorEastAsia"/>
          <w:szCs w:val="24"/>
        </w:rPr>
      </w:pPr>
      <w:r>
        <w:rPr>
          <w:rFonts w:hint="eastAsia" w:ascii="宋体" w:hAnsi="宋体"/>
          <w:bCs/>
          <w:szCs w:val="24"/>
        </w:rPr>
        <w:t>▲</w:t>
      </w:r>
      <w:r>
        <w:rPr>
          <w:rFonts w:hint="eastAsia" w:asciiTheme="minorEastAsia" w:hAnsiTheme="minorEastAsia" w:eastAsiaTheme="minorEastAsia" w:cstheme="minorEastAsia"/>
          <w:szCs w:val="24"/>
        </w:rPr>
        <w:t>在档案管理模块中，由护士填写个人档案并提交。管理者根据权限可进行审核、查看，并提供能级、职称等可视化统计图表。人员调配与护理排班数据对接，确保排班数据的准确性。</w:t>
      </w:r>
    </w:p>
    <w:p>
      <w:pPr>
        <w:spacing w:before="81" w:after="81"/>
        <w:ind w:firstLine="482"/>
        <w:rPr>
          <w:rFonts w:ascii="宋体" w:hAnsi="宋体" w:eastAsia="宋体" w:cs="宋体"/>
          <w:b/>
          <w:bCs/>
          <w:szCs w:val="28"/>
        </w:rPr>
      </w:pPr>
      <w:r>
        <w:rPr>
          <w:rFonts w:hint="eastAsia" w:ascii="宋体" w:hAnsi="宋体" w:eastAsia="宋体" w:cs="宋体"/>
          <w:b/>
          <w:bCs/>
          <w:szCs w:val="28"/>
        </w:rPr>
        <w:t>人员数据概览</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具备饼图、树状图展示护理人员职称分布、人员学历分布、人员工作年限分布及数据下钻查看明细信息功能。</w:t>
      </w:r>
    </w:p>
    <w:p>
      <w:pPr>
        <w:spacing w:before="81" w:after="81"/>
        <w:ind w:firstLine="480"/>
        <w:rPr>
          <w:rFonts w:asciiTheme="minorEastAsia" w:hAnsiTheme="minorEastAsia" w:cstheme="minorEastAsia"/>
          <w:szCs w:val="24"/>
        </w:rPr>
      </w:pPr>
      <w:r>
        <w:rPr>
          <w:rFonts w:hint="eastAsia" w:asciiTheme="minorEastAsia" w:hAnsiTheme="minorEastAsia" w:cstheme="minorEastAsia"/>
          <w:szCs w:val="24"/>
        </w:rPr>
        <w:t>具备树状图查看时间段内离职人数、人员调配情况、人员动态情况功能。</w:t>
      </w:r>
    </w:p>
    <w:p>
      <w:pPr>
        <w:spacing w:before="81" w:after="81"/>
        <w:ind w:firstLine="482"/>
        <w:rPr>
          <w:rFonts w:ascii="宋体" w:hAnsi="宋体" w:eastAsia="宋体" w:cs="宋体"/>
          <w:b/>
          <w:bCs/>
          <w:szCs w:val="28"/>
        </w:rPr>
      </w:pPr>
      <w:r>
        <w:rPr>
          <w:rFonts w:hint="eastAsia" w:ascii="宋体" w:hAnsi="宋体" w:eastAsia="宋体" w:cs="宋体"/>
          <w:b/>
          <w:bCs/>
          <w:szCs w:val="28"/>
        </w:rPr>
        <w:t>我的档案</w:t>
      </w:r>
    </w:p>
    <w:p>
      <w:pPr>
        <w:pStyle w:val="37"/>
        <w:snapToGrid w:val="0"/>
        <w:spacing w:before="81" w:after="81" w:line="360" w:lineRule="auto"/>
        <w:ind w:firstLine="40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查看个人基本信息档案360视图功能，包括工号、姓名、科室、照片信息、身份证、入院时间、户籍、民族、出生年月、学历学位、护士执业证书、能级、护理职称、专科护士、工作经历、科研成果、授课交流、导师资格、论文登记、发明专利、新技术引进等。</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具备执业护士证到期提醒功能。</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具备自动计算工龄、来院时长功能。</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具备考试、培训系统数据填写的功能。</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具备数据提交审核与基本逻辑验证的功能。</w:t>
      </w:r>
    </w:p>
    <w:p>
      <w:pPr>
        <w:spacing w:before="81" w:after="81"/>
        <w:ind w:firstLine="482"/>
        <w:rPr>
          <w:rFonts w:ascii="宋体" w:hAnsi="宋体" w:eastAsia="宋体" w:cs="宋体"/>
          <w:b/>
          <w:bCs/>
          <w:szCs w:val="28"/>
        </w:rPr>
      </w:pPr>
      <w:r>
        <w:rPr>
          <w:rFonts w:hint="eastAsia" w:ascii="宋体" w:hAnsi="宋体" w:eastAsia="宋体" w:cs="宋体"/>
          <w:b/>
          <w:bCs/>
          <w:szCs w:val="28"/>
        </w:rPr>
        <w:t>人员管理</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具备按照不同权限查看护士列表及其档案的功能。</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具备人员的新增、修改、离职等操作。</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具备人员变动历史查看。</w:t>
      </w:r>
    </w:p>
    <w:p>
      <w:pPr>
        <w:spacing w:before="81" w:after="81"/>
        <w:ind w:firstLine="482"/>
        <w:rPr>
          <w:rFonts w:ascii="宋体" w:hAnsi="宋体" w:eastAsia="宋体" w:cs="宋体"/>
          <w:b/>
          <w:bCs/>
          <w:szCs w:val="28"/>
        </w:rPr>
      </w:pPr>
      <w:r>
        <w:rPr>
          <w:rFonts w:hint="eastAsia" w:ascii="宋体" w:hAnsi="宋体" w:eastAsia="宋体" w:cs="宋体"/>
          <w:b/>
          <w:bCs/>
          <w:szCs w:val="28"/>
        </w:rPr>
        <w:t>人员调配</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具备权限内人员调配功能。</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具备人员调入、调回、撤销等操作。</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具备人员变动历史查看。</w:t>
      </w:r>
    </w:p>
    <w:p>
      <w:pPr>
        <w:spacing w:before="81" w:after="81"/>
        <w:ind w:firstLine="480"/>
        <w:rPr>
          <w:rFonts w:ascii="宋体" w:hAnsi="宋体" w:eastAsia="宋体" w:cs="宋体"/>
          <w:b/>
          <w:bCs/>
          <w:szCs w:val="28"/>
        </w:rPr>
      </w:pPr>
      <w:r>
        <w:rPr>
          <w:rFonts w:hint="eastAsia" w:ascii="宋体" w:hAnsi="宋体"/>
          <w:bCs/>
          <w:szCs w:val="24"/>
        </w:rPr>
        <w:t>▲</w:t>
      </w:r>
      <w:r>
        <w:rPr>
          <w:rFonts w:hint="eastAsia" w:ascii="宋体" w:hAnsi="宋体" w:eastAsia="宋体" w:cs="宋体"/>
          <w:b/>
          <w:bCs/>
          <w:szCs w:val="28"/>
        </w:rPr>
        <w:t>档案审核</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具备查看及审核提交来的档案信息。</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具备对档案信息进行审核，审核操作包括通过或驳回。</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具备系统自动提示审核内容功能，便于审核人审核。</w:t>
      </w:r>
    </w:p>
    <w:p>
      <w:pPr>
        <w:spacing w:before="81" w:after="81"/>
        <w:ind w:firstLine="482"/>
        <w:rPr>
          <w:rFonts w:ascii="宋体" w:hAnsi="宋体" w:eastAsia="宋体" w:cs="宋体"/>
          <w:b/>
          <w:bCs/>
          <w:szCs w:val="28"/>
        </w:rPr>
      </w:pPr>
      <w:r>
        <w:rPr>
          <w:rFonts w:hint="eastAsia" w:ascii="宋体" w:hAnsi="宋体" w:eastAsia="宋体" w:cs="宋体"/>
          <w:b/>
          <w:bCs/>
          <w:szCs w:val="28"/>
        </w:rPr>
        <w:t>查询与统计</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具备按照人员基本信息、岗位、能级、职称、岗位、工作年限、学历等的维度生成统计分析，且能够数据的导出。</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具备论文发表、奖惩信息、考试成绩、培训数据的查看与导出。</w:t>
      </w:r>
    </w:p>
    <w:p>
      <w:pPr>
        <w:pStyle w:val="8"/>
        <w:spacing w:before="81" w:after="81"/>
        <w:ind w:left="0"/>
        <w:rPr>
          <w:rFonts w:ascii="宋体" w:hAnsi="宋体"/>
          <w:szCs w:val="28"/>
        </w:rPr>
      </w:pPr>
      <w:r>
        <w:rPr>
          <w:rFonts w:hint="eastAsia" w:ascii="宋体" w:hAnsi="宋体"/>
          <w:szCs w:val="28"/>
        </w:rPr>
        <w:t>实习护理管理</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实习护士管理需对实习护士的学校、轮转、实习情况评价进行管理。</w:t>
      </w:r>
    </w:p>
    <w:p>
      <w:pPr>
        <w:spacing w:before="81" w:after="81"/>
        <w:ind w:firstLine="482"/>
        <w:rPr>
          <w:rFonts w:ascii="宋体" w:hAnsi="宋体" w:eastAsia="宋体" w:cs="宋体"/>
          <w:b/>
          <w:bCs/>
          <w:szCs w:val="28"/>
        </w:rPr>
      </w:pPr>
      <w:r>
        <w:rPr>
          <w:rFonts w:hint="eastAsia" w:ascii="宋体" w:hAnsi="宋体" w:eastAsia="宋体" w:cs="宋体"/>
          <w:b/>
          <w:bCs/>
          <w:szCs w:val="28"/>
        </w:rPr>
        <w:t>学校管理</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具备实习护士不同学校基本信息的维护与管理，包括学校名称、联系老师、电话。</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具备单个新增、修改、删除实习护士的功能。</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具备批量导入实习护士人员数据。</w:t>
      </w:r>
    </w:p>
    <w:p>
      <w:pPr>
        <w:spacing w:before="81" w:after="81"/>
        <w:ind w:firstLine="482"/>
        <w:rPr>
          <w:rFonts w:ascii="宋体" w:hAnsi="宋体" w:eastAsia="宋体" w:cs="宋体"/>
          <w:b/>
          <w:bCs/>
          <w:szCs w:val="28"/>
        </w:rPr>
      </w:pPr>
      <w:r>
        <w:rPr>
          <w:rFonts w:hint="eastAsia" w:ascii="宋体" w:hAnsi="宋体" w:eastAsia="宋体" w:cs="宋体"/>
          <w:b/>
          <w:bCs/>
          <w:szCs w:val="28"/>
        </w:rPr>
        <w:t>轮转科室配置</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具备配置轮转科室的功能，包括科室名称、可容纳实习护士和带教老师。</w:t>
      </w:r>
    </w:p>
    <w:p>
      <w:pPr>
        <w:spacing w:before="81" w:after="81"/>
        <w:ind w:firstLine="482"/>
        <w:rPr>
          <w:rFonts w:ascii="宋体" w:hAnsi="宋体" w:eastAsia="宋体" w:cs="宋体"/>
          <w:b/>
          <w:bCs/>
          <w:szCs w:val="28"/>
        </w:rPr>
      </w:pPr>
      <w:r>
        <w:rPr>
          <w:rFonts w:hint="eastAsia" w:ascii="宋体" w:hAnsi="宋体" w:eastAsia="宋体" w:cs="宋体"/>
          <w:b/>
          <w:bCs/>
          <w:szCs w:val="28"/>
        </w:rPr>
        <w:t>轮转组配置</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具备新增、删除、修改实习的轮转组。</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具备添加轮转组内实习护士人员。</w:t>
      </w:r>
    </w:p>
    <w:p>
      <w:pPr>
        <w:spacing w:before="81" w:after="81"/>
        <w:ind w:firstLine="482"/>
        <w:rPr>
          <w:rFonts w:ascii="宋体" w:hAnsi="宋体" w:eastAsia="宋体" w:cs="宋体"/>
          <w:b/>
          <w:bCs/>
          <w:szCs w:val="28"/>
        </w:rPr>
      </w:pPr>
      <w:r>
        <w:rPr>
          <w:rFonts w:hint="eastAsia" w:ascii="宋体" w:hAnsi="宋体" w:eastAsia="宋体" w:cs="宋体"/>
          <w:b/>
          <w:bCs/>
          <w:szCs w:val="28"/>
        </w:rPr>
        <w:t>轮转表配置</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具备轮转表开始时间、结束时间、轮转次数、轮转周期设置。</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具备轮转表预览与修改。</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具备轮转表编辑，包括轮转组添加、轮转科室选择。</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具备轮转数据导出。</w:t>
      </w:r>
    </w:p>
    <w:p>
      <w:pPr>
        <w:spacing w:before="81" w:after="81"/>
        <w:ind w:firstLine="482"/>
        <w:rPr>
          <w:rFonts w:ascii="宋体" w:hAnsi="宋体" w:eastAsia="宋体" w:cs="宋体"/>
          <w:b/>
          <w:bCs/>
          <w:szCs w:val="28"/>
        </w:rPr>
      </w:pPr>
      <w:r>
        <w:rPr>
          <w:rFonts w:hint="eastAsia" w:ascii="宋体" w:hAnsi="宋体" w:eastAsia="宋体" w:cs="宋体"/>
          <w:b/>
          <w:bCs/>
          <w:szCs w:val="28"/>
        </w:rPr>
        <w:t>实习生管理</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具备实习护士档案查看、转正操作。</w:t>
      </w:r>
    </w:p>
    <w:p>
      <w:pPr>
        <w:pStyle w:val="37"/>
        <w:snapToGrid w:val="0"/>
        <w:spacing w:before="81" w:after="81" w:line="360" w:lineRule="auto"/>
        <w:ind w:left="420" w:firstLine="0" w:firstLineChars="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具备实习护士轮转信息查看及评价查看。</w:t>
      </w:r>
    </w:p>
    <w:p>
      <w:pPr>
        <w:spacing w:before="81" w:after="81"/>
        <w:ind w:firstLine="482"/>
        <w:rPr>
          <w:rFonts w:ascii="宋体" w:hAnsi="宋体" w:eastAsia="宋体" w:cs="宋体"/>
          <w:b/>
          <w:bCs/>
          <w:szCs w:val="28"/>
        </w:rPr>
      </w:pPr>
      <w:r>
        <w:rPr>
          <w:rFonts w:hint="eastAsia" w:ascii="宋体" w:hAnsi="宋体" w:eastAsia="宋体" w:cs="宋体"/>
          <w:b/>
          <w:bCs/>
          <w:szCs w:val="28"/>
        </w:rPr>
        <w:t>评价管理</w:t>
      </w:r>
    </w:p>
    <w:p>
      <w:pPr>
        <w:pStyle w:val="37"/>
        <w:snapToGrid w:val="0"/>
        <w:spacing w:before="81" w:after="81" w:line="360" w:lineRule="auto"/>
        <w:ind w:left="420" w:firstLine="0" w:firstLineChars="0"/>
        <w:rPr>
          <w:rFonts w:asciiTheme="minorEastAsia" w:hAnsiTheme="minorEastAsia" w:cstheme="minorEastAsia"/>
          <w:sz w:val="24"/>
          <w:szCs w:val="24"/>
          <w:lang w:eastAsia="zh-CN"/>
        </w:rPr>
      </w:pPr>
      <w:r>
        <w:rPr>
          <w:rFonts w:hint="eastAsia" w:asciiTheme="minorEastAsia" w:hAnsiTheme="minorEastAsia" w:cstheme="minorEastAsia"/>
          <w:color w:val="000000"/>
          <w:sz w:val="24"/>
          <w:szCs w:val="24"/>
          <w:lang w:eastAsia="zh-CN"/>
        </w:rPr>
        <w:t>具备带教老师对实习护士出科评价功能。</w:t>
      </w:r>
    </w:p>
    <w:p>
      <w:pPr>
        <w:spacing w:before="81" w:after="81"/>
        <w:ind w:firstLine="482"/>
        <w:rPr>
          <w:rFonts w:ascii="宋体" w:hAnsi="宋体" w:eastAsia="宋体" w:cs="宋体"/>
          <w:b/>
          <w:bCs/>
          <w:szCs w:val="28"/>
        </w:rPr>
      </w:pPr>
      <w:r>
        <w:rPr>
          <w:rFonts w:hint="eastAsia" w:ascii="宋体" w:hAnsi="宋体" w:eastAsia="宋体" w:cs="宋体"/>
          <w:b/>
          <w:bCs/>
          <w:szCs w:val="28"/>
        </w:rPr>
        <w:t>实习情况查看</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具备从科室维度，查看实习护士轮转数据。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具备从实习护士个人维度，查看实习护士轮转数据。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具备导出轮转数据表格。</w:t>
      </w:r>
    </w:p>
    <w:p>
      <w:pPr>
        <w:spacing w:before="81" w:after="81"/>
        <w:ind w:firstLine="482"/>
        <w:rPr>
          <w:rFonts w:ascii="宋体" w:hAnsi="宋体" w:eastAsia="宋体" w:cs="宋体"/>
          <w:b/>
          <w:bCs/>
          <w:szCs w:val="28"/>
        </w:rPr>
      </w:pPr>
      <w:r>
        <w:rPr>
          <w:rFonts w:hint="eastAsia" w:ascii="宋体" w:hAnsi="宋体" w:eastAsia="宋体" w:cs="宋体"/>
          <w:b/>
          <w:bCs/>
          <w:szCs w:val="28"/>
        </w:rPr>
        <w:t>移动端功能</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支持移动化查看实习轮转情况，包括轮转时间、轮转科室、带教老师。</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支持移动端进行学员出科评价。</w:t>
      </w:r>
    </w:p>
    <w:p>
      <w:pPr>
        <w:spacing w:before="81" w:after="81"/>
        <w:ind w:firstLine="480"/>
      </w:pPr>
      <w:r>
        <w:rPr>
          <w:rFonts w:hint="eastAsia" w:asciiTheme="minorEastAsia" w:hAnsiTheme="minorEastAsia" w:cstheme="minorEastAsia"/>
          <w:color w:val="000000"/>
          <w:szCs w:val="24"/>
        </w:rPr>
        <w:t>支持移动端对带教老师进行评价。</w:t>
      </w:r>
    </w:p>
    <w:p>
      <w:pPr>
        <w:pStyle w:val="8"/>
        <w:spacing w:before="81" w:after="81"/>
        <w:ind w:left="0"/>
        <w:rPr>
          <w:rFonts w:ascii="宋体" w:hAnsi="宋体"/>
          <w:szCs w:val="28"/>
        </w:rPr>
      </w:pPr>
      <w:r>
        <w:rPr>
          <w:rFonts w:hint="eastAsia" w:ascii="宋体" w:hAnsi="宋体"/>
          <w:szCs w:val="28"/>
        </w:rPr>
        <w:t>规培护士管理</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规培生管理需实现带教老师配置，规培护士轮转、规培护士出科评价功能，功能要求如下：</w:t>
      </w:r>
    </w:p>
    <w:p>
      <w:pPr>
        <w:spacing w:before="81" w:after="81"/>
        <w:ind w:firstLine="482"/>
        <w:rPr>
          <w:rFonts w:ascii="宋体" w:hAnsi="宋体" w:eastAsia="宋体" w:cs="宋体"/>
          <w:b/>
          <w:bCs/>
          <w:szCs w:val="28"/>
        </w:rPr>
      </w:pPr>
      <w:r>
        <w:rPr>
          <w:rFonts w:hint="eastAsia" w:ascii="宋体" w:hAnsi="宋体" w:eastAsia="宋体" w:cs="宋体"/>
          <w:b/>
          <w:bCs/>
          <w:szCs w:val="28"/>
        </w:rPr>
        <w:t>轮转科室设置</w:t>
      </w:r>
    </w:p>
    <w:p>
      <w:pPr>
        <w:pStyle w:val="37"/>
        <w:snapToGrid w:val="0"/>
        <w:spacing w:before="81" w:after="81" w:line="360" w:lineRule="auto"/>
        <w:ind w:firstLine="40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具备设置轮转科室的功能，包括科室名称、可容纳规培人数、带教老师。</w:t>
      </w:r>
    </w:p>
    <w:p>
      <w:pPr>
        <w:spacing w:before="81" w:after="81"/>
        <w:ind w:firstLine="482"/>
        <w:rPr>
          <w:rFonts w:ascii="宋体" w:hAnsi="宋体" w:eastAsia="宋体" w:cs="宋体"/>
          <w:b/>
          <w:bCs/>
          <w:szCs w:val="28"/>
        </w:rPr>
      </w:pPr>
      <w:r>
        <w:rPr>
          <w:rFonts w:hint="eastAsia" w:ascii="宋体" w:hAnsi="宋体" w:eastAsia="宋体" w:cs="宋体"/>
          <w:b/>
          <w:bCs/>
          <w:szCs w:val="28"/>
        </w:rPr>
        <w:t>规培护士管理</w:t>
      </w:r>
    </w:p>
    <w:p>
      <w:pPr>
        <w:pStyle w:val="37"/>
        <w:snapToGrid w:val="0"/>
        <w:spacing w:before="81" w:after="81" w:line="360" w:lineRule="auto"/>
        <w:ind w:firstLine="400"/>
        <w:rPr>
          <w:rFonts w:asciiTheme="minorEastAsia" w:hAnsiTheme="minorEastAsia" w:cstheme="minorEastAsia"/>
          <w:color w:val="000000"/>
          <w:sz w:val="24"/>
          <w:szCs w:val="24"/>
          <w:lang w:eastAsia="zh-CN"/>
        </w:rPr>
      </w:pPr>
      <w:r>
        <w:rPr>
          <w:rFonts w:hint="eastAsia" w:ascii="宋体" w:hAnsi="宋体"/>
          <w:bCs/>
          <w:szCs w:val="24"/>
          <w:lang w:eastAsia="zh-CN"/>
        </w:rPr>
        <w:t>▲</w:t>
      </w:r>
      <w:r>
        <w:rPr>
          <w:rFonts w:hint="eastAsia" w:asciiTheme="minorEastAsia" w:hAnsiTheme="minorEastAsia" w:cstheme="minorEastAsia"/>
          <w:color w:val="000000"/>
          <w:sz w:val="24"/>
          <w:szCs w:val="24"/>
          <w:lang w:eastAsia="zh-CN"/>
        </w:rPr>
        <w:t>具备规培护士档案查看、转正操作。</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具备规培护士轮转信息查看及评价查看。</w:t>
      </w:r>
    </w:p>
    <w:p>
      <w:pPr>
        <w:spacing w:before="81" w:after="81"/>
        <w:ind w:firstLine="482"/>
        <w:rPr>
          <w:rFonts w:ascii="宋体" w:hAnsi="宋体" w:eastAsia="宋体" w:cs="宋体"/>
          <w:b/>
          <w:bCs/>
          <w:szCs w:val="28"/>
        </w:rPr>
      </w:pPr>
      <w:r>
        <w:rPr>
          <w:rFonts w:hint="eastAsia" w:ascii="宋体" w:hAnsi="宋体" w:eastAsia="宋体" w:cs="宋体"/>
          <w:b/>
          <w:bCs/>
          <w:szCs w:val="28"/>
        </w:rPr>
        <w:t>轮转表设置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具备规培轮转表开始时间、结束时间、轮转次数、轮转周期设置。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具备轮转表预览与修改。</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具备轮转表编辑，包括轮转组添加、轮转科室选择。</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具备轮转数据导出。</w:t>
      </w:r>
    </w:p>
    <w:p>
      <w:pPr>
        <w:spacing w:before="81" w:after="81"/>
        <w:ind w:firstLine="482"/>
        <w:rPr>
          <w:rFonts w:ascii="宋体" w:hAnsi="宋体" w:eastAsia="宋体" w:cs="宋体"/>
          <w:b/>
          <w:bCs/>
          <w:szCs w:val="28"/>
        </w:rPr>
      </w:pPr>
      <w:r>
        <w:rPr>
          <w:rFonts w:hint="eastAsia" w:ascii="宋体" w:hAnsi="宋体" w:eastAsia="宋体" w:cs="宋体"/>
          <w:b/>
          <w:bCs/>
          <w:szCs w:val="28"/>
        </w:rPr>
        <w:t>评价管理</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具备带教老师对实习护士出科评价。</w:t>
      </w:r>
    </w:p>
    <w:p>
      <w:pPr>
        <w:spacing w:before="81" w:after="81"/>
        <w:ind w:firstLine="482"/>
        <w:rPr>
          <w:rFonts w:ascii="宋体" w:hAnsi="宋体" w:eastAsia="宋体" w:cs="宋体"/>
          <w:b/>
          <w:bCs/>
          <w:szCs w:val="28"/>
        </w:rPr>
      </w:pPr>
      <w:r>
        <w:rPr>
          <w:rFonts w:hint="eastAsia" w:ascii="宋体" w:hAnsi="宋体" w:eastAsia="宋体" w:cs="宋体"/>
          <w:b/>
          <w:bCs/>
          <w:szCs w:val="28"/>
        </w:rPr>
        <w:t>轮转情况查看</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具备从科室维度，查看规培护士轮转数据。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具备从规培护士个人维度，查看规培护士轮转数据。</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具备导出轮转数据表格。</w:t>
      </w:r>
    </w:p>
    <w:p>
      <w:pPr>
        <w:spacing w:before="81" w:after="81"/>
        <w:ind w:firstLine="482"/>
        <w:rPr>
          <w:rFonts w:ascii="宋体" w:hAnsi="宋体" w:eastAsia="宋体" w:cs="宋体"/>
          <w:b/>
          <w:bCs/>
          <w:szCs w:val="28"/>
        </w:rPr>
      </w:pPr>
      <w:r>
        <w:rPr>
          <w:rFonts w:hint="eastAsia" w:ascii="宋体" w:hAnsi="宋体" w:eastAsia="宋体" w:cs="宋体"/>
          <w:b/>
          <w:bCs/>
          <w:szCs w:val="28"/>
        </w:rPr>
        <w:t>移动端功能</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支持移动化查看规培轮转情况，包括轮转时间、轮转科室、带教老师。</w:t>
      </w:r>
    </w:p>
    <w:p>
      <w:pPr>
        <w:pStyle w:val="37"/>
        <w:snapToGrid w:val="0"/>
        <w:spacing w:before="81" w:after="81" w:line="360" w:lineRule="auto"/>
        <w:ind w:firstLine="48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支持移动端进行学员出科评价。</w:t>
      </w:r>
    </w:p>
    <w:p>
      <w:pPr>
        <w:pStyle w:val="37"/>
        <w:snapToGrid w:val="0"/>
        <w:spacing w:before="81" w:after="81" w:line="360" w:lineRule="auto"/>
        <w:ind w:firstLine="480"/>
        <w:rPr>
          <w:lang w:eastAsia="zh-CN"/>
        </w:rPr>
      </w:pPr>
      <w:r>
        <w:rPr>
          <w:rFonts w:hint="eastAsia" w:asciiTheme="minorEastAsia" w:hAnsiTheme="minorEastAsia" w:cstheme="minorEastAsia"/>
          <w:color w:val="000000"/>
          <w:sz w:val="24"/>
          <w:szCs w:val="24"/>
          <w:lang w:eastAsia="zh-CN"/>
        </w:rPr>
        <w:t>支持移动端对带教老师进行评价。</w:t>
      </w:r>
    </w:p>
    <w:p>
      <w:pPr>
        <w:pStyle w:val="6"/>
        <w:spacing w:before="81" w:after="81"/>
        <w:ind w:left="0"/>
      </w:pPr>
      <w:r>
        <w:rPr>
          <w:rFonts w:hint="eastAsia"/>
        </w:rPr>
        <w:t>护理大屏</w:t>
      </w:r>
    </w:p>
    <w:p>
      <w:pPr>
        <w:pStyle w:val="7"/>
        <w:spacing w:before="81" w:after="81"/>
        <w:ind w:left="0"/>
        <w:rPr>
          <w:rFonts w:ascii="宋体" w:hAnsi="宋体"/>
        </w:rPr>
      </w:pPr>
      <w:r>
        <w:rPr>
          <w:rFonts w:hint="eastAsia" w:ascii="宋体" w:hAnsi="宋体"/>
        </w:rPr>
        <w:t>护理工作项目备选清单</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支持与医院信息系统对接，展示病区总人数、护理级别和医保类别功能；展示病区概览内容功能，包括病区内新入区、危重、手术、出区、转区患者数量及床位；展示临床常用护理项目功能，包括测血糖、测血压、测血氧、口腔护理数量及床位；展示专科护理项目功能，包括中医专科护理项目、妇产专科护理项目、ICU专科护理项目数量及床位；展示用药项目功能，包括输液、注射、口服、泵入、雾化数量及床位；展示病区关注患者功能，包括发热患者、隔离患者、需陪护患者、</w:t>
      </w:r>
      <w:r>
        <w:rPr>
          <w:rFonts w:hint="eastAsia" w:eastAsia="宋体" w:cs="Times New Roman"/>
          <w:szCs w:val="24"/>
        </w:rPr>
        <w:t>其他</w:t>
      </w:r>
      <w:r>
        <w:rPr>
          <w:rFonts w:eastAsia="宋体" w:cs="Times New Roman"/>
          <w:szCs w:val="24"/>
        </w:rPr>
        <w:t>特殊患者数量及床位。</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支持与护理信息系统对接，实现风险评估图示展示功能，包括跌倒、压力性损伤、导管、自理能力患者数量及床位。</w:t>
      </w:r>
    </w:p>
    <w:p>
      <w:pPr>
        <w:pStyle w:val="7"/>
        <w:spacing w:before="81" w:after="81"/>
        <w:ind w:left="0"/>
        <w:rPr>
          <w:rFonts w:ascii="宋体" w:hAnsi="宋体"/>
        </w:rPr>
      </w:pPr>
      <w:r>
        <w:rPr>
          <w:rFonts w:hint="eastAsia" w:ascii="宋体" w:hAnsi="宋体"/>
        </w:rPr>
        <w:t>医护分管床位信息展示</w:t>
      </w:r>
    </w:p>
    <w:p>
      <w:pPr>
        <w:spacing w:before="81" w:after="81"/>
        <w:ind w:firstLine="480"/>
        <w:rPr>
          <w:rFonts w:eastAsia="宋体" w:cs="Times New Roman"/>
          <w:szCs w:val="24"/>
        </w:rPr>
      </w:pPr>
      <w:r>
        <w:rPr>
          <w:rFonts w:eastAsia="宋体" w:cs="Times New Roman"/>
          <w:szCs w:val="24"/>
        </w:rPr>
        <w:t>具备对病区医生或护士添加、修改功能。</w:t>
      </w:r>
    </w:p>
    <w:p>
      <w:pPr>
        <w:spacing w:before="81" w:after="81"/>
        <w:ind w:firstLine="480"/>
        <w:rPr>
          <w:rFonts w:eastAsia="宋体" w:cs="Times New Roman"/>
          <w:szCs w:val="24"/>
        </w:rPr>
      </w:pPr>
      <w:r>
        <w:rPr>
          <w:rFonts w:eastAsia="宋体" w:cs="Times New Roman"/>
          <w:szCs w:val="24"/>
        </w:rPr>
        <w:t>具备病区添加的分管床位信息修改功能。</w:t>
      </w:r>
    </w:p>
    <w:p>
      <w:pPr>
        <w:spacing w:before="81" w:after="81"/>
        <w:ind w:firstLine="480"/>
        <w:rPr>
          <w:rFonts w:eastAsia="宋体" w:cs="Times New Roman"/>
          <w:szCs w:val="24"/>
        </w:rPr>
      </w:pPr>
      <w:r>
        <w:rPr>
          <w:rFonts w:eastAsia="宋体" w:cs="Times New Roman"/>
          <w:szCs w:val="24"/>
        </w:rPr>
        <w:t>支持对接护理信息系统，展示护士分管床位信息。</w:t>
      </w:r>
    </w:p>
    <w:p>
      <w:pPr>
        <w:pStyle w:val="7"/>
        <w:spacing w:before="81" w:after="81"/>
        <w:ind w:left="0"/>
        <w:rPr>
          <w:rFonts w:ascii="宋体" w:hAnsi="宋体"/>
        </w:rPr>
      </w:pPr>
      <w:r>
        <w:rPr>
          <w:rFonts w:hint="eastAsia" w:ascii="宋体" w:hAnsi="宋体"/>
        </w:rPr>
        <w:t>医护值班和医院后勤信息展示</w:t>
      </w:r>
    </w:p>
    <w:p>
      <w:pPr>
        <w:spacing w:before="81" w:after="81"/>
        <w:ind w:firstLine="480"/>
        <w:rPr>
          <w:rFonts w:eastAsia="宋体" w:cs="Times New Roman"/>
          <w:szCs w:val="24"/>
        </w:rPr>
      </w:pPr>
      <w:r>
        <w:rPr>
          <w:rFonts w:eastAsia="宋体" w:cs="Times New Roman"/>
          <w:szCs w:val="24"/>
        </w:rPr>
        <w:t>具备值班护士A班、P班、N班人员添加、修改功能。</w:t>
      </w:r>
    </w:p>
    <w:p>
      <w:pPr>
        <w:spacing w:before="81" w:after="81"/>
        <w:ind w:firstLine="480"/>
        <w:rPr>
          <w:rFonts w:eastAsia="宋体" w:cs="Times New Roman"/>
          <w:szCs w:val="24"/>
        </w:rPr>
      </w:pPr>
      <w:r>
        <w:rPr>
          <w:rFonts w:eastAsia="宋体" w:cs="Times New Roman"/>
          <w:szCs w:val="24"/>
        </w:rPr>
        <w:t>具备值班医生一线、二线人员添加、修改功能。</w:t>
      </w:r>
    </w:p>
    <w:p>
      <w:pPr>
        <w:spacing w:before="81" w:after="81"/>
        <w:ind w:firstLine="480"/>
        <w:rPr>
          <w:rFonts w:eastAsia="宋体" w:cs="Times New Roman"/>
          <w:szCs w:val="24"/>
        </w:rPr>
      </w:pPr>
      <w:r>
        <w:rPr>
          <w:rFonts w:eastAsia="宋体" w:cs="Times New Roman"/>
          <w:szCs w:val="24"/>
        </w:rPr>
        <w:t>具备对后勤信息及联系方式添加、修改功能。</w:t>
      </w:r>
    </w:p>
    <w:p>
      <w:pPr>
        <w:pStyle w:val="7"/>
        <w:spacing w:before="81" w:after="81"/>
        <w:ind w:left="0"/>
        <w:rPr>
          <w:rFonts w:ascii="宋体" w:hAnsi="宋体"/>
        </w:rPr>
      </w:pPr>
      <w:r>
        <w:rPr>
          <w:rFonts w:hint="eastAsia" w:ascii="宋体" w:hAnsi="宋体"/>
        </w:rPr>
        <w:t>病区备忘录</w:t>
      </w:r>
    </w:p>
    <w:p>
      <w:pPr>
        <w:spacing w:before="81" w:after="81"/>
        <w:ind w:firstLine="480"/>
        <w:rPr>
          <w:rFonts w:eastAsia="宋体" w:cs="Times New Roman"/>
          <w:szCs w:val="24"/>
        </w:rPr>
      </w:pPr>
      <w:r>
        <w:rPr>
          <w:rFonts w:eastAsia="宋体" w:cs="Times New Roman"/>
          <w:szCs w:val="24"/>
        </w:rPr>
        <w:t>具备文本录入和展示功能，文本录入可选择字体颜色。</w:t>
      </w:r>
    </w:p>
    <w:p>
      <w:pPr>
        <w:spacing w:before="81" w:after="81"/>
        <w:ind w:firstLine="480"/>
        <w:rPr>
          <w:rFonts w:eastAsia="宋体" w:cs="Times New Roman"/>
          <w:szCs w:val="24"/>
        </w:rPr>
      </w:pPr>
      <w:r>
        <w:rPr>
          <w:rFonts w:eastAsia="宋体" w:cs="Times New Roman"/>
          <w:szCs w:val="24"/>
        </w:rPr>
        <w:t>具备对病区内单个患者注意事项进行文字备注并展示功能。</w:t>
      </w:r>
    </w:p>
    <w:p>
      <w:pPr>
        <w:spacing w:before="81" w:after="81"/>
        <w:ind w:firstLine="480"/>
        <w:rPr>
          <w:rFonts w:eastAsia="宋体" w:cs="Times New Roman"/>
          <w:szCs w:val="24"/>
        </w:rPr>
      </w:pPr>
      <w:r>
        <w:rPr>
          <w:rFonts w:eastAsia="宋体" w:cs="Times New Roman"/>
          <w:szCs w:val="24"/>
        </w:rPr>
        <w:t>具备对病区内常用备注内容修改功能。</w:t>
      </w:r>
    </w:p>
    <w:p>
      <w:pPr>
        <w:spacing w:before="81" w:after="81"/>
        <w:ind w:firstLine="480"/>
        <w:rPr>
          <w:rFonts w:eastAsia="宋体" w:cs="Times New Roman"/>
          <w:szCs w:val="24"/>
        </w:rPr>
      </w:pPr>
      <w:r>
        <w:rPr>
          <w:rFonts w:eastAsia="宋体" w:cs="Times New Roman"/>
          <w:szCs w:val="24"/>
        </w:rPr>
        <w:t>支持对接护理信息系统，对全院护理新闻进行展示功能。</w:t>
      </w:r>
    </w:p>
    <w:p>
      <w:pPr>
        <w:pStyle w:val="7"/>
        <w:spacing w:before="81" w:after="81"/>
        <w:ind w:left="0"/>
        <w:rPr>
          <w:rFonts w:ascii="宋体" w:hAnsi="宋体"/>
        </w:rPr>
      </w:pPr>
      <w:r>
        <w:rPr>
          <w:rFonts w:hint="eastAsia" w:ascii="宋体" w:hAnsi="宋体"/>
        </w:rPr>
        <w:t>病区专科个性化设置</w:t>
      </w:r>
    </w:p>
    <w:p>
      <w:pPr>
        <w:spacing w:before="81" w:after="81"/>
        <w:ind w:firstLine="480"/>
        <w:rPr>
          <w:rFonts w:eastAsia="宋体" w:cs="Times New Roman"/>
          <w:szCs w:val="24"/>
        </w:rPr>
      </w:pPr>
      <w:r>
        <w:rPr>
          <w:rFonts w:eastAsia="宋体" w:cs="Times New Roman"/>
          <w:szCs w:val="24"/>
        </w:rPr>
        <w:t>具备对病区护士配置护理工作项添加、修改功能。</w:t>
      </w:r>
    </w:p>
    <w:p>
      <w:pPr>
        <w:spacing w:before="81" w:after="81"/>
        <w:ind w:firstLine="480"/>
        <w:rPr>
          <w:rFonts w:eastAsia="宋体" w:cs="Times New Roman"/>
          <w:szCs w:val="24"/>
        </w:rPr>
      </w:pPr>
      <w:r>
        <w:rPr>
          <w:rFonts w:eastAsia="宋体" w:cs="Times New Roman"/>
          <w:szCs w:val="24"/>
        </w:rPr>
        <w:t>具备对全院护理级别对应颜色修改；病区特殊关注项目修改功能。</w:t>
      </w:r>
    </w:p>
    <w:p>
      <w:pPr>
        <w:spacing w:before="81" w:after="81"/>
        <w:ind w:firstLine="480"/>
        <w:rPr>
          <w:rFonts w:eastAsia="宋体" w:cs="Times New Roman"/>
          <w:szCs w:val="24"/>
        </w:rPr>
      </w:pPr>
      <w:r>
        <w:rPr>
          <w:rFonts w:eastAsia="宋体" w:cs="Times New Roman"/>
          <w:szCs w:val="24"/>
        </w:rPr>
        <w:t>具备对大屏定时熄屏进行开关和修改时长功能。</w:t>
      </w:r>
    </w:p>
    <w:p>
      <w:pPr>
        <w:pStyle w:val="7"/>
        <w:spacing w:before="81" w:after="81"/>
        <w:ind w:left="0"/>
        <w:rPr>
          <w:rFonts w:ascii="宋体" w:hAnsi="宋体"/>
        </w:rPr>
      </w:pPr>
      <w:r>
        <w:rPr>
          <w:rFonts w:hint="eastAsia" w:ascii="宋体" w:hAnsi="宋体"/>
        </w:rPr>
        <w:t>护理工作融合分组备选清单</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具备对同类护理信息进行合并展示功能，包括常规护理、基础护理、高危评分单、测血糖、测血压、饮食、用药。</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具备对同类风险评估信息合并展示功能，包括按压力性损伤、自理、导管、跌倒不同评估项目，对患者依高、中、低风险维度进行展示。</w:t>
      </w:r>
    </w:p>
    <w:p>
      <w:pPr>
        <w:pStyle w:val="7"/>
        <w:spacing w:before="81" w:after="81"/>
        <w:ind w:left="0"/>
        <w:rPr>
          <w:rFonts w:ascii="宋体" w:hAnsi="宋体"/>
        </w:rPr>
      </w:pPr>
      <w:r>
        <w:rPr>
          <w:rFonts w:hint="eastAsia" w:ascii="宋体" w:hAnsi="宋体"/>
        </w:rPr>
        <w:t>护理工作项目清单展示</w:t>
      </w:r>
    </w:p>
    <w:p>
      <w:pPr>
        <w:spacing w:before="81" w:after="81"/>
        <w:ind w:firstLine="480"/>
        <w:rPr>
          <w:rFonts w:eastAsia="宋体" w:cs="Times New Roman"/>
          <w:szCs w:val="24"/>
        </w:rPr>
      </w:pPr>
      <w:r>
        <w:rPr>
          <w:rFonts w:eastAsia="宋体" w:cs="Times New Roman"/>
          <w:szCs w:val="24"/>
        </w:rPr>
        <w:t>支持对接护理信息系统，展示护理评估单近5次趋势图，以床位卡形式展示病区常规护理项目。</w:t>
      </w:r>
    </w:p>
    <w:p>
      <w:pPr>
        <w:spacing w:before="81" w:after="81"/>
        <w:ind w:firstLine="480"/>
        <w:rPr>
          <w:rFonts w:eastAsia="宋体" w:cs="Times New Roman"/>
          <w:szCs w:val="24"/>
        </w:rPr>
      </w:pPr>
      <w:r>
        <w:rPr>
          <w:rFonts w:eastAsia="宋体" w:cs="Times New Roman"/>
          <w:szCs w:val="24"/>
        </w:rPr>
        <w:t>支持对接住院临床信息系统，展示新入院患者首次病程录。</w:t>
      </w:r>
    </w:p>
    <w:p>
      <w:pPr>
        <w:spacing w:before="81" w:after="81"/>
        <w:ind w:firstLine="480"/>
        <w:rPr>
          <w:rFonts w:eastAsia="宋体" w:cs="Times New Roman"/>
          <w:szCs w:val="24"/>
        </w:rPr>
      </w:pPr>
      <w:r>
        <w:rPr>
          <w:rFonts w:eastAsia="宋体" w:cs="Times New Roman"/>
          <w:szCs w:val="24"/>
        </w:rPr>
        <w:t>支持对接医院信息系统，展示单个护理工作对应医嘱内容，危重患者对应护理计划。</w:t>
      </w:r>
    </w:p>
    <w:p>
      <w:pPr>
        <w:spacing w:before="81" w:after="81"/>
        <w:ind w:firstLine="480"/>
        <w:rPr>
          <w:rFonts w:eastAsia="宋体" w:cs="Times New Roman"/>
          <w:szCs w:val="24"/>
        </w:rPr>
      </w:pPr>
      <w:r>
        <w:rPr>
          <w:rFonts w:eastAsia="宋体" w:cs="Times New Roman"/>
          <w:szCs w:val="24"/>
        </w:rPr>
        <w:t>支持对接手术信息系统，对手术信息集中展示，包括手术名称、手术医生、手术室。</w:t>
      </w:r>
    </w:p>
    <w:p>
      <w:pPr>
        <w:spacing w:before="81" w:after="81"/>
        <w:ind w:firstLine="480"/>
      </w:pPr>
      <w:r>
        <w:rPr>
          <w:rFonts w:eastAsia="宋体" w:cs="Times New Roman"/>
          <w:szCs w:val="24"/>
        </w:rPr>
        <w:t>支持对接医技信息系统，对预约检查信息集中展示，包括检查名称、检查时间、检查类别信息。</w:t>
      </w:r>
    </w:p>
    <w:p>
      <w:pPr>
        <w:pStyle w:val="7"/>
        <w:spacing w:before="81" w:after="81"/>
        <w:ind w:left="0"/>
        <w:rPr>
          <w:rFonts w:ascii="宋体" w:hAnsi="宋体"/>
        </w:rPr>
      </w:pPr>
      <w:r>
        <w:rPr>
          <w:rFonts w:hint="eastAsia" w:ascii="宋体" w:hAnsi="宋体"/>
        </w:rPr>
        <w:t>数据下钻功能</w:t>
      </w:r>
    </w:p>
    <w:p>
      <w:pPr>
        <w:spacing w:before="81" w:after="81"/>
        <w:ind w:firstLine="480"/>
      </w:pPr>
      <w:r>
        <w:rPr>
          <w:rFonts w:eastAsia="宋体" w:cs="Times New Roman"/>
          <w:szCs w:val="24"/>
        </w:rPr>
        <w:t>具备电子白板展示信息下钻功能。</w:t>
      </w:r>
    </w:p>
    <w:p>
      <w:pPr>
        <w:pStyle w:val="7"/>
        <w:spacing w:before="81" w:after="81"/>
        <w:ind w:left="0"/>
        <w:rPr>
          <w:rFonts w:ascii="宋体" w:hAnsi="宋体"/>
        </w:rPr>
      </w:pPr>
      <w:r>
        <w:rPr>
          <w:rFonts w:hint="eastAsia" w:ascii="宋体" w:hAnsi="宋体"/>
        </w:rPr>
        <w:t>患者用药状态监控</w:t>
      </w:r>
    </w:p>
    <w:p>
      <w:pPr>
        <w:spacing w:before="81" w:after="81"/>
        <w:ind w:firstLine="480"/>
      </w:pPr>
      <w:r>
        <w:rPr>
          <w:rFonts w:hint="eastAsia" w:ascii="宋体" w:hAnsi="宋体"/>
          <w:bCs/>
          <w:szCs w:val="24"/>
        </w:rPr>
        <w:t>▲</w:t>
      </w:r>
      <w:r>
        <w:rPr>
          <w:rFonts w:eastAsia="宋体" w:cs="Times New Roman"/>
          <w:szCs w:val="24"/>
        </w:rPr>
        <w:t>支持对接移动护理系统，对病区患者用药频次拆分时间结果进行展示，对用药执行记录进行跟踪，并在护理大屏进行反馈。</w:t>
      </w:r>
    </w:p>
    <w:p>
      <w:pPr>
        <w:pStyle w:val="7"/>
        <w:spacing w:before="81" w:after="81"/>
        <w:ind w:left="0"/>
        <w:rPr>
          <w:rFonts w:ascii="宋体" w:hAnsi="宋体"/>
        </w:rPr>
      </w:pPr>
      <w:r>
        <w:rPr>
          <w:rFonts w:hint="eastAsia" w:ascii="宋体" w:hAnsi="宋体"/>
        </w:rPr>
        <w:t>病区床位清单</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支持对接医院信息系统，对病区床位信息进行集中展示，包含空床标记、患者姓名、性别、年龄、入区时间、诊断、责任医护、新入院、待出院标记。</w:t>
      </w:r>
    </w:p>
    <w:p>
      <w:pPr>
        <w:spacing w:before="81" w:after="81"/>
        <w:ind w:firstLine="480"/>
        <w:rPr>
          <w:rFonts w:eastAsia="宋体" w:cs="Times New Roman"/>
          <w:szCs w:val="24"/>
        </w:rPr>
      </w:pPr>
      <w:r>
        <w:rPr>
          <w:rFonts w:eastAsia="宋体" w:cs="Times New Roman"/>
          <w:szCs w:val="24"/>
        </w:rPr>
        <w:t>支持对接护理信息系统，对患者风险标记进行展示。</w:t>
      </w:r>
    </w:p>
    <w:p>
      <w:pPr>
        <w:spacing w:before="81" w:after="81"/>
        <w:ind w:firstLine="480"/>
      </w:pPr>
      <w:r>
        <w:rPr>
          <w:rFonts w:eastAsia="宋体" w:cs="Times New Roman"/>
          <w:szCs w:val="24"/>
        </w:rPr>
        <w:t>具备对床位清单内容中的风险标记、诊断信息、是否展示的配置功能。</w:t>
      </w:r>
    </w:p>
    <w:p>
      <w:pPr>
        <w:pStyle w:val="7"/>
        <w:spacing w:before="81" w:after="81"/>
        <w:ind w:left="0"/>
        <w:rPr>
          <w:rFonts w:ascii="宋体" w:hAnsi="宋体"/>
        </w:rPr>
      </w:pPr>
      <w:r>
        <w:rPr>
          <w:rFonts w:hint="eastAsia" w:ascii="宋体" w:hAnsi="宋体"/>
        </w:rPr>
        <w:t>患者护理详细信息展示</w:t>
      </w:r>
    </w:p>
    <w:p>
      <w:pPr>
        <w:spacing w:before="81" w:after="81"/>
        <w:ind w:firstLine="480"/>
        <w:rPr>
          <w:rFonts w:eastAsia="宋体" w:cs="Times New Roman"/>
          <w:szCs w:val="24"/>
        </w:rPr>
      </w:pPr>
      <w:r>
        <w:rPr>
          <w:rFonts w:eastAsia="宋体" w:cs="Times New Roman"/>
          <w:szCs w:val="24"/>
        </w:rPr>
        <w:t>支持对接医院信息系统，对患者姓名、性别、年龄、入区时间、责任医护、诊断、近期医嘱进行展示。</w:t>
      </w:r>
    </w:p>
    <w:p>
      <w:pPr>
        <w:spacing w:before="81" w:after="81"/>
        <w:ind w:firstLine="480"/>
        <w:rPr>
          <w:rFonts w:eastAsia="宋体" w:cs="Times New Roman"/>
          <w:szCs w:val="24"/>
        </w:rPr>
      </w:pPr>
      <w:r>
        <w:rPr>
          <w:rFonts w:eastAsia="宋体" w:cs="Times New Roman"/>
          <w:szCs w:val="24"/>
        </w:rPr>
        <w:t>支持对接移动护理系统，对患者当日药品、检验、治疗医嘱执行信息进行展示。</w:t>
      </w:r>
    </w:p>
    <w:p>
      <w:pPr>
        <w:spacing w:before="81" w:after="81"/>
        <w:ind w:firstLine="480"/>
        <w:rPr>
          <w:rFonts w:eastAsia="宋体" w:cs="Times New Roman"/>
          <w:szCs w:val="24"/>
        </w:rPr>
      </w:pPr>
      <w:r>
        <w:rPr>
          <w:rFonts w:eastAsia="宋体" w:cs="Times New Roman"/>
          <w:szCs w:val="24"/>
        </w:rPr>
        <w:t>支持对接护理信息系统，对患者最新体征信息、护理计划、高危评估单分值及趋势进行展示。</w:t>
      </w:r>
    </w:p>
    <w:p>
      <w:pPr>
        <w:spacing w:before="81" w:after="81"/>
        <w:ind w:firstLine="480"/>
        <w:rPr>
          <w:rFonts w:eastAsia="宋体" w:cs="Times New Roman"/>
          <w:szCs w:val="24"/>
        </w:rPr>
      </w:pPr>
      <w:r>
        <w:rPr>
          <w:rFonts w:eastAsia="宋体" w:cs="Times New Roman"/>
          <w:szCs w:val="24"/>
        </w:rPr>
        <w:t>具备录入、展示患者备忘信息功能。</w:t>
      </w:r>
    </w:p>
    <w:p>
      <w:pPr>
        <w:spacing w:before="81" w:after="81"/>
        <w:ind w:firstLine="480"/>
      </w:pPr>
      <w:r>
        <w:rPr>
          <w:rFonts w:eastAsia="宋体" w:cs="Times New Roman"/>
          <w:szCs w:val="24"/>
        </w:rPr>
        <w:t>具体对病区电子白板模块中与该患者相关的内容展示功能。</w:t>
      </w:r>
    </w:p>
    <w:p>
      <w:pPr>
        <w:pStyle w:val="7"/>
        <w:spacing w:before="81" w:after="81"/>
        <w:ind w:left="0"/>
        <w:rPr>
          <w:rFonts w:ascii="宋体" w:hAnsi="宋体"/>
        </w:rPr>
      </w:pPr>
      <w:r>
        <w:rPr>
          <w:rFonts w:hint="eastAsia" w:ascii="宋体" w:hAnsi="宋体"/>
        </w:rPr>
        <w:t>辅助交班</w:t>
      </w:r>
    </w:p>
    <w:p>
      <w:pPr>
        <w:spacing w:before="81" w:after="81"/>
        <w:ind w:left="480" w:leftChars="200" w:firstLine="0" w:firstLineChars="0"/>
        <w:rPr>
          <w:rFonts w:eastAsia="宋体" w:cs="Times New Roman"/>
          <w:iCs/>
          <w:szCs w:val="24"/>
        </w:rPr>
      </w:pPr>
      <w:r>
        <w:rPr>
          <w:rFonts w:hint="eastAsia" w:eastAsia="宋体" w:cs="Times New Roman"/>
          <w:iCs/>
          <w:szCs w:val="24"/>
        </w:rPr>
        <w:t>（1）</w:t>
      </w:r>
      <w:r>
        <w:rPr>
          <w:rFonts w:eastAsia="宋体" w:cs="Times New Roman"/>
          <w:iCs/>
          <w:szCs w:val="24"/>
        </w:rPr>
        <w:t>病区人数变动</w:t>
      </w:r>
    </w:p>
    <w:p>
      <w:pPr>
        <w:spacing w:before="81" w:after="81"/>
        <w:ind w:firstLine="480"/>
        <w:rPr>
          <w:rFonts w:eastAsia="宋体" w:cs="Times New Roman"/>
          <w:szCs w:val="24"/>
        </w:rPr>
      </w:pPr>
      <w:r>
        <w:rPr>
          <w:rFonts w:eastAsia="宋体" w:cs="Times New Roman"/>
          <w:szCs w:val="24"/>
        </w:rPr>
        <w:t>支持对接护理信息系统，对病区护理班次中原有人数/现有人数进行展示。</w:t>
      </w:r>
    </w:p>
    <w:p>
      <w:pPr>
        <w:spacing w:before="81" w:after="81"/>
        <w:ind w:firstLine="480"/>
        <w:rPr>
          <w:rFonts w:eastAsia="宋体" w:cs="Times New Roman"/>
          <w:szCs w:val="24"/>
        </w:rPr>
      </w:pPr>
      <w:r>
        <w:rPr>
          <w:rFonts w:eastAsia="宋体" w:cs="Times New Roman"/>
          <w:szCs w:val="24"/>
        </w:rPr>
        <w:t>具备对多个班次信息同时展示功能。</w:t>
      </w:r>
    </w:p>
    <w:p>
      <w:pPr>
        <w:spacing w:before="81" w:after="81"/>
        <w:ind w:left="480" w:leftChars="200" w:firstLine="0" w:firstLineChars="0"/>
        <w:rPr>
          <w:rFonts w:eastAsia="宋体" w:cs="Times New Roman"/>
          <w:iCs/>
          <w:szCs w:val="24"/>
        </w:rPr>
      </w:pPr>
      <w:r>
        <w:rPr>
          <w:rFonts w:hint="eastAsia" w:eastAsia="宋体" w:cs="Times New Roman"/>
          <w:iCs/>
          <w:szCs w:val="24"/>
        </w:rPr>
        <w:t>（2）</w:t>
      </w:r>
      <w:r>
        <w:rPr>
          <w:rFonts w:eastAsia="宋体" w:cs="Times New Roman"/>
          <w:iCs/>
          <w:szCs w:val="24"/>
        </w:rPr>
        <w:t>病区交班类别</w:t>
      </w:r>
    </w:p>
    <w:p>
      <w:pPr>
        <w:pStyle w:val="14"/>
        <w:spacing w:before="81" w:after="81"/>
        <w:ind w:left="206" w:leftChars="86" w:firstLine="240" w:firstLineChars="100"/>
      </w:pPr>
      <w:r>
        <w:rPr>
          <w:sz w:val="24"/>
          <w:szCs w:val="24"/>
        </w:rPr>
        <w:t>支持对接护理信息系统，对护士填写的普通交班与SBAR交班的内容进行展示的功能</w:t>
      </w:r>
      <w:r>
        <w:rPr>
          <w:szCs w:val="24"/>
        </w:rPr>
        <w:t>。</w:t>
      </w:r>
    </w:p>
    <w:p>
      <w:pPr>
        <w:spacing w:before="81" w:after="81"/>
        <w:ind w:firstLine="480"/>
        <w:rPr>
          <w:rFonts w:eastAsia="宋体" w:cs="Times New Roman"/>
          <w:szCs w:val="24"/>
        </w:rPr>
      </w:pPr>
      <w:r>
        <w:rPr>
          <w:rFonts w:eastAsia="宋体" w:cs="Times New Roman"/>
          <w:szCs w:val="24"/>
        </w:rPr>
        <w:t>具备对交班类别下多条床位进行快捷定位功能。</w:t>
      </w:r>
    </w:p>
    <w:p>
      <w:pPr>
        <w:spacing w:before="81" w:after="81"/>
        <w:ind w:firstLine="480"/>
        <w:rPr>
          <w:rFonts w:eastAsia="宋体" w:cs="Times New Roman"/>
          <w:szCs w:val="24"/>
        </w:rPr>
      </w:pPr>
      <w:r>
        <w:rPr>
          <w:rFonts w:eastAsia="宋体" w:cs="Times New Roman"/>
          <w:szCs w:val="24"/>
        </w:rPr>
        <w:t>具备对交班类别下患者数量展示功能。</w:t>
      </w:r>
    </w:p>
    <w:p>
      <w:pPr>
        <w:spacing w:before="81" w:after="81"/>
        <w:ind w:left="480" w:leftChars="200" w:firstLine="0" w:firstLineChars="0"/>
        <w:rPr>
          <w:rFonts w:eastAsia="宋体" w:cs="Times New Roman"/>
          <w:iCs/>
          <w:szCs w:val="24"/>
        </w:rPr>
      </w:pPr>
      <w:r>
        <w:rPr>
          <w:rFonts w:hint="eastAsia" w:eastAsia="宋体" w:cs="Times New Roman"/>
          <w:iCs/>
          <w:szCs w:val="24"/>
        </w:rPr>
        <w:t>（3）</w:t>
      </w:r>
      <w:r>
        <w:rPr>
          <w:rFonts w:eastAsia="宋体" w:cs="Times New Roman"/>
          <w:iCs/>
          <w:szCs w:val="24"/>
        </w:rPr>
        <w:t>患者交班内容展示</w:t>
      </w:r>
    </w:p>
    <w:p>
      <w:pPr>
        <w:spacing w:before="81" w:after="81"/>
        <w:ind w:firstLine="480"/>
        <w:rPr>
          <w:rFonts w:eastAsia="宋体" w:cs="Times New Roman"/>
          <w:szCs w:val="24"/>
        </w:rPr>
      </w:pPr>
      <w:r>
        <w:rPr>
          <w:rFonts w:eastAsia="宋体" w:cs="Times New Roman"/>
          <w:szCs w:val="24"/>
        </w:rPr>
        <w:t>支持对接护理信息系统，对护士填写的交班内容进行展示。</w:t>
      </w:r>
    </w:p>
    <w:p>
      <w:pPr>
        <w:spacing w:before="81" w:after="81"/>
        <w:ind w:firstLine="480"/>
        <w:rPr>
          <w:rFonts w:eastAsia="宋体" w:cs="Times New Roman"/>
          <w:szCs w:val="24"/>
        </w:rPr>
      </w:pPr>
      <w:r>
        <w:rPr>
          <w:rFonts w:eastAsia="宋体" w:cs="Times New Roman"/>
          <w:szCs w:val="24"/>
        </w:rPr>
        <w:t>具备对单个患者多条交班记录同时展示功能。</w:t>
      </w:r>
    </w:p>
    <w:p>
      <w:pPr>
        <w:spacing w:before="81" w:after="81"/>
        <w:ind w:firstLine="480"/>
      </w:pPr>
      <w:r>
        <w:rPr>
          <w:rFonts w:eastAsia="宋体" w:cs="Times New Roman"/>
          <w:szCs w:val="24"/>
        </w:rPr>
        <w:t>具备对页面展示内容进行字号快捷放大缩小功能。</w:t>
      </w:r>
    </w:p>
    <w:p>
      <w:pPr>
        <w:pStyle w:val="7"/>
        <w:spacing w:before="81" w:after="81"/>
        <w:ind w:left="0"/>
        <w:rPr>
          <w:rFonts w:ascii="宋体" w:hAnsi="宋体"/>
        </w:rPr>
      </w:pPr>
      <w:r>
        <w:rPr>
          <w:rFonts w:hint="eastAsia" w:ascii="宋体" w:hAnsi="宋体"/>
        </w:rPr>
        <w:t>电子白板多样组件</w:t>
      </w:r>
    </w:p>
    <w:p>
      <w:pPr>
        <w:spacing w:before="81" w:after="81"/>
        <w:ind w:firstLine="480"/>
      </w:pPr>
      <w:r>
        <w:rPr>
          <w:rFonts w:hint="eastAsia"/>
        </w:rPr>
        <w:t>支持</w:t>
      </w:r>
      <w:r>
        <w:t>护理大屏电子白板页面提供更多的组件，供不同的病区选择展示</w:t>
      </w:r>
      <w:r>
        <w:rPr>
          <w:rFonts w:hint="eastAsia"/>
        </w:rPr>
        <w:t>；</w:t>
      </w:r>
    </w:p>
    <w:p>
      <w:pPr>
        <w:pStyle w:val="37"/>
        <w:snapToGrid w:val="0"/>
        <w:spacing w:before="81" w:after="81" w:line="360" w:lineRule="auto"/>
        <w:ind w:left="420" w:firstLine="0" w:firstLineChars="0"/>
        <w:rPr>
          <w:sz w:val="24"/>
          <w:szCs w:val="24"/>
          <w:lang w:eastAsia="zh-CN"/>
        </w:rPr>
      </w:pPr>
      <w:r>
        <w:rPr>
          <w:rFonts w:hint="eastAsia"/>
          <w:sz w:val="24"/>
          <w:szCs w:val="24"/>
          <w:lang w:eastAsia="zh-CN"/>
        </w:rPr>
        <w:t>支持</w:t>
      </w:r>
      <w:r>
        <w:rPr>
          <w:sz w:val="24"/>
          <w:szCs w:val="24"/>
          <w:lang w:eastAsia="zh-CN"/>
        </w:rPr>
        <w:t>页面中，病区备忘录查看和修改的功能</w:t>
      </w:r>
      <w:r>
        <w:rPr>
          <w:rFonts w:hint="eastAsia"/>
          <w:sz w:val="24"/>
          <w:szCs w:val="24"/>
          <w:lang w:eastAsia="zh-CN"/>
        </w:rPr>
        <w:t>；</w:t>
      </w:r>
    </w:p>
    <w:p>
      <w:pPr>
        <w:pStyle w:val="37"/>
        <w:snapToGrid w:val="0"/>
        <w:spacing w:before="81" w:after="81" w:line="360" w:lineRule="auto"/>
        <w:ind w:left="420" w:firstLine="0" w:firstLineChars="0"/>
        <w:rPr>
          <w:sz w:val="24"/>
          <w:szCs w:val="24"/>
          <w:lang w:eastAsia="zh-CN"/>
        </w:rPr>
      </w:pPr>
      <w:r>
        <w:rPr>
          <w:rFonts w:hint="eastAsia"/>
          <w:sz w:val="24"/>
          <w:szCs w:val="24"/>
          <w:lang w:eastAsia="zh-CN"/>
        </w:rPr>
        <w:t>支持</w:t>
      </w:r>
      <w:r>
        <w:rPr>
          <w:sz w:val="24"/>
          <w:szCs w:val="24"/>
          <w:lang w:eastAsia="zh-CN"/>
        </w:rPr>
        <w:t>查看和修改的值班信息内容</w:t>
      </w:r>
      <w:r>
        <w:rPr>
          <w:rFonts w:hint="eastAsia"/>
          <w:sz w:val="24"/>
          <w:szCs w:val="24"/>
          <w:lang w:eastAsia="zh-CN"/>
        </w:rPr>
        <w:t>；</w:t>
      </w:r>
    </w:p>
    <w:p>
      <w:pPr>
        <w:pStyle w:val="37"/>
        <w:snapToGrid w:val="0"/>
        <w:spacing w:before="81" w:after="81" w:line="360" w:lineRule="auto"/>
        <w:ind w:left="420" w:firstLine="0" w:firstLineChars="0"/>
        <w:rPr>
          <w:sz w:val="24"/>
          <w:szCs w:val="24"/>
          <w:lang w:eastAsia="zh-CN"/>
        </w:rPr>
      </w:pPr>
      <w:r>
        <w:rPr>
          <w:rFonts w:hint="eastAsia"/>
          <w:sz w:val="24"/>
          <w:szCs w:val="24"/>
          <w:lang w:eastAsia="zh-CN"/>
        </w:rPr>
        <w:t>支持</w:t>
      </w:r>
      <w:r>
        <w:rPr>
          <w:sz w:val="24"/>
          <w:szCs w:val="24"/>
          <w:lang w:eastAsia="zh-CN"/>
        </w:rPr>
        <w:t>查看今日班次的内容</w:t>
      </w:r>
      <w:r>
        <w:rPr>
          <w:rFonts w:hint="eastAsia"/>
          <w:sz w:val="24"/>
          <w:szCs w:val="24"/>
          <w:lang w:eastAsia="zh-CN"/>
        </w:rPr>
        <w:t>；</w:t>
      </w:r>
    </w:p>
    <w:p>
      <w:pPr>
        <w:pStyle w:val="37"/>
        <w:snapToGrid w:val="0"/>
        <w:spacing w:before="81" w:after="81" w:line="360" w:lineRule="auto"/>
        <w:ind w:left="420" w:firstLine="0" w:firstLineChars="0"/>
        <w:rPr>
          <w:sz w:val="24"/>
          <w:szCs w:val="24"/>
          <w:lang w:eastAsia="zh-CN"/>
        </w:rPr>
      </w:pPr>
      <w:r>
        <w:rPr>
          <w:rFonts w:hint="eastAsia"/>
          <w:sz w:val="24"/>
          <w:szCs w:val="24"/>
          <w:lang w:eastAsia="zh-CN"/>
        </w:rPr>
        <w:t>支持</w:t>
      </w:r>
      <w:r>
        <w:rPr>
          <w:sz w:val="24"/>
          <w:szCs w:val="24"/>
          <w:lang w:eastAsia="zh-CN"/>
        </w:rPr>
        <w:t>查看预约手术的内容，包括手术室 、手术医生、手术名称等</w:t>
      </w:r>
      <w:r>
        <w:rPr>
          <w:rFonts w:hint="eastAsia"/>
          <w:sz w:val="24"/>
          <w:szCs w:val="24"/>
          <w:lang w:eastAsia="zh-CN"/>
        </w:rPr>
        <w:t>；</w:t>
      </w:r>
    </w:p>
    <w:p>
      <w:pPr>
        <w:pStyle w:val="37"/>
        <w:snapToGrid w:val="0"/>
        <w:spacing w:before="81" w:after="81" w:line="360" w:lineRule="auto"/>
        <w:ind w:left="420" w:firstLine="0" w:firstLineChars="0"/>
        <w:rPr>
          <w:sz w:val="24"/>
          <w:szCs w:val="24"/>
          <w:lang w:eastAsia="zh-CN"/>
        </w:rPr>
      </w:pPr>
      <w:r>
        <w:rPr>
          <w:rFonts w:hint="eastAsia"/>
          <w:sz w:val="24"/>
          <w:szCs w:val="24"/>
          <w:lang w:eastAsia="zh-CN"/>
        </w:rPr>
        <w:t>支持</w:t>
      </w:r>
      <w:r>
        <w:rPr>
          <w:sz w:val="24"/>
          <w:szCs w:val="24"/>
          <w:lang w:eastAsia="zh-CN"/>
        </w:rPr>
        <w:t>查看预约检查的内容，包括检查项目、预约时间等</w:t>
      </w:r>
      <w:r>
        <w:rPr>
          <w:rFonts w:hint="eastAsia"/>
          <w:sz w:val="24"/>
          <w:szCs w:val="24"/>
          <w:lang w:eastAsia="zh-CN"/>
        </w:rPr>
        <w:t>；</w:t>
      </w:r>
    </w:p>
    <w:p>
      <w:pPr>
        <w:pStyle w:val="37"/>
        <w:snapToGrid w:val="0"/>
        <w:spacing w:before="81" w:after="81" w:line="360" w:lineRule="auto"/>
        <w:ind w:left="420" w:firstLine="0" w:firstLineChars="0"/>
        <w:rPr>
          <w:lang w:eastAsia="zh-CN"/>
        </w:rPr>
      </w:pPr>
      <w:r>
        <w:rPr>
          <w:rFonts w:hint="eastAsia"/>
          <w:sz w:val="24"/>
          <w:szCs w:val="24"/>
          <w:lang w:eastAsia="zh-CN"/>
        </w:rPr>
        <w:t>支持</w:t>
      </w:r>
      <w:r>
        <w:rPr>
          <w:sz w:val="24"/>
          <w:szCs w:val="24"/>
          <w:lang w:eastAsia="zh-CN"/>
        </w:rPr>
        <w:t>手动维护病区导管、压疮、跌倒等护理工作的安全日历。</w:t>
      </w:r>
    </w:p>
    <w:p>
      <w:pPr>
        <w:pStyle w:val="7"/>
        <w:spacing w:before="81" w:after="81"/>
        <w:ind w:left="0"/>
        <w:rPr>
          <w:rFonts w:ascii="宋体" w:hAnsi="宋体"/>
        </w:rPr>
      </w:pPr>
      <w:r>
        <w:rPr>
          <w:rFonts w:hint="eastAsia" w:ascii="宋体" w:hAnsi="宋体"/>
        </w:rPr>
        <w:t>综合提醒</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支持危急值提醒，可将医技发布的对应病区危急值信息进行大屏报警；</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支持患者出院、入院、转入、转出等信息提醒；</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支持压疮、导管、跌倒评分单的高危数据提醒；</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支持新医嘱产生提醒；</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支持智慧病区硬件提醒内容：包括手环中的患者位置提醒，患者体征提醒，输液监控仪的输液异常提醒，输液结束提醒，环境温度监控仪的温湿度数值展示等；</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支持实时呼叫铃提醒，可展示患者床头呼叫的提醒；</w:t>
      </w:r>
    </w:p>
    <w:p>
      <w:pPr>
        <w:pStyle w:val="37"/>
        <w:snapToGrid w:val="0"/>
        <w:spacing w:before="81" w:after="81" w:line="360" w:lineRule="auto"/>
        <w:ind w:firstLine="480"/>
        <w:rPr>
          <w:rFonts w:eastAsia="宋体" w:cs="Times New Roman"/>
          <w:kern w:val="2"/>
          <w:sz w:val="24"/>
          <w:szCs w:val="24"/>
          <w:lang w:eastAsia="zh-CN"/>
        </w:rPr>
      </w:pPr>
      <w:r>
        <w:rPr>
          <w:rFonts w:hint="eastAsia" w:eastAsia="宋体" w:cs="Times New Roman"/>
          <w:kern w:val="2"/>
          <w:sz w:val="24"/>
          <w:szCs w:val="24"/>
          <w:lang w:eastAsia="zh-CN"/>
        </w:rPr>
        <w:t>支持查看24小时内所有提醒的功能。</w:t>
      </w:r>
    </w:p>
    <w:p>
      <w:pPr>
        <w:pStyle w:val="7"/>
        <w:spacing w:before="81" w:after="81"/>
        <w:ind w:left="0"/>
        <w:rPr>
          <w:rFonts w:ascii="宋体" w:hAnsi="宋体"/>
        </w:rPr>
      </w:pPr>
      <w:r>
        <w:rPr>
          <w:rFonts w:hint="eastAsia" w:ascii="宋体" w:hAnsi="宋体"/>
        </w:rPr>
        <w:t>护理人员排班动态</w:t>
      </w:r>
    </w:p>
    <w:p>
      <w:pPr>
        <w:spacing w:before="81" w:after="81"/>
        <w:ind w:left="480" w:leftChars="200" w:firstLine="0" w:firstLineChars="0"/>
        <w:rPr>
          <w:rFonts w:eastAsia="宋体" w:cs="Times New Roman"/>
          <w:szCs w:val="24"/>
        </w:rPr>
      </w:pPr>
      <w:r>
        <w:rPr>
          <w:rFonts w:hint="eastAsia" w:eastAsia="宋体" w:cs="Times New Roman"/>
          <w:iCs/>
          <w:szCs w:val="24"/>
        </w:rPr>
        <w:t>（1）</w:t>
      </w:r>
      <w:r>
        <w:rPr>
          <w:rFonts w:eastAsia="宋体" w:cs="Times New Roman"/>
          <w:iCs/>
          <w:szCs w:val="24"/>
        </w:rPr>
        <w:t>排班信息展示</w:t>
      </w:r>
    </w:p>
    <w:p>
      <w:pPr>
        <w:spacing w:before="81" w:after="81"/>
        <w:ind w:firstLine="480"/>
        <w:rPr>
          <w:rFonts w:eastAsia="宋体" w:cs="Times New Roman"/>
          <w:szCs w:val="24"/>
        </w:rPr>
      </w:pPr>
      <w:r>
        <w:rPr>
          <w:rFonts w:eastAsia="宋体" w:cs="Times New Roman"/>
          <w:szCs w:val="24"/>
        </w:rPr>
        <w:t>支持对接护理信息系统，对昨日、今日、明日班次内容，护士分管床位进行展示。</w:t>
      </w:r>
    </w:p>
    <w:p>
      <w:pPr>
        <w:spacing w:before="81" w:after="81"/>
        <w:ind w:firstLine="480"/>
        <w:rPr>
          <w:rFonts w:eastAsia="宋体" w:cs="Times New Roman"/>
          <w:szCs w:val="24"/>
        </w:rPr>
      </w:pPr>
      <w:r>
        <w:rPr>
          <w:rFonts w:eastAsia="宋体" w:cs="Times New Roman"/>
          <w:szCs w:val="24"/>
        </w:rPr>
        <w:t>具备当前时间所在班次高亮突显功能。</w:t>
      </w:r>
    </w:p>
    <w:p>
      <w:pPr>
        <w:spacing w:before="81" w:after="81"/>
        <w:ind w:firstLine="480"/>
        <w:rPr>
          <w:rFonts w:eastAsia="宋体" w:cs="Times New Roman"/>
          <w:szCs w:val="24"/>
        </w:rPr>
      </w:pPr>
      <w:r>
        <w:rPr>
          <w:rFonts w:eastAsia="宋体" w:cs="Times New Roman"/>
          <w:szCs w:val="24"/>
        </w:rPr>
        <w:t>具备对分管床位中，关注的重点患者类别进行配置与展示功能。</w:t>
      </w:r>
    </w:p>
    <w:p>
      <w:pPr>
        <w:spacing w:before="81" w:after="81"/>
        <w:ind w:left="480" w:leftChars="200" w:firstLine="0" w:firstLineChars="0"/>
        <w:rPr>
          <w:rFonts w:eastAsia="宋体" w:cs="Times New Roman"/>
          <w:szCs w:val="24"/>
        </w:rPr>
      </w:pPr>
      <w:r>
        <w:rPr>
          <w:rFonts w:hint="eastAsia" w:eastAsia="宋体" w:cs="Times New Roman"/>
          <w:iCs/>
          <w:szCs w:val="24"/>
        </w:rPr>
        <w:t>（2）</w:t>
      </w:r>
      <w:r>
        <w:rPr>
          <w:rFonts w:eastAsia="宋体" w:cs="Times New Roman"/>
          <w:iCs/>
          <w:szCs w:val="24"/>
        </w:rPr>
        <w:t>值班医护信息</w:t>
      </w:r>
    </w:p>
    <w:p>
      <w:pPr>
        <w:spacing w:before="81" w:after="81"/>
        <w:ind w:firstLine="480"/>
      </w:pPr>
      <w:r>
        <w:rPr>
          <w:rFonts w:eastAsia="宋体" w:cs="Times New Roman"/>
          <w:szCs w:val="24"/>
        </w:rPr>
        <w:t>具备对值班医护人员信息进行手动维护功能。</w:t>
      </w:r>
    </w:p>
    <w:p>
      <w:pPr>
        <w:pStyle w:val="6"/>
        <w:spacing w:before="81" w:after="81"/>
        <w:ind w:left="0"/>
      </w:pPr>
      <w:r>
        <w:rPr>
          <w:rFonts w:hint="eastAsia"/>
        </w:rPr>
        <w:t>急诊管理系统</w:t>
      </w:r>
    </w:p>
    <w:p>
      <w:pPr>
        <w:pStyle w:val="7"/>
        <w:spacing w:before="81" w:after="81"/>
        <w:ind w:left="0"/>
        <w:rPr>
          <w:rFonts w:ascii="宋体" w:hAnsi="宋体"/>
        </w:rPr>
      </w:pPr>
      <w:r>
        <w:rPr>
          <w:rFonts w:hint="eastAsia" w:ascii="宋体" w:hAnsi="宋体"/>
        </w:rPr>
        <w:t>一体化工作台</w:t>
      </w:r>
    </w:p>
    <w:p>
      <w:pPr>
        <w:spacing w:before="81" w:after="81"/>
        <w:ind w:firstLine="480"/>
        <w:rPr>
          <w:rFonts w:eastAsia="宋体" w:cs="Times New Roman"/>
          <w:szCs w:val="24"/>
        </w:rPr>
      </w:pPr>
      <w:r>
        <w:rPr>
          <w:rFonts w:eastAsia="宋体" w:cs="Times New Roman"/>
          <w:szCs w:val="24"/>
        </w:rPr>
        <w:t>支持各子系统集成在一个界面，包括：预检分诊、医生工作站</w:t>
      </w:r>
      <w:r>
        <w:rPr>
          <w:rFonts w:hint="eastAsia" w:eastAsia="宋体" w:cs="Times New Roman"/>
          <w:szCs w:val="24"/>
        </w:rPr>
        <w:t>（</w:t>
      </w:r>
      <w:r>
        <w:rPr>
          <w:rFonts w:eastAsia="宋体" w:cs="Times New Roman"/>
          <w:szCs w:val="24"/>
        </w:rPr>
        <w:t>抢救/留观</w:t>
      </w:r>
      <w:r>
        <w:rPr>
          <w:rFonts w:hint="eastAsia" w:eastAsia="宋体" w:cs="Times New Roman"/>
          <w:szCs w:val="24"/>
        </w:rPr>
        <w:t>）</w:t>
      </w:r>
      <w:r>
        <w:rPr>
          <w:rFonts w:eastAsia="宋体" w:cs="Times New Roman"/>
          <w:szCs w:val="24"/>
        </w:rPr>
        <w:t>、护士工作站</w:t>
      </w:r>
      <w:r>
        <w:rPr>
          <w:rFonts w:hint="eastAsia" w:eastAsia="宋体" w:cs="Times New Roman"/>
          <w:szCs w:val="24"/>
        </w:rPr>
        <w:t>（</w:t>
      </w:r>
      <w:r>
        <w:rPr>
          <w:rFonts w:eastAsia="宋体" w:cs="Times New Roman"/>
          <w:szCs w:val="24"/>
        </w:rPr>
        <w:t>抢救/留观</w:t>
      </w:r>
      <w:r>
        <w:rPr>
          <w:rFonts w:hint="eastAsia" w:eastAsia="宋体" w:cs="Times New Roman"/>
          <w:szCs w:val="24"/>
        </w:rPr>
        <w:t>）</w:t>
      </w:r>
      <w:r>
        <w:rPr>
          <w:rFonts w:eastAsia="宋体" w:cs="Times New Roman"/>
          <w:szCs w:val="24"/>
        </w:rPr>
        <w:t>、急诊电子病历。</w:t>
      </w:r>
    </w:p>
    <w:p>
      <w:pPr>
        <w:spacing w:before="81" w:after="81"/>
        <w:ind w:firstLine="480"/>
        <w:rPr>
          <w:rFonts w:eastAsia="宋体" w:cs="Times New Roman"/>
          <w:szCs w:val="24"/>
        </w:rPr>
      </w:pPr>
      <w:r>
        <w:rPr>
          <w:rFonts w:eastAsia="宋体" w:cs="Times New Roman"/>
          <w:szCs w:val="24"/>
        </w:rPr>
        <w:t>支持权限管理：可限制不同角色对应不同的操作权限。提供归培生的管理方案。</w:t>
      </w:r>
    </w:p>
    <w:p>
      <w:pPr>
        <w:spacing w:before="81" w:after="81"/>
        <w:ind w:firstLine="480"/>
        <w:rPr>
          <w:rFonts w:eastAsia="宋体" w:cs="Times New Roman"/>
          <w:szCs w:val="24"/>
        </w:rPr>
      </w:pPr>
      <w:r>
        <w:rPr>
          <w:rFonts w:eastAsia="宋体" w:cs="Times New Roman"/>
          <w:szCs w:val="24"/>
        </w:rPr>
        <w:t>支持危急值提醒，包括：实时消息同步提醒、未执行医嘱提醒、危急值提醒、质控提醒。</w:t>
      </w:r>
    </w:p>
    <w:p>
      <w:pPr>
        <w:spacing w:before="81" w:after="81"/>
        <w:ind w:firstLine="480"/>
        <w:rPr>
          <w:rFonts w:eastAsia="宋体" w:cs="Times New Roman"/>
          <w:szCs w:val="24"/>
        </w:rPr>
      </w:pPr>
      <w:r>
        <w:rPr>
          <w:rFonts w:eastAsia="宋体" w:cs="Times New Roman"/>
          <w:szCs w:val="24"/>
        </w:rPr>
        <w:t>支持全院临床数据集成，支持多学科数据共享。</w:t>
      </w:r>
    </w:p>
    <w:p>
      <w:pPr>
        <w:pStyle w:val="7"/>
        <w:spacing w:before="81" w:after="81"/>
        <w:ind w:left="0"/>
        <w:rPr>
          <w:rFonts w:ascii="宋体" w:hAnsi="宋体"/>
        </w:rPr>
      </w:pPr>
      <w:r>
        <w:rPr>
          <w:rFonts w:hint="eastAsia" w:ascii="宋体" w:hAnsi="宋体"/>
        </w:rPr>
        <w:t>预检分诊</w:t>
      </w:r>
    </w:p>
    <w:p>
      <w:pPr>
        <w:pStyle w:val="8"/>
        <w:spacing w:before="81" w:after="81"/>
        <w:ind w:left="0"/>
        <w:rPr>
          <w:rFonts w:ascii="宋体" w:hAnsi="宋体"/>
          <w:szCs w:val="28"/>
        </w:rPr>
      </w:pPr>
      <w:r>
        <w:rPr>
          <w:rFonts w:hint="eastAsia" w:ascii="宋体" w:hAnsi="宋体"/>
          <w:szCs w:val="28"/>
        </w:rPr>
        <w:t>预检登记</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具备读身份证、就诊卡、医保卡、电子医保卡、电子凭证快速获取患者基本信息功能。</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具备完善患者基本信息功能；支持与HIS系统对接，实现患者档案信息完善功能；同时支持患者身份信息、发病时间、来院方式、主诉等内容的手工录入功能。</w:t>
      </w:r>
    </w:p>
    <w:p>
      <w:pPr>
        <w:spacing w:before="81" w:after="81"/>
        <w:ind w:firstLine="480"/>
        <w:rPr>
          <w:rFonts w:eastAsia="宋体" w:cs="Times New Roman"/>
          <w:szCs w:val="24"/>
        </w:rPr>
      </w:pPr>
      <w:r>
        <w:rPr>
          <w:rFonts w:eastAsia="宋体" w:cs="Times New Roman"/>
          <w:szCs w:val="24"/>
        </w:rPr>
        <w:t>具备三无患者快速登记功能。</w:t>
      </w:r>
    </w:p>
    <w:p>
      <w:pPr>
        <w:spacing w:before="81" w:after="81"/>
        <w:ind w:firstLine="480"/>
        <w:rPr>
          <w:rFonts w:eastAsia="宋体" w:cs="Times New Roman"/>
          <w:szCs w:val="24"/>
        </w:rPr>
      </w:pPr>
      <w:r>
        <w:rPr>
          <w:rFonts w:eastAsia="宋体" w:cs="Times New Roman"/>
          <w:szCs w:val="24"/>
        </w:rPr>
        <w:t>具备首次就诊患者建档功能。</w:t>
      </w:r>
    </w:p>
    <w:p>
      <w:pPr>
        <w:spacing w:before="81" w:after="81"/>
        <w:ind w:firstLine="480"/>
        <w:rPr>
          <w:rFonts w:eastAsia="宋体" w:cs="Times New Roman"/>
          <w:szCs w:val="24"/>
        </w:rPr>
      </w:pPr>
      <w:r>
        <w:rPr>
          <w:rFonts w:eastAsia="宋体" w:cs="Times New Roman"/>
          <w:szCs w:val="24"/>
        </w:rPr>
        <w:t>具备患者分诊去向管理功能。</w:t>
      </w:r>
    </w:p>
    <w:p>
      <w:pPr>
        <w:spacing w:before="81" w:after="81"/>
        <w:ind w:firstLine="480"/>
        <w:rPr>
          <w:rFonts w:eastAsia="宋体" w:cs="Times New Roman"/>
          <w:szCs w:val="24"/>
        </w:rPr>
      </w:pPr>
      <w:r>
        <w:rPr>
          <w:rFonts w:eastAsia="宋体" w:cs="Times New Roman"/>
          <w:szCs w:val="24"/>
        </w:rPr>
        <w:t>具备记录即时检验POCT、过敏史、流行病史等信息功能。</w:t>
      </w:r>
    </w:p>
    <w:p>
      <w:pPr>
        <w:pStyle w:val="8"/>
        <w:spacing w:before="81" w:after="81"/>
        <w:ind w:left="0"/>
        <w:rPr>
          <w:rFonts w:ascii="宋体" w:hAnsi="宋体"/>
          <w:szCs w:val="28"/>
        </w:rPr>
      </w:pPr>
      <w:r>
        <w:rPr>
          <w:rFonts w:hint="eastAsia" w:ascii="宋体" w:hAnsi="宋体"/>
          <w:szCs w:val="28"/>
        </w:rPr>
        <w:t>患者分级</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具备通过疼痛、创伤、GCS、REMS、MEWS、START、TSI多种评分对患者进行评估分级功能。</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具备预检护士人工干预分级功能，具备快速录入分级调整理由的功能。</w:t>
      </w:r>
    </w:p>
    <w:p>
      <w:pPr>
        <w:spacing w:before="81" w:after="81"/>
        <w:ind w:firstLine="480"/>
        <w:rPr>
          <w:rFonts w:eastAsia="宋体" w:cs="Times New Roman"/>
          <w:szCs w:val="24"/>
        </w:rPr>
      </w:pPr>
      <w:r>
        <w:rPr>
          <w:rFonts w:eastAsia="宋体" w:cs="Times New Roman"/>
          <w:szCs w:val="24"/>
        </w:rPr>
        <w:t>具备人工选择分诊级别和去向功能。</w:t>
      </w:r>
    </w:p>
    <w:p>
      <w:pPr>
        <w:spacing w:before="81" w:after="81"/>
        <w:ind w:firstLine="480"/>
        <w:rPr>
          <w:rFonts w:eastAsia="宋体" w:cs="Times New Roman"/>
          <w:szCs w:val="24"/>
        </w:rPr>
      </w:pPr>
      <w:r>
        <w:rPr>
          <w:rFonts w:eastAsia="宋体" w:cs="Times New Roman"/>
          <w:szCs w:val="24"/>
        </w:rPr>
        <w:t>具备对候诊超时患者进行二次评估功能。</w:t>
      </w:r>
    </w:p>
    <w:p>
      <w:pPr>
        <w:spacing w:before="81" w:after="81"/>
        <w:ind w:firstLine="480"/>
        <w:rPr>
          <w:rFonts w:eastAsia="宋体" w:cs="Times New Roman"/>
          <w:szCs w:val="24"/>
        </w:rPr>
      </w:pPr>
      <w:r>
        <w:rPr>
          <w:rFonts w:eastAsia="宋体" w:cs="Times New Roman"/>
          <w:szCs w:val="24"/>
        </w:rPr>
        <w:t>具备打印腕带条码功能。</w:t>
      </w:r>
    </w:p>
    <w:p>
      <w:pPr>
        <w:spacing w:before="81" w:after="81"/>
        <w:ind w:firstLine="480"/>
        <w:rPr>
          <w:rFonts w:eastAsia="宋体" w:cs="Times New Roman"/>
          <w:szCs w:val="24"/>
        </w:rPr>
      </w:pPr>
      <w:r>
        <w:rPr>
          <w:rFonts w:eastAsia="宋体" w:cs="Times New Roman"/>
          <w:szCs w:val="24"/>
        </w:rPr>
        <w:t>具备打印分诊条</w:t>
      </w:r>
      <w:r>
        <w:rPr>
          <w:rFonts w:hint="eastAsia" w:eastAsia="宋体" w:cs="Times New Roman"/>
          <w:szCs w:val="24"/>
        </w:rPr>
        <w:t>（</w:t>
      </w:r>
      <w:r>
        <w:rPr>
          <w:rFonts w:eastAsia="宋体" w:cs="Times New Roman"/>
          <w:szCs w:val="24"/>
        </w:rPr>
        <w:t>导诊单、挂号凭证</w:t>
      </w:r>
      <w:r>
        <w:rPr>
          <w:rFonts w:hint="eastAsia" w:eastAsia="宋体" w:cs="Times New Roman"/>
          <w:szCs w:val="24"/>
        </w:rPr>
        <w:t>）</w:t>
      </w:r>
      <w:r>
        <w:rPr>
          <w:rFonts w:eastAsia="宋体" w:cs="Times New Roman"/>
          <w:szCs w:val="24"/>
        </w:rPr>
        <w:t>功能。</w:t>
      </w:r>
    </w:p>
    <w:p>
      <w:pPr>
        <w:pStyle w:val="8"/>
        <w:spacing w:before="81" w:after="81"/>
        <w:ind w:left="0"/>
        <w:rPr>
          <w:rFonts w:ascii="宋体" w:hAnsi="宋体"/>
          <w:szCs w:val="28"/>
        </w:rPr>
      </w:pPr>
      <w:r>
        <w:rPr>
          <w:rFonts w:hint="eastAsia" w:ascii="宋体" w:hAnsi="宋体"/>
          <w:szCs w:val="28"/>
        </w:rPr>
        <w:t>群伤管理</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具备快速创建群伤事件功能。</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具备群伤患者管理功能，对群伤患者进行标记。</w:t>
      </w:r>
    </w:p>
    <w:p>
      <w:pPr>
        <w:spacing w:before="81" w:after="81"/>
        <w:ind w:firstLine="480"/>
        <w:rPr>
          <w:rFonts w:eastAsia="宋体" w:cs="Times New Roman"/>
          <w:szCs w:val="24"/>
        </w:rPr>
      </w:pPr>
      <w:r>
        <w:rPr>
          <w:rFonts w:eastAsia="宋体" w:cs="Times New Roman"/>
          <w:szCs w:val="24"/>
        </w:rPr>
        <w:t>具备批量创建群伤患者，批量打印腕带功能。</w:t>
      </w:r>
    </w:p>
    <w:p>
      <w:pPr>
        <w:spacing w:before="81" w:after="81"/>
        <w:ind w:firstLine="480"/>
        <w:rPr>
          <w:rFonts w:eastAsia="宋体" w:cs="Times New Roman"/>
          <w:szCs w:val="24"/>
        </w:rPr>
      </w:pPr>
      <w:r>
        <w:rPr>
          <w:rFonts w:eastAsia="宋体" w:cs="Times New Roman"/>
          <w:szCs w:val="24"/>
        </w:rPr>
        <w:t>具备群伤患者基本信息补录功能。</w:t>
      </w:r>
    </w:p>
    <w:p>
      <w:pPr>
        <w:spacing w:before="81" w:after="81"/>
        <w:ind w:firstLine="480"/>
        <w:rPr>
          <w:rFonts w:eastAsia="宋体" w:cs="Times New Roman"/>
          <w:szCs w:val="24"/>
        </w:rPr>
      </w:pPr>
      <w:r>
        <w:rPr>
          <w:rFonts w:eastAsia="宋体" w:cs="Times New Roman"/>
          <w:szCs w:val="24"/>
        </w:rPr>
        <w:t>具备群伤患者进行快速预检评估功能。</w:t>
      </w:r>
    </w:p>
    <w:p>
      <w:pPr>
        <w:spacing w:before="81" w:after="81"/>
        <w:ind w:firstLine="480"/>
        <w:rPr>
          <w:rFonts w:eastAsia="宋体" w:cs="Times New Roman"/>
          <w:szCs w:val="24"/>
        </w:rPr>
      </w:pPr>
      <w:r>
        <w:rPr>
          <w:rFonts w:eastAsia="宋体" w:cs="Times New Roman"/>
          <w:szCs w:val="24"/>
        </w:rPr>
        <w:t>具备群伤患者预检时关联群伤事件功能。</w:t>
      </w:r>
    </w:p>
    <w:p>
      <w:pPr>
        <w:pStyle w:val="8"/>
        <w:spacing w:before="81" w:after="81"/>
        <w:ind w:left="0"/>
        <w:rPr>
          <w:rFonts w:ascii="宋体" w:hAnsi="宋体"/>
          <w:szCs w:val="28"/>
        </w:rPr>
      </w:pPr>
      <w:r>
        <w:rPr>
          <w:rFonts w:hint="eastAsia" w:ascii="宋体" w:hAnsi="宋体"/>
          <w:szCs w:val="28"/>
        </w:rPr>
        <w:t>绿色通道</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具备绿色通道病人标识功能。</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具备快速开启绿色通道功能。</w:t>
      </w:r>
    </w:p>
    <w:p>
      <w:pPr>
        <w:spacing w:before="81" w:after="81"/>
        <w:ind w:firstLine="480"/>
        <w:rPr>
          <w:rFonts w:eastAsia="宋体" w:cs="Times New Roman"/>
          <w:szCs w:val="24"/>
        </w:rPr>
      </w:pPr>
      <w:r>
        <w:rPr>
          <w:rFonts w:hint="eastAsia" w:eastAsia="宋体" w:cs="Times New Roman"/>
          <w:szCs w:val="24"/>
        </w:rPr>
        <w:t>支持与医院信息系统对接，</w:t>
      </w:r>
      <w:r>
        <w:rPr>
          <w:rFonts w:eastAsia="宋体" w:cs="Times New Roman"/>
          <w:szCs w:val="24"/>
        </w:rPr>
        <w:t>在线进行欠费申请，实现“先诊疗后付费”。</w:t>
      </w:r>
    </w:p>
    <w:p>
      <w:pPr>
        <w:pStyle w:val="8"/>
        <w:spacing w:before="81" w:after="81"/>
        <w:ind w:left="0"/>
        <w:rPr>
          <w:rFonts w:ascii="宋体" w:hAnsi="宋体"/>
          <w:szCs w:val="28"/>
        </w:rPr>
      </w:pPr>
      <w:r>
        <w:rPr>
          <w:rFonts w:hint="eastAsia" w:ascii="宋体" w:hAnsi="宋体"/>
          <w:szCs w:val="28"/>
        </w:rPr>
        <w:t>预检台挂号</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支持与</w:t>
      </w:r>
      <w:r>
        <w:rPr>
          <w:rFonts w:hint="eastAsia" w:eastAsia="宋体" w:cs="Times New Roman"/>
          <w:szCs w:val="24"/>
        </w:rPr>
        <w:t>医院信息</w:t>
      </w:r>
      <w:r>
        <w:rPr>
          <w:rFonts w:eastAsia="宋体" w:cs="Times New Roman"/>
          <w:szCs w:val="24"/>
        </w:rPr>
        <w:t>系统对接，在分诊时进行挂号功能</w:t>
      </w:r>
      <w:r>
        <w:rPr>
          <w:rFonts w:hint="eastAsia" w:eastAsia="宋体" w:cs="Times New Roman"/>
          <w:szCs w:val="24"/>
        </w:rPr>
        <w:t>，</w:t>
      </w:r>
      <w:r>
        <w:rPr>
          <w:rFonts w:eastAsia="宋体" w:cs="Times New Roman"/>
          <w:szCs w:val="24"/>
        </w:rPr>
        <w:t>自动获取急诊病人挂号信息。</w:t>
      </w:r>
    </w:p>
    <w:p>
      <w:pPr>
        <w:pStyle w:val="8"/>
        <w:spacing w:before="81" w:after="81"/>
        <w:ind w:left="0"/>
        <w:rPr>
          <w:rFonts w:ascii="宋体" w:hAnsi="宋体"/>
          <w:szCs w:val="28"/>
        </w:rPr>
      </w:pPr>
      <w:r>
        <w:rPr>
          <w:rFonts w:hint="eastAsia" w:ascii="宋体" w:hAnsi="宋体"/>
          <w:szCs w:val="28"/>
        </w:rPr>
        <w:t>预检知识库</w:t>
      </w:r>
    </w:p>
    <w:p>
      <w:pPr>
        <w:spacing w:before="81" w:after="81"/>
        <w:ind w:firstLine="480"/>
        <w:rPr>
          <w:rFonts w:eastAsia="宋体" w:cs="Times New Roman"/>
          <w:szCs w:val="24"/>
        </w:rPr>
      </w:pPr>
      <w:r>
        <w:rPr>
          <w:rFonts w:eastAsia="宋体" w:cs="Times New Roman"/>
          <w:szCs w:val="24"/>
        </w:rPr>
        <w:t>具备根据生命体征自动推荐分级功能。</w:t>
      </w:r>
    </w:p>
    <w:p>
      <w:pPr>
        <w:spacing w:before="81" w:after="81"/>
        <w:ind w:firstLine="480"/>
        <w:rPr>
          <w:rFonts w:eastAsia="宋体" w:cs="Times New Roman"/>
          <w:szCs w:val="24"/>
        </w:rPr>
      </w:pPr>
      <w:r>
        <w:rPr>
          <w:rFonts w:eastAsia="宋体" w:cs="Times New Roman"/>
          <w:szCs w:val="24"/>
        </w:rPr>
        <w:t>具备分诊知识库</w:t>
      </w:r>
      <w:r>
        <w:rPr>
          <w:rFonts w:hint="eastAsia" w:eastAsia="宋体" w:cs="Times New Roman"/>
          <w:szCs w:val="24"/>
        </w:rPr>
        <w:t>（</w:t>
      </w:r>
      <w:r>
        <w:rPr>
          <w:rFonts w:eastAsia="宋体" w:cs="Times New Roman"/>
          <w:szCs w:val="24"/>
        </w:rPr>
        <w:t>主诉等关键词</w:t>
      </w:r>
      <w:r>
        <w:rPr>
          <w:rFonts w:hint="eastAsia" w:eastAsia="宋体" w:cs="Times New Roman"/>
          <w:szCs w:val="24"/>
        </w:rPr>
        <w:t>）</w:t>
      </w:r>
      <w:r>
        <w:rPr>
          <w:rFonts w:eastAsia="宋体" w:cs="Times New Roman"/>
          <w:szCs w:val="24"/>
        </w:rPr>
        <w:t>推荐自动分级功能。</w:t>
      </w:r>
    </w:p>
    <w:p>
      <w:pPr>
        <w:spacing w:before="81" w:after="81"/>
        <w:ind w:firstLine="480"/>
        <w:rPr>
          <w:rFonts w:eastAsia="宋体" w:cs="Times New Roman"/>
          <w:szCs w:val="24"/>
        </w:rPr>
      </w:pPr>
      <w:r>
        <w:rPr>
          <w:rFonts w:eastAsia="宋体" w:cs="Times New Roman"/>
          <w:szCs w:val="24"/>
        </w:rPr>
        <w:t>具备根据患者评分推荐自动分级功能。</w:t>
      </w:r>
    </w:p>
    <w:p>
      <w:pPr>
        <w:spacing w:before="81" w:after="81"/>
        <w:ind w:firstLine="480"/>
        <w:rPr>
          <w:rFonts w:eastAsia="宋体" w:cs="Times New Roman"/>
          <w:szCs w:val="24"/>
        </w:rPr>
      </w:pPr>
      <w:r>
        <w:rPr>
          <w:rFonts w:eastAsia="宋体" w:cs="Times New Roman"/>
          <w:szCs w:val="24"/>
        </w:rPr>
        <w:t>具备用户后台更新维护知识库内容功能。</w:t>
      </w:r>
    </w:p>
    <w:p>
      <w:pPr>
        <w:pStyle w:val="8"/>
        <w:spacing w:before="81" w:after="81"/>
        <w:ind w:left="0"/>
        <w:rPr>
          <w:rFonts w:ascii="宋体" w:hAnsi="宋体"/>
          <w:szCs w:val="28"/>
        </w:rPr>
      </w:pPr>
      <w:r>
        <w:rPr>
          <w:rFonts w:hint="eastAsia" w:ascii="宋体" w:hAnsi="宋体"/>
          <w:szCs w:val="28"/>
        </w:rPr>
        <w:t>院前预警</w:t>
      </w:r>
    </w:p>
    <w:p>
      <w:pPr>
        <w:spacing w:before="81" w:after="81"/>
        <w:ind w:firstLine="480"/>
        <w:rPr>
          <w:rFonts w:eastAsia="宋体" w:cs="Times New Roman"/>
          <w:szCs w:val="24"/>
        </w:rPr>
      </w:pPr>
      <w:r>
        <w:rPr>
          <w:rFonts w:eastAsia="宋体" w:cs="Times New Roman"/>
          <w:szCs w:val="24"/>
        </w:rPr>
        <w:t>支持与院前系统对接，实现120患者快速预检分级功能。</w:t>
      </w:r>
    </w:p>
    <w:p>
      <w:pPr>
        <w:spacing w:before="81" w:after="81"/>
        <w:ind w:firstLine="480"/>
        <w:rPr>
          <w:rFonts w:eastAsia="宋体" w:cs="Times New Roman"/>
          <w:szCs w:val="24"/>
        </w:rPr>
      </w:pPr>
      <w:r>
        <w:rPr>
          <w:rFonts w:eastAsia="宋体" w:cs="Times New Roman"/>
          <w:szCs w:val="24"/>
        </w:rPr>
        <w:t>支持院前预警，支持调阅院前病历信息。</w:t>
      </w:r>
    </w:p>
    <w:p>
      <w:pPr>
        <w:pStyle w:val="8"/>
        <w:spacing w:before="81" w:after="81"/>
        <w:ind w:left="0"/>
        <w:rPr>
          <w:rFonts w:ascii="宋体" w:hAnsi="宋体"/>
          <w:szCs w:val="28"/>
        </w:rPr>
      </w:pPr>
      <w:r>
        <w:rPr>
          <w:rFonts w:hint="eastAsia" w:ascii="宋体" w:hAnsi="宋体"/>
          <w:szCs w:val="28"/>
        </w:rPr>
        <w:t>设备联机</w:t>
      </w:r>
    </w:p>
    <w:p>
      <w:pPr>
        <w:spacing w:before="81" w:after="81"/>
        <w:ind w:firstLine="480"/>
        <w:rPr>
          <w:rFonts w:eastAsia="宋体" w:cs="Times New Roman"/>
          <w:szCs w:val="24"/>
        </w:rPr>
      </w:pPr>
      <w:r>
        <w:rPr>
          <w:rFonts w:eastAsia="宋体" w:cs="Times New Roman"/>
          <w:szCs w:val="24"/>
        </w:rPr>
        <w:t>支持连接体征监护仪，实现自动采集体征数据功能。</w:t>
      </w:r>
    </w:p>
    <w:p>
      <w:pPr>
        <w:pStyle w:val="7"/>
        <w:spacing w:before="81" w:after="81"/>
        <w:ind w:left="0"/>
        <w:rPr>
          <w:rFonts w:ascii="宋体" w:hAnsi="宋体"/>
        </w:rPr>
      </w:pPr>
      <w:r>
        <w:rPr>
          <w:rFonts w:hint="eastAsia" w:ascii="宋体" w:hAnsi="宋体"/>
        </w:rPr>
        <w:t>留观护士站</w:t>
      </w:r>
    </w:p>
    <w:p>
      <w:pPr>
        <w:pStyle w:val="8"/>
        <w:spacing w:before="81" w:after="81"/>
        <w:ind w:left="0"/>
        <w:rPr>
          <w:rFonts w:ascii="宋体" w:hAnsi="宋体"/>
          <w:szCs w:val="28"/>
        </w:rPr>
      </w:pPr>
      <w:r>
        <w:rPr>
          <w:rFonts w:hint="eastAsia" w:ascii="宋体" w:hAnsi="宋体"/>
          <w:szCs w:val="28"/>
        </w:rPr>
        <w:t>患者管理</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具备患者入区登记功能，记录患者入区科室、医护、分配床位及入区时间信息。</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具备便捷的一键归转功能，自动记录患者疾病转归情况及患者去向</w:t>
      </w:r>
      <w:r>
        <w:rPr>
          <w:rFonts w:hint="eastAsia" w:eastAsia="宋体" w:cs="Times New Roman"/>
          <w:szCs w:val="24"/>
        </w:rPr>
        <w:t>功能</w:t>
      </w:r>
      <w:r>
        <w:rPr>
          <w:rFonts w:eastAsia="宋体" w:cs="Times New Roman"/>
          <w:szCs w:val="24"/>
        </w:rPr>
        <w:t xml:space="preserve">。 </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具备床位管理及出区患者召回</w:t>
      </w:r>
      <w:r>
        <w:rPr>
          <w:rFonts w:hint="eastAsia" w:eastAsia="宋体" w:cs="Times New Roman"/>
          <w:szCs w:val="24"/>
        </w:rPr>
        <w:t>功能</w:t>
      </w:r>
      <w:r>
        <w:rPr>
          <w:rFonts w:eastAsia="宋体" w:cs="Times New Roman"/>
          <w:szCs w:val="24"/>
        </w:rPr>
        <w:t>。</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具备在床卡上通过图标直观显示患者重点信息</w:t>
      </w:r>
      <w:r>
        <w:rPr>
          <w:rFonts w:hint="eastAsia" w:eastAsia="宋体" w:cs="Times New Roman"/>
          <w:szCs w:val="24"/>
        </w:rPr>
        <w:t>功能</w:t>
      </w:r>
      <w:r>
        <w:rPr>
          <w:rFonts w:eastAsia="宋体" w:cs="Times New Roman"/>
          <w:szCs w:val="24"/>
        </w:rPr>
        <w:t>，重点信息图标包括：重点关注、新入、欠费模式、群伤、胸痛、卒中、创伤、孕产妇、三无、中毒、其他、新生儿、脑外伤、普通、心衰、呼吸、有过敏史。</w:t>
      </w:r>
    </w:p>
    <w:p>
      <w:pPr>
        <w:spacing w:before="81" w:after="81"/>
        <w:ind w:firstLine="480"/>
        <w:rPr>
          <w:rFonts w:eastAsia="宋体" w:cs="Times New Roman"/>
          <w:szCs w:val="24"/>
        </w:rPr>
      </w:pPr>
      <w:r>
        <w:rPr>
          <w:rFonts w:eastAsia="宋体" w:cs="Times New Roman"/>
          <w:szCs w:val="24"/>
        </w:rPr>
        <w:t>具备多维度数据查询及导出功能，查询条件可分别为患者基本信息、滞留时间、去向。</w:t>
      </w:r>
    </w:p>
    <w:p>
      <w:pPr>
        <w:spacing w:before="81" w:after="81"/>
        <w:ind w:firstLine="480"/>
        <w:rPr>
          <w:rFonts w:eastAsia="宋体" w:cs="Times New Roman"/>
          <w:szCs w:val="24"/>
        </w:rPr>
      </w:pPr>
      <w:r>
        <w:rPr>
          <w:rFonts w:eastAsia="宋体" w:cs="Times New Roman"/>
          <w:szCs w:val="24"/>
        </w:rPr>
        <w:t>具体快速筛选过滤患者</w:t>
      </w:r>
      <w:r>
        <w:rPr>
          <w:rFonts w:hint="eastAsia" w:eastAsia="宋体" w:cs="Times New Roman"/>
          <w:szCs w:val="24"/>
        </w:rPr>
        <w:t>功能</w:t>
      </w:r>
      <w:r>
        <w:rPr>
          <w:rFonts w:eastAsia="宋体" w:cs="Times New Roman"/>
          <w:szCs w:val="24"/>
        </w:rPr>
        <w:t>，分别可通过患者分诊级别、新入、出区、重点关注、特级护理条件快速筛选过滤患者。</w:t>
      </w:r>
    </w:p>
    <w:p>
      <w:pPr>
        <w:spacing w:before="81" w:after="81"/>
        <w:ind w:firstLine="480"/>
        <w:rPr>
          <w:rFonts w:eastAsia="宋体" w:cs="Times New Roman"/>
          <w:szCs w:val="24"/>
        </w:rPr>
      </w:pPr>
      <w:r>
        <w:rPr>
          <w:rFonts w:eastAsia="宋体" w:cs="Times New Roman"/>
          <w:szCs w:val="24"/>
        </w:rPr>
        <w:t>具备患者床头卡、腕带打印</w:t>
      </w:r>
      <w:r>
        <w:rPr>
          <w:rFonts w:hint="eastAsia" w:eastAsia="宋体" w:cs="Times New Roman"/>
          <w:szCs w:val="24"/>
        </w:rPr>
        <w:t>功能</w:t>
      </w:r>
      <w:r>
        <w:rPr>
          <w:rFonts w:eastAsia="宋体" w:cs="Times New Roman"/>
          <w:szCs w:val="24"/>
        </w:rPr>
        <w:t>。</w:t>
      </w:r>
    </w:p>
    <w:p>
      <w:pPr>
        <w:pStyle w:val="8"/>
        <w:spacing w:before="81" w:after="81"/>
        <w:ind w:left="0"/>
        <w:rPr>
          <w:rFonts w:ascii="宋体" w:hAnsi="宋体"/>
          <w:szCs w:val="28"/>
        </w:rPr>
      </w:pPr>
      <w:r>
        <w:rPr>
          <w:rFonts w:hint="eastAsia" w:ascii="宋体" w:hAnsi="宋体"/>
          <w:szCs w:val="28"/>
        </w:rPr>
        <w:t>费用管理</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支持与医院信息系统对接，可实现按门诊计费模式或住院预交金收费模式进行患者费用管理</w:t>
      </w:r>
      <w:r>
        <w:rPr>
          <w:rFonts w:hint="eastAsia" w:eastAsia="宋体" w:cs="Times New Roman"/>
          <w:szCs w:val="24"/>
        </w:rPr>
        <w:t>功能</w:t>
      </w:r>
      <w:r>
        <w:rPr>
          <w:rFonts w:eastAsia="宋体" w:cs="Times New Roman"/>
          <w:szCs w:val="24"/>
        </w:rPr>
        <w:t>，并实现实时补充计费</w:t>
      </w:r>
      <w:r>
        <w:rPr>
          <w:rFonts w:hint="eastAsia" w:eastAsia="宋体" w:cs="Times New Roman"/>
          <w:szCs w:val="24"/>
        </w:rPr>
        <w:t>功能</w:t>
      </w:r>
      <w:r>
        <w:rPr>
          <w:rFonts w:eastAsia="宋体" w:cs="Times New Roman"/>
          <w:szCs w:val="24"/>
        </w:rPr>
        <w:t>。</w:t>
      </w:r>
    </w:p>
    <w:p>
      <w:pPr>
        <w:pStyle w:val="8"/>
        <w:spacing w:before="81" w:after="81"/>
        <w:ind w:left="0"/>
        <w:rPr>
          <w:rFonts w:ascii="宋体" w:hAnsi="宋体"/>
          <w:szCs w:val="28"/>
        </w:rPr>
      </w:pPr>
      <w:r>
        <w:rPr>
          <w:rFonts w:hint="eastAsia" w:ascii="宋体" w:hAnsi="宋体"/>
          <w:szCs w:val="28"/>
        </w:rPr>
        <w:t>医嘱管理</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具备医嘱核对、计费</w:t>
      </w:r>
      <w:r>
        <w:rPr>
          <w:rFonts w:hint="eastAsia" w:eastAsia="宋体" w:cs="Times New Roman"/>
          <w:szCs w:val="24"/>
        </w:rPr>
        <w:t>功能</w:t>
      </w:r>
      <w:r>
        <w:rPr>
          <w:rFonts w:eastAsia="宋体" w:cs="Times New Roman"/>
          <w:szCs w:val="24"/>
        </w:rPr>
        <w:t>。可快速添加计费项与耗材</w:t>
      </w:r>
      <w:r>
        <w:rPr>
          <w:rFonts w:hint="eastAsia" w:eastAsia="宋体" w:cs="Times New Roman"/>
          <w:szCs w:val="24"/>
        </w:rPr>
        <w:t>功能</w:t>
      </w:r>
      <w:r>
        <w:rPr>
          <w:rFonts w:eastAsia="宋体" w:cs="Times New Roman"/>
          <w:szCs w:val="24"/>
        </w:rPr>
        <w:t>。</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具备按颜色对医嘱进行状态区分</w:t>
      </w:r>
      <w:r>
        <w:rPr>
          <w:rFonts w:hint="eastAsia" w:eastAsia="宋体" w:cs="Times New Roman"/>
          <w:szCs w:val="24"/>
        </w:rPr>
        <w:t>功能</w:t>
      </w:r>
      <w:r>
        <w:rPr>
          <w:rFonts w:eastAsia="宋体" w:cs="Times New Roman"/>
          <w:szCs w:val="24"/>
        </w:rPr>
        <w:t>，包括已执行、未执行、已停止状态。</w:t>
      </w:r>
    </w:p>
    <w:p>
      <w:pPr>
        <w:spacing w:before="81" w:after="81"/>
        <w:ind w:firstLine="480"/>
        <w:rPr>
          <w:rFonts w:eastAsia="宋体" w:cs="Times New Roman"/>
          <w:szCs w:val="24"/>
        </w:rPr>
      </w:pPr>
      <w:r>
        <w:rPr>
          <w:rFonts w:hint="eastAsia" w:ascii="宋体" w:hAnsi="宋体"/>
          <w:bCs/>
          <w:szCs w:val="24"/>
        </w:rPr>
        <w:t>▲</w:t>
      </w:r>
      <w:r>
        <w:rPr>
          <w:rFonts w:eastAsia="宋体" w:cs="Times New Roman"/>
          <w:szCs w:val="24"/>
        </w:rPr>
        <w:t>具备录入皮试反馈并传给急诊医生</w:t>
      </w:r>
      <w:r>
        <w:rPr>
          <w:rFonts w:hint="eastAsia" w:eastAsia="宋体" w:cs="Times New Roman"/>
          <w:szCs w:val="24"/>
        </w:rPr>
        <w:t>功能</w:t>
      </w:r>
      <w:r>
        <w:rPr>
          <w:rFonts w:eastAsia="宋体" w:cs="Times New Roman"/>
          <w:szCs w:val="24"/>
        </w:rPr>
        <w:t>。</w:t>
      </w:r>
    </w:p>
    <w:p>
      <w:pPr>
        <w:spacing w:before="81" w:after="81"/>
        <w:ind w:firstLine="480"/>
        <w:rPr>
          <w:rFonts w:eastAsia="宋体" w:cs="Times New Roman"/>
          <w:szCs w:val="24"/>
        </w:rPr>
      </w:pPr>
      <w:r>
        <w:rPr>
          <w:rFonts w:eastAsia="宋体" w:cs="Times New Roman"/>
          <w:szCs w:val="24"/>
        </w:rPr>
        <w:t>具备执行医嘱并自动记录出入量</w:t>
      </w:r>
      <w:r>
        <w:rPr>
          <w:rFonts w:hint="eastAsia" w:eastAsia="宋体" w:cs="Times New Roman"/>
          <w:szCs w:val="24"/>
        </w:rPr>
        <w:t>功能</w:t>
      </w:r>
      <w:r>
        <w:rPr>
          <w:rFonts w:eastAsia="宋体" w:cs="Times New Roman"/>
          <w:szCs w:val="24"/>
        </w:rPr>
        <w:t>。</w:t>
      </w:r>
    </w:p>
    <w:p>
      <w:pPr>
        <w:spacing w:before="81" w:after="81"/>
        <w:ind w:firstLine="480"/>
        <w:rPr>
          <w:rFonts w:eastAsia="宋体" w:cs="Times New Roman"/>
          <w:szCs w:val="24"/>
        </w:rPr>
      </w:pPr>
      <w:r>
        <w:rPr>
          <w:rFonts w:eastAsia="宋体" w:cs="Times New Roman"/>
          <w:szCs w:val="24"/>
        </w:rPr>
        <w:t>具备单据可视化预览、打印</w:t>
      </w:r>
      <w:r>
        <w:rPr>
          <w:rFonts w:hint="eastAsia" w:eastAsia="宋体" w:cs="Times New Roman"/>
          <w:szCs w:val="24"/>
        </w:rPr>
        <w:t>功能</w:t>
      </w:r>
      <w:r>
        <w:rPr>
          <w:rFonts w:eastAsia="宋体" w:cs="Times New Roman"/>
          <w:szCs w:val="24"/>
        </w:rPr>
        <w:t>，包括输液贴、执行单、巡视卡。</w:t>
      </w:r>
    </w:p>
    <w:p>
      <w:pPr>
        <w:spacing w:before="81" w:after="81"/>
        <w:ind w:firstLine="480"/>
        <w:rPr>
          <w:rFonts w:eastAsia="宋体" w:cs="Times New Roman"/>
          <w:szCs w:val="24"/>
        </w:rPr>
      </w:pPr>
      <w:r>
        <w:rPr>
          <w:rFonts w:eastAsia="宋体" w:cs="Times New Roman"/>
          <w:szCs w:val="24"/>
        </w:rPr>
        <w:t>具备新医嘱接收提醒功能，并在患者列表或床卡上有显著标识进行显示。</w:t>
      </w:r>
    </w:p>
    <w:p>
      <w:pPr>
        <w:spacing w:before="81" w:after="81"/>
        <w:ind w:firstLine="480"/>
        <w:rPr>
          <w:rFonts w:eastAsia="宋体" w:cs="Times New Roman"/>
          <w:szCs w:val="24"/>
        </w:rPr>
      </w:pPr>
      <w:r>
        <w:rPr>
          <w:rFonts w:eastAsia="宋体" w:cs="Times New Roman"/>
          <w:szCs w:val="24"/>
        </w:rPr>
        <w:t>具备快速过滤医嘱功能，可通过医嘱长临类型、医嘱类别、审核状态进行筛选。</w:t>
      </w:r>
    </w:p>
    <w:p>
      <w:pPr>
        <w:pStyle w:val="8"/>
        <w:spacing w:before="81" w:after="81"/>
        <w:ind w:left="0"/>
        <w:rPr>
          <w:rFonts w:ascii="宋体" w:hAnsi="宋体"/>
          <w:szCs w:val="28"/>
        </w:rPr>
      </w:pPr>
      <w:r>
        <w:rPr>
          <w:rFonts w:hint="eastAsia" w:ascii="宋体" w:hAnsi="宋体"/>
          <w:szCs w:val="28"/>
        </w:rPr>
        <w:t>护理病历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▲具备根据医院护理文书内容要求新增调整系统内容护理文书功能，可调整范围包括：字体大小、文字内容、表格格式。</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▲具备急诊护理所需要开具的各项护理文书的录入功能，如：知情同意书。</w:t>
      </w:r>
    </w:p>
    <w:p>
      <w:pPr>
        <w:pStyle w:val="7"/>
        <w:spacing w:before="81" w:after="81"/>
        <w:ind w:left="0"/>
        <w:rPr>
          <w:rFonts w:ascii="宋体" w:hAnsi="宋体"/>
        </w:rPr>
      </w:pPr>
      <w:r>
        <w:rPr>
          <w:rFonts w:hint="eastAsia" w:ascii="宋体" w:hAnsi="宋体"/>
        </w:rPr>
        <w:t>急诊医生站</w:t>
      </w:r>
    </w:p>
    <w:p>
      <w:pPr>
        <w:pStyle w:val="8"/>
        <w:spacing w:before="81" w:after="81"/>
        <w:ind w:left="0"/>
        <w:rPr>
          <w:rFonts w:ascii="宋体" w:hAnsi="宋体"/>
          <w:szCs w:val="28"/>
        </w:rPr>
      </w:pPr>
      <w:r>
        <w:rPr>
          <w:rFonts w:hint="eastAsia" w:ascii="宋体" w:hAnsi="宋体"/>
          <w:szCs w:val="28"/>
        </w:rPr>
        <w:t>急诊抢救及留观病历书写</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▲支持在病历中维护抢救记录病历模板、留观病历模板；</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支持将已书写的病历进行打印。</w:t>
      </w:r>
    </w:p>
    <w:p>
      <w:pPr>
        <w:pStyle w:val="8"/>
        <w:spacing w:before="81" w:after="81"/>
        <w:ind w:left="0"/>
        <w:rPr>
          <w:rFonts w:ascii="宋体" w:hAnsi="宋体"/>
          <w:szCs w:val="28"/>
        </w:rPr>
      </w:pPr>
      <w:r>
        <w:rPr>
          <w:rFonts w:hint="eastAsia" w:ascii="宋体" w:hAnsi="宋体"/>
          <w:szCs w:val="28"/>
        </w:rPr>
        <w:t>留观转归及长处方管理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▲支持提供患者出入区申请功能，将抢救结束的患者流转到留观病区的急诊医生工作中，记录患者流转去向供后续查询；</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▲支持根据留观区临床管理的实际场景，在系统中提供床位管理的模式；</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支持通过提供长处方开立功能，实现对留观患者多天就诊场景下的处方医嘱管理。</w:t>
      </w:r>
    </w:p>
    <w:p>
      <w:pPr>
        <w:pStyle w:val="8"/>
        <w:spacing w:before="81" w:after="81"/>
        <w:ind w:left="0"/>
        <w:rPr>
          <w:rFonts w:ascii="宋体" w:hAnsi="宋体"/>
          <w:szCs w:val="28"/>
        </w:rPr>
      </w:pPr>
      <w:r>
        <w:rPr>
          <w:rFonts w:hint="eastAsia" w:ascii="宋体" w:hAnsi="宋体"/>
          <w:szCs w:val="28"/>
        </w:rPr>
        <w:t>患者管理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具备抢救、留观区患者床卡模式和列表模式自由切换的功能。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▲具备在患者床卡上，通过图标方式直观现在患者的特殊信息，包括现在患者分诊级别、告病危、手术、绿色通道标识、欠费标识信息，抢救留观患者床卡信息可显示当前患者所在区域滞留时间。</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▲具备一键实现患者区域流转、转归，及打印住院证的功能。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具备急诊患者查询、分区患者数据概览的功能。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具备通过患者姓名拼音简写、患者ID或患者病历号、就诊卡号快速检索定位患者的功能。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具体通过登录用户ID、患者就诊状态、就诊科室、挂号时间快速筛选过滤患者的功能。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具备根据每个登录用户可自定义患者接诊列表显示字段的功能。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具备直观预览患者生命体征曲线及液体平衡趋势的功能。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支持与读卡设备或集成患者身份二维码（如电子医保码）对接，实现读卡检索定位患者功能。</w:t>
      </w:r>
    </w:p>
    <w:p>
      <w:pPr>
        <w:pStyle w:val="8"/>
        <w:spacing w:before="81" w:after="81"/>
        <w:ind w:left="0"/>
        <w:rPr>
          <w:rFonts w:ascii="宋体" w:hAnsi="宋体"/>
          <w:szCs w:val="28"/>
        </w:rPr>
      </w:pPr>
      <w:r>
        <w:rPr>
          <w:rFonts w:hint="eastAsia" w:ascii="宋体" w:hAnsi="宋体"/>
          <w:szCs w:val="28"/>
        </w:rPr>
        <w:t>诊断管理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▲具备基于ICD-11诊断编码及名称的诊断录入功能。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▲具备科室常用诊断自动推荐和引用的功能。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具备查询患者的历史诊断记录的功能。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支持与门诊临床信息系统对接，获取患者门诊就诊记录中的诊断信息，实现急诊医生查看患者门诊诊断信息及引用功能。</w:t>
      </w:r>
    </w:p>
    <w:p>
      <w:pPr>
        <w:pStyle w:val="8"/>
        <w:spacing w:before="81" w:after="81"/>
        <w:ind w:left="0"/>
        <w:rPr>
          <w:rFonts w:ascii="宋体" w:hAnsi="宋体"/>
          <w:szCs w:val="28"/>
        </w:rPr>
      </w:pPr>
      <w:r>
        <w:rPr>
          <w:rFonts w:hint="eastAsia" w:ascii="宋体" w:hAnsi="宋体"/>
          <w:szCs w:val="28"/>
        </w:rPr>
        <w:t>医嘱管理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▲具备医嘱录入功能，并可将药物医嘱后台转换成处方的数据结构，在医嘱成功后可提供自动打印处方单功能。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▲支持医嘱信息与医院信息系统互通，实现医嘱对应的收费项目在医院信息系统中进行结算功能。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▲具备检查、检验医嘱开立并与检验、检验申请单联动功能。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具备手术医嘱开立并与手术申请单联动功能。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具备会诊医嘱开立并与会诊申请单联动功能。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具备用血医嘱开立并与用血申请单联动功能。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具备对开立抗菌药物、精麻药品等特殊药品进行权限控制功能。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具备医嘱及检查、检验、治疗、处置单据打印功能。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具备根据不同颜色区分不同状态的医嘱，方便查看管理，状态分为已保存、已提交、已执行、已缴费、已停止。</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具备维护和引用医嘱套餐功能。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支持与临床信息系统对接，实现查询患者历次就诊信息、引用历史医嘱功能。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具备实现患者诊疗信息连续，急诊诊疗区域诊疗数据共享互通功能。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支持与合理用药系统对接，实现急诊开立医嘱时查看药品说明、处方分析、前置审方功能。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支持与医保控费系统对接，实现开立医嘱时的医保控费提醒功能。</w:t>
      </w:r>
    </w:p>
    <w:p>
      <w:pPr>
        <w:pStyle w:val="8"/>
        <w:spacing w:before="81" w:after="81"/>
        <w:ind w:left="0"/>
        <w:rPr>
          <w:rFonts w:ascii="宋体" w:hAnsi="宋体"/>
          <w:szCs w:val="28"/>
        </w:rPr>
      </w:pPr>
      <w:r>
        <w:rPr>
          <w:rFonts w:hint="eastAsia" w:ascii="宋体" w:hAnsi="宋体"/>
          <w:szCs w:val="28"/>
        </w:rPr>
        <w:t>检查检验申请单管理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具备检查、检验申请单开立功能。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具备检查、检验申请单打印功能。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具备检查、检验申请单与医嘱联动功能。</w:t>
      </w:r>
    </w:p>
    <w:p>
      <w:pPr>
        <w:pStyle w:val="8"/>
        <w:spacing w:before="81" w:after="81"/>
        <w:ind w:left="0"/>
        <w:rPr>
          <w:rFonts w:ascii="宋体" w:hAnsi="宋体"/>
          <w:szCs w:val="28"/>
        </w:rPr>
      </w:pPr>
      <w:r>
        <w:rPr>
          <w:rFonts w:hint="eastAsia" w:ascii="宋体" w:hAnsi="宋体"/>
          <w:szCs w:val="28"/>
        </w:rPr>
        <w:t>报告调阅</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▲支持与检查、检验系统对接，实现调阅检查、检验报告功能以及展示历史报告详细数据功能。</w:t>
      </w:r>
    </w:p>
    <w:p>
      <w:pPr>
        <w:pStyle w:val="8"/>
        <w:spacing w:before="81" w:after="81"/>
        <w:ind w:left="0"/>
        <w:rPr>
          <w:rFonts w:ascii="宋体" w:hAnsi="宋体"/>
          <w:szCs w:val="28"/>
        </w:rPr>
      </w:pPr>
      <w:r>
        <w:rPr>
          <w:rFonts w:hint="eastAsia" w:ascii="宋体" w:hAnsi="宋体"/>
          <w:szCs w:val="28"/>
        </w:rPr>
        <w:t>急诊手术申请</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具备手术申请单开立功能。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具备手术省钱单打印功能。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具备手术申请单与医嘱联动功能。</w:t>
      </w:r>
    </w:p>
    <w:p>
      <w:pPr>
        <w:pStyle w:val="8"/>
        <w:spacing w:before="81" w:after="81"/>
        <w:ind w:left="0"/>
        <w:rPr>
          <w:rFonts w:ascii="宋体" w:hAnsi="宋体"/>
          <w:szCs w:val="28"/>
        </w:rPr>
      </w:pPr>
      <w:r>
        <w:rPr>
          <w:rFonts w:hint="eastAsia" w:ascii="宋体" w:hAnsi="宋体"/>
          <w:szCs w:val="28"/>
        </w:rPr>
        <w:t>急诊时间轴</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▲具备通过统一视图展示患者在急诊科内连续的就诊信息功能。可查看单次急诊就诊阶段内的医嘱信息、病历信息及医技申请信息。</w:t>
      </w:r>
    </w:p>
    <w:p>
      <w:pPr>
        <w:pStyle w:val="8"/>
        <w:spacing w:before="81" w:after="81"/>
        <w:ind w:left="0"/>
        <w:rPr>
          <w:rFonts w:ascii="宋体" w:hAnsi="宋体"/>
          <w:szCs w:val="28"/>
        </w:rPr>
      </w:pPr>
      <w:r>
        <w:rPr>
          <w:rFonts w:hint="eastAsia" w:ascii="宋体" w:hAnsi="宋体"/>
          <w:szCs w:val="28"/>
        </w:rPr>
        <w:t>急诊会诊</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具备提供独立的会诊消息接收、处理及会诊意见反馈的页面功能，可用于嵌入医生站等其他医院信息系统中。</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具备急诊会诊及联合会诊申请、确认、转派、报道及会诊评价的闭环管理功能。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具备按时间自动生成会诊病历并归档到急诊病历功能。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具备会诊费用自动核算功能。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具备自动同步会诊目的、会诊意见等会诊信息并归档到急诊病历功能。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具备会诊时限站内提醒功能。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会诊消息支持通过短信平台推送功能。</w:t>
      </w:r>
    </w:p>
    <w:p>
      <w:pPr>
        <w:pStyle w:val="8"/>
        <w:spacing w:before="81" w:after="81"/>
        <w:ind w:left="0"/>
        <w:rPr>
          <w:rFonts w:ascii="宋体" w:hAnsi="宋体"/>
          <w:szCs w:val="28"/>
        </w:rPr>
      </w:pPr>
      <w:r>
        <w:rPr>
          <w:rFonts w:hint="eastAsia" w:ascii="宋体" w:hAnsi="宋体"/>
          <w:szCs w:val="28"/>
        </w:rPr>
        <w:t>急诊病历</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具备常见结构化病历的录入、打印、续打、补打功能。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▲具备急诊模板功能，包括：抢救病历、留观病历、诊间小病历、专病常用模板。</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具备历史病历信息导入功能。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具备在病历中导入医嘱、检查、检验、及时检测POCT及生命体征信息功能。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具备病历书写助手功能，提供常用特殊符号、图例标识、医学计算器及表格插入功能。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具备用户自定义病历模板、自定义病历内容段落功能，并可在书写过程中快速引用。</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具备病历修改痕迹查看功能。</w:t>
      </w:r>
    </w:p>
    <w:p>
      <w:pPr>
        <w:adjustRightInd w:val="0"/>
        <w:spacing w:before="81" w:after="163" w:afterLines="50"/>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▲具备就诊患者当次急诊诊疗阶段病历的连续集中展示，并在列表中根据患者在急诊科内抢救区、留观区、急诊流水区的实际流转情况对应显示相关病历书写所处阶段。</w:t>
      </w:r>
    </w:p>
    <w:p>
      <w:pPr>
        <w:pStyle w:val="7"/>
        <w:spacing w:before="81" w:after="81"/>
        <w:ind w:left="0"/>
        <w:rPr>
          <w:rFonts w:ascii="宋体" w:hAnsi="宋体"/>
        </w:rPr>
      </w:pPr>
      <w:r>
        <w:rPr>
          <w:rFonts w:hint="eastAsia" w:ascii="宋体" w:hAnsi="宋体"/>
        </w:rPr>
        <w:t>院前急救系统与院内系统对接</w:t>
      </w:r>
    </w:p>
    <w:p>
      <w:pPr>
        <w:spacing w:before="81" w:after="81"/>
        <w:ind w:firstLine="480"/>
      </w:pPr>
      <w:r>
        <w:rPr>
          <w:rFonts w:hint="eastAsia"/>
        </w:rPr>
        <w:t>支持与院前急救系统与院内系统对接，实现基本信息、体征采集信息、病历信息同步给院内信息系统。</w:t>
      </w:r>
    </w:p>
    <w:p>
      <w:pPr>
        <w:pStyle w:val="6"/>
        <w:spacing w:before="81" w:after="81"/>
        <w:ind w:left="0"/>
      </w:pPr>
      <w:r>
        <w:rPr>
          <w:rFonts w:hint="eastAsia"/>
        </w:rPr>
        <w:t>闭环管理系统</w:t>
      </w:r>
    </w:p>
    <w:p>
      <w:pPr>
        <w:pStyle w:val="7"/>
        <w:spacing w:before="81" w:after="81"/>
        <w:ind w:left="0"/>
        <w:rPr>
          <w:rFonts w:ascii="宋体" w:hAnsi="宋体"/>
        </w:rPr>
      </w:pPr>
      <w:r>
        <w:rPr>
          <w:rFonts w:hint="eastAsia" w:ascii="宋体" w:hAnsi="宋体"/>
        </w:rPr>
        <w:t>门诊检查危急值闭环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▲支持患者门诊检查危急值在各个医疗服务点上的人员、时间和状态的集中采集，节点包含 ：危急值生成、危急值复核、危急值发布、医生接收、医生处理危急值、危急值处理反馈、危急值医技确认。</w:t>
      </w:r>
    </w:p>
    <w:p>
      <w:pPr>
        <w:pStyle w:val="7"/>
        <w:spacing w:before="81" w:after="81"/>
        <w:ind w:left="0"/>
        <w:rPr>
          <w:rFonts w:ascii="宋体" w:hAnsi="宋体"/>
        </w:rPr>
      </w:pPr>
      <w:r>
        <w:rPr>
          <w:rFonts w:hint="eastAsia" w:ascii="宋体" w:hAnsi="宋体"/>
        </w:rPr>
        <w:t>住院检查危急值闭环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▲支持患者住院检查危急值在各个医疗服务点上的人员、时间和状态的集中采集，节点包含 ：危急值生成、危急值复核、危急值发布、护士接收、通知医生、医生接收、医生处理危急值、危急值处理反馈、危急值超时通知、危急值医技确认。</w:t>
      </w:r>
    </w:p>
    <w:p>
      <w:pPr>
        <w:pStyle w:val="7"/>
        <w:spacing w:before="81" w:after="81"/>
        <w:ind w:left="0"/>
        <w:rPr>
          <w:rFonts w:ascii="宋体" w:hAnsi="宋体"/>
        </w:rPr>
      </w:pPr>
      <w:r>
        <w:rPr>
          <w:rFonts w:hint="eastAsia" w:ascii="宋体" w:hAnsi="宋体"/>
        </w:rPr>
        <w:t>住院放射闭环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住院放射在各个医疗服务点上的人员、时间和状态的集中采集，节点包含：电子申请、检查申请撤回、医嘱审核、医嘱作废、医嘱执行、检查预约、检查离开、登记签到、分诊叫号、检查开始、检查结束、检查回来、诊断报告、诊断审核、报告发布、报告撤销。</w:t>
      </w:r>
    </w:p>
    <w:p>
      <w:pPr>
        <w:pStyle w:val="7"/>
        <w:spacing w:before="81" w:after="81"/>
        <w:ind w:left="0"/>
        <w:rPr>
          <w:rFonts w:ascii="宋体" w:hAnsi="宋体"/>
        </w:rPr>
      </w:pPr>
      <w:r>
        <w:rPr>
          <w:rFonts w:hint="eastAsia" w:ascii="宋体" w:hAnsi="宋体"/>
        </w:rPr>
        <w:t>住院超声闭环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▲支持患者住院超声在各个医疗服务点上的人员、时间和状态的集中采集，节点包含 ：电子申请、检查申请撤回、医嘱审核、医嘱作废、医嘱执行、检查预约、检查离开、登记签到、分诊叫号、检查开始、检查结束、检查回来、诊断报告、诊断审核、报告发布、报告撤销。</w:t>
      </w:r>
    </w:p>
    <w:p>
      <w:pPr>
        <w:pStyle w:val="7"/>
        <w:spacing w:before="81" w:after="81"/>
        <w:ind w:left="0"/>
        <w:rPr>
          <w:rFonts w:ascii="宋体" w:hAnsi="宋体"/>
        </w:rPr>
      </w:pPr>
      <w:r>
        <w:rPr>
          <w:rFonts w:hint="eastAsia" w:ascii="宋体" w:hAnsi="宋体"/>
        </w:rPr>
        <w:t>住院心电闭环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 xml:space="preserve">▲支持患者住院心电在各个医疗服务点上的人员、时间和状态的集中采集，节点包含 ：电子申请、检查申请撤回、医嘱审核、医嘱作废、医嘱执行、检查预约、检查离开、登记签到、分诊叫号、检查开始、检查结束、检查回来、诊断报告、诊断审核、报告发布、报告撤销。 </w:t>
      </w:r>
    </w:p>
    <w:p>
      <w:pPr>
        <w:pStyle w:val="7"/>
        <w:spacing w:before="81" w:after="81"/>
        <w:ind w:left="0"/>
        <w:rPr>
          <w:rFonts w:ascii="宋体" w:hAnsi="宋体"/>
        </w:rPr>
      </w:pPr>
      <w:r>
        <w:rPr>
          <w:rFonts w:hint="eastAsia" w:ascii="宋体" w:hAnsi="宋体"/>
        </w:rPr>
        <w:t>住院病理闭环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支持患者住院病理在各个医疗服务点上的人员、时间和状态的集中采集，节点包含 ：病理申请、医嘱审核、医嘱执行、条码打印、标本打包、护工标本接收、标本签收、入库、登记、取材、脱水、包埋、切片、诊断。</w:t>
      </w:r>
    </w:p>
    <w:p>
      <w:pPr>
        <w:pStyle w:val="7"/>
        <w:spacing w:before="81" w:after="81"/>
        <w:ind w:left="0"/>
        <w:rPr>
          <w:rFonts w:ascii="宋体" w:hAnsi="宋体"/>
        </w:rPr>
      </w:pPr>
      <w:r>
        <w:rPr>
          <w:rFonts w:hint="eastAsia" w:ascii="宋体" w:hAnsi="宋体"/>
        </w:rPr>
        <w:t>门诊放射闭环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支持患者门诊放射在各个医疗服务点上的人员、时间和状态的集中采集，节点包含 ：检查申请单开立、缴费、检查预约、登记签到、分诊叫号、检查开始、检查结束、诊断报告、诊断审核、报告发布、报告撤销。</w:t>
      </w:r>
    </w:p>
    <w:p>
      <w:pPr>
        <w:pStyle w:val="7"/>
        <w:spacing w:before="81" w:after="81"/>
        <w:ind w:left="0"/>
        <w:rPr>
          <w:rFonts w:ascii="宋体" w:hAnsi="宋体"/>
        </w:rPr>
      </w:pPr>
      <w:r>
        <w:rPr>
          <w:rFonts w:hint="eastAsia" w:ascii="宋体" w:hAnsi="宋体"/>
        </w:rPr>
        <w:t>门诊超声闭环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支持患者门诊超声在各个医疗服务点上的人员、时间和状态的集中采集，节点包含 ：检查申请单开立、缴费、检查预约、登记签到、分诊叫号、检查开始、检查结束、诊断报告、诊断审核、报告发布、报告撤销。</w:t>
      </w:r>
    </w:p>
    <w:p>
      <w:pPr>
        <w:pStyle w:val="7"/>
        <w:spacing w:before="81" w:after="81"/>
        <w:ind w:left="0"/>
        <w:rPr>
          <w:rFonts w:ascii="宋体" w:hAnsi="宋体"/>
        </w:rPr>
      </w:pPr>
      <w:r>
        <w:rPr>
          <w:rFonts w:hint="eastAsia" w:ascii="宋体" w:hAnsi="宋体"/>
        </w:rPr>
        <w:t>门诊心电闭环</w:t>
      </w:r>
    </w:p>
    <w:p>
      <w:pPr>
        <w:adjustRightInd w:val="0"/>
        <w:spacing w:before="81" w:after="163" w:afterLines="50"/>
        <w:ind w:firstLine="480"/>
      </w:pPr>
      <w:r>
        <w:rPr>
          <w:rFonts w:hint="eastAsia" w:ascii="宋体" w:hAnsi="宋体" w:eastAsia="宋体" w:cs="宋体"/>
          <w:color w:val="000000" w:themeColor="text1"/>
          <w:szCs w:val="24"/>
          <w14:textFill>
            <w14:solidFill>
              <w14:schemeClr w14:val="tx1"/>
            </w14:solidFill>
          </w14:textFill>
        </w:rPr>
        <w:t>支持患者门诊心电在各个医疗服务点上的人员、时间和状态的集中采集，节点包含 ：检查申请单开立、缴费、检查预约、登记签到、分诊叫号、检查开始、检查结束、诊断报告、诊断审核、报告发布、报告撤销。</w:t>
      </w:r>
    </w:p>
    <w:p>
      <w:pPr>
        <w:pStyle w:val="6"/>
        <w:spacing w:before="81" w:after="81"/>
        <w:ind w:left="0"/>
      </w:pPr>
      <w:r>
        <w:rPr>
          <w:rFonts w:hint="eastAsia"/>
        </w:rPr>
        <w:t>医技便民服务系统</w:t>
      </w:r>
    </w:p>
    <w:p>
      <w:pPr>
        <w:pStyle w:val="7"/>
        <w:spacing w:before="81" w:after="81"/>
        <w:ind w:left="0"/>
        <w:rPr>
          <w:rFonts w:ascii="宋体" w:hAnsi="宋体"/>
        </w:rPr>
      </w:pPr>
      <w:r>
        <w:rPr>
          <w:rFonts w:hint="eastAsia" w:ascii="宋体" w:hAnsi="宋体"/>
        </w:rPr>
        <w:t>检验便民服务</w:t>
      </w:r>
    </w:p>
    <w:p>
      <w:pPr>
        <w:pStyle w:val="8"/>
        <w:spacing w:before="81" w:after="81"/>
        <w:ind w:left="0"/>
        <w:rPr>
          <w:rFonts w:ascii="宋体" w:hAnsi="宋体"/>
          <w:szCs w:val="28"/>
        </w:rPr>
      </w:pPr>
      <w:r>
        <w:rPr>
          <w:rFonts w:hint="eastAsia" w:ascii="宋体" w:hAnsi="宋体"/>
          <w:szCs w:val="28"/>
        </w:rPr>
        <w:t>检验自动取报告</w:t>
      </w:r>
    </w:p>
    <w:p>
      <w:pPr>
        <w:spacing w:before="81" w:after="81"/>
        <w:ind w:firstLine="480"/>
      </w:pPr>
      <w:r>
        <w:rPr>
          <w:rFonts w:hint="eastAsia"/>
        </w:rPr>
        <w:t>支持患者</w:t>
      </w:r>
      <w:r>
        <w:t>插入医院门诊卡或医保卡同时打印LIS化验报告</w:t>
      </w:r>
      <w:r>
        <w:rPr>
          <w:rFonts w:hint="eastAsia"/>
        </w:rPr>
        <w:t>；</w:t>
      </w:r>
    </w:p>
    <w:p>
      <w:pPr>
        <w:spacing w:before="81" w:after="81"/>
        <w:ind w:firstLine="480"/>
      </w:pPr>
      <w:r>
        <w:rPr>
          <w:rFonts w:hint="eastAsia"/>
        </w:rPr>
        <w:t>支持</w:t>
      </w:r>
      <w:r>
        <w:t>自助报告打印服务</w:t>
      </w:r>
      <w:r>
        <w:rPr>
          <w:rFonts w:hint="eastAsia"/>
        </w:rPr>
        <w:t>；</w:t>
      </w:r>
    </w:p>
    <w:p>
      <w:pPr>
        <w:spacing w:before="81" w:after="81"/>
        <w:ind w:firstLine="480"/>
      </w:pPr>
      <w:r>
        <w:rPr>
          <w:rFonts w:hint="eastAsia"/>
        </w:rPr>
        <w:t>支持</w:t>
      </w:r>
      <w:r>
        <w:t>使用病人门诊卡</w:t>
      </w:r>
      <w:r>
        <w:rPr>
          <w:rFonts w:hint="eastAsia"/>
        </w:rPr>
        <w:t>（</w:t>
      </w:r>
      <w:r>
        <w:t>医保卡</w:t>
      </w:r>
      <w:r>
        <w:rPr>
          <w:rFonts w:hint="eastAsia"/>
        </w:rPr>
        <w:t>）</w:t>
      </w:r>
      <w:r>
        <w:t>或检验回执单自助取单</w:t>
      </w:r>
      <w:r>
        <w:rPr>
          <w:rFonts w:hint="eastAsia"/>
        </w:rPr>
        <w:t>。</w:t>
      </w:r>
    </w:p>
    <w:p>
      <w:pPr>
        <w:pStyle w:val="8"/>
        <w:spacing w:before="81" w:after="81"/>
        <w:ind w:left="0"/>
        <w:rPr>
          <w:rFonts w:ascii="宋体" w:hAnsi="宋体"/>
          <w:szCs w:val="28"/>
        </w:rPr>
      </w:pPr>
      <w:r>
        <w:rPr>
          <w:rFonts w:hint="eastAsia" w:ascii="宋体" w:hAnsi="宋体"/>
          <w:szCs w:val="28"/>
        </w:rPr>
        <w:t>取报告通知大屏服务/TAT大屏服务/危急值大屏服务等</w:t>
      </w:r>
    </w:p>
    <w:p>
      <w:pPr>
        <w:spacing w:before="81" w:after="81"/>
        <w:ind w:firstLine="480"/>
      </w:pPr>
      <w:r>
        <w:rPr>
          <w:rFonts w:hint="eastAsia"/>
        </w:rPr>
        <w:t>支持对</w:t>
      </w:r>
      <w:r>
        <w:t>全院检验及检验相关数据进行统一的大屏动态展示</w:t>
      </w:r>
      <w:r>
        <w:rPr>
          <w:rFonts w:hint="eastAsia"/>
        </w:rPr>
        <w:t>；</w:t>
      </w:r>
    </w:p>
    <w:p>
      <w:pPr>
        <w:spacing w:before="81" w:after="81"/>
        <w:ind w:firstLine="480"/>
      </w:pPr>
      <w:r>
        <w:rPr>
          <w:rFonts w:hint="eastAsia"/>
        </w:rPr>
        <w:t>支持</w:t>
      </w:r>
      <w:r>
        <w:t>报告信息发布：当检验医师将检验报告审核完成后，将该患者信息推送到报告大屏上（包括病人姓名、提示信息等）</w:t>
      </w:r>
      <w:r>
        <w:rPr>
          <w:rFonts w:hint="eastAsia"/>
        </w:rPr>
        <w:t>；</w:t>
      </w:r>
    </w:p>
    <w:p>
      <w:pPr>
        <w:spacing w:before="81" w:after="81"/>
        <w:ind w:firstLine="480"/>
      </w:pPr>
      <w:r>
        <w:rPr>
          <w:rFonts w:hint="eastAsia"/>
        </w:rPr>
        <w:t>支持</w:t>
      </w:r>
      <w:r>
        <w:t>样本TAT和危急值（大屏提示）超时提醒</w:t>
      </w:r>
      <w:r>
        <w:rPr>
          <w:rFonts w:hint="eastAsia"/>
        </w:rPr>
        <w:t>功能及</w:t>
      </w:r>
      <w:r>
        <w:t>不合格标本退回并记录，自动通知临床并汇总</w:t>
      </w:r>
      <w:r>
        <w:rPr>
          <w:rFonts w:hint="eastAsia"/>
        </w:rPr>
        <w:t>功能；</w:t>
      </w:r>
    </w:p>
    <w:p>
      <w:pPr>
        <w:spacing w:before="81" w:after="81"/>
        <w:ind w:firstLine="480"/>
      </w:pPr>
      <w:r>
        <w:rPr>
          <w:rFonts w:hint="eastAsia"/>
        </w:rPr>
        <w:t>支持</w:t>
      </w:r>
      <w:r>
        <w:t>TAT及合格率统计</w:t>
      </w:r>
      <w:r>
        <w:rPr>
          <w:rFonts w:hint="eastAsia"/>
        </w:rPr>
        <w:t>和</w:t>
      </w:r>
      <w:r>
        <w:t>TAT图形展示</w:t>
      </w:r>
      <w:r>
        <w:rPr>
          <w:rFonts w:hint="eastAsia"/>
        </w:rPr>
        <w:t>。</w:t>
      </w:r>
    </w:p>
    <w:p>
      <w:pPr>
        <w:pStyle w:val="7"/>
        <w:spacing w:before="81" w:after="81"/>
        <w:ind w:left="0"/>
        <w:rPr>
          <w:rFonts w:ascii="宋体" w:hAnsi="宋体"/>
        </w:rPr>
      </w:pPr>
      <w:r>
        <w:rPr>
          <w:rFonts w:hint="eastAsia" w:ascii="宋体" w:hAnsi="宋体"/>
        </w:rPr>
        <w:t>检查便民服务</w:t>
      </w:r>
    </w:p>
    <w:p>
      <w:pPr>
        <w:pStyle w:val="8"/>
        <w:spacing w:before="81" w:after="81"/>
        <w:ind w:left="0"/>
        <w:rPr>
          <w:rFonts w:ascii="宋体" w:hAnsi="宋体"/>
          <w:szCs w:val="28"/>
        </w:rPr>
      </w:pPr>
      <w:r>
        <w:rPr>
          <w:rFonts w:hint="eastAsia" w:ascii="宋体" w:hAnsi="宋体"/>
          <w:szCs w:val="28"/>
        </w:rPr>
        <w:t>检查自动取报告</w:t>
      </w:r>
    </w:p>
    <w:p>
      <w:pPr>
        <w:spacing w:before="81" w:after="81"/>
        <w:ind w:firstLine="480"/>
      </w:pPr>
      <w:r>
        <w:rPr>
          <w:rFonts w:hint="eastAsia"/>
        </w:rPr>
        <w:t>支持打印患者取报告回执单，供患者自助机或报告工作台打印报告；</w:t>
      </w:r>
    </w:p>
    <w:p>
      <w:pPr>
        <w:spacing w:before="81" w:after="81"/>
        <w:ind w:firstLine="480"/>
      </w:pPr>
      <w:r>
        <w:rPr>
          <w:rFonts w:hint="eastAsia"/>
        </w:rPr>
        <w:t>支持</w:t>
      </w:r>
      <w:r>
        <w:t>点击</w:t>
      </w:r>
      <w:r>
        <w:rPr>
          <w:rFonts w:hint="eastAsia"/>
        </w:rPr>
        <w:t>检查报告按钮，先调用硬件监控，检查报告打印机是否缺纸、故障等，若缺纸、故障时直接提示患者联系管理人员进行加纸或维修；</w:t>
      </w:r>
    </w:p>
    <w:p>
      <w:pPr>
        <w:spacing w:before="81" w:after="81"/>
        <w:ind w:firstLine="480"/>
      </w:pPr>
      <w:r>
        <w:rPr>
          <w:rFonts w:hint="eastAsia"/>
        </w:rPr>
        <w:t>支持正常情况下调用医技系统接口进行门诊检查报告打印。</w:t>
      </w:r>
    </w:p>
    <w:p>
      <w:pPr>
        <w:pStyle w:val="6"/>
        <w:spacing w:before="81" w:after="81"/>
        <w:ind w:left="0"/>
      </w:pPr>
      <w:r>
        <w:rPr>
          <w:rFonts w:hint="eastAsia"/>
        </w:rPr>
        <w:t>智能预问诊</w:t>
      </w:r>
    </w:p>
    <w:p>
      <w:pPr>
        <w:pStyle w:val="7"/>
        <w:spacing w:before="81" w:after="81"/>
        <w:ind w:left="0"/>
        <w:rPr>
          <w:rFonts w:ascii="宋体" w:hAnsi="宋体"/>
        </w:rPr>
      </w:pPr>
      <w:r>
        <w:rPr>
          <w:rFonts w:hint="eastAsia" w:ascii="宋体" w:hAnsi="宋体"/>
        </w:rPr>
        <w:t>病情信息智能采集</w:t>
      </w:r>
    </w:p>
    <w:p>
      <w:pPr>
        <w:spacing w:before="81" w:after="81"/>
        <w:ind w:firstLine="480"/>
      </w:pPr>
      <w:r>
        <w:rPr>
          <w:rFonts w:hint="eastAsia"/>
        </w:rPr>
        <w:t>支持患者端通过对话的方式智能采集患者病情信息；</w:t>
      </w:r>
    </w:p>
    <w:p>
      <w:pPr>
        <w:spacing w:before="81" w:after="81"/>
        <w:ind w:firstLine="480"/>
      </w:pPr>
      <w:r>
        <w:rPr>
          <w:rFonts w:hint="eastAsia"/>
        </w:rPr>
        <w:t>支持单选、多选、填空等多种题型，同时选项支持文字、图片和语音等多种选项类型。</w:t>
      </w:r>
    </w:p>
    <w:p>
      <w:pPr>
        <w:pStyle w:val="7"/>
        <w:spacing w:before="81" w:after="81"/>
        <w:ind w:left="0"/>
        <w:rPr>
          <w:rFonts w:ascii="宋体" w:hAnsi="宋体"/>
        </w:rPr>
      </w:pPr>
      <w:r>
        <w:rPr>
          <w:rFonts w:hint="eastAsia" w:ascii="宋体" w:hAnsi="宋体"/>
        </w:rPr>
        <w:t>智能语音转译</w:t>
      </w:r>
    </w:p>
    <w:p>
      <w:pPr>
        <w:spacing w:before="81" w:after="81"/>
        <w:ind w:firstLine="480"/>
      </w:pPr>
      <w:r>
        <w:rPr>
          <w:rFonts w:hint="eastAsia"/>
        </w:rPr>
        <w:t>具备语音转译功能，支持患者语音录入信息。</w:t>
      </w:r>
    </w:p>
    <w:p>
      <w:pPr>
        <w:pStyle w:val="7"/>
        <w:spacing w:before="81" w:after="81"/>
        <w:ind w:left="0"/>
        <w:rPr>
          <w:rFonts w:ascii="宋体" w:hAnsi="宋体"/>
        </w:rPr>
      </w:pPr>
      <w:r>
        <w:rPr>
          <w:rFonts w:hint="eastAsia" w:ascii="宋体" w:hAnsi="宋体"/>
        </w:rPr>
        <w:t>结构化预问诊报告</w:t>
      </w:r>
    </w:p>
    <w:p>
      <w:pPr>
        <w:spacing w:before="81" w:after="81"/>
        <w:ind w:firstLine="480"/>
      </w:pPr>
      <w:r>
        <w:rPr>
          <w:rFonts w:hint="eastAsia" w:ascii="宋体" w:hAnsi="宋体" w:eastAsia="宋体" w:cs="宋体"/>
          <w:color w:val="000000" w:themeColor="text1"/>
          <w:szCs w:val="24"/>
          <w14:textFill>
            <w14:solidFill>
              <w14:schemeClr w14:val="tx1"/>
            </w14:solidFill>
          </w14:textFill>
        </w:rPr>
        <w:t>▲</w:t>
      </w:r>
      <w:r>
        <w:rPr>
          <w:rFonts w:hint="eastAsia"/>
        </w:rPr>
        <w:t>支持根据病历书写规范，将信息进行结构化的转换，并在问卷作答完成后向患者进行展示。</w:t>
      </w:r>
    </w:p>
    <w:p>
      <w:pPr>
        <w:pStyle w:val="7"/>
        <w:spacing w:before="81" w:after="81"/>
        <w:ind w:left="0"/>
        <w:rPr>
          <w:rFonts w:ascii="宋体" w:hAnsi="宋体"/>
        </w:rPr>
      </w:pPr>
      <w:r>
        <w:rPr>
          <w:rFonts w:hint="eastAsia" w:ascii="宋体" w:hAnsi="宋体"/>
        </w:rPr>
        <w:t>预问诊病历引入</w:t>
      </w:r>
    </w:p>
    <w:p>
      <w:pPr>
        <w:spacing w:before="81" w:after="81"/>
        <w:ind w:firstLine="480"/>
      </w:pPr>
      <w:r>
        <w:rPr>
          <w:rFonts w:hint="eastAsia" w:ascii="宋体" w:hAnsi="宋体" w:eastAsia="宋体" w:cs="宋体"/>
          <w:color w:val="000000" w:themeColor="text1"/>
          <w:szCs w:val="24"/>
          <w14:textFill>
            <w14:solidFill>
              <w14:schemeClr w14:val="tx1"/>
            </w14:solidFill>
          </w14:textFill>
        </w:rPr>
        <w:t>▲</w:t>
      </w:r>
      <w:r>
        <w:rPr>
          <w:rFonts w:hint="eastAsia"/>
        </w:rPr>
        <w:t>支持对接院内医生工作站，将系统记录预问诊报告引入病历数据中，便于医生查看。</w:t>
      </w:r>
    </w:p>
    <w:p>
      <w:pPr>
        <w:pStyle w:val="7"/>
        <w:spacing w:before="81" w:after="81"/>
        <w:ind w:left="0"/>
        <w:rPr>
          <w:rFonts w:ascii="宋体" w:hAnsi="宋体"/>
        </w:rPr>
      </w:pPr>
      <w:r>
        <w:rPr>
          <w:rFonts w:hint="eastAsia" w:ascii="宋体" w:hAnsi="宋体"/>
        </w:rPr>
        <w:t>基础问卷知识库</w:t>
      </w:r>
    </w:p>
    <w:p>
      <w:pPr>
        <w:spacing w:before="81" w:after="81"/>
        <w:ind w:firstLine="480"/>
      </w:pPr>
      <w:r>
        <w:rPr>
          <w:rFonts w:hint="eastAsia"/>
        </w:rPr>
        <w:t>支持内置基础知识库，提供各科室的基础问卷。</w:t>
      </w:r>
    </w:p>
    <w:p>
      <w:pPr>
        <w:pStyle w:val="7"/>
        <w:spacing w:before="81" w:after="81"/>
        <w:ind w:left="0"/>
        <w:rPr>
          <w:rFonts w:ascii="宋体" w:hAnsi="宋体"/>
        </w:rPr>
      </w:pPr>
      <w:r>
        <w:rPr>
          <w:rFonts w:hint="eastAsia" w:ascii="宋体" w:hAnsi="宋体"/>
        </w:rPr>
        <w:t>预问诊模板管理</w:t>
      </w:r>
    </w:p>
    <w:p>
      <w:pPr>
        <w:spacing w:before="81" w:after="81"/>
        <w:ind w:firstLine="480"/>
      </w:pPr>
      <w:r>
        <w:rPr>
          <w:rFonts w:hint="eastAsia" w:ascii="宋体" w:hAnsi="宋体" w:eastAsia="宋体" w:cs="宋体"/>
          <w:color w:val="000000" w:themeColor="text1"/>
          <w:szCs w:val="24"/>
          <w14:textFill>
            <w14:solidFill>
              <w14:schemeClr w14:val="tx1"/>
            </w14:solidFill>
          </w14:textFill>
        </w:rPr>
        <w:t>▲</w:t>
      </w:r>
      <w:r>
        <w:rPr>
          <w:rFonts w:hint="eastAsia"/>
        </w:rPr>
        <w:t>支持医院、医生结合自身情况在预问诊后台建立符合要求的个性化模板，包括问题内容、选项内容及对应解释等；</w:t>
      </w:r>
    </w:p>
    <w:p>
      <w:pPr>
        <w:spacing w:before="81" w:after="81"/>
        <w:ind w:firstLine="480"/>
      </w:pPr>
      <w:r>
        <w:rPr>
          <w:rFonts w:hint="eastAsia"/>
        </w:rPr>
        <w:t>支持已有模板情况下，内容上的修改和编辑；</w:t>
      </w:r>
    </w:p>
    <w:p>
      <w:pPr>
        <w:spacing w:before="81" w:after="81"/>
        <w:ind w:firstLine="480"/>
      </w:pPr>
      <w:r>
        <w:rPr>
          <w:rFonts w:hint="eastAsia"/>
        </w:rPr>
        <w:t>支持对于既有模板的分类、查看；</w:t>
      </w:r>
    </w:p>
    <w:p>
      <w:pPr>
        <w:spacing w:before="81" w:after="81"/>
        <w:ind w:firstLine="480"/>
      </w:pPr>
      <w:r>
        <w:rPr>
          <w:rFonts w:hint="eastAsia"/>
        </w:rPr>
        <w:t>支持申请下载申康平台模板。</w:t>
      </w:r>
    </w:p>
    <w:p>
      <w:pPr>
        <w:pStyle w:val="7"/>
        <w:spacing w:before="81" w:after="81"/>
        <w:ind w:left="0"/>
        <w:rPr>
          <w:rFonts w:ascii="宋体" w:hAnsi="宋体"/>
        </w:rPr>
      </w:pPr>
      <w:r>
        <w:rPr>
          <w:rFonts w:hint="eastAsia" w:ascii="宋体" w:hAnsi="宋体"/>
        </w:rPr>
        <w:t>预问诊业务监管</w:t>
      </w:r>
    </w:p>
    <w:p>
      <w:pPr>
        <w:spacing w:before="81" w:after="81"/>
        <w:ind w:firstLine="480"/>
      </w:pPr>
      <w:r>
        <w:rPr>
          <w:rFonts w:hint="eastAsia"/>
        </w:rPr>
        <w:t>基础数据监控：支持对医院科室、医生及患者数据进行查询和管理。</w:t>
      </w:r>
    </w:p>
    <w:p>
      <w:pPr>
        <w:spacing w:before="81" w:after="81"/>
        <w:ind w:firstLine="480"/>
      </w:pPr>
      <w:r>
        <w:rPr>
          <w:rFonts w:hint="eastAsia"/>
        </w:rPr>
        <w:t>业务数据监控：支持查看模板数量、模板使用情况及患者作答情况等数据。</w:t>
      </w:r>
    </w:p>
    <w:p>
      <w:pPr>
        <w:spacing w:before="81" w:after="81"/>
        <w:ind w:firstLine="480"/>
      </w:pPr>
      <w:r>
        <w:rPr>
          <w:rFonts w:hint="eastAsia"/>
        </w:rPr>
        <w:t>预问诊数据分析：预问诊后台同时支持多项预问诊数据分析，包含：预问诊效益分析和预问诊病种分析，辅助医院进行运营决策。</w:t>
      </w:r>
    </w:p>
    <w:p>
      <w:pPr>
        <w:spacing w:before="81" w:after="81"/>
        <w:ind w:firstLine="480"/>
      </w:pPr>
      <w:r>
        <w:rPr>
          <w:rFonts w:hint="eastAsia"/>
        </w:rPr>
        <w:t>病历数据使用分析：支持包含统计病历书写率占比、每天病历使用数量、平均每天使用率等。</w:t>
      </w:r>
    </w:p>
    <w:p>
      <w:pPr>
        <w:pStyle w:val="6"/>
        <w:spacing w:before="81" w:after="81"/>
        <w:ind w:left="0"/>
      </w:pPr>
      <w:r>
        <w:rPr>
          <w:rFonts w:hint="eastAsia"/>
        </w:rPr>
        <w:t>电子病历卡和电子出院小结</w:t>
      </w:r>
    </w:p>
    <w:p>
      <w:pPr>
        <w:pStyle w:val="7"/>
        <w:spacing w:before="81" w:after="81"/>
        <w:ind w:left="0"/>
        <w:rPr>
          <w:rFonts w:ascii="宋体" w:hAnsi="宋体"/>
        </w:rPr>
      </w:pPr>
      <w:r>
        <w:rPr>
          <w:rFonts w:hint="eastAsia" w:ascii="宋体" w:hAnsi="宋体"/>
        </w:rPr>
        <w:t>电子记录册</w:t>
      </w:r>
    </w:p>
    <w:p>
      <w:pPr>
        <w:pStyle w:val="8"/>
        <w:spacing w:before="81" w:after="81"/>
        <w:ind w:left="0"/>
        <w:rPr>
          <w:rFonts w:ascii="宋体" w:hAnsi="宋体"/>
          <w:szCs w:val="28"/>
        </w:rPr>
      </w:pPr>
      <w:r>
        <w:rPr>
          <w:rFonts w:hint="eastAsia" w:ascii="宋体" w:hAnsi="宋体"/>
          <w:szCs w:val="28"/>
        </w:rPr>
        <w:t>线上患者电子病历册</w:t>
      </w:r>
    </w:p>
    <w:p>
      <w:pPr>
        <w:spacing w:before="163" w:beforeLines="50" w:after="81"/>
        <w:ind w:firstLine="480"/>
      </w:pPr>
      <w:r>
        <w:rPr>
          <w:rFonts w:hint="eastAsia" w:ascii="宋体" w:hAnsi="宋体" w:cs="宋体"/>
          <w:szCs w:val="24"/>
        </w:rPr>
        <w:t>实现患者在智能终端任意渠道可在线按需查看历次就诊医保电子记录册，支持按就诊医院、就诊卡、就诊时间等数据进行病历筛选查询。</w:t>
      </w:r>
    </w:p>
    <w:p>
      <w:pPr>
        <w:pStyle w:val="8"/>
        <w:spacing w:before="81" w:after="81"/>
        <w:ind w:left="0"/>
        <w:rPr>
          <w:rFonts w:ascii="宋体" w:hAnsi="宋体"/>
          <w:szCs w:val="28"/>
        </w:rPr>
      </w:pPr>
      <w:r>
        <w:rPr>
          <w:rFonts w:hint="eastAsia" w:ascii="宋体" w:hAnsi="宋体"/>
          <w:szCs w:val="28"/>
        </w:rPr>
        <w:t>门诊电子病历PDF电子签章</w:t>
      </w:r>
    </w:p>
    <w:p>
      <w:pPr>
        <w:spacing w:before="163" w:beforeLines="50" w:after="81"/>
        <w:ind w:firstLine="480"/>
      </w:pPr>
      <w:r>
        <w:rPr>
          <w:rFonts w:hint="eastAsia" w:ascii="宋体" w:hAnsi="宋体" w:cs="宋体"/>
          <w:szCs w:val="24"/>
        </w:rPr>
        <w:t>实现将电子病历自动导出为PDF并生成电子签章进行存档，以便后续外部查阅，支持门诊业务系统直接通过电子签章系统完成门诊电子病历签署。</w:t>
      </w:r>
    </w:p>
    <w:p>
      <w:pPr>
        <w:pStyle w:val="8"/>
        <w:spacing w:before="81" w:after="81"/>
        <w:ind w:left="0"/>
        <w:rPr>
          <w:rFonts w:ascii="宋体" w:hAnsi="宋体"/>
          <w:szCs w:val="28"/>
        </w:rPr>
      </w:pPr>
      <w:r>
        <w:rPr>
          <w:rFonts w:hint="eastAsia" w:ascii="宋体" w:hAnsi="宋体"/>
          <w:szCs w:val="28"/>
        </w:rPr>
        <w:t>门诊电子病历自助打印</w:t>
      </w:r>
    </w:p>
    <w:p>
      <w:pPr>
        <w:spacing w:before="163" w:beforeLines="50" w:after="81"/>
        <w:ind w:firstLine="480"/>
      </w:pPr>
      <w:r>
        <w:rPr>
          <w:rFonts w:hint="eastAsia" w:ascii="宋体" w:hAnsi="宋体" w:cs="宋体"/>
          <w:szCs w:val="24"/>
        </w:rPr>
        <w:t>支持患者按需在自助机按照就诊时间、就诊科室等数据筛选本院就诊门诊病历数据，按需选择打印门诊电子病历。</w:t>
      </w:r>
    </w:p>
    <w:p>
      <w:pPr>
        <w:pStyle w:val="7"/>
        <w:spacing w:before="81" w:after="81"/>
        <w:ind w:left="0"/>
        <w:rPr>
          <w:rFonts w:ascii="宋体" w:hAnsi="宋体"/>
        </w:rPr>
      </w:pPr>
      <w:r>
        <w:rPr>
          <w:rFonts w:hint="eastAsia" w:ascii="宋体" w:hAnsi="宋体"/>
        </w:rPr>
        <w:t>电子出院小结</w:t>
      </w:r>
    </w:p>
    <w:p>
      <w:pPr>
        <w:pStyle w:val="8"/>
        <w:spacing w:before="81" w:after="81"/>
        <w:ind w:left="0"/>
        <w:rPr>
          <w:rFonts w:ascii="宋体" w:hAnsi="宋体"/>
          <w:szCs w:val="28"/>
        </w:rPr>
      </w:pPr>
      <w:r>
        <w:rPr>
          <w:rFonts w:hint="eastAsia" w:ascii="宋体" w:hAnsi="宋体"/>
          <w:szCs w:val="28"/>
        </w:rPr>
        <w:t>出院小结PDF电子签章</w:t>
      </w:r>
    </w:p>
    <w:p>
      <w:pPr>
        <w:autoSpaceDE w:val="0"/>
        <w:autoSpaceDN w:val="0"/>
        <w:adjustRightInd w:val="0"/>
        <w:snapToGrid w:val="0"/>
        <w:spacing w:before="81" w:after="81"/>
        <w:ind w:firstLine="480"/>
        <w:jc w:val="left"/>
        <w:rPr>
          <w:rFonts w:ascii="宋体" w:hAnsi="宋体" w:cs="宋体"/>
        </w:rPr>
      </w:pPr>
      <w:r>
        <w:rPr>
          <w:rFonts w:hint="eastAsia" w:ascii="宋体" w:hAnsi="宋体" w:cs="宋体"/>
        </w:rPr>
        <w:t>要求实现将出院小结自动导出为PDF并生成电子签章进行存档，以便后续外部查阅，支持住院业务系统直接通过电子签章系统完成出院小结签署。</w:t>
      </w:r>
    </w:p>
    <w:p>
      <w:pPr>
        <w:pStyle w:val="8"/>
        <w:spacing w:before="81" w:after="81"/>
        <w:ind w:left="0"/>
        <w:rPr>
          <w:rFonts w:ascii="宋体" w:hAnsi="宋体"/>
          <w:szCs w:val="28"/>
        </w:rPr>
      </w:pPr>
      <w:r>
        <w:rPr>
          <w:rFonts w:hint="eastAsia" w:ascii="宋体" w:hAnsi="宋体"/>
          <w:szCs w:val="28"/>
        </w:rPr>
        <w:t>出院小结PDF上传服务</w:t>
      </w:r>
    </w:p>
    <w:p>
      <w:pPr>
        <w:spacing w:before="163" w:beforeLines="50" w:after="81"/>
        <w:ind w:firstLine="480"/>
      </w:pPr>
      <w:r>
        <w:rPr>
          <w:rFonts w:hint="eastAsia" w:cs="宋体"/>
          <w:color w:val="000000"/>
          <w:kern w:val="0"/>
          <w:lang w:bidi="ar"/>
        </w:rPr>
        <w:t>支</w:t>
      </w:r>
      <w:r>
        <w:rPr>
          <w:rFonts w:hint="eastAsia" w:ascii="宋体" w:hAnsi="宋体" w:cs="宋体"/>
          <w:szCs w:val="24"/>
        </w:rPr>
        <w:t>持依据市级接口方案将已进行签章的电子出院小结PDF文档上传至大数据中心数据库。</w:t>
      </w:r>
    </w:p>
    <w:p>
      <w:pPr>
        <w:pStyle w:val="8"/>
        <w:spacing w:before="81" w:after="81"/>
        <w:ind w:left="0"/>
        <w:rPr>
          <w:rFonts w:ascii="宋体" w:hAnsi="宋体"/>
          <w:szCs w:val="28"/>
        </w:rPr>
      </w:pPr>
      <w:r>
        <w:rPr>
          <w:rFonts w:hint="eastAsia" w:ascii="宋体" w:hAnsi="宋体"/>
          <w:szCs w:val="28"/>
        </w:rPr>
        <w:t>线上电子出院小结推送及展示</w:t>
      </w:r>
    </w:p>
    <w:p>
      <w:pPr>
        <w:spacing w:before="163" w:beforeLines="50" w:after="81"/>
        <w:ind w:firstLine="480"/>
        <w:rPr>
          <w:rFonts w:ascii="宋体" w:hAnsi="宋体" w:cs="宋体"/>
          <w:szCs w:val="24"/>
        </w:rPr>
      </w:pPr>
      <w:r>
        <w:rPr>
          <w:rFonts w:hint="eastAsia" w:ascii="宋体" w:hAnsi="宋体" w:cs="宋体"/>
          <w:szCs w:val="24"/>
        </w:rPr>
        <w:t>支持</w:t>
      </w:r>
      <w:r>
        <w:rPr>
          <w:rFonts w:ascii="宋体" w:hAnsi="宋体" w:cs="宋体"/>
          <w:szCs w:val="24"/>
        </w:rPr>
        <w:t>向出院患者自动推送出院小结消息提示</w:t>
      </w:r>
      <w:r>
        <w:rPr>
          <w:rFonts w:hint="eastAsia" w:ascii="宋体" w:hAnsi="宋体" w:cs="宋体"/>
          <w:szCs w:val="24"/>
        </w:rPr>
        <w:t>；</w:t>
      </w:r>
    </w:p>
    <w:p>
      <w:pPr>
        <w:spacing w:before="163" w:beforeLines="50" w:after="81"/>
        <w:ind w:firstLine="480"/>
        <w:rPr>
          <w:rFonts w:ascii="宋体" w:hAnsi="宋体" w:cs="宋体"/>
          <w:szCs w:val="24"/>
        </w:rPr>
      </w:pPr>
      <w:r>
        <w:rPr>
          <w:rFonts w:ascii="宋体" w:hAnsi="宋体" w:cs="宋体"/>
          <w:szCs w:val="24"/>
        </w:rPr>
        <w:t>支持患者在微信端通过身份校验后查看出院小结</w:t>
      </w:r>
      <w:r>
        <w:rPr>
          <w:rFonts w:hint="eastAsia" w:ascii="宋体" w:hAnsi="宋体" w:cs="宋体"/>
          <w:szCs w:val="24"/>
        </w:rPr>
        <w:t>，</w:t>
      </w:r>
      <w:r>
        <w:rPr>
          <w:rFonts w:ascii="宋体" w:hAnsi="宋体" w:cs="宋体"/>
          <w:szCs w:val="24"/>
        </w:rPr>
        <w:t>内容含PDF版展示及文本版展示</w:t>
      </w:r>
      <w:r>
        <w:rPr>
          <w:rFonts w:hint="eastAsia" w:ascii="宋体" w:hAnsi="宋体" w:cs="宋体"/>
          <w:szCs w:val="24"/>
        </w:rPr>
        <w:t>；</w:t>
      </w:r>
    </w:p>
    <w:p>
      <w:pPr>
        <w:spacing w:before="163" w:beforeLines="50" w:after="81"/>
        <w:ind w:firstLine="480"/>
        <w:rPr>
          <w:rFonts w:ascii="宋体" w:hAnsi="宋体" w:cs="宋体"/>
          <w:szCs w:val="24"/>
        </w:rPr>
      </w:pPr>
      <w:r>
        <w:rPr>
          <w:rFonts w:ascii="宋体" w:hAnsi="宋体" w:cs="宋体"/>
          <w:szCs w:val="24"/>
        </w:rPr>
        <w:t>支持对PDF版出院小结进行CA加签并向患者提供下载保存功能。</w:t>
      </w:r>
    </w:p>
    <w:p>
      <w:pPr>
        <w:pStyle w:val="6"/>
        <w:spacing w:before="81" w:after="81"/>
        <w:ind w:left="0"/>
      </w:pPr>
      <w:r>
        <w:rPr>
          <w:rFonts w:hint="eastAsia"/>
        </w:rPr>
        <w:t>手术室移动管理系统</w:t>
      </w:r>
    </w:p>
    <w:p>
      <w:pPr>
        <w:pStyle w:val="7"/>
        <w:spacing w:before="81" w:after="81"/>
        <w:ind w:left="0"/>
        <w:rPr>
          <w:rFonts w:ascii="宋体" w:hAnsi="宋体"/>
        </w:rPr>
      </w:pPr>
      <w:r>
        <w:rPr>
          <w:rFonts w:hint="eastAsia" w:ascii="宋体" w:hAnsi="宋体"/>
        </w:rPr>
        <w:t>手术移动护理工作站</w:t>
      </w:r>
    </w:p>
    <w:p>
      <w:pPr>
        <w:pStyle w:val="8"/>
        <w:spacing w:before="81" w:after="81"/>
        <w:ind w:left="0"/>
        <w:rPr>
          <w:rFonts w:ascii="宋体" w:hAnsi="宋体"/>
          <w:szCs w:val="28"/>
        </w:rPr>
      </w:pPr>
      <w:r>
        <w:rPr>
          <w:rFonts w:hint="eastAsia" w:ascii="宋体" w:hAnsi="宋体"/>
          <w:szCs w:val="28"/>
        </w:rPr>
        <w:t>手术转运交接</w:t>
      </w:r>
    </w:p>
    <w:p>
      <w:pPr>
        <w:pStyle w:val="37"/>
        <w:widowControl w:val="0"/>
        <w:snapToGrid w:val="0"/>
        <w:spacing w:before="81" w:after="81" w:line="360" w:lineRule="auto"/>
        <w:ind w:firstLine="480"/>
        <w:rPr>
          <w:rFonts w:eastAsia="宋体" w:cs="Times New Roman"/>
          <w:color w:val="000000"/>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eastAsia="宋体" w:cs="Times New Roman"/>
          <w:color w:val="000000"/>
          <w:sz w:val="24"/>
          <w:szCs w:val="24"/>
          <w:lang w:eastAsia="zh-CN"/>
        </w:rPr>
        <w:t xml:space="preserve">床旁交接：病房护士和手术室人员（麻醉医生或巡回护士）持PDA在床旁扫描患者腕带，从而录入患者术前交接信息。 </w:t>
      </w:r>
    </w:p>
    <w:p>
      <w:pPr>
        <w:pStyle w:val="37"/>
        <w:widowControl w:val="0"/>
        <w:snapToGrid w:val="0"/>
        <w:spacing w:before="81" w:after="81" w:line="360" w:lineRule="auto"/>
        <w:ind w:firstLine="480"/>
        <w:rPr>
          <w:rFonts w:eastAsia="宋体" w:cs="Times New Roman"/>
          <w:color w:val="000000"/>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eastAsia="宋体" w:cs="Times New Roman"/>
          <w:color w:val="000000"/>
          <w:sz w:val="24"/>
          <w:szCs w:val="24"/>
          <w:lang w:eastAsia="zh-CN"/>
        </w:rPr>
        <w:t>电子签名：病房护士和手术室人员（麻醉医生或巡回护士）在计算机端查看和编辑患者术前交接信息并分别各自插入Ukey进行签名。</w:t>
      </w:r>
    </w:p>
    <w:p>
      <w:pPr>
        <w:pStyle w:val="37"/>
        <w:widowControl w:val="0"/>
        <w:snapToGrid w:val="0"/>
        <w:spacing w:before="81" w:after="81" w:line="360" w:lineRule="auto"/>
        <w:ind w:firstLine="480"/>
        <w:rPr>
          <w:rFonts w:eastAsia="宋体"/>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eastAsia="宋体" w:cs="Times New Roman"/>
          <w:color w:val="000000"/>
          <w:sz w:val="24"/>
          <w:szCs w:val="24"/>
          <w:lang w:eastAsia="zh-CN"/>
        </w:rPr>
        <w:t>术前交接补签名：支持与电子签名系统对接，手术室人员查询患者术前交接记录对未签名的记录进行签名。</w:t>
      </w:r>
    </w:p>
    <w:p>
      <w:pPr>
        <w:pStyle w:val="8"/>
        <w:spacing w:before="81" w:after="81"/>
        <w:ind w:left="0"/>
        <w:rPr>
          <w:rFonts w:ascii="宋体" w:hAnsi="宋体"/>
          <w:szCs w:val="28"/>
        </w:rPr>
      </w:pPr>
      <w:r>
        <w:rPr>
          <w:rFonts w:hint="eastAsia" w:ascii="宋体" w:hAnsi="宋体"/>
          <w:szCs w:val="28"/>
        </w:rPr>
        <w:t>安全核查</w:t>
      </w:r>
    </w:p>
    <w:p>
      <w:pPr>
        <w:pStyle w:val="37"/>
        <w:widowControl w:val="0"/>
        <w:snapToGrid w:val="0"/>
        <w:spacing w:before="81" w:after="81" w:line="360" w:lineRule="auto"/>
        <w:ind w:firstLine="480"/>
        <w:rPr>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eastAsia="宋体" w:cs="Times New Roman"/>
          <w:color w:val="000000"/>
          <w:sz w:val="24"/>
          <w:szCs w:val="24"/>
          <w:lang w:eastAsia="zh-CN"/>
        </w:rPr>
        <w:t>患者麻醉前麻醉医生扫描患者腕带确认患者手术信息，扫描主刀医生工牌、麻醉医生工牌、巡回护士工牌进行麻醉前核查。</w:t>
      </w:r>
    </w:p>
    <w:p>
      <w:pPr>
        <w:pStyle w:val="8"/>
        <w:spacing w:before="81" w:after="81"/>
        <w:ind w:left="0"/>
        <w:rPr>
          <w:rFonts w:ascii="宋体" w:hAnsi="宋体"/>
          <w:szCs w:val="28"/>
        </w:rPr>
      </w:pPr>
      <w:r>
        <w:rPr>
          <w:rFonts w:hint="eastAsia" w:ascii="宋体" w:hAnsi="宋体"/>
          <w:szCs w:val="28"/>
        </w:rPr>
        <w:t>器械清点</w:t>
      </w:r>
    </w:p>
    <w:p>
      <w:pPr>
        <w:pStyle w:val="37"/>
        <w:widowControl w:val="0"/>
        <w:snapToGrid w:val="0"/>
        <w:spacing w:before="81" w:after="81" w:line="360" w:lineRule="auto"/>
        <w:ind w:firstLine="480"/>
        <w:rPr>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eastAsia="宋体" w:cs="Times New Roman"/>
          <w:color w:val="000000"/>
          <w:sz w:val="24"/>
          <w:szCs w:val="24"/>
          <w:lang w:eastAsia="zh-CN"/>
        </w:rPr>
        <w:t>器械护士在术前和术中扫描灭菌包进行灭菌包应用（审核效期）并分别记录术前和术中器械总数，可以手工记录关腔体前、关腔体后、缝皮前器械数量；器械清点单打印，可以对术中进行的器械清点信息进行打印。</w:t>
      </w:r>
    </w:p>
    <w:p>
      <w:pPr>
        <w:pStyle w:val="8"/>
        <w:spacing w:before="81" w:after="81"/>
        <w:ind w:left="0"/>
        <w:rPr>
          <w:rFonts w:ascii="宋体" w:hAnsi="宋体"/>
          <w:szCs w:val="28"/>
        </w:rPr>
      </w:pPr>
      <w:r>
        <w:rPr>
          <w:rFonts w:hint="eastAsia" w:ascii="宋体" w:hAnsi="宋体"/>
          <w:szCs w:val="28"/>
        </w:rPr>
        <w:t>术前访视</w:t>
      </w:r>
    </w:p>
    <w:p>
      <w:pPr>
        <w:pStyle w:val="37"/>
        <w:widowControl w:val="0"/>
        <w:snapToGrid w:val="0"/>
        <w:spacing w:before="81" w:after="81" w:line="360" w:lineRule="auto"/>
        <w:ind w:firstLine="480"/>
        <w:rPr>
          <w:lang w:eastAsia="zh-CN"/>
        </w:rPr>
      </w:pPr>
      <w:r>
        <w:rPr>
          <w:rFonts w:hint="eastAsia" w:eastAsia="宋体" w:cs="Times New Roman"/>
          <w:color w:val="000000"/>
          <w:sz w:val="24"/>
          <w:szCs w:val="24"/>
          <w:lang w:eastAsia="zh-CN"/>
        </w:rPr>
        <w:t>麻醉医生在病房手持移动终端进行术前访视，扫描患者腕带和访视人工牌，记录访视人和访视时间。</w:t>
      </w:r>
    </w:p>
    <w:p>
      <w:pPr>
        <w:pStyle w:val="7"/>
        <w:spacing w:before="81" w:after="81"/>
        <w:ind w:left="0"/>
        <w:rPr>
          <w:rFonts w:ascii="宋体" w:hAnsi="宋体"/>
        </w:rPr>
      </w:pPr>
      <w:r>
        <w:rPr>
          <w:rFonts w:hint="eastAsia" w:ascii="宋体" w:hAnsi="宋体"/>
        </w:rPr>
        <w:t>麻醉移动访视工作站</w:t>
      </w:r>
    </w:p>
    <w:p>
      <w:pPr>
        <w:pStyle w:val="8"/>
        <w:spacing w:before="81" w:after="81"/>
        <w:ind w:left="0"/>
      </w:pPr>
      <w:r>
        <w:rPr>
          <w:rFonts w:hint="eastAsia" w:ascii="宋体" w:hAnsi="宋体"/>
          <w:szCs w:val="28"/>
        </w:rPr>
        <w:t>麻醉访视</w:t>
      </w:r>
    </w:p>
    <w:p>
      <w:pPr>
        <w:pStyle w:val="37"/>
        <w:snapToGrid w:val="0"/>
        <w:spacing w:before="81" w:after="81" w:line="360" w:lineRule="auto"/>
        <w:ind w:firstLine="482" w:firstLineChars="0"/>
        <w:rPr>
          <w:rFonts w:eastAsia="宋体" w:cs="Times New Roman"/>
          <w:color w:val="000000"/>
          <w:sz w:val="24"/>
          <w:szCs w:val="24"/>
          <w:lang w:eastAsia="zh-CN"/>
        </w:rPr>
      </w:pPr>
      <w:r>
        <w:rPr>
          <w:rFonts w:eastAsia="宋体" w:cs="Times New Roman"/>
          <w:color w:val="000000"/>
          <w:sz w:val="24"/>
          <w:szCs w:val="24"/>
          <w:lang w:eastAsia="zh-CN"/>
        </w:rPr>
        <w:t>具备查询术前和术后的待访视患者清单，可以通过扫描腕带定位患者信息。</w:t>
      </w:r>
    </w:p>
    <w:p>
      <w:pPr>
        <w:pStyle w:val="37"/>
        <w:snapToGrid w:val="0"/>
        <w:spacing w:before="81" w:after="81" w:line="360" w:lineRule="auto"/>
        <w:ind w:firstLine="482" w:firstLineChars="0"/>
        <w:rPr>
          <w:rFonts w:eastAsia="宋体" w:cs="Times New Roman"/>
          <w:color w:val="000000"/>
          <w:sz w:val="24"/>
          <w:szCs w:val="24"/>
          <w:lang w:eastAsia="zh-CN"/>
        </w:rPr>
      </w:pPr>
      <w:r>
        <w:rPr>
          <w:rFonts w:eastAsia="宋体" w:cs="Times New Roman"/>
          <w:color w:val="000000"/>
          <w:sz w:val="24"/>
          <w:szCs w:val="24"/>
          <w:lang w:eastAsia="zh-CN"/>
        </w:rPr>
        <w:t>支持与医院信息管理系统、电子病历系统对接，实现调阅患者病历资料、检查检验报告功能。</w:t>
      </w:r>
    </w:p>
    <w:p>
      <w:pPr>
        <w:pStyle w:val="37"/>
        <w:snapToGrid w:val="0"/>
        <w:spacing w:before="81" w:after="81" w:line="360" w:lineRule="auto"/>
        <w:ind w:firstLine="482" w:firstLineChars="0"/>
        <w:rPr>
          <w:rFonts w:eastAsia="宋体" w:cs="Times New Roman"/>
          <w:color w:val="000000"/>
          <w:sz w:val="24"/>
          <w:szCs w:val="24"/>
          <w:lang w:eastAsia="zh-CN"/>
        </w:rPr>
      </w:pPr>
      <w:r>
        <w:rPr>
          <w:rFonts w:eastAsia="宋体" w:cs="Times New Roman"/>
          <w:color w:val="000000"/>
          <w:sz w:val="24"/>
          <w:szCs w:val="24"/>
          <w:lang w:eastAsia="zh-CN"/>
        </w:rPr>
        <w:t>具备书写术前、术后访视文书功能，并与PC端保持数据互通。</w:t>
      </w:r>
    </w:p>
    <w:p>
      <w:pPr>
        <w:pStyle w:val="37"/>
        <w:snapToGrid w:val="0"/>
        <w:spacing w:before="81" w:after="81" w:line="360" w:lineRule="auto"/>
        <w:ind w:firstLine="482" w:firstLineChars="0"/>
        <w:rPr>
          <w:lang w:eastAsia="zh-CN"/>
        </w:rPr>
      </w:pPr>
      <w:r>
        <w:rPr>
          <w:rFonts w:eastAsia="宋体" w:cs="Times New Roman"/>
          <w:color w:val="000000"/>
          <w:sz w:val="24"/>
          <w:szCs w:val="24"/>
          <w:lang w:eastAsia="zh-CN"/>
        </w:rPr>
        <w:t>具备患者在移动端进行签名的功能，在PC端打印输出。</w:t>
      </w:r>
    </w:p>
    <w:p>
      <w:pPr>
        <w:pStyle w:val="7"/>
        <w:spacing w:before="81" w:after="81"/>
        <w:ind w:left="0"/>
        <w:rPr>
          <w:rFonts w:ascii="宋体" w:hAnsi="宋体"/>
        </w:rPr>
      </w:pPr>
      <w:r>
        <w:rPr>
          <w:rFonts w:hint="eastAsia" w:ascii="宋体" w:hAnsi="宋体"/>
        </w:rPr>
        <w:t>接口</w:t>
      </w:r>
    </w:p>
    <w:p>
      <w:pPr>
        <w:pStyle w:val="8"/>
        <w:spacing w:before="81" w:after="81"/>
        <w:ind w:left="0"/>
        <w:rPr>
          <w:rFonts w:ascii="宋体" w:hAnsi="宋体"/>
          <w:szCs w:val="28"/>
        </w:rPr>
      </w:pPr>
      <w:r>
        <w:rPr>
          <w:rFonts w:hint="eastAsia" w:ascii="宋体" w:hAnsi="宋体"/>
          <w:szCs w:val="28"/>
        </w:rPr>
        <w:t>高值耗材归码计费</w:t>
      </w:r>
    </w:p>
    <w:p>
      <w:pPr>
        <w:spacing w:before="81" w:after="81"/>
        <w:ind w:firstLine="480"/>
      </w:pPr>
      <w:r>
        <w:rPr>
          <w:rFonts w:hint="eastAsia"/>
        </w:rPr>
        <w:t>支持与医院信息系统对接，实现术中医嘱关联的收费项目自动计费、医技确费以及高值耗材的扫码识别。</w:t>
      </w:r>
    </w:p>
    <w:p>
      <w:pPr>
        <w:pStyle w:val="8"/>
        <w:spacing w:before="81" w:after="81"/>
        <w:ind w:left="0"/>
        <w:rPr>
          <w:rFonts w:ascii="宋体" w:hAnsi="宋体"/>
          <w:szCs w:val="28"/>
        </w:rPr>
      </w:pPr>
      <w:r>
        <w:rPr>
          <w:rFonts w:hint="eastAsia" w:ascii="宋体" w:hAnsi="宋体"/>
          <w:szCs w:val="28"/>
        </w:rPr>
        <w:t>消毒包扫码核对清点</w:t>
      </w:r>
    </w:p>
    <w:p>
      <w:pPr>
        <w:spacing w:before="81" w:after="81"/>
        <w:ind w:firstLine="480"/>
      </w:pPr>
      <w:r>
        <w:rPr>
          <w:rFonts w:hint="eastAsia"/>
        </w:rPr>
        <w:t>支持消毒包扫码核对清点。</w:t>
      </w:r>
    </w:p>
    <w:p>
      <w:pPr>
        <w:pStyle w:val="6"/>
        <w:spacing w:before="81" w:after="81"/>
        <w:ind w:left="0"/>
      </w:pPr>
      <w:r>
        <w:rPr>
          <w:rFonts w:hint="eastAsia"/>
        </w:rPr>
        <w:t>单病种管理系统</w:t>
      </w:r>
    </w:p>
    <w:p>
      <w:pPr>
        <w:pStyle w:val="7"/>
        <w:spacing w:before="81" w:after="81"/>
        <w:ind w:left="0"/>
        <w:rPr>
          <w:rFonts w:ascii="宋体" w:hAnsi="宋体"/>
        </w:rPr>
      </w:pPr>
      <w:r>
        <w:rPr>
          <w:rFonts w:hint="eastAsia" w:ascii="宋体" w:hAnsi="宋体"/>
        </w:rPr>
        <w:t>单病种质量指标填报及审核</w:t>
      </w:r>
    </w:p>
    <w:p>
      <w:pPr>
        <w:spacing w:before="81" w:after="81"/>
        <w:ind w:firstLine="480"/>
        <w:rPr>
          <w:rFonts w:cs="Times New Roman"/>
          <w:szCs w:val="24"/>
        </w:rPr>
      </w:pPr>
      <w:r>
        <w:rPr>
          <w:szCs w:val="24"/>
        </w:rPr>
        <w:t>根据</w:t>
      </w:r>
      <w:r>
        <w:rPr>
          <w:rFonts w:eastAsia="宋体" w:cs="Times New Roman"/>
          <w:szCs w:val="24"/>
        </w:rPr>
        <w:t>国家卫生健康委办公厅关于进一步加强单病种质量管理与控制工作的通知</w:t>
      </w:r>
      <w:r>
        <w:rPr>
          <w:rFonts w:eastAsia="宋体" w:cs="Times New Roman"/>
          <w:color w:val="000000" w:themeColor="text1"/>
          <w:szCs w:val="24"/>
          <w14:textFill>
            <w14:solidFill>
              <w14:schemeClr w14:val="tx1"/>
            </w14:solidFill>
          </w14:textFill>
        </w:rPr>
        <w:t>[国卫办医函〔2020〕624号]</w:t>
      </w:r>
      <w:r>
        <w:rPr>
          <w:szCs w:val="24"/>
        </w:rPr>
        <w:t>要求，</w:t>
      </w:r>
      <w:r>
        <w:rPr>
          <w:rFonts w:hint="eastAsia"/>
        </w:rPr>
        <w:t>纳入单病种质量管理与控制工作的10个单病种的质量指标的填报及审核。</w:t>
      </w:r>
    </w:p>
    <w:p>
      <w:pPr>
        <w:pStyle w:val="7"/>
        <w:spacing w:before="81" w:after="81"/>
        <w:ind w:left="0"/>
        <w:rPr>
          <w:rFonts w:ascii="宋体" w:hAnsi="宋体"/>
        </w:rPr>
      </w:pPr>
      <w:r>
        <w:rPr>
          <w:rFonts w:hint="eastAsia" w:ascii="宋体" w:hAnsi="宋体"/>
        </w:rPr>
        <w:t>单病种质量指标上传接口</w:t>
      </w:r>
    </w:p>
    <w:p>
      <w:pPr>
        <w:spacing w:before="81" w:after="81"/>
        <w:ind w:firstLine="420" w:firstLineChars="0"/>
      </w:pPr>
      <w:r>
        <w:rPr>
          <w:rFonts w:cs="Times New Roman"/>
          <w:snapToGrid w:val="0"/>
          <w:kern w:val="0"/>
          <w:szCs w:val="24"/>
        </w:rPr>
        <w:t>支持</w:t>
      </w:r>
      <w:r>
        <w:rPr>
          <w:rFonts w:hint="eastAsia" w:cs="Times New Roman"/>
          <w:snapToGrid w:val="0"/>
          <w:kern w:val="0"/>
          <w:szCs w:val="24"/>
        </w:rPr>
        <w:t>单病种数据批量上报到</w:t>
      </w:r>
      <w:r>
        <w:rPr>
          <w:rFonts w:eastAsia="宋体" w:cs="Times New Roman"/>
          <w:szCs w:val="24"/>
        </w:rPr>
        <w:t>国家单病种接口管理</w:t>
      </w:r>
      <w:r>
        <w:rPr>
          <w:rFonts w:hint="eastAsia" w:eastAsia="宋体" w:cs="Times New Roman"/>
          <w:szCs w:val="24"/>
        </w:rPr>
        <w:t>平台。</w:t>
      </w:r>
    </w:p>
    <w:p>
      <w:pPr>
        <w:pStyle w:val="7"/>
        <w:spacing w:before="81" w:after="81"/>
        <w:ind w:left="0"/>
        <w:rPr>
          <w:rFonts w:ascii="宋体" w:hAnsi="宋体"/>
        </w:rPr>
      </w:pPr>
      <w:r>
        <w:rPr>
          <w:rFonts w:hint="eastAsia" w:ascii="宋体" w:hAnsi="宋体"/>
        </w:rPr>
        <w:t>病种字典管理</w:t>
      </w:r>
    </w:p>
    <w:p>
      <w:pPr>
        <w:pStyle w:val="37"/>
        <w:tabs>
          <w:tab w:val="left" w:pos="420"/>
        </w:tabs>
        <w:snapToGrid w:val="0"/>
        <w:spacing w:before="81" w:after="81" w:line="360" w:lineRule="auto"/>
        <w:ind w:firstLine="480"/>
        <w:rPr>
          <w:rFonts w:ascii="宋体" w:hAnsi="宋体"/>
          <w:color w:val="000000"/>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olor w:val="000000"/>
          <w:sz w:val="24"/>
          <w:szCs w:val="24"/>
          <w:lang w:eastAsia="zh-CN"/>
        </w:rPr>
        <w:t>提供符合国家规范要求的纳入标准，将标准范围内的诊断和/或手术纳入单病种管理。</w:t>
      </w:r>
    </w:p>
    <w:p>
      <w:pPr>
        <w:pStyle w:val="37"/>
        <w:tabs>
          <w:tab w:val="left" w:pos="420"/>
        </w:tabs>
        <w:snapToGrid w:val="0"/>
        <w:spacing w:before="81" w:after="81" w:line="360" w:lineRule="auto"/>
        <w:ind w:firstLine="480"/>
        <w:rPr>
          <w:rFonts w:ascii="宋体" w:hAnsi="宋体"/>
          <w:color w:val="000000"/>
          <w:sz w:val="24"/>
          <w:szCs w:val="24"/>
          <w:lang w:eastAsia="zh-CN"/>
        </w:rPr>
      </w:pPr>
      <w:r>
        <w:rPr>
          <w:rFonts w:hint="eastAsia" w:cs="Times New Roman"/>
          <w:snapToGrid w:val="0"/>
          <w:sz w:val="24"/>
          <w:lang w:eastAsia="zh-CN"/>
        </w:rPr>
        <w:t>具备在标准范围内自定义纳入单病种管理的诊断和手术编码功能</w:t>
      </w:r>
      <w:r>
        <w:rPr>
          <w:rFonts w:hint="eastAsia" w:ascii="宋体" w:hAnsi="宋体"/>
          <w:color w:val="000000"/>
          <w:sz w:val="24"/>
          <w:szCs w:val="24"/>
          <w:lang w:eastAsia="zh-CN"/>
        </w:rPr>
        <w:t>。</w:t>
      </w:r>
    </w:p>
    <w:p>
      <w:pPr>
        <w:pStyle w:val="37"/>
        <w:tabs>
          <w:tab w:val="left" w:pos="420"/>
        </w:tabs>
        <w:snapToGrid w:val="0"/>
        <w:spacing w:before="81" w:after="81" w:line="360" w:lineRule="auto"/>
        <w:ind w:firstLine="480"/>
        <w:rPr>
          <w:lang w:eastAsia="zh-CN"/>
        </w:rPr>
      </w:pPr>
      <w:r>
        <w:rPr>
          <w:rFonts w:hint="eastAsia" w:cs="Times New Roman"/>
          <w:snapToGrid w:val="0"/>
          <w:sz w:val="24"/>
          <w:lang w:eastAsia="zh-CN"/>
        </w:rPr>
        <w:t>具备标准诊断与医院诊断对照设置功能</w:t>
      </w:r>
      <w:r>
        <w:rPr>
          <w:rFonts w:hint="eastAsia" w:ascii="宋体" w:hAnsi="宋体"/>
          <w:color w:val="000000"/>
          <w:sz w:val="24"/>
          <w:szCs w:val="24"/>
          <w:lang w:eastAsia="zh-CN"/>
        </w:rPr>
        <w:t>。</w:t>
      </w:r>
    </w:p>
    <w:p>
      <w:pPr>
        <w:pStyle w:val="7"/>
        <w:spacing w:before="81" w:after="81"/>
        <w:ind w:left="0"/>
        <w:rPr>
          <w:rFonts w:ascii="宋体" w:hAnsi="宋体"/>
        </w:rPr>
      </w:pPr>
      <w:r>
        <w:rPr>
          <w:rFonts w:hint="eastAsia" w:ascii="宋体" w:hAnsi="宋体"/>
        </w:rPr>
        <w:t>单病种质量指标采集及自动填充</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与临床信息系统对接，自动从临床信息系统中获取患者基本信息、诊疗信息。</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与医院信息系统对接，从医院信息系统中获取住院信息、费用信息。</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与电子病历系统对接，获取电子病历系统中单病种相关质量指标。</w:t>
      </w:r>
      <w:r>
        <w:rPr>
          <w:rFonts w:ascii="Times New Roman" w:hAnsi="Times New Roman"/>
          <w:szCs w:val="24"/>
        </w:rPr>
        <w:t xml:space="preserve"> </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与医技系统对接，从医技系统获取单病种相关质量指标。</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与护理信息系统对接，获取护理信息系统中单病种相关质量指标。</w:t>
      </w:r>
    </w:p>
    <w:p>
      <w:pPr>
        <w:pStyle w:val="71"/>
        <w:tabs>
          <w:tab w:val="left" w:pos="420"/>
        </w:tabs>
        <w:spacing w:before="81" w:after="81"/>
        <w:ind w:firstLine="480"/>
        <w:rPr>
          <w:rFonts w:ascii="Times New Roman" w:hAnsi="Times New Roman"/>
          <w:szCs w:val="24"/>
        </w:rPr>
      </w:pPr>
      <w:r>
        <w:rPr>
          <w:rFonts w:hint="eastAsia" w:ascii="Times New Roman" w:hAnsi="Times New Roman"/>
          <w:szCs w:val="24"/>
        </w:rPr>
        <w:t>具备无法自动采集的数据进行手工录入功能。</w:t>
      </w:r>
    </w:p>
    <w:p>
      <w:pPr>
        <w:tabs>
          <w:tab w:val="left" w:pos="420"/>
        </w:tabs>
        <w:spacing w:before="81" w:after="81"/>
        <w:ind w:firstLine="480"/>
      </w:pPr>
      <w:r>
        <w:rPr>
          <w:rFonts w:hint="eastAsia"/>
          <w:szCs w:val="24"/>
        </w:rPr>
        <w:t>具备对单病种质量指标间的逻辑关系进行控制功能，避免数据错误。</w:t>
      </w:r>
    </w:p>
    <w:p>
      <w:pPr>
        <w:pStyle w:val="7"/>
        <w:spacing w:before="81" w:after="81"/>
        <w:ind w:left="0"/>
        <w:rPr>
          <w:rFonts w:ascii="宋体" w:hAnsi="宋体"/>
        </w:rPr>
      </w:pPr>
      <w:r>
        <w:rPr>
          <w:rFonts w:hint="eastAsia" w:ascii="宋体" w:hAnsi="宋体"/>
        </w:rPr>
        <w:t>病种评估量表</w:t>
      </w:r>
    </w:p>
    <w:p>
      <w:pPr>
        <w:spacing w:before="81" w:after="81"/>
        <w:ind w:firstLine="480"/>
      </w:pPr>
      <w:r>
        <w:rPr>
          <w:rFonts w:hint="eastAsia" w:ascii="宋体" w:hAnsi="宋体" w:eastAsia="宋体" w:cs="宋体"/>
          <w:color w:val="000000" w:themeColor="text1"/>
          <w:szCs w:val="24"/>
          <w14:textFill>
            <w14:solidFill>
              <w14:schemeClr w14:val="tx1"/>
            </w14:solidFill>
          </w14:textFill>
        </w:rPr>
        <w:t>▲</w:t>
      </w:r>
      <w:r>
        <w:rPr>
          <w:rFonts w:hint="eastAsia"/>
        </w:rPr>
        <w:t>支持量表体系、自动评估、自动填写、量表修改和导出以及打印、量表修改日志查看。</w:t>
      </w:r>
    </w:p>
    <w:p>
      <w:pPr>
        <w:pStyle w:val="7"/>
        <w:spacing w:before="81" w:after="81"/>
        <w:ind w:left="0"/>
        <w:rPr>
          <w:rFonts w:ascii="宋体" w:hAnsi="宋体"/>
        </w:rPr>
      </w:pPr>
      <w:r>
        <w:rPr>
          <w:rFonts w:hint="eastAsia" w:ascii="宋体" w:hAnsi="宋体"/>
        </w:rPr>
        <w:t>单病种质控事中提醒、单病种诊疗方案推荐</w:t>
      </w:r>
    </w:p>
    <w:p>
      <w:pPr>
        <w:spacing w:before="81" w:after="81"/>
        <w:ind w:firstLine="480"/>
        <w:rPr>
          <w:szCs w:val="24"/>
        </w:rPr>
      </w:pPr>
      <w:r>
        <w:rPr>
          <w:rFonts w:hint="eastAsia"/>
          <w:szCs w:val="24"/>
        </w:rPr>
        <w:t>自动入组：具备根据病人诊断、手术医嘱自动校验诊断是否符合单病种，诊断、手术符合时提示纳入功能。</w:t>
      </w:r>
    </w:p>
    <w:p>
      <w:pPr>
        <w:spacing w:before="81" w:after="81"/>
        <w:ind w:firstLine="480"/>
        <w:rPr>
          <w:szCs w:val="24"/>
        </w:rPr>
      </w:pPr>
      <w:r>
        <w:rPr>
          <w:rFonts w:hint="eastAsia"/>
          <w:szCs w:val="24"/>
        </w:rPr>
        <w:t>除外管理：具备纳入单病种时自动校验单病种除外规则，如临床医生判断不能除外，进入单病种录入页面的功能。</w:t>
      </w:r>
    </w:p>
    <w:p>
      <w:pPr>
        <w:spacing w:before="81" w:after="81"/>
        <w:ind w:firstLine="480"/>
        <w:rPr>
          <w:szCs w:val="24"/>
        </w:rPr>
      </w:pPr>
      <w:r>
        <w:rPr>
          <w:rFonts w:hint="eastAsia"/>
          <w:szCs w:val="24"/>
        </w:rPr>
        <w:t>纳入提醒：具备临床医生发送出院医嘱时自动校验是否单病种病人，单病种病人未纳入单病种时提示纳入功能。</w:t>
      </w:r>
    </w:p>
    <w:p>
      <w:pPr>
        <w:spacing w:before="81" w:after="81"/>
        <w:ind w:firstLine="480"/>
        <w:rPr>
          <w:szCs w:val="24"/>
        </w:rPr>
      </w:pPr>
      <w:r>
        <w:rPr>
          <w:rFonts w:hint="eastAsia"/>
          <w:szCs w:val="24"/>
        </w:rPr>
        <w:t>病人标识：具备通过住院医生站的床位卡标识区分单病种病人与非单病种病人功能。</w:t>
      </w:r>
    </w:p>
    <w:p>
      <w:pPr>
        <w:spacing w:before="81" w:after="81"/>
        <w:ind w:firstLine="480"/>
      </w:pPr>
      <w:r>
        <w:rPr>
          <w:rFonts w:hint="eastAsia"/>
          <w:szCs w:val="24"/>
        </w:rPr>
        <w:t>纳入控制：具备控制非单病种病人不允许填报单病种信息功能。</w:t>
      </w:r>
    </w:p>
    <w:p>
      <w:pPr>
        <w:pStyle w:val="7"/>
        <w:spacing w:before="81" w:after="81"/>
        <w:ind w:left="0"/>
        <w:rPr>
          <w:rFonts w:ascii="宋体" w:hAnsi="宋体"/>
        </w:rPr>
      </w:pPr>
      <w:r>
        <w:rPr>
          <w:rFonts w:hint="eastAsia" w:ascii="宋体" w:hAnsi="宋体"/>
        </w:rPr>
        <w:t>单病种诊疗规范依从性统计分析</w:t>
      </w:r>
    </w:p>
    <w:p>
      <w:pPr>
        <w:spacing w:before="81" w:after="81"/>
        <w:ind w:firstLine="420" w:firstLineChars="0"/>
        <w:rPr>
          <w:szCs w:val="24"/>
        </w:rPr>
      </w:pPr>
      <w:r>
        <w:rPr>
          <w:rFonts w:hint="eastAsia" w:ascii="宋体" w:hAnsi="宋体" w:eastAsia="宋体" w:cs="宋体"/>
          <w:color w:val="000000" w:themeColor="text1"/>
          <w:szCs w:val="24"/>
          <w14:textFill>
            <w14:solidFill>
              <w14:schemeClr w14:val="tx1"/>
            </w14:solidFill>
          </w14:textFill>
        </w:rPr>
        <w:t>▲</w:t>
      </w:r>
      <w:r>
        <w:rPr>
          <w:rFonts w:hint="eastAsia" w:cs="Times New Roman"/>
          <w:snapToGrid w:val="0"/>
          <w:kern w:val="0"/>
          <w:szCs w:val="24"/>
        </w:rPr>
        <w:t>具备管理科室查询统计医生、科室、病区的单病种上报、漏报情况功能。</w:t>
      </w:r>
    </w:p>
    <w:p>
      <w:pPr>
        <w:spacing w:before="81" w:after="81"/>
        <w:ind w:firstLine="482"/>
        <w:rPr>
          <w:szCs w:val="24"/>
        </w:rPr>
      </w:pPr>
      <w:r>
        <w:rPr>
          <w:rFonts w:hint="eastAsia" w:asciiTheme="minorHAnsi"/>
          <w:b/>
          <w:bCs/>
          <w:szCs w:val="24"/>
        </w:rPr>
        <w:t>单病种</w:t>
      </w:r>
      <w:r>
        <w:rPr>
          <w:rFonts w:hint="eastAsia"/>
          <w:b/>
          <w:bCs/>
          <w:szCs w:val="24"/>
        </w:rPr>
        <w:t>质量管理监测</w:t>
      </w:r>
    </w:p>
    <w:p>
      <w:pPr>
        <w:spacing w:before="81" w:after="81"/>
        <w:ind w:firstLine="420" w:firstLineChars="0"/>
        <w:rPr>
          <w:rFonts w:cs="Times New Roman"/>
          <w:snapToGrid w:val="0"/>
          <w:kern w:val="0"/>
          <w:szCs w:val="24"/>
        </w:rPr>
      </w:pPr>
      <w:r>
        <w:rPr>
          <w:rFonts w:hint="eastAsia" w:cs="Times New Roman"/>
          <w:snapToGrid w:val="0"/>
          <w:kern w:val="0"/>
          <w:szCs w:val="24"/>
        </w:rPr>
        <w:t>提供符合筛选条件的单病种上报例数统计、实际纳入人数统计、已除外人数、漏报人数、治愈率、好转率、未愈率、死亡率等质量管理指标的报表展示功能。</w:t>
      </w:r>
    </w:p>
    <w:p>
      <w:pPr>
        <w:spacing w:before="81" w:after="81"/>
        <w:ind w:firstLine="420" w:firstLineChars="0"/>
        <w:rPr>
          <w:rFonts w:cs="Times New Roman"/>
          <w:snapToGrid w:val="0"/>
          <w:kern w:val="0"/>
          <w:szCs w:val="24"/>
        </w:rPr>
      </w:pPr>
      <w:r>
        <w:rPr>
          <w:rFonts w:hint="eastAsia" w:cs="Times New Roman"/>
          <w:snapToGrid w:val="0"/>
          <w:kern w:val="0"/>
          <w:szCs w:val="24"/>
        </w:rPr>
        <w:t>具备手动设置时间段，按照不同院区、科室、计算比率维度（按实际纳入人数、按已上报人数）对单病种质量管理指标进行统计查询，并对查询结果按照病种、科室、病区、医生进行报表展示功能。</w:t>
      </w:r>
    </w:p>
    <w:p>
      <w:pPr>
        <w:spacing w:before="81" w:after="81"/>
        <w:ind w:firstLine="482"/>
        <w:rPr>
          <w:b/>
          <w:bCs/>
          <w:szCs w:val="24"/>
        </w:rPr>
      </w:pPr>
      <w:r>
        <w:rPr>
          <w:rFonts w:hint="eastAsia" w:asciiTheme="minorHAnsi"/>
          <w:b/>
          <w:bCs/>
          <w:szCs w:val="24"/>
        </w:rPr>
        <w:t>单病种</w:t>
      </w:r>
      <w:r>
        <w:rPr>
          <w:rFonts w:hint="eastAsia"/>
          <w:b/>
          <w:bCs/>
          <w:szCs w:val="24"/>
        </w:rPr>
        <w:t>经济效益</w:t>
      </w:r>
      <w:r>
        <w:rPr>
          <w:rFonts w:hint="eastAsia" w:asciiTheme="minorHAnsi"/>
          <w:b/>
          <w:bCs/>
          <w:szCs w:val="24"/>
        </w:rPr>
        <w:t>监测</w:t>
      </w:r>
    </w:p>
    <w:p>
      <w:pPr>
        <w:spacing w:before="81" w:after="81"/>
        <w:ind w:firstLine="420" w:firstLineChars="0"/>
        <w:rPr>
          <w:rFonts w:cs="Times New Roman"/>
          <w:snapToGrid w:val="0"/>
          <w:kern w:val="0"/>
          <w:szCs w:val="24"/>
        </w:rPr>
      </w:pPr>
      <w:r>
        <w:rPr>
          <w:rFonts w:hint="eastAsia" w:cs="Times New Roman"/>
          <w:snapToGrid w:val="0"/>
          <w:kern w:val="0"/>
          <w:szCs w:val="24"/>
        </w:rPr>
        <w:t>提供符合筛选条件的单病种实际纳入人数统计、已除外人数、平均住院费用（元）、平均药品费（元）、药费占总费用比、平均检查费、检查费占总费用比、平均治疗费（元）、治疗费占总费用比、平均手术费、手术费占总费用比、平均材料费、材料费占总费用比的报表展示功能。</w:t>
      </w:r>
    </w:p>
    <w:p>
      <w:pPr>
        <w:spacing w:before="81" w:after="81"/>
        <w:ind w:firstLine="420" w:firstLineChars="0"/>
        <w:rPr>
          <w:rFonts w:cs="Times New Roman"/>
          <w:snapToGrid w:val="0"/>
          <w:kern w:val="0"/>
          <w:szCs w:val="24"/>
        </w:rPr>
      </w:pPr>
      <w:r>
        <w:rPr>
          <w:rFonts w:hint="eastAsia" w:cs="Times New Roman"/>
          <w:snapToGrid w:val="0"/>
          <w:kern w:val="0"/>
          <w:szCs w:val="24"/>
        </w:rPr>
        <w:t>具备手动设置时间段，按照不同院区、科室、计算比率维度（按实际纳入人数、按已上报人数）对单病种经济效益进行统计查询，并对查询结果按照病种、科室、病区、医生进行展示功能。</w:t>
      </w:r>
    </w:p>
    <w:p>
      <w:pPr>
        <w:pStyle w:val="6"/>
        <w:spacing w:before="81" w:after="81"/>
        <w:ind w:left="0"/>
      </w:pPr>
      <w:r>
        <w:rPr>
          <w:rFonts w:hint="eastAsia"/>
        </w:rPr>
        <w:t>VTE智能防治管理系统</w:t>
      </w:r>
    </w:p>
    <w:p>
      <w:pPr>
        <w:pStyle w:val="7"/>
        <w:spacing w:before="81" w:after="81"/>
        <w:ind w:left="0"/>
        <w:rPr>
          <w:rFonts w:ascii="宋体" w:hAnsi="宋体"/>
        </w:rPr>
      </w:pPr>
      <w:r>
        <w:rPr>
          <w:rFonts w:hint="eastAsia" w:ascii="宋体" w:hAnsi="宋体"/>
        </w:rPr>
        <w:t>VTE基础服务</w:t>
      </w:r>
    </w:p>
    <w:p>
      <w:pPr>
        <w:pStyle w:val="8"/>
        <w:spacing w:before="81" w:after="81"/>
        <w:ind w:left="0"/>
        <w:rPr>
          <w:rFonts w:ascii="宋体" w:hAnsi="宋体"/>
          <w:szCs w:val="28"/>
        </w:rPr>
      </w:pPr>
      <w:r>
        <w:rPr>
          <w:rFonts w:hint="eastAsia" w:ascii="宋体" w:hAnsi="宋体"/>
          <w:szCs w:val="28"/>
        </w:rPr>
        <w:t>临床数据集成</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支持OGG组件，主要实现ORACLE数据的容灾和复制，实现业务系统与平台的读写分离，降低数据同步对业务系统的影响。</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支持SQL SERVER的组件，主要实现SQL SERVER数据的容灾和复制，实现业务系统与平台的读写分离，降低数据同步对业务系统的影响。</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ETL方式</w:t>
      </w:r>
      <w:r>
        <w:rPr>
          <w:rFonts w:eastAsia="宋体" w:cs="Times New Roman"/>
          <w:color w:val="000000" w:themeColor="text1"/>
          <w14:textFill>
            <w14:solidFill>
              <w14:schemeClr w14:val="tx1"/>
            </w14:solidFill>
          </w14:textFill>
        </w:rPr>
        <w:t>，</w:t>
      </w:r>
      <w:r>
        <w:rPr>
          <w:rFonts w:hint="eastAsia" w:eastAsia="宋体" w:cs="Times New Roman"/>
          <w:color w:val="000000" w:themeColor="text1"/>
          <w14:textFill>
            <w14:solidFill>
              <w14:schemeClr w14:val="tx1"/>
            </w14:solidFill>
          </w14:textFill>
        </w:rPr>
        <w:t>将分布的、异构数据源中的数据进行批量抽取、清洗、转换、集成，最后加载到数据仓库中，实现患者全量的临床数据集成。</w:t>
      </w:r>
    </w:p>
    <w:p>
      <w:pPr>
        <w:pStyle w:val="8"/>
        <w:spacing w:before="81" w:after="81"/>
        <w:ind w:left="0"/>
        <w:rPr>
          <w:rFonts w:ascii="宋体" w:hAnsi="宋体"/>
          <w:szCs w:val="28"/>
        </w:rPr>
      </w:pPr>
      <w:r>
        <w:rPr>
          <w:rFonts w:hint="eastAsia" w:ascii="宋体" w:hAnsi="宋体"/>
          <w:szCs w:val="28"/>
        </w:rPr>
        <w:t>患者主索引管理</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患者</w:t>
      </w:r>
      <w:r>
        <w:rPr>
          <w:rFonts w:hint="eastAsia" w:eastAsia="宋体" w:cs="Times New Roman"/>
          <w:color w:val="000000" w:themeColor="text1"/>
          <w14:textFill>
            <w14:solidFill>
              <w14:schemeClr w14:val="tx1"/>
            </w14:solidFill>
          </w14:textFill>
        </w:rPr>
        <w:t>注册合并：具备根据患者姓名、身份证号、医保卡号多种匹配规则将患者信息进行合并功能，并建立全院范围内的患者唯一标识，并维护各系统中的患者交叉索引，保证患者在不同系统中诊疗信息的完整性和连续性</w:t>
      </w:r>
      <w:r>
        <w:rPr>
          <w:rFonts w:eastAsia="宋体" w:cs="Times New Roman"/>
          <w:color w:val="000000" w:themeColor="text1"/>
          <w14:textFill>
            <w14:solidFill>
              <w14:schemeClr w14:val="tx1"/>
            </w14:solidFill>
          </w14:textFill>
        </w:rPr>
        <w:t>。</w:t>
      </w:r>
    </w:p>
    <w:p>
      <w:pPr>
        <w:pStyle w:val="72"/>
        <w:spacing w:before="81" w:after="81" w:line="360" w:lineRule="auto"/>
        <w:ind w:firstLine="480"/>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患者</w:t>
      </w:r>
      <w:r>
        <w:rPr>
          <w:rFonts w:hint="eastAsia" w:eastAsia="宋体" w:cs="Times New Roman"/>
          <w:color w:val="000000" w:themeColor="text1"/>
          <w14:textFill>
            <w14:solidFill>
              <w14:schemeClr w14:val="tx1"/>
            </w14:solidFill>
          </w14:textFill>
        </w:rPr>
        <w:t>主索引查询</w:t>
      </w:r>
      <w:r>
        <w:rPr>
          <w:rFonts w:eastAsia="宋体" w:cs="Times New Roman"/>
          <w:color w:val="000000" w:themeColor="text1"/>
          <w14:textFill>
            <w14:solidFill>
              <w14:schemeClr w14:val="tx1"/>
            </w14:solidFill>
          </w14:textFill>
        </w:rPr>
        <w:t>：</w:t>
      </w:r>
      <w:r>
        <w:rPr>
          <w:rFonts w:hint="eastAsia" w:eastAsia="宋体" w:cs="Times New Roman"/>
          <w:color w:val="000000" w:themeColor="text1"/>
          <w14:textFill>
            <w14:solidFill>
              <w14:schemeClr w14:val="tx1"/>
            </w14:solidFill>
          </w14:textFill>
        </w:rPr>
        <w:t>具备根据不同的患者信息条件</w:t>
      </w:r>
      <w:r>
        <w:rPr>
          <w:rFonts w:eastAsia="宋体" w:cs="Times New Roman"/>
          <w:color w:val="000000" w:themeColor="text1"/>
          <w14:textFill>
            <w14:solidFill>
              <w14:schemeClr w14:val="tx1"/>
            </w14:solidFill>
          </w14:textFill>
        </w:rPr>
        <w:t>查询</w:t>
      </w:r>
      <w:r>
        <w:rPr>
          <w:rFonts w:hint="eastAsia" w:eastAsia="宋体" w:cs="Times New Roman"/>
          <w:color w:val="000000" w:themeColor="text1"/>
          <w14:textFill>
            <w14:solidFill>
              <w14:schemeClr w14:val="tx1"/>
            </w14:solidFill>
          </w14:textFill>
        </w:rPr>
        <w:t>患者的</w:t>
      </w:r>
      <w:r>
        <w:rPr>
          <w:rFonts w:eastAsia="宋体" w:cs="Times New Roman"/>
          <w:color w:val="000000" w:themeColor="text1"/>
          <w14:textFill>
            <w14:solidFill>
              <w14:schemeClr w14:val="tx1"/>
            </w14:solidFill>
          </w14:textFill>
        </w:rPr>
        <w:t>姓名、出生日期、性别、地址、身份证号信息</w:t>
      </w:r>
      <w:r>
        <w:rPr>
          <w:rFonts w:hint="eastAsia" w:eastAsia="宋体" w:cs="Times New Roman"/>
          <w:color w:val="000000" w:themeColor="text1"/>
          <w14:textFill>
            <w14:solidFill>
              <w14:schemeClr w14:val="tx1"/>
            </w14:solidFill>
          </w14:textFill>
        </w:rPr>
        <w:t>功能</w:t>
      </w:r>
      <w:r>
        <w:rPr>
          <w:rFonts w:eastAsia="宋体" w:cs="Times New Roman"/>
          <w:color w:val="000000" w:themeColor="text1"/>
          <w14:textFill>
            <w14:solidFill>
              <w14:schemeClr w14:val="tx1"/>
            </w14:solidFill>
          </w14:textFill>
        </w:rPr>
        <w:t>。</w:t>
      </w:r>
    </w:p>
    <w:p>
      <w:pPr>
        <w:pStyle w:val="7"/>
        <w:spacing w:before="81" w:after="81"/>
        <w:ind w:left="0"/>
        <w:rPr>
          <w:rFonts w:ascii="宋体" w:hAnsi="宋体"/>
        </w:rPr>
      </w:pPr>
      <w:r>
        <w:rPr>
          <w:rFonts w:hint="eastAsia" w:ascii="宋体" w:hAnsi="宋体"/>
        </w:rPr>
        <w:t>VTE知识引擎</w:t>
      </w:r>
    </w:p>
    <w:p>
      <w:pPr>
        <w:pStyle w:val="8"/>
        <w:spacing w:before="81" w:after="81"/>
        <w:ind w:left="0"/>
        <w:rPr>
          <w:rFonts w:ascii="宋体" w:hAnsi="宋体"/>
          <w:szCs w:val="28"/>
        </w:rPr>
      </w:pPr>
      <w:r>
        <w:rPr>
          <w:rFonts w:ascii="宋体" w:hAnsi="宋体"/>
          <w:szCs w:val="28"/>
        </w:rPr>
        <w:t>知识引擎</w:t>
      </w:r>
    </w:p>
    <w:p>
      <w:pPr>
        <w:numPr>
          <w:ilvl w:val="0"/>
          <w:numId w:val="7"/>
        </w:numPr>
        <w:spacing w:before="81" w:after="81"/>
        <w:ind w:firstLineChars="0"/>
        <w:rPr>
          <w:szCs w:val="24"/>
        </w:rPr>
      </w:pPr>
      <w:r>
        <w:rPr>
          <w:szCs w:val="24"/>
        </w:rPr>
        <w:t>VTE字典管理</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系统字典</w:t>
      </w:r>
      <w:r>
        <w:rPr>
          <w:rFonts w:eastAsia="宋体" w:cs="Times New Roman"/>
          <w:color w:val="000000" w:themeColor="text1"/>
          <w14:textFill>
            <w14:solidFill>
              <w14:schemeClr w14:val="tx1"/>
            </w14:solidFill>
          </w14:textFill>
        </w:rPr>
        <w:t>管理</w:t>
      </w:r>
      <w:r>
        <w:rPr>
          <w:rFonts w:hint="eastAsia" w:eastAsia="宋体" w:cs="Times New Roman"/>
          <w:color w:val="000000" w:themeColor="text1"/>
          <w14:textFill>
            <w14:solidFill>
              <w14:schemeClr w14:val="tx1"/>
            </w14:solidFill>
          </w14:textFill>
        </w:rPr>
        <w:t>：具备国家标准的诊断、手术、药品、检验项目、检查项目、诊疗操作项目的管理与维护功能。</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院内字典管理：具备院内标准的诊断、手术、药品、检验项目、检查项目、诊疗操作项目的管理与维护功能。</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院内与标准字典对照管理：具备根据已设置好的规则将院内标准中的诊断、手术、药品、检验项目、检查项目与国家标准中的诊断、手术、药品、检验项目、检查项目进行对照，并提供一键映射功能，可对其进行管理与维护</w:t>
      </w:r>
      <w:r>
        <w:rPr>
          <w:rFonts w:eastAsia="宋体" w:cs="Times New Roman"/>
          <w:color w:val="000000" w:themeColor="text1"/>
          <w14:textFill>
            <w14:solidFill>
              <w14:schemeClr w14:val="tx1"/>
            </w14:solidFill>
          </w14:textFill>
        </w:rPr>
        <w:t>。</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量表管理：提供符合行业标准版的内外科住院患者VTE风险评估表、内外科住院患者出血危险因素评估表、Wells-DVT、Wells-PE、PESI量表内容、评估风险等级和对应预防措施的管理与维护；具备根据医院个性化需求实时调整量表内容</w:t>
      </w:r>
      <w:r>
        <w:rPr>
          <w:rFonts w:eastAsia="宋体" w:cs="Times New Roman"/>
          <w:color w:val="000000" w:themeColor="text1"/>
          <w14:textFill>
            <w14:solidFill>
              <w14:schemeClr w14:val="tx1"/>
            </w14:solidFill>
          </w14:textFill>
        </w:rPr>
        <w:t>。</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量表指标管理：具备将行业标准版和医院个性化量表内容梳理抽象成指标集功能，并对其进行管理与维护</w:t>
      </w:r>
      <w:r>
        <w:rPr>
          <w:rFonts w:eastAsia="宋体" w:cs="Times New Roman"/>
          <w:color w:val="000000" w:themeColor="text1"/>
          <w14:textFill>
            <w14:solidFill>
              <w14:schemeClr w14:val="tx1"/>
            </w14:solidFill>
          </w14:textFill>
        </w:rPr>
        <w:t>。</w:t>
      </w:r>
    </w:p>
    <w:p>
      <w:pPr>
        <w:numPr>
          <w:ilvl w:val="0"/>
          <w:numId w:val="8"/>
        </w:numPr>
        <w:spacing w:before="81" w:after="81"/>
        <w:ind w:firstLine="0" w:firstLineChars="0"/>
      </w:pPr>
      <w:r>
        <w:rPr>
          <w:rFonts w:hint="eastAsia"/>
        </w:rPr>
        <w:t>知识引擎</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提供基于RETE算法和内存计算的规则引擎。</w:t>
      </w:r>
    </w:p>
    <w:p>
      <w:pPr>
        <w:pStyle w:val="8"/>
        <w:spacing w:before="81" w:after="81"/>
        <w:ind w:left="0"/>
        <w:rPr>
          <w:rFonts w:ascii="宋体" w:hAnsi="宋体"/>
          <w:szCs w:val="28"/>
        </w:rPr>
      </w:pPr>
      <w:r>
        <w:rPr>
          <w:rFonts w:ascii="宋体" w:hAnsi="宋体"/>
          <w:szCs w:val="28"/>
        </w:rPr>
        <w:t>知识生产</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药品知识生产：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根据VTE预防诊治临床指南以及药品名称、药理作用形成药品相关的知识模块。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诊断知识生产：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根据VTE预防诊治临床指南以及疾病编码、疾病的临床分类型成诊断相关的知识模块。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手术知识生产：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根据VTE预防诊治临床指南以及手术名称、手术部位、手术等级形成手术相关的知识模块。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检验知识生产：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根据VTE预防诊治临床指南以及检验项目名称、检验项目代码及其临床意义形成检验相关的知识模块。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检查知识生产：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根据VTE预防诊治临床指南以及检查项目类别、检查报告形成检查相关的知识模块。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自动评估规则知识生产：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根据医院内VTE防治与管理建议中的量表评估时机以及VTE量表高危因素形成自动评估规则的知识模块。</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自动填写规则知识生产：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根据VTE量表内容和临床业务知识形成自动填写规则的知识模块。</w:t>
      </w:r>
    </w:p>
    <w:p>
      <w:pPr>
        <w:pStyle w:val="72"/>
        <w:spacing w:before="81" w:after="81" w:line="360" w:lineRule="auto"/>
        <w:ind w:firstLine="480"/>
      </w:pPr>
      <w:r>
        <w:rPr>
          <w:rFonts w:hint="eastAsia" w:eastAsia="宋体" w:cs="Times New Roman"/>
          <w:color w:val="000000" w:themeColor="text1"/>
          <w14:textFill>
            <w14:solidFill>
              <w14:schemeClr w14:val="tx1"/>
            </w14:solidFill>
          </w14:textFill>
        </w:rPr>
        <w:t>质控指标知识生产：</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根据医院内VTE防治与管理建议中VTE预防考核形成质控指标的知识模块。</w:t>
      </w:r>
    </w:p>
    <w:p>
      <w:pPr>
        <w:pStyle w:val="8"/>
        <w:spacing w:before="81" w:after="81"/>
        <w:ind w:left="0"/>
        <w:rPr>
          <w:rFonts w:ascii="宋体" w:hAnsi="宋体"/>
          <w:szCs w:val="28"/>
        </w:rPr>
      </w:pPr>
      <w:r>
        <w:rPr>
          <w:rFonts w:ascii="宋体" w:hAnsi="宋体"/>
          <w:szCs w:val="28"/>
        </w:rPr>
        <w:t>患者信息调阅</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 xml:space="preserve"> </w:t>
      </w:r>
      <w:r>
        <w:rPr>
          <w:rFonts w:hint="eastAsia" w:eastAsia="宋体" w:cs="Times New Roman"/>
          <w:color w:val="000000" w:themeColor="text1"/>
          <w14:textFill>
            <w14:solidFill>
              <w14:schemeClr w14:val="tx1"/>
            </w14:solidFill>
          </w14:textFill>
        </w:rPr>
        <w:t>具备</w:t>
      </w:r>
      <w:r>
        <w:rPr>
          <w:rFonts w:eastAsia="宋体" w:cs="Times New Roman"/>
          <w:color w:val="000000" w:themeColor="text1"/>
          <w14:textFill>
            <w14:solidFill>
              <w14:schemeClr w14:val="tx1"/>
            </w14:solidFill>
          </w14:textFill>
        </w:rPr>
        <w:t>患者主要信息展示</w:t>
      </w:r>
      <w:r>
        <w:rPr>
          <w:rFonts w:hint="eastAsia" w:eastAsia="宋体" w:cs="Times New Roman"/>
          <w:color w:val="000000" w:themeColor="text1"/>
          <w14:textFill>
            <w14:solidFill>
              <w14:schemeClr w14:val="tx1"/>
            </w14:solidFill>
          </w14:textFill>
        </w:rPr>
        <w:t>功能</w:t>
      </w:r>
      <w:r>
        <w:rPr>
          <w:rFonts w:eastAsia="宋体" w:cs="Times New Roman"/>
          <w:color w:val="000000" w:themeColor="text1"/>
          <w14:textFill>
            <w14:solidFill>
              <w14:schemeClr w14:val="tx1"/>
            </w14:solidFill>
          </w14:textFill>
        </w:rPr>
        <w:t>，包括</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患者就诊基本信息、过敏信息、主诉、入院诊断、现病史；支持病人历次诊断的</w:t>
      </w:r>
      <w:r>
        <w:rPr>
          <w:rFonts w:hint="eastAsia" w:eastAsia="宋体" w:cs="Times New Roman"/>
          <w:color w:val="000000" w:themeColor="text1"/>
          <w14:textFill>
            <w14:solidFill>
              <w14:schemeClr w14:val="tx1"/>
            </w14:solidFill>
          </w14:textFill>
        </w:rPr>
        <w:t>快捷</w:t>
      </w:r>
      <w:r>
        <w:rPr>
          <w:rFonts w:eastAsia="宋体" w:cs="Times New Roman"/>
          <w:color w:val="000000" w:themeColor="text1"/>
          <w14:textFill>
            <w14:solidFill>
              <w14:schemeClr w14:val="tx1"/>
            </w14:solidFill>
          </w14:textFill>
        </w:rPr>
        <w:t>查看。</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eastAsia="宋体" w:cs="Times New Roman"/>
          <w:color w:val="000000" w:themeColor="text1"/>
          <w14:textFill>
            <w14:solidFill>
              <w14:schemeClr w14:val="tx1"/>
            </w14:solidFill>
          </w14:textFill>
        </w:rPr>
        <w:t>具备</w:t>
      </w:r>
      <w:r>
        <w:rPr>
          <w:rFonts w:eastAsia="宋体" w:cs="Times New Roman"/>
          <w:color w:val="000000" w:themeColor="text1"/>
          <w14:textFill>
            <w14:solidFill>
              <w14:schemeClr w14:val="tx1"/>
            </w14:solidFill>
          </w14:textFill>
        </w:rPr>
        <w:t>患者</w:t>
      </w:r>
      <w:r>
        <w:rPr>
          <w:rFonts w:hint="eastAsia" w:eastAsia="宋体" w:cs="Times New Roman"/>
          <w:color w:val="000000" w:themeColor="text1"/>
          <w14:textFill>
            <w14:solidFill>
              <w14:schemeClr w14:val="tx1"/>
            </w14:solidFill>
          </w14:textFill>
        </w:rPr>
        <w:t>本</w:t>
      </w:r>
      <w:r>
        <w:rPr>
          <w:rFonts w:eastAsia="宋体" w:cs="Times New Roman"/>
          <w:color w:val="000000" w:themeColor="text1"/>
          <w14:textFill>
            <w14:solidFill>
              <w14:schemeClr w14:val="tx1"/>
            </w14:solidFill>
          </w14:textFill>
        </w:rPr>
        <w:t>历次</w:t>
      </w:r>
      <w:r>
        <w:rPr>
          <w:rFonts w:hint="eastAsia" w:eastAsia="宋体" w:cs="Times New Roman"/>
          <w:color w:val="000000" w:themeColor="text1"/>
          <w14:textFill>
            <w14:solidFill>
              <w14:schemeClr w14:val="tx1"/>
            </w14:solidFill>
          </w14:textFill>
        </w:rPr>
        <w:t>住院</w:t>
      </w:r>
      <w:r>
        <w:rPr>
          <w:rFonts w:eastAsia="宋体" w:cs="Times New Roman"/>
          <w:color w:val="000000" w:themeColor="text1"/>
          <w14:textFill>
            <w14:solidFill>
              <w14:schemeClr w14:val="tx1"/>
            </w14:solidFill>
          </w14:textFill>
        </w:rPr>
        <w:t>期间评估的</w:t>
      </w:r>
      <w:r>
        <w:rPr>
          <w:rFonts w:hint="eastAsia" w:eastAsia="宋体" w:cs="Times New Roman"/>
          <w:color w:val="000000" w:themeColor="text1"/>
          <w14:textFill>
            <w14:solidFill>
              <w14:schemeClr w14:val="tx1"/>
            </w14:solidFill>
          </w14:textFill>
        </w:rPr>
        <w:t>所有</w:t>
      </w:r>
      <w:r>
        <w:rPr>
          <w:rFonts w:eastAsia="宋体" w:cs="Times New Roman"/>
          <w:color w:val="000000" w:themeColor="text1"/>
          <w14:textFill>
            <w14:solidFill>
              <w14:schemeClr w14:val="tx1"/>
            </w14:solidFill>
          </w14:textFill>
        </w:rPr>
        <w:t>VTE量表列表</w:t>
      </w:r>
      <w:r>
        <w:rPr>
          <w:rFonts w:hint="eastAsia" w:eastAsia="宋体" w:cs="Times New Roman"/>
          <w:color w:val="000000" w:themeColor="text1"/>
          <w14:textFill>
            <w14:solidFill>
              <w14:schemeClr w14:val="tx1"/>
            </w14:solidFill>
          </w14:textFill>
        </w:rPr>
        <w:t>信息查看功能；具备根据量表名称、量表评估结果、量表状态筛选量表列表信息；支持快捷查看每张量表的明细内容。</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支持查看</w:t>
      </w:r>
      <w:r>
        <w:rPr>
          <w:rFonts w:hint="eastAsia" w:eastAsia="宋体" w:cs="Times New Roman"/>
          <w:color w:val="000000" w:themeColor="text1"/>
          <w14:textFill>
            <w14:solidFill>
              <w14:schemeClr w14:val="tx1"/>
            </w14:solidFill>
          </w14:textFill>
        </w:rPr>
        <w:t>患者本历次住院期间评估</w:t>
      </w:r>
      <w:r>
        <w:rPr>
          <w:rFonts w:eastAsia="宋体" w:cs="Times New Roman"/>
          <w:color w:val="000000" w:themeColor="text1"/>
          <w14:textFill>
            <w14:solidFill>
              <w14:schemeClr w14:val="tx1"/>
            </w14:solidFill>
          </w14:textFill>
        </w:rPr>
        <w:t>的</w:t>
      </w:r>
      <w:r>
        <w:rPr>
          <w:rFonts w:hint="eastAsia" w:eastAsia="宋体" w:cs="Times New Roman"/>
          <w:color w:val="000000" w:themeColor="text1"/>
          <w14:textFill>
            <w14:solidFill>
              <w14:schemeClr w14:val="tx1"/>
            </w14:solidFill>
          </w14:textFill>
        </w:rPr>
        <w:t>所有VTE相关量表的</w:t>
      </w:r>
      <w:r>
        <w:rPr>
          <w:rFonts w:eastAsia="宋体" w:cs="Times New Roman"/>
          <w:color w:val="000000" w:themeColor="text1"/>
          <w14:textFill>
            <w14:solidFill>
              <w14:schemeClr w14:val="tx1"/>
            </w14:solidFill>
          </w14:textFill>
        </w:rPr>
        <w:t>评估风险趋势</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支持浮</w:t>
      </w:r>
      <w:r>
        <w:rPr>
          <w:rFonts w:hint="eastAsia" w:eastAsia="宋体" w:cs="Times New Roman"/>
          <w:color w:val="000000" w:themeColor="text1"/>
          <w14:textFill>
            <w14:solidFill>
              <w14:schemeClr w14:val="tx1"/>
            </w14:solidFill>
          </w14:textFill>
        </w:rPr>
        <w:t>标</w:t>
      </w:r>
      <w:r>
        <w:rPr>
          <w:rFonts w:eastAsia="宋体" w:cs="Times New Roman"/>
          <w:color w:val="000000" w:themeColor="text1"/>
          <w14:textFill>
            <w14:solidFill>
              <w14:schemeClr w14:val="tx1"/>
            </w14:solidFill>
          </w14:textFill>
        </w:rPr>
        <w:t>显示量表名称、评估时间、评估人、评估结果、量表状态</w:t>
      </w:r>
      <w:r>
        <w:rPr>
          <w:rFonts w:hint="eastAsia" w:eastAsia="宋体" w:cs="Times New Roman"/>
          <w:color w:val="000000" w:themeColor="text1"/>
          <w14:textFill>
            <w14:solidFill>
              <w14:schemeClr w14:val="tx1"/>
            </w14:solidFill>
          </w14:textFill>
        </w:rPr>
        <w:t>；支持</w:t>
      </w:r>
      <w:r>
        <w:rPr>
          <w:rFonts w:eastAsia="宋体" w:cs="Times New Roman"/>
          <w:color w:val="000000" w:themeColor="text1"/>
          <w14:textFill>
            <w14:solidFill>
              <w14:schemeClr w14:val="tx1"/>
            </w14:solidFill>
          </w14:textFill>
        </w:rPr>
        <w:t>按需选择对应量表</w:t>
      </w:r>
      <w:r>
        <w:rPr>
          <w:rFonts w:hint="eastAsia" w:eastAsia="宋体" w:cs="Times New Roman"/>
          <w:color w:val="000000" w:themeColor="text1"/>
          <w14:textFill>
            <w14:solidFill>
              <w14:schemeClr w14:val="tx1"/>
            </w14:solidFill>
          </w14:textFill>
        </w:rPr>
        <w:t>的</w:t>
      </w:r>
      <w:r>
        <w:rPr>
          <w:rFonts w:eastAsia="宋体" w:cs="Times New Roman"/>
          <w:color w:val="000000" w:themeColor="text1"/>
          <w14:textFill>
            <w14:solidFill>
              <w14:schemeClr w14:val="tx1"/>
            </w14:solidFill>
          </w14:textFill>
        </w:rPr>
        <w:t>趋势图</w:t>
      </w:r>
      <w:r>
        <w:rPr>
          <w:rFonts w:hint="eastAsia" w:eastAsia="宋体" w:cs="Times New Roman"/>
          <w:color w:val="000000" w:themeColor="text1"/>
          <w14:textFill>
            <w14:solidFill>
              <w14:schemeClr w14:val="tx1"/>
            </w14:solidFill>
          </w14:textFill>
        </w:rPr>
        <w:t>自由展现</w:t>
      </w:r>
      <w:r>
        <w:rPr>
          <w:rFonts w:eastAsia="宋体" w:cs="Times New Roman"/>
          <w:color w:val="000000" w:themeColor="text1"/>
          <w14:textFill>
            <w14:solidFill>
              <w14:schemeClr w14:val="tx1"/>
            </w14:solidFill>
          </w14:textFill>
        </w:rPr>
        <w:t>，且趋势图中</w:t>
      </w:r>
      <w:r>
        <w:rPr>
          <w:rFonts w:hint="eastAsia" w:eastAsia="宋体" w:cs="Times New Roman"/>
          <w:color w:val="000000" w:themeColor="text1"/>
          <w14:textFill>
            <w14:solidFill>
              <w14:schemeClr w14:val="tx1"/>
            </w14:solidFill>
          </w14:textFill>
        </w:rPr>
        <w:t>支持查</w:t>
      </w:r>
      <w:r>
        <w:rPr>
          <w:rFonts w:eastAsia="宋体" w:cs="Times New Roman"/>
          <w:color w:val="000000" w:themeColor="text1"/>
          <w14:textFill>
            <w14:solidFill>
              <w14:schemeClr w14:val="tx1"/>
            </w14:solidFill>
          </w14:textFill>
        </w:rPr>
        <w:t>看某一</w:t>
      </w:r>
      <w:r>
        <w:rPr>
          <w:rFonts w:hint="eastAsia" w:eastAsia="宋体" w:cs="Times New Roman"/>
          <w:color w:val="000000" w:themeColor="text1"/>
          <w14:textFill>
            <w14:solidFill>
              <w14:schemeClr w14:val="tx1"/>
            </w14:solidFill>
          </w14:textFill>
        </w:rPr>
        <w:t>评估</w:t>
      </w:r>
      <w:r>
        <w:rPr>
          <w:rFonts w:eastAsia="宋体" w:cs="Times New Roman"/>
          <w:color w:val="000000" w:themeColor="text1"/>
          <w14:textFill>
            <w14:solidFill>
              <w14:schemeClr w14:val="tx1"/>
            </w14:solidFill>
          </w14:textFill>
        </w:rPr>
        <w:t>时间点前后半小时的所有量表对比结果</w:t>
      </w:r>
      <w:r>
        <w:rPr>
          <w:rFonts w:hint="eastAsia" w:eastAsia="宋体" w:cs="Times New Roman"/>
          <w:color w:val="000000" w:themeColor="text1"/>
          <w14:textFill>
            <w14:solidFill>
              <w14:schemeClr w14:val="tx1"/>
            </w14:solidFill>
          </w14:textFill>
        </w:rPr>
        <w:t>分析</w:t>
      </w:r>
      <w:r>
        <w:rPr>
          <w:rFonts w:eastAsia="宋体" w:cs="Times New Roman"/>
          <w:color w:val="000000" w:themeColor="text1"/>
          <w14:textFill>
            <w14:solidFill>
              <w14:schemeClr w14:val="tx1"/>
            </w14:solidFill>
          </w14:textFill>
        </w:rPr>
        <w:t>。</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支持嵌入多个业务系统进行VTE量表调阅，包括住院医生站、护士工作站、急诊系统。</w:t>
      </w:r>
    </w:p>
    <w:p>
      <w:pPr>
        <w:spacing w:before="81" w:after="81"/>
        <w:ind w:firstLine="480"/>
      </w:pPr>
      <w:r>
        <w:rPr>
          <w:rFonts w:hint="eastAsia" w:ascii="宋体" w:hAnsi="宋体" w:eastAsia="宋体" w:cs="宋体"/>
          <w:color w:val="000000" w:themeColor="text1"/>
          <w:szCs w:val="24"/>
          <w14:textFill>
            <w14:solidFill>
              <w14:schemeClr w14:val="tx1"/>
            </w14:solidFill>
          </w14:textFill>
        </w:rPr>
        <w:t>▲</w:t>
      </w:r>
      <w:r>
        <w:rPr>
          <w:rFonts w:hint="eastAsia" w:eastAsia="宋体" w:cs="Times New Roman"/>
          <w:color w:val="000000" w:themeColor="text1"/>
          <w:szCs w:val="24"/>
          <w14:textFill>
            <w14:solidFill>
              <w14:schemeClr w14:val="tx1"/>
            </w14:solidFill>
          </w14:textFill>
        </w:rPr>
        <w:t>支持多维度展示系统自动填写的评估项对应的评分</w:t>
      </w:r>
      <w:r>
        <w:rPr>
          <w:rFonts w:eastAsia="宋体" w:cs="Times New Roman"/>
          <w:color w:val="000000" w:themeColor="text1"/>
          <w:szCs w:val="24"/>
          <w14:textFill>
            <w14:solidFill>
              <w14:schemeClr w14:val="tx1"/>
            </w14:solidFill>
          </w14:textFill>
        </w:rPr>
        <w:t>依据</w:t>
      </w:r>
      <w:r>
        <w:rPr>
          <w:rFonts w:hint="eastAsia" w:eastAsia="宋体" w:cs="Times New Roman"/>
          <w:color w:val="000000" w:themeColor="text1"/>
          <w:szCs w:val="24"/>
          <w14:textFill>
            <w14:solidFill>
              <w14:schemeClr w14:val="tx1"/>
            </w14:solidFill>
          </w14:textFill>
        </w:rPr>
        <w:t>；支持红色字体标识非结构化文本内容中提取的规则知识；支持对医护人员修正的评估结果进行机器学习，实现后续类似评估项的自动填写，并以蓝色字体进行标记。</w:t>
      </w:r>
    </w:p>
    <w:p>
      <w:pPr>
        <w:pStyle w:val="7"/>
        <w:spacing w:before="81" w:after="81"/>
        <w:ind w:left="0"/>
        <w:rPr>
          <w:rFonts w:ascii="宋体" w:hAnsi="宋体"/>
        </w:rPr>
      </w:pPr>
      <w:r>
        <w:rPr>
          <w:rFonts w:hint="eastAsia" w:ascii="宋体" w:hAnsi="宋体"/>
        </w:rPr>
        <w:t>VTE智能辅助决策</w:t>
      </w:r>
    </w:p>
    <w:p>
      <w:pPr>
        <w:pStyle w:val="8"/>
        <w:spacing w:before="81" w:after="81"/>
        <w:ind w:left="0"/>
        <w:rPr>
          <w:rFonts w:ascii="宋体" w:hAnsi="宋体"/>
          <w:szCs w:val="28"/>
        </w:rPr>
      </w:pPr>
      <w:r>
        <w:rPr>
          <w:rFonts w:hint="eastAsia" w:ascii="宋体" w:hAnsi="宋体"/>
          <w:szCs w:val="28"/>
        </w:rPr>
        <w:t>VTE智能评估</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支持构建</w:t>
      </w:r>
      <w:r>
        <w:rPr>
          <w:rFonts w:hint="eastAsia" w:eastAsia="宋体" w:cs="Times New Roman"/>
          <w:color w:val="000000" w:themeColor="text1"/>
          <w14:textFill>
            <w14:solidFill>
              <w14:schemeClr w14:val="tx1"/>
            </w14:solidFill>
          </w14:textFill>
        </w:rPr>
        <w:t>完善的</w:t>
      </w:r>
      <w:r>
        <w:rPr>
          <w:rFonts w:eastAsia="宋体" w:cs="Times New Roman"/>
          <w:color w:val="000000" w:themeColor="text1"/>
          <w14:textFill>
            <w14:solidFill>
              <w14:schemeClr w14:val="tx1"/>
            </w14:solidFill>
          </w14:textFill>
        </w:rPr>
        <w:t>VTE</w:t>
      </w:r>
      <w:r>
        <w:rPr>
          <w:rFonts w:hint="eastAsia" w:eastAsia="宋体" w:cs="Times New Roman"/>
          <w:color w:val="000000" w:themeColor="text1"/>
          <w14:textFill>
            <w14:solidFill>
              <w14:schemeClr w14:val="tx1"/>
            </w14:solidFill>
          </w14:textFill>
        </w:rPr>
        <w:t>量表</w:t>
      </w:r>
      <w:r>
        <w:rPr>
          <w:rFonts w:eastAsia="宋体" w:cs="Times New Roman"/>
          <w:color w:val="000000" w:themeColor="text1"/>
          <w14:textFill>
            <w14:solidFill>
              <w14:schemeClr w14:val="tx1"/>
            </w14:solidFill>
          </w14:textFill>
        </w:rPr>
        <w:t>体系，</w:t>
      </w:r>
      <w:r>
        <w:rPr>
          <w:rFonts w:hint="eastAsia" w:eastAsia="宋体" w:cs="Times New Roman"/>
          <w:color w:val="000000" w:themeColor="text1"/>
          <w14:textFill>
            <w14:solidFill>
              <w14:schemeClr w14:val="tx1"/>
            </w14:solidFill>
          </w14:textFill>
        </w:rPr>
        <w:t>需</w:t>
      </w:r>
      <w:r>
        <w:rPr>
          <w:rFonts w:eastAsia="宋体" w:cs="Times New Roman"/>
          <w:color w:val="000000" w:themeColor="text1"/>
          <w14:textFill>
            <w14:solidFill>
              <w14:schemeClr w14:val="tx1"/>
            </w14:solidFill>
          </w14:textFill>
        </w:rPr>
        <w:t>包括VTE初筛、疑似诊断、确诊患者预后</w:t>
      </w:r>
      <w:r>
        <w:rPr>
          <w:rFonts w:hint="eastAsia" w:eastAsia="宋体" w:cs="Times New Roman"/>
          <w:color w:val="000000" w:themeColor="text1"/>
          <w14:textFill>
            <w14:solidFill>
              <w14:schemeClr w14:val="tx1"/>
            </w14:solidFill>
          </w14:textFill>
        </w:rPr>
        <w:t>的</w:t>
      </w:r>
      <w:r>
        <w:rPr>
          <w:rFonts w:eastAsia="宋体" w:cs="Times New Roman"/>
          <w:color w:val="000000" w:themeColor="text1"/>
          <w14:textFill>
            <w14:solidFill>
              <w14:schemeClr w14:val="tx1"/>
            </w14:solidFill>
          </w14:textFill>
        </w:rPr>
        <w:t>三种评估场景，量表内容类型分为内科、外科</w:t>
      </w:r>
      <w:r>
        <w:rPr>
          <w:rFonts w:hint="eastAsia" w:eastAsia="宋体" w:cs="Times New Roman"/>
          <w:color w:val="000000" w:themeColor="text1"/>
          <w14:textFill>
            <w14:solidFill>
              <w14:schemeClr w14:val="tx1"/>
            </w14:solidFill>
          </w14:textFill>
        </w:rPr>
        <w:t>、孕产妇和肿瘤</w:t>
      </w:r>
      <w:r>
        <w:rPr>
          <w:rFonts w:eastAsia="宋体" w:cs="Times New Roman"/>
          <w:color w:val="000000" w:themeColor="text1"/>
          <w14:textFill>
            <w14:solidFill>
              <w14:schemeClr w14:val="tx1"/>
            </w14:solidFill>
          </w14:textFill>
        </w:rPr>
        <w:t>化疗</w:t>
      </w:r>
      <w:r>
        <w:rPr>
          <w:rFonts w:hint="eastAsia" w:eastAsia="宋体" w:cs="Times New Roman"/>
          <w:color w:val="000000" w:themeColor="text1"/>
          <w14:textFill>
            <w14:solidFill>
              <w14:schemeClr w14:val="tx1"/>
            </w14:solidFill>
          </w14:textFill>
        </w:rPr>
        <w:t>四</w:t>
      </w:r>
      <w:r>
        <w:rPr>
          <w:rFonts w:eastAsia="宋体" w:cs="Times New Roman"/>
          <w:color w:val="000000" w:themeColor="text1"/>
          <w14:textFill>
            <w14:solidFill>
              <w14:schemeClr w14:val="tx1"/>
            </w14:solidFill>
          </w14:textFill>
        </w:rPr>
        <w:t>个类别</w:t>
      </w:r>
      <w:r>
        <w:rPr>
          <w:rFonts w:hint="eastAsia" w:eastAsia="宋体" w:cs="Times New Roman"/>
          <w:color w:val="000000" w:themeColor="text1"/>
          <w14:textFill>
            <w14:solidFill>
              <w14:schemeClr w14:val="tx1"/>
            </w14:solidFill>
          </w14:textFill>
        </w:rPr>
        <w:t>，不少于十张量表</w:t>
      </w:r>
      <w:r>
        <w:rPr>
          <w:rFonts w:eastAsia="宋体" w:cs="Times New Roman"/>
          <w:color w:val="000000" w:themeColor="text1"/>
          <w14:textFill>
            <w14:solidFill>
              <w14:schemeClr w14:val="tx1"/>
            </w14:solidFill>
          </w14:textFill>
        </w:rPr>
        <w:t>。</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嵌入多个业务系统中，并结合业务场景和患者的诊治过程数据，根据规则引擎中已配置的自动评估规则，为患者自动生成VTE风险相关的评估量表</w:t>
      </w:r>
      <w:r>
        <w:rPr>
          <w:rFonts w:eastAsia="宋体" w:cs="Times New Roman"/>
          <w:color w:val="000000" w:themeColor="text1"/>
          <w14:textFill>
            <w14:solidFill>
              <w14:schemeClr w14:val="tx1"/>
            </w14:solidFill>
          </w14:textFill>
        </w:rPr>
        <w:t>，</w:t>
      </w:r>
      <w:r>
        <w:rPr>
          <w:rFonts w:hint="eastAsia" w:eastAsia="宋体" w:cs="Times New Roman"/>
          <w:color w:val="000000" w:themeColor="text1"/>
          <w14:textFill>
            <w14:solidFill>
              <w14:schemeClr w14:val="tx1"/>
            </w14:solidFill>
          </w14:textFill>
        </w:rPr>
        <w:t>且支持量表内容根据已配置的自动填写规则进行自动填充；支持根据医生填写的评估结果进行机器学习，为后续量表的评估工作实现自动填充；</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支持VTE量表内容的结构化存储；支持VTE量表内容的导出、打印和修改；</w:t>
      </w:r>
    </w:p>
    <w:p>
      <w:pPr>
        <w:pStyle w:val="72"/>
        <w:spacing w:before="81" w:after="81" w:line="360" w:lineRule="auto"/>
        <w:ind w:firstLine="480"/>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VTE量表内容的修改日志记录；支持历次修改痕迹的对比展示。</w:t>
      </w:r>
    </w:p>
    <w:p>
      <w:pPr>
        <w:pStyle w:val="8"/>
        <w:spacing w:before="81" w:after="81"/>
        <w:ind w:left="0"/>
        <w:rPr>
          <w:rFonts w:ascii="宋体" w:hAnsi="宋体"/>
          <w:szCs w:val="28"/>
        </w:rPr>
      </w:pPr>
      <w:r>
        <w:rPr>
          <w:rFonts w:hint="eastAsia" w:ascii="宋体" w:hAnsi="宋体"/>
          <w:szCs w:val="28"/>
        </w:rPr>
        <w:t>VTE预警提醒</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支持基于系统药品</w:t>
      </w:r>
      <w:r>
        <w:rPr>
          <w:rFonts w:hint="eastAsia" w:eastAsia="宋体" w:cs="Times New Roman"/>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诊断合理性、药品相互作用等知识体系，提供相应的临床用药辅助决策</w:t>
      </w:r>
      <w:r>
        <w:rPr>
          <w:rFonts w:hint="eastAsia" w:eastAsia="宋体" w:cs="Times New Roman"/>
          <w:color w:val="000000" w:themeColor="text1"/>
          <w14:textFill>
            <w14:solidFill>
              <w14:schemeClr w14:val="tx1"/>
            </w14:solidFill>
          </w14:textFill>
        </w:rPr>
        <w:t>；提供字典查询、更新、映射等管理功能。</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VTE风险预警机制，同时针对不同风险等级推荐对应的预防措施以及相关禁忌症提醒。</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VTE</w:t>
      </w:r>
      <w:r>
        <w:rPr>
          <w:rFonts w:eastAsia="宋体" w:cs="Times New Roman"/>
          <w:color w:val="000000" w:themeColor="text1"/>
          <w14:textFill>
            <w14:solidFill>
              <w14:schemeClr w14:val="tx1"/>
            </w14:solidFill>
          </w14:textFill>
        </w:rPr>
        <w:t>辅助决策预防建议，涵盖基本预防、药物预防、机械预防、腔静脉滤器</w:t>
      </w:r>
      <w:r>
        <w:rPr>
          <w:rFonts w:hint="eastAsia" w:eastAsia="宋体" w:cs="Times New Roman"/>
          <w:color w:val="000000" w:themeColor="text1"/>
          <w14:textFill>
            <w14:solidFill>
              <w14:schemeClr w14:val="tx1"/>
            </w14:solidFill>
          </w14:textFill>
        </w:rPr>
        <w:t>。</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支持量表审核机制，支持自定义设置是否要强制审核。</w:t>
      </w:r>
    </w:p>
    <w:p>
      <w:pPr>
        <w:pStyle w:val="72"/>
        <w:spacing w:before="81" w:after="81" w:line="360" w:lineRule="auto"/>
        <w:ind w:firstLine="480"/>
      </w:pPr>
      <w:r>
        <w:rPr>
          <w:rFonts w:hint="eastAsia" w:eastAsia="宋体" w:cs="Times New Roman"/>
          <w:color w:val="000000" w:themeColor="text1"/>
          <w14:textFill>
            <w14:solidFill>
              <w14:schemeClr w14:val="tx1"/>
            </w14:solidFill>
          </w14:textFill>
        </w:rPr>
        <w:t>支持快捷查看量表的具体评估结果内容；</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查看历史的VTE消息提醒列表。</w:t>
      </w:r>
    </w:p>
    <w:p>
      <w:pPr>
        <w:pStyle w:val="8"/>
        <w:spacing w:before="81" w:after="81"/>
        <w:ind w:left="0"/>
        <w:rPr>
          <w:rFonts w:ascii="宋体" w:hAnsi="宋体"/>
          <w:szCs w:val="28"/>
        </w:rPr>
      </w:pPr>
      <w:r>
        <w:rPr>
          <w:rFonts w:hint="eastAsia" w:ascii="宋体" w:hAnsi="宋体"/>
          <w:szCs w:val="28"/>
        </w:rPr>
        <w:t>VTE诊疗监控</w:t>
      </w:r>
    </w:p>
    <w:p>
      <w:pPr>
        <w:numPr>
          <w:ilvl w:val="0"/>
          <w:numId w:val="9"/>
        </w:numPr>
        <w:spacing w:before="81" w:after="81"/>
        <w:ind w:firstLineChars="0"/>
        <w:rPr>
          <w:szCs w:val="24"/>
        </w:rPr>
      </w:pPr>
      <w:r>
        <w:rPr>
          <w:rFonts w:hint="eastAsia"/>
          <w:szCs w:val="24"/>
        </w:rPr>
        <w:t xml:space="preserve"> </w:t>
      </w:r>
      <w:r>
        <w:rPr>
          <w:szCs w:val="24"/>
        </w:rPr>
        <w:t>出院患者终末分析</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VTE主题的临床质量分析，指标包括：出院患者例数、</w:t>
      </w:r>
      <w:r>
        <w:rPr>
          <w:rFonts w:eastAsia="宋体" w:cs="Times New Roman"/>
          <w:color w:val="000000" w:themeColor="text1"/>
          <w14:textFill>
            <w14:solidFill>
              <w14:schemeClr w14:val="tx1"/>
            </w14:solidFill>
          </w14:textFill>
        </w:rPr>
        <w:t>VTE</w:t>
      </w:r>
      <w:r>
        <w:rPr>
          <w:rFonts w:hint="eastAsia" w:eastAsia="宋体" w:cs="Times New Roman"/>
          <w:color w:val="000000" w:themeColor="text1"/>
          <w14:textFill>
            <w14:solidFill>
              <w14:schemeClr w14:val="tx1"/>
            </w14:solidFill>
          </w14:textFill>
        </w:rPr>
        <w:t>风险</w:t>
      </w:r>
      <w:r>
        <w:rPr>
          <w:rFonts w:eastAsia="宋体" w:cs="Times New Roman"/>
          <w:color w:val="000000" w:themeColor="text1"/>
          <w14:textFill>
            <w14:solidFill>
              <w14:schemeClr w14:val="tx1"/>
            </w14:solidFill>
          </w14:textFill>
        </w:rPr>
        <w:t>评估</w:t>
      </w:r>
      <w:r>
        <w:rPr>
          <w:rFonts w:hint="eastAsia" w:eastAsia="宋体" w:cs="Times New Roman"/>
          <w:color w:val="000000" w:themeColor="text1"/>
          <w14:textFill>
            <w14:solidFill>
              <w14:schemeClr w14:val="tx1"/>
            </w14:solidFill>
          </w14:textFill>
        </w:rPr>
        <w:t>率、</w:t>
      </w:r>
      <w:r>
        <w:rPr>
          <w:rFonts w:eastAsia="宋体" w:cs="Times New Roman"/>
          <w:color w:val="000000" w:themeColor="text1"/>
          <w14:textFill>
            <w14:solidFill>
              <w14:schemeClr w14:val="tx1"/>
            </w14:solidFill>
          </w14:textFill>
        </w:rPr>
        <w:t>VTE</w:t>
      </w:r>
      <w:r>
        <w:rPr>
          <w:rFonts w:hint="eastAsia" w:eastAsia="宋体" w:cs="Times New Roman"/>
          <w:color w:val="000000" w:themeColor="text1"/>
          <w14:textFill>
            <w14:solidFill>
              <w14:schemeClr w14:val="tx1"/>
            </w14:solidFill>
          </w14:textFill>
        </w:rPr>
        <w:t>风险</w:t>
      </w:r>
      <w:r>
        <w:rPr>
          <w:rFonts w:eastAsia="宋体" w:cs="Times New Roman"/>
          <w:color w:val="000000" w:themeColor="text1"/>
          <w14:textFill>
            <w14:solidFill>
              <w14:schemeClr w14:val="tx1"/>
            </w14:solidFill>
          </w14:textFill>
        </w:rPr>
        <w:t>有效评估</w:t>
      </w:r>
      <w:r>
        <w:rPr>
          <w:rFonts w:hint="eastAsia" w:eastAsia="宋体" w:cs="Times New Roman"/>
          <w:color w:val="000000" w:themeColor="text1"/>
          <w14:textFill>
            <w14:solidFill>
              <w14:schemeClr w14:val="tx1"/>
            </w14:solidFill>
          </w14:textFill>
        </w:rPr>
        <w:t>率、VTE高危患者例数、VTE高危患者实施预防率、VTE发生率、VTE死亡率；</w:t>
      </w:r>
      <w:r>
        <w:rPr>
          <w:rFonts w:eastAsia="宋体" w:cs="Times New Roman"/>
          <w:color w:val="000000" w:themeColor="text1"/>
          <w14:textFill>
            <w14:solidFill>
              <w14:schemeClr w14:val="tx1"/>
            </w14:solidFill>
          </w14:textFill>
        </w:rPr>
        <w:t>支持下钻到患者详情页面。</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根据年度、季度、月度进行指标的快捷查看。</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以科室、风险评估结果、出院方式维度进行指标查看。</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多维度交叉分析出院患者分布。</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按照出院患者明细和统计指标进行数据导出。</w:t>
      </w:r>
    </w:p>
    <w:p>
      <w:pPr>
        <w:numPr>
          <w:ilvl w:val="0"/>
          <w:numId w:val="9"/>
        </w:numPr>
        <w:spacing w:before="81" w:after="81"/>
        <w:ind w:firstLineChars="0"/>
        <w:rPr>
          <w:szCs w:val="24"/>
        </w:rPr>
      </w:pPr>
      <w:r>
        <w:rPr>
          <w:rFonts w:hint="eastAsia"/>
          <w:szCs w:val="24"/>
        </w:rPr>
        <w:t xml:space="preserve"> </w:t>
      </w:r>
      <w:r>
        <w:rPr>
          <w:szCs w:val="24"/>
        </w:rPr>
        <w:t>在院患者实时监控分析</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VTE主题的临床质量分析，包括：在院患者例数、入院24h内</w:t>
      </w:r>
      <w:r>
        <w:rPr>
          <w:rFonts w:eastAsia="宋体" w:cs="Times New Roman"/>
          <w:color w:val="000000" w:themeColor="text1"/>
          <w14:textFill>
            <w14:solidFill>
              <w14:schemeClr w14:val="tx1"/>
            </w14:solidFill>
          </w14:textFill>
        </w:rPr>
        <w:t>VTE</w:t>
      </w:r>
      <w:r>
        <w:rPr>
          <w:rFonts w:hint="eastAsia" w:eastAsia="宋体" w:cs="Times New Roman"/>
          <w:color w:val="000000" w:themeColor="text1"/>
          <w14:textFill>
            <w14:solidFill>
              <w14:schemeClr w14:val="tx1"/>
            </w14:solidFill>
          </w14:textFill>
        </w:rPr>
        <w:t>风险</w:t>
      </w:r>
      <w:r>
        <w:rPr>
          <w:rFonts w:eastAsia="宋体" w:cs="Times New Roman"/>
          <w:color w:val="000000" w:themeColor="text1"/>
          <w14:textFill>
            <w14:solidFill>
              <w14:schemeClr w14:val="tx1"/>
            </w14:solidFill>
          </w14:textFill>
        </w:rPr>
        <w:t>有效评估</w:t>
      </w:r>
      <w:r>
        <w:rPr>
          <w:rFonts w:hint="eastAsia" w:eastAsia="宋体" w:cs="Times New Roman"/>
          <w:color w:val="000000" w:themeColor="text1"/>
          <w14:textFill>
            <w14:solidFill>
              <w14:schemeClr w14:val="tx1"/>
            </w14:solidFill>
          </w14:textFill>
        </w:rPr>
        <w:t>率、VTE高危患者例数以及VTE高危患者实施联合预防措施率、VTE高危合并出血高危率等；</w:t>
      </w:r>
      <w:r>
        <w:rPr>
          <w:rFonts w:eastAsia="宋体" w:cs="Times New Roman"/>
          <w:color w:val="000000" w:themeColor="text1"/>
          <w14:textFill>
            <w14:solidFill>
              <w14:schemeClr w14:val="tx1"/>
            </w14:solidFill>
          </w14:textFill>
        </w:rPr>
        <w:t>支持下钻到患者详情页面。</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 xml:space="preserve"> </w:t>
      </w: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以科室、风险评估结果、VTE诊断类型等维度进行指标查看。</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多维度交叉分析在院患者分布。</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按照在院患者明细和统计指标进行数据导出。</w:t>
      </w:r>
    </w:p>
    <w:p>
      <w:pPr>
        <w:numPr>
          <w:ilvl w:val="0"/>
          <w:numId w:val="9"/>
        </w:numPr>
        <w:spacing w:before="81" w:after="81"/>
        <w:ind w:firstLineChars="0"/>
        <w:rPr>
          <w:szCs w:val="24"/>
        </w:rPr>
      </w:pPr>
      <w:r>
        <w:rPr>
          <w:rFonts w:hint="eastAsia"/>
          <w:szCs w:val="24"/>
        </w:rPr>
        <w:t>患者流向分析及指标上报</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以桑基图的形式对出院患者例数从科室类别、VTE风险等级到VTE确诊类型进行患者流向分析。</w:t>
      </w:r>
    </w:p>
    <w:p>
      <w:pPr>
        <w:pStyle w:val="72"/>
        <w:spacing w:before="81" w:after="81" w:line="360" w:lineRule="auto"/>
        <w:ind w:firstLine="480"/>
        <w:rPr>
          <w:rFonts w:eastAsia="宋体"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支持</w:t>
      </w:r>
      <w:r>
        <w:rPr>
          <w:rFonts w:hint="eastAsia" w:eastAsia="宋体" w:cs="Times New Roman"/>
          <w:color w:val="000000" w:themeColor="text1"/>
          <w14:textFill>
            <w14:solidFill>
              <w14:schemeClr w14:val="tx1"/>
            </w14:solidFill>
          </w14:textFill>
        </w:rPr>
        <w:t>以漏斗图的形式对出院患者例数从VTE高危、VTE确诊类型到VTE死亡进行患者流向分析。</w:t>
      </w:r>
    </w:p>
    <w:p>
      <w:pPr>
        <w:spacing w:before="81" w:after="81"/>
        <w:ind w:firstLine="480"/>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支持</w:t>
      </w:r>
      <w:r>
        <w:rPr>
          <w:rFonts w:hint="eastAsia" w:eastAsia="宋体" w:cs="Times New Roman"/>
          <w:color w:val="000000" w:themeColor="text1"/>
          <w:szCs w:val="24"/>
          <w14:textFill>
            <w14:solidFill>
              <w14:schemeClr w14:val="tx1"/>
            </w14:solidFill>
          </w14:textFill>
        </w:rPr>
        <w:t>按照各区域省市要求的VTE上报指标进行统计上报。</w:t>
      </w:r>
    </w:p>
    <w:p>
      <w:pPr>
        <w:pStyle w:val="6"/>
        <w:spacing w:before="81" w:after="81"/>
        <w:ind w:left="0"/>
      </w:pPr>
      <w:r>
        <w:rPr>
          <w:rFonts w:hint="eastAsia"/>
        </w:rPr>
        <w:t>肺功能、骨密度联机及报告数字化</w:t>
      </w:r>
    </w:p>
    <w:p>
      <w:pPr>
        <w:spacing w:before="81" w:after="81"/>
        <w:ind w:firstLine="480"/>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支持</w:t>
      </w:r>
      <w:r>
        <w:rPr>
          <w:rFonts w:hint="eastAsia" w:eastAsia="宋体" w:cs="Times New Roman"/>
          <w:color w:val="000000" w:themeColor="text1"/>
          <w:szCs w:val="24"/>
          <w14:textFill>
            <w14:solidFill>
              <w14:schemeClr w14:val="tx1"/>
            </w14:solidFill>
          </w14:textFill>
        </w:rPr>
        <w:t>肺功能、骨密度设备联机；</w:t>
      </w:r>
    </w:p>
    <w:p>
      <w:pPr>
        <w:spacing w:before="81" w:after="81"/>
        <w:ind w:firstLine="480"/>
        <w:rPr>
          <w:rFonts w:eastAsia="宋体" w:cs="Times New Roman"/>
          <w:color w:val="000000" w:themeColor="text1"/>
          <w:szCs w:val="24"/>
          <w14:textFill>
            <w14:solidFill>
              <w14:schemeClr w14:val="tx1"/>
            </w14:solidFill>
          </w14:textFill>
        </w:rPr>
      </w:pPr>
      <w:r>
        <w:rPr>
          <w:rFonts w:hint="eastAsia" w:eastAsia="宋体" w:cs="Times New Roman"/>
          <w:color w:val="000000" w:themeColor="text1"/>
          <w:szCs w:val="24"/>
          <w14:textFill>
            <w14:solidFill>
              <w14:schemeClr w14:val="tx1"/>
            </w14:solidFill>
          </w14:textFill>
        </w:rPr>
        <w:t>支持接收及存储肺功能、骨密度医学图像，支持以姓名、影像号、性别、检查时间、条码号、检查类型为查询条件，对病人影像信息进行查询和检索。</w:t>
      </w:r>
    </w:p>
    <w:p>
      <w:pPr>
        <w:pStyle w:val="6"/>
        <w:spacing w:before="81" w:after="81"/>
        <w:ind w:left="0"/>
      </w:pPr>
      <w:r>
        <w:rPr>
          <w:rFonts w:hint="eastAsia"/>
        </w:rPr>
        <w:t>OA接口</w:t>
      </w:r>
    </w:p>
    <w:p>
      <w:pPr>
        <w:spacing w:before="81" w:after="81"/>
        <w:ind w:left="720" w:firstLine="0" w:firstLineChars="0"/>
      </w:pPr>
      <w:r>
        <w:rPr>
          <w:rFonts w:hint="eastAsia"/>
        </w:rPr>
        <w:t>根据OA相关接口文档，支持OA与院内系统对接改造工作。</w:t>
      </w:r>
    </w:p>
    <w:bookmarkEnd w:id="49"/>
    <w:p>
      <w:pPr>
        <w:pStyle w:val="4"/>
        <w:spacing w:before="81" w:after="81"/>
        <w:rPr>
          <w:rFonts w:ascii="宋体" w:hAnsi="宋体"/>
        </w:rPr>
      </w:pPr>
      <w:bookmarkStart w:id="56" w:name="_Toc7454"/>
      <w:bookmarkStart w:id="57" w:name="_Toc44516271"/>
      <w:bookmarkStart w:id="58" w:name="_Toc44516110"/>
      <w:r>
        <w:rPr>
          <w:rFonts w:hint="eastAsia" w:ascii="宋体" w:hAnsi="宋体"/>
        </w:rPr>
        <w:t>实施范围要求</w:t>
      </w:r>
      <w:bookmarkEnd w:id="56"/>
    </w:p>
    <w:p>
      <w:pPr>
        <w:spacing w:before="81" w:after="81"/>
        <w:ind w:firstLine="480"/>
        <w:rPr>
          <w:rFonts w:ascii="宋体" w:hAnsi="宋体"/>
        </w:rPr>
      </w:pPr>
      <w:r>
        <w:rPr>
          <w:rFonts w:hint="eastAsia" w:ascii="宋体" w:hAnsi="宋体"/>
        </w:rPr>
        <w:t>本项目实施需包含上海市长宁区天山中医医院。</w:t>
      </w:r>
    </w:p>
    <w:p>
      <w:pPr>
        <w:pStyle w:val="4"/>
        <w:spacing w:before="81" w:after="81"/>
        <w:rPr>
          <w:rFonts w:ascii="宋体" w:hAnsi="宋体"/>
        </w:rPr>
      </w:pPr>
      <w:bookmarkStart w:id="59" w:name="_Toc17927"/>
      <w:r>
        <w:rPr>
          <w:rFonts w:ascii="宋体" w:hAnsi="宋体"/>
        </w:rPr>
        <w:t>项目工期要求</w:t>
      </w:r>
      <w:bookmarkEnd w:id="57"/>
      <w:bookmarkEnd w:id="58"/>
      <w:bookmarkEnd w:id="59"/>
    </w:p>
    <w:p>
      <w:pPr>
        <w:spacing w:before="81" w:after="81"/>
        <w:ind w:firstLine="480"/>
        <w:rPr>
          <w:rFonts w:ascii="宋体" w:hAnsi="宋体"/>
        </w:rPr>
      </w:pPr>
      <w:r>
        <w:rPr>
          <w:rFonts w:ascii="宋体" w:hAnsi="宋体" w:cs="Arial"/>
        </w:rPr>
        <w:t>中标人需在合同生效后1个星期内</w:t>
      </w:r>
      <w:r>
        <w:rPr>
          <w:rFonts w:hint="eastAsia" w:ascii="宋体" w:hAnsi="宋体" w:cs="Arial"/>
        </w:rPr>
        <w:t>指</w:t>
      </w:r>
      <w:r>
        <w:rPr>
          <w:rFonts w:ascii="宋体" w:hAnsi="宋体" w:cs="Arial"/>
        </w:rPr>
        <w:t>派项目实施人员到达用户现场开展工作</w:t>
      </w:r>
      <w:r>
        <w:rPr>
          <w:rFonts w:ascii="宋体" w:hAnsi="宋体"/>
        </w:rPr>
        <w:t xml:space="preserve">，并必须在12个月内完成系统的上线。 </w:t>
      </w:r>
    </w:p>
    <w:p>
      <w:pPr>
        <w:spacing w:before="81" w:after="81"/>
        <w:ind w:firstLine="480"/>
        <w:rPr>
          <w:rFonts w:ascii="宋体" w:hAnsi="宋体"/>
        </w:rPr>
      </w:pPr>
      <w:r>
        <w:rPr>
          <w:rFonts w:ascii="宋体" w:hAnsi="宋体"/>
        </w:rPr>
        <w:t>由中标人负责包含设备购置费、运输费、安装费、调试费、系统集成、培训、售后服务费、保险、利润、税金及合同包含的所有风险、责任，从项目中标起到项目验收合格以及维保期内所发生的费用。</w:t>
      </w:r>
    </w:p>
    <w:p>
      <w:pPr>
        <w:spacing w:before="81" w:after="81"/>
        <w:ind w:firstLine="480"/>
        <w:rPr>
          <w:rFonts w:ascii="宋体" w:hAnsi="宋体"/>
        </w:rPr>
      </w:pPr>
      <w:r>
        <w:rPr>
          <w:rFonts w:ascii="宋体" w:hAnsi="宋体"/>
        </w:rPr>
        <w:t>项目验收：</w:t>
      </w:r>
    </w:p>
    <w:p>
      <w:pPr>
        <w:numPr>
          <w:ilvl w:val="0"/>
          <w:numId w:val="10"/>
        </w:numPr>
        <w:spacing w:before="81" w:after="81"/>
        <w:ind w:firstLineChars="0"/>
        <w:rPr>
          <w:rFonts w:ascii="宋体" w:hAnsi="宋体"/>
        </w:rPr>
      </w:pPr>
      <w:r>
        <w:rPr>
          <w:rFonts w:hint="eastAsia" w:ascii="宋体" w:hAnsi="宋体"/>
        </w:rPr>
        <w:t>完成</w:t>
      </w:r>
      <w:r>
        <w:rPr>
          <w:rFonts w:ascii="宋体" w:hAnsi="宋体"/>
        </w:rPr>
        <w:t>整体系统上线，平稳运行1个月</w:t>
      </w:r>
      <w:r>
        <w:rPr>
          <w:rFonts w:hint="eastAsia" w:ascii="宋体" w:hAnsi="宋体"/>
        </w:rPr>
        <w:t>后，</w:t>
      </w:r>
      <w:r>
        <w:rPr>
          <w:rFonts w:ascii="宋体" w:hAnsi="宋体"/>
        </w:rPr>
        <w:t>进行整体系统的验收。</w:t>
      </w:r>
    </w:p>
    <w:p>
      <w:pPr>
        <w:numPr>
          <w:ilvl w:val="0"/>
          <w:numId w:val="10"/>
        </w:numPr>
        <w:spacing w:before="81" w:after="81"/>
        <w:ind w:firstLineChars="0"/>
        <w:rPr>
          <w:rFonts w:ascii="宋体" w:hAnsi="宋体"/>
        </w:rPr>
      </w:pPr>
      <w:r>
        <w:rPr>
          <w:rFonts w:ascii="宋体" w:hAnsi="宋体"/>
        </w:rPr>
        <w:t>技术文档</w:t>
      </w:r>
      <w:r>
        <w:rPr>
          <w:rFonts w:hint="eastAsia" w:ascii="宋体" w:hAnsi="宋体"/>
        </w:rPr>
        <w:t>要求：</w:t>
      </w:r>
      <w:r>
        <w:rPr>
          <w:rFonts w:ascii="宋体" w:hAnsi="宋体"/>
        </w:rPr>
        <w:t>项目验收后投标方须提供详细的软件相关技术</w:t>
      </w:r>
      <w:r>
        <w:rPr>
          <w:rFonts w:hint="eastAsia" w:ascii="宋体" w:hAnsi="宋体"/>
        </w:rPr>
        <w:t>文件</w:t>
      </w:r>
      <w:r>
        <w:rPr>
          <w:rFonts w:ascii="宋体" w:hAnsi="宋体"/>
        </w:rPr>
        <w:t>（含数据结构、数据流程图、系统字典说明等）、使用说明书、维护手册等文件数</w:t>
      </w:r>
      <w:r>
        <w:rPr>
          <w:rFonts w:hint="eastAsia" w:ascii="宋体" w:hAnsi="宋体"/>
        </w:rPr>
        <w:t>据。</w:t>
      </w:r>
    </w:p>
    <w:p>
      <w:pPr>
        <w:spacing w:before="81" w:after="81"/>
        <w:ind w:firstLine="480"/>
        <w:rPr>
          <w:rFonts w:ascii="宋体" w:hAnsi="宋体" w:cs="Calibri"/>
          <w:szCs w:val="24"/>
        </w:rPr>
      </w:pPr>
      <w:r>
        <w:rPr>
          <w:rFonts w:ascii="宋体" w:hAnsi="宋体"/>
        </w:rPr>
        <w:t>文档（必须是中文）包括但不限于以下内容</w:t>
      </w:r>
      <w:r>
        <w:rPr>
          <w:rFonts w:ascii="宋体" w:hAnsi="宋体" w:cs="Calibri"/>
          <w:szCs w:val="24"/>
        </w:rPr>
        <w:t>：</w:t>
      </w:r>
    </w:p>
    <w:p>
      <w:pPr>
        <w:numPr>
          <w:ilvl w:val="0"/>
          <w:numId w:val="11"/>
        </w:numPr>
        <w:spacing w:before="81" w:after="81"/>
        <w:ind w:firstLineChars="0"/>
        <w:rPr>
          <w:rFonts w:ascii="宋体" w:hAnsi="宋体"/>
        </w:rPr>
      </w:pPr>
      <w:r>
        <w:rPr>
          <w:rFonts w:ascii="宋体" w:hAnsi="宋体"/>
        </w:rPr>
        <w:t>安装、测试报告：包括《安装报告</w:t>
      </w:r>
      <w:r>
        <w:rPr>
          <w:rFonts w:hint="eastAsia" w:ascii="宋体" w:hAnsi="宋体"/>
        </w:rPr>
        <w:t>》《</w:t>
      </w:r>
      <w:r>
        <w:rPr>
          <w:rFonts w:ascii="宋体" w:hAnsi="宋体"/>
        </w:rPr>
        <w:t>测试报告》等；</w:t>
      </w:r>
    </w:p>
    <w:p>
      <w:pPr>
        <w:numPr>
          <w:ilvl w:val="0"/>
          <w:numId w:val="11"/>
        </w:numPr>
        <w:spacing w:before="81" w:after="81"/>
        <w:ind w:firstLineChars="0"/>
        <w:rPr>
          <w:rFonts w:ascii="宋体" w:hAnsi="宋体"/>
        </w:rPr>
      </w:pPr>
      <w:r>
        <w:rPr>
          <w:rFonts w:ascii="宋体" w:hAnsi="宋体"/>
        </w:rPr>
        <w:t>使用手册：包括《用户手册</w:t>
      </w:r>
      <w:r>
        <w:rPr>
          <w:rFonts w:hint="eastAsia" w:ascii="宋体" w:hAnsi="宋体"/>
        </w:rPr>
        <w:t>》《</w:t>
      </w:r>
      <w:r>
        <w:rPr>
          <w:rFonts w:ascii="宋体" w:hAnsi="宋体"/>
        </w:rPr>
        <w:t>培训手册》</w:t>
      </w:r>
      <w:r>
        <w:rPr>
          <w:rFonts w:hint="eastAsia" w:ascii="宋体" w:hAnsi="宋体"/>
        </w:rPr>
        <w:t>等；</w:t>
      </w:r>
    </w:p>
    <w:p>
      <w:pPr>
        <w:numPr>
          <w:ilvl w:val="0"/>
          <w:numId w:val="11"/>
        </w:numPr>
        <w:spacing w:before="81" w:after="81"/>
        <w:ind w:firstLineChars="0"/>
        <w:rPr>
          <w:rFonts w:ascii="宋体" w:hAnsi="宋体"/>
        </w:rPr>
      </w:pPr>
      <w:r>
        <w:rPr>
          <w:rFonts w:ascii="宋体" w:hAnsi="宋体"/>
        </w:rPr>
        <w:t>系统、设备维护手册；</w:t>
      </w:r>
    </w:p>
    <w:p>
      <w:pPr>
        <w:numPr>
          <w:ilvl w:val="0"/>
          <w:numId w:val="11"/>
        </w:numPr>
        <w:spacing w:before="81" w:after="81"/>
        <w:ind w:firstLineChars="0"/>
        <w:rPr>
          <w:rFonts w:ascii="宋体" w:hAnsi="宋体"/>
        </w:rPr>
      </w:pPr>
      <w:r>
        <w:rPr>
          <w:rFonts w:ascii="宋体" w:hAnsi="宋体"/>
        </w:rPr>
        <w:t>验收报告；</w:t>
      </w:r>
    </w:p>
    <w:p>
      <w:pPr>
        <w:pStyle w:val="4"/>
        <w:spacing w:before="81" w:after="81"/>
        <w:rPr>
          <w:rFonts w:ascii="宋体" w:hAnsi="宋体"/>
        </w:rPr>
      </w:pPr>
      <w:bookmarkStart w:id="60" w:name="_Toc14433"/>
      <w:r>
        <w:rPr>
          <w:rFonts w:hint="eastAsia" w:ascii="宋体" w:hAnsi="宋体"/>
        </w:rPr>
        <w:t>人员团队要求</w:t>
      </w:r>
      <w:bookmarkEnd w:id="60"/>
    </w:p>
    <w:p>
      <w:pPr>
        <w:spacing w:before="81" w:after="81"/>
        <w:ind w:firstLine="480"/>
        <w:rPr>
          <w:rFonts w:ascii="宋体" w:hAnsi="宋体"/>
        </w:rPr>
      </w:pPr>
      <w:r>
        <w:rPr>
          <w:rFonts w:hint="eastAsia" w:ascii="宋体" w:hAnsi="宋体"/>
        </w:rPr>
        <w:t>投标人需根据软件实施进度计划配备工程技术人员，在医院专门负责机构的配合下进行项目实施，</w:t>
      </w:r>
      <w:r>
        <w:rPr>
          <w:rFonts w:hint="eastAsia" w:ascii="宋体" w:hAnsi="宋体"/>
          <w:lang w:eastAsia="zh-CN"/>
        </w:rPr>
        <w:t>项目团队</w:t>
      </w:r>
      <w:r>
        <w:rPr>
          <w:rFonts w:hint="eastAsia" w:ascii="宋体" w:hAnsi="宋体"/>
        </w:rPr>
        <w:t>工程师不少于8人，其中，开发维护人员不少于5名、售后培训服务人员不少于3名，现场专职项目经理至少1人。</w:t>
      </w:r>
    </w:p>
    <w:p>
      <w:pPr>
        <w:spacing w:before="81" w:after="81"/>
        <w:ind w:firstLine="480"/>
      </w:pPr>
      <w:r>
        <w:rPr>
          <w:rFonts w:hint="eastAsia" w:ascii="宋体" w:hAnsi="宋体"/>
        </w:rPr>
        <w:t>投标人需提供项目管理人员的资质（包括项目经理相关资质证书）、项目组成员工作内容与职责、项目组人员表（列表说明姓名、年龄、性别、学历、职称、从事软件开发工作年限、主要业绩）等项目质量、安全、工期保障措施以及相应测试验收、文档管理等，以确保项目优质按期完工。</w:t>
      </w:r>
    </w:p>
    <w:p>
      <w:pPr>
        <w:pStyle w:val="4"/>
        <w:spacing w:before="81" w:after="81"/>
        <w:rPr>
          <w:rFonts w:ascii="宋体" w:hAnsi="宋体"/>
        </w:rPr>
      </w:pPr>
      <w:bookmarkStart w:id="61" w:name="_Toc44516272"/>
      <w:bookmarkStart w:id="62" w:name="_Toc44516111"/>
      <w:bookmarkStart w:id="63" w:name="_Toc13825"/>
      <w:r>
        <w:rPr>
          <w:rFonts w:ascii="宋体" w:hAnsi="宋体"/>
        </w:rPr>
        <w:t>质量保证要求</w:t>
      </w:r>
      <w:bookmarkEnd w:id="61"/>
      <w:bookmarkEnd w:id="62"/>
      <w:bookmarkEnd w:id="63"/>
    </w:p>
    <w:p>
      <w:pPr>
        <w:spacing w:before="81" w:after="81"/>
        <w:ind w:firstLine="480"/>
        <w:rPr>
          <w:rFonts w:ascii="宋体" w:hAnsi="宋体"/>
        </w:rPr>
      </w:pPr>
      <w:r>
        <w:rPr>
          <w:rFonts w:ascii="宋体" w:hAnsi="宋体"/>
        </w:rPr>
        <w:t>投标人需提供采用国际通用的规范化的软件开发、软件工程实施和项目管理方法，提供完善的质量保证体系，对项目实施的全过程进行监控和管理，对项目进度和工程实施进度进行控制；同时必须有详细易懂的系统的安装、运行、验收测试的技术档，所有的技术</w:t>
      </w:r>
      <w:r>
        <w:rPr>
          <w:rFonts w:hint="eastAsia" w:ascii="宋体" w:hAnsi="宋体"/>
        </w:rPr>
        <w:t>文</w:t>
      </w:r>
      <w:r>
        <w:rPr>
          <w:rFonts w:ascii="宋体" w:hAnsi="宋体"/>
        </w:rPr>
        <w:t>档必须是中文版或有中文对照说明，并且本项目所有文档应该按照所使用的质量管理体系要求编写。</w:t>
      </w:r>
    </w:p>
    <w:p>
      <w:pPr>
        <w:pStyle w:val="4"/>
        <w:spacing w:before="81" w:after="81"/>
        <w:rPr>
          <w:rFonts w:ascii="宋体" w:hAnsi="宋体"/>
        </w:rPr>
      </w:pPr>
      <w:bookmarkStart w:id="64" w:name="_Toc44516273"/>
      <w:bookmarkStart w:id="65" w:name="_Toc44516112"/>
      <w:bookmarkStart w:id="66" w:name="_Toc11081"/>
      <w:r>
        <w:rPr>
          <w:rFonts w:ascii="宋体" w:hAnsi="宋体"/>
        </w:rPr>
        <w:t>培训</w:t>
      </w:r>
      <w:r>
        <w:rPr>
          <w:rFonts w:hint="eastAsia" w:ascii="宋体" w:hAnsi="宋体"/>
        </w:rPr>
        <w:t>工作</w:t>
      </w:r>
      <w:r>
        <w:rPr>
          <w:rFonts w:ascii="宋体" w:hAnsi="宋体"/>
        </w:rPr>
        <w:t>要求</w:t>
      </w:r>
      <w:bookmarkEnd w:id="64"/>
      <w:bookmarkEnd w:id="65"/>
      <w:bookmarkEnd w:id="66"/>
    </w:p>
    <w:p>
      <w:pPr>
        <w:spacing w:before="81" w:after="81"/>
        <w:ind w:firstLine="480"/>
        <w:rPr>
          <w:rFonts w:ascii="宋体" w:hAnsi="宋体"/>
        </w:rPr>
      </w:pPr>
      <w:r>
        <w:rPr>
          <w:rFonts w:ascii="宋体" w:hAnsi="宋体"/>
        </w:rPr>
        <w:t>为保证</w:t>
      </w:r>
      <w:r>
        <w:rPr>
          <w:rFonts w:hint="eastAsia" w:ascii="宋体" w:hAnsi="宋体"/>
        </w:rPr>
        <w:t>医院信息化系统</w:t>
      </w:r>
      <w:r>
        <w:rPr>
          <w:rFonts w:ascii="宋体" w:hAnsi="宋体"/>
        </w:rPr>
        <w:t>正常、安全</w:t>
      </w:r>
      <w:r>
        <w:rPr>
          <w:rFonts w:hint="eastAsia" w:ascii="宋体" w:hAnsi="宋体"/>
        </w:rPr>
        <w:t>的</w:t>
      </w:r>
      <w:r>
        <w:rPr>
          <w:rFonts w:ascii="宋体" w:hAnsi="宋体"/>
        </w:rPr>
        <w:t>运行，技术支持力量和优良的服务是系统正常、安全运行的保障。投标方应据此制定系统详细的技术支持与服务方案</w:t>
      </w:r>
      <w:r>
        <w:rPr>
          <w:rFonts w:hint="eastAsia" w:ascii="宋体" w:hAnsi="宋体"/>
        </w:rPr>
        <w:t>。</w:t>
      </w:r>
    </w:p>
    <w:p>
      <w:pPr>
        <w:spacing w:before="81" w:after="81"/>
        <w:ind w:firstLine="480"/>
        <w:rPr>
          <w:rFonts w:ascii="宋体" w:hAnsi="宋体"/>
        </w:rPr>
      </w:pPr>
      <w:r>
        <w:rPr>
          <w:rFonts w:ascii="宋体" w:hAnsi="宋体"/>
        </w:rPr>
        <w:t>投标人必须在对整个项目过程进行科学、有效的项目管理，以确保项目质量和进度，避免扰乱院方正常工作秩序和流程，并节省院方各类资源，充分发挥系统效益。</w:t>
      </w:r>
    </w:p>
    <w:p>
      <w:pPr>
        <w:spacing w:before="81" w:after="81"/>
        <w:ind w:firstLine="480"/>
        <w:rPr>
          <w:rFonts w:ascii="宋体" w:hAnsi="宋体"/>
        </w:rPr>
      </w:pPr>
      <w:r>
        <w:rPr>
          <w:rFonts w:ascii="宋体" w:hAnsi="宋体"/>
        </w:rPr>
        <w:t>在整个项目期间，中标人在各类故障的排除工作中，记录故障情况，分析故障原因，制定科学、合理、有效可行的解决方案，形成文档。</w:t>
      </w:r>
    </w:p>
    <w:p>
      <w:pPr>
        <w:spacing w:before="81" w:after="81"/>
        <w:ind w:firstLine="480"/>
        <w:rPr>
          <w:rFonts w:ascii="宋体" w:hAnsi="宋体"/>
        </w:rPr>
      </w:pPr>
      <w:r>
        <w:rPr>
          <w:rFonts w:ascii="宋体" w:hAnsi="宋体"/>
        </w:rPr>
        <w:t>培训工作是整个系统得以正常运行的关键，除了对普通业务人员的专项培训以外，应对系统维护人员进行系统维护人员进行系统维护的培训。</w:t>
      </w:r>
      <w:bookmarkEnd w:id="5"/>
    </w:p>
    <w:p>
      <w:pPr>
        <w:pStyle w:val="4"/>
        <w:spacing w:before="81" w:after="81"/>
        <w:rPr>
          <w:rFonts w:ascii="宋体" w:hAnsi="宋体"/>
        </w:rPr>
      </w:pPr>
      <w:bookmarkStart w:id="67" w:name="_Toc44516274"/>
      <w:bookmarkStart w:id="68" w:name="_Toc44516113"/>
      <w:bookmarkStart w:id="69" w:name="_Toc31847"/>
      <w:bookmarkStart w:id="70" w:name="_Toc53489024"/>
      <w:bookmarkStart w:id="71" w:name="_Toc498955587"/>
      <w:r>
        <w:rPr>
          <w:rFonts w:ascii="宋体" w:hAnsi="宋体"/>
        </w:rPr>
        <w:t>售后服务要求</w:t>
      </w:r>
      <w:bookmarkEnd w:id="67"/>
      <w:bookmarkEnd w:id="68"/>
      <w:bookmarkEnd w:id="69"/>
    </w:p>
    <w:p>
      <w:pPr>
        <w:spacing w:before="81" w:after="81"/>
        <w:ind w:firstLine="480"/>
        <w:rPr>
          <w:rFonts w:ascii="宋体" w:hAnsi="宋体"/>
        </w:rPr>
      </w:pPr>
      <w:r>
        <w:rPr>
          <w:rFonts w:ascii="宋体" w:hAnsi="宋体"/>
        </w:rPr>
        <w:t>系统在验收合格后，投标人必须提供软件一年的免费功能增强性维护及免费技术维护服务（其中包括系统维护、跟踪检测等），并保证所投的系统正常运行。</w:t>
      </w:r>
    </w:p>
    <w:p>
      <w:pPr>
        <w:spacing w:before="81" w:after="81"/>
        <w:ind w:firstLine="480"/>
        <w:rPr>
          <w:rFonts w:ascii="宋体" w:hAnsi="宋体"/>
        </w:rPr>
      </w:pPr>
      <w:r>
        <w:rPr>
          <w:rFonts w:ascii="宋体" w:hAnsi="宋体"/>
        </w:rPr>
        <w:t>由于医院管理信息系统的特殊性（必须满足医院7*24小时不间断工作）因此，在接到系统故障通知后，投标人必须在30分钟内响应。对于影响系统正常运行的严重故障（包括由系统软硬件等原因引起的），投标人工程师及其他相关技术人员必须</w:t>
      </w:r>
      <w:r>
        <w:rPr>
          <w:rFonts w:hint="eastAsia" w:ascii="宋体" w:hAnsi="宋体"/>
        </w:rPr>
        <w:t>在接到故障通知后</w:t>
      </w:r>
      <w:r>
        <w:rPr>
          <w:rFonts w:ascii="宋体" w:hAnsi="宋体"/>
        </w:rPr>
        <w:t>4小时内赶到现场，查找原因，提供解决方案，并工作至故障完全修复</w:t>
      </w:r>
      <w:r>
        <w:rPr>
          <w:rFonts w:hint="eastAsia" w:ascii="宋体" w:hAnsi="宋体"/>
        </w:rPr>
        <w:t>，</w:t>
      </w:r>
      <w:r>
        <w:rPr>
          <w:rFonts w:ascii="宋体" w:hAnsi="宋体"/>
        </w:rPr>
        <w:t>正常服务为止</w:t>
      </w:r>
      <w:r>
        <w:rPr>
          <w:rFonts w:hint="eastAsia" w:ascii="宋体" w:hAnsi="宋体"/>
        </w:rPr>
        <w:t>。</w:t>
      </w:r>
      <w:r>
        <w:rPr>
          <w:rFonts w:ascii="宋体" w:hAnsi="宋体"/>
        </w:rPr>
        <w:t>一般要求保证系统在24小时之内修复，并需要提供确保承诺实现的措施。投标人需提供7*24小时的维护和故障解决服务。</w:t>
      </w:r>
    </w:p>
    <w:p>
      <w:pPr>
        <w:spacing w:before="81" w:after="81"/>
        <w:ind w:firstLine="480"/>
        <w:rPr>
          <w:rFonts w:ascii="宋体" w:hAnsi="宋体"/>
        </w:rPr>
      </w:pPr>
      <w:r>
        <w:rPr>
          <w:rFonts w:ascii="宋体" w:hAnsi="宋体"/>
        </w:rPr>
        <w:t>在实施和质保期（即免费维护期）内，投标人需提供同版本软件免费客户化修改与免费升级服务，保证合同范围内功能模块满足客户化需求；</w:t>
      </w:r>
    </w:p>
    <w:p>
      <w:pPr>
        <w:spacing w:before="81" w:after="81"/>
        <w:ind w:firstLine="480"/>
        <w:rPr>
          <w:rFonts w:ascii="宋体" w:hAnsi="宋体"/>
        </w:rPr>
      </w:pPr>
      <w:r>
        <w:rPr>
          <w:rFonts w:ascii="宋体" w:hAnsi="宋体"/>
        </w:rPr>
        <w:t>系统免费质保期内，投标方工程师负责服务跟踪，至少每月对系统巡检一次，保证系统在最优化的状态下稳定运行。</w:t>
      </w:r>
    </w:p>
    <w:p>
      <w:pPr>
        <w:spacing w:before="81" w:after="81"/>
        <w:ind w:firstLine="480"/>
        <w:rPr>
          <w:rFonts w:ascii="宋体" w:hAnsi="宋体"/>
        </w:rPr>
      </w:pPr>
      <w:r>
        <w:rPr>
          <w:rFonts w:ascii="宋体" w:hAnsi="宋体"/>
        </w:rPr>
        <w:t>在质保期结束前，须由投标人工程师和院方代表进行一次全面检查，任何缺陷必须由投标人负责修改，在修改之后，投标人应将缺陷原因、修改内容、完成修改及恢复正常的时间和日期等报告给院方。报告一式两份。</w:t>
      </w:r>
    </w:p>
    <w:bookmarkEnd w:id="70"/>
    <w:bookmarkEnd w:id="71"/>
    <w:p>
      <w:pPr>
        <w:spacing w:before="81" w:after="81"/>
        <w:ind w:firstLine="480"/>
        <w:rPr>
          <w:rFonts w:ascii="宋体" w:hAnsi="宋体"/>
        </w:rPr>
      </w:pPr>
      <w:bookmarkStart w:id="74" w:name="_GoBack"/>
      <w:bookmarkEnd w:id="74"/>
    </w:p>
    <w:p>
      <w:pPr>
        <w:spacing w:before="81" w:after="81"/>
        <w:ind w:firstLine="480"/>
        <w:rPr>
          <w:rFonts w:ascii="宋体" w:hAnsi="宋体"/>
        </w:rPr>
      </w:pPr>
      <w:r>
        <w:rPr>
          <w:rFonts w:ascii="宋体" w:hAnsi="宋体"/>
        </w:rPr>
        <w:br w:type="page"/>
      </w:r>
    </w:p>
    <w:p>
      <w:pPr>
        <w:pStyle w:val="3"/>
        <w:spacing w:before="81" w:after="81"/>
        <w:ind w:left="0"/>
        <w:rPr>
          <w:rFonts w:ascii="宋体" w:hAnsi="宋体"/>
        </w:rPr>
      </w:pPr>
      <w:bookmarkStart w:id="72" w:name="_Toc5149"/>
      <w:r>
        <w:rPr>
          <w:rFonts w:hint="eastAsia" w:ascii="宋体" w:hAnsi="宋体"/>
        </w:rPr>
        <w:t>其他要求</w:t>
      </w:r>
      <w:bookmarkEnd w:id="72"/>
    </w:p>
    <w:p>
      <w:pPr>
        <w:pStyle w:val="4"/>
        <w:spacing w:before="81" w:after="81"/>
        <w:rPr>
          <w:rFonts w:ascii="宋体" w:hAnsi="宋体"/>
        </w:rPr>
      </w:pPr>
      <w:bookmarkStart w:id="73" w:name="_Toc27324"/>
      <w:r>
        <w:rPr>
          <w:rFonts w:hint="eastAsia" w:ascii="宋体" w:hAnsi="宋体"/>
        </w:rPr>
        <w:t>合同付款方式</w:t>
      </w:r>
      <w:bookmarkEnd w:id="73"/>
    </w:p>
    <w:p>
      <w:pPr>
        <w:widowControl/>
        <w:spacing w:before="81" w:after="81"/>
        <w:ind w:firstLine="480"/>
        <w:jc w:val="left"/>
        <w:rPr>
          <w:szCs w:val="24"/>
        </w:rPr>
      </w:pPr>
      <w:r>
        <w:rPr>
          <w:rFonts w:hint="eastAsia" w:ascii="宋体" w:hAnsi="宋体" w:eastAsia="宋体" w:cs="宋体"/>
          <w:color w:val="000000"/>
          <w:kern w:val="0"/>
          <w:szCs w:val="24"/>
          <w:lang w:bidi="ar"/>
        </w:rPr>
        <w:t xml:space="preserve">2.合同付款方式 </w:t>
      </w:r>
    </w:p>
    <w:p>
      <w:pPr>
        <w:widowControl/>
        <w:spacing w:before="81" w:after="81"/>
        <w:ind w:firstLine="480"/>
        <w:jc w:val="left"/>
        <w:rPr>
          <w:rFonts w:ascii="宋体" w:hAnsi="宋体" w:eastAsia="宋体" w:cs="宋体"/>
          <w:color w:val="000000"/>
          <w:kern w:val="0"/>
          <w:szCs w:val="24"/>
          <w:lang w:bidi="ar"/>
        </w:rPr>
      </w:pPr>
      <w:r>
        <w:rPr>
          <w:rFonts w:hint="eastAsia" w:ascii="宋体" w:hAnsi="宋体" w:eastAsia="宋体" w:cs="宋体"/>
          <w:color w:val="000000"/>
          <w:kern w:val="0"/>
          <w:szCs w:val="24"/>
          <w:lang w:bidi="ar"/>
        </w:rPr>
        <w:t>（1）中标人和甲方合同签订后，甲方收到中标人提供的正规发票15个工作日内甲方支付30%的合同预付款；</w:t>
      </w:r>
    </w:p>
    <w:p>
      <w:pPr>
        <w:widowControl/>
        <w:spacing w:before="81" w:after="81"/>
        <w:ind w:firstLine="480"/>
        <w:jc w:val="left"/>
        <w:rPr>
          <w:rFonts w:ascii="宋体" w:hAnsi="宋体" w:eastAsia="宋体" w:cs="宋体"/>
          <w:color w:val="000000"/>
          <w:kern w:val="0"/>
          <w:szCs w:val="24"/>
          <w:lang w:bidi="ar"/>
        </w:rPr>
      </w:pPr>
      <w:r>
        <w:rPr>
          <w:rFonts w:hint="eastAsia" w:ascii="宋体" w:hAnsi="宋体" w:eastAsia="宋体" w:cs="宋体"/>
          <w:color w:val="000000"/>
          <w:kern w:val="0"/>
          <w:szCs w:val="24"/>
          <w:lang w:bidi="ar"/>
        </w:rPr>
        <w:t>（2）项目验收合格后，经财务监理审核出具审核结算报告后中标人提供正规发票15个工作日内支付至合同最终审定价的95%；</w:t>
      </w:r>
    </w:p>
    <w:p>
      <w:pPr>
        <w:widowControl/>
        <w:spacing w:before="81" w:after="81"/>
        <w:ind w:firstLine="480"/>
        <w:jc w:val="left"/>
      </w:pPr>
      <w:r>
        <w:rPr>
          <w:rFonts w:hint="eastAsia" w:ascii="宋体" w:hAnsi="宋体" w:eastAsia="宋体" w:cs="宋体"/>
          <w:color w:val="000000"/>
          <w:kern w:val="0"/>
          <w:szCs w:val="24"/>
          <w:lang w:bidi="ar"/>
        </w:rPr>
        <w:t>（3）合同最终审定价的5%于项目验收一年后，甲方收到中标人提供的正规发票后15个工作日内支付。</w:t>
      </w:r>
    </w:p>
    <w:p>
      <w:pPr>
        <w:widowControl/>
        <w:spacing w:before="81" w:after="81"/>
        <w:ind w:firstLine="480"/>
        <w:jc w:val="left"/>
        <w:rPr>
          <w:szCs w:val="24"/>
        </w:rPr>
      </w:pPr>
      <w:r>
        <w:rPr>
          <w:rFonts w:hint="eastAsia" w:ascii="宋体" w:hAnsi="宋体" w:eastAsia="宋体" w:cs="宋体"/>
          <w:color w:val="000000"/>
          <w:kern w:val="0"/>
          <w:szCs w:val="24"/>
          <w:lang w:bidi="ar"/>
        </w:rPr>
        <w:t xml:space="preserve">3.项目增减定价 </w:t>
      </w:r>
    </w:p>
    <w:p>
      <w:pPr>
        <w:widowControl/>
        <w:spacing w:before="81" w:after="81"/>
        <w:ind w:firstLine="480"/>
        <w:jc w:val="left"/>
        <w:rPr>
          <w:szCs w:val="24"/>
        </w:rPr>
      </w:pPr>
      <w:r>
        <w:rPr>
          <w:rFonts w:hint="eastAsia" w:ascii="宋体" w:hAnsi="宋体" w:eastAsia="宋体" w:cs="宋体"/>
          <w:color w:val="000000"/>
          <w:kern w:val="0"/>
          <w:szCs w:val="24"/>
          <w:lang w:bidi="ar"/>
        </w:rPr>
        <w:t xml:space="preserve">在本项目进展过程中，甲、乙双方依据本合同对项目做出任何变更或经双方同意的功能变化或软件模块的增减等，一方或双方将以上述规定的价格为原则，商定变更后的具体价格。 </w:t>
      </w:r>
    </w:p>
    <w:p>
      <w:pPr>
        <w:pStyle w:val="2"/>
        <w:spacing w:before="81" w:after="81"/>
        <w:ind w:firstLine="560"/>
      </w:pPr>
    </w:p>
    <w:sectPr>
      <w:headerReference r:id="rId10" w:type="default"/>
      <w:footerReference r:id="rId11" w:type="default"/>
      <w:pgSz w:w="11906" w:h="16838"/>
      <w:pgMar w:top="1440" w:right="1440" w:bottom="1440" w:left="1440" w:header="737" w:footer="340"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ind w:firstLine="360"/>
      <w:jc w:val="center"/>
    </w:pPr>
    <w:r>
      <w:fldChar w:fldCharType="begin"/>
    </w:r>
    <w:r>
      <w:instrText xml:space="preserve">PAGE   \* MERGEFORMAT</w:instrText>
    </w:r>
    <w:r>
      <w:fldChar w:fldCharType="separate"/>
    </w:r>
    <w:r>
      <w:rPr>
        <w:lang w:val="zh-CN"/>
      </w:rPr>
      <w:t>I</w:t>
    </w:r>
    <w:r>
      <w:fldChar w:fldCharType="end"/>
    </w:r>
  </w:p>
  <w:p>
    <w:pPr>
      <w:pStyle w:val="22"/>
      <w:tabs>
        <w:tab w:val="left" w:pos="142"/>
        <w:tab w:val="right" w:pos="8126"/>
      </w:tabs>
      <w:spacing w:before="60" w:after="60"/>
      <w:ind w:right="270" w:firstLine="360"/>
      <w:rPr>
        <w:rFonts w:ascii="微软雅黑" w:hAnsi="微软雅黑" w:eastAsia="微软雅黑"/>
        <w:color w:val="548DD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ind w:firstLine="360"/>
      <w:jc w:val="center"/>
    </w:pPr>
    <w:r>
      <w:fldChar w:fldCharType="begin"/>
    </w:r>
    <w:r>
      <w:instrText xml:space="preserve">PAGE   \* MERGEFORMAT</w:instrText>
    </w:r>
    <w:r>
      <w:fldChar w:fldCharType="separate"/>
    </w:r>
    <w:r>
      <w:rPr>
        <w:lang w:val="zh-CN"/>
      </w:rPr>
      <w:t>2</w:t>
    </w:r>
    <w:r>
      <w:fldChar w:fldCharType="end"/>
    </w:r>
  </w:p>
  <w:p>
    <w:pPr>
      <w:pStyle w:val="22"/>
      <w:tabs>
        <w:tab w:val="left" w:pos="142"/>
        <w:tab w:val="right" w:pos="8126"/>
      </w:tabs>
      <w:spacing w:before="60" w:after="60"/>
      <w:ind w:right="270" w:firstLine="360"/>
      <w:rPr>
        <w:rFonts w:ascii="微软雅黑" w:hAnsi="微软雅黑" w:eastAsia="微软雅黑"/>
        <w:color w:val="548DD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ind w:firstLine="360"/>
      <w:jc w:val="center"/>
    </w:pPr>
    <w:r>
      <w:fldChar w:fldCharType="begin"/>
    </w:r>
    <w:r>
      <w:instrText xml:space="preserve">PAGE   \* MERGEFORMAT</w:instrText>
    </w:r>
    <w:r>
      <w:fldChar w:fldCharType="separate"/>
    </w:r>
    <w:r>
      <w:rPr>
        <w:lang w:val="zh-CN"/>
      </w:rPr>
      <w:t>56</w:t>
    </w:r>
    <w:r>
      <w:fldChar w:fldCharType="end"/>
    </w:r>
  </w:p>
  <w:p>
    <w:pPr>
      <w:pStyle w:val="22"/>
      <w:spacing w:before="60" w:after="60"/>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spacing w:before="60" w:after="60"/>
      <w:ind w:firstLine="420"/>
      <w:jc w:val="left"/>
      <w:rPr>
        <w:rFonts w:hint="default" w:eastAsiaTheme="minorEastAsia"/>
        <w:sz w:val="21"/>
        <w:szCs w:val="21"/>
        <w:lang w:val="en-US" w:eastAsia="zh-CN"/>
      </w:rPr>
    </w:pPr>
    <w:r>
      <w:rPr>
        <w:rFonts w:hint="eastAsia"/>
        <w:sz w:val="21"/>
        <w:szCs w:val="21"/>
        <w:lang w:val="en-US" w:eastAsia="zh-CN"/>
      </w:rPr>
      <w:t>ZC20230005 天山中医院数字化转型及智慧医疗服务建设公开招标项目   需求文件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A59F3"/>
    <w:multiLevelType w:val="singleLevel"/>
    <w:tmpl w:val="9E8A59F3"/>
    <w:lvl w:ilvl="0" w:tentative="0">
      <w:start w:val="1"/>
      <w:numFmt w:val="decimal"/>
      <w:lvlText w:val="%1)"/>
      <w:lvlJc w:val="left"/>
      <w:pPr>
        <w:ind w:left="425" w:hanging="425"/>
      </w:pPr>
      <w:rPr>
        <w:rFonts w:hint="default"/>
      </w:rPr>
    </w:lvl>
  </w:abstractNum>
  <w:abstractNum w:abstractNumId="1">
    <w:nsid w:val="E2AB53C2"/>
    <w:multiLevelType w:val="singleLevel"/>
    <w:tmpl w:val="E2AB53C2"/>
    <w:lvl w:ilvl="0" w:tentative="0">
      <w:start w:val="1"/>
      <w:numFmt w:val="decimal"/>
      <w:suff w:val="nothing"/>
      <w:lvlText w:val="（%1）"/>
      <w:lvlJc w:val="left"/>
    </w:lvl>
  </w:abstractNum>
  <w:abstractNum w:abstractNumId="2">
    <w:nsid w:val="E35A9BF6"/>
    <w:multiLevelType w:val="singleLevel"/>
    <w:tmpl w:val="E35A9BF6"/>
    <w:lvl w:ilvl="0" w:tentative="0">
      <w:start w:val="1"/>
      <w:numFmt w:val="decimal"/>
      <w:lvlText w:val="%1)"/>
      <w:lvlJc w:val="left"/>
      <w:pPr>
        <w:ind w:left="425" w:hanging="425"/>
      </w:pPr>
      <w:rPr>
        <w:rFonts w:hint="default"/>
      </w:rPr>
    </w:lvl>
  </w:abstractNum>
  <w:abstractNum w:abstractNumId="3">
    <w:nsid w:val="0064118C"/>
    <w:multiLevelType w:val="singleLevel"/>
    <w:tmpl w:val="0064118C"/>
    <w:lvl w:ilvl="0" w:tentative="0">
      <w:start w:val="1"/>
      <w:numFmt w:val="decimal"/>
      <w:suff w:val="nothing"/>
      <w:lvlText w:val="（%1）"/>
      <w:lvlJc w:val="left"/>
    </w:lvl>
  </w:abstractNum>
  <w:abstractNum w:abstractNumId="4">
    <w:nsid w:val="258F599B"/>
    <w:multiLevelType w:val="singleLevel"/>
    <w:tmpl w:val="258F599B"/>
    <w:lvl w:ilvl="0" w:tentative="0">
      <w:start w:val="2"/>
      <w:numFmt w:val="decimal"/>
      <w:suff w:val="nothing"/>
      <w:lvlText w:val="%1）"/>
      <w:lvlJc w:val="left"/>
    </w:lvl>
  </w:abstractNum>
  <w:abstractNum w:abstractNumId="5">
    <w:nsid w:val="42933EB9"/>
    <w:multiLevelType w:val="multilevel"/>
    <w:tmpl w:val="42933E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152CFE"/>
    <w:multiLevelType w:val="multilevel"/>
    <w:tmpl w:val="52152CFE"/>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3504239"/>
    <w:multiLevelType w:val="singleLevel"/>
    <w:tmpl w:val="53504239"/>
    <w:lvl w:ilvl="0" w:tentative="0">
      <w:start w:val="1"/>
      <w:numFmt w:val="decimal"/>
      <w:suff w:val="nothing"/>
      <w:lvlText w:val="（%1）"/>
      <w:lvlJc w:val="left"/>
    </w:lvl>
  </w:abstractNum>
  <w:abstractNum w:abstractNumId="8">
    <w:nsid w:val="6A97614F"/>
    <w:multiLevelType w:val="multilevel"/>
    <w:tmpl w:val="6A97614F"/>
    <w:lvl w:ilvl="0" w:tentative="0">
      <w:start w:val="1"/>
      <w:numFmt w:val="chineseCountingThousand"/>
      <w:pStyle w:val="3"/>
      <w:lvlText w:val="第%1章"/>
      <w:lvlJc w:val="left"/>
      <w:pPr>
        <w:ind w:left="432" w:hanging="432"/>
      </w:pPr>
      <w:rPr>
        <w:rFonts w:hint="eastAsia"/>
        <w:sz w:val="44"/>
      </w:rPr>
    </w:lvl>
    <w:lvl w:ilvl="1" w:tentative="0">
      <w:start w:val="1"/>
      <w:numFmt w:val="decimal"/>
      <w:pStyle w:val="4"/>
      <w:isLgl/>
      <w:suff w:val="space"/>
      <w:lvlText w:val="%1.%2"/>
      <w:lvlJc w:val="left"/>
      <w:pPr>
        <w:ind w:left="576" w:hanging="576"/>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suff w:val="space"/>
      <w:lvlText w:val="%1.%2.%3.%4"/>
      <w:lvlJc w:val="left"/>
      <w:pPr>
        <w:ind w:left="864" w:hanging="864"/>
      </w:pPr>
      <w:rPr>
        <w:rFonts w:hint="eastAsia" w:ascii="宋体" w:hAnsi="宋体" w:eastAsia="宋体"/>
      </w:rPr>
    </w:lvl>
    <w:lvl w:ilvl="4" w:tentative="0">
      <w:start w:val="1"/>
      <w:numFmt w:val="decimal"/>
      <w:pStyle w:val="7"/>
      <w:isLgl/>
      <w:suff w:val="space"/>
      <w:lvlText w:val="%1.%2.%3.%4.%5"/>
      <w:lvlJc w:val="left"/>
      <w:pPr>
        <w:ind w:left="1008" w:hanging="1008"/>
      </w:pPr>
      <w:rPr>
        <w:rFonts w:hint="eastAsia" w:ascii="宋体" w:hAnsi="宋体" w:eastAsia="宋体"/>
      </w:rPr>
    </w:lvl>
    <w:lvl w:ilvl="5" w:tentative="0">
      <w:start w:val="1"/>
      <w:numFmt w:val="decimal"/>
      <w:pStyle w:val="8"/>
      <w:isLgl/>
      <w:suff w:val="space"/>
      <w:lvlText w:val="%1.%2.%3.%4.%5.%6"/>
      <w:lvlJc w:val="left"/>
      <w:pPr>
        <w:ind w:left="1152" w:hanging="1152"/>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4" w:hanging="1584"/>
      </w:pPr>
      <w:rPr>
        <w:rFonts w:hint="eastAsia"/>
      </w:rPr>
    </w:lvl>
  </w:abstractNum>
  <w:abstractNum w:abstractNumId="9">
    <w:nsid w:val="6CBE7F8F"/>
    <w:multiLevelType w:val="multilevel"/>
    <w:tmpl w:val="6CBE7F8F"/>
    <w:lvl w:ilvl="0" w:tentative="0">
      <w:start w:val="1"/>
      <w:numFmt w:val="bullet"/>
      <w:pStyle w:val="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F0773C2"/>
    <w:multiLevelType w:val="multilevel"/>
    <w:tmpl w:val="7F0773C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9"/>
  </w:num>
  <w:num w:numId="3">
    <w:abstractNumId w:val="5"/>
  </w:num>
  <w:num w:numId="4">
    <w:abstractNumId w:val="3"/>
  </w:num>
  <w:num w:numId="5">
    <w:abstractNumId w:val="1"/>
  </w:num>
  <w:num w:numId="6">
    <w:abstractNumId w:val="7"/>
  </w:num>
  <w:num w:numId="7">
    <w:abstractNumId w:val="0"/>
  </w:num>
  <w:num w:numId="8">
    <w:abstractNumId w:val="4"/>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ZGI0M2M0ZGZlMzVlYTU0ZDBkOTZmYjdmMjgyODIifQ=="/>
  </w:docVars>
  <w:rsids>
    <w:rsidRoot w:val="0055444E"/>
    <w:rsid w:val="0000108E"/>
    <w:rsid w:val="00001A50"/>
    <w:rsid w:val="00001A7B"/>
    <w:rsid w:val="00005EAE"/>
    <w:rsid w:val="00006D5F"/>
    <w:rsid w:val="00011C1E"/>
    <w:rsid w:val="00011FC9"/>
    <w:rsid w:val="00011FE2"/>
    <w:rsid w:val="0001531F"/>
    <w:rsid w:val="000206EB"/>
    <w:rsid w:val="000230E4"/>
    <w:rsid w:val="00024520"/>
    <w:rsid w:val="000309B5"/>
    <w:rsid w:val="00035C95"/>
    <w:rsid w:val="00035CD6"/>
    <w:rsid w:val="00036DDD"/>
    <w:rsid w:val="00037E95"/>
    <w:rsid w:val="000400D9"/>
    <w:rsid w:val="00041733"/>
    <w:rsid w:val="00041B98"/>
    <w:rsid w:val="000444F7"/>
    <w:rsid w:val="00044E66"/>
    <w:rsid w:val="000457A7"/>
    <w:rsid w:val="00047DAB"/>
    <w:rsid w:val="0005057B"/>
    <w:rsid w:val="00051E5A"/>
    <w:rsid w:val="00051F86"/>
    <w:rsid w:val="00054470"/>
    <w:rsid w:val="00055B4E"/>
    <w:rsid w:val="00056B2C"/>
    <w:rsid w:val="000604A8"/>
    <w:rsid w:val="000605B2"/>
    <w:rsid w:val="00061243"/>
    <w:rsid w:val="00062120"/>
    <w:rsid w:val="00062E5E"/>
    <w:rsid w:val="00064ECB"/>
    <w:rsid w:val="0006701E"/>
    <w:rsid w:val="000724A3"/>
    <w:rsid w:val="00072FE6"/>
    <w:rsid w:val="00073F4E"/>
    <w:rsid w:val="00076298"/>
    <w:rsid w:val="0007736C"/>
    <w:rsid w:val="00077BD4"/>
    <w:rsid w:val="00082730"/>
    <w:rsid w:val="00083490"/>
    <w:rsid w:val="0008362A"/>
    <w:rsid w:val="0008467B"/>
    <w:rsid w:val="0008492A"/>
    <w:rsid w:val="00085453"/>
    <w:rsid w:val="000861A6"/>
    <w:rsid w:val="00090FAF"/>
    <w:rsid w:val="00093660"/>
    <w:rsid w:val="000947F6"/>
    <w:rsid w:val="00094E66"/>
    <w:rsid w:val="000A072C"/>
    <w:rsid w:val="000A69E3"/>
    <w:rsid w:val="000B1D20"/>
    <w:rsid w:val="000B4B20"/>
    <w:rsid w:val="000B6650"/>
    <w:rsid w:val="000B6ABC"/>
    <w:rsid w:val="000B7EE4"/>
    <w:rsid w:val="000C3634"/>
    <w:rsid w:val="000C370B"/>
    <w:rsid w:val="000C3B32"/>
    <w:rsid w:val="000C7E5C"/>
    <w:rsid w:val="000D0008"/>
    <w:rsid w:val="000D6C3B"/>
    <w:rsid w:val="000D6FB4"/>
    <w:rsid w:val="000E0B3E"/>
    <w:rsid w:val="000E19AA"/>
    <w:rsid w:val="000E665F"/>
    <w:rsid w:val="000E6AAB"/>
    <w:rsid w:val="000F12C4"/>
    <w:rsid w:val="000F1A6C"/>
    <w:rsid w:val="000F3F77"/>
    <w:rsid w:val="000F4715"/>
    <w:rsid w:val="000F4766"/>
    <w:rsid w:val="000F5253"/>
    <w:rsid w:val="000F59AF"/>
    <w:rsid w:val="000F5EA5"/>
    <w:rsid w:val="00100D88"/>
    <w:rsid w:val="001011F3"/>
    <w:rsid w:val="001022E1"/>
    <w:rsid w:val="00103438"/>
    <w:rsid w:val="0010687F"/>
    <w:rsid w:val="001072C7"/>
    <w:rsid w:val="00107CDD"/>
    <w:rsid w:val="0011146F"/>
    <w:rsid w:val="001121E5"/>
    <w:rsid w:val="00115193"/>
    <w:rsid w:val="0011695C"/>
    <w:rsid w:val="00120D0C"/>
    <w:rsid w:val="00122C86"/>
    <w:rsid w:val="00124889"/>
    <w:rsid w:val="00125232"/>
    <w:rsid w:val="00126B49"/>
    <w:rsid w:val="00127020"/>
    <w:rsid w:val="00131708"/>
    <w:rsid w:val="00133D9E"/>
    <w:rsid w:val="00134A60"/>
    <w:rsid w:val="0013689F"/>
    <w:rsid w:val="0014062B"/>
    <w:rsid w:val="00145385"/>
    <w:rsid w:val="00145E24"/>
    <w:rsid w:val="00145F01"/>
    <w:rsid w:val="00151681"/>
    <w:rsid w:val="00152CEA"/>
    <w:rsid w:val="00153EE0"/>
    <w:rsid w:val="00154427"/>
    <w:rsid w:val="0015576B"/>
    <w:rsid w:val="00157FE5"/>
    <w:rsid w:val="001603CA"/>
    <w:rsid w:val="00162E7E"/>
    <w:rsid w:val="0016598B"/>
    <w:rsid w:val="00170D2D"/>
    <w:rsid w:val="00171073"/>
    <w:rsid w:val="00172577"/>
    <w:rsid w:val="00176250"/>
    <w:rsid w:val="00181633"/>
    <w:rsid w:val="00182D2D"/>
    <w:rsid w:val="001871B0"/>
    <w:rsid w:val="001904A1"/>
    <w:rsid w:val="00190901"/>
    <w:rsid w:val="001929FC"/>
    <w:rsid w:val="00193F7A"/>
    <w:rsid w:val="00194468"/>
    <w:rsid w:val="00196DBE"/>
    <w:rsid w:val="00197051"/>
    <w:rsid w:val="00197503"/>
    <w:rsid w:val="001A1A61"/>
    <w:rsid w:val="001A2FEF"/>
    <w:rsid w:val="001B0ACB"/>
    <w:rsid w:val="001B134A"/>
    <w:rsid w:val="001B20CD"/>
    <w:rsid w:val="001B313C"/>
    <w:rsid w:val="001B3D41"/>
    <w:rsid w:val="001B6D4D"/>
    <w:rsid w:val="001C0E3B"/>
    <w:rsid w:val="001C0F4E"/>
    <w:rsid w:val="001C3854"/>
    <w:rsid w:val="001D0797"/>
    <w:rsid w:val="001D1F1E"/>
    <w:rsid w:val="001D2221"/>
    <w:rsid w:val="001D2C9B"/>
    <w:rsid w:val="001D531B"/>
    <w:rsid w:val="001D6024"/>
    <w:rsid w:val="001D6965"/>
    <w:rsid w:val="001E17C4"/>
    <w:rsid w:val="001E286A"/>
    <w:rsid w:val="001E341D"/>
    <w:rsid w:val="001E37E1"/>
    <w:rsid w:val="001F42CE"/>
    <w:rsid w:val="001F6923"/>
    <w:rsid w:val="001F71DE"/>
    <w:rsid w:val="001F7CFB"/>
    <w:rsid w:val="0020311F"/>
    <w:rsid w:val="00205210"/>
    <w:rsid w:val="0020560F"/>
    <w:rsid w:val="002113E2"/>
    <w:rsid w:val="0021149E"/>
    <w:rsid w:val="0021173C"/>
    <w:rsid w:val="00211747"/>
    <w:rsid w:val="002118F1"/>
    <w:rsid w:val="00211E4E"/>
    <w:rsid w:val="00216763"/>
    <w:rsid w:val="002208E5"/>
    <w:rsid w:val="00222A85"/>
    <w:rsid w:val="002248E1"/>
    <w:rsid w:val="00225885"/>
    <w:rsid w:val="0022699C"/>
    <w:rsid w:val="00226E3C"/>
    <w:rsid w:val="00230559"/>
    <w:rsid w:val="00234E79"/>
    <w:rsid w:val="0023588A"/>
    <w:rsid w:val="00241017"/>
    <w:rsid w:val="00241D76"/>
    <w:rsid w:val="00242AD5"/>
    <w:rsid w:val="002431F7"/>
    <w:rsid w:val="002442F0"/>
    <w:rsid w:val="00250ED2"/>
    <w:rsid w:val="00251E41"/>
    <w:rsid w:val="0025226B"/>
    <w:rsid w:val="00253EE5"/>
    <w:rsid w:val="00254DB6"/>
    <w:rsid w:val="002551DD"/>
    <w:rsid w:val="00261043"/>
    <w:rsid w:val="00262E5F"/>
    <w:rsid w:val="0026529C"/>
    <w:rsid w:val="00266785"/>
    <w:rsid w:val="002700F3"/>
    <w:rsid w:val="00270332"/>
    <w:rsid w:val="002768C8"/>
    <w:rsid w:val="00276ACB"/>
    <w:rsid w:val="00276DC1"/>
    <w:rsid w:val="00277627"/>
    <w:rsid w:val="00280581"/>
    <w:rsid w:val="00282A3E"/>
    <w:rsid w:val="002838F1"/>
    <w:rsid w:val="002852EE"/>
    <w:rsid w:val="00286CEA"/>
    <w:rsid w:val="00291E2B"/>
    <w:rsid w:val="00293E43"/>
    <w:rsid w:val="002A1ABC"/>
    <w:rsid w:val="002A5872"/>
    <w:rsid w:val="002B1D96"/>
    <w:rsid w:val="002B398B"/>
    <w:rsid w:val="002B4A1B"/>
    <w:rsid w:val="002C03D0"/>
    <w:rsid w:val="002C0B8E"/>
    <w:rsid w:val="002C1D6E"/>
    <w:rsid w:val="002C2E12"/>
    <w:rsid w:val="002C4A90"/>
    <w:rsid w:val="002C4C9B"/>
    <w:rsid w:val="002C7E3A"/>
    <w:rsid w:val="002D01BB"/>
    <w:rsid w:val="002D0A7A"/>
    <w:rsid w:val="002D206A"/>
    <w:rsid w:val="002D360F"/>
    <w:rsid w:val="002D4827"/>
    <w:rsid w:val="002D5EAB"/>
    <w:rsid w:val="002D5F35"/>
    <w:rsid w:val="002D6535"/>
    <w:rsid w:val="002D6E90"/>
    <w:rsid w:val="002E040C"/>
    <w:rsid w:val="002E04EC"/>
    <w:rsid w:val="002E1320"/>
    <w:rsid w:val="002E1BBB"/>
    <w:rsid w:val="002F0197"/>
    <w:rsid w:val="002F2C45"/>
    <w:rsid w:val="002F5720"/>
    <w:rsid w:val="00303E24"/>
    <w:rsid w:val="00307EEE"/>
    <w:rsid w:val="003109A9"/>
    <w:rsid w:val="003126F3"/>
    <w:rsid w:val="0031318A"/>
    <w:rsid w:val="00313F72"/>
    <w:rsid w:val="0031490A"/>
    <w:rsid w:val="00316CAD"/>
    <w:rsid w:val="003170B9"/>
    <w:rsid w:val="00317842"/>
    <w:rsid w:val="00322088"/>
    <w:rsid w:val="00322EE7"/>
    <w:rsid w:val="00333029"/>
    <w:rsid w:val="00333F1E"/>
    <w:rsid w:val="00334CA4"/>
    <w:rsid w:val="00334D5D"/>
    <w:rsid w:val="00337F77"/>
    <w:rsid w:val="00341A67"/>
    <w:rsid w:val="003450B2"/>
    <w:rsid w:val="003479D0"/>
    <w:rsid w:val="00351607"/>
    <w:rsid w:val="00352503"/>
    <w:rsid w:val="00357BEB"/>
    <w:rsid w:val="003606C7"/>
    <w:rsid w:val="00360CCC"/>
    <w:rsid w:val="0036484F"/>
    <w:rsid w:val="00365042"/>
    <w:rsid w:val="00386D53"/>
    <w:rsid w:val="003914D2"/>
    <w:rsid w:val="003949D1"/>
    <w:rsid w:val="00394BAB"/>
    <w:rsid w:val="003956ED"/>
    <w:rsid w:val="003961F8"/>
    <w:rsid w:val="003A3945"/>
    <w:rsid w:val="003A4C09"/>
    <w:rsid w:val="003A4DF3"/>
    <w:rsid w:val="003A52B2"/>
    <w:rsid w:val="003A5308"/>
    <w:rsid w:val="003B4247"/>
    <w:rsid w:val="003B4AF8"/>
    <w:rsid w:val="003B5CD2"/>
    <w:rsid w:val="003C1329"/>
    <w:rsid w:val="003C2C10"/>
    <w:rsid w:val="003C6789"/>
    <w:rsid w:val="003C7E72"/>
    <w:rsid w:val="003D3515"/>
    <w:rsid w:val="003D365E"/>
    <w:rsid w:val="003D36DA"/>
    <w:rsid w:val="003D651D"/>
    <w:rsid w:val="003E2510"/>
    <w:rsid w:val="003E3D4E"/>
    <w:rsid w:val="003E50D8"/>
    <w:rsid w:val="003E71D7"/>
    <w:rsid w:val="003F2EEA"/>
    <w:rsid w:val="003F4817"/>
    <w:rsid w:val="003F4FAD"/>
    <w:rsid w:val="003F59F3"/>
    <w:rsid w:val="003F5FE4"/>
    <w:rsid w:val="0040072C"/>
    <w:rsid w:val="00400ECF"/>
    <w:rsid w:val="004022A8"/>
    <w:rsid w:val="00402C2F"/>
    <w:rsid w:val="00406F6A"/>
    <w:rsid w:val="004110B4"/>
    <w:rsid w:val="00411D2B"/>
    <w:rsid w:val="004120BE"/>
    <w:rsid w:val="004132EF"/>
    <w:rsid w:val="00421DB7"/>
    <w:rsid w:val="00425975"/>
    <w:rsid w:val="00426206"/>
    <w:rsid w:val="004272F9"/>
    <w:rsid w:val="004274BE"/>
    <w:rsid w:val="004317FC"/>
    <w:rsid w:val="00432E02"/>
    <w:rsid w:val="00433D7C"/>
    <w:rsid w:val="00434636"/>
    <w:rsid w:val="0043542A"/>
    <w:rsid w:val="00436671"/>
    <w:rsid w:val="00437ABE"/>
    <w:rsid w:val="00440505"/>
    <w:rsid w:val="00442BAA"/>
    <w:rsid w:val="00442FC5"/>
    <w:rsid w:val="00447D14"/>
    <w:rsid w:val="0045356A"/>
    <w:rsid w:val="00460F42"/>
    <w:rsid w:val="0046179B"/>
    <w:rsid w:val="004623FD"/>
    <w:rsid w:val="00463283"/>
    <w:rsid w:val="0046338F"/>
    <w:rsid w:val="00463E99"/>
    <w:rsid w:val="00465A14"/>
    <w:rsid w:val="0047138E"/>
    <w:rsid w:val="00471F91"/>
    <w:rsid w:val="00472908"/>
    <w:rsid w:val="00474E4A"/>
    <w:rsid w:val="00475695"/>
    <w:rsid w:val="00477D4D"/>
    <w:rsid w:val="00481862"/>
    <w:rsid w:val="00481D28"/>
    <w:rsid w:val="0048551A"/>
    <w:rsid w:val="00487E29"/>
    <w:rsid w:val="00493704"/>
    <w:rsid w:val="00494B01"/>
    <w:rsid w:val="004A0BB9"/>
    <w:rsid w:val="004A1123"/>
    <w:rsid w:val="004A1BD7"/>
    <w:rsid w:val="004A4B7B"/>
    <w:rsid w:val="004A6F7C"/>
    <w:rsid w:val="004B0BE3"/>
    <w:rsid w:val="004B3B87"/>
    <w:rsid w:val="004B4182"/>
    <w:rsid w:val="004C2AA9"/>
    <w:rsid w:val="004C5633"/>
    <w:rsid w:val="004C6EA5"/>
    <w:rsid w:val="004D3F99"/>
    <w:rsid w:val="004D54A3"/>
    <w:rsid w:val="004D6AC6"/>
    <w:rsid w:val="004E0F5E"/>
    <w:rsid w:val="004E1071"/>
    <w:rsid w:val="004E14E7"/>
    <w:rsid w:val="004E455D"/>
    <w:rsid w:val="004E55DA"/>
    <w:rsid w:val="004E5B4B"/>
    <w:rsid w:val="004E705B"/>
    <w:rsid w:val="004E7522"/>
    <w:rsid w:val="004F0354"/>
    <w:rsid w:val="004F09D6"/>
    <w:rsid w:val="004F0A1C"/>
    <w:rsid w:val="004F0F9C"/>
    <w:rsid w:val="004F2A65"/>
    <w:rsid w:val="004F2F3A"/>
    <w:rsid w:val="004F3EEB"/>
    <w:rsid w:val="004F6CBA"/>
    <w:rsid w:val="005000C4"/>
    <w:rsid w:val="005045A4"/>
    <w:rsid w:val="005054BA"/>
    <w:rsid w:val="005069F7"/>
    <w:rsid w:val="0051068B"/>
    <w:rsid w:val="00512CDD"/>
    <w:rsid w:val="00513565"/>
    <w:rsid w:val="00513A15"/>
    <w:rsid w:val="00514E8D"/>
    <w:rsid w:val="005172C1"/>
    <w:rsid w:val="00517915"/>
    <w:rsid w:val="00524248"/>
    <w:rsid w:val="00527DB4"/>
    <w:rsid w:val="00527E5A"/>
    <w:rsid w:val="0053196A"/>
    <w:rsid w:val="00531EA0"/>
    <w:rsid w:val="00531EA5"/>
    <w:rsid w:val="00532114"/>
    <w:rsid w:val="0053297A"/>
    <w:rsid w:val="00533D8C"/>
    <w:rsid w:val="00535043"/>
    <w:rsid w:val="00535424"/>
    <w:rsid w:val="00537678"/>
    <w:rsid w:val="0053799A"/>
    <w:rsid w:val="005433B5"/>
    <w:rsid w:val="00543522"/>
    <w:rsid w:val="0054603F"/>
    <w:rsid w:val="00553DD3"/>
    <w:rsid w:val="0055444E"/>
    <w:rsid w:val="00555E73"/>
    <w:rsid w:val="00556D2F"/>
    <w:rsid w:val="00557B68"/>
    <w:rsid w:val="005611EE"/>
    <w:rsid w:val="005638B0"/>
    <w:rsid w:val="005643D2"/>
    <w:rsid w:val="00574AC3"/>
    <w:rsid w:val="00585033"/>
    <w:rsid w:val="00585E29"/>
    <w:rsid w:val="0058755A"/>
    <w:rsid w:val="005918D9"/>
    <w:rsid w:val="00593AAA"/>
    <w:rsid w:val="00597E50"/>
    <w:rsid w:val="005A47A3"/>
    <w:rsid w:val="005A6005"/>
    <w:rsid w:val="005B3D48"/>
    <w:rsid w:val="005B52B0"/>
    <w:rsid w:val="005B6C75"/>
    <w:rsid w:val="005B7D63"/>
    <w:rsid w:val="005C137B"/>
    <w:rsid w:val="005C42DE"/>
    <w:rsid w:val="005D1CE6"/>
    <w:rsid w:val="005D24F4"/>
    <w:rsid w:val="005D299B"/>
    <w:rsid w:val="005D2B46"/>
    <w:rsid w:val="005E1560"/>
    <w:rsid w:val="005E1E03"/>
    <w:rsid w:val="005F0F6B"/>
    <w:rsid w:val="005F25DD"/>
    <w:rsid w:val="005F753C"/>
    <w:rsid w:val="0060164F"/>
    <w:rsid w:val="006017BB"/>
    <w:rsid w:val="00603DB4"/>
    <w:rsid w:val="00604713"/>
    <w:rsid w:val="00604C11"/>
    <w:rsid w:val="00612C01"/>
    <w:rsid w:val="006141B2"/>
    <w:rsid w:val="006154D1"/>
    <w:rsid w:val="00616306"/>
    <w:rsid w:val="00617792"/>
    <w:rsid w:val="00623E8E"/>
    <w:rsid w:val="00634AB2"/>
    <w:rsid w:val="00634E86"/>
    <w:rsid w:val="00635248"/>
    <w:rsid w:val="00636B15"/>
    <w:rsid w:val="00642D5B"/>
    <w:rsid w:val="00645DFA"/>
    <w:rsid w:val="00646192"/>
    <w:rsid w:val="00646C7E"/>
    <w:rsid w:val="00654121"/>
    <w:rsid w:val="00654470"/>
    <w:rsid w:val="006550CA"/>
    <w:rsid w:val="00655DFC"/>
    <w:rsid w:val="00657ABC"/>
    <w:rsid w:val="0066126C"/>
    <w:rsid w:val="00662FA8"/>
    <w:rsid w:val="0066351E"/>
    <w:rsid w:val="006701B9"/>
    <w:rsid w:val="0067057E"/>
    <w:rsid w:val="00670656"/>
    <w:rsid w:val="00671BD3"/>
    <w:rsid w:val="00677F05"/>
    <w:rsid w:val="006808B8"/>
    <w:rsid w:val="00680BCF"/>
    <w:rsid w:val="00680C65"/>
    <w:rsid w:val="00681C14"/>
    <w:rsid w:val="00683598"/>
    <w:rsid w:val="00684BED"/>
    <w:rsid w:val="0068639A"/>
    <w:rsid w:val="00686831"/>
    <w:rsid w:val="00687436"/>
    <w:rsid w:val="00690D9D"/>
    <w:rsid w:val="006A0E04"/>
    <w:rsid w:val="006A56B1"/>
    <w:rsid w:val="006B1104"/>
    <w:rsid w:val="006B398D"/>
    <w:rsid w:val="006B457A"/>
    <w:rsid w:val="006B7723"/>
    <w:rsid w:val="006B7738"/>
    <w:rsid w:val="006C2118"/>
    <w:rsid w:val="006C2A62"/>
    <w:rsid w:val="006C2F2E"/>
    <w:rsid w:val="006C41B3"/>
    <w:rsid w:val="006C4A10"/>
    <w:rsid w:val="006C7AD4"/>
    <w:rsid w:val="006D1466"/>
    <w:rsid w:val="006E0D44"/>
    <w:rsid w:val="006E32FE"/>
    <w:rsid w:val="006F4790"/>
    <w:rsid w:val="006F57CF"/>
    <w:rsid w:val="006F63E6"/>
    <w:rsid w:val="00700144"/>
    <w:rsid w:val="00700E76"/>
    <w:rsid w:val="00702C5C"/>
    <w:rsid w:val="007104EF"/>
    <w:rsid w:val="0071144A"/>
    <w:rsid w:val="00713CFB"/>
    <w:rsid w:val="00714441"/>
    <w:rsid w:val="00727D7E"/>
    <w:rsid w:val="0073179A"/>
    <w:rsid w:val="007335A5"/>
    <w:rsid w:val="00737D01"/>
    <w:rsid w:val="007408D9"/>
    <w:rsid w:val="00742B94"/>
    <w:rsid w:val="00742E0B"/>
    <w:rsid w:val="007450CB"/>
    <w:rsid w:val="0074551D"/>
    <w:rsid w:val="0074570B"/>
    <w:rsid w:val="007459CE"/>
    <w:rsid w:val="0074656B"/>
    <w:rsid w:val="00747B63"/>
    <w:rsid w:val="00747D5D"/>
    <w:rsid w:val="00750E3A"/>
    <w:rsid w:val="00751D92"/>
    <w:rsid w:val="00755439"/>
    <w:rsid w:val="0075678A"/>
    <w:rsid w:val="007572D4"/>
    <w:rsid w:val="007615D6"/>
    <w:rsid w:val="00761C27"/>
    <w:rsid w:val="007633D7"/>
    <w:rsid w:val="00766060"/>
    <w:rsid w:val="007704C9"/>
    <w:rsid w:val="00773BD7"/>
    <w:rsid w:val="007756F5"/>
    <w:rsid w:val="00777152"/>
    <w:rsid w:val="00780213"/>
    <w:rsid w:val="0079613E"/>
    <w:rsid w:val="00796589"/>
    <w:rsid w:val="007A016C"/>
    <w:rsid w:val="007A45AC"/>
    <w:rsid w:val="007A4838"/>
    <w:rsid w:val="007A54C1"/>
    <w:rsid w:val="007A68C0"/>
    <w:rsid w:val="007B19DF"/>
    <w:rsid w:val="007B722D"/>
    <w:rsid w:val="007B7A6A"/>
    <w:rsid w:val="007C0CDD"/>
    <w:rsid w:val="007C2D8B"/>
    <w:rsid w:val="007C3145"/>
    <w:rsid w:val="007C4A97"/>
    <w:rsid w:val="007C4B1B"/>
    <w:rsid w:val="007D0EFA"/>
    <w:rsid w:val="007D201A"/>
    <w:rsid w:val="007D350A"/>
    <w:rsid w:val="007D708A"/>
    <w:rsid w:val="007D76BC"/>
    <w:rsid w:val="007E10F9"/>
    <w:rsid w:val="007E3402"/>
    <w:rsid w:val="007E3C7D"/>
    <w:rsid w:val="007E5143"/>
    <w:rsid w:val="007E64BF"/>
    <w:rsid w:val="007F25D6"/>
    <w:rsid w:val="007F7F5A"/>
    <w:rsid w:val="008014A2"/>
    <w:rsid w:val="008021DC"/>
    <w:rsid w:val="00802745"/>
    <w:rsid w:val="00806AE3"/>
    <w:rsid w:val="00807B7E"/>
    <w:rsid w:val="00812B26"/>
    <w:rsid w:val="0081508F"/>
    <w:rsid w:val="008152C6"/>
    <w:rsid w:val="00817266"/>
    <w:rsid w:val="0081752B"/>
    <w:rsid w:val="00817DAF"/>
    <w:rsid w:val="00822202"/>
    <w:rsid w:val="00824D22"/>
    <w:rsid w:val="008270C9"/>
    <w:rsid w:val="008300AA"/>
    <w:rsid w:val="0083157D"/>
    <w:rsid w:val="00832071"/>
    <w:rsid w:val="00832357"/>
    <w:rsid w:val="00832E8B"/>
    <w:rsid w:val="008337E6"/>
    <w:rsid w:val="00835456"/>
    <w:rsid w:val="00836185"/>
    <w:rsid w:val="0084022A"/>
    <w:rsid w:val="008407D6"/>
    <w:rsid w:val="00844B01"/>
    <w:rsid w:val="00845D59"/>
    <w:rsid w:val="00846832"/>
    <w:rsid w:val="00846CC4"/>
    <w:rsid w:val="00847F30"/>
    <w:rsid w:val="00851F30"/>
    <w:rsid w:val="00853157"/>
    <w:rsid w:val="0085523B"/>
    <w:rsid w:val="00855B85"/>
    <w:rsid w:val="00862F01"/>
    <w:rsid w:val="00863579"/>
    <w:rsid w:val="00863CCC"/>
    <w:rsid w:val="00863D2D"/>
    <w:rsid w:val="008648E2"/>
    <w:rsid w:val="00870600"/>
    <w:rsid w:val="00873D74"/>
    <w:rsid w:val="008801BE"/>
    <w:rsid w:val="00880E88"/>
    <w:rsid w:val="00881F09"/>
    <w:rsid w:val="00883ABA"/>
    <w:rsid w:val="00886167"/>
    <w:rsid w:val="008869C8"/>
    <w:rsid w:val="00887DB4"/>
    <w:rsid w:val="008922F1"/>
    <w:rsid w:val="0089267D"/>
    <w:rsid w:val="00893599"/>
    <w:rsid w:val="00896E26"/>
    <w:rsid w:val="0089719A"/>
    <w:rsid w:val="008A1803"/>
    <w:rsid w:val="008A3DF1"/>
    <w:rsid w:val="008A3F78"/>
    <w:rsid w:val="008B0631"/>
    <w:rsid w:val="008B5E17"/>
    <w:rsid w:val="008C0CC3"/>
    <w:rsid w:val="008C2B3A"/>
    <w:rsid w:val="008C3020"/>
    <w:rsid w:val="008C3429"/>
    <w:rsid w:val="008C364C"/>
    <w:rsid w:val="008C6A40"/>
    <w:rsid w:val="008D096E"/>
    <w:rsid w:val="008D0CD7"/>
    <w:rsid w:val="008D44CB"/>
    <w:rsid w:val="008D7688"/>
    <w:rsid w:val="008E1C40"/>
    <w:rsid w:val="008E47AD"/>
    <w:rsid w:val="008E6615"/>
    <w:rsid w:val="008F4671"/>
    <w:rsid w:val="009009F5"/>
    <w:rsid w:val="009014EA"/>
    <w:rsid w:val="009027E8"/>
    <w:rsid w:val="00902AF3"/>
    <w:rsid w:val="00903D42"/>
    <w:rsid w:val="0090443D"/>
    <w:rsid w:val="009050E4"/>
    <w:rsid w:val="009053BE"/>
    <w:rsid w:val="0090643D"/>
    <w:rsid w:val="00906864"/>
    <w:rsid w:val="009109B1"/>
    <w:rsid w:val="009111B2"/>
    <w:rsid w:val="0091263C"/>
    <w:rsid w:val="00913032"/>
    <w:rsid w:val="00917162"/>
    <w:rsid w:val="00920B3E"/>
    <w:rsid w:val="00922469"/>
    <w:rsid w:val="00927A83"/>
    <w:rsid w:val="009351EA"/>
    <w:rsid w:val="00937FAD"/>
    <w:rsid w:val="00946A44"/>
    <w:rsid w:val="009517A5"/>
    <w:rsid w:val="00952B29"/>
    <w:rsid w:val="00957940"/>
    <w:rsid w:val="009619D5"/>
    <w:rsid w:val="00963FCA"/>
    <w:rsid w:val="009661C9"/>
    <w:rsid w:val="0096722A"/>
    <w:rsid w:val="009676C2"/>
    <w:rsid w:val="0097097C"/>
    <w:rsid w:val="00970EBD"/>
    <w:rsid w:val="00970F3A"/>
    <w:rsid w:val="00970F75"/>
    <w:rsid w:val="0097175D"/>
    <w:rsid w:val="00971CFF"/>
    <w:rsid w:val="00972D8C"/>
    <w:rsid w:val="00976486"/>
    <w:rsid w:val="0097653F"/>
    <w:rsid w:val="00976D34"/>
    <w:rsid w:val="009773EF"/>
    <w:rsid w:val="009805ED"/>
    <w:rsid w:val="009844CE"/>
    <w:rsid w:val="0098667A"/>
    <w:rsid w:val="0098779C"/>
    <w:rsid w:val="0099072B"/>
    <w:rsid w:val="00990EEF"/>
    <w:rsid w:val="00994F05"/>
    <w:rsid w:val="00996187"/>
    <w:rsid w:val="00996C47"/>
    <w:rsid w:val="009A0C2B"/>
    <w:rsid w:val="009A21C7"/>
    <w:rsid w:val="009A32F9"/>
    <w:rsid w:val="009A6574"/>
    <w:rsid w:val="009B0344"/>
    <w:rsid w:val="009B4184"/>
    <w:rsid w:val="009B5822"/>
    <w:rsid w:val="009C3C81"/>
    <w:rsid w:val="009C4CA6"/>
    <w:rsid w:val="009C51AB"/>
    <w:rsid w:val="009C5B95"/>
    <w:rsid w:val="009C6744"/>
    <w:rsid w:val="009D18DE"/>
    <w:rsid w:val="009D2519"/>
    <w:rsid w:val="009D491E"/>
    <w:rsid w:val="009D50ED"/>
    <w:rsid w:val="009E3103"/>
    <w:rsid w:val="009E3AC4"/>
    <w:rsid w:val="009E61D1"/>
    <w:rsid w:val="009F15E1"/>
    <w:rsid w:val="009F36E1"/>
    <w:rsid w:val="009F46E5"/>
    <w:rsid w:val="009F50A7"/>
    <w:rsid w:val="009F515D"/>
    <w:rsid w:val="00A00C32"/>
    <w:rsid w:val="00A0280F"/>
    <w:rsid w:val="00A03B76"/>
    <w:rsid w:val="00A0774A"/>
    <w:rsid w:val="00A10651"/>
    <w:rsid w:val="00A137DB"/>
    <w:rsid w:val="00A21B87"/>
    <w:rsid w:val="00A21C13"/>
    <w:rsid w:val="00A2315B"/>
    <w:rsid w:val="00A2332E"/>
    <w:rsid w:val="00A23F00"/>
    <w:rsid w:val="00A2702E"/>
    <w:rsid w:val="00A273D3"/>
    <w:rsid w:val="00A3116B"/>
    <w:rsid w:val="00A37F14"/>
    <w:rsid w:val="00A4480A"/>
    <w:rsid w:val="00A479A1"/>
    <w:rsid w:val="00A50ABE"/>
    <w:rsid w:val="00A5120F"/>
    <w:rsid w:val="00A51AFD"/>
    <w:rsid w:val="00A52E87"/>
    <w:rsid w:val="00A53BC4"/>
    <w:rsid w:val="00A54FB7"/>
    <w:rsid w:val="00A5592B"/>
    <w:rsid w:val="00A55C89"/>
    <w:rsid w:val="00A621EA"/>
    <w:rsid w:val="00A62AD3"/>
    <w:rsid w:val="00A663FF"/>
    <w:rsid w:val="00A665D9"/>
    <w:rsid w:val="00A6674C"/>
    <w:rsid w:val="00A7517A"/>
    <w:rsid w:val="00A751BA"/>
    <w:rsid w:val="00A84D27"/>
    <w:rsid w:val="00A86CDE"/>
    <w:rsid w:val="00A87AB9"/>
    <w:rsid w:val="00A908C7"/>
    <w:rsid w:val="00A935EE"/>
    <w:rsid w:val="00A968F5"/>
    <w:rsid w:val="00A97D88"/>
    <w:rsid w:val="00AA03C4"/>
    <w:rsid w:val="00AA3F66"/>
    <w:rsid w:val="00AA5DB1"/>
    <w:rsid w:val="00AB19E9"/>
    <w:rsid w:val="00AB26A5"/>
    <w:rsid w:val="00AB70FD"/>
    <w:rsid w:val="00AC2308"/>
    <w:rsid w:val="00AC3DFD"/>
    <w:rsid w:val="00AC4BC8"/>
    <w:rsid w:val="00AC5B15"/>
    <w:rsid w:val="00AC6697"/>
    <w:rsid w:val="00AC6B8F"/>
    <w:rsid w:val="00AD0016"/>
    <w:rsid w:val="00AD15A1"/>
    <w:rsid w:val="00AD3882"/>
    <w:rsid w:val="00AE6040"/>
    <w:rsid w:val="00AE6D99"/>
    <w:rsid w:val="00AF3386"/>
    <w:rsid w:val="00AF3C39"/>
    <w:rsid w:val="00AF5528"/>
    <w:rsid w:val="00AF68A1"/>
    <w:rsid w:val="00B00C8A"/>
    <w:rsid w:val="00B02ED8"/>
    <w:rsid w:val="00B047E1"/>
    <w:rsid w:val="00B04950"/>
    <w:rsid w:val="00B04A6E"/>
    <w:rsid w:val="00B07571"/>
    <w:rsid w:val="00B1093A"/>
    <w:rsid w:val="00B21C18"/>
    <w:rsid w:val="00B312A5"/>
    <w:rsid w:val="00B33915"/>
    <w:rsid w:val="00B358CF"/>
    <w:rsid w:val="00B37085"/>
    <w:rsid w:val="00B40FE3"/>
    <w:rsid w:val="00B41FBE"/>
    <w:rsid w:val="00B42663"/>
    <w:rsid w:val="00B44590"/>
    <w:rsid w:val="00B45BAF"/>
    <w:rsid w:val="00B45D8B"/>
    <w:rsid w:val="00B46591"/>
    <w:rsid w:val="00B50BC0"/>
    <w:rsid w:val="00B53085"/>
    <w:rsid w:val="00B533CD"/>
    <w:rsid w:val="00B543E0"/>
    <w:rsid w:val="00B565F7"/>
    <w:rsid w:val="00B6256E"/>
    <w:rsid w:val="00B70875"/>
    <w:rsid w:val="00B70F4E"/>
    <w:rsid w:val="00B71426"/>
    <w:rsid w:val="00B7173A"/>
    <w:rsid w:val="00B72298"/>
    <w:rsid w:val="00B75EDB"/>
    <w:rsid w:val="00B76C2D"/>
    <w:rsid w:val="00B82052"/>
    <w:rsid w:val="00B84028"/>
    <w:rsid w:val="00B84219"/>
    <w:rsid w:val="00B84CC4"/>
    <w:rsid w:val="00B85048"/>
    <w:rsid w:val="00B8562A"/>
    <w:rsid w:val="00B859FE"/>
    <w:rsid w:val="00B90A5B"/>
    <w:rsid w:val="00B91CC8"/>
    <w:rsid w:val="00B927E2"/>
    <w:rsid w:val="00B93FDC"/>
    <w:rsid w:val="00B94A08"/>
    <w:rsid w:val="00B95B99"/>
    <w:rsid w:val="00BA0D58"/>
    <w:rsid w:val="00BA22C4"/>
    <w:rsid w:val="00BA2316"/>
    <w:rsid w:val="00BA402D"/>
    <w:rsid w:val="00BA5895"/>
    <w:rsid w:val="00BB10F0"/>
    <w:rsid w:val="00BB26B8"/>
    <w:rsid w:val="00BB2758"/>
    <w:rsid w:val="00BB599C"/>
    <w:rsid w:val="00BB59CB"/>
    <w:rsid w:val="00BB7D98"/>
    <w:rsid w:val="00BC5325"/>
    <w:rsid w:val="00BC78ED"/>
    <w:rsid w:val="00BD0DFC"/>
    <w:rsid w:val="00BD4C5C"/>
    <w:rsid w:val="00BE28E6"/>
    <w:rsid w:val="00BE3722"/>
    <w:rsid w:val="00BE44F4"/>
    <w:rsid w:val="00BE5938"/>
    <w:rsid w:val="00BE5EB2"/>
    <w:rsid w:val="00BF073B"/>
    <w:rsid w:val="00BF0C34"/>
    <w:rsid w:val="00BF12E3"/>
    <w:rsid w:val="00BF1BCA"/>
    <w:rsid w:val="00BF514E"/>
    <w:rsid w:val="00BF553B"/>
    <w:rsid w:val="00C00A75"/>
    <w:rsid w:val="00C012B4"/>
    <w:rsid w:val="00C06D6C"/>
    <w:rsid w:val="00C12871"/>
    <w:rsid w:val="00C14BC9"/>
    <w:rsid w:val="00C171A0"/>
    <w:rsid w:val="00C17FC7"/>
    <w:rsid w:val="00C20072"/>
    <w:rsid w:val="00C204D4"/>
    <w:rsid w:val="00C218BC"/>
    <w:rsid w:val="00C23342"/>
    <w:rsid w:val="00C2567D"/>
    <w:rsid w:val="00C263D8"/>
    <w:rsid w:val="00C26502"/>
    <w:rsid w:val="00C272D2"/>
    <w:rsid w:val="00C370B2"/>
    <w:rsid w:val="00C379C1"/>
    <w:rsid w:val="00C40EAB"/>
    <w:rsid w:val="00C45D34"/>
    <w:rsid w:val="00C46A26"/>
    <w:rsid w:val="00C500C9"/>
    <w:rsid w:val="00C531ED"/>
    <w:rsid w:val="00C53221"/>
    <w:rsid w:val="00C63236"/>
    <w:rsid w:val="00C64F85"/>
    <w:rsid w:val="00C673C3"/>
    <w:rsid w:val="00C745FD"/>
    <w:rsid w:val="00C750AC"/>
    <w:rsid w:val="00C83D21"/>
    <w:rsid w:val="00C84522"/>
    <w:rsid w:val="00C927EB"/>
    <w:rsid w:val="00C935EB"/>
    <w:rsid w:val="00C94367"/>
    <w:rsid w:val="00C971F9"/>
    <w:rsid w:val="00CA3600"/>
    <w:rsid w:val="00CA53C5"/>
    <w:rsid w:val="00CA68A9"/>
    <w:rsid w:val="00CB53F3"/>
    <w:rsid w:val="00CC21A1"/>
    <w:rsid w:val="00CC2BC4"/>
    <w:rsid w:val="00CC3810"/>
    <w:rsid w:val="00CC5021"/>
    <w:rsid w:val="00CD36D7"/>
    <w:rsid w:val="00CD3C2F"/>
    <w:rsid w:val="00CD4CEF"/>
    <w:rsid w:val="00CD4E4C"/>
    <w:rsid w:val="00CD7525"/>
    <w:rsid w:val="00CE0C51"/>
    <w:rsid w:val="00CE3CF2"/>
    <w:rsid w:val="00CE7579"/>
    <w:rsid w:val="00CF59D7"/>
    <w:rsid w:val="00CF6036"/>
    <w:rsid w:val="00CF66BC"/>
    <w:rsid w:val="00D02AFE"/>
    <w:rsid w:val="00D05474"/>
    <w:rsid w:val="00D126E9"/>
    <w:rsid w:val="00D12D6C"/>
    <w:rsid w:val="00D132EF"/>
    <w:rsid w:val="00D15FA5"/>
    <w:rsid w:val="00D17B29"/>
    <w:rsid w:val="00D236B3"/>
    <w:rsid w:val="00D24150"/>
    <w:rsid w:val="00D24AC2"/>
    <w:rsid w:val="00D2756C"/>
    <w:rsid w:val="00D35E5A"/>
    <w:rsid w:val="00D36A8D"/>
    <w:rsid w:val="00D40C2B"/>
    <w:rsid w:val="00D42197"/>
    <w:rsid w:val="00D4276C"/>
    <w:rsid w:val="00D4481B"/>
    <w:rsid w:val="00D449B5"/>
    <w:rsid w:val="00D4551D"/>
    <w:rsid w:val="00D47E36"/>
    <w:rsid w:val="00D5021D"/>
    <w:rsid w:val="00D52001"/>
    <w:rsid w:val="00D52CC4"/>
    <w:rsid w:val="00D55D51"/>
    <w:rsid w:val="00D563BA"/>
    <w:rsid w:val="00D569BD"/>
    <w:rsid w:val="00D62DE8"/>
    <w:rsid w:val="00D732B0"/>
    <w:rsid w:val="00D7647A"/>
    <w:rsid w:val="00D7752C"/>
    <w:rsid w:val="00D804F1"/>
    <w:rsid w:val="00D80D5D"/>
    <w:rsid w:val="00D84FEA"/>
    <w:rsid w:val="00D87C1B"/>
    <w:rsid w:val="00D92171"/>
    <w:rsid w:val="00D97CE1"/>
    <w:rsid w:val="00DA043A"/>
    <w:rsid w:val="00DA055A"/>
    <w:rsid w:val="00DA05E9"/>
    <w:rsid w:val="00DA2E3B"/>
    <w:rsid w:val="00DA3793"/>
    <w:rsid w:val="00DA5B17"/>
    <w:rsid w:val="00DB0686"/>
    <w:rsid w:val="00DB3A40"/>
    <w:rsid w:val="00DB5C82"/>
    <w:rsid w:val="00DC4736"/>
    <w:rsid w:val="00DD0EFA"/>
    <w:rsid w:val="00DD2D43"/>
    <w:rsid w:val="00DD77D2"/>
    <w:rsid w:val="00DD7864"/>
    <w:rsid w:val="00DE391F"/>
    <w:rsid w:val="00DE3FCA"/>
    <w:rsid w:val="00DE5003"/>
    <w:rsid w:val="00DE5B31"/>
    <w:rsid w:val="00DE5CA0"/>
    <w:rsid w:val="00DE6D4A"/>
    <w:rsid w:val="00DE6E03"/>
    <w:rsid w:val="00DF038C"/>
    <w:rsid w:val="00DF2CA3"/>
    <w:rsid w:val="00DF3706"/>
    <w:rsid w:val="00E00706"/>
    <w:rsid w:val="00E01C7E"/>
    <w:rsid w:val="00E01CA5"/>
    <w:rsid w:val="00E02E1A"/>
    <w:rsid w:val="00E03451"/>
    <w:rsid w:val="00E046D4"/>
    <w:rsid w:val="00E124C0"/>
    <w:rsid w:val="00E125B9"/>
    <w:rsid w:val="00E1425C"/>
    <w:rsid w:val="00E149C5"/>
    <w:rsid w:val="00E1559E"/>
    <w:rsid w:val="00E15D2F"/>
    <w:rsid w:val="00E15FA2"/>
    <w:rsid w:val="00E16310"/>
    <w:rsid w:val="00E16CEC"/>
    <w:rsid w:val="00E20071"/>
    <w:rsid w:val="00E20571"/>
    <w:rsid w:val="00E24E6E"/>
    <w:rsid w:val="00E2663F"/>
    <w:rsid w:val="00E26E98"/>
    <w:rsid w:val="00E32D31"/>
    <w:rsid w:val="00E337D0"/>
    <w:rsid w:val="00E33A01"/>
    <w:rsid w:val="00E34D89"/>
    <w:rsid w:val="00E351D4"/>
    <w:rsid w:val="00E35419"/>
    <w:rsid w:val="00E37576"/>
    <w:rsid w:val="00E4320C"/>
    <w:rsid w:val="00E4664E"/>
    <w:rsid w:val="00E46DB5"/>
    <w:rsid w:val="00E4703A"/>
    <w:rsid w:val="00E47769"/>
    <w:rsid w:val="00E47CCC"/>
    <w:rsid w:val="00E50BDE"/>
    <w:rsid w:val="00E605BD"/>
    <w:rsid w:val="00E62F1F"/>
    <w:rsid w:val="00E636F8"/>
    <w:rsid w:val="00E65C91"/>
    <w:rsid w:val="00E66643"/>
    <w:rsid w:val="00E679B0"/>
    <w:rsid w:val="00E724DE"/>
    <w:rsid w:val="00E7382D"/>
    <w:rsid w:val="00E80F4D"/>
    <w:rsid w:val="00E8137D"/>
    <w:rsid w:val="00E83F3A"/>
    <w:rsid w:val="00E83FC7"/>
    <w:rsid w:val="00E84258"/>
    <w:rsid w:val="00E850FD"/>
    <w:rsid w:val="00E8527A"/>
    <w:rsid w:val="00E862B2"/>
    <w:rsid w:val="00E87B5C"/>
    <w:rsid w:val="00E92325"/>
    <w:rsid w:val="00E937EF"/>
    <w:rsid w:val="00E939B3"/>
    <w:rsid w:val="00E97395"/>
    <w:rsid w:val="00EA3CD5"/>
    <w:rsid w:val="00EA4AA0"/>
    <w:rsid w:val="00EA6DE5"/>
    <w:rsid w:val="00EB0091"/>
    <w:rsid w:val="00EB0BE4"/>
    <w:rsid w:val="00EB1895"/>
    <w:rsid w:val="00EB499F"/>
    <w:rsid w:val="00EB7923"/>
    <w:rsid w:val="00EB79E3"/>
    <w:rsid w:val="00EC053B"/>
    <w:rsid w:val="00EC0F34"/>
    <w:rsid w:val="00EC123B"/>
    <w:rsid w:val="00EC644B"/>
    <w:rsid w:val="00EC6AC9"/>
    <w:rsid w:val="00EC7553"/>
    <w:rsid w:val="00EC7697"/>
    <w:rsid w:val="00EC7C64"/>
    <w:rsid w:val="00ED03C8"/>
    <w:rsid w:val="00ED4007"/>
    <w:rsid w:val="00ED6B6F"/>
    <w:rsid w:val="00ED7F64"/>
    <w:rsid w:val="00EE1502"/>
    <w:rsid w:val="00EE3840"/>
    <w:rsid w:val="00EE3850"/>
    <w:rsid w:val="00EE44DF"/>
    <w:rsid w:val="00EE7FDF"/>
    <w:rsid w:val="00EF04E1"/>
    <w:rsid w:val="00EF0B20"/>
    <w:rsid w:val="00EF2C46"/>
    <w:rsid w:val="00EF3F56"/>
    <w:rsid w:val="00EF495D"/>
    <w:rsid w:val="00EF6178"/>
    <w:rsid w:val="00EF714E"/>
    <w:rsid w:val="00F010AB"/>
    <w:rsid w:val="00F025AA"/>
    <w:rsid w:val="00F03CA6"/>
    <w:rsid w:val="00F03FCE"/>
    <w:rsid w:val="00F05B7C"/>
    <w:rsid w:val="00F0758D"/>
    <w:rsid w:val="00F07D8F"/>
    <w:rsid w:val="00F12FE3"/>
    <w:rsid w:val="00F14080"/>
    <w:rsid w:val="00F200B7"/>
    <w:rsid w:val="00F217E2"/>
    <w:rsid w:val="00F21AA4"/>
    <w:rsid w:val="00F22937"/>
    <w:rsid w:val="00F2345C"/>
    <w:rsid w:val="00F23AA1"/>
    <w:rsid w:val="00F25188"/>
    <w:rsid w:val="00F265B8"/>
    <w:rsid w:val="00F316CF"/>
    <w:rsid w:val="00F31AE4"/>
    <w:rsid w:val="00F3445A"/>
    <w:rsid w:val="00F36A03"/>
    <w:rsid w:val="00F4157B"/>
    <w:rsid w:val="00F50215"/>
    <w:rsid w:val="00F51D0E"/>
    <w:rsid w:val="00F5343B"/>
    <w:rsid w:val="00F53F1F"/>
    <w:rsid w:val="00F6342F"/>
    <w:rsid w:val="00F65E1C"/>
    <w:rsid w:val="00F660FF"/>
    <w:rsid w:val="00F70361"/>
    <w:rsid w:val="00F74933"/>
    <w:rsid w:val="00F83456"/>
    <w:rsid w:val="00F85C3A"/>
    <w:rsid w:val="00F916C8"/>
    <w:rsid w:val="00F9245A"/>
    <w:rsid w:val="00F96669"/>
    <w:rsid w:val="00FA0EF6"/>
    <w:rsid w:val="00FA2424"/>
    <w:rsid w:val="00FA4226"/>
    <w:rsid w:val="00FA4CC8"/>
    <w:rsid w:val="00FA6068"/>
    <w:rsid w:val="00FA668E"/>
    <w:rsid w:val="00FA6861"/>
    <w:rsid w:val="00FB2569"/>
    <w:rsid w:val="00FC1081"/>
    <w:rsid w:val="00FC17B8"/>
    <w:rsid w:val="00FC4010"/>
    <w:rsid w:val="00FC535E"/>
    <w:rsid w:val="00FC58A0"/>
    <w:rsid w:val="00FC6F64"/>
    <w:rsid w:val="00FC7A93"/>
    <w:rsid w:val="00FD16EE"/>
    <w:rsid w:val="00FE0117"/>
    <w:rsid w:val="00FE2ED2"/>
    <w:rsid w:val="00FE4836"/>
    <w:rsid w:val="00FE59F0"/>
    <w:rsid w:val="00FE5E03"/>
    <w:rsid w:val="00FE6530"/>
    <w:rsid w:val="00FF22AA"/>
    <w:rsid w:val="00FF4978"/>
    <w:rsid w:val="00FF67B3"/>
    <w:rsid w:val="0137038D"/>
    <w:rsid w:val="01897C80"/>
    <w:rsid w:val="01EB40D1"/>
    <w:rsid w:val="03322904"/>
    <w:rsid w:val="061F3779"/>
    <w:rsid w:val="06256204"/>
    <w:rsid w:val="06C31AA6"/>
    <w:rsid w:val="072D3301"/>
    <w:rsid w:val="073360BD"/>
    <w:rsid w:val="07D615CB"/>
    <w:rsid w:val="07DC5561"/>
    <w:rsid w:val="087B4208"/>
    <w:rsid w:val="09990D46"/>
    <w:rsid w:val="0A153AE8"/>
    <w:rsid w:val="0BC2125C"/>
    <w:rsid w:val="0C9A6EF7"/>
    <w:rsid w:val="0DEE4701"/>
    <w:rsid w:val="0EC10691"/>
    <w:rsid w:val="0EFF5187"/>
    <w:rsid w:val="0F4828CA"/>
    <w:rsid w:val="0F9551EF"/>
    <w:rsid w:val="0FD52407"/>
    <w:rsid w:val="128A3155"/>
    <w:rsid w:val="13232F03"/>
    <w:rsid w:val="16EA2FED"/>
    <w:rsid w:val="16F07996"/>
    <w:rsid w:val="19086BBC"/>
    <w:rsid w:val="19D578EB"/>
    <w:rsid w:val="1AC03EFB"/>
    <w:rsid w:val="1AED044C"/>
    <w:rsid w:val="1B0B49C8"/>
    <w:rsid w:val="1C336316"/>
    <w:rsid w:val="1C9F49CE"/>
    <w:rsid w:val="1E90231B"/>
    <w:rsid w:val="1E981E9E"/>
    <w:rsid w:val="1ECF03AC"/>
    <w:rsid w:val="1F5BFA04"/>
    <w:rsid w:val="1FE7C76A"/>
    <w:rsid w:val="224D3C4D"/>
    <w:rsid w:val="25B44202"/>
    <w:rsid w:val="267B34A1"/>
    <w:rsid w:val="268122F1"/>
    <w:rsid w:val="26ED4646"/>
    <w:rsid w:val="26F32C14"/>
    <w:rsid w:val="26FC1921"/>
    <w:rsid w:val="29656786"/>
    <w:rsid w:val="2A0F57CE"/>
    <w:rsid w:val="2A275940"/>
    <w:rsid w:val="2B795293"/>
    <w:rsid w:val="2C69499A"/>
    <w:rsid w:val="2E501745"/>
    <w:rsid w:val="2EEB3E08"/>
    <w:rsid w:val="2F320599"/>
    <w:rsid w:val="30891D17"/>
    <w:rsid w:val="31A032AA"/>
    <w:rsid w:val="326D409E"/>
    <w:rsid w:val="32CF3130"/>
    <w:rsid w:val="342942B7"/>
    <w:rsid w:val="35241EA1"/>
    <w:rsid w:val="356F3726"/>
    <w:rsid w:val="36AE2339"/>
    <w:rsid w:val="37692DF0"/>
    <w:rsid w:val="38683137"/>
    <w:rsid w:val="390403C8"/>
    <w:rsid w:val="3B0C1B03"/>
    <w:rsid w:val="3BC46DC7"/>
    <w:rsid w:val="3CBB5388"/>
    <w:rsid w:val="3D5B3BB3"/>
    <w:rsid w:val="3D660351"/>
    <w:rsid w:val="3D897009"/>
    <w:rsid w:val="401B5F41"/>
    <w:rsid w:val="418E3FA0"/>
    <w:rsid w:val="420B0D08"/>
    <w:rsid w:val="428E5A83"/>
    <w:rsid w:val="429C0844"/>
    <w:rsid w:val="42A93563"/>
    <w:rsid w:val="4634529A"/>
    <w:rsid w:val="47591F9A"/>
    <w:rsid w:val="49C67F4D"/>
    <w:rsid w:val="4A045A9B"/>
    <w:rsid w:val="4B9A2F7C"/>
    <w:rsid w:val="4C6E00F5"/>
    <w:rsid w:val="4CBC34BA"/>
    <w:rsid w:val="4D612B37"/>
    <w:rsid w:val="4E5B2CC0"/>
    <w:rsid w:val="4F75116E"/>
    <w:rsid w:val="5477CC3F"/>
    <w:rsid w:val="549B75E4"/>
    <w:rsid w:val="54C35D62"/>
    <w:rsid w:val="565F32BA"/>
    <w:rsid w:val="576E7955"/>
    <w:rsid w:val="57F87BFC"/>
    <w:rsid w:val="5900574B"/>
    <w:rsid w:val="5A2574DB"/>
    <w:rsid w:val="5AB63F67"/>
    <w:rsid w:val="5C527136"/>
    <w:rsid w:val="5D90318B"/>
    <w:rsid w:val="5DD2B3D4"/>
    <w:rsid w:val="5E57227B"/>
    <w:rsid w:val="5FC66EF4"/>
    <w:rsid w:val="627B568A"/>
    <w:rsid w:val="646A7AF3"/>
    <w:rsid w:val="65081960"/>
    <w:rsid w:val="65211536"/>
    <w:rsid w:val="669F3303"/>
    <w:rsid w:val="66A30E05"/>
    <w:rsid w:val="67597311"/>
    <w:rsid w:val="676A7221"/>
    <w:rsid w:val="67C80C9B"/>
    <w:rsid w:val="67FD8390"/>
    <w:rsid w:val="68BA6E09"/>
    <w:rsid w:val="68F41602"/>
    <w:rsid w:val="691C604A"/>
    <w:rsid w:val="69AF3E41"/>
    <w:rsid w:val="69D905C7"/>
    <w:rsid w:val="6CC93AE8"/>
    <w:rsid w:val="6D354B86"/>
    <w:rsid w:val="6D3A0B59"/>
    <w:rsid w:val="6E1E30AF"/>
    <w:rsid w:val="6EC24DEB"/>
    <w:rsid w:val="6EEF55ED"/>
    <w:rsid w:val="6FBED582"/>
    <w:rsid w:val="6FFB9A78"/>
    <w:rsid w:val="70A24B63"/>
    <w:rsid w:val="70E30BB5"/>
    <w:rsid w:val="72596619"/>
    <w:rsid w:val="72A144AD"/>
    <w:rsid w:val="739C71A5"/>
    <w:rsid w:val="73C20DC1"/>
    <w:rsid w:val="74765A95"/>
    <w:rsid w:val="75A522EB"/>
    <w:rsid w:val="75BB00D2"/>
    <w:rsid w:val="77B615B8"/>
    <w:rsid w:val="77F46B17"/>
    <w:rsid w:val="78484FB0"/>
    <w:rsid w:val="78CB48F4"/>
    <w:rsid w:val="791D72EE"/>
    <w:rsid w:val="79863041"/>
    <w:rsid w:val="7AD67333"/>
    <w:rsid w:val="7AFE131A"/>
    <w:rsid w:val="7E014582"/>
    <w:rsid w:val="7E410748"/>
    <w:rsid w:val="7E6D4DE6"/>
    <w:rsid w:val="7EABAE0B"/>
    <w:rsid w:val="7EF03AC5"/>
    <w:rsid w:val="7F665BCD"/>
    <w:rsid w:val="7F7F883F"/>
    <w:rsid w:val="7FDD9028"/>
    <w:rsid w:val="7FE90F6F"/>
    <w:rsid w:val="7FFFBF2C"/>
    <w:rsid w:val="8775BB29"/>
    <w:rsid w:val="A378A0B8"/>
    <w:rsid w:val="AFF565B6"/>
    <w:rsid w:val="B9D76346"/>
    <w:rsid w:val="BAFF9592"/>
    <w:rsid w:val="BBFBA6B1"/>
    <w:rsid w:val="BFB61FFF"/>
    <w:rsid w:val="C8FF4C3F"/>
    <w:rsid w:val="CFB319AC"/>
    <w:rsid w:val="DEFE4C9D"/>
    <w:rsid w:val="E97EAEA8"/>
    <w:rsid w:val="EC7F57A7"/>
    <w:rsid w:val="F17CC0BC"/>
    <w:rsid w:val="F51FB6D6"/>
    <w:rsid w:val="F53B1D70"/>
    <w:rsid w:val="F7FA1DBF"/>
    <w:rsid w:val="F91E5FB2"/>
    <w:rsid w:val="F9F7018C"/>
    <w:rsid w:val="FFDF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5" w:beforeLines="25" w:after="25" w:afterLines="25"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50"/>
    <w:qFormat/>
    <w:uiPriority w:val="0"/>
    <w:pPr>
      <w:keepLines/>
      <w:pageBreakBefore/>
      <w:numPr>
        <w:ilvl w:val="0"/>
        <w:numId w:val="1"/>
      </w:numPr>
      <w:spacing w:line="578" w:lineRule="auto"/>
      <w:ind w:firstLine="0" w:firstLineChars="0"/>
      <w:jc w:val="center"/>
      <w:outlineLvl w:val="0"/>
    </w:pPr>
    <w:rPr>
      <w:b/>
      <w:bCs/>
      <w:kern w:val="44"/>
      <w:sz w:val="44"/>
      <w:szCs w:val="44"/>
    </w:rPr>
  </w:style>
  <w:style w:type="paragraph" w:styleId="4">
    <w:name w:val="heading 2"/>
    <w:basedOn w:val="1"/>
    <w:next w:val="1"/>
    <w:link w:val="63"/>
    <w:qFormat/>
    <w:uiPriority w:val="9"/>
    <w:pPr>
      <w:keepNext/>
      <w:keepLines/>
      <w:numPr>
        <w:ilvl w:val="1"/>
        <w:numId w:val="1"/>
      </w:numPr>
      <w:spacing w:line="415" w:lineRule="auto"/>
      <w:ind w:firstLine="0" w:firstLineChars="0"/>
      <w:outlineLvl w:val="1"/>
    </w:pPr>
    <w:rPr>
      <w:b/>
      <w:bCs/>
      <w:sz w:val="32"/>
      <w:szCs w:val="32"/>
    </w:rPr>
  </w:style>
  <w:style w:type="paragraph" w:styleId="5">
    <w:name w:val="heading 3"/>
    <w:basedOn w:val="1"/>
    <w:next w:val="1"/>
    <w:link w:val="69"/>
    <w:qFormat/>
    <w:uiPriority w:val="9"/>
    <w:pPr>
      <w:keepNext/>
      <w:keepLines/>
      <w:numPr>
        <w:ilvl w:val="2"/>
        <w:numId w:val="1"/>
      </w:numPr>
      <w:spacing w:line="415" w:lineRule="auto"/>
      <w:ind w:firstLine="0" w:firstLineChars="0"/>
      <w:outlineLvl w:val="2"/>
    </w:pPr>
    <w:rPr>
      <w:b/>
      <w:bCs/>
      <w:sz w:val="30"/>
      <w:szCs w:val="32"/>
    </w:rPr>
  </w:style>
  <w:style w:type="paragraph" w:styleId="6">
    <w:name w:val="heading 4"/>
    <w:basedOn w:val="1"/>
    <w:next w:val="1"/>
    <w:link w:val="64"/>
    <w:qFormat/>
    <w:uiPriority w:val="9"/>
    <w:pPr>
      <w:keepNext/>
      <w:keepLines/>
      <w:numPr>
        <w:ilvl w:val="3"/>
        <w:numId w:val="1"/>
      </w:numPr>
      <w:spacing w:line="377" w:lineRule="auto"/>
      <w:ind w:firstLine="0" w:firstLineChars="0"/>
      <w:outlineLvl w:val="3"/>
    </w:pPr>
    <w:rPr>
      <w:b/>
      <w:bCs/>
      <w:sz w:val="28"/>
      <w:szCs w:val="28"/>
    </w:rPr>
  </w:style>
  <w:style w:type="paragraph" w:styleId="7">
    <w:name w:val="heading 5"/>
    <w:basedOn w:val="1"/>
    <w:next w:val="1"/>
    <w:link w:val="53"/>
    <w:qFormat/>
    <w:uiPriority w:val="9"/>
    <w:pPr>
      <w:keepNext/>
      <w:keepLines/>
      <w:numPr>
        <w:ilvl w:val="4"/>
        <w:numId w:val="1"/>
      </w:numPr>
      <w:spacing w:line="377" w:lineRule="auto"/>
      <w:ind w:firstLine="0" w:firstLineChars="0"/>
      <w:jc w:val="left"/>
      <w:outlineLvl w:val="4"/>
    </w:pPr>
    <w:rPr>
      <w:b/>
      <w:bCs/>
      <w:szCs w:val="28"/>
    </w:rPr>
  </w:style>
  <w:style w:type="paragraph" w:styleId="8">
    <w:name w:val="heading 6"/>
    <w:basedOn w:val="1"/>
    <w:next w:val="1"/>
    <w:link w:val="49"/>
    <w:qFormat/>
    <w:uiPriority w:val="9"/>
    <w:pPr>
      <w:keepNext/>
      <w:keepLines/>
      <w:numPr>
        <w:ilvl w:val="5"/>
        <w:numId w:val="1"/>
      </w:numPr>
      <w:ind w:firstLine="0" w:firstLineChars="0"/>
      <w:outlineLvl w:val="5"/>
    </w:pPr>
    <w:rPr>
      <w:b/>
      <w:bCs/>
      <w:szCs w:val="24"/>
    </w:rPr>
  </w:style>
  <w:style w:type="paragraph" w:styleId="9">
    <w:name w:val="heading 7"/>
    <w:basedOn w:val="1"/>
    <w:next w:val="1"/>
    <w:link w:val="57"/>
    <w:qFormat/>
    <w:uiPriority w:val="9"/>
    <w:pPr>
      <w:keepNext/>
      <w:keepLines/>
      <w:numPr>
        <w:ilvl w:val="6"/>
        <w:numId w:val="1"/>
      </w:numPr>
      <w:ind w:firstLine="0" w:firstLineChars="0"/>
      <w:outlineLvl w:val="6"/>
    </w:pPr>
    <w:rPr>
      <w:b/>
      <w:bCs/>
      <w:szCs w:val="24"/>
    </w:rPr>
  </w:style>
  <w:style w:type="paragraph" w:styleId="10">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eastAsia="宋体" w:cs="Times New Roman"/>
      <w:szCs w:val="24"/>
    </w:rPr>
  </w:style>
  <w:style w:type="paragraph" w:styleId="11">
    <w:name w:val="heading 9"/>
    <w:basedOn w:val="1"/>
    <w:next w:val="1"/>
    <w:link w:val="52"/>
    <w:qFormat/>
    <w:uiPriority w:val="9"/>
    <w:pPr>
      <w:keepNext/>
      <w:keepLines/>
      <w:numPr>
        <w:ilvl w:val="8"/>
        <w:numId w:val="1"/>
      </w:numPr>
      <w:spacing w:before="240" w:after="64" w:line="320" w:lineRule="auto"/>
      <w:ind w:firstLine="0" w:firstLineChars="0"/>
      <w:outlineLvl w:val="8"/>
    </w:pPr>
    <w:rPr>
      <w:rFonts w:ascii="Cambria" w:hAnsi="Cambria" w:eastAsia="宋体" w:cs="Times New Roman"/>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6"/>
    <w:qFormat/>
    <w:uiPriority w:val="99"/>
    <w:pPr>
      <w:spacing w:line="240" w:lineRule="auto"/>
    </w:pPr>
    <w:rPr>
      <w:rFonts w:ascii="楷体_GB2312" w:hAnsi="Arial" w:eastAsia="楷体_GB2312"/>
      <w:kern w:val="0"/>
      <w:sz w:val="28"/>
      <w:szCs w:val="20"/>
    </w:rPr>
  </w:style>
  <w:style w:type="paragraph" w:styleId="12">
    <w:name w:val="toc 7"/>
    <w:basedOn w:val="1"/>
    <w:next w:val="1"/>
    <w:unhideWhenUsed/>
    <w:qFormat/>
    <w:uiPriority w:val="39"/>
    <w:pPr>
      <w:spacing w:line="240" w:lineRule="auto"/>
      <w:ind w:left="2520" w:leftChars="1200"/>
    </w:pPr>
    <w:rPr>
      <w:rFonts w:ascii="等线" w:hAnsi="等线" w:eastAsia="等线" w:cs="Times New Roman"/>
      <w:sz w:val="21"/>
    </w:rPr>
  </w:style>
  <w:style w:type="paragraph" w:styleId="13">
    <w:name w:val="Normal Indent"/>
    <w:basedOn w:val="1"/>
    <w:link w:val="48"/>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link w:val="55"/>
    <w:unhideWhenUsed/>
    <w:qFormat/>
    <w:uiPriority w:val="99"/>
    <w:pPr>
      <w:spacing w:line="240" w:lineRule="auto"/>
      <w:jc w:val="left"/>
    </w:pPr>
    <w:rPr>
      <w:sz w:val="21"/>
    </w:rPr>
  </w:style>
  <w:style w:type="paragraph" w:styleId="15">
    <w:name w:val="Body Text Indent"/>
    <w:basedOn w:val="1"/>
    <w:link w:val="54"/>
    <w:qFormat/>
    <w:uiPriority w:val="0"/>
    <w:pPr>
      <w:spacing w:line="240" w:lineRule="auto"/>
      <w:ind w:firstLine="645"/>
    </w:pPr>
    <w:rPr>
      <w:rFonts w:ascii="楷体_GB2312" w:eastAsia="楷体_GB2312"/>
      <w:kern w:val="0"/>
      <w:sz w:val="32"/>
      <w:szCs w:val="20"/>
    </w:rPr>
  </w:style>
  <w:style w:type="paragraph" w:styleId="16">
    <w:name w:val="toc 5"/>
    <w:basedOn w:val="1"/>
    <w:next w:val="1"/>
    <w:unhideWhenUsed/>
    <w:qFormat/>
    <w:uiPriority w:val="39"/>
    <w:pPr>
      <w:spacing w:line="240" w:lineRule="auto"/>
      <w:ind w:left="1680" w:leftChars="800"/>
    </w:pPr>
    <w:rPr>
      <w:rFonts w:ascii="等线" w:hAnsi="等线" w:eastAsia="等线" w:cs="Times New Roman"/>
      <w:sz w:val="21"/>
    </w:rPr>
  </w:style>
  <w:style w:type="paragraph" w:styleId="17">
    <w:name w:val="toc 3"/>
    <w:basedOn w:val="1"/>
    <w:next w:val="1"/>
    <w:unhideWhenUsed/>
    <w:qFormat/>
    <w:uiPriority w:val="39"/>
    <w:pPr>
      <w:ind w:left="840" w:leftChars="400"/>
    </w:pPr>
  </w:style>
  <w:style w:type="paragraph" w:styleId="18">
    <w:name w:val="Plain Text"/>
    <w:basedOn w:val="1"/>
    <w:link w:val="65"/>
    <w:qFormat/>
    <w:uiPriority w:val="0"/>
    <w:pPr>
      <w:spacing w:before="0" w:beforeLines="0" w:after="0" w:afterLines="0" w:line="240" w:lineRule="auto"/>
      <w:ind w:firstLine="0" w:firstLineChars="0"/>
    </w:pPr>
    <w:rPr>
      <w:rFonts w:ascii="宋体" w:hAnsi="Courier New" w:cs="Courier New"/>
      <w:sz w:val="21"/>
      <w:szCs w:val="21"/>
    </w:rPr>
  </w:style>
  <w:style w:type="paragraph" w:styleId="19">
    <w:name w:val="toc 8"/>
    <w:basedOn w:val="1"/>
    <w:next w:val="1"/>
    <w:unhideWhenUsed/>
    <w:qFormat/>
    <w:uiPriority w:val="39"/>
    <w:pPr>
      <w:spacing w:line="240" w:lineRule="auto"/>
      <w:ind w:left="2940" w:leftChars="1400"/>
    </w:pPr>
    <w:rPr>
      <w:rFonts w:ascii="等线" w:hAnsi="等线" w:eastAsia="等线" w:cs="Times New Roman"/>
      <w:sz w:val="21"/>
    </w:rPr>
  </w:style>
  <w:style w:type="paragraph" w:styleId="20">
    <w:name w:val="Date"/>
    <w:basedOn w:val="1"/>
    <w:next w:val="1"/>
    <w:link w:val="51"/>
    <w:unhideWhenUsed/>
    <w:qFormat/>
    <w:uiPriority w:val="99"/>
    <w:pPr>
      <w:ind w:left="100" w:leftChars="2500"/>
    </w:pPr>
  </w:style>
  <w:style w:type="paragraph" w:styleId="21">
    <w:name w:val="Balloon Text"/>
    <w:basedOn w:val="1"/>
    <w:link w:val="67"/>
    <w:unhideWhenUsed/>
    <w:qFormat/>
    <w:uiPriority w:val="99"/>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left" w:pos="1680"/>
        <w:tab w:val="right" w:leader="dot" w:pos="8296"/>
      </w:tabs>
      <w:spacing w:before="81" w:after="81"/>
      <w:ind w:firstLine="480"/>
    </w:pPr>
  </w:style>
  <w:style w:type="paragraph" w:styleId="25">
    <w:name w:val="toc 4"/>
    <w:basedOn w:val="1"/>
    <w:next w:val="1"/>
    <w:unhideWhenUsed/>
    <w:qFormat/>
    <w:uiPriority w:val="39"/>
    <w:pPr>
      <w:spacing w:line="240" w:lineRule="auto"/>
      <w:ind w:left="1260" w:leftChars="600"/>
    </w:pPr>
    <w:rPr>
      <w:rFonts w:ascii="等线" w:hAnsi="等线" w:eastAsia="等线" w:cs="Times New Roman"/>
      <w:sz w:val="21"/>
    </w:rPr>
  </w:style>
  <w:style w:type="paragraph" w:styleId="26">
    <w:name w:val="toc 6"/>
    <w:basedOn w:val="1"/>
    <w:next w:val="1"/>
    <w:unhideWhenUsed/>
    <w:qFormat/>
    <w:uiPriority w:val="39"/>
    <w:pPr>
      <w:spacing w:line="240" w:lineRule="auto"/>
      <w:ind w:left="2100" w:leftChars="1000"/>
    </w:pPr>
    <w:rPr>
      <w:rFonts w:ascii="等线" w:hAnsi="等线" w:eastAsia="等线" w:cs="Times New Roman"/>
      <w:sz w:val="21"/>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spacing w:line="240" w:lineRule="auto"/>
      <w:ind w:left="3360" w:leftChars="1600"/>
    </w:pPr>
    <w:rPr>
      <w:rFonts w:ascii="等线" w:hAnsi="等线" w:eastAsia="等线" w:cs="Times New Roman"/>
      <w:sz w:val="21"/>
    </w:rPr>
  </w:style>
  <w:style w:type="paragraph" w:styleId="29">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30">
    <w:name w:val="annotation subject"/>
    <w:basedOn w:val="14"/>
    <w:next w:val="14"/>
    <w:link w:val="56"/>
    <w:unhideWhenUsed/>
    <w:qFormat/>
    <w:uiPriority w:val="99"/>
    <w:pPr>
      <w:spacing w:line="360" w:lineRule="auto"/>
    </w:pPr>
    <w:rPr>
      <w:b/>
      <w:bCs/>
      <w:sz w:val="24"/>
    </w:rPr>
  </w:style>
  <w:style w:type="paragraph" w:styleId="31">
    <w:name w:val="Body Text First Indent 2"/>
    <w:basedOn w:val="15"/>
    <w:unhideWhenUsed/>
    <w:qFormat/>
    <w:uiPriority w:val="99"/>
    <w:pPr>
      <w:ind w:firstLine="420"/>
    </w:pPr>
  </w:style>
  <w:style w:type="table" w:styleId="33">
    <w:name w:val="Table Grid"/>
    <w:basedOn w:val="3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Hyperlink"/>
    <w:unhideWhenUsed/>
    <w:qFormat/>
    <w:uiPriority w:val="99"/>
    <w:rPr>
      <w:color w:val="0000FF"/>
      <w:u w:val="single"/>
    </w:rPr>
  </w:style>
  <w:style w:type="character" w:styleId="36">
    <w:name w:val="annotation reference"/>
    <w:unhideWhenUsed/>
    <w:qFormat/>
    <w:uiPriority w:val="99"/>
    <w:rPr>
      <w:sz w:val="21"/>
      <w:szCs w:val="21"/>
    </w:rPr>
  </w:style>
  <w:style w:type="paragraph" w:customStyle="1" w:styleId="37">
    <w:name w:val="列出段落1"/>
    <w:basedOn w:val="1"/>
    <w:link w:val="59"/>
    <w:qFormat/>
    <w:uiPriority w:val="34"/>
    <w:pPr>
      <w:widowControl/>
      <w:spacing w:line="240" w:lineRule="auto"/>
      <w:ind w:firstLine="420"/>
      <w:jc w:val="left"/>
    </w:pPr>
    <w:rPr>
      <w:kern w:val="0"/>
      <w:sz w:val="20"/>
      <w:szCs w:val="20"/>
      <w:lang w:eastAsia="en-US"/>
    </w:rPr>
  </w:style>
  <w:style w:type="paragraph" w:customStyle="1" w:styleId="38">
    <w:name w:val="正文缩进1"/>
    <w:basedOn w:val="1"/>
    <w:qFormat/>
    <w:uiPriority w:val="0"/>
    <w:pPr>
      <w:spacing w:line="240" w:lineRule="auto"/>
      <w:ind w:firstLine="420"/>
    </w:pPr>
    <w:rPr>
      <w:sz w:val="21"/>
      <w:szCs w:val="24"/>
    </w:rPr>
  </w:style>
  <w:style w:type="paragraph" w:customStyle="1" w:styleId="39">
    <w:name w:val="_Style 37"/>
    <w:basedOn w:val="3"/>
    <w:next w:val="1"/>
    <w:qFormat/>
    <w:uiPriority w:val="39"/>
    <w:pPr>
      <w:pageBreakBefore w:val="0"/>
      <w:widowControl/>
      <w:numPr>
        <w:numId w:val="0"/>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40">
    <w:name w:val="_正文段落"/>
    <w:basedOn w:val="18"/>
    <w:link w:val="45"/>
    <w:qFormat/>
    <w:uiPriority w:val="0"/>
    <w:pPr>
      <w:spacing w:after="50" w:afterLines="50" w:line="360" w:lineRule="auto"/>
      <w:ind w:firstLine="200" w:firstLineChars="200"/>
    </w:pPr>
    <w:rPr>
      <w:rFonts w:ascii="Times New Roman" w:hAnsi="Times New Roman" w:cs="Times New Roman"/>
      <w:sz w:val="24"/>
      <w:szCs w:val="20"/>
    </w:rPr>
  </w:style>
  <w:style w:type="paragraph" w:customStyle="1" w:styleId="41">
    <w:name w:val="节"/>
    <w:basedOn w:val="4"/>
    <w:qFormat/>
    <w:uiPriority w:val="0"/>
    <w:pPr>
      <w:tabs>
        <w:tab w:val="left" w:pos="576"/>
      </w:tabs>
      <w:spacing w:line="240" w:lineRule="auto"/>
    </w:pPr>
    <w:rPr>
      <w:rFonts w:ascii="黑体" w:hAnsi="Arial" w:eastAsia="黑体" w:cs="Times New Roman"/>
      <w:b w:val="0"/>
      <w:sz w:val="28"/>
      <w:szCs w:val="28"/>
    </w:rPr>
  </w:style>
  <w:style w:type="paragraph" w:customStyle="1" w:styleId="42">
    <w:name w:val="U_正文2"/>
    <w:basedOn w:val="1"/>
    <w:link w:val="47"/>
    <w:qFormat/>
    <w:uiPriority w:val="0"/>
    <w:pPr>
      <w:spacing w:beforeLines="10" w:afterLines="10" w:line="300" w:lineRule="auto"/>
    </w:pPr>
    <w:rPr>
      <w:szCs w:val="20"/>
    </w:rPr>
  </w:style>
  <w:style w:type="paragraph" w:customStyle="1" w:styleId="43">
    <w:name w:val="项目符号"/>
    <w:basedOn w:val="1"/>
    <w:qFormat/>
    <w:uiPriority w:val="99"/>
    <w:pPr>
      <w:numPr>
        <w:ilvl w:val="0"/>
        <w:numId w:val="2"/>
      </w:numPr>
      <w:spacing w:before="0" w:beforeLines="0" w:after="0" w:afterLines="0" w:line="240" w:lineRule="auto"/>
      <w:ind w:firstLine="0" w:firstLineChars="0"/>
    </w:pPr>
    <w:rPr>
      <w:sz w:val="21"/>
      <w:szCs w:val="24"/>
    </w:rPr>
  </w:style>
  <w:style w:type="paragraph" w:customStyle="1" w:styleId="44">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45">
    <w:name w:val="_正文段落 Char"/>
    <w:link w:val="40"/>
    <w:qFormat/>
    <w:uiPriority w:val="0"/>
    <w:rPr>
      <w:rFonts w:ascii="Times New Roman" w:hAnsi="Times New Roman"/>
      <w:kern w:val="2"/>
      <w:sz w:val="24"/>
    </w:rPr>
  </w:style>
  <w:style w:type="character" w:customStyle="1" w:styleId="46">
    <w:name w:val="正文文本 字符"/>
    <w:link w:val="2"/>
    <w:qFormat/>
    <w:uiPriority w:val="99"/>
    <w:rPr>
      <w:rFonts w:ascii="楷体_GB2312" w:hAnsi="Arial" w:eastAsia="楷体_GB2312"/>
      <w:sz w:val="28"/>
    </w:rPr>
  </w:style>
  <w:style w:type="character" w:customStyle="1" w:styleId="47">
    <w:name w:val="U_正文2 Char"/>
    <w:link w:val="42"/>
    <w:qFormat/>
    <w:locked/>
    <w:uiPriority w:val="0"/>
    <w:rPr>
      <w:kern w:val="2"/>
      <w:sz w:val="24"/>
    </w:rPr>
  </w:style>
  <w:style w:type="character" w:customStyle="1" w:styleId="48">
    <w:name w:val="正文缩进 字符"/>
    <w:link w:val="13"/>
    <w:qFormat/>
    <w:uiPriority w:val="99"/>
    <w:rPr>
      <w:rFonts w:ascii="楷体_GB2312" w:hAnsi="Times New Roman" w:eastAsia="楷体_GB2312"/>
      <w:sz w:val="28"/>
    </w:rPr>
  </w:style>
  <w:style w:type="character" w:customStyle="1" w:styleId="49">
    <w:name w:val="标题 6 字符"/>
    <w:link w:val="8"/>
    <w:qFormat/>
    <w:uiPriority w:val="9"/>
    <w:rPr>
      <w:rFonts w:ascii="Times New Roman" w:hAnsi="Times New Roman"/>
      <w:b/>
      <w:bCs/>
      <w:kern w:val="2"/>
      <w:sz w:val="24"/>
      <w:szCs w:val="24"/>
    </w:rPr>
  </w:style>
  <w:style w:type="character" w:customStyle="1" w:styleId="50">
    <w:name w:val="标题 1 字符"/>
    <w:link w:val="3"/>
    <w:qFormat/>
    <w:uiPriority w:val="0"/>
    <w:rPr>
      <w:rFonts w:ascii="Times New Roman" w:hAnsi="Times New Roman"/>
      <w:b/>
      <w:bCs/>
      <w:kern w:val="44"/>
      <w:sz w:val="44"/>
      <w:szCs w:val="44"/>
    </w:rPr>
  </w:style>
  <w:style w:type="character" w:customStyle="1" w:styleId="51">
    <w:name w:val="日期 字符"/>
    <w:link w:val="20"/>
    <w:semiHidden/>
    <w:qFormat/>
    <w:uiPriority w:val="99"/>
    <w:rPr>
      <w:kern w:val="2"/>
      <w:sz w:val="24"/>
      <w:szCs w:val="22"/>
    </w:rPr>
  </w:style>
  <w:style w:type="character" w:customStyle="1" w:styleId="52">
    <w:name w:val="标题 9 字符"/>
    <w:link w:val="11"/>
    <w:qFormat/>
    <w:uiPriority w:val="9"/>
    <w:rPr>
      <w:rFonts w:ascii="Cambria" w:hAnsi="Cambria"/>
      <w:kern w:val="2"/>
      <w:sz w:val="21"/>
      <w:szCs w:val="21"/>
    </w:rPr>
  </w:style>
  <w:style w:type="character" w:customStyle="1" w:styleId="53">
    <w:name w:val="标题 5 字符"/>
    <w:link w:val="7"/>
    <w:qFormat/>
    <w:uiPriority w:val="9"/>
    <w:rPr>
      <w:rFonts w:ascii="Times New Roman" w:hAnsi="Times New Roman"/>
      <w:b/>
      <w:bCs/>
      <w:kern w:val="2"/>
      <w:sz w:val="24"/>
      <w:szCs w:val="28"/>
    </w:rPr>
  </w:style>
  <w:style w:type="character" w:customStyle="1" w:styleId="54">
    <w:name w:val="正文文本缩进 字符"/>
    <w:link w:val="15"/>
    <w:qFormat/>
    <w:uiPriority w:val="0"/>
    <w:rPr>
      <w:rFonts w:ascii="楷体_GB2312" w:hAnsi="Times New Roman" w:eastAsia="楷体_GB2312"/>
      <w:sz w:val="32"/>
    </w:rPr>
  </w:style>
  <w:style w:type="character" w:customStyle="1" w:styleId="55">
    <w:name w:val="批注文字 字符1"/>
    <w:link w:val="14"/>
    <w:semiHidden/>
    <w:qFormat/>
    <w:locked/>
    <w:uiPriority w:val="0"/>
    <w:rPr>
      <w:kern w:val="2"/>
      <w:sz w:val="21"/>
      <w:szCs w:val="22"/>
    </w:rPr>
  </w:style>
  <w:style w:type="character" w:customStyle="1" w:styleId="56">
    <w:name w:val="批注主题 字符"/>
    <w:link w:val="30"/>
    <w:semiHidden/>
    <w:qFormat/>
    <w:uiPriority w:val="99"/>
    <w:rPr>
      <w:rFonts w:ascii="Times New Roman" w:hAnsi="Times New Roman"/>
      <w:b/>
      <w:bCs/>
      <w:kern w:val="2"/>
      <w:sz w:val="24"/>
      <w:szCs w:val="22"/>
    </w:rPr>
  </w:style>
  <w:style w:type="character" w:customStyle="1" w:styleId="57">
    <w:name w:val="标题 7 字符"/>
    <w:link w:val="9"/>
    <w:qFormat/>
    <w:uiPriority w:val="9"/>
    <w:rPr>
      <w:rFonts w:ascii="Times New Roman" w:hAnsi="Times New Roman"/>
      <w:b/>
      <w:bCs/>
      <w:kern w:val="2"/>
      <w:sz w:val="24"/>
      <w:szCs w:val="24"/>
    </w:rPr>
  </w:style>
  <w:style w:type="character" w:customStyle="1" w:styleId="58">
    <w:name w:val="页脚 字符"/>
    <w:qFormat/>
    <w:uiPriority w:val="99"/>
  </w:style>
  <w:style w:type="character" w:customStyle="1" w:styleId="59">
    <w:name w:val="列出段落 字符"/>
    <w:link w:val="37"/>
    <w:qFormat/>
    <w:uiPriority w:val="34"/>
    <w:rPr>
      <w:rFonts w:ascii="Times New Roman" w:hAnsi="Times New Roman"/>
      <w:lang w:eastAsia="en-US"/>
    </w:rPr>
  </w:style>
  <w:style w:type="character" w:customStyle="1" w:styleId="60">
    <w:name w:val="批注文字 字符"/>
    <w:semiHidden/>
    <w:qFormat/>
    <w:uiPriority w:val="99"/>
    <w:rPr>
      <w:kern w:val="2"/>
      <w:sz w:val="24"/>
      <w:szCs w:val="22"/>
    </w:rPr>
  </w:style>
  <w:style w:type="character" w:customStyle="1" w:styleId="61">
    <w:name w:val="标题 8 字符"/>
    <w:link w:val="10"/>
    <w:qFormat/>
    <w:uiPriority w:val="9"/>
    <w:rPr>
      <w:rFonts w:ascii="Cambria" w:hAnsi="Cambria"/>
      <w:kern w:val="2"/>
      <w:sz w:val="24"/>
      <w:szCs w:val="24"/>
    </w:rPr>
  </w:style>
  <w:style w:type="character" w:customStyle="1" w:styleId="62">
    <w:name w:val="页眉 字符"/>
    <w:link w:val="23"/>
    <w:qFormat/>
    <w:uiPriority w:val="99"/>
    <w:rPr>
      <w:kern w:val="2"/>
      <w:sz w:val="18"/>
      <w:szCs w:val="18"/>
    </w:rPr>
  </w:style>
  <w:style w:type="character" w:customStyle="1" w:styleId="63">
    <w:name w:val="标题 2 字符"/>
    <w:link w:val="4"/>
    <w:qFormat/>
    <w:uiPriority w:val="9"/>
    <w:rPr>
      <w:rFonts w:ascii="Times New Roman" w:hAnsi="Times New Roman"/>
      <w:b/>
      <w:bCs/>
      <w:kern w:val="2"/>
      <w:sz w:val="32"/>
      <w:szCs w:val="32"/>
    </w:rPr>
  </w:style>
  <w:style w:type="character" w:customStyle="1" w:styleId="64">
    <w:name w:val="标题 4 字符"/>
    <w:link w:val="6"/>
    <w:qFormat/>
    <w:uiPriority w:val="9"/>
    <w:rPr>
      <w:rFonts w:ascii="Times New Roman" w:hAnsi="Times New Roman"/>
      <w:b/>
      <w:bCs/>
      <w:kern w:val="2"/>
      <w:sz w:val="28"/>
      <w:szCs w:val="28"/>
    </w:rPr>
  </w:style>
  <w:style w:type="character" w:customStyle="1" w:styleId="65">
    <w:name w:val="纯文本 字符"/>
    <w:link w:val="18"/>
    <w:qFormat/>
    <w:uiPriority w:val="0"/>
    <w:rPr>
      <w:rFonts w:ascii="宋体" w:hAnsi="Courier New" w:cs="Courier New"/>
      <w:kern w:val="2"/>
      <w:sz w:val="21"/>
      <w:szCs w:val="21"/>
    </w:rPr>
  </w:style>
  <w:style w:type="character" w:customStyle="1" w:styleId="66">
    <w:name w:val="批注文字 Char"/>
    <w:qFormat/>
    <w:uiPriority w:val="99"/>
    <w:rPr>
      <w:rFonts w:ascii="Calibri" w:hAnsi="Calibri" w:eastAsia="宋体" w:cs="Times New Roman"/>
      <w:sz w:val="24"/>
    </w:rPr>
  </w:style>
  <w:style w:type="character" w:customStyle="1" w:styleId="67">
    <w:name w:val="批注框文本 字符"/>
    <w:link w:val="21"/>
    <w:semiHidden/>
    <w:qFormat/>
    <w:uiPriority w:val="99"/>
    <w:rPr>
      <w:kern w:val="2"/>
      <w:sz w:val="18"/>
      <w:szCs w:val="18"/>
    </w:rPr>
  </w:style>
  <w:style w:type="character" w:customStyle="1" w:styleId="68">
    <w:name w:val="页脚 字符1"/>
    <w:link w:val="22"/>
    <w:qFormat/>
    <w:uiPriority w:val="99"/>
    <w:rPr>
      <w:rFonts w:ascii="Times New Roman" w:hAnsi="Times New Roman"/>
      <w:kern w:val="2"/>
      <w:sz w:val="18"/>
      <w:szCs w:val="18"/>
    </w:rPr>
  </w:style>
  <w:style w:type="character" w:customStyle="1" w:styleId="69">
    <w:name w:val="标题 3 字符"/>
    <w:link w:val="5"/>
    <w:qFormat/>
    <w:uiPriority w:val="9"/>
    <w:rPr>
      <w:rFonts w:ascii="Times New Roman" w:hAnsi="Times New Roman"/>
      <w:b/>
      <w:bCs/>
      <w:kern w:val="2"/>
      <w:sz w:val="30"/>
      <w:szCs w:val="32"/>
    </w:rPr>
  </w:style>
  <w:style w:type="paragraph" w:customStyle="1" w:styleId="70">
    <w:name w:val="列表段落1"/>
    <w:basedOn w:val="1"/>
    <w:qFormat/>
    <w:uiPriority w:val="0"/>
    <w:pPr>
      <w:ind w:firstLine="420"/>
    </w:pPr>
    <w:rPr>
      <w:rFonts w:cs="Times New Roman"/>
    </w:rPr>
  </w:style>
  <w:style w:type="paragraph" w:customStyle="1" w:styleId="71">
    <w:name w:val="列出段落11"/>
    <w:basedOn w:val="1"/>
    <w:qFormat/>
    <w:uiPriority w:val="34"/>
    <w:pPr>
      <w:ind w:firstLine="420"/>
    </w:pPr>
    <w:rPr>
      <w:rFonts w:ascii="Calibri" w:hAnsi="Calibri" w:eastAsia="宋体" w:cs="Times New Roman"/>
      <w:szCs w:val="21"/>
    </w:rPr>
  </w:style>
  <w:style w:type="paragraph" w:customStyle="1" w:styleId="72">
    <w:name w:val="04-正文"/>
    <w:basedOn w:val="1"/>
    <w:qFormat/>
    <w:uiPriority w:val="0"/>
    <w:pPr>
      <w:spacing w:line="360" w:lineRule="exact"/>
      <w:ind w:firstLine="482"/>
    </w:pPr>
    <w:rPr>
      <w:rFonts w:eastAsia="仿宋"/>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26960</Words>
  <Characters>27435</Characters>
  <Lines>216</Lines>
  <Paragraphs>60</Paragraphs>
  <TotalTime>1</TotalTime>
  <ScaleCrop>false</ScaleCrop>
  <LinksUpToDate>false</LinksUpToDate>
  <CharactersWithSpaces>27569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2021-09-01T23:44:00Z</dcterms:created>
  <dc:creator> </dc:creator>
  <cp:lastModifiedBy>Administrator</cp:lastModifiedBy>
  <dcterms:modified xsi:type="dcterms:W3CDTF">2023-02-08T05:17:25Z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FF27B169ECDB4967B2810918D9810A16</vt:lpwstr>
  </property>
</Properties>
</file>