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7"/>
        <w:ind w:firstLine="880"/>
        <w:jc w:val="center"/>
        <w:rPr>
          <w:rFonts w:ascii="黑体" w:hAnsi="黑体" w:eastAsia="黑体"/>
          <w:sz w:val="44"/>
          <w:szCs w:val="44"/>
        </w:rPr>
      </w:pPr>
      <w:bookmarkStart w:id="147" w:name="_GoBack"/>
      <w:bookmarkEnd w:id="147"/>
    </w:p>
    <w:p>
      <w:pPr>
        <w:pStyle w:val="47"/>
        <w:ind w:firstLine="0" w:firstLineChars="0"/>
        <w:jc w:val="center"/>
        <w:rPr>
          <w:rFonts w:hint="eastAsia" w:ascii="黑体" w:hAnsi="黑体" w:eastAsia="黑体"/>
          <w:sz w:val="44"/>
          <w:szCs w:val="44"/>
          <w:lang w:eastAsia="zh-CN"/>
        </w:rPr>
      </w:pPr>
      <w:r>
        <w:rPr>
          <w:rFonts w:hint="eastAsia" w:ascii="黑体" w:hAnsi="黑体" w:eastAsia="黑体"/>
          <w:sz w:val="44"/>
          <w:szCs w:val="44"/>
        </w:rPr>
        <w:t>长宁区电子票据统一服务平台</w:t>
      </w:r>
      <w:r>
        <w:rPr>
          <w:rFonts w:hint="eastAsia" w:ascii="黑体" w:hAnsi="黑体" w:eastAsia="黑体"/>
          <w:sz w:val="44"/>
          <w:szCs w:val="44"/>
          <w:lang w:eastAsia="zh-CN"/>
        </w:rPr>
        <w:t>建设</w:t>
      </w:r>
      <w:r>
        <w:rPr>
          <w:rFonts w:hint="eastAsia" w:ascii="黑体" w:hAnsi="黑体" w:eastAsia="黑体"/>
          <w:sz w:val="44"/>
          <w:szCs w:val="44"/>
        </w:rPr>
        <w:t>（二期）</w:t>
      </w:r>
      <w:r>
        <w:rPr>
          <w:rFonts w:hint="eastAsia" w:ascii="黑体" w:hAnsi="黑体" w:eastAsia="黑体"/>
          <w:sz w:val="44"/>
          <w:szCs w:val="44"/>
          <w:lang w:eastAsia="zh-CN"/>
        </w:rPr>
        <w:t>竞争性磋商项目</w:t>
      </w:r>
    </w:p>
    <w:p>
      <w:pPr>
        <w:pStyle w:val="34"/>
        <w:widowControl/>
        <w:jc w:val="center"/>
        <w:rPr>
          <w:rStyle w:val="37"/>
          <w:rFonts w:ascii="宋体" w:hAnsi="宋体" w:eastAsia="宋体" w:cs="微软雅黑"/>
          <w:color w:val="000000"/>
          <w:sz w:val="54"/>
          <w:szCs w:val="54"/>
        </w:rPr>
      </w:pPr>
    </w:p>
    <w:p>
      <w:pPr>
        <w:pStyle w:val="34"/>
        <w:widowControl/>
        <w:jc w:val="center"/>
        <w:rPr>
          <w:rStyle w:val="37"/>
          <w:rFonts w:ascii="宋体" w:hAnsi="宋体" w:eastAsia="宋体" w:cs="微软雅黑"/>
          <w:color w:val="000000"/>
          <w:sz w:val="54"/>
          <w:szCs w:val="54"/>
        </w:rPr>
      </w:pPr>
    </w:p>
    <w:p>
      <w:pPr>
        <w:pStyle w:val="34"/>
        <w:widowControl/>
        <w:jc w:val="center"/>
        <w:rPr>
          <w:rStyle w:val="37"/>
          <w:rFonts w:ascii="宋体" w:hAnsi="宋体" w:eastAsia="宋体" w:cs="微软雅黑"/>
          <w:color w:val="000000"/>
          <w:sz w:val="54"/>
          <w:szCs w:val="54"/>
        </w:rPr>
      </w:pPr>
    </w:p>
    <w:p>
      <w:pPr>
        <w:pStyle w:val="34"/>
        <w:widowControl/>
        <w:jc w:val="center"/>
        <w:rPr>
          <w:rStyle w:val="37"/>
          <w:rFonts w:hint="eastAsia" w:ascii="宋体" w:hAnsi="宋体" w:eastAsia="宋体" w:cs="微软雅黑"/>
          <w:color w:val="000000"/>
          <w:sz w:val="54"/>
          <w:szCs w:val="54"/>
          <w:lang w:eastAsia="zh-CN"/>
        </w:rPr>
      </w:pPr>
      <w:r>
        <w:rPr>
          <w:rStyle w:val="37"/>
          <w:rFonts w:hint="eastAsia" w:ascii="宋体" w:hAnsi="宋体" w:eastAsia="宋体" w:cs="微软雅黑"/>
          <w:color w:val="000000"/>
          <w:sz w:val="54"/>
          <w:szCs w:val="54"/>
          <w:lang w:eastAsia="zh-CN"/>
        </w:rPr>
        <w:t>磋</w:t>
      </w:r>
    </w:p>
    <w:p>
      <w:pPr>
        <w:pStyle w:val="34"/>
        <w:widowControl/>
        <w:jc w:val="center"/>
        <w:rPr>
          <w:rStyle w:val="37"/>
          <w:rFonts w:hint="eastAsia" w:ascii="宋体" w:hAnsi="宋体" w:eastAsia="宋体" w:cs="微软雅黑"/>
          <w:color w:val="000000"/>
          <w:sz w:val="54"/>
          <w:szCs w:val="54"/>
          <w:lang w:eastAsia="zh-CN"/>
        </w:rPr>
      </w:pPr>
      <w:r>
        <w:rPr>
          <w:rStyle w:val="37"/>
          <w:rFonts w:hint="eastAsia" w:ascii="宋体" w:hAnsi="宋体" w:eastAsia="宋体" w:cs="微软雅黑"/>
          <w:color w:val="000000"/>
          <w:sz w:val="54"/>
          <w:szCs w:val="54"/>
          <w:lang w:eastAsia="zh-CN"/>
        </w:rPr>
        <w:t>商</w:t>
      </w:r>
    </w:p>
    <w:p>
      <w:pPr>
        <w:pStyle w:val="34"/>
        <w:widowControl/>
        <w:jc w:val="center"/>
        <w:rPr>
          <w:rStyle w:val="37"/>
          <w:rFonts w:ascii="宋体" w:hAnsi="宋体" w:eastAsia="宋体" w:cs="微软雅黑"/>
          <w:color w:val="000000"/>
          <w:sz w:val="54"/>
          <w:szCs w:val="54"/>
        </w:rPr>
      </w:pPr>
      <w:r>
        <w:rPr>
          <w:rStyle w:val="37"/>
          <w:rFonts w:hint="eastAsia" w:ascii="宋体" w:hAnsi="宋体" w:eastAsia="宋体" w:cs="微软雅黑"/>
          <w:color w:val="000000"/>
          <w:sz w:val="54"/>
          <w:szCs w:val="54"/>
        </w:rPr>
        <w:t>需</w:t>
      </w:r>
    </w:p>
    <w:p>
      <w:pPr>
        <w:pStyle w:val="34"/>
        <w:widowControl/>
        <w:jc w:val="center"/>
        <w:rPr>
          <w:rStyle w:val="37"/>
          <w:rFonts w:ascii="宋体" w:hAnsi="宋体" w:eastAsia="宋体" w:cs="微软雅黑"/>
          <w:color w:val="000000"/>
          <w:sz w:val="54"/>
          <w:szCs w:val="54"/>
        </w:rPr>
      </w:pPr>
      <w:r>
        <w:rPr>
          <w:rStyle w:val="37"/>
          <w:rFonts w:hint="eastAsia" w:ascii="宋体" w:hAnsi="宋体" w:eastAsia="宋体" w:cs="微软雅黑"/>
          <w:color w:val="000000"/>
          <w:sz w:val="54"/>
          <w:szCs w:val="54"/>
        </w:rPr>
        <w:t>求</w:t>
      </w:r>
    </w:p>
    <w:p>
      <w:pPr>
        <w:widowControl/>
        <w:jc w:val="left"/>
        <w:rPr>
          <w:rStyle w:val="37"/>
          <w:rFonts w:ascii="宋体" w:hAnsi="宋体" w:eastAsia="宋体" w:cs="微软雅黑"/>
          <w:color w:val="000000"/>
          <w:kern w:val="0"/>
          <w:sz w:val="54"/>
          <w:szCs w:val="54"/>
        </w:rPr>
      </w:pPr>
      <w:r>
        <w:rPr>
          <w:rStyle w:val="37"/>
          <w:rFonts w:ascii="宋体" w:hAnsi="宋体" w:eastAsia="宋体" w:cs="微软雅黑"/>
          <w:color w:val="000000"/>
          <w:sz w:val="54"/>
          <w:szCs w:val="54"/>
        </w:rPr>
        <w:br w:type="page"/>
      </w:r>
    </w:p>
    <w:p>
      <w:pPr>
        <w:pStyle w:val="53"/>
        <w:spacing w:after="156" w:afterLines="50" w:line="360" w:lineRule="auto"/>
        <w:ind w:firstLine="480" w:firstLineChars="200"/>
        <w:rPr>
          <w:rFonts w:ascii="宋体" w:hAnsi="宋体"/>
          <w:sz w:val="24"/>
        </w:rPr>
      </w:pPr>
      <w:r>
        <w:rPr>
          <w:rFonts w:hint="eastAsia" w:ascii="宋体" w:hAnsi="宋体"/>
          <w:sz w:val="24"/>
        </w:rPr>
        <w:t>本项目采购预算金额为190.38万元，投标最高限价为175万元，超过投标最高限价的投标不予接受。</w:t>
      </w:r>
    </w:p>
    <w:p>
      <w:pPr>
        <w:pStyle w:val="53"/>
        <w:spacing w:after="156" w:afterLines="50" w:line="360" w:lineRule="auto"/>
        <w:ind w:firstLine="480" w:firstLineChars="200"/>
        <w:rPr>
          <w:rFonts w:ascii="宋体" w:hAnsi="宋体"/>
          <w:sz w:val="24"/>
        </w:rPr>
      </w:pPr>
      <w:r>
        <w:rPr>
          <w:rFonts w:hint="eastAsia" w:ascii="宋体" w:hAnsi="宋体"/>
          <w:sz w:val="24"/>
        </w:rPr>
        <w:t>本次项目仅包含系统建设费，其他二类费用包括项目监理费、由第三方机构对系统进行验收前的安全测试、软件测试以及项目密测费不计算在内。</w:t>
      </w:r>
    </w:p>
    <w:p>
      <w:pPr>
        <w:pStyle w:val="2"/>
      </w:pPr>
      <w:r>
        <w:rPr>
          <w:rFonts w:hint="eastAsia"/>
        </w:rPr>
        <w:t xml:space="preserve"> </w:t>
      </w:r>
      <w:r>
        <w:t>项目概况</w:t>
      </w:r>
    </w:p>
    <w:p>
      <w:pPr>
        <w:pStyle w:val="54"/>
        <w:numPr>
          <w:ilvl w:val="1"/>
          <w:numId w:val="6"/>
        </w:numPr>
        <w:tabs>
          <w:tab w:val="left" w:pos="360"/>
        </w:tabs>
        <w:ind w:left="0" w:firstLine="0"/>
        <w:rPr>
          <w:rFonts w:ascii="宋体" w:hAnsi="宋体" w:eastAsia="宋体"/>
        </w:rPr>
      </w:pPr>
      <w:bookmarkStart w:id="0" w:name="_Toc80990075"/>
      <w:bookmarkStart w:id="1" w:name="_Toc78120673"/>
      <w:r>
        <w:rPr>
          <w:rFonts w:hint="eastAsia" w:ascii="宋体" w:hAnsi="宋体" w:eastAsia="宋体"/>
        </w:rPr>
        <w:t>项目名称</w:t>
      </w:r>
      <w:bookmarkEnd w:id="0"/>
      <w:bookmarkEnd w:id="1"/>
    </w:p>
    <w:p>
      <w:pPr>
        <w:pStyle w:val="53"/>
        <w:spacing w:after="156" w:afterLines="50" w:line="360" w:lineRule="auto"/>
        <w:ind w:firstLine="480" w:firstLineChars="200"/>
        <w:rPr>
          <w:rFonts w:ascii="宋体" w:hAnsi="宋体"/>
          <w:sz w:val="24"/>
        </w:rPr>
      </w:pPr>
      <w:r>
        <w:rPr>
          <w:rFonts w:hint="eastAsia" w:ascii="宋体" w:hAnsi="宋体"/>
          <w:sz w:val="24"/>
        </w:rPr>
        <w:t>项目名称：长宁区电子票据统一服务平台建设（二期）竞争性磋商项目</w:t>
      </w:r>
    </w:p>
    <w:p>
      <w:pPr>
        <w:pStyle w:val="54"/>
        <w:numPr>
          <w:ilvl w:val="1"/>
          <w:numId w:val="6"/>
        </w:numPr>
        <w:tabs>
          <w:tab w:val="left" w:pos="360"/>
        </w:tabs>
        <w:ind w:left="0" w:firstLine="0"/>
        <w:rPr>
          <w:rFonts w:ascii="宋体" w:hAnsi="宋体" w:eastAsia="宋体"/>
        </w:rPr>
      </w:pPr>
      <w:bookmarkStart w:id="2" w:name="_Toc80990076"/>
      <w:bookmarkStart w:id="3" w:name="_Toc78120674"/>
      <w:r>
        <w:rPr>
          <w:rFonts w:hint="eastAsia" w:ascii="宋体" w:hAnsi="宋体" w:eastAsia="宋体"/>
        </w:rPr>
        <w:t>项目单位</w:t>
      </w:r>
      <w:bookmarkEnd w:id="2"/>
      <w:bookmarkEnd w:id="3"/>
    </w:p>
    <w:p>
      <w:pPr>
        <w:pStyle w:val="53"/>
        <w:spacing w:after="156" w:afterLines="50" w:line="360" w:lineRule="auto"/>
        <w:ind w:firstLine="480" w:firstLineChars="200"/>
        <w:rPr>
          <w:rFonts w:ascii="宋体" w:hAnsi="宋体"/>
          <w:sz w:val="24"/>
        </w:rPr>
      </w:pPr>
      <w:r>
        <w:rPr>
          <w:rFonts w:hint="eastAsia" w:ascii="宋体" w:hAnsi="宋体"/>
          <w:sz w:val="24"/>
        </w:rPr>
        <w:t>项目建设单位： 上海市长宁区公立医院和社区卫生管理中心</w:t>
      </w:r>
    </w:p>
    <w:p>
      <w:pPr>
        <w:pStyle w:val="54"/>
        <w:numPr>
          <w:ilvl w:val="1"/>
          <w:numId w:val="6"/>
        </w:numPr>
        <w:tabs>
          <w:tab w:val="left" w:pos="360"/>
        </w:tabs>
        <w:ind w:left="0" w:firstLine="0"/>
        <w:rPr>
          <w:rFonts w:ascii="宋体" w:hAnsi="宋体" w:eastAsia="宋体"/>
        </w:rPr>
      </w:pPr>
      <w:r>
        <w:rPr>
          <w:rFonts w:hint="eastAsia" w:ascii="宋体" w:hAnsi="宋体" w:eastAsia="宋体"/>
        </w:rPr>
        <w:t>项目背景</w:t>
      </w:r>
    </w:p>
    <w:p>
      <w:pPr>
        <w:pStyle w:val="53"/>
        <w:spacing w:after="156" w:afterLines="50" w:line="360" w:lineRule="auto"/>
        <w:ind w:firstLine="480" w:firstLineChars="200"/>
        <w:rPr>
          <w:rFonts w:ascii="宋体" w:hAnsi="宋体"/>
          <w:sz w:val="24"/>
        </w:rPr>
      </w:pPr>
      <w:r>
        <w:rPr>
          <w:rFonts w:hint="eastAsia" w:ascii="宋体" w:hAnsi="宋体"/>
          <w:sz w:val="24"/>
        </w:rPr>
        <w:t>当前随着互联网信息的发展，人们已逐渐习惯于利用移动互联网的方式进行支付行为，根据《财政部关于全面推开财政电子票据管理改革的通知》</w:t>
      </w:r>
      <w:r>
        <w:rPr>
          <w:rFonts w:ascii="宋体" w:hAnsi="宋体"/>
          <w:sz w:val="24"/>
        </w:rPr>
        <w:t>(财综〔2018〕62号)、《财政部关于统一全国财政电子票据式样和财政机打票据式样的通知》（财综〔2018〕72号）等全面推开财政电子票据管理改革的推进，电子化发票已越来越普及。随着2019年7月22日，财政部 、国家卫生健康委 、国家医疗保障局联合发文《关于全面推行医疗收费电子票据管理改革的通知》（财综〔2019〕29号），医疗行业也随之推进电子化发票的改革。</w:t>
      </w:r>
    </w:p>
    <w:p>
      <w:pPr>
        <w:pStyle w:val="53"/>
        <w:spacing w:after="156" w:afterLines="50" w:line="360" w:lineRule="auto"/>
        <w:ind w:firstLine="480" w:firstLineChars="200"/>
        <w:rPr>
          <w:rFonts w:ascii="宋体" w:hAnsi="宋体"/>
          <w:sz w:val="24"/>
        </w:rPr>
      </w:pPr>
      <w:r>
        <w:rPr>
          <w:rFonts w:ascii="宋体" w:hAnsi="宋体"/>
          <w:sz w:val="24"/>
        </w:rPr>
        <w:t>2020年4月，上海市财政局、上海市卫生健康委、上海市医疗保障局共同选定了包括选定第一批试点单位，正式启动医疗电子票据的试点。</w:t>
      </w:r>
    </w:p>
    <w:p>
      <w:pPr>
        <w:pStyle w:val="53"/>
        <w:spacing w:after="156" w:afterLines="50" w:line="360" w:lineRule="auto"/>
        <w:ind w:firstLine="480" w:firstLineChars="200"/>
        <w:rPr>
          <w:rFonts w:ascii="宋体" w:hAnsi="宋体"/>
          <w:sz w:val="24"/>
        </w:rPr>
      </w:pPr>
      <w:r>
        <w:rPr>
          <w:rFonts w:hint="eastAsia" w:ascii="宋体" w:hAnsi="宋体"/>
          <w:sz w:val="24"/>
        </w:rPr>
        <w:t>同时，为了贯彻落实国务院“互联网</w:t>
      </w:r>
      <w:r>
        <w:rPr>
          <w:rFonts w:ascii="宋体" w:hAnsi="宋体"/>
          <w:sz w:val="24"/>
        </w:rPr>
        <w:t>+医疗健康”战略，响应市委、市政府“一网通办”号召，大力推进业务流程革命性再造，根据《2020年上海市深化“一网通办”改革工作要点》《上海市人民政府关于以企业和群众高效办成“一件事”为目标全面推进业务流程革命性再造的指导意见》等要求。2020年05月上海市卫生健康委会同市医保局、市申康中心，共同推进医疗付费“一件事”工作，为了配合上海市医疗付费“一件事”实施 ，建设区级医疗电子票据统一服务平台，打造医疗新型服务体系完整闭环成为目前区卫健委的重要工作之一。</w:t>
      </w:r>
    </w:p>
    <w:p>
      <w:pPr>
        <w:pStyle w:val="2"/>
      </w:pPr>
      <w:bookmarkStart w:id="4" w:name="_Toc80990077"/>
      <w:bookmarkStart w:id="5" w:name="_Toc78120675"/>
      <w:r>
        <w:rPr>
          <w:rFonts w:hint="eastAsia"/>
        </w:rPr>
        <w:t>项目具体建设内容和要求</w:t>
      </w:r>
    </w:p>
    <w:p>
      <w:pPr>
        <w:pStyle w:val="54"/>
        <w:numPr>
          <w:ilvl w:val="1"/>
          <w:numId w:val="6"/>
        </w:numPr>
        <w:tabs>
          <w:tab w:val="left" w:pos="360"/>
        </w:tabs>
        <w:ind w:left="0" w:firstLine="0"/>
        <w:rPr>
          <w:rFonts w:ascii="宋体" w:hAnsi="宋体" w:eastAsia="宋体"/>
        </w:rPr>
      </w:pPr>
      <w:r>
        <w:rPr>
          <w:rFonts w:hint="eastAsia" w:ascii="宋体" w:hAnsi="宋体" w:eastAsia="宋体"/>
        </w:rPr>
        <w:t>建设依据</w:t>
      </w:r>
      <w:bookmarkEnd w:id="4"/>
      <w:bookmarkEnd w:id="5"/>
    </w:p>
    <w:p>
      <w:pPr>
        <w:pStyle w:val="53"/>
        <w:numPr>
          <w:ilvl w:val="0"/>
          <w:numId w:val="4"/>
        </w:numPr>
        <w:spacing w:after="156" w:afterLines="50" w:line="360" w:lineRule="auto"/>
        <w:ind w:left="0"/>
        <w:rPr>
          <w:rFonts w:ascii="宋体" w:hAnsi="宋体"/>
          <w:sz w:val="24"/>
        </w:rPr>
      </w:pPr>
      <w:r>
        <w:rPr>
          <w:rFonts w:hint="eastAsia" w:ascii="宋体" w:hAnsi="宋体"/>
          <w:sz w:val="24"/>
        </w:rPr>
        <w:t>2018年11月6日《财政部关于全面推开财政电子票据管理改革的通知》(财综〔2018〕62号)</w:t>
      </w:r>
    </w:p>
    <w:p>
      <w:pPr>
        <w:pStyle w:val="53"/>
        <w:numPr>
          <w:ilvl w:val="0"/>
          <w:numId w:val="4"/>
        </w:numPr>
        <w:spacing w:after="156" w:afterLines="50" w:line="360" w:lineRule="auto"/>
        <w:ind w:left="0"/>
        <w:rPr>
          <w:rFonts w:ascii="宋体" w:hAnsi="宋体"/>
          <w:sz w:val="24"/>
        </w:rPr>
      </w:pPr>
      <w:r>
        <w:rPr>
          <w:rFonts w:hint="eastAsia" w:ascii="宋体" w:hAnsi="宋体"/>
          <w:sz w:val="24"/>
        </w:rPr>
        <w:t>《财政部关于统一全国财政电子票据式样和财政机打票据式样的通知》（财综〔2018〕72号）</w:t>
      </w:r>
    </w:p>
    <w:p>
      <w:pPr>
        <w:pStyle w:val="53"/>
        <w:numPr>
          <w:ilvl w:val="0"/>
          <w:numId w:val="4"/>
        </w:numPr>
        <w:spacing w:after="156" w:afterLines="50" w:line="360" w:lineRule="auto"/>
        <w:ind w:left="0"/>
        <w:rPr>
          <w:rFonts w:ascii="宋体" w:hAnsi="宋体"/>
          <w:sz w:val="24"/>
        </w:rPr>
      </w:pPr>
      <w:r>
        <w:rPr>
          <w:rFonts w:hint="eastAsia" w:ascii="宋体" w:hAnsi="宋体"/>
          <w:sz w:val="24"/>
        </w:rPr>
        <w:t>2019年7月22日，财政部 、国家卫生健康委 、国家医疗保障局联合发文《关于全面推行医疗收费电子票据管理改革的通知》（财综〔2019〕29号）</w:t>
      </w:r>
    </w:p>
    <w:p>
      <w:pPr>
        <w:pStyle w:val="53"/>
        <w:numPr>
          <w:ilvl w:val="0"/>
          <w:numId w:val="4"/>
        </w:numPr>
        <w:spacing w:after="156" w:afterLines="50" w:line="360" w:lineRule="auto"/>
        <w:ind w:left="0"/>
        <w:rPr>
          <w:rFonts w:ascii="宋体" w:hAnsi="宋体"/>
          <w:sz w:val="24"/>
        </w:rPr>
      </w:pPr>
      <w:r>
        <w:rPr>
          <w:rFonts w:hint="eastAsia" w:ascii="宋体" w:hAnsi="宋体"/>
          <w:sz w:val="24"/>
        </w:rPr>
        <w:t>《2</w:t>
      </w:r>
      <w:r>
        <w:rPr>
          <w:rFonts w:ascii="宋体" w:hAnsi="宋体"/>
          <w:sz w:val="24"/>
        </w:rPr>
        <w:t>020</w:t>
      </w:r>
      <w:r>
        <w:rPr>
          <w:rFonts w:hint="eastAsia" w:ascii="宋体" w:hAnsi="宋体"/>
          <w:sz w:val="24"/>
        </w:rPr>
        <w:t>年上海市深化“一网通办”改革工作要点》</w:t>
      </w:r>
    </w:p>
    <w:p>
      <w:pPr>
        <w:pStyle w:val="53"/>
        <w:numPr>
          <w:ilvl w:val="0"/>
          <w:numId w:val="4"/>
        </w:numPr>
        <w:spacing w:after="156" w:afterLines="50" w:line="360" w:lineRule="auto"/>
        <w:ind w:left="0"/>
        <w:rPr>
          <w:rFonts w:ascii="宋体" w:hAnsi="宋体"/>
          <w:sz w:val="24"/>
        </w:rPr>
      </w:pPr>
      <w:r>
        <w:rPr>
          <w:rFonts w:hint="eastAsia" w:ascii="宋体" w:hAnsi="宋体"/>
          <w:sz w:val="24"/>
        </w:rPr>
        <w:t>《上海市人民政府关于以企业和群众高效办成“一件事”为目标全面推进业务流程革命性再造的指导意见》</w:t>
      </w:r>
    </w:p>
    <w:p>
      <w:pPr>
        <w:pStyle w:val="54"/>
        <w:numPr>
          <w:ilvl w:val="1"/>
          <w:numId w:val="6"/>
        </w:numPr>
        <w:tabs>
          <w:tab w:val="left" w:pos="360"/>
        </w:tabs>
        <w:ind w:left="0" w:firstLine="0"/>
        <w:rPr>
          <w:rFonts w:ascii="宋体" w:hAnsi="宋体" w:eastAsia="宋体"/>
        </w:rPr>
      </w:pPr>
      <w:bookmarkStart w:id="6" w:name="_Toc80990079"/>
      <w:bookmarkStart w:id="7" w:name="_Toc78120677"/>
      <w:r>
        <w:rPr>
          <w:rFonts w:hint="eastAsia" w:ascii="宋体" w:hAnsi="宋体" w:eastAsia="宋体"/>
        </w:rPr>
        <w:t>建设目标</w:t>
      </w:r>
      <w:bookmarkEnd w:id="6"/>
      <w:bookmarkEnd w:id="7"/>
    </w:p>
    <w:p>
      <w:pPr>
        <w:pStyle w:val="55"/>
        <w:numPr>
          <w:ilvl w:val="2"/>
          <w:numId w:val="7"/>
        </w:numPr>
        <w:tabs>
          <w:tab w:val="left" w:pos="360"/>
        </w:tabs>
        <w:ind w:left="0" w:firstLine="0"/>
        <w:rPr>
          <w:rFonts w:ascii="宋体" w:hAnsi="宋体" w:eastAsia="宋体"/>
        </w:rPr>
      </w:pPr>
      <w:bookmarkStart w:id="8" w:name="_Toc78120678"/>
      <w:r>
        <w:rPr>
          <w:rFonts w:hint="eastAsia" w:ascii="宋体" w:hAnsi="宋体" w:eastAsia="宋体"/>
        </w:rPr>
        <w:t>推动区域医疗机构电子票据改革</w:t>
      </w:r>
      <w:bookmarkEnd w:id="8"/>
    </w:p>
    <w:p>
      <w:pPr>
        <w:pStyle w:val="47"/>
        <w:ind w:firstLine="480"/>
        <w:rPr>
          <w:rFonts w:ascii="宋体" w:hAnsi="宋体" w:eastAsia="宋体" w:cs="仿宋_GB2312"/>
        </w:rPr>
      </w:pPr>
      <w:r>
        <w:rPr>
          <w:rFonts w:hint="eastAsia" w:ascii="宋体" w:hAnsi="宋体" w:eastAsia="宋体"/>
        </w:rPr>
        <w:t xml:space="preserve">通过建设医疗电子票据服务平台二期建设，快速推进医疗电子票据，解决老百姓的收费票据交付，打通患者就医挂号、就诊、交费、票据交付全闭环电子化管理，切实做到便民、利民。 </w:t>
      </w:r>
      <w:r>
        <w:rPr>
          <w:rFonts w:ascii="宋体" w:hAnsi="宋体" w:eastAsia="宋体"/>
        </w:rPr>
        <w:t xml:space="preserve"> </w:t>
      </w:r>
    </w:p>
    <w:p>
      <w:pPr>
        <w:pStyle w:val="55"/>
        <w:numPr>
          <w:ilvl w:val="2"/>
          <w:numId w:val="7"/>
        </w:numPr>
        <w:tabs>
          <w:tab w:val="left" w:pos="360"/>
        </w:tabs>
        <w:ind w:left="0" w:firstLine="0"/>
        <w:rPr>
          <w:rFonts w:ascii="宋体" w:hAnsi="宋体" w:eastAsia="宋体"/>
        </w:rPr>
      </w:pPr>
      <w:bookmarkStart w:id="9" w:name="_Toc78120679"/>
      <w:r>
        <w:rPr>
          <w:rFonts w:hint="eastAsia" w:ascii="宋体" w:hAnsi="宋体" w:eastAsia="宋体"/>
        </w:rPr>
        <w:t>满足社会化应用对医疗电子票据的需求</w:t>
      </w:r>
      <w:bookmarkEnd w:id="9"/>
    </w:p>
    <w:p>
      <w:pPr>
        <w:pStyle w:val="47"/>
        <w:ind w:firstLine="480"/>
        <w:rPr>
          <w:rFonts w:ascii="宋体" w:hAnsi="宋体" w:eastAsia="宋体" w:cs="仿宋_GB2312"/>
        </w:rPr>
      </w:pPr>
      <w:r>
        <w:rPr>
          <w:rFonts w:hint="eastAsia" w:ascii="宋体" w:hAnsi="宋体" w:eastAsia="宋体"/>
        </w:rPr>
        <w:t>为满足社会各方对医疗不同的应用需求，建立以医疗电子票据生态，为提升各方间的业务办理效率，增强医疗和保险服务水平，提升患者医疗和保险服务体验奠定基础</w:t>
      </w:r>
      <w:r>
        <w:rPr>
          <w:rFonts w:hint="eastAsia" w:ascii="宋体" w:hAnsi="宋体" w:eastAsia="宋体" w:cs="仿宋_GB2312"/>
        </w:rPr>
        <w:t>。</w:t>
      </w:r>
    </w:p>
    <w:p>
      <w:pPr>
        <w:pStyle w:val="55"/>
        <w:numPr>
          <w:ilvl w:val="2"/>
          <w:numId w:val="7"/>
        </w:numPr>
        <w:tabs>
          <w:tab w:val="left" w:pos="360"/>
        </w:tabs>
        <w:ind w:left="0" w:firstLine="0"/>
        <w:rPr>
          <w:rFonts w:ascii="宋体" w:hAnsi="宋体" w:eastAsia="宋体"/>
        </w:rPr>
      </w:pPr>
      <w:bookmarkStart w:id="10" w:name="_Toc78120680"/>
      <w:r>
        <w:rPr>
          <w:rFonts w:hint="eastAsia" w:ascii="宋体" w:hAnsi="宋体" w:eastAsia="宋体"/>
        </w:rPr>
        <w:t>实现部门间共享信息满足部门业务深度应用需求</w:t>
      </w:r>
      <w:bookmarkEnd w:id="10"/>
    </w:p>
    <w:p>
      <w:pPr>
        <w:pStyle w:val="47"/>
        <w:ind w:firstLine="480"/>
        <w:rPr>
          <w:rFonts w:ascii="宋体" w:hAnsi="宋体" w:eastAsia="宋体"/>
        </w:rPr>
      </w:pPr>
      <w:r>
        <w:rPr>
          <w:rFonts w:hint="eastAsia" w:ascii="宋体" w:hAnsi="宋体" w:eastAsia="宋体"/>
        </w:rPr>
        <w:t>针对卫生、医保、档案、审计、国税等相关行政部门的电子票据数据使用需求，建立信息共享及授权使用机制，实现信息共享满足部门业务深度应用，满足部门业务需要，提升部门业务能力水平。</w:t>
      </w:r>
    </w:p>
    <w:p>
      <w:pPr>
        <w:pStyle w:val="54"/>
        <w:numPr>
          <w:ilvl w:val="1"/>
          <w:numId w:val="6"/>
        </w:numPr>
        <w:tabs>
          <w:tab w:val="left" w:pos="360"/>
        </w:tabs>
        <w:ind w:left="0" w:firstLine="0"/>
        <w:rPr>
          <w:rFonts w:ascii="宋体" w:hAnsi="宋体" w:eastAsia="宋体"/>
        </w:rPr>
      </w:pPr>
      <w:r>
        <w:rPr>
          <w:rFonts w:hint="eastAsia" w:ascii="宋体" w:hAnsi="宋体" w:eastAsia="宋体"/>
        </w:rPr>
        <w:t>建设内容</w:t>
      </w:r>
    </w:p>
    <w:p>
      <w:pPr>
        <w:pStyle w:val="47"/>
        <w:ind w:firstLine="480"/>
        <w:rPr>
          <w:rFonts w:ascii="宋体" w:hAnsi="宋体" w:eastAsia="宋体"/>
        </w:rPr>
      </w:pPr>
      <w:r>
        <w:rPr>
          <w:rFonts w:hint="eastAsia" w:ascii="宋体" w:hAnsi="宋体" w:eastAsia="宋体"/>
          <w:szCs w:val="24"/>
        </w:rPr>
        <w:t>本项目</w:t>
      </w:r>
      <w:r>
        <w:rPr>
          <w:rFonts w:hint="eastAsia" w:ascii="宋体" w:hAnsi="宋体" w:eastAsia="宋体"/>
        </w:rPr>
        <w:t>需要进行以下内容的建设：</w:t>
      </w:r>
    </w:p>
    <w:p>
      <w:pPr>
        <w:pStyle w:val="47"/>
        <w:numPr>
          <w:ilvl w:val="0"/>
          <w:numId w:val="8"/>
        </w:numPr>
        <w:ind w:firstLineChars="0"/>
        <w:rPr>
          <w:rFonts w:ascii="宋体" w:hAnsi="宋体" w:eastAsia="宋体"/>
          <w:b/>
        </w:rPr>
      </w:pPr>
      <w:r>
        <w:rPr>
          <w:rFonts w:hint="eastAsia" w:ascii="宋体" w:hAnsi="宋体" w:eastAsia="宋体"/>
          <w:b/>
        </w:rPr>
        <w:t>推动全区性医疗电子票据管理系统</w:t>
      </w:r>
    </w:p>
    <w:p>
      <w:pPr>
        <w:pStyle w:val="47"/>
        <w:ind w:firstLine="480"/>
        <w:rPr>
          <w:rFonts w:ascii="宋体" w:hAnsi="宋体" w:eastAsia="宋体"/>
        </w:rPr>
      </w:pPr>
      <w:r>
        <w:rPr>
          <w:rFonts w:hint="eastAsia" w:ascii="宋体" w:hAnsi="宋体" w:eastAsia="宋体"/>
        </w:rPr>
        <w:t>一是在原有一期区卫健委电子票据建设的基础上，完成医疗电子票据管理功能，实现4家医疗机构长宁区光华中西医结合医院、长宁区天山中医医院、长宁区妇幼保健院、长宁区精神卫生中心医院HIS系统与区卫健委医疗电子票据系统的对接，实现医院医疗电子票据的开具、传输、查验、入账、归档等工作。同时实现长宁区同仁医院医疗电子票据管理平台的接入，以满足长宁区卫健委统一管理等需求。</w:t>
      </w:r>
    </w:p>
    <w:p>
      <w:pPr>
        <w:pStyle w:val="47"/>
        <w:numPr>
          <w:ilvl w:val="0"/>
          <w:numId w:val="3"/>
        </w:numPr>
        <w:ind w:firstLineChars="0"/>
        <w:rPr>
          <w:rFonts w:ascii="宋体" w:hAnsi="宋体" w:eastAsia="宋体"/>
          <w:b/>
          <w:bCs/>
          <w:szCs w:val="24"/>
        </w:rPr>
      </w:pPr>
      <w:r>
        <w:rPr>
          <w:rFonts w:hint="eastAsia" w:ascii="宋体" w:hAnsi="宋体" w:eastAsia="宋体"/>
          <w:b/>
          <w:bCs/>
          <w:szCs w:val="24"/>
        </w:rPr>
        <w:t>4家医疗机构医疗电子平台的建设</w:t>
      </w:r>
    </w:p>
    <w:p>
      <w:pPr>
        <w:pStyle w:val="47"/>
        <w:ind w:firstLine="480"/>
        <w:rPr>
          <w:rFonts w:ascii="宋体" w:hAnsi="宋体" w:eastAsia="宋体"/>
        </w:rPr>
      </w:pPr>
      <w:r>
        <w:rPr>
          <w:rFonts w:hint="eastAsia" w:ascii="宋体" w:hAnsi="宋体" w:eastAsia="宋体"/>
        </w:rPr>
        <w:t>完成4家医疗机构HIS系统与区卫健委医疗电子票据系统的对接工作，并开发医院定制化交付、医疗电子票据存档、医疗票据入账的功能，实现电子票据开具、传输、查验、入账、归档等工作。</w:t>
      </w:r>
    </w:p>
    <w:p>
      <w:pPr>
        <w:pStyle w:val="47"/>
        <w:numPr>
          <w:ilvl w:val="0"/>
          <w:numId w:val="3"/>
        </w:numPr>
        <w:ind w:firstLineChars="0"/>
        <w:rPr>
          <w:rFonts w:ascii="宋体" w:hAnsi="宋体" w:eastAsia="宋体"/>
          <w:b/>
          <w:bCs/>
          <w:szCs w:val="24"/>
        </w:rPr>
      </w:pPr>
      <w:r>
        <w:rPr>
          <w:rFonts w:hint="eastAsia" w:ascii="宋体" w:hAnsi="宋体" w:eastAsia="宋体"/>
          <w:b/>
          <w:bCs/>
          <w:szCs w:val="24"/>
        </w:rPr>
        <w:t>CA数字认证</w:t>
      </w:r>
    </w:p>
    <w:p>
      <w:pPr>
        <w:pStyle w:val="47"/>
        <w:numPr>
          <w:ilvl w:val="0"/>
          <w:numId w:val="3"/>
        </w:numPr>
        <w:ind w:firstLineChars="0"/>
        <w:rPr>
          <w:rFonts w:ascii="宋体" w:hAnsi="宋体" w:eastAsia="宋体"/>
          <w:b/>
          <w:bCs/>
          <w:szCs w:val="24"/>
        </w:rPr>
      </w:pPr>
      <w:r>
        <w:rPr>
          <w:rFonts w:hint="eastAsia" w:ascii="宋体" w:hAnsi="宋体" w:eastAsia="宋体"/>
          <w:b/>
          <w:bCs/>
          <w:szCs w:val="24"/>
        </w:rPr>
        <w:t>HIS改造</w:t>
      </w:r>
    </w:p>
    <w:p>
      <w:pPr>
        <w:pStyle w:val="47"/>
        <w:numPr>
          <w:ilvl w:val="0"/>
          <w:numId w:val="3"/>
        </w:numPr>
        <w:ind w:firstLineChars="0"/>
        <w:rPr>
          <w:rFonts w:ascii="宋体" w:hAnsi="宋体" w:eastAsia="宋体"/>
          <w:b/>
          <w:bCs/>
          <w:szCs w:val="24"/>
        </w:rPr>
      </w:pPr>
      <w:r>
        <w:rPr>
          <w:rFonts w:hint="eastAsia" w:ascii="宋体" w:hAnsi="宋体" w:eastAsia="宋体"/>
          <w:b/>
          <w:bCs/>
          <w:szCs w:val="24"/>
        </w:rPr>
        <w:t>医保、社保接口管理</w:t>
      </w:r>
    </w:p>
    <w:p>
      <w:pPr>
        <w:pStyle w:val="47"/>
        <w:ind w:firstLine="480"/>
        <w:rPr>
          <w:rFonts w:ascii="宋体" w:hAnsi="宋体" w:eastAsia="宋体"/>
          <w:szCs w:val="24"/>
        </w:rPr>
      </w:pPr>
      <w:r>
        <w:rPr>
          <w:rFonts w:hint="eastAsia" w:ascii="宋体" w:hAnsi="宋体" w:eastAsia="宋体"/>
          <w:szCs w:val="24"/>
        </w:rPr>
        <w:t>实现医保、社保受理、入账，票据查询等功能。</w:t>
      </w:r>
    </w:p>
    <w:p>
      <w:pPr>
        <w:pStyle w:val="47"/>
        <w:ind w:firstLine="482"/>
        <w:rPr>
          <w:rFonts w:ascii="宋体" w:hAnsi="宋体" w:eastAsia="宋体"/>
          <w:b/>
        </w:rPr>
      </w:pPr>
      <w:r>
        <w:rPr>
          <w:rFonts w:hint="eastAsia" w:ascii="宋体" w:hAnsi="宋体" w:eastAsia="宋体"/>
          <w:b/>
        </w:rPr>
        <w:t>（二）与单位财务系统对接，为单位提供便利入账</w:t>
      </w:r>
    </w:p>
    <w:p>
      <w:pPr>
        <w:pStyle w:val="47"/>
        <w:ind w:firstLine="480"/>
        <w:rPr>
          <w:rFonts w:ascii="宋体" w:hAnsi="宋体" w:eastAsia="宋体"/>
        </w:rPr>
      </w:pPr>
      <w:r>
        <w:rPr>
          <w:rFonts w:hint="eastAsia" w:ascii="宋体" w:hAnsi="宋体" w:eastAsia="宋体"/>
        </w:rPr>
        <w:t>当医疗机构作为开票单位时，需收费员将窗口的每日开票信息报送结算中心，结算中心核对无误后，将整理、装订开票信息并形成记账凭证，之后统一报送财务，由财务人员记账。而当医疗机构作为报销单位时，报销人员需获取相应开票单位开具的纸质票据，并交付财务进行报销入账处理。由此可见，目前医疗机构的入账业务操作过程繁琐耗时。升级电子票据后，医疗平台将为医疗机构提供电子票据入账接口，供单位调用，通过该接口从财政获取待入账的电子票据，进行电子票据入账办理，实现单位电子票据的便利入账。</w:t>
      </w:r>
    </w:p>
    <w:p>
      <w:pPr>
        <w:pStyle w:val="47"/>
        <w:ind w:firstLine="482"/>
        <w:rPr>
          <w:rFonts w:ascii="宋体" w:hAnsi="宋体" w:eastAsia="宋体"/>
          <w:b/>
        </w:rPr>
      </w:pPr>
      <w:r>
        <w:rPr>
          <w:rFonts w:hint="eastAsia" w:ascii="宋体" w:hAnsi="宋体" w:eastAsia="宋体"/>
          <w:b/>
        </w:rPr>
        <w:t>（三）建设卫健委医疗电子票据监控平台</w:t>
      </w:r>
    </w:p>
    <w:p>
      <w:pPr>
        <w:pStyle w:val="47"/>
        <w:ind w:firstLine="480"/>
        <w:rPr>
          <w:rFonts w:ascii="宋体" w:hAnsi="宋体" w:eastAsia="宋体"/>
          <w:szCs w:val="24"/>
        </w:rPr>
      </w:pPr>
      <w:r>
        <w:rPr>
          <w:rFonts w:hint="eastAsia" w:ascii="宋体" w:hAnsi="宋体" w:eastAsia="宋体"/>
          <w:szCs w:val="24"/>
        </w:rPr>
        <w:t>在建设卫健委医疗电子票据管理子系统的基础上，满足卫健委对接入医疗电子票据管理平台的医疗机构的数据进行监控，掌握各医疗机构的电子票据开具、收入、用药、医疗服务负担与服务质量等情况，通过建设数据采集子系统和数据查询子系统，采集各医疗机构的电子票据数据，并对数据加以清洗、转换、分析，以图形、报表等多样形式直观展示医疗机构的用票、收入、用药等情况，并包含对卫健委重点关注数据的分析预警控制，实现卫健委对医疗机构的监管职能需要。</w:t>
      </w:r>
    </w:p>
    <w:p>
      <w:pPr>
        <w:pStyle w:val="47"/>
        <w:numPr>
          <w:ilvl w:val="0"/>
          <w:numId w:val="3"/>
        </w:numPr>
        <w:ind w:firstLineChars="0"/>
        <w:rPr>
          <w:rFonts w:ascii="宋体" w:hAnsi="宋体" w:eastAsia="宋体"/>
          <w:b/>
          <w:bCs/>
          <w:szCs w:val="24"/>
        </w:rPr>
      </w:pPr>
      <w:r>
        <w:rPr>
          <w:rFonts w:hint="eastAsia" w:ascii="宋体" w:hAnsi="宋体" w:eastAsia="宋体"/>
          <w:b/>
          <w:bCs/>
          <w:szCs w:val="24"/>
        </w:rPr>
        <w:t>1家医疗机构医疗电子票据系统接入</w:t>
      </w:r>
    </w:p>
    <w:p>
      <w:pPr>
        <w:pStyle w:val="47"/>
        <w:ind w:firstLine="480"/>
        <w:rPr>
          <w:rFonts w:ascii="宋体" w:hAnsi="宋体" w:eastAsia="宋体"/>
          <w:szCs w:val="24"/>
        </w:rPr>
      </w:pPr>
      <w:r>
        <w:rPr>
          <w:rFonts w:hint="eastAsia" w:ascii="宋体" w:hAnsi="宋体" w:eastAsia="宋体"/>
          <w:szCs w:val="24"/>
        </w:rPr>
        <w:t>实现长宁区同仁医院医疗电子票据管理平台与区卫健委医疗电子票据管理平台的对接，实现区卫健委对全区医院的统一管理。</w:t>
      </w:r>
    </w:p>
    <w:p>
      <w:pPr>
        <w:pStyle w:val="47"/>
        <w:numPr>
          <w:ilvl w:val="0"/>
          <w:numId w:val="3"/>
        </w:numPr>
        <w:ind w:firstLineChars="0"/>
        <w:rPr>
          <w:rFonts w:ascii="宋体" w:hAnsi="宋体" w:eastAsia="宋体"/>
          <w:b/>
          <w:bCs/>
          <w:szCs w:val="24"/>
        </w:rPr>
      </w:pPr>
      <w:r>
        <w:rPr>
          <w:rFonts w:hint="eastAsia" w:ascii="宋体" w:hAnsi="宋体" w:eastAsia="宋体"/>
          <w:b/>
          <w:bCs/>
          <w:szCs w:val="24"/>
        </w:rPr>
        <w:t>数据采集子系统</w:t>
      </w:r>
    </w:p>
    <w:p>
      <w:pPr>
        <w:pStyle w:val="47"/>
        <w:ind w:firstLine="480"/>
        <w:rPr>
          <w:rFonts w:ascii="宋体" w:hAnsi="宋体" w:eastAsia="宋体"/>
          <w:szCs w:val="24"/>
        </w:rPr>
      </w:pPr>
      <w:r>
        <w:rPr>
          <w:rFonts w:hint="eastAsia" w:ascii="宋体" w:hAnsi="宋体" w:eastAsia="宋体"/>
          <w:szCs w:val="24"/>
        </w:rPr>
        <w:t>针对下辖医疗机构的票据及清单数据的采集，优化，清洗，存储的功能。</w:t>
      </w:r>
    </w:p>
    <w:p>
      <w:pPr>
        <w:pStyle w:val="47"/>
        <w:numPr>
          <w:ilvl w:val="0"/>
          <w:numId w:val="3"/>
        </w:numPr>
        <w:ind w:firstLineChars="0"/>
        <w:rPr>
          <w:rFonts w:ascii="宋体" w:hAnsi="宋体" w:eastAsia="宋体"/>
          <w:b/>
          <w:bCs/>
          <w:szCs w:val="24"/>
        </w:rPr>
      </w:pPr>
      <w:r>
        <w:rPr>
          <w:rFonts w:hint="eastAsia" w:ascii="宋体" w:hAnsi="宋体" w:eastAsia="宋体"/>
          <w:b/>
          <w:bCs/>
          <w:szCs w:val="24"/>
        </w:rPr>
        <w:t>医疗收费数据查询分析子系统</w:t>
      </w:r>
    </w:p>
    <w:p>
      <w:pPr>
        <w:pStyle w:val="47"/>
        <w:ind w:firstLine="480"/>
        <w:rPr>
          <w:rFonts w:ascii="宋体" w:hAnsi="宋体" w:eastAsia="宋体"/>
          <w:szCs w:val="24"/>
        </w:rPr>
      </w:pPr>
      <w:r>
        <w:rPr>
          <w:rFonts w:hint="eastAsia" w:ascii="宋体" w:hAnsi="宋体" w:eastAsia="宋体"/>
          <w:szCs w:val="24"/>
        </w:rPr>
        <w:t>针对采集的医疗数据进行分析治理，提供决策依据。</w:t>
      </w:r>
    </w:p>
    <w:p>
      <w:pPr>
        <w:widowControl/>
        <w:jc w:val="left"/>
        <w:rPr>
          <w:rFonts w:ascii="宋体" w:hAnsi="宋体" w:eastAsia="宋体" w:cs="Times New Roman"/>
          <w:kern w:val="0"/>
          <w:sz w:val="24"/>
          <w:szCs w:val="28"/>
        </w:rPr>
      </w:pPr>
      <w:r>
        <w:rPr>
          <w:rFonts w:ascii="宋体" w:hAnsi="宋体" w:eastAsia="宋体"/>
        </w:rPr>
        <w:br w:type="page"/>
      </w:r>
    </w:p>
    <w:p>
      <w:pPr>
        <w:pStyle w:val="2"/>
      </w:pPr>
      <w:bookmarkStart w:id="11" w:name="_Toc80990132"/>
      <w:r>
        <w:rPr>
          <w:rFonts w:hint="eastAsia"/>
        </w:rPr>
        <w:t>项目</w:t>
      </w:r>
      <w:bookmarkEnd w:id="11"/>
      <w:r>
        <w:rPr>
          <w:rFonts w:hint="eastAsia"/>
        </w:rPr>
        <w:t>技术要求</w:t>
      </w:r>
    </w:p>
    <w:p>
      <w:pPr>
        <w:pStyle w:val="54"/>
        <w:numPr>
          <w:ilvl w:val="1"/>
          <w:numId w:val="6"/>
        </w:numPr>
      </w:pPr>
      <w:bookmarkStart w:id="12" w:name="_Toc80990138"/>
      <w:bookmarkStart w:id="13" w:name="_Toc78103683"/>
      <w:bookmarkStart w:id="14" w:name="_Toc78120726"/>
      <w:bookmarkStart w:id="15" w:name="_Toc367185214"/>
      <w:bookmarkStart w:id="16" w:name="_Toc328434723"/>
      <w:r>
        <w:rPr>
          <w:rFonts w:hint="eastAsia"/>
        </w:rPr>
        <w:t>医疗机构接入</w:t>
      </w:r>
      <w:bookmarkEnd w:id="12"/>
    </w:p>
    <w:bookmarkEnd w:id="13"/>
    <w:bookmarkEnd w:id="14"/>
    <w:p>
      <w:pPr>
        <w:pStyle w:val="53"/>
        <w:spacing w:after="156" w:afterLines="50" w:line="360" w:lineRule="auto"/>
        <w:ind w:firstLine="480" w:firstLineChars="200"/>
        <w:rPr>
          <w:rFonts w:ascii="Arial" w:hAnsi="Arial" w:eastAsia="仿宋_GB2312"/>
          <w:sz w:val="24"/>
        </w:rPr>
      </w:pPr>
      <w:r>
        <w:rPr>
          <w:rFonts w:hint="eastAsia" w:ascii="Arial" w:hAnsi="Arial" w:eastAsia="仿宋_GB2312"/>
          <w:sz w:val="24"/>
        </w:rPr>
        <w:t>本次建设将在长宁区卫健委电子票据统一平台一期建设的基础上，完成辖属4家医疗机构的接入，实现医疗电子票据的申领、开具、交付等工作。同时1家医疗机构独立部署的医院电子票据系统与区卫健委电子票据管理平台的对接，实现数据采集功能。</w:t>
      </w:r>
    </w:p>
    <w:p>
      <w:pPr>
        <w:pStyle w:val="55"/>
        <w:numPr>
          <w:ilvl w:val="2"/>
          <w:numId w:val="7"/>
        </w:numPr>
        <w:tabs>
          <w:tab w:val="left" w:pos="360"/>
        </w:tabs>
        <w:ind w:left="0" w:firstLine="0"/>
      </w:pPr>
      <w:bookmarkStart w:id="17" w:name="_Toc49951792"/>
      <w:bookmarkStart w:id="18" w:name="_Toc80990139"/>
      <w:bookmarkStart w:id="19" w:name="_Toc49963861"/>
      <w:r>
        <w:rPr>
          <w:rFonts w:hint="eastAsia"/>
        </w:rPr>
        <w:t>医院接入业务流程</w:t>
      </w:r>
      <w:bookmarkEnd w:id="17"/>
      <w:bookmarkEnd w:id="18"/>
      <w:bookmarkEnd w:id="19"/>
    </w:p>
    <w:p>
      <w:pPr>
        <w:pStyle w:val="53"/>
        <w:spacing w:after="156" w:afterLines="50" w:line="360" w:lineRule="auto"/>
        <w:ind w:firstLine="480" w:firstLineChars="200"/>
        <w:rPr>
          <w:rFonts w:ascii="Arial" w:hAnsi="Arial" w:eastAsia="仿宋_GB2312"/>
          <w:sz w:val="24"/>
        </w:rPr>
      </w:pPr>
      <w:r>
        <w:rPr>
          <w:rFonts w:hint="eastAsia" w:ascii="Arial" w:hAnsi="Arial" w:eastAsia="仿宋_GB2312"/>
          <w:sz w:val="24"/>
        </w:rPr>
        <w:t>1.首先患者通过各种缴款渠道完成缴款后，由HIS系统完成结算，结算成功后调用区卫健委医疗电子票据管理平，通过卫健委代签名后与财政电子票据平台的交互验签后生成电子票据，财政进行电子票据归档。</w:t>
      </w:r>
    </w:p>
    <w:p>
      <w:pPr>
        <w:pStyle w:val="53"/>
        <w:spacing w:after="156" w:afterLines="50" w:line="360" w:lineRule="auto"/>
        <w:ind w:firstLine="480" w:firstLineChars="200"/>
        <w:rPr>
          <w:rFonts w:ascii="Arial" w:hAnsi="Arial" w:eastAsia="仿宋_GB2312"/>
          <w:sz w:val="24"/>
        </w:rPr>
      </w:pPr>
      <w:r>
        <w:rPr>
          <w:rFonts w:hint="eastAsia" w:ascii="Arial" w:hAnsi="Arial" w:eastAsia="仿宋_GB2312"/>
          <w:sz w:val="24"/>
        </w:rPr>
        <w:t>2. HIS系统传递给区卫健委电子票据管理平台的收费信息中，需要包含一些特定要素，如身份证号，社保卡号，就诊卡号，手机号，支付渠道，支付订单号，主要是用于通知与取票。同时，将区卫健委电子票据信息通过（告知单，短信，邮件，公众号等）方式通知给患者，患者可通过（财政网站。支付宝，微信，以及APP等方式）获取电子票据。</w:t>
      </w:r>
    </w:p>
    <w:p>
      <w:pPr>
        <w:pStyle w:val="53"/>
        <w:spacing w:after="156" w:afterLines="50" w:line="360" w:lineRule="auto"/>
        <w:ind w:firstLine="480" w:firstLineChars="200"/>
        <w:rPr>
          <w:rFonts w:ascii="Arial" w:hAnsi="Arial" w:eastAsia="仿宋_GB2312"/>
          <w:sz w:val="24"/>
        </w:rPr>
      </w:pPr>
      <w:r>
        <w:rPr>
          <w:rFonts w:ascii="Arial" w:hAnsi="Arial" w:eastAsia="仿宋_GB2312"/>
          <w:sz w:val="24"/>
        </w:rPr>
        <w:t>3</w:t>
      </w:r>
      <w:r>
        <w:rPr>
          <w:rFonts w:hint="eastAsia" w:ascii="Arial" w:hAnsi="Arial" w:eastAsia="仿宋_GB2312"/>
          <w:sz w:val="24"/>
        </w:rPr>
        <w:t>. 区卫健委电子票据管理系统进行日结记账（当然也可以通过HIS系统提供的信息进行记账），财务入账后。</w:t>
      </w:r>
    </w:p>
    <w:p>
      <w:pPr>
        <w:pStyle w:val="53"/>
        <w:spacing w:after="156" w:afterLines="50" w:line="360" w:lineRule="auto"/>
        <w:ind w:firstLine="480" w:firstLineChars="200"/>
        <w:rPr>
          <w:rFonts w:ascii="Arial" w:hAnsi="Arial" w:eastAsia="仿宋_GB2312"/>
          <w:sz w:val="24"/>
        </w:rPr>
      </w:pPr>
      <w:r>
        <w:rPr>
          <w:rFonts w:ascii="Arial" w:hAnsi="Arial" w:eastAsia="仿宋_GB2312"/>
          <w:sz w:val="24"/>
        </w:rPr>
        <w:t>4</w:t>
      </w:r>
      <w:r>
        <w:rPr>
          <w:rFonts w:hint="eastAsia" w:ascii="Arial" w:hAnsi="Arial" w:eastAsia="仿宋_GB2312"/>
          <w:sz w:val="24"/>
        </w:rPr>
        <w:t>.对于与医保中心结算，实现患者缴费时与医保中心实时结算，医保中心根据结算信息，调用财政的公共服务来查验电子票据。</w:t>
      </w:r>
      <w:r>
        <w:rPr>
          <w:rFonts w:ascii="Arial" w:hAnsi="Arial" w:eastAsia="仿宋_GB2312"/>
          <w:sz w:val="24"/>
        </w:rPr>
        <w:t xml:space="preserve"> </w:t>
      </w:r>
    </w:p>
    <w:p>
      <w:pPr>
        <w:pStyle w:val="55"/>
        <w:numPr>
          <w:ilvl w:val="2"/>
          <w:numId w:val="7"/>
        </w:numPr>
        <w:tabs>
          <w:tab w:val="left" w:pos="360"/>
        </w:tabs>
        <w:ind w:left="0" w:firstLine="0"/>
      </w:pPr>
      <w:bookmarkStart w:id="20" w:name="_Toc49963862"/>
      <w:bookmarkStart w:id="21" w:name="_Toc49951793"/>
      <w:bookmarkStart w:id="22" w:name="_Toc80990140"/>
      <w:r>
        <w:rPr>
          <w:rFonts w:hint="eastAsia"/>
        </w:rPr>
        <w:t>与HIS业务系统对接与接联调内容</w:t>
      </w:r>
      <w:bookmarkEnd w:id="20"/>
      <w:bookmarkEnd w:id="21"/>
      <w:bookmarkEnd w:id="22"/>
    </w:p>
    <w:p>
      <w:pPr>
        <w:pStyle w:val="53"/>
        <w:spacing w:after="156" w:afterLines="50" w:line="360" w:lineRule="auto"/>
        <w:ind w:firstLine="480" w:firstLineChars="200"/>
        <w:rPr>
          <w:rFonts w:ascii="Arial" w:hAnsi="Arial" w:eastAsia="仿宋_GB2312"/>
          <w:sz w:val="24"/>
        </w:rPr>
      </w:pPr>
      <w:r>
        <w:rPr>
          <w:rFonts w:hint="eastAsia" w:ascii="Arial" w:hAnsi="Arial" w:eastAsia="仿宋_GB2312"/>
          <w:sz w:val="24"/>
        </w:rPr>
        <w:t>医院的门诊、住院等绝大部分业务在HIS业务系统完成，关于门诊、住院电子票据的业务数据均来源于HIS业务系统；需要对原有区卫健委电子票据管理系统开发，并与HIS系统的数据交换接口，实现HIS缴费业务数据的自动传输、电子票据的自动生成等。</w:t>
      </w:r>
    </w:p>
    <w:p>
      <w:pPr>
        <w:pStyle w:val="56"/>
        <w:numPr>
          <w:ilvl w:val="3"/>
          <w:numId w:val="9"/>
        </w:numPr>
        <w:tabs>
          <w:tab w:val="left" w:pos="360"/>
        </w:tabs>
        <w:ind w:left="0" w:firstLine="0"/>
      </w:pPr>
      <w:r>
        <w:rPr>
          <w:rFonts w:hint="eastAsia"/>
        </w:rPr>
        <w:t>医疗电子票据开具接口</w:t>
      </w:r>
    </w:p>
    <w:p>
      <w:pPr>
        <w:pStyle w:val="53"/>
        <w:spacing w:after="156" w:afterLines="50" w:line="360" w:lineRule="auto"/>
        <w:ind w:firstLine="480" w:firstLineChars="200"/>
        <w:rPr>
          <w:rFonts w:ascii="Arial" w:hAnsi="Arial" w:eastAsia="仿宋_GB2312"/>
          <w:sz w:val="24"/>
        </w:rPr>
      </w:pPr>
      <w:r>
        <w:rPr>
          <w:rFonts w:hint="eastAsia" w:ascii="Arial" w:hAnsi="Arial" w:eastAsia="仿宋_GB2312"/>
          <w:sz w:val="24"/>
        </w:rPr>
        <w:t>HIS系统完成收费结算后，调用区卫健委医疗电子票据开具接口，传递收费信息给平台，完成开票，返回电子票据信息。</w:t>
      </w:r>
    </w:p>
    <w:p>
      <w:pPr>
        <w:pStyle w:val="56"/>
        <w:numPr>
          <w:ilvl w:val="3"/>
          <w:numId w:val="9"/>
        </w:numPr>
        <w:tabs>
          <w:tab w:val="left" w:pos="360"/>
        </w:tabs>
        <w:ind w:left="0" w:firstLine="0"/>
      </w:pPr>
      <w:r>
        <w:rPr>
          <w:rFonts w:hint="eastAsia"/>
        </w:rPr>
        <w:t>医疗电子票据批量开具接口</w:t>
      </w:r>
    </w:p>
    <w:p>
      <w:pPr>
        <w:pStyle w:val="53"/>
        <w:spacing w:after="156" w:afterLines="50" w:line="360" w:lineRule="auto"/>
        <w:ind w:firstLine="480" w:firstLineChars="200"/>
        <w:rPr>
          <w:rFonts w:ascii="Arial" w:hAnsi="Arial" w:eastAsia="仿宋_GB2312"/>
          <w:sz w:val="24"/>
        </w:rPr>
      </w:pPr>
      <w:r>
        <w:rPr>
          <w:rFonts w:hint="eastAsia" w:ascii="Arial" w:hAnsi="Arial" w:eastAsia="仿宋_GB2312"/>
          <w:sz w:val="24"/>
        </w:rPr>
        <w:t>HIS系统采集已收费结算未开具电子票据的收费信息，调用区卫健委医疗电子票据批量开具接口，平台接收批量收费信息，定时开具电子票据。</w:t>
      </w:r>
    </w:p>
    <w:p>
      <w:pPr>
        <w:pStyle w:val="56"/>
        <w:numPr>
          <w:ilvl w:val="3"/>
          <w:numId w:val="9"/>
        </w:numPr>
        <w:tabs>
          <w:tab w:val="left" w:pos="360"/>
        </w:tabs>
        <w:ind w:left="0" w:firstLine="0"/>
      </w:pPr>
      <w:r>
        <w:rPr>
          <w:rFonts w:hint="eastAsia"/>
        </w:rPr>
        <w:t>医疗电子票据批量开具结果查询接口</w:t>
      </w:r>
    </w:p>
    <w:p>
      <w:pPr>
        <w:pStyle w:val="53"/>
        <w:spacing w:after="156" w:afterLines="50" w:line="360" w:lineRule="auto"/>
        <w:ind w:firstLine="480" w:firstLineChars="200"/>
        <w:rPr>
          <w:rFonts w:ascii="Arial" w:hAnsi="Arial" w:eastAsia="仿宋_GB2312"/>
          <w:sz w:val="24"/>
        </w:rPr>
      </w:pPr>
      <w:r>
        <w:rPr>
          <w:rFonts w:hint="eastAsia" w:ascii="Arial" w:hAnsi="Arial" w:eastAsia="仿宋_GB2312"/>
          <w:sz w:val="24"/>
        </w:rPr>
        <w:t>HIS系统按接口规范组装查询条件，调用区卫健委医疗电子票据批量开具查询接口，平台返回按条件查询返回的电子票据列表。</w:t>
      </w:r>
    </w:p>
    <w:p>
      <w:pPr>
        <w:pStyle w:val="56"/>
        <w:numPr>
          <w:ilvl w:val="3"/>
          <w:numId w:val="9"/>
        </w:numPr>
        <w:tabs>
          <w:tab w:val="left" w:pos="360"/>
        </w:tabs>
        <w:ind w:left="0" w:firstLine="0"/>
      </w:pPr>
      <w:r>
        <w:rPr>
          <w:rFonts w:hint="eastAsia"/>
        </w:rPr>
        <w:t>医疗</w:t>
      </w:r>
      <w:r>
        <w:t>电子票据冲红接口</w:t>
      </w:r>
    </w:p>
    <w:p>
      <w:pPr>
        <w:pStyle w:val="53"/>
        <w:spacing w:after="156" w:afterLines="50" w:line="360" w:lineRule="auto"/>
        <w:ind w:firstLine="480" w:firstLineChars="200"/>
        <w:rPr>
          <w:rFonts w:ascii="Arial" w:hAnsi="Arial" w:eastAsia="仿宋_GB2312"/>
          <w:sz w:val="24"/>
        </w:rPr>
      </w:pPr>
      <w:r>
        <w:rPr>
          <w:rFonts w:hint="eastAsia" w:ascii="Arial" w:hAnsi="Arial" w:eastAsia="仿宋_GB2312"/>
          <w:sz w:val="24"/>
        </w:rPr>
        <w:t>HIS系统调用区卫健委医疗电子票据冲红接口，传递原票据信息给平台，完成电子票据冲红。</w:t>
      </w:r>
    </w:p>
    <w:p>
      <w:pPr>
        <w:pStyle w:val="56"/>
        <w:numPr>
          <w:ilvl w:val="3"/>
          <w:numId w:val="9"/>
        </w:numPr>
        <w:tabs>
          <w:tab w:val="left" w:pos="360"/>
        </w:tabs>
        <w:ind w:left="0" w:firstLine="0"/>
      </w:pPr>
      <w:r>
        <w:rPr>
          <w:rFonts w:hint="eastAsia"/>
        </w:rPr>
        <w:t>根据</w:t>
      </w:r>
      <w:r>
        <w:t>业务流水号获取开票</w:t>
      </w:r>
      <w:r>
        <w:rPr>
          <w:rFonts w:hint="eastAsia"/>
        </w:rPr>
        <w:t>情况</w:t>
      </w:r>
      <w:r>
        <w:t>接口</w:t>
      </w:r>
    </w:p>
    <w:p>
      <w:pPr>
        <w:pStyle w:val="53"/>
        <w:spacing w:after="156" w:afterLines="50" w:line="360" w:lineRule="auto"/>
        <w:ind w:firstLine="480" w:firstLineChars="200"/>
        <w:rPr>
          <w:rFonts w:ascii="Arial" w:hAnsi="Arial" w:eastAsia="仿宋_GB2312"/>
          <w:sz w:val="24"/>
        </w:rPr>
      </w:pPr>
      <w:r>
        <w:rPr>
          <w:rFonts w:hint="eastAsia" w:ascii="Arial" w:hAnsi="Arial" w:eastAsia="仿宋_GB2312"/>
          <w:sz w:val="24"/>
        </w:rPr>
        <w:t>HIS系统</w:t>
      </w:r>
      <w:r>
        <w:rPr>
          <w:rFonts w:ascii="Arial" w:hAnsi="Arial" w:eastAsia="仿宋_GB2312"/>
          <w:sz w:val="24"/>
        </w:rPr>
        <w:t>根据</w:t>
      </w:r>
      <w:r>
        <w:rPr>
          <w:rFonts w:hint="eastAsia" w:ascii="Arial" w:hAnsi="Arial" w:eastAsia="仿宋_GB2312"/>
          <w:sz w:val="24"/>
        </w:rPr>
        <w:t>唯一业务</w:t>
      </w:r>
      <w:r>
        <w:rPr>
          <w:rFonts w:ascii="Arial" w:hAnsi="Arial" w:eastAsia="仿宋_GB2312"/>
          <w:sz w:val="24"/>
        </w:rPr>
        <w:t>流水号</w:t>
      </w:r>
      <w:r>
        <w:rPr>
          <w:rFonts w:hint="eastAsia" w:ascii="Arial" w:hAnsi="Arial" w:eastAsia="仿宋_GB2312"/>
          <w:sz w:val="24"/>
        </w:rPr>
        <w:t>向区卫健委医疗平台发起</w:t>
      </w:r>
      <w:r>
        <w:rPr>
          <w:rFonts w:ascii="Arial" w:hAnsi="Arial" w:eastAsia="仿宋_GB2312"/>
          <w:sz w:val="24"/>
        </w:rPr>
        <w:t>获取电子票据</w:t>
      </w:r>
      <w:r>
        <w:rPr>
          <w:rFonts w:hint="eastAsia" w:ascii="Arial" w:hAnsi="Arial" w:eastAsia="仿宋_GB2312"/>
          <w:sz w:val="24"/>
        </w:rPr>
        <w:t>开具结果</w:t>
      </w:r>
      <w:r>
        <w:rPr>
          <w:rFonts w:ascii="Arial" w:hAnsi="Arial" w:eastAsia="仿宋_GB2312"/>
          <w:sz w:val="24"/>
        </w:rPr>
        <w:t>请</w:t>
      </w:r>
      <w:r>
        <w:rPr>
          <w:rFonts w:hint="eastAsia" w:ascii="Arial" w:hAnsi="Arial" w:eastAsia="仿宋_GB2312"/>
          <w:sz w:val="24"/>
        </w:rPr>
        <w:t>求,</w:t>
      </w:r>
      <w:r>
        <w:rPr>
          <w:rFonts w:ascii="Arial" w:hAnsi="Arial" w:eastAsia="仿宋_GB2312"/>
          <w:sz w:val="24"/>
        </w:rPr>
        <w:t>获取电子票据信息</w:t>
      </w:r>
      <w:r>
        <w:rPr>
          <w:rFonts w:hint="eastAsia" w:ascii="Arial" w:hAnsi="Arial" w:eastAsia="仿宋_GB2312"/>
          <w:sz w:val="24"/>
        </w:rPr>
        <w:t>。</w:t>
      </w:r>
    </w:p>
    <w:p>
      <w:pPr>
        <w:pStyle w:val="56"/>
        <w:numPr>
          <w:ilvl w:val="3"/>
          <w:numId w:val="9"/>
        </w:numPr>
        <w:tabs>
          <w:tab w:val="left" w:pos="360"/>
        </w:tabs>
        <w:ind w:left="0" w:firstLine="0"/>
      </w:pPr>
      <w:r>
        <w:rPr>
          <w:rFonts w:hint="eastAsia"/>
        </w:rPr>
        <w:t>根据电子</w:t>
      </w:r>
      <w:r>
        <w:t>票据信息获取</w:t>
      </w:r>
      <w:r>
        <w:rPr>
          <w:rFonts w:hint="eastAsia"/>
        </w:rPr>
        <w:t>电子</w:t>
      </w:r>
      <w:r>
        <w:t>票据状态接口</w:t>
      </w:r>
    </w:p>
    <w:p>
      <w:pPr>
        <w:pStyle w:val="53"/>
        <w:spacing w:after="156" w:afterLines="50" w:line="360" w:lineRule="auto"/>
        <w:ind w:firstLine="480" w:firstLineChars="200"/>
        <w:rPr>
          <w:rFonts w:ascii="Arial" w:hAnsi="Arial" w:eastAsia="仿宋_GB2312"/>
          <w:sz w:val="24"/>
        </w:rPr>
      </w:pPr>
      <w:r>
        <w:rPr>
          <w:rFonts w:hint="eastAsia" w:ascii="Arial" w:hAnsi="Arial" w:eastAsia="仿宋_GB2312"/>
          <w:sz w:val="24"/>
        </w:rPr>
        <w:t>HIS系统</w:t>
      </w:r>
      <w:r>
        <w:rPr>
          <w:rFonts w:ascii="Arial" w:hAnsi="Arial" w:eastAsia="仿宋_GB2312"/>
          <w:sz w:val="24"/>
        </w:rPr>
        <w:t>根据</w:t>
      </w:r>
      <w:r>
        <w:rPr>
          <w:rFonts w:hint="eastAsia" w:ascii="Arial" w:hAnsi="Arial" w:eastAsia="仿宋_GB2312"/>
          <w:sz w:val="24"/>
        </w:rPr>
        <w:t>电子票据</w:t>
      </w:r>
      <w:r>
        <w:rPr>
          <w:rFonts w:ascii="Arial" w:hAnsi="Arial" w:eastAsia="仿宋_GB2312"/>
          <w:sz w:val="24"/>
        </w:rPr>
        <w:t>信息</w:t>
      </w:r>
      <w:r>
        <w:rPr>
          <w:rFonts w:hint="eastAsia" w:ascii="Arial" w:hAnsi="Arial" w:eastAsia="仿宋_GB2312"/>
          <w:sz w:val="24"/>
        </w:rPr>
        <w:t>向区卫健委医疗平台发起</w:t>
      </w:r>
      <w:r>
        <w:rPr>
          <w:rFonts w:ascii="Arial" w:hAnsi="Arial" w:eastAsia="仿宋_GB2312"/>
          <w:sz w:val="24"/>
        </w:rPr>
        <w:t>获取电子</w:t>
      </w:r>
      <w:r>
        <w:rPr>
          <w:rFonts w:hint="eastAsia" w:ascii="Arial" w:hAnsi="Arial" w:eastAsia="仿宋_GB2312"/>
          <w:sz w:val="24"/>
        </w:rPr>
        <w:t>票据状态</w:t>
      </w:r>
      <w:r>
        <w:rPr>
          <w:rFonts w:ascii="Arial" w:hAnsi="Arial" w:eastAsia="仿宋_GB2312"/>
          <w:sz w:val="24"/>
        </w:rPr>
        <w:t>请</w:t>
      </w:r>
      <w:r>
        <w:rPr>
          <w:rFonts w:hint="eastAsia" w:ascii="Arial" w:hAnsi="Arial" w:eastAsia="仿宋_GB2312"/>
          <w:sz w:val="24"/>
        </w:rPr>
        <w:t>求,</w:t>
      </w:r>
      <w:r>
        <w:rPr>
          <w:rFonts w:ascii="Arial" w:hAnsi="Arial" w:eastAsia="仿宋_GB2312"/>
          <w:sz w:val="24"/>
        </w:rPr>
        <w:t>获取</w:t>
      </w:r>
      <w:r>
        <w:rPr>
          <w:rFonts w:hint="eastAsia" w:ascii="Arial" w:hAnsi="Arial" w:eastAsia="仿宋_GB2312"/>
          <w:sz w:val="24"/>
        </w:rPr>
        <w:t>已</w:t>
      </w:r>
      <w:r>
        <w:rPr>
          <w:rFonts w:ascii="Arial" w:hAnsi="Arial" w:eastAsia="仿宋_GB2312"/>
          <w:sz w:val="24"/>
        </w:rPr>
        <w:t>开电子票据</w:t>
      </w:r>
      <w:r>
        <w:rPr>
          <w:rFonts w:hint="eastAsia" w:ascii="Arial" w:hAnsi="Arial" w:eastAsia="仿宋_GB2312"/>
          <w:sz w:val="24"/>
        </w:rPr>
        <w:t>的</w:t>
      </w:r>
      <w:r>
        <w:rPr>
          <w:rFonts w:ascii="Arial" w:hAnsi="Arial" w:eastAsia="仿宋_GB2312"/>
          <w:sz w:val="24"/>
        </w:rPr>
        <w:t>实际状态</w:t>
      </w:r>
      <w:r>
        <w:rPr>
          <w:rFonts w:hint="eastAsia" w:ascii="Arial" w:hAnsi="Arial" w:eastAsia="仿宋_GB2312"/>
          <w:sz w:val="24"/>
        </w:rPr>
        <w:t>信息。</w:t>
      </w:r>
    </w:p>
    <w:p>
      <w:pPr>
        <w:pStyle w:val="56"/>
        <w:numPr>
          <w:ilvl w:val="3"/>
          <w:numId w:val="9"/>
        </w:numPr>
        <w:tabs>
          <w:tab w:val="left" w:pos="360"/>
        </w:tabs>
        <w:ind w:left="0" w:firstLine="0"/>
      </w:pPr>
      <w:r>
        <w:rPr>
          <w:rFonts w:hint="eastAsia"/>
        </w:rPr>
        <w:t>根据流水号</w:t>
      </w:r>
      <w:r>
        <w:t>获取</w:t>
      </w:r>
      <w:r>
        <w:rPr>
          <w:rFonts w:hint="eastAsia"/>
        </w:rPr>
        <w:t>电子</w:t>
      </w:r>
      <w:r>
        <w:t>票据状态接口</w:t>
      </w:r>
    </w:p>
    <w:p>
      <w:pPr>
        <w:pStyle w:val="53"/>
        <w:spacing w:after="156" w:afterLines="50" w:line="360" w:lineRule="auto"/>
        <w:ind w:firstLine="480" w:firstLineChars="200"/>
        <w:rPr>
          <w:rFonts w:ascii="Arial" w:hAnsi="Arial" w:eastAsia="仿宋_GB2312"/>
          <w:sz w:val="24"/>
        </w:rPr>
      </w:pPr>
      <w:r>
        <w:rPr>
          <w:rFonts w:hint="eastAsia" w:ascii="Arial" w:hAnsi="Arial" w:eastAsia="仿宋_GB2312"/>
          <w:sz w:val="24"/>
        </w:rPr>
        <w:t>HIS系统</w:t>
      </w:r>
      <w:r>
        <w:rPr>
          <w:rFonts w:ascii="Arial" w:hAnsi="Arial" w:eastAsia="仿宋_GB2312"/>
          <w:sz w:val="24"/>
        </w:rPr>
        <w:t>根据</w:t>
      </w:r>
      <w:r>
        <w:rPr>
          <w:rFonts w:hint="eastAsia" w:ascii="Arial" w:hAnsi="Arial" w:eastAsia="仿宋_GB2312"/>
          <w:sz w:val="24"/>
        </w:rPr>
        <w:t>流水号向区卫健委医疗平台发起</w:t>
      </w:r>
      <w:r>
        <w:rPr>
          <w:rFonts w:ascii="Arial" w:hAnsi="Arial" w:eastAsia="仿宋_GB2312"/>
          <w:sz w:val="24"/>
        </w:rPr>
        <w:t>获取电子</w:t>
      </w:r>
      <w:r>
        <w:rPr>
          <w:rFonts w:hint="eastAsia" w:ascii="Arial" w:hAnsi="Arial" w:eastAsia="仿宋_GB2312"/>
          <w:sz w:val="24"/>
        </w:rPr>
        <w:t>票据状态</w:t>
      </w:r>
      <w:r>
        <w:rPr>
          <w:rFonts w:ascii="Arial" w:hAnsi="Arial" w:eastAsia="仿宋_GB2312"/>
          <w:sz w:val="24"/>
        </w:rPr>
        <w:t>请</w:t>
      </w:r>
      <w:r>
        <w:rPr>
          <w:rFonts w:hint="eastAsia" w:ascii="Arial" w:hAnsi="Arial" w:eastAsia="仿宋_GB2312"/>
          <w:sz w:val="24"/>
        </w:rPr>
        <w:t>求,</w:t>
      </w:r>
      <w:r>
        <w:rPr>
          <w:rFonts w:ascii="Arial" w:hAnsi="Arial" w:eastAsia="仿宋_GB2312"/>
          <w:sz w:val="24"/>
        </w:rPr>
        <w:t>获取</w:t>
      </w:r>
      <w:r>
        <w:rPr>
          <w:rFonts w:hint="eastAsia" w:ascii="Arial" w:hAnsi="Arial" w:eastAsia="仿宋_GB2312"/>
          <w:sz w:val="24"/>
        </w:rPr>
        <w:t>已</w:t>
      </w:r>
      <w:r>
        <w:rPr>
          <w:rFonts w:ascii="Arial" w:hAnsi="Arial" w:eastAsia="仿宋_GB2312"/>
          <w:sz w:val="24"/>
        </w:rPr>
        <w:t>开电子票据</w:t>
      </w:r>
      <w:r>
        <w:rPr>
          <w:rFonts w:hint="eastAsia" w:ascii="Arial" w:hAnsi="Arial" w:eastAsia="仿宋_GB2312"/>
          <w:sz w:val="24"/>
        </w:rPr>
        <w:t>的</w:t>
      </w:r>
      <w:r>
        <w:rPr>
          <w:rFonts w:ascii="Arial" w:hAnsi="Arial" w:eastAsia="仿宋_GB2312"/>
          <w:sz w:val="24"/>
        </w:rPr>
        <w:t>实际状态</w:t>
      </w:r>
      <w:r>
        <w:rPr>
          <w:rFonts w:hint="eastAsia" w:ascii="Arial" w:hAnsi="Arial" w:eastAsia="仿宋_GB2312"/>
          <w:sz w:val="24"/>
        </w:rPr>
        <w:t>信息。</w:t>
      </w:r>
    </w:p>
    <w:p>
      <w:pPr>
        <w:pStyle w:val="56"/>
        <w:numPr>
          <w:ilvl w:val="3"/>
          <w:numId w:val="9"/>
        </w:numPr>
        <w:tabs>
          <w:tab w:val="left" w:pos="360"/>
        </w:tabs>
        <w:ind w:left="0" w:firstLine="0"/>
      </w:pPr>
      <w:r>
        <w:rPr>
          <w:rFonts w:hint="eastAsia"/>
        </w:rPr>
        <w:t>获取电子</w:t>
      </w:r>
      <w:r>
        <w:t>票据图片接口</w:t>
      </w:r>
    </w:p>
    <w:p>
      <w:pPr>
        <w:pStyle w:val="53"/>
        <w:spacing w:after="156" w:afterLines="50" w:line="360" w:lineRule="auto"/>
        <w:ind w:firstLine="480" w:firstLineChars="200"/>
        <w:rPr>
          <w:rFonts w:ascii="Arial" w:hAnsi="Arial" w:eastAsia="仿宋_GB2312"/>
          <w:sz w:val="24"/>
        </w:rPr>
      </w:pPr>
      <w:r>
        <w:rPr>
          <w:rFonts w:hint="eastAsia" w:ascii="Arial" w:hAnsi="Arial" w:eastAsia="仿宋_GB2312"/>
          <w:sz w:val="24"/>
        </w:rPr>
        <w:t>HIS系统</w:t>
      </w:r>
      <w:r>
        <w:rPr>
          <w:rFonts w:ascii="Arial" w:hAnsi="Arial" w:eastAsia="仿宋_GB2312"/>
          <w:sz w:val="24"/>
        </w:rPr>
        <w:t>根据电子票据相关</w:t>
      </w:r>
      <w:r>
        <w:rPr>
          <w:rFonts w:hint="eastAsia" w:ascii="Arial" w:hAnsi="Arial" w:eastAsia="仿宋_GB2312"/>
          <w:sz w:val="24"/>
        </w:rPr>
        <w:t>信息向医疗电子</w:t>
      </w:r>
      <w:r>
        <w:rPr>
          <w:rFonts w:ascii="Arial" w:hAnsi="Arial" w:eastAsia="仿宋_GB2312"/>
          <w:sz w:val="24"/>
        </w:rPr>
        <w:t>票据管理平台</w:t>
      </w:r>
      <w:r>
        <w:rPr>
          <w:rFonts w:hint="eastAsia" w:ascii="Arial" w:hAnsi="Arial" w:eastAsia="仿宋_GB2312"/>
          <w:sz w:val="24"/>
        </w:rPr>
        <w:t>发起</w:t>
      </w:r>
      <w:r>
        <w:rPr>
          <w:rFonts w:ascii="Arial" w:hAnsi="Arial" w:eastAsia="仿宋_GB2312"/>
          <w:sz w:val="24"/>
        </w:rPr>
        <w:t>获取电子票据</w:t>
      </w:r>
      <w:r>
        <w:rPr>
          <w:rFonts w:hint="eastAsia" w:ascii="Arial" w:hAnsi="Arial" w:eastAsia="仿宋_GB2312"/>
          <w:sz w:val="24"/>
        </w:rPr>
        <w:t>图片。</w:t>
      </w:r>
    </w:p>
    <w:p>
      <w:pPr>
        <w:pStyle w:val="56"/>
        <w:numPr>
          <w:ilvl w:val="3"/>
          <w:numId w:val="9"/>
        </w:numPr>
        <w:tabs>
          <w:tab w:val="left" w:pos="360"/>
        </w:tabs>
        <w:ind w:left="0" w:firstLine="0"/>
      </w:pPr>
      <w:r>
        <w:rPr>
          <w:rFonts w:hint="eastAsia"/>
        </w:rPr>
        <w:t>获取电子</w:t>
      </w:r>
      <w:r>
        <w:t>票据告知</w:t>
      </w:r>
      <w:r>
        <w:rPr>
          <w:rFonts w:hint="eastAsia"/>
        </w:rPr>
        <w:t>单</w:t>
      </w:r>
      <w:r>
        <w:t>图片接口</w:t>
      </w:r>
    </w:p>
    <w:p>
      <w:pPr>
        <w:pStyle w:val="53"/>
        <w:spacing w:after="156" w:afterLines="50" w:line="360" w:lineRule="auto"/>
        <w:ind w:firstLine="480" w:firstLineChars="200"/>
        <w:rPr>
          <w:rFonts w:ascii="Arial" w:hAnsi="Arial" w:eastAsia="仿宋_GB2312"/>
          <w:sz w:val="24"/>
        </w:rPr>
      </w:pPr>
      <w:r>
        <w:rPr>
          <w:rFonts w:hint="eastAsia" w:ascii="Arial" w:hAnsi="Arial" w:eastAsia="仿宋_GB2312"/>
          <w:sz w:val="24"/>
        </w:rPr>
        <w:t>HIS系统</w:t>
      </w:r>
      <w:r>
        <w:rPr>
          <w:rFonts w:ascii="Arial" w:hAnsi="Arial" w:eastAsia="仿宋_GB2312"/>
          <w:sz w:val="24"/>
        </w:rPr>
        <w:t>根据电子票据相关</w:t>
      </w:r>
      <w:r>
        <w:rPr>
          <w:rFonts w:hint="eastAsia" w:ascii="Arial" w:hAnsi="Arial" w:eastAsia="仿宋_GB2312"/>
          <w:sz w:val="24"/>
        </w:rPr>
        <w:t>信息向医疗电子</w:t>
      </w:r>
      <w:r>
        <w:rPr>
          <w:rFonts w:ascii="Arial" w:hAnsi="Arial" w:eastAsia="仿宋_GB2312"/>
          <w:sz w:val="24"/>
        </w:rPr>
        <w:t>票据管理平台</w:t>
      </w:r>
      <w:r>
        <w:rPr>
          <w:rFonts w:hint="eastAsia" w:ascii="Arial" w:hAnsi="Arial" w:eastAsia="仿宋_GB2312"/>
          <w:sz w:val="24"/>
        </w:rPr>
        <w:t>发起</w:t>
      </w:r>
      <w:r>
        <w:rPr>
          <w:rFonts w:ascii="Arial" w:hAnsi="Arial" w:eastAsia="仿宋_GB2312"/>
          <w:sz w:val="24"/>
        </w:rPr>
        <w:t>获取电子票据告知单</w:t>
      </w:r>
      <w:r>
        <w:rPr>
          <w:rFonts w:hint="eastAsia" w:ascii="Arial" w:hAnsi="Arial" w:eastAsia="仿宋_GB2312"/>
          <w:sz w:val="24"/>
        </w:rPr>
        <w:t>图片。</w:t>
      </w:r>
    </w:p>
    <w:p>
      <w:pPr>
        <w:pStyle w:val="56"/>
        <w:numPr>
          <w:ilvl w:val="3"/>
          <w:numId w:val="9"/>
        </w:numPr>
        <w:tabs>
          <w:tab w:val="left" w:pos="360"/>
        </w:tabs>
        <w:ind w:left="0" w:firstLine="0"/>
      </w:pPr>
      <w:r>
        <w:rPr>
          <w:rFonts w:hint="eastAsia"/>
        </w:rPr>
        <w:t>获取电子</w:t>
      </w:r>
      <w:r>
        <w:t>票据告知</w:t>
      </w:r>
      <w:r>
        <w:rPr>
          <w:rFonts w:hint="eastAsia"/>
        </w:rPr>
        <w:t>单详细内容</w:t>
      </w:r>
      <w:r>
        <w:t>接口</w:t>
      </w:r>
    </w:p>
    <w:p>
      <w:pPr>
        <w:pStyle w:val="53"/>
        <w:spacing w:after="156" w:afterLines="50" w:line="360" w:lineRule="auto"/>
        <w:ind w:firstLine="480" w:firstLineChars="200"/>
        <w:rPr>
          <w:rFonts w:ascii="Arial" w:hAnsi="Arial" w:eastAsia="仿宋_GB2312"/>
          <w:sz w:val="24"/>
        </w:rPr>
      </w:pPr>
      <w:r>
        <w:rPr>
          <w:rFonts w:hint="eastAsia" w:ascii="Arial" w:hAnsi="Arial" w:eastAsia="仿宋_GB2312"/>
          <w:sz w:val="24"/>
        </w:rPr>
        <w:t>HIS系统</w:t>
      </w:r>
      <w:r>
        <w:rPr>
          <w:rFonts w:ascii="Arial" w:hAnsi="Arial" w:eastAsia="仿宋_GB2312"/>
          <w:sz w:val="24"/>
        </w:rPr>
        <w:t>根据电子票据相关</w:t>
      </w:r>
      <w:r>
        <w:rPr>
          <w:rFonts w:hint="eastAsia" w:ascii="Arial" w:hAnsi="Arial" w:eastAsia="仿宋_GB2312"/>
          <w:sz w:val="24"/>
        </w:rPr>
        <w:t>信息向医疗电子</w:t>
      </w:r>
      <w:r>
        <w:rPr>
          <w:rFonts w:ascii="Arial" w:hAnsi="Arial" w:eastAsia="仿宋_GB2312"/>
          <w:sz w:val="24"/>
        </w:rPr>
        <w:t>票据管理平台</w:t>
      </w:r>
      <w:r>
        <w:rPr>
          <w:rFonts w:hint="eastAsia" w:ascii="Arial" w:hAnsi="Arial" w:eastAsia="仿宋_GB2312"/>
          <w:sz w:val="24"/>
        </w:rPr>
        <w:t>发起</w:t>
      </w:r>
      <w:r>
        <w:rPr>
          <w:rFonts w:ascii="Arial" w:hAnsi="Arial" w:eastAsia="仿宋_GB2312"/>
          <w:sz w:val="24"/>
        </w:rPr>
        <w:t>获取电子票据告知单</w:t>
      </w:r>
      <w:r>
        <w:rPr>
          <w:rFonts w:hint="eastAsia" w:ascii="Arial" w:hAnsi="Arial" w:eastAsia="仿宋_GB2312"/>
          <w:sz w:val="24"/>
        </w:rPr>
        <w:t>上所需要</w:t>
      </w:r>
      <w:r>
        <w:rPr>
          <w:rFonts w:ascii="Arial" w:hAnsi="Arial" w:eastAsia="仿宋_GB2312"/>
          <w:sz w:val="24"/>
        </w:rPr>
        <w:t>的信息</w:t>
      </w:r>
      <w:r>
        <w:rPr>
          <w:rFonts w:hint="eastAsia" w:ascii="Arial" w:hAnsi="Arial" w:eastAsia="仿宋_GB2312"/>
          <w:sz w:val="24"/>
        </w:rPr>
        <w:t>内容。</w:t>
      </w:r>
    </w:p>
    <w:p>
      <w:pPr>
        <w:pStyle w:val="56"/>
        <w:numPr>
          <w:ilvl w:val="3"/>
          <w:numId w:val="9"/>
        </w:numPr>
        <w:tabs>
          <w:tab w:val="left" w:pos="360"/>
        </w:tabs>
        <w:ind w:left="0" w:firstLine="0"/>
      </w:pPr>
      <w:r>
        <w:rPr>
          <w:rFonts w:hint="eastAsia"/>
        </w:rPr>
        <w:t>获取单张</w:t>
      </w:r>
      <w:r>
        <w:t>电子票</w:t>
      </w:r>
      <w:r>
        <w:rPr>
          <w:rFonts w:hint="eastAsia"/>
        </w:rPr>
        <w:t>据</w:t>
      </w:r>
      <w:r>
        <w:t>明细接口</w:t>
      </w:r>
    </w:p>
    <w:p>
      <w:pPr>
        <w:pStyle w:val="53"/>
        <w:spacing w:after="156" w:afterLines="50" w:line="360" w:lineRule="auto"/>
        <w:ind w:firstLine="480" w:firstLineChars="200"/>
        <w:rPr>
          <w:rFonts w:ascii="Arial" w:hAnsi="Arial" w:eastAsia="仿宋_GB2312"/>
          <w:sz w:val="24"/>
        </w:rPr>
      </w:pPr>
      <w:r>
        <w:rPr>
          <w:rFonts w:hint="eastAsia" w:ascii="Arial" w:hAnsi="Arial" w:eastAsia="仿宋_GB2312"/>
          <w:sz w:val="24"/>
        </w:rPr>
        <w:t>HIS系统</w:t>
      </w:r>
      <w:r>
        <w:rPr>
          <w:rFonts w:ascii="Arial" w:hAnsi="Arial" w:eastAsia="仿宋_GB2312"/>
          <w:sz w:val="24"/>
        </w:rPr>
        <w:t>根据电子票据相关</w:t>
      </w:r>
      <w:r>
        <w:rPr>
          <w:rFonts w:hint="eastAsia" w:ascii="Arial" w:hAnsi="Arial" w:eastAsia="仿宋_GB2312"/>
          <w:sz w:val="24"/>
        </w:rPr>
        <w:t>信息向医疗电子</w:t>
      </w:r>
      <w:r>
        <w:rPr>
          <w:rFonts w:ascii="Arial" w:hAnsi="Arial" w:eastAsia="仿宋_GB2312"/>
          <w:sz w:val="24"/>
        </w:rPr>
        <w:t>票据管理平台</w:t>
      </w:r>
      <w:r>
        <w:rPr>
          <w:rFonts w:hint="eastAsia" w:ascii="Arial" w:hAnsi="Arial" w:eastAsia="仿宋_GB2312"/>
          <w:sz w:val="24"/>
        </w:rPr>
        <w:t>发起</w:t>
      </w:r>
      <w:r>
        <w:rPr>
          <w:rFonts w:ascii="Arial" w:hAnsi="Arial" w:eastAsia="仿宋_GB2312"/>
          <w:sz w:val="24"/>
        </w:rPr>
        <w:t>查询</w:t>
      </w:r>
      <w:r>
        <w:rPr>
          <w:rFonts w:hint="eastAsia" w:ascii="Arial" w:hAnsi="Arial" w:eastAsia="仿宋_GB2312"/>
          <w:sz w:val="24"/>
        </w:rPr>
        <w:t>电子</w:t>
      </w:r>
      <w:r>
        <w:rPr>
          <w:rFonts w:ascii="Arial" w:hAnsi="Arial" w:eastAsia="仿宋_GB2312"/>
          <w:sz w:val="24"/>
        </w:rPr>
        <w:t>票据明细数据。</w:t>
      </w:r>
    </w:p>
    <w:p>
      <w:pPr>
        <w:pStyle w:val="55"/>
        <w:numPr>
          <w:ilvl w:val="2"/>
          <w:numId w:val="7"/>
        </w:numPr>
        <w:tabs>
          <w:tab w:val="left" w:pos="360"/>
        </w:tabs>
        <w:ind w:left="0" w:firstLine="0"/>
      </w:pPr>
      <w:bookmarkStart w:id="23" w:name="_Toc49963863"/>
      <w:bookmarkStart w:id="24" w:name="_Toc49951794"/>
      <w:bookmarkStart w:id="25" w:name="_Toc80990141"/>
      <w:r>
        <w:rPr>
          <w:rFonts w:hint="eastAsia"/>
        </w:rPr>
        <w:t>与财政电子票据管理系统</w:t>
      </w:r>
      <w:bookmarkEnd w:id="23"/>
      <w:bookmarkEnd w:id="24"/>
      <w:r>
        <w:rPr>
          <w:rFonts w:hint="eastAsia"/>
        </w:rPr>
        <w:t>数据交换</w:t>
      </w:r>
      <w:bookmarkEnd w:id="25"/>
    </w:p>
    <w:p>
      <w:pPr>
        <w:pStyle w:val="53"/>
        <w:spacing w:after="156" w:afterLines="50" w:line="360" w:lineRule="auto"/>
        <w:ind w:firstLine="480" w:firstLineChars="200"/>
        <w:rPr>
          <w:rFonts w:ascii="Arial" w:hAnsi="Arial" w:eastAsia="仿宋_GB2312"/>
          <w:sz w:val="24"/>
        </w:rPr>
      </w:pPr>
      <w:r>
        <w:rPr>
          <w:rFonts w:hint="eastAsia" w:ascii="Arial" w:hAnsi="Arial" w:eastAsia="仿宋_GB2312"/>
          <w:sz w:val="24"/>
        </w:rPr>
        <w:t>医疗电子票据是财政电子票据的一种，需要通过区卫健委医疗电子票据平台的交换服务与财政电子票据管理系统进行基础信息、票据库存信息同步、开票信息上传、电子票据本身上传的定时数据交换。</w:t>
      </w:r>
    </w:p>
    <w:p>
      <w:pPr>
        <w:pStyle w:val="56"/>
        <w:numPr>
          <w:ilvl w:val="3"/>
          <w:numId w:val="9"/>
        </w:numPr>
        <w:tabs>
          <w:tab w:val="left" w:pos="360"/>
        </w:tabs>
        <w:ind w:left="0" w:firstLine="0"/>
      </w:pPr>
      <w:r>
        <w:rPr>
          <w:rFonts w:hint="eastAsia"/>
        </w:rPr>
        <w:t>基础信息同步</w:t>
      </w:r>
    </w:p>
    <w:p>
      <w:pPr>
        <w:pStyle w:val="53"/>
        <w:spacing w:after="156" w:afterLines="50" w:line="360" w:lineRule="auto"/>
        <w:ind w:firstLine="480" w:firstLineChars="200"/>
        <w:rPr>
          <w:rFonts w:ascii="Arial" w:hAnsi="Arial" w:eastAsia="仿宋_GB2312"/>
          <w:sz w:val="24"/>
        </w:rPr>
      </w:pPr>
      <w:r>
        <w:rPr>
          <w:rFonts w:hint="eastAsia" w:ascii="Arial" w:hAnsi="Arial" w:eastAsia="仿宋_GB2312"/>
          <w:sz w:val="24"/>
        </w:rPr>
        <w:t>区卫健委医疗电子票据平台需要通过数据交换服务，同步电子票据基础信息。</w:t>
      </w:r>
    </w:p>
    <w:p>
      <w:pPr>
        <w:pStyle w:val="56"/>
        <w:numPr>
          <w:ilvl w:val="3"/>
          <w:numId w:val="9"/>
        </w:numPr>
        <w:tabs>
          <w:tab w:val="left" w:pos="360"/>
        </w:tabs>
        <w:ind w:left="0" w:firstLine="0"/>
      </w:pPr>
      <w:r>
        <w:rPr>
          <w:rFonts w:hint="eastAsia"/>
        </w:rPr>
        <w:t>票据库存信息同步</w:t>
      </w:r>
    </w:p>
    <w:p>
      <w:pPr>
        <w:pStyle w:val="53"/>
        <w:spacing w:after="156" w:afterLines="50" w:line="360" w:lineRule="auto"/>
        <w:ind w:firstLine="480" w:firstLineChars="200"/>
        <w:rPr>
          <w:rFonts w:ascii="Arial" w:hAnsi="Arial" w:eastAsia="仿宋_GB2312"/>
          <w:sz w:val="24"/>
        </w:rPr>
      </w:pPr>
      <w:r>
        <w:rPr>
          <w:rFonts w:hint="eastAsia" w:ascii="Arial" w:hAnsi="Arial" w:eastAsia="仿宋_GB2312"/>
          <w:sz w:val="24"/>
        </w:rPr>
        <w:t>区卫健委医疗电子票据平台需要通过数据交换服务，同步财政给医院下发的电子票据、纸质票据库存信息。</w:t>
      </w:r>
    </w:p>
    <w:p>
      <w:pPr>
        <w:pStyle w:val="56"/>
        <w:numPr>
          <w:ilvl w:val="3"/>
          <w:numId w:val="9"/>
        </w:numPr>
        <w:tabs>
          <w:tab w:val="left" w:pos="360"/>
        </w:tabs>
        <w:ind w:left="0" w:firstLine="0"/>
      </w:pPr>
      <w:r>
        <w:rPr>
          <w:rFonts w:hint="eastAsia"/>
        </w:rPr>
        <w:t>开票信息上传</w:t>
      </w:r>
    </w:p>
    <w:p>
      <w:pPr>
        <w:pStyle w:val="53"/>
        <w:spacing w:after="156" w:afterLines="50" w:line="360" w:lineRule="auto"/>
        <w:ind w:firstLine="480" w:firstLineChars="200"/>
        <w:rPr>
          <w:rFonts w:ascii="Arial" w:hAnsi="Arial" w:eastAsia="仿宋_GB2312"/>
          <w:sz w:val="24"/>
        </w:rPr>
      </w:pPr>
      <w:r>
        <w:rPr>
          <w:rFonts w:hint="eastAsia" w:ascii="Arial" w:hAnsi="Arial" w:eastAsia="仿宋_GB2312"/>
          <w:sz w:val="24"/>
        </w:rPr>
        <w:t>区卫健委医疗电子票据平台需要通过数据交换服务，定时同步医院开票信息（电子票据、纸质票据）到财政。</w:t>
      </w:r>
    </w:p>
    <w:p>
      <w:pPr>
        <w:pStyle w:val="56"/>
        <w:numPr>
          <w:ilvl w:val="3"/>
          <w:numId w:val="9"/>
        </w:numPr>
        <w:tabs>
          <w:tab w:val="left" w:pos="360"/>
        </w:tabs>
        <w:ind w:left="0" w:firstLine="0"/>
      </w:pPr>
      <w:r>
        <w:rPr>
          <w:rFonts w:hint="eastAsia"/>
        </w:rPr>
        <w:t>电子票据下载</w:t>
      </w:r>
    </w:p>
    <w:p>
      <w:pPr>
        <w:pStyle w:val="53"/>
        <w:spacing w:after="156" w:afterLines="50" w:line="360" w:lineRule="auto"/>
        <w:ind w:firstLine="480" w:firstLineChars="200"/>
        <w:rPr>
          <w:rFonts w:ascii="Arial" w:hAnsi="Arial" w:eastAsia="仿宋_GB2312"/>
          <w:sz w:val="24"/>
        </w:rPr>
      </w:pPr>
      <w:r>
        <w:rPr>
          <w:rFonts w:hint="eastAsia" w:ascii="Arial" w:hAnsi="Arial" w:eastAsia="仿宋_GB2312"/>
          <w:sz w:val="24"/>
        </w:rPr>
        <w:t>区卫健委医疗电子票据平台需要通过数据交换服务，定时下载医院开具并通过财政监制的电子票据到医疗平台电子档案中，完成电子票据归档。</w:t>
      </w:r>
    </w:p>
    <w:p>
      <w:pPr>
        <w:pStyle w:val="55"/>
        <w:numPr>
          <w:ilvl w:val="2"/>
          <w:numId w:val="7"/>
        </w:numPr>
        <w:tabs>
          <w:tab w:val="left" w:pos="360"/>
        </w:tabs>
        <w:ind w:left="0" w:firstLine="0"/>
      </w:pPr>
      <w:bookmarkStart w:id="26" w:name="_Toc49963866"/>
      <w:bookmarkStart w:id="27" w:name="_Toc80990142"/>
      <w:bookmarkStart w:id="28" w:name="_Toc49951797"/>
      <w:bookmarkStart w:id="29" w:name="_Toc78103691"/>
      <w:bookmarkStart w:id="30" w:name="_Toc78120735"/>
      <w:bookmarkStart w:id="31" w:name="_Toc78120731"/>
      <w:bookmarkStart w:id="32" w:name="_Toc78103687"/>
      <w:bookmarkStart w:id="33" w:name="_Toc14449488"/>
      <w:bookmarkStart w:id="34" w:name="_Toc14449501"/>
      <w:r>
        <w:rPr>
          <w:rFonts w:hint="eastAsia"/>
        </w:rPr>
        <w:t>与财务系统对接</w:t>
      </w:r>
      <w:bookmarkEnd w:id="26"/>
      <w:bookmarkEnd w:id="27"/>
      <w:bookmarkEnd w:id="28"/>
    </w:p>
    <w:p>
      <w:pPr>
        <w:pStyle w:val="53"/>
        <w:spacing w:after="156" w:afterLines="50" w:line="360" w:lineRule="auto"/>
        <w:ind w:firstLine="480" w:firstLineChars="200"/>
        <w:rPr>
          <w:rFonts w:ascii="Arial" w:hAnsi="Arial" w:eastAsia="仿宋_GB2312"/>
          <w:sz w:val="24"/>
        </w:rPr>
      </w:pPr>
      <w:r>
        <w:rPr>
          <w:rFonts w:hint="eastAsia" w:ascii="Arial" w:hAnsi="Arial" w:eastAsia="仿宋_GB2312"/>
          <w:sz w:val="24"/>
        </w:rPr>
        <w:t>完成并与医院会计系统进行对接，实现医疗票据的入账反馈工作。</w:t>
      </w:r>
    </w:p>
    <w:p>
      <w:pPr>
        <w:pStyle w:val="56"/>
        <w:numPr>
          <w:ilvl w:val="3"/>
          <w:numId w:val="9"/>
        </w:numPr>
        <w:tabs>
          <w:tab w:val="left" w:pos="360"/>
        </w:tabs>
        <w:ind w:left="0" w:firstLine="0"/>
      </w:pPr>
      <w:r>
        <w:rPr>
          <w:rFonts w:hint="eastAsia"/>
        </w:rPr>
        <w:t>接收会计凭证号与电子票号对照关系接口</w:t>
      </w:r>
    </w:p>
    <w:p>
      <w:pPr>
        <w:pStyle w:val="53"/>
        <w:spacing w:after="156" w:afterLines="50" w:line="360" w:lineRule="auto"/>
        <w:ind w:firstLine="480" w:firstLineChars="200"/>
        <w:rPr>
          <w:rFonts w:ascii="Arial" w:hAnsi="Arial" w:eastAsia="仿宋_GB2312"/>
          <w:sz w:val="24"/>
        </w:rPr>
      </w:pPr>
      <w:r>
        <w:rPr>
          <w:rFonts w:hint="eastAsia" w:ascii="Arial" w:hAnsi="Arial" w:eastAsia="仿宋_GB2312"/>
          <w:sz w:val="24"/>
        </w:rPr>
        <w:t>财务系统与完成记账后，财务系统将会计凭证号与票号的对照关系，发送给区卫健委医疗电子票据系统。</w:t>
      </w:r>
    </w:p>
    <w:p>
      <w:pPr>
        <w:pStyle w:val="56"/>
        <w:numPr>
          <w:ilvl w:val="3"/>
          <w:numId w:val="9"/>
        </w:numPr>
        <w:tabs>
          <w:tab w:val="left" w:pos="360"/>
        </w:tabs>
        <w:ind w:left="0" w:firstLine="0"/>
      </w:pPr>
      <w:r>
        <w:rPr>
          <w:rFonts w:hint="eastAsia"/>
        </w:rPr>
        <w:t>查询电子票据原始凭证接口</w:t>
      </w:r>
    </w:p>
    <w:p>
      <w:pPr>
        <w:pStyle w:val="53"/>
        <w:spacing w:after="156" w:afterLines="50" w:line="360" w:lineRule="auto"/>
        <w:ind w:firstLine="480" w:firstLineChars="200"/>
        <w:rPr>
          <w:rFonts w:ascii="Arial" w:hAnsi="Arial" w:eastAsia="仿宋_GB2312"/>
          <w:sz w:val="24"/>
        </w:rPr>
      </w:pPr>
      <w:r>
        <w:rPr>
          <w:rFonts w:hint="eastAsia" w:ascii="Arial" w:hAnsi="Arial" w:eastAsia="仿宋_GB2312"/>
          <w:sz w:val="24"/>
        </w:rPr>
        <w:t>财务系统可通过此接口，获取单张电子票据原始凭证(PNG格式图片)。</w:t>
      </w:r>
    </w:p>
    <w:p>
      <w:pPr>
        <w:pStyle w:val="56"/>
        <w:numPr>
          <w:ilvl w:val="3"/>
          <w:numId w:val="9"/>
        </w:numPr>
        <w:tabs>
          <w:tab w:val="left" w:pos="360"/>
        </w:tabs>
        <w:ind w:left="0" w:firstLine="0"/>
      </w:pPr>
      <w:r>
        <w:rPr>
          <w:rFonts w:hint="eastAsia"/>
        </w:rPr>
        <w:t>查询电子票据清单列表接口</w:t>
      </w:r>
    </w:p>
    <w:p>
      <w:pPr>
        <w:pStyle w:val="53"/>
        <w:spacing w:after="156" w:afterLines="50" w:line="360" w:lineRule="auto"/>
        <w:ind w:firstLine="480" w:firstLineChars="200"/>
        <w:rPr>
          <w:rFonts w:ascii="Arial" w:hAnsi="Arial" w:eastAsia="仿宋_GB2312"/>
          <w:sz w:val="24"/>
        </w:rPr>
      </w:pPr>
      <w:r>
        <w:rPr>
          <w:rFonts w:hint="eastAsia" w:ascii="Arial" w:hAnsi="Arial" w:eastAsia="仿宋_GB2312"/>
          <w:sz w:val="24"/>
        </w:rPr>
        <w:t>财务系统根据凭证号，获取电子票据清单列表信息。</w:t>
      </w:r>
    </w:p>
    <w:p>
      <w:pPr>
        <w:pStyle w:val="56"/>
        <w:numPr>
          <w:ilvl w:val="3"/>
          <w:numId w:val="9"/>
        </w:numPr>
        <w:tabs>
          <w:tab w:val="left" w:pos="360"/>
        </w:tabs>
        <w:ind w:left="0" w:firstLine="0"/>
      </w:pPr>
      <w:r>
        <w:rPr>
          <w:rFonts w:hint="eastAsia"/>
        </w:rPr>
        <w:t>电子票据汇总单入账</w:t>
      </w:r>
    </w:p>
    <w:p>
      <w:pPr>
        <w:pStyle w:val="6"/>
        <w:numPr>
          <w:ilvl w:val="4"/>
          <w:numId w:val="10"/>
        </w:numPr>
      </w:pPr>
      <w:r>
        <w:rPr>
          <w:rFonts w:hint="eastAsia"/>
        </w:rPr>
        <w:t>电子票据汇总单下载接口</w:t>
      </w:r>
    </w:p>
    <w:p>
      <w:pPr>
        <w:pStyle w:val="53"/>
        <w:spacing w:after="156" w:afterLines="50" w:line="360" w:lineRule="auto"/>
        <w:ind w:firstLine="480" w:firstLineChars="200"/>
        <w:rPr>
          <w:rFonts w:ascii="Arial" w:hAnsi="Arial" w:eastAsia="仿宋_GB2312"/>
          <w:sz w:val="24"/>
        </w:rPr>
      </w:pPr>
      <w:r>
        <w:rPr>
          <w:rFonts w:hint="eastAsia" w:ascii="Arial" w:hAnsi="Arial" w:eastAsia="仿宋_GB2312"/>
          <w:sz w:val="24"/>
        </w:rPr>
        <w:t>财务系统可通过此接口，向区卫健委医疗电子票据系统获取电子票据汇总单信息。</w:t>
      </w:r>
    </w:p>
    <w:p>
      <w:pPr>
        <w:pStyle w:val="6"/>
        <w:numPr>
          <w:ilvl w:val="4"/>
          <w:numId w:val="10"/>
        </w:numPr>
      </w:pPr>
      <w:r>
        <w:rPr>
          <w:rFonts w:hint="eastAsia"/>
        </w:rPr>
        <w:t>汇总单记账信息反馈接口</w:t>
      </w:r>
    </w:p>
    <w:p>
      <w:pPr>
        <w:pStyle w:val="53"/>
        <w:spacing w:after="156" w:afterLines="50" w:line="360" w:lineRule="auto"/>
        <w:ind w:firstLine="480" w:firstLineChars="200"/>
        <w:rPr>
          <w:rFonts w:ascii="Arial" w:hAnsi="Arial" w:eastAsia="仿宋_GB2312"/>
          <w:sz w:val="24"/>
        </w:rPr>
      </w:pPr>
      <w:r>
        <w:rPr>
          <w:rFonts w:hint="eastAsia" w:ascii="Arial" w:hAnsi="Arial" w:eastAsia="仿宋_GB2312"/>
          <w:sz w:val="24"/>
        </w:rPr>
        <w:t>财务系统通过此接口汇总单已记账信息反馈给区卫健委医疗电子票据系统。</w:t>
      </w:r>
    </w:p>
    <w:p>
      <w:pPr>
        <w:pStyle w:val="6"/>
        <w:numPr>
          <w:ilvl w:val="4"/>
          <w:numId w:val="10"/>
        </w:numPr>
      </w:pPr>
      <w:r>
        <w:rPr>
          <w:rFonts w:hint="eastAsia"/>
        </w:rPr>
        <w:t>汇总单记账撤销接口</w:t>
      </w:r>
    </w:p>
    <w:p>
      <w:pPr>
        <w:pStyle w:val="53"/>
        <w:spacing w:after="156" w:afterLines="50" w:line="360" w:lineRule="auto"/>
        <w:ind w:firstLine="480" w:firstLineChars="200"/>
        <w:rPr>
          <w:rFonts w:ascii="Arial" w:hAnsi="Arial" w:eastAsia="仿宋_GB2312"/>
          <w:sz w:val="24"/>
        </w:rPr>
      </w:pPr>
      <w:r>
        <w:rPr>
          <w:rFonts w:hint="eastAsia" w:ascii="Arial" w:hAnsi="Arial" w:eastAsia="仿宋_GB2312"/>
          <w:sz w:val="24"/>
        </w:rPr>
        <w:t>财务系统通过此接口对已记账汇总单撤销汇记账。</w:t>
      </w:r>
      <w:bookmarkEnd w:id="29"/>
      <w:bookmarkEnd w:id="30"/>
    </w:p>
    <w:bookmarkEnd w:id="31"/>
    <w:bookmarkEnd w:id="32"/>
    <w:p>
      <w:pPr>
        <w:pStyle w:val="55"/>
        <w:numPr>
          <w:ilvl w:val="2"/>
          <w:numId w:val="7"/>
        </w:numPr>
        <w:tabs>
          <w:tab w:val="left" w:pos="360"/>
        </w:tabs>
        <w:ind w:left="0" w:firstLine="0"/>
      </w:pPr>
      <w:bookmarkStart w:id="35" w:name="_Toc78120739"/>
      <w:bookmarkStart w:id="36" w:name="_Toc78103710"/>
      <w:bookmarkStart w:id="37" w:name="_Toc80990143"/>
      <w:bookmarkStart w:id="38" w:name="_Toc78103688"/>
      <w:bookmarkStart w:id="39" w:name="_Toc78120732"/>
      <w:r>
        <w:rPr>
          <w:rFonts w:hint="eastAsia"/>
        </w:rPr>
        <w:t>医疗机构平台接入</w:t>
      </w:r>
      <w:bookmarkEnd w:id="35"/>
      <w:bookmarkEnd w:id="36"/>
      <w:r>
        <w:rPr>
          <w:rFonts w:hint="eastAsia"/>
        </w:rPr>
        <w:t>实施工作</w:t>
      </w:r>
      <w:bookmarkEnd w:id="37"/>
    </w:p>
    <w:p>
      <w:pPr>
        <w:pStyle w:val="56"/>
        <w:numPr>
          <w:ilvl w:val="3"/>
          <w:numId w:val="9"/>
        </w:numPr>
        <w:tabs>
          <w:tab w:val="left" w:pos="360"/>
        </w:tabs>
        <w:ind w:left="0" w:firstLine="0"/>
      </w:pPr>
      <w:bookmarkStart w:id="40" w:name="_Toc78103711"/>
      <w:r>
        <w:rPr>
          <w:rFonts w:hint="eastAsia"/>
        </w:rPr>
        <w:t>数据采集设置及系统改造</w:t>
      </w:r>
      <w:bookmarkEnd w:id="40"/>
    </w:p>
    <w:p>
      <w:pPr>
        <w:pStyle w:val="47"/>
        <w:numPr>
          <w:ilvl w:val="0"/>
          <w:numId w:val="11"/>
        </w:numPr>
        <w:ind w:firstLineChars="0"/>
      </w:pPr>
      <w:r>
        <w:t>确定数据采集内容及规范；</w:t>
      </w:r>
    </w:p>
    <w:p>
      <w:pPr>
        <w:pStyle w:val="47"/>
        <w:numPr>
          <w:ilvl w:val="0"/>
          <w:numId w:val="11"/>
        </w:numPr>
        <w:ind w:firstLineChars="0"/>
      </w:pPr>
      <w:r>
        <w:t>采集相关基础数据收集并核查是否符合标准；</w:t>
      </w:r>
    </w:p>
    <w:p>
      <w:pPr>
        <w:pStyle w:val="47"/>
        <w:numPr>
          <w:ilvl w:val="0"/>
          <w:numId w:val="11"/>
        </w:numPr>
        <w:ind w:firstLineChars="0"/>
      </w:pPr>
      <w:r>
        <w:t>与</w:t>
      </w:r>
      <w:r>
        <w:rPr>
          <w:rFonts w:hint="eastAsia"/>
        </w:rPr>
        <w:t>HIS</w:t>
      </w:r>
      <w:r>
        <w:t>厂商沟通，完成接口开发工作；</w:t>
      </w:r>
    </w:p>
    <w:p>
      <w:pPr>
        <w:pStyle w:val="47"/>
        <w:numPr>
          <w:ilvl w:val="0"/>
          <w:numId w:val="11"/>
        </w:numPr>
        <w:ind w:firstLineChars="0"/>
      </w:pPr>
      <w:r>
        <w:t>现有医疗平台升级改造，满足卫健委数据采集的要求</w:t>
      </w:r>
    </w:p>
    <w:p>
      <w:pPr>
        <w:pStyle w:val="47"/>
        <w:numPr>
          <w:ilvl w:val="0"/>
          <w:numId w:val="11"/>
        </w:numPr>
        <w:ind w:firstLineChars="0"/>
      </w:pPr>
      <w:r>
        <w:t>开通医院与卫健委网络端口权限、端口网络配置；</w:t>
      </w:r>
    </w:p>
    <w:p>
      <w:pPr>
        <w:pStyle w:val="47"/>
        <w:numPr>
          <w:ilvl w:val="0"/>
          <w:numId w:val="11"/>
        </w:numPr>
        <w:ind w:firstLineChars="0"/>
      </w:pPr>
      <w:r>
        <w:t>测试环境搭建；</w:t>
      </w:r>
    </w:p>
    <w:p>
      <w:pPr>
        <w:pStyle w:val="47"/>
        <w:numPr>
          <w:ilvl w:val="0"/>
          <w:numId w:val="11"/>
        </w:numPr>
        <w:ind w:firstLineChars="0"/>
      </w:pPr>
      <w:r>
        <w:t>内部数据传输接口联调测试。</w:t>
      </w:r>
    </w:p>
    <w:p>
      <w:pPr>
        <w:pStyle w:val="56"/>
        <w:numPr>
          <w:ilvl w:val="3"/>
          <w:numId w:val="9"/>
        </w:numPr>
        <w:tabs>
          <w:tab w:val="left" w:pos="360"/>
        </w:tabs>
        <w:ind w:left="0" w:firstLine="0"/>
      </w:pPr>
      <w:bookmarkStart w:id="41" w:name="_Toc78103712"/>
      <w:r>
        <w:rPr>
          <w:rFonts w:hint="eastAsia"/>
        </w:rPr>
        <w:t>联调测试</w:t>
      </w:r>
      <w:bookmarkEnd w:id="41"/>
    </w:p>
    <w:p>
      <w:pPr>
        <w:pStyle w:val="47"/>
        <w:numPr>
          <w:ilvl w:val="0"/>
          <w:numId w:val="12"/>
        </w:numPr>
        <w:ind w:firstLineChars="0"/>
        <w:rPr>
          <w:rFonts w:ascii="仿宋" w:hAnsi="仿宋" w:eastAsia="仿宋"/>
          <w:szCs w:val="24"/>
        </w:rPr>
      </w:pPr>
      <w:r>
        <w:rPr>
          <w:rFonts w:ascii="仿宋" w:hAnsi="仿宋" w:eastAsia="仿宋"/>
          <w:szCs w:val="24"/>
        </w:rPr>
        <w:t>接口采集</w:t>
      </w:r>
    </w:p>
    <w:p>
      <w:pPr>
        <w:pStyle w:val="47"/>
        <w:ind w:firstLine="480"/>
      </w:pPr>
      <w:r>
        <w:t>1）医疗平台与HIS系统联调测试，并协助HIS厂商排查处理问题；</w:t>
      </w:r>
    </w:p>
    <w:p>
      <w:pPr>
        <w:pStyle w:val="47"/>
        <w:ind w:firstLine="480"/>
      </w:pPr>
      <w:r>
        <w:t>2）医疗平台与卫健委采集系统联调测试；</w:t>
      </w:r>
    </w:p>
    <w:p>
      <w:pPr>
        <w:pStyle w:val="47"/>
        <w:ind w:firstLine="480"/>
      </w:pPr>
      <w:r>
        <w:t>3）联调医疗机构基础信息采集接口：包括科室信息数据采集、业务类型数据采集、收费清单目录数据采集、收费项目数据采集；</w:t>
      </w:r>
    </w:p>
    <w:p>
      <w:pPr>
        <w:pStyle w:val="47"/>
        <w:ind w:firstLine="480"/>
      </w:pPr>
      <w:r>
        <w:t>4）联调单位开票数据采集接口；</w:t>
      </w:r>
    </w:p>
    <w:p>
      <w:pPr>
        <w:pStyle w:val="47"/>
        <w:ind w:firstLine="480"/>
      </w:pPr>
      <w:r>
        <w:t>5）联调单位电子票据XML数据采集接口；</w:t>
      </w:r>
    </w:p>
    <w:p>
      <w:pPr>
        <w:pStyle w:val="47"/>
        <w:ind w:firstLine="480"/>
      </w:pPr>
      <w:r>
        <w:t>6）联调电子票据收费明细数据采集接口；</w:t>
      </w:r>
    </w:p>
    <w:p>
      <w:pPr>
        <w:pStyle w:val="47"/>
        <w:ind w:firstLine="480"/>
      </w:pPr>
      <w:r>
        <w:t>7）联调电子票据冲红数据采集接口；</w:t>
      </w:r>
    </w:p>
    <w:p>
      <w:pPr>
        <w:pStyle w:val="47"/>
        <w:numPr>
          <w:ilvl w:val="0"/>
          <w:numId w:val="12"/>
        </w:numPr>
        <w:ind w:firstLineChars="0"/>
        <w:rPr>
          <w:rFonts w:ascii="仿宋" w:hAnsi="仿宋" w:eastAsia="仿宋"/>
          <w:szCs w:val="24"/>
        </w:rPr>
      </w:pPr>
      <w:r>
        <w:rPr>
          <w:rFonts w:ascii="仿宋" w:hAnsi="仿宋" w:eastAsia="仿宋"/>
          <w:szCs w:val="24"/>
        </w:rPr>
        <w:t>手工采集</w:t>
      </w:r>
    </w:p>
    <w:p>
      <w:pPr>
        <w:pStyle w:val="47"/>
        <w:ind w:firstLine="480"/>
      </w:pPr>
      <w:r>
        <w:t>手工采集模板制定；</w:t>
      </w:r>
    </w:p>
    <w:p>
      <w:pPr>
        <w:pStyle w:val="47"/>
        <w:ind w:firstLine="480"/>
      </w:pPr>
      <w:r>
        <w:t>HIS系统按采集模板导出采集数据（例如基础数据、电子票据信息、电子票据xml文件、电子票据变动信息），并人工导入卫健委采集系统；</w:t>
      </w:r>
    </w:p>
    <w:p>
      <w:pPr>
        <w:pStyle w:val="47"/>
        <w:ind w:firstLine="480"/>
      </w:pPr>
      <w:r>
        <w:t>协助HIS厂商排查处理问题。</w:t>
      </w:r>
    </w:p>
    <w:p>
      <w:pPr>
        <w:pStyle w:val="56"/>
        <w:numPr>
          <w:ilvl w:val="3"/>
          <w:numId w:val="9"/>
        </w:numPr>
        <w:tabs>
          <w:tab w:val="left" w:pos="360"/>
        </w:tabs>
        <w:ind w:left="0" w:firstLine="0"/>
      </w:pPr>
      <w:bookmarkStart w:id="42" w:name="_Toc78103713"/>
      <w:r>
        <w:rPr>
          <w:rFonts w:hint="eastAsia"/>
        </w:rPr>
        <w:t>系统上线准备</w:t>
      </w:r>
      <w:bookmarkEnd w:id="42"/>
    </w:p>
    <w:p>
      <w:pPr>
        <w:pStyle w:val="47"/>
        <w:numPr>
          <w:ilvl w:val="0"/>
          <w:numId w:val="13"/>
        </w:numPr>
        <w:ind w:firstLineChars="0"/>
      </w:pPr>
      <w:r>
        <w:t>测试环境转正式环境</w:t>
      </w:r>
    </w:p>
    <w:p>
      <w:pPr>
        <w:pStyle w:val="47"/>
        <w:numPr>
          <w:ilvl w:val="0"/>
          <w:numId w:val="13"/>
        </w:numPr>
        <w:ind w:firstLineChars="0"/>
      </w:pPr>
      <w:r>
        <w:t>测试环境数据清空，转生产环境；</w:t>
      </w:r>
    </w:p>
    <w:p>
      <w:pPr>
        <w:pStyle w:val="47"/>
        <w:numPr>
          <w:ilvl w:val="0"/>
          <w:numId w:val="13"/>
        </w:numPr>
        <w:ind w:firstLineChars="0"/>
      </w:pPr>
      <w:r>
        <w:t>生产环境采集信息配置</w:t>
      </w:r>
    </w:p>
    <w:p>
      <w:pPr>
        <w:pStyle w:val="47"/>
        <w:numPr>
          <w:ilvl w:val="0"/>
          <w:numId w:val="13"/>
        </w:numPr>
        <w:ind w:firstLineChars="0"/>
      </w:pPr>
      <w:r>
        <w:t>根据前期搜集到的基础信息进行系统基础信息维护，并完成基础信息对照</w:t>
      </w:r>
    </w:p>
    <w:p>
      <w:pPr>
        <w:pStyle w:val="47"/>
        <w:numPr>
          <w:ilvl w:val="0"/>
          <w:numId w:val="13"/>
        </w:numPr>
        <w:ind w:firstLineChars="0"/>
      </w:pPr>
      <w:r>
        <w:t>环境检查</w:t>
      </w:r>
    </w:p>
    <w:p>
      <w:pPr>
        <w:pStyle w:val="47"/>
        <w:numPr>
          <w:ilvl w:val="0"/>
          <w:numId w:val="13"/>
        </w:numPr>
        <w:ind w:firstLineChars="0"/>
      </w:pPr>
      <w:r>
        <w:t>生产环境检查：服务器检查、程序检查、网络联通检查测试</w:t>
      </w:r>
    </w:p>
    <w:p>
      <w:pPr>
        <w:pStyle w:val="47"/>
        <w:numPr>
          <w:ilvl w:val="0"/>
          <w:numId w:val="13"/>
        </w:numPr>
        <w:ind w:firstLineChars="0"/>
      </w:pPr>
      <w:r>
        <w:t>仿真试运行</w:t>
      </w:r>
    </w:p>
    <w:p>
      <w:pPr>
        <w:pStyle w:val="47"/>
        <w:numPr>
          <w:ilvl w:val="0"/>
          <w:numId w:val="13"/>
        </w:numPr>
        <w:ind w:firstLineChars="0"/>
      </w:pPr>
      <w:r>
        <w:t>全流程仿真测试，确保数据采集准确性及可用性</w:t>
      </w:r>
    </w:p>
    <w:p>
      <w:pPr>
        <w:pStyle w:val="56"/>
        <w:numPr>
          <w:ilvl w:val="3"/>
          <w:numId w:val="9"/>
        </w:numPr>
        <w:tabs>
          <w:tab w:val="left" w:pos="360"/>
        </w:tabs>
        <w:ind w:left="0" w:firstLine="0"/>
      </w:pPr>
      <w:bookmarkStart w:id="43" w:name="_Toc78103714"/>
      <w:r>
        <w:rPr>
          <w:rFonts w:hint="eastAsia"/>
        </w:rPr>
        <w:t>系统上线</w:t>
      </w:r>
      <w:bookmarkEnd w:id="43"/>
    </w:p>
    <w:p>
      <w:pPr>
        <w:pStyle w:val="47"/>
        <w:numPr>
          <w:ilvl w:val="0"/>
          <w:numId w:val="14"/>
        </w:numPr>
        <w:ind w:firstLineChars="0"/>
      </w:pPr>
      <w:r>
        <w:t>上线后技术保障；</w:t>
      </w:r>
    </w:p>
    <w:p>
      <w:pPr>
        <w:pStyle w:val="47"/>
        <w:numPr>
          <w:ilvl w:val="0"/>
          <w:numId w:val="14"/>
        </w:numPr>
        <w:ind w:firstLineChars="0"/>
      </w:pPr>
      <w:r>
        <w:t>上线后数据的核对排查；</w:t>
      </w:r>
    </w:p>
    <w:p>
      <w:pPr>
        <w:pStyle w:val="47"/>
        <w:numPr>
          <w:ilvl w:val="0"/>
          <w:numId w:val="14"/>
        </w:numPr>
        <w:ind w:firstLineChars="0"/>
      </w:pPr>
      <w:r>
        <w:t>与客户方确定上线时间、上线前后端保障人员、应急处理方案；</w:t>
      </w:r>
    </w:p>
    <w:p>
      <w:pPr>
        <w:pStyle w:val="47"/>
        <w:numPr>
          <w:ilvl w:val="0"/>
          <w:numId w:val="14"/>
        </w:numPr>
        <w:ind w:firstLineChars="0"/>
      </w:pPr>
      <w:r>
        <w:t>输出《上线报告》；</w:t>
      </w:r>
    </w:p>
    <w:p>
      <w:pPr>
        <w:pStyle w:val="47"/>
        <w:numPr>
          <w:ilvl w:val="0"/>
          <w:numId w:val="14"/>
        </w:numPr>
        <w:ind w:firstLineChars="0"/>
      </w:pPr>
      <w:r>
        <w:t>上线保障及验收：正式上线2周后验收。</w:t>
      </w:r>
    </w:p>
    <w:p>
      <w:pPr>
        <w:pStyle w:val="54"/>
        <w:numPr>
          <w:ilvl w:val="1"/>
          <w:numId w:val="6"/>
        </w:numPr>
      </w:pPr>
      <w:bookmarkStart w:id="44" w:name="_Toc80990144"/>
      <w:r>
        <w:rPr>
          <w:rFonts w:hint="eastAsia"/>
        </w:rPr>
        <w:t>医疗电子票据管理二期功能升级</w:t>
      </w:r>
      <w:bookmarkEnd w:id="44"/>
    </w:p>
    <w:p>
      <w:pPr>
        <w:pStyle w:val="55"/>
        <w:numPr>
          <w:ilvl w:val="2"/>
          <w:numId w:val="7"/>
        </w:numPr>
        <w:tabs>
          <w:tab w:val="left" w:pos="360"/>
        </w:tabs>
        <w:ind w:left="0" w:firstLine="0"/>
      </w:pPr>
      <w:bookmarkStart w:id="45" w:name="_Toc78639829"/>
      <w:bookmarkStart w:id="46" w:name="_Toc80990145"/>
      <w:r>
        <w:rPr>
          <w:rFonts w:hint="eastAsia"/>
        </w:rPr>
        <w:t>在线开具（非税、往来票据）</w:t>
      </w:r>
      <w:bookmarkEnd w:id="45"/>
      <w:bookmarkEnd w:id="46"/>
    </w:p>
    <w:p>
      <w:pPr>
        <w:pStyle w:val="53"/>
        <w:spacing w:after="156" w:afterLines="50" w:line="360" w:lineRule="auto"/>
        <w:ind w:firstLine="480" w:firstLineChars="200"/>
        <w:rPr>
          <w:rFonts w:ascii="Arial" w:hAnsi="Arial" w:eastAsia="仿宋_GB2312"/>
          <w:sz w:val="24"/>
        </w:rPr>
      </w:pPr>
      <w:r>
        <w:rPr>
          <w:rFonts w:hint="eastAsia" w:ascii="Arial" w:hAnsi="Arial" w:eastAsia="仿宋_GB2312"/>
          <w:sz w:val="24"/>
        </w:rPr>
        <w:t>提供在线开具功能，实现医院非税及往来电子票据的在线开具。</w:t>
      </w:r>
    </w:p>
    <w:p>
      <w:pPr>
        <w:pStyle w:val="55"/>
        <w:numPr>
          <w:ilvl w:val="2"/>
          <w:numId w:val="7"/>
        </w:numPr>
        <w:tabs>
          <w:tab w:val="left" w:pos="360"/>
        </w:tabs>
        <w:ind w:left="0" w:firstLine="0"/>
      </w:pPr>
      <w:bookmarkStart w:id="47" w:name="_Toc80990146"/>
      <w:r>
        <w:rPr>
          <w:rFonts w:hint="eastAsia"/>
        </w:rPr>
        <w:t>定制化交付</w:t>
      </w:r>
      <w:bookmarkEnd w:id="47"/>
    </w:p>
    <w:p>
      <w:pPr>
        <w:pStyle w:val="56"/>
        <w:numPr>
          <w:ilvl w:val="3"/>
          <w:numId w:val="9"/>
        </w:numPr>
        <w:tabs>
          <w:tab w:val="left" w:pos="360"/>
        </w:tabs>
        <w:ind w:left="0" w:firstLine="0"/>
      </w:pPr>
      <w:r>
        <w:rPr>
          <w:rFonts w:hint="eastAsia"/>
        </w:rPr>
        <w:t>单位专属二维码</w:t>
      </w:r>
    </w:p>
    <w:p>
      <w:pPr>
        <w:pStyle w:val="47"/>
        <w:ind w:firstLine="480"/>
      </w:pPr>
      <w:r>
        <w:rPr>
          <w:rFonts w:hint="eastAsia"/>
        </w:rPr>
        <w:t>单位专属二维码是交款人使用单位定制功能的入口，医院可在线下张贴单位专属二维码向交款人进行普及和推广，引导交款人使用单位定制功能进行取票。</w:t>
      </w:r>
    </w:p>
    <w:p>
      <w:pPr>
        <w:pStyle w:val="47"/>
        <w:ind w:firstLine="480"/>
      </w:pPr>
      <w:r>
        <w:rPr>
          <w:rFonts w:hint="eastAsia"/>
        </w:rPr>
        <w:t>微信版和支付宝版的单位专属二维码各不相同，不可共用。</w:t>
      </w:r>
    </w:p>
    <w:p>
      <w:pPr>
        <w:pStyle w:val="56"/>
        <w:numPr>
          <w:ilvl w:val="3"/>
          <w:numId w:val="9"/>
        </w:numPr>
        <w:tabs>
          <w:tab w:val="left" w:pos="360"/>
        </w:tabs>
        <w:ind w:left="0" w:firstLine="0"/>
      </w:pPr>
      <w:r>
        <w:rPr>
          <w:rFonts w:hint="eastAsia"/>
        </w:rPr>
        <w:t>单位首页</w:t>
      </w:r>
    </w:p>
    <w:p>
      <w:pPr>
        <w:pStyle w:val="47"/>
        <w:ind w:firstLine="480"/>
      </w:pPr>
      <w:r>
        <w:rPr>
          <w:rFonts w:hint="eastAsia"/>
        </w:rPr>
        <w:t>单位首页可放置单位Logo，并提供定制化功能供交款人使用。</w:t>
      </w:r>
    </w:p>
    <w:p>
      <w:pPr>
        <w:pStyle w:val="56"/>
        <w:numPr>
          <w:ilvl w:val="3"/>
          <w:numId w:val="9"/>
        </w:numPr>
        <w:tabs>
          <w:tab w:val="left" w:pos="360"/>
        </w:tabs>
        <w:ind w:left="0" w:firstLine="0"/>
      </w:pPr>
      <w:r>
        <w:rPr>
          <w:rFonts w:hint="eastAsia"/>
        </w:rPr>
        <w:t>自助取票</w:t>
      </w:r>
    </w:p>
    <w:p>
      <w:pPr>
        <w:pStyle w:val="47"/>
        <w:ind w:firstLine="480"/>
      </w:pPr>
      <w:r>
        <w:rPr>
          <w:rFonts w:hint="eastAsia"/>
        </w:rPr>
        <w:t>交款人根据业务关联信息（如就诊卡号+真实姓名、未经验证的交款人手机号+真实姓名）获取本医院开具的电子票据。</w:t>
      </w:r>
    </w:p>
    <w:p>
      <w:pPr>
        <w:pStyle w:val="56"/>
        <w:numPr>
          <w:ilvl w:val="3"/>
          <w:numId w:val="9"/>
        </w:numPr>
        <w:tabs>
          <w:tab w:val="left" w:pos="360"/>
        </w:tabs>
        <w:ind w:left="0" w:firstLine="0"/>
      </w:pPr>
      <w:r>
        <w:rPr>
          <w:rFonts w:hint="eastAsia"/>
        </w:rPr>
        <w:t>我的票夹</w:t>
      </w:r>
    </w:p>
    <w:p>
      <w:pPr>
        <w:pStyle w:val="47"/>
        <w:ind w:firstLine="480"/>
      </w:pPr>
      <w:r>
        <w:rPr>
          <w:rFonts w:hint="eastAsia"/>
        </w:rPr>
        <w:t>定制功能中的“我的票夹”与通用功能中的“票夹”有所不同，“我的票夹”仅展示本医院的电子票据，而“票夹”可展示所有单位的电子票据。</w:t>
      </w:r>
    </w:p>
    <w:p>
      <w:pPr>
        <w:pStyle w:val="47"/>
        <w:ind w:firstLine="480"/>
      </w:pPr>
      <w:r>
        <w:rPr>
          <w:rFonts w:hint="eastAsia"/>
        </w:rPr>
        <w:t>可按开票日期、归集状态（已归集、未归集）、票据状态（已打印、已冲红）、姓名、身份证号、票据号码检索数据。</w:t>
      </w:r>
    </w:p>
    <w:p>
      <w:pPr>
        <w:pStyle w:val="56"/>
        <w:numPr>
          <w:ilvl w:val="3"/>
          <w:numId w:val="9"/>
        </w:numPr>
        <w:tabs>
          <w:tab w:val="left" w:pos="360"/>
        </w:tabs>
        <w:ind w:left="0" w:firstLine="0"/>
      </w:pPr>
      <w:r>
        <w:rPr>
          <w:rFonts w:hint="eastAsia"/>
        </w:rPr>
        <w:t>温馨提示</w:t>
      </w:r>
    </w:p>
    <w:p>
      <w:pPr>
        <w:pStyle w:val="47"/>
        <w:ind w:firstLine="480"/>
      </w:pPr>
      <w:r>
        <w:rPr>
          <w:rFonts w:hint="eastAsia"/>
        </w:rPr>
        <w:t>为医院提供向交款人发布温馨提示的功能，温馨提示放置在容易引起交款人注意的“我的票夹”页面，达到提示效果。</w:t>
      </w:r>
    </w:p>
    <w:p>
      <w:pPr>
        <w:pStyle w:val="56"/>
        <w:numPr>
          <w:ilvl w:val="3"/>
          <w:numId w:val="9"/>
        </w:numPr>
        <w:tabs>
          <w:tab w:val="left" w:pos="360"/>
        </w:tabs>
        <w:ind w:left="0" w:firstLine="0"/>
      </w:pPr>
      <w:r>
        <w:rPr>
          <w:rFonts w:hint="eastAsia"/>
        </w:rPr>
        <w:t>发送记录</w:t>
      </w:r>
    </w:p>
    <w:p>
      <w:pPr>
        <w:pStyle w:val="47"/>
        <w:ind w:firstLine="480"/>
      </w:pPr>
      <w:r>
        <w:rPr>
          <w:rFonts w:hint="eastAsia"/>
        </w:rPr>
        <w:t>交款人通过此功能查看将本医院的电子票据发送给他人的记录，支持按接收方手机号查询。</w:t>
      </w:r>
    </w:p>
    <w:p>
      <w:pPr>
        <w:pStyle w:val="55"/>
        <w:numPr>
          <w:ilvl w:val="2"/>
          <w:numId w:val="7"/>
        </w:numPr>
        <w:tabs>
          <w:tab w:val="left" w:pos="360"/>
        </w:tabs>
        <w:ind w:left="0" w:firstLine="0"/>
      </w:pPr>
      <w:bookmarkStart w:id="48" w:name="_Toc80990147"/>
      <w:r>
        <w:rPr>
          <w:rFonts w:hint="eastAsia"/>
        </w:rPr>
        <w:t>电子票据存档</w:t>
      </w:r>
      <w:bookmarkEnd w:id="33"/>
      <w:bookmarkEnd w:id="38"/>
      <w:bookmarkEnd w:id="39"/>
      <w:bookmarkEnd w:id="48"/>
    </w:p>
    <w:p>
      <w:pPr>
        <w:pStyle w:val="53"/>
        <w:spacing w:after="156" w:afterLines="50" w:line="360" w:lineRule="auto"/>
        <w:ind w:firstLine="480" w:firstLineChars="200"/>
        <w:rPr>
          <w:rFonts w:ascii="Arial" w:hAnsi="Arial" w:eastAsia="仿宋_GB2312"/>
          <w:sz w:val="24"/>
        </w:rPr>
      </w:pPr>
      <w:r>
        <w:rPr>
          <w:rFonts w:hint="eastAsia" w:ascii="Arial" w:hAnsi="Arial" w:eastAsia="仿宋_GB2312"/>
          <w:sz w:val="24"/>
        </w:rPr>
        <w:t>按照财政部及上海市财政局关于财政电子票据的管理要求，电子票据开具后开票单位、受票单位、财政部门多方需要对电子票据进行存档。</w:t>
      </w:r>
    </w:p>
    <w:p>
      <w:pPr>
        <w:pStyle w:val="56"/>
        <w:numPr>
          <w:ilvl w:val="3"/>
          <w:numId w:val="9"/>
        </w:numPr>
        <w:tabs>
          <w:tab w:val="left" w:pos="360"/>
        </w:tabs>
        <w:ind w:left="0" w:firstLine="0"/>
      </w:pPr>
      <w:r>
        <w:rPr>
          <w:rFonts w:hint="eastAsia"/>
        </w:rPr>
        <w:t xml:space="preserve">单位开票总览 </w:t>
      </w:r>
    </w:p>
    <w:p>
      <w:pPr>
        <w:pStyle w:val="47"/>
        <w:ind w:firstLine="480"/>
      </w:pPr>
      <w:r>
        <w:rPr>
          <w:rFonts w:hint="eastAsia"/>
        </w:rPr>
        <w:t>按接入电子票据平台的各医疗单位从财政查询下载电子票据，并归档保存电子票据平台，用于后续票据查询分析的需要，可按总览、不同时间维度查询归档数据。</w:t>
      </w:r>
    </w:p>
    <w:p>
      <w:pPr>
        <w:pStyle w:val="56"/>
        <w:numPr>
          <w:ilvl w:val="3"/>
          <w:numId w:val="9"/>
        </w:numPr>
        <w:tabs>
          <w:tab w:val="left" w:pos="360"/>
        </w:tabs>
        <w:ind w:left="0" w:firstLine="0"/>
      </w:pPr>
      <w:r>
        <w:rPr>
          <w:rFonts w:hint="eastAsia"/>
        </w:rPr>
        <w:t>电子票据归档检索（明细）</w:t>
      </w:r>
    </w:p>
    <w:p>
      <w:pPr>
        <w:pStyle w:val="47"/>
        <w:ind w:firstLine="480"/>
      </w:pPr>
      <w:r>
        <w:rPr>
          <w:rFonts w:hint="eastAsia"/>
        </w:rPr>
        <w:t>为单位提供电子票据归档检索明细的功能，用户按照日期、接收状态查询电子票据归档结果。支持批量归档和指定单张电子票据（输入票据代码、票据号码、校验码）进行归档。</w:t>
      </w:r>
    </w:p>
    <w:p>
      <w:pPr>
        <w:pStyle w:val="56"/>
        <w:numPr>
          <w:ilvl w:val="3"/>
          <w:numId w:val="9"/>
        </w:numPr>
        <w:tabs>
          <w:tab w:val="left" w:pos="360"/>
        </w:tabs>
        <w:ind w:left="0" w:firstLine="0"/>
      </w:pPr>
      <w:r>
        <w:rPr>
          <w:rFonts w:hint="eastAsia"/>
        </w:rPr>
        <w:t>电子票据归档检索（按月）</w:t>
      </w:r>
    </w:p>
    <w:p>
      <w:pPr>
        <w:pStyle w:val="47"/>
        <w:ind w:firstLine="480"/>
      </w:pPr>
      <w:r>
        <w:rPr>
          <w:rFonts w:hint="eastAsia"/>
        </w:rPr>
        <w:t>为单位提供电子票据按月归档检索的功能，查看每月电子票据归档的汇总信息及票据的总览。</w:t>
      </w:r>
    </w:p>
    <w:p>
      <w:pPr>
        <w:pStyle w:val="56"/>
        <w:numPr>
          <w:ilvl w:val="3"/>
          <w:numId w:val="9"/>
        </w:numPr>
        <w:tabs>
          <w:tab w:val="left" w:pos="360"/>
        </w:tabs>
        <w:ind w:left="0" w:firstLine="0"/>
      </w:pPr>
      <w:r>
        <w:rPr>
          <w:rFonts w:hint="eastAsia"/>
        </w:rPr>
        <w:t>单位开票与归档差异表</w:t>
      </w:r>
    </w:p>
    <w:p>
      <w:pPr>
        <w:pStyle w:val="47"/>
        <w:ind w:firstLine="480"/>
      </w:pPr>
      <w:r>
        <w:rPr>
          <w:rFonts w:hint="eastAsia"/>
        </w:rPr>
        <w:t>因各种网络或技术原因导致电子票据未制作成功，为保证存档的安全可靠，系统自动核对单位开票与财政下载的电子票据，生成单位开票与归档差异表，用户可批量勾选重新从财政下载电子票据。</w:t>
      </w:r>
    </w:p>
    <w:p>
      <w:pPr>
        <w:pStyle w:val="56"/>
        <w:numPr>
          <w:ilvl w:val="3"/>
          <w:numId w:val="9"/>
        </w:numPr>
        <w:tabs>
          <w:tab w:val="left" w:pos="360"/>
        </w:tabs>
        <w:ind w:left="0" w:firstLine="0"/>
      </w:pPr>
      <w:r>
        <w:rPr>
          <w:rFonts w:hint="eastAsia"/>
        </w:rPr>
        <w:t>Hbase存储机制</w:t>
      </w:r>
    </w:p>
    <w:p>
      <w:pPr>
        <w:pStyle w:val="47"/>
        <w:ind w:firstLine="480"/>
      </w:pPr>
      <w:r>
        <w:rPr>
          <w:rFonts w:hint="eastAsia"/>
        </w:rPr>
        <w:t>使用Hbase非结构化的数据库来存储海量的电子票据文件。</w:t>
      </w:r>
    </w:p>
    <w:bookmarkEnd w:id="34"/>
    <w:p>
      <w:pPr>
        <w:pStyle w:val="55"/>
        <w:numPr>
          <w:ilvl w:val="2"/>
          <w:numId w:val="7"/>
        </w:numPr>
        <w:tabs>
          <w:tab w:val="left" w:pos="360"/>
        </w:tabs>
        <w:ind w:left="0" w:firstLine="0"/>
      </w:pPr>
      <w:bookmarkStart w:id="49" w:name="_Toc78120734"/>
      <w:bookmarkStart w:id="50" w:name="_Toc78103690"/>
      <w:bookmarkStart w:id="51" w:name="_Toc80990148"/>
      <w:r>
        <w:rPr>
          <w:rFonts w:hint="eastAsia"/>
        </w:rPr>
        <w:t>医疗票据入账</w:t>
      </w:r>
      <w:bookmarkEnd w:id="49"/>
      <w:bookmarkEnd w:id="50"/>
      <w:bookmarkEnd w:id="51"/>
    </w:p>
    <w:p>
      <w:pPr>
        <w:pStyle w:val="47"/>
        <w:ind w:firstLine="480"/>
      </w:pPr>
      <w:r>
        <w:rPr>
          <w:rFonts w:hint="eastAsia"/>
        </w:rPr>
        <w:t>实现医疗机构开具及接收的财政电子票据的入账管理。</w:t>
      </w:r>
    </w:p>
    <w:p>
      <w:pPr>
        <w:pStyle w:val="56"/>
        <w:numPr>
          <w:ilvl w:val="3"/>
          <w:numId w:val="9"/>
        </w:numPr>
        <w:tabs>
          <w:tab w:val="left" w:pos="360"/>
        </w:tabs>
        <w:ind w:left="0" w:firstLine="0"/>
      </w:pPr>
      <w:bookmarkStart w:id="52" w:name="_Toc37278437"/>
      <w:r>
        <w:rPr>
          <w:rFonts w:hint="eastAsia"/>
        </w:rPr>
        <w:t>开票单位记账</w:t>
      </w:r>
      <w:bookmarkEnd w:id="52"/>
    </w:p>
    <w:p>
      <w:pPr>
        <w:pStyle w:val="6"/>
        <w:numPr>
          <w:ilvl w:val="4"/>
          <w:numId w:val="10"/>
        </w:numPr>
      </w:pPr>
      <w:r>
        <w:rPr>
          <w:rFonts w:hint="eastAsia"/>
        </w:rPr>
        <w:t>电子记账</w:t>
      </w:r>
    </w:p>
    <w:p>
      <w:pPr>
        <w:pStyle w:val="47"/>
        <w:ind w:firstLine="480"/>
      </w:pPr>
      <w:r>
        <w:rPr>
          <w:rFonts w:hint="eastAsia"/>
        </w:rPr>
        <w:t>医疗平台提供对应的电子票据记账接口，与开票单位财务系统对接，财务系统可批量获取待入账的电子票据信息进行记账，简化财务人员操作。</w:t>
      </w:r>
    </w:p>
    <w:p>
      <w:pPr>
        <w:pStyle w:val="6"/>
        <w:numPr>
          <w:ilvl w:val="4"/>
          <w:numId w:val="10"/>
        </w:numPr>
      </w:pPr>
      <w:r>
        <w:rPr>
          <w:rFonts w:hint="eastAsia"/>
        </w:rPr>
        <w:t>手工记账</w:t>
      </w:r>
    </w:p>
    <w:p>
      <w:pPr>
        <w:pStyle w:val="57"/>
        <w:numPr>
          <w:ilvl w:val="5"/>
          <w:numId w:val="15"/>
        </w:numPr>
      </w:pPr>
      <w:r>
        <w:rPr>
          <w:rFonts w:hint="eastAsia"/>
        </w:rPr>
        <w:t>汇总单生成</w:t>
      </w:r>
    </w:p>
    <w:p>
      <w:pPr>
        <w:pStyle w:val="47"/>
        <w:ind w:firstLine="480"/>
      </w:pPr>
      <w:r>
        <w:rPr>
          <w:rFonts w:hint="eastAsia"/>
        </w:rPr>
        <w:t>根据电子票据收入方向（正数、负数）、开票日期、票据名称、交款人等信息查询电子票据明细，生成电子票据汇总单。</w:t>
      </w:r>
    </w:p>
    <w:p>
      <w:pPr>
        <w:pStyle w:val="57"/>
        <w:numPr>
          <w:ilvl w:val="5"/>
          <w:numId w:val="15"/>
        </w:numPr>
      </w:pPr>
      <w:r>
        <w:rPr>
          <w:rFonts w:hint="eastAsia"/>
        </w:rPr>
        <w:t>记账登记</w:t>
      </w:r>
    </w:p>
    <w:p>
      <w:pPr>
        <w:pStyle w:val="47"/>
        <w:ind w:firstLine="480"/>
      </w:pPr>
      <w:r>
        <w:rPr>
          <w:rFonts w:hint="eastAsia"/>
        </w:rPr>
        <w:t>财务人员线下进行记账处理后，通过系统单笔/多笔选择电子票据汇总单进行记账登记，记录汇总单对应的会计凭证号。</w:t>
      </w:r>
    </w:p>
    <w:p>
      <w:pPr>
        <w:pStyle w:val="6"/>
        <w:numPr>
          <w:ilvl w:val="4"/>
          <w:numId w:val="10"/>
        </w:numPr>
      </w:pPr>
      <w:r>
        <w:rPr>
          <w:rFonts w:hint="eastAsia"/>
        </w:rPr>
        <w:t>撤销入账</w:t>
      </w:r>
    </w:p>
    <w:p>
      <w:pPr>
        <w:pStyle w:val="47"/>
        <w:ind w:firstLine="480"/>
      </w:pPr>
      <w:r>
        <w:rPr>
          <w:rFonts w:hint="eastAsia"/>
        </w:rPr>
        <w:t>若发现记账错误的情况下，支持选择已经记账的电子票据进行撤销入账。</w:t>
      </w:r>
    </w:p>
    <w:p>
      <w:pPr>
        <w:pStyle w:val="56"/>
        <w:numPr>
          <w:ilvl w:val="3"/>
          <w:numId w:val="9"/>
        </w:numPr>
        <w:tabs>
          <w:tab w:val="left" w:pos="360"/>
        </w:tabs>
        <w:ind w:left="0" w:firstLine="0"/>
      </w:pPr>
      <w:bookmarkStart w:id="53" w:name="_Toc37278438"/>
      <w:r>
        <w:rPr>
          <w:rFonts w:hint="eastAsia"/>
        </w:rPr>
        <w:t>受票单位入账</w:t>
      </w:r>
      <w:bookmarkEnd w:id="53"/>
    </w:p>
    <w:p>
      <w:pPr>
        <w:pStyle w:val="6"/>
        <w:numPr>
          <w:ilvl w:val="4"/>
          <w:numId w:val="10"/>
        </w:numPr>
      </w:pPr>
      <w:r>
        <w:rPr>
          <w:rFonts w:hint="eastAsia"/>
        </w:rPr>
        <w:t>电子入账</w:t>
      </w:r>
    </w:p>
    <w:p>
      <w:pPr>
        <w:pStyle w:val="47"/>
        <w:ind w:firstLine="480"/>
      </w:pPr>
      <w:r>
        <w:rPr>
          <w:rFonts w:hint="eastAsia"/>
        </w:rPr>
        <w:t>医疗平台提供对应的电子票据报销入账接口，与开票单位财务系统对接，财务系统通过该接口实现系统后台自动查验电子票据真伪，进行入账，并将入账信息反馈至财政实现电子入账。</w:t>
      </w:r>
    </w:p>
    <w:p>
      <w:pPr>
        <w:pStyle w:val="6"/>
        <w:numPr>
          <w:ilvl w:val="4"/>
          <w:numId w:val="10"/>
        </w:numPr>
      </w:pPr>
      <w:r>
        <w:rPr>
          <w:rFonts w:hint="eastAsia"/>
        </w:rPr>
        <w:t>手工入账</w:t>
      </w:r>
    </w:p>
    <w:p>
      <w:pPr>
        <w:pStyle w:val="57"/>
        <w:numPr>
          <w:ilvl w:val="5"/>
          <w:numId w:val="15"/>
        </w:numPr>
      </w:pPr>
      <w:r>
        <w:rPr>
          <w:rFonts w:hint="eastAsia"/>
        </w:rPr>
        <w:t>电子票据查验</w:t>
      </w:r>
    </w:p>
    <w:p>
      <w:pPr>
        <w:pStyle w:val="47"/>
        <w:ind w:firstLine="480"/>
      </w:pPr>
      <w:r>
        <w:rPr>
          <w:rFonts w:hint="eastAsia"/>
        </w:rPr>
        <w:t>财务人员手动导入电子票据文件，医疗电子票据平台调用财政电子票据公共服务平台查验接口进行票据真伪等信息查验，导入票据正常，则提示“票据正常，上传成功”，导入票据异常，则提示“票据异常”。</w:t>
      </w:r>
    </w:p>
    <w:p>
      <w:pPr>
        <w:pStyle w:val="57"/>
        <w:numPr>
          <w:ilvl w:val="5"/>
          <w:numId w:val="15"/>
        </w:numPr>
      </w:pPr>
      <w:r>
        <w:rPr>
          <w:rFonts w:hint="eastAsia"/>
        </w:rPr>
        <w:t>入账反馈</w:t>
      </w:r>
    </w:p>
    <w:p>
      <w:pPr>
        <w:pStyle w:val="47"/>
        <w:ind w:firstLine="480"/>
      </w:pPr>
      <w:r>
        <w:rPr>
          <w:rFonts w:hint="eastAsia"/>
        </w:rPr>
        <w:t>单选或多选待入账电子票据，输入会计凭证号、入账日期及入账金额，入账金额默认为开票金额，完成记账登记。</w:t>
      </w:r>
    </w:p>
    <w:p>
      <w:pPr>
        <w:pStyle w:val="56"/>
        <w:numPr>
          <w:ilvl w:val="3"/>
          <w:numId w:val="9"/>
        </w:numPr>
        <w:tabs>
          <w:tab w:val="left" w:pos="360"/>
        </w:tabs>
        <w:ind w:left="0" w:firstLine="0"/>
      </w:pPr>
      <w:r>
        <w:rPr>
          <w:rFonts w:hint="eastAsia"/>
        </w:rPr>
        <w:t>撤销入账</w:t>
      </w:r>
    </w:p>
    <w:p>
      <w:pPr>
        <w:pStyle w:val="47"/>
        <w:ind w:firstLine="480"/>
      </w:pPr>
      <w:r>
        <w:rPr>
          <w:rFonts w:hint="eastAsia"/>
        </w:rPr>
        <w:t>支持单条票据入账撤销、单个会计凭证号撤销入账、不同会计凭证号不允许批量撤销入账等功能。</w:t>
      </w:r>
    </w:p>
    <w:p>
      <w:pPr>
        <w:pStyle w:val="54"/>
        <w:numPr>
          <w:ilvl w:val="1"/>
          <w:numId w:val="6"/>
        </w:numPr>
      </w:pPr>
      <w:bookmarkStart w:id="54" w:name="_Toc78120736"/>
      <w:bookmarkStart w:id="55" w:name="_Toc80990149"/>
      <w:bookmarkStart w:id="56" w:name="_Toc78103692"/>
      <w:r>
        <w:t>数据</w:t>
      </w:r>
      <w:r>
        <w:rPr>
          <w:rFonts w:hint="eastAsia"/>
        </w:rPr>
        <w:t>采集模块</w:t>
      </w:r>
      <w:bookmarkEnd w:id="54"/>
      <w:bookmarkEnd w:id="55"/>
      <w:bookmarkEnd w:id="56"/>
    </w:p>
    <w:p>
      <w:pPr>
        <w:pStyle w:val="47"/>
        <w:ind w:firstLine="480"/>
      </w:pPr>
      <w:r>
        <w:rPr>
          <w:rFonts w:hint="eastAsia"/>
        </w:rPr>
        <w:t>主要包含数据采集配置管理、接口采集模式、自动采集模式、手工采集模式、数据采集监控等功能。</w:t>
      </w:r>
    </w:p>
    <w:p>
      <w:pPr>
        <w:pStyle w:val="55"/>
        <w:numPr>
          <w:ilvl w:val="2"/>
          <w:numId w:val="7"/>
        </w:numPr>
        <w:tabs>
          <w:tab w:val="left" w:pos="360"/>
        </w:tabs>
        <w:ind w:left="0" w:firstLine="0"/>
      </w:pPr>
      <w:bookmarkStart w:id="57" w:name="_Toc80990150"/>
      <w:bookmarkStart w:id="58" w:name="_Toc78103693"/>
      <w:r>
        <w:rPr>
          <w:rFonts w:hint="eastAsia"/>
        </w:rPr>
        <w:t>数据采集配置管理</w:t>
      </w:r>
      <w:bookmarkEnd w:id="57"/>
      <w:bookmarkEnd w:id="58"/>
    </w:p>
    <w:p>
      <w:pPr>
        <w:pStyle w:val="56"/>
        <w:numPr>
          <w:ilvl w:val="3"/>
          <w:numId w:val="9"/>
        </w:numPr>
        <w:tabs>
          <w:tab w:val="left" w:pos="360"/>
        </w:tabs>
        <w:ind w:left="0" w:firstLine="0"/>
      </w:pPr>
      <w:r>
        <w:rPr>
          <w:rFonts w:hint="eastAsia"/>
        </w:rPr>
        <w:t>采集频率设置</w:t>
      </w:r>
    </w:p>
    <w:p>
      <w:pPr>
        <w:pStyle w:val="47"/>
        <w:ind w:firstLine="480"/>
      </w:pPr>
      <w:r>
        <w:rPr>
          <w:rFonts w:hint="eastAsia"/>
        </w:rPr>
        <w:t>设置适当的数据采集方式。</w:t>
      </w:r>
    </w:p>
    <w:p>
      <w:pPr>
        <w:pStyle w:val="56"/>
        <w:numPr>
          <w:ilvl w:val="3"/>
          <w:numId w:val="9"/>
        </w:numPr>
        <w:tabs>
          <w:tab w:val="left" w:pos="360"/>
        </w:tabs>
        <w:ind w:left="0" w:firstLine="0"/>
      </w:pPr>
      <w:r>
        <w:rPr>
          <w:rFonts w:hint="eastAsia"/>
        </w:rPr>
        <w:t>采集方式设置</w:t>
      </w:r>
    </w:p>
    <w:p>
      <w:pPr>
        <w:pStyle w:val="47"/>
        <w:ind w:firstLine="480"/>
      </w:pPr>
      <w:r>
        <w:rPr>
          <w:rFonts w:hint="eastAsia"/>
        </w:rPr>
        <w:t>根据医疗机构不同的部署模式与网络环境，提供不同的采集方式配置，按照单位设置单位的数据采集方式，如自动采集、接口采集、手工采集。</w:t>
      </w:r>
    </w:p>
    <w:p>
      <w:pPr>
        <w:pStyle w:val="55"/>
        <w:numPr>
          <w:ilvl w:val="2"/>
          <w:numId w:val="7"/>
        </w:numPr>
        <w:tabs>
          <w:tab w:val="left" w:pos="360"/>
        </w:tabs>
        <w:ind w:left="0" w:firstLine="0"/>
      </w:pPr>
      <w:bookmarkStart w:id="59" w:name="_Toc74982450"/>
      <w:bookmarkStart w:id="60" w:name="_Toc80990151"/>
      <w:r>
        <w:rPr>
          <w:rFonts w:hint="eastAsia"/>
        </w:rPr>
        <w:t>自动采集</w:t>
      </w:r>
      <w:bookmarkEnd w:id="59"/>
      <w:bookmarkEnd w:id="60"/>
    </w:p>
    <w:p>
      <w:pPr>
        <w:pStyle w:val="56"/>
        <w:numPr>
          <w:ilvl w:val="3"/>
          <w:numId w:val="9"/>
        </w:numPr>
        <w:tabs>
          <w:tab w:val="left" w:pos="360"/>
        </w:tabs>
        <w:ind w:left="0" w:firstLine="0"/>
      </w:pPr>
      <w:r>
        <w:rPr>
          <w:rFonts w:hint="eastAsia"/>
        </w:rPr>
        <w:t>医疗机构基础信息采集</w:t>
      </w:r>
    </w:p>
    <w:p>
      <w:pPr>
        <w:pStyle w:val="47"/>
        <w:ind w:firstLine="480"/>
        <w:rPr>
          <w:rFonts w:cs="仿宋_GB2312"/>
        </w:rPr>
      </w:pPr>
      <w:r>
        <w:rPr>
          <w:rFonts w:hint="eastAsia" w:cs="仿宋_GB2312"/>
        </w:rPr>
        <w:t>采集各医疗机构的院内基础信息，包括各医疗机构的基础信息新增、变更，用于对照转换单位的开票数据、冲红数据、入账数据、收费明细信息等。</w:t>
      </w:r>
    </w:p>
    <w:p>
      <w:pPr>
        <w:pStyle w:val="56"/>
        <w:numPr>
          <w:ilvl w:val="3"/>
          <w:numId w:val="9"/>
        </w:numPr>
        <w:tabs>
          <w:tab w:val="left" w:pos="360"/>
        </w:tabs>
        <w:ind w:left="0" w:firstLine="0"/>
      </w:pPr>
      <w:r>
        <w:rPr>
          <w:rFonts w:hint="eastAsia"/>
        </w:rPr>
        <w:t>电子票据开具信息采集</w:t>
      </w:r>
    </w:p>
    <w:p>
      <w:pPr>
        <w:pStyle w:val="47"/>
        <w:ind w:firstLine="480"/>
        <w:rPr>
          <w:rFonts w:cs="仿宋_GB2312"/>
        </w:rPr>
      </w:pPr>
      <w:r>
        <w:rPr>
          <w:rFonts w:hint="eastAsia" w:cs="仿宋_GB2312"/>
        </w:rPr>
        <w:t>采集各医疗机构的电子票据开具信息，对采集的电子票据开具信息进行数据校验。</w:t>
      </w:r>
    </w:p>
    <w:p>
      <w:pPr>
        <w:pStyle w:val="56"/>
        <w:numPr>
          <w:ilvl w:val="3"/>
          <w:numId w:val="9"/>
        </w:numPr>
        <w:tabs>
          <w:tab w:val="left" w:pos="360"/>
        </w:tabs>
        <w:ind w:left="0" w:firstLine="0"/>
      </w:pPr>
      <w:r>
        <w:rPr>
          <w:rFonts w:hint="eastAsia"/>
        </w:rPr>
        <w:t>电子票据xml采集</w:t>
      </w:r>
    </w:p>
    <w:p>
      <w:pPr>
        <w:pStyle w:val="47"/>
        <w:ind w:firstLine="480"/>
        <w:rPr>
          <w:rFonts w:cs="仿宋_GB2312"/>
        </w:rPr>
      </w:pPr>
      <w:r>
        <w:rPr>
          <w:rFonts w:hint="eastAsia" w:cs="仿宋_GB2312"/>
        </w:rPr>
        <w:t>采集各医疗机构的电子票据XML信息，对采集到的电子票据XML进行数据解析，校验，校验通过后调用数据清洗服务进行数据清洗、转换处理，按照约定规则进行分布存储，作为数据分析的基础数据。</w:t>
      </w:r>
    </w:p>
    <w:p>
      <w:pPr>
        <w:pStyle w:val="56"/>
        <w:numPr>
          <w:ilvl w:val="3"/>
          <w:numId w:val="9"/>
        </w:numPr>
        <w:tabs>
          <w:tab w:val="left" w:pos="360"/>
        </w:tabs>
        <w:ind w:left="0" w:firstLine="0"/>
      </w:pPr>
      <w:r>
        <w:rPr>
          <w:rFonts w:hint="eastAsia"/>
        </w:rPr>
        <w:t>电子票据收费明细信息采集</w:t>
      </w:r>
    </w:p>
    <w:p>
      <w:pPr>
        <w:pStyle w:val="47"/>
        <w:ind w:firstLine="480"/>
        <w:rPr>
          <w:rFonts w:cs="仿宋_GB2312"/>
        </w:rPr>
      </w:pPr>
      <w:r>
        <w:rPr>
          <w:rFonts w:hint="eastAsia" w:cs="仿宋_GB2312"/>
        </w:rPr>
        <w:t>采集各医疗机构的电子票据收费明细，对采集到的数据进行数据校验，校验通过后调用数据清洗服务进行数据清洗。</w:t>
      </w:r>
    </w:p>
    <w:p>
      <w:pPr>
        <w:pStyle w:val="56"/>
        <w:numPr>
          <w:ilvl w:val="3"/>
          <w:numId w:val="9"/>
        </w:numPr>
        <w:tabs>
          <w:tab w:val="left" w:pos="360"/>
        </w:tabs>
        <w:ind w:left="0" w:firstLine="0"/>
      </w:pPr>
      <w:r>
        <w:rPr>
          <w:rFonts w:hint="eastAsia"/>
        </w:rPr>
        <w:t>电子票据冲红信息采集</w:t>
      </w:r>
    </w:p>
    <w:p>
      <w:pPr>
        <w:pStyle w:val="47"/>
        <w:ind w:firstLine="480"/>
        <w:rPr>
          <w:rFonts w:cs="仿宋_GB2312"/>
        </w:rPr>
      </w:pPr>
      <w:r>
        <w:rPr>
          <w:rFonts w:hint="eastAsia" w:cs="仿宋_GB2312"/>
        </w:rPr>
        <w:t>自动采集各基层机构的电子票据冲红信息，对采集的电子票据冲红信息进行数据校验。</w:t>
      </w:r>
    </w:p>
    <w:p>
      <w:pPr>
        <w:pStyle w:val="56"/>
        <w:numPr>
          <w:ilvl w:val="3"/>
          <w:numId w:val="9"/>
        </w:numPr>
        <w:tabs>
          <w:tab w:val="left" w:pos="360"/>
        </w:tabs>
        <w:ind w:left="0" w:firstLine="0"/>
      </w:pPr>
      <w:r>
        <w:rPr>
          <w:rFonts w:hint="eastAsia"/>
        </w:rPr>
        <w:t>数据上报服务</w:t>
      </w:r>
    </w:p>
    <w:p>
      <w:pPr>
        <w:ind w:firstLine="560"/>
        <w:rPr>
          <w:rFonts w:ascii="仿宋_GB2312" w:hAnsi="仿宋_GB2312" w:eastAsia="仿宋_GB2312" w:cs="仿宋_GB2312"/>
          <w:szCs w:val="28"/>
        </w:rPr>
      </w:pPr>
      <w:r>
        <w:rPr>
          <w:rFonts w:hint="eastAsia" w:ascii="仿宋_GB2312" w:hAnsi="仿宋_GB2312" w:eastAsia="仿宋_GB2312" w:cs="仿宋_GB2312"/>
          <w:szCs w:val="28"/>
        </w:rPr>
        <w:t>数据本地采集后，调用数据上报服务，将本地采集的数据上报的卫健委。</w:t>
      </w:r>
    </w:p>
    <w:p>
      <w:pPr>
        <w:pStyle w:val="55"/>
        <w:numPr>
          <w:ilvl w:val="2"/>
          <w:numId w:val="7"/>
        </w:numPr>
        <w:tabs>
          <w:tab w:val="left" w:pos="360"/>
        </w:tabs>
        <w:ind w:left="0" w:firstLine="0"/>
      </w:pPr>
      <w:bookmarkStart w:id="61" w:name="_Toc80990152"/>
      <w:bookmarkStart w:id="62" w:name="_Toc74982451"/>
      <w:r>
        <w:rPr>
          <w:rFonts w:hint="eastAsia"/>
        </w:rPr>
        <w:t>接口采集</w:t>
      </w:r>
      <w:bookmarkEnd w:id="61"/>
      <w:bookmarkEnd w:id="62"/>
    </w:p>
    <w:p>
      <w:pPr>
        <w:pStyle w:val="56"/>
        <w:numPr>
          <w:ilvl w:val="3"/>
          <w:numId w:val="9"/>
        </w:numPr>
        <w:tabs>
          <w:tab w:val="left" w:pos="360"/>
        </w:tabs>
        <w:ind w:left="0" w:firstLine="0"/>
      </w:pPr>
      <w:r>
        <w:rPr>
          <w:rFonts w:hint="eastAsia"/>
        </w:rPr>
        <w:t>医疗机构基础信息采集</w:t>
      </w:r>
    </w:p>
    <w:p>
      <w:pPr>
        <w:pStyle w:val="47"/>
        <w:ind w:firstLine="480"/>
        <w:rPr>
          <w:rFonts w:cs="仿宋_GB2312"/>
        </w:rPr>
      </w:pPr>
      <w:r>
        <w:rPr>
          <w:rFonts w:hint="eastAsia" w:cs="仿宋_GB2312"/>
        </w:rPr>
        <w:t>采集医疗机构的基础数据，包括医疗机构基础信息科室信息、业务类型、收费清单目录、收费窗口信息等。</w:t>
      </w:r>
    </w:p>
    <w:p>
      <w:pPr>
        <w:pStyle w:val="56"/>
        <w:numPr>
          <w:ilvl w:val="3"/>
          <w:numId w:val="9"/>
        </w:numPr>
        <w:tabs>
          <w:tab w:val="left" w:pos="360"/>
        </w:tabs>
        <w:ind w:left="0" w:firstLine="0"/>
      </w:pPr>
      <w:r>
        <w:rPr>
          <w:rFonts w:hint="eastAsia"/>
        </w:rPr>
        <w:t>电子票据开具信息采集</w:t>
      </w:r>
    </w:p>
    <w:p>
      <w:pPr>
        <w:pStyle w:val="47"/>
        <w:ind w:firstLine="480"/>
        <w:rPr>
          <w:rFonts w:cs="仿宋_GB2312"/>
        </w:rPr>
      </w:pPr>
      <w:r>
        <w:rPr>
          <w:rFonts w:hint="eastAsia" w:cs="仿宋_GB2312"/>
        </w:rPr>
        <w:t>能够采集医疗机构的电子票据开具信息，对采集的电子票据开具信息进行数据校验，校验通过后调用数据清洗服务进行数据清洗处理。</w:t>
      </w:r>
    </w:p>
    <w:p>
      <w:pPr>
        <w:pStyle w:val="56"/>
        <w:numPr>
          <w:ilvl w:val="3"/>
          <w:numId w:val="9"/>
        </w:numPr>
        <w:tabs>
          <w:tab w:val="left" w:pos="360"/>
        </w:tabs>
        <w:ind w:left="0" w:firstLine="0"/>
      </w:pPr>
      <w:r>
        <w:rPr>
          <w:rFonts w:hint="eastAsia"/>
        </w:rPr>
        <w:t>电子票据xml采集</w:t>
      </w:r>
    </w:p>
    <w:p>
      <w:pPr>
        <w:pStyle w:val="47"/>
        <w:ind w:firstLine="480"/>
        <w:rPr>
          <w:rFonts w:cs="仿宋_GB2312"/>
        </w:rPr>
      </w:pPr>
      <w:r>
        <w:rPr>
          <w:rFonts w:hint="eastAsia" w:cs="仿宋_GB2312"/>
        </w:rPr>
        <w:t>通过接口的方式增量采集各独立部署医疗机构的电子票据XML信息，对采集到的电子票据XML进行数据解析，校验，校验通过后调用数据清洗服务进行数据清洗、转换处理，按照约定规则进行分布存储，作为数据分析的基础数据。</w:t>
      </w:r>
    </w:p>
    <w:p>
      <w:pPr>
        <w:pStyle w:val="47"/>
        <w:ind w:firstLine="480"/>
        <w:rPr>
          <w:rFonts w:cs="仿宋_GB2312"/>
        </w:rPr>
      </w:pPr>
      <w:r>
        <w:rPr>
          <w:rFonts w:hint="eastAsia" w:cs="仿宋_GB2312"/>
        </w:rPr>
        <w:t>电子票据XML校验内容：</w:t>
      </w:r>
    </w:p>
    <w:p>
      <w:pPr>
        <w:pStyle w:val="47"/>
        <w:ind w:firstLine="480"/>
        <w:rPr>
          <w:rFonts w:cs="仿宋_GB2312"/>
        </w:rPr>
      </w:pPr>
      <w:r>
        <w:rPr>
          <w:rFonts w:hint="eastAsia" w:cs="仿宋_GB2312"/>
        </w:rPr>
        <w:t>1、是否符合财政部电子票据标准规范；</w:t>
      </w:r>
    </w:p>
    <w:p>
      <w:pPr>
        <w:pStyle w:val="47"/>
        <w:ind w:firstLine="480"/>
        <w:rPr>
          <w:rFonts w:cs="仿宋_GB2312"/>
        </w:rPr>
      </w:pPr>
      <w:r>
        <w:rPr>
          <w:rFonts w:hint="eastAsia" w:cs="仿宋_GB2312"/>
        </w:rPr>
        <w:t>2、业务数据合法性校验；</w:t>
      </w:r>
    </w:p>
    <w:p>
      <w:pPr>
        <w:pStyle w:val="47"/>
        <w:ind w:firstLine="480"/>
        <w:rPr>
          <w:rFonts w:cs="仿宋_GB2312"/>
        </w:rPr>
      </w:pPr>
      <w:r>
        <w:rPr>
          <w:rFonts w:hint="eastAsia" w:cs="仿宋_GB2312"/>
        </w:rPr>
        <w:t>3、重复性校验。</w:t>
      </w:r>
    </w:p>
    <w:p>
      <w:pPr>
        <w:pStyle w:val="47"/>
        <w:ind w:firstLine="480"/>
        <w:rPr>
          <w:rFonts w:cs="仿宋_GB2312"/>
        </w:rPr>
      </w:pPr>
      <w:r>
        <w:rPr>
          <w:rFonts w:hint="eastAsia" w:cs="仿宋_GB2312"/>
        </w:rPr>
        <w:t>涉及接口：单位电子票据XML数据采集</w:t>
      </w:r>
    </w:p>
    <w:p>
      <w:pPr>
        <w:pStyle w:val="56"/>
        <w:numPr>
          <w:ilvl w:val="3"/>
          <w:numId w:val="9"/>
        </w:numPr>
        <w:tabs>
          <w:tab w:val="left" w:pos="360"/>
        </w:tabs>
        <w:ind w:left="0" w:firstLine="0"/>
      </w:pPr>
      <w:r>
        <w:rPr>
          <w:rFonts w:hint="eastAsia"/>
        </w:rPr>
        <w:t>电子票据收费明细信息采集</w:t>
      </w:r>
    </w:p>
    <w:p>
      <w:pPr>
        <w:pStyle w:val="47"/>
        <w:ind w:firstLine="480"/>
        <w:rPr>
          <w:rFonts w:cs="仿宋_GB2312"/>
        </w:rPr>
      </w:pPr>
      <w:r>
        <w:rPr>
          <w:rFonts w:hint="eastAsia" w:cs="仿宋_GB2312"/>
        </w:rPr>
        <w:t>通过接口的方式增量采集各独立部署医疗机构的电子票据收费明细，对采集到的数据进行数据校验，校验通过后调用数据清洗服务进行数据清洗。</w:t>
      </w:r>
    </w:p>
    <w:p>
      <w:pPr>
        <w:pStyle w:val="47"/>
        <w:ind w:firstLine="480"/>
        <w:rPr>
          <w:rFonts w:cs="仿宋_GB2312"/>
        </w:rPr>
      </w:pPr>
      <w:r>
        <w:rPr>
          <w:rFonts w:hint="eastAsia" w:cs="仿宋_GB2312"/>
        </w:rPr>
        <w:t>涉及接口：电子票据收费明细数据采集</w:t>
      </w:r>
    </w:p>
    <w:p>
      <w:pPr>
        <w:pStyle w:val="56"/>
        <w:numPr>
          <w:ilvl w:val="3"/>
          <w:numId w:val="9"/>
        </w:numPr>
        <w:tabs>
          <w:tab w:val="left" w:pos="360"/>
        </w:tabs>
        <w:ind w:left="0" w:firstLine="0"/>
      </w:pPr>
      <w:r>
        <w:rPr>
          <w:rFonts w:hint="eastAsia"/>
        </w:rPr>
        <w:t>电子票据冲红信息采集</w:t>
      </w:r>
    </w:p>
    <w:p>
      <w:pPr>
        <w:pStyle w:val="47"/>
        <w:ind w:firstLine="480"/>
        <w:rPr>
          <w:rFonts w:cs="仿宋_GB2312"/>
        </w:rPr>
      </w:pPr>
      <w:r>
        <w:rPr>
          <w:rFonts w:hint="eastAsia" w:cs="仿宋_GB2312"/>
        </w:rPr>
        <w:t>采集医疗机构的电子票据冲红信息，对采集的电子票据冲红信息进行数据校验。</w:t>
      </w:r>
    </w:p>
    <w:p>
      <w:pPr>
        <w:pStyle w:val="55"/>
        <w:numPr>
          <w:ilvl w:val="2"/>
          <w:numId w:val="7"/>
        </w:numPr>
        <w:tabs>
          <w:tab w:val="left" w:pos="360"/>
        </w:tabs>
        <w:ind w:left="0" w:firstLine="0"/>
      </w:pPr>
      <w:bookmarkStart w:id="63" w:name="_Toc80990153"/>
      <w:bookmarkStart w:id="64" w:name="_Toc74982452"/>
      <w:r>
        <w:rPr>
          <w:rFonts w:hint="eastAsia"/>
        </w:rPr>
        <w:t>手工采集</w:t>
      </w:r>
      <w:bookmarkEnd w:id="63"/>
      <w:bookmarkEnd w:id="64"/>
    </w:p>
    <w:p>
      <w:pPr>
        <w:pStyle w:val="56"/>
        <w:numPr>
          <w:ilvl w:val="3"/>
          <w:numId w:val="9"/>
        </w:numPr>
        <w:tabs>
          <w:tab w:val="left" w:pos="360"/>
        </w:tabs>
        <w:ind w:left="0" w:firstLine="0"/>
      </w:pPr>
      <w:r>
        <w:rPr>
          <w:rFonts w:hint="eastAsia"/>
        </w:rPr>
        <w:t>基础数据导入</w:t>
      </w:r>
    </w:p>
    <w:p>
      <w:pPr>
        <w:pStyle w:val="47"/>
        <w:ind w:firstLine="480"/>
        <w:rPr>
          <w:rFonts w:cs="仿宋_GB2312"/>
        </w:rPr>
      </w:pPr>
      <w:r>
        <w:rPr>
          <w:rFonts w:hint="eastAsia" w:cs="仿宋_GB2312"/>
        </w:rPr>
        <w:t>针对采集异常的单位可通过手工导出的方式将数据上报到卫健委。</w:t>
      </w:r>
    </w:p>
    <w:p>
      <w:pPr>
        <w:pStyle w:val="56"/>
        <w:numPr>
          <w:ilvl w:val="3"/>
          <w:numId w:val="9"/>
        </w:numPr>
        <w:tabs>
          <w:tab w:val="left" w:pos="360"/>
        </w:tabs>
        <w:ind w:left="0" w:firstLine="0"/>
      </w:pPr>
      <w:r>
        <w:rPr>
          <w:rFonts w:hint="eastAsia"/>
        </w:rPr>
        <w:t>电子票据信息导入</w:t>
      </w:r>
    </w:p>
    <w:p>
      <w:pPr>
        <w:pStyle w:val="47"/>
        <w:ind w:firstLine="480"/>
        <w:rPr>
          <w:rFonts w:cs="仿宋_GB2312"/>
        </w:rPr>
      </w:pPr>
      <w:r>
        <w:rPr>
          <w:rFonts w:hint="eastAsia" w:cs="仿宋_GB2312"/>
        </w:rPr>
        <w:t>提供医疗机构电子票据信息导入的功能，将数据导入到系统，校验逻辑与自动采集方式保持一致。</w:t>
      </w:r>
    </w:p>
    <w:p>
      <w:pPr>
        <w:pStyle w:val="56"/>
        <w:numPr>
          <w:ilvl w:val="3"/>
          <w:numId w:val="9"/>
        </w:numPr>
        <w:tabs>
          <w:tab w:val="left" w:pos="360"/>
        </w:tabs>
        <w:ind w:left="0" w:firstLine="0"/>
      </w:pPr>
      <w:r>
        <w:rPr>
          <w:rFonts w:hint="eastAsia"/>
        </w:rPr>
        <w:t>电子票据XML文件导入</w:t>
      </w:r>
    </w:p>
    <w:p>
      <w:pPr>
        <w:pStyle w:val="47"/>
        <w:ind w:firstLine="480"/>
        <w:rPr>
          <w:rFonts w:cs="仿宋_GB2312"/>
        </w:rPr>
      </w:pPr>
      <w:r>
        <w:rPr>
          <w:rFonts w:hint="eastAsia" w:cs="仿宋_GB2312"/>
        </w:rPr>
        <w:t>提供医疗机构电子票据XML导入的功能，将数据导入到系统，校验逻辑与自动采集方式保持一致。</w:t>
      </w:r>
    </w:p>
    <w:p>
      <w:pPr>
        <w:pStyle w:val="56"/>
        <w:numPr>
          <w:ilvl w:val="3"/>
          <w:numId w:val="9"/>
        </w:numPr>
        <w:tabs>
          <w:tab w:val="left" w:pos="360"/>
        </w:tabs>
        <w:ind w:left="0" w:firstLine="0"/>
      </w:pPr>
      <w:r>
        <w:rPr>
          <w:rFonts w:hint="eastAsia"/>
        </w:rPr>
        <w:t>电子票据变动信息导入</w:t>
      </w:r>
    </w:p>
    <w:p>
      <w:pPr>
        <w:pStyle w:val="47"/>
        <w:ind w:firstLine="480"/>
        <w:rPr>
          <w:rFonts w:cs="仿宋_GB2312"/>
        </w:rPr>
      </w:pPr>
      <w:r>
        <w:rPr>
          <w:rFonts w:hint="eastAsia" w:cs="仿宋_GB2312"/>
        </w:rPr>
        <w:t>提供医疗机构电子票据变动信息导入的功能，将电子票据冲红，校验逻辑与自动采集方式保持一致。</w:t>
      </w:r>
    </w:p>
    <w:p>
      <w:pPr>
        <w:pStyle w:val="55"/>
        <w:numPr>
          <w:ilvl w:val="2"/>
          <w:numId w:val="7"/>
        </w:numPr>
        <w:tabs>
          <w:tab w:val="left" w:pos="360"/>
        </w:tabs>
        <w:ind w:left="0" w:firstLine="0"/>
      </w:pPr>
      <w:r>
        <w:rPr>
          <w:rFonts w:hint="eastAsia"/>
        </w:rPr>
        <w:t>数据采集进度查询</w:t>
      </w:r>
    </w:p>
    <w:p>
      <w:pPr>
        <w:pStyle w:val="47"/>
        <w:ind w:firstLine="480"/>
        <w:rPr>
          <w:rFonts w:cs="仿宋_GB2312"/>
        </w:rPr>
      </w:pPr>
      <w:r>
        <w:rPr>
          <w:rFonts w:hint="eastAsia" w:cs="仿宋_GB2312"/>
        </w:rPr>
        <w:t>监控医疗收费电子票据平台的各医疗机构的数据采集进度，实时获知数据采集整体情况，当出现采集异常时，由系统进行预警提示，便于人工及时介入处理问题。</w:t>
      </w:r>
    </w:p>
    <w:p/>
    <w:p>
      <w:pPr>
        <w:pStyle w:val="54"/>
        <w:numPr>
          <w:ilvl w:val="1"/>
          <w:numId w:val="6"/>
        </w:numPr>
      </w:pPr>
      <w:bookmarkStart w:id="65" w:name="_Toc78120737"/>
      <w:bookmarkStart w:id="66" w:name="_Toc80990154"/>
      <w:bookmarkStart w:id="67" w:name="_Toc78103698"/>
      <w:r>
        <w:rPr>
          <w:rFonts w:hint="eastAsia"/>
        </w:rPr>
        <w:t>数据分析监管平台</w:t>
      </w:r>
      <w:bookmarkEnd w:id="65"/>
      <w:bookmarkEnd w:id="66"/>
      <w:bookmarkEnd w:id="67"/>
    </w:p>
    <w:p>
      <w:pPr>
        <w:pStyle w:val="55"/>
        <w:numPr>
          <w:ilvl w:val="2"/>
          <w:numId w:val="7"/>
        </w:numPr>
        <w:tabs>
          <w:tab w:val="left" w:pos="360"/>
        </w:tabs>
        <w:ind w:left="0" w:firstLine="0"/>
      </w:pPr>
      <w:bookmarkStart w:id="68" w:name="_Toc78103699"/>
      <w:bookmarkStart w:id="69" w:name="_Toc80990155"/>
      <w:r>
        <w:rPr>
          <w:rFonts w:hint="eastAsia"/>
        </w:rPr>
        <w:t>数据处理</w:t>
      </w:r>
      <w:bookmarkEnd w:id="68"/>
      <w:bookmarkEnd w:id="69"/>
    </w:p>
    <w:p>
      <w:pPr>
        <w:pStyle w:val="56"/>
        <w:numPr>
          <w:ilvl w:val="3"/>
          <w:numId w:val="9"/>
        </w:numPr>
        <w:tabs>
          <w:tab w:val="left" w:pos="360"/>
        </w:tabs>
        <w:ind w:left="0" w:firstLine="0"/>
      </w:pPr>
      <w:r>
        <w:rPr>
          <w:rFonts w:hint="eastAsia"/>
        </w:rPr>
        <w:t>数据清洗</w:t>
      </w:r>
    </w:p>
    <w:p>
      <w:pPr>
        <w:pStyle w:val="47"/>
        <w:ind w:firstLine="480"/>
      </w:pPr>
      <w:r>
        <w:rPr>
          <w:rFonts w:hint="eastAsia"/>
        </w:rPr>
        <w:t>对数据等进行清洗，为医疗数据监管分析平台提供数据来源及数据处理服务。</w:t>
      </w:r>
    </w:p>
    <w:p>
      <w:pPr>
        <w:pStyle w:val="56"/>
        <w:numPr>
          <w:ilvl w:val="3"/>
          <w:numId w:val="9"/>
        </w:numPr>
        <w:tabs>
          <w:tab w:val="left" w:pos="360"/>
        </w:tabs>
        <w:ind w:left="0" w:firstLine="0"/>
      </w:pPr>
      <w:r>
        <w:rPr>
          <w:rFonts w:hint="eastAsia"/>
        </w:rPr>
        <w:t>数据转换</w:t>
      </w:r>
    </w:p>
    <w:p>
      <w:pPr>
        <w:pStyle w:val="47"/>
        <w:ind w:firstLine="480"/>
      </w:pPr>
      <w:r>
        <w:rPr>
          <w:rFonts w:hint="eastAsia"/>
        </w:rPr>
        <w:t>将数据采集获取的并经过清洗过的数据整理转换为数据分析对应的指标数据，指标包括医疗机构开票量、门诊开票量、住院开票量、科室开票量、医疗项目价格、医疗机构收入总金额、门诊收入总金额、住院收入总金额等。</w:t>
      </w:r>
    </w:p>
    <w:p>
      <w:pPr>
        <w:pStyle w:val="55"/>
        <w:numPr>
          <w:ilvl w:val="2"/>
          <w:numId w:val="7"/>
        </w:numPr>
        <w:tabs>
          <w:tab w:val="left" w:pos="360"/>
        </w:tabs>
        <w:ind w:left="0" w:firstLine="0"/>
      </w:pPr>
      <w:bookmarkStart w:id="70" w:name="_Toc78103700"/>
      <w:bookmarkStart w:id="71" w:name="_Toc80990156"/>
      <w:r>
        <w:rPr>
          <w:rFonts w:hint="eastAsia"/>
        </w:rPr>
        <w:t>数据分析</w:t>
      </w:r>
      <w:bookmarkEnd w:id="70"/>
      <w:bookmarkEnd w:id="71"/>
    </w:p>
    <w:p>
      <w:pPr>
        <w:pStyle w:val="56"/>
        <w:numPr>
          <w:ilvl w:val="3"/>
          <w:numId w:val="9"/>
        </w:numPr>
        <w:tabs>
          <w:tab w:val="left" w:pos="360"/>
        </w:tabs>
        <w:ind w:left="0" w:firstLine="0"/>
      </w:pPr>
      <w:bookmarkStart w:id="72" w:name="_Toc48833416"/>
      <w:r>
        <w:rPr>
          <w:rFonts w:hint="eastAsia"/>
        </w:rPr>
        <w:t>医疗机构</w:t>
      </w:r>
      <w:bookmarkEnd w:id="72"/>
      <w:r>
        <w:rPr>
          <w:rFonts w:hint="eastAsia"/>
        </w:rPr>
        <w:t>用票总览</w:t>
      </w:r>
    </w:p>
    <w:p>
      <w:pPr>
        <w:pStyle w:val="47"/>
        <w:ind w:firstLine="480"/>
      </w:pPr>
      <w:r>
        <w:rPr>
          <w:rFonts w:hint="eastAsia"/>
        </w:rPr>
        <w:t>医疗机构用票总览主要分析卫健委监管下的各医疗机构的总体用票情况。</w:t>
      </w:r>
    </w:p>
    <w:p>
      <w:pPr>
        <w:pStyle w:val="6"/>
        <w:numPr>
          <w:ilvl w:val="4"/>
          <w:numId w:val="10"/>
        </w:numPr>
      </w:pPr>
      <w:r>
        <w:rPr>
          <w:rFonts w:hint="eastAsia"/>
        </w:rPr>
        <w:t>医院开票总体情况分析</w:t>
      </w:r>
    </w:p>
    <w:p>
      <w:pPr>
        <w:pStyle w:val="47"/>
        <w:ind w:firstLine="480"/>
      </w:pPr>
      <w:r>
        <w:t>可按日、周、月不同时间维度查询门诊、住院收费日常的开票数据，可结合收费员的同比、环比开票数据进行分析查看，查询与上一日、上一周、上个月的数据增减变化。</w:t>
      </w:r>
    </w:p>
    <w:p>
      <w:pPr>
        <w:pStyle w:val="6"/>
        <w:numPr>
          <w:ilvl w:val="4"/>
          <w:numId w:val="10"/>
        </w:numPr>
      </w:pPr>
      <w:r>
        <w:rPr>
          <w:rFonts w:hint="eastAsia"/>
        </w:rPr>
        <w:t>单位开票量TOP10</w:t>
      </w:r>
    </w:p>
    <w:p>
      <w:pPr>
        <w:pStyle w:val="47"/>
        <w:ind w:firstLine="480"/>
      </w:pPr>
      <w:r>
        <w:rPr>
          <w:rFonts w:hint="eastAsia"/>
        </w:rPr>
        <w:t>根据查询条件的选择，展示满足当前查询条件下的开票量排名在前十的单位，以横向柱形图的形式展示，按照从多到少的顺序排列。</w:t>
      </w:r>
    </w:p>
    <w:p>
      <w:pPr>
        <w:pStyle w:val="6"/>
        <w:numPr>
          <w:ilvl w:val="4"/>
          <w:numId w:val="10"/>
        </w:numPr>
      </w:pPr>
      <w:r>
        <w:rPr>
          <w:rFonts w:hint="eastAsia"/>
        </w:rPr>
        <w:t>开票量趋势分析</w:t>
      </w:r>
    </w:p>
    <w:p>
      <w:pPr>
        <w:pStyle w:val="210"/>
        <w:spacing w:line="360" w:lineRule="auto"/>
        <w:ind w:firstLine="480"/>
        <w:rPr>
          <w:rFonts w:ascii="仿宋" w:hAnsi="仿宋" w:cs="仿宋"/>
          <w:szCs w:val="24"/>
        </w:rPr>
      </w:pPr>
      <w:r>
        <w:rPr>
          <w:rFonts w:hint="eastAsia" w:ascii="仿宋" w:hAnsi="仿宋" w:cs="仿宋"/>
          <w:szCs w:val="24"/>
        </w:rPr>
        <w:t>展示医疗机构的电子票据开具变化趋势。</w:t>
      </w:r>
    </w:p>
    <w:p>
      <w:pPr>
        <w:pStyle w:val="6"/>
        <w:numPr>
          <w:ilvl w:val="4"/>
          <w:numId w:val="10"/>
        </w:numPr>
      </w:pPr>
      <w:r>
        <w:rPr>
          <w:rFonts w:hint="eastAsia"/>
        </w:rPr>
        <w:t>开票占比分析</w:t>
      </w:r>
    </w:p>
    <w:p>
      <w:pPr>
        <w:pStyle w:val="210"/>
        <w:spacing w:line="360" w:lineRule="auto"/>
        <w:ind w:firstLine="480"/>
        <w:rPr>
          <w:rFonts w:ascii="仿宋" w:hAnsi="仿宋" w:cs="仿宋"/>
          <w:szCs w:val="24"/>
        </w:rPr>
      </w:pPr>
      <w:r>
        <w:rPr>
          <w:rFonts w:hint="eastAsia" w:ascii="仿宋" w:hAnsi="仿宋" w:cs="仿宋"/>
          <w:szCs w:val="24"/>
        </w:rPr>
        <w:t>按照门诊和住院票据类型分析其开票数量的占比情况，以环形饼图形式展现。</w:t>
      </w:r>
    </w:p>
    <w:p>
      <w:pPr>
        <w:pStyle w:val="6"/>
        <w:numPr>
          <w:ilvl w:val="4"/>
          <w:numId w:val="10"/>
        </w:numPr>
      </w:pPr>
      <w:r>
        <w:rPr>
          <w:rFonts w:hint="eastAsia"/>
        </w:rPr>
        <w:t>票据库存情况分析</w:t>
      </w:r>
    </w:p>
    <w:p>
      <w:pPr>
        <w:pStyle w:val="47"/>
        <w:ind w:firstLine="480"/>
      </w:pPr>
      <w:r>
        <w:t>结合不同票据类型的库存，查询本月、本年度已下发、已使用、剩余票据库存数量，通过了解库存数据，确定单次下发票据数量是否满足实际情况，从而调整下发数据。</w:t>
      </w:r>
    </w:p>
    <w:p>
      <w:pPr>
        <w:pStyle w:val="56"/>
        <w:numPr>
          <w:ilvl w:val="3"/>
          <w:numId w:val="9"/>
        </w:numPr>
        <w:tabs>
          <w:tab w:val="left" w:pos="360"/>
        </w:tabs>
        <w:ind w:left="0" w:firstLine="0"/>
      </w:pPr>
      <w:bookmarkStart w:id="73" w:name="_Toc48833417"/>
      <w:r>
        <w:rPr>
          <w:rFonts w:hint="eastAsia"/>
        </w:rPr>
        <w:t>医疗</w:t>
      </w:r>
      <w:bookmarkEnd w:id="73"/>
      <w:r>
        <w:rPr>
          <w:rFonts w:hint="eastAsia"/>
        </w:rPr>
        <w:t>收入统计分析</w:t>
      </w:r>
    </w:p>
    <w:p>
      <w:pPr>
        <w:pStyle w:val="47"/>
        <w:ind w:firstLine="480"/>
      </w:pPr>
      <w:r>
        <w:rPr>
          <w:rFonts w:hint="eastAsia"/>
        </w:rPr>
        <w:t>通过统计分析卫健委管辖的各医院机构的收入情况包括门急诊收入、住院收入、体检收入以及收入增长率及收入构成。</w:t>
      </w:r>
    </w:p>
    <w:p>
      <w:pPr>
        <w:pStyle w:val="6"/>
        <w:numPr>
          <w:ilvl w:val="4"/>
          <w:numId w:val="10"/>
        </w:numPr>
      </w:pPr>
      <w:r>
        <w:rPr>
          <w:rFonts w:hint="eastAsia"/>
        </w:rPr>
        <w:t>医疗收入总览</w:t>
      </w:r>
    </w:p>
    <w:p>
      <w:pPr>
        <w:pStyle w:val="47"/>
        <w:ind w:firstLine="480"/>
      </w:pPr>
      <w:r>
        <w:rPr>
          <w:rFonts w:hint="eastAsia"/>
        </w:rPr>
        <w:t>按照饼图形式展示门诊收入、住院收入、体检收入之间的占比及环比增长情况。</w:t>
      </w:r>
    </w:p>
    <w:p>
      <w:pPr>
        <w:pStyle w:val="6"/>
        <w:numPr>
          <w:ilvl w:val="4"/>
          <w:numId w:val="10"/>
        </w:numPr>
      </w:pPr>
      <w:r>
        <w:rPr>
          <w:rFonts w:hint="eastAsia"/>
        </w:rPr>
        <w:t>医疗收入构成占比</w:t>
      </w:r>
    </w:p>
    <w:p>
      <w:pPr>
        <w:pStyle w:val="47"/>
        <w:ind w:firstLine="480"/>
      </w:pPr>
      <w:r>
        <w:rPr>
          <w:rFonts w:hint="eastAsia"/>
        </w:rPr>
        <w:t>页签形式切换门诊收入项目、住院收入项目，切换后通过饼图展示对应页签下的项目收入占比值及收入金额。</w:t>
      </w:r>
    </w:p>
    <w:p>
      <w:pPr>
        <w:pStyle w:val="6"/>
        <w:numPr>
          <w:ilvl w:val="4"/>
          <w:numId w:val="10"/>
        </w:numPr>
      </w:pPr>
      <w:r>
        <w:rPr>
          <w:rFonts w:hint="eastAsia"/>
        </w:rPr>
        <w:t>医疗机构药品收入占比TOP5</w:t>
      </w:r>
    </w:p>
    <w:p>
      <w:pPr>
        <w:pStyle w:val="47"/>
        <w:ind w:firstLine="480"/>
      </w:pPr>
      <w:r>
        <w:rPr>
          <w:rFonts w:hint="eastAsia"/>
        </w:rPr>
        <w:t>统计符合查询条件的各医疗机构中药品收入排名前10的单位，按照从多到少一次排序。</w:t>
      </w:r>
    </w:p>
    <w:p>
      <w:pPr>
        <w:pStyle w:val="6"/>
        <w:numPr>
          <w:ilvl w:val="4"/>
          <w:numId w:val="10"/>
        </w:numPr>
      </w:pPr>
      <w:r>
        <w:rPr>
          <w:rFonts w:hint="eastAsia"/>
        </w:rPr>
        <w:t>药品收入占比趋势分析</w:t>
      </w:r>
    </w:p>
    <w:p>
      <w:pPr>
        <w:pStyle w:val="210"/>
        <w:spacing w:line="360" w:lineRule="auto"/>
        <w:ind w:firstLine="480"/>
        <w:rPr>
          <w:rFonts w:ascii="仿宋" w:hAnsi="仿宋"/>
          <w:szCs w:val="24"/>
        </w:rPr>
      </w:pPr>
      <w:r>
        <w:rPr>
          <w:rFonts w:hint="eastAsia" w:ascii="仿宋_GB2312" w:hAnsi="仿宋_GB2312" w:eastAsia="仿宋_GB2312" w:cs="Times New Roman"/>
          <w:kern w:val="0"/>
          <w:szCs w:val="28"/>
        </w:rPr>
        <w:t>分析符合查询条件的医疗机构的药品收入占比趋势情况，对药品收入占比超</w:t>
      </w:r>
      <w:r>
        <w:rPr>
          <w:rFonts w:hint="eastAsia" w:ascii="仿宋" w:hAnsi="仿宋" w:cs="仿宋"/>
          <w:szCs w:val="24"/>
        </w:rPr>
        <w:t>标可进行预警。</w:t>
      </w:r>
    </w:p>
    <w:p>
      <w:pPr>
        <w:pStyle w:val="6"/>
        <w:numPr>
          <w:ilvl w:val="4"/>
          <w:numId w:val="10"/>
        </w:numPr>
      </w:pPr>
      <w:r>
        <w:rPr>
          <w:rFonts w:hint="eastAsia"/>
        </w:rPr>
        <w:t>医疗机构收入情况</w:t>
      </w:r>
    </w:p>
    <w:p>
      <w:pPr>
        <w:pStyle w:val="47"/>
        <w:ind w:firstLine="480"/>
      </w:pPr>
      <w:r>
        <w:rPr>
          <w:rFonts w:hint="eastAsia"/>
        </w:rPr>
        <w:t>按照单位统计不同医疗机构的医疗收入总金额、药品收入金额、医疗服务收入金额，同时可钻取查看某一医疗单位下的【医疗收入总金额】、【药品收入金额】、【医疗服务收入金额】对应的各科室收入的数据。</w:t>
      </w:r>
    </w:p>
    <w:p>
      <w:pPr>
        <w:pStyle w:val="56"/>
        <w:numPr>
          <w:ilvl w:val="3"/>
          <w:numId w:val="9"/>
        </w:numPr>
        <w:tabs>
          <w:tab w:val="left" w:pos="360"/>
        </w:tabs>
        <w:ind w:left="0" w:firstLine="0"/>
      </w:pPr>
      <w:r>
        <w:rPr>
          <w:rFonts w:hint="eastAsia"/>
        </w:rPr>
        <w:t>门诊/住院开票分析</w:t>
      </w:r>
    </w:p>
    <w:p>
      <w:pPr>
        <w:pStyle w:val="47"/>
        <w:ind w:firstLine="480"/>
      </w:pPr>
      <w:r>
        <w:rPr>
          <w:rFonts w:hint="eastAsia"/>
        </w:rPr>
        <w:t>通过分析门诊、住院科室开票的具体情况，结合就诊次均费用及票面支付金额的情况，综合分析主要分析单个医疗机构的门诊及住院开票业务办理的实际情况。</w:t>
      </w:r>
    </w:p>
    <w:p>
      <w:pPr>
        <w:pStyle w:val="6"/>
        <w:numPr>
          <w:ilvl w:val="4"/>
          <w:numId w:val="10"/>
        </w:numPr>
      </w:pPr>
      <w:r>
        <w:rPr>
          <w:rFonts w:hint="eastAsia"/>
        </w:rPr>
        <w:t>门诊/住院医疗收入总览</w:t>
      </w:r>
    </w:p>
    <w:p>
      <w:pPr>
        <w:pStyle w:val="210"/>
        <w:spacing w:line="360" w:lineRule="auto"/>
        <w:ind w:firstLine="480"/>
        <w:rPr>
          <w:rFonts w:ascii="仿宋" w:hAnsi="仿宋"/>
          <w:szCs w:val="24"/>
        </w:rPr>
      </w:pPr>
      <w:r>
        <w:rPr>
          <w:rFonts w:hint="eastAsia" w:ascii="仿宋" w:hAnsi="仿宋" w:cs="仿宋"/>
          <w:szCs w:val="24"/>
        </w:rPr>
        <w:t>整体上查看医疗机构的门诊和住院的收入情况，按照页签切换查看对应的业务类型下的开票量、收入金额等信息。</w:t>
      </w:r>
    </w:p>
    <w:p>
      <w:pPr>
        <w:pStyle w:val="6"/>
        <w:numPr>
          <w:ilvl w:val="4"/>
          <w:numId w:val="10"/>
        </w:numPr>
      </w:pPr>
      <w:r>
        <w:rPr>
          <w:rFonts w:hint="eastAsia"/>
        </w:rPr>
        <w:t>门诊/住院科室开票TOP10</w:t>
      </w:r>
    </w:p>
    <w:p>
      <w:pPr>
        <w:pStyle w:val="210"/>
        <w:spacing w:line="360" w:lineRule="auto"/>
        <w:ind w:firstLine="480"/>
        <w:rPr>
          <w:rFonts w:ascii="仿宋" w:hAnsi="仿宋" w:cs="仿宋"/>
          <w:szCs w:val="24"/>
        </w:rPr>
      </w:pPr>
      <w:r>
        <w:rPr>
          <w:rFonts w:hint="eastAsia" w:ascii="仿宋" w:hAnsi="仿宋" w:cs="仿宋"/>
          <w:szCs w:val="24"/>
        </w:rPr>
        <w:t>统计在查询条件所选时间维度下的当前医疗机构当前不同科室的开票量、科室开票金额，按照开票量统计开票量排名在前10的科室。</w:t>
      </w:r>
    </w:p>
    <w:p>
      <w:pPr>
        <w:pStyle w:val="6"/>
        <w:numPr>
          <w:ilvl w:val="4"/>
          <w:numId w:val="10"/>
        </w:numPr>
      </w:pPr>
      <w:r>
        <w:rPr>
          <w:rFonts w:hint="eastAsia"/>
        </w:rPr>
        <w:t>各科室开票量</w:t>
      </w:r>
    </w:p>
    <w:p>
      <w:pPr>
        <w:pStyle w:val="47"/>
        <w:ind w:firstLine="480"/>
      </w:pPr>
      <w:r>
        <w:rPr>
          <w:rFonts w:hint="eastAsia"/>
        </w:rPr>
        <w:t>联动门诊/住院科室开票TOP10模块，若为门诊数据，则展示所选择的对应的科室的普通门诊、特殊门诊、急诊的开票量及所选查询时间点下的开票数量柱形图；若为住院数据，则仅展示所选查询时间点下的开票数量的柱形图。</w:t>
      </w:r>
    </w:p>
    <w:p>
      <w:pPr>
        <w:pStyle w:val="6"/>
        <w:numPr>
          <w:ilvl w:val="4"/>
          <w:numId w:val="10"/>
        </w:numPr>
      </w:pPr>
      <w:r>
        <w:rPr>
          <w:rFonts w:hint="eastAsia"/>
        </w:rPr>
        <w:t>门诊次均费用趋势分析</w:t>
      </w:r>
    </w:p>
    <w:p>
      <w:pPr>
        <w:pStyle w:val="47"/>
        <w:ind w:firstLine="480"/>
      </w:pPr>
      <w:r>
        <w:rPr>
          <w:rFonts w:hint="eastAsia"/>
        </w:rPr>
        <w:t>通过趋势图展示在所选查询时间点下不同时间的变化趋势。</w:t>
      </w:r>
    </w:p>
    <w:p>
      <w:pPr>
        <w:pStyle w:val="6"/>
        <w:numPr>
          <w:ilvl w:val="4"/>
          <w:numId w:val="10"/>
        </w:numPr>
      </w:pPr>
      <w:r>
        <w:rPr>
          <w:rFonts w:hint="eastAsia"/>
        </w:rPr>
        <w:t>人均住院费用及天数趋势分析</w:t>
      </w:r>
    </w:p>
    <w:p>
      <w:pPr>
        <w:pStyle w:val="47"/>
        <w:ind w:firstLine="480"/>
      </w:pPr>
      <w:r>
        <w:t>通过折线图分析住院平均费用与平均住院天数之间的线性关系。</w:t>
      </w:r>
    </w:p>
    <w:p>
      <w:pPr>
        <w:pStyle w:val="6"/>
        <w:numPr>
          <w:ilvl w:val="4"/>
          <w:numId w:val="10"/>
        </w:numPr>
      </w:pPr>
      <w:r>
        <w:rPr>
          <w:rFonts w:hint="eastAsia"/>
        </w:rPr>
        <w:t>票面支付信息分析</w:t>
      </w:r>
    </w:p>
    <w:p>
      <w:pPr>
        <w:pStyle w:val="210"/>
        <w:spacing w:line="360" w:lineRule="auto"/>
        <w:ind w:firstLine="480"/>
        <w:rPr>
          <w:rFonts w:ascii="仿宋" w:hAnsi="仿宋"/>
          <w:szCs w:val="24"/>
        </w:rPr>
      </w:pPr>
      <w:r>
        <w:rPr>
          <w:rFonts w:ascii="仿宋" w:hAnsi="仿宋"/>
          <w:szCs w:val="24"/>
        </w:rPr>
        <w:t>展示分析医疗票面上的各类支付信息，分析各类支付信息占据的比重。</w:t>
      </w:r>
    </w:p>
    <w:p>
      <w:pPr>
        <w:pStyle w:val="56"/>
        <w:numPr>
          <w:ilvl w:val="3"/>
          <w:numId w:val="9"/>
        </w:numPr>
        <w:tabs>
          <w:tab w:val="left" w:pos="360"/>
        </w:tabs>
        <w:ind w:left="0" w:firstLine="0"/>
      </w:pPr>
      <w:bookmarkStart w:id="74" w:name="_Toc48833419"/>
      <w:r>
        <w:rPr>
          <w:rFonts w:hint="eastAsia"/>
        </w:rPr>
        <w:t>医疗收费价格监</w:t>
      </w:r>
      <w:bookmarkEnd w:id="74"/>
      <w:r>
        <w:rPr>
          <w:rFonts w:hint="eastAsia"/>
        </w:rPr>
        <w:t>管</w:t>
      </w:r>
    </w:p>
    <w:p>
      <w:pPr>
        <w:pStyle w:val="210"/>
        <w:spacing w:line="360" w:lineRule="auto"/>
        <w:ind w:firstLine="480"/>
        <w:rPr>
          <w:rFonts w:ascii="仿宋" w:hAnsi="仿宋"/>
          <w:szCs w:val="24"/>
        </w:rPr>
      </w:pPr>
      <w:r>
        <w:rPr>
          <w:rFonts w:hint="eastAsia" w:ascii="仿宋" w:hAnsi="仿宋"/>
          <w:szCs w:val="24"/>
        </w:rPr>
        <w:t>需要实现卫健委对各医疗机构的收费价格监管。</w:t>
      </w:r>
    </w:p>
    <w:p>
      <w:pPr>
        <w:pStyle w:val="6"/>
        <w:numPr>
          <w:ilvl w:val="4"/>
          <w:numId w:val="10"/>
        </w:numPr>
      </w:pPr>
      <w:r>
        <w:rPr>
          <w:rFonts w:hint="eastAsia"/>
        </w:rPr>
        <w:t>定点医院收费监管</w:t>
      </w:r>
    </w:p>
    <w:p>
      <w:pPr>
        <w:pStyle w:val="210"/>
        <w:spacing w:line="360" w:lineRule="auto"/>
        <w:ind w:firstLine="480"/>
        <w:rPr>
          <w:rFonts w:ascii="仿宋" w:hAnsi="仿宋"/>
          <w:szCs w:val="24"/>
        </w:rPr>
      </w:pPr>
      <w:r>
        <w:rPr>
          <w:rFonts w:hint="eastAsia" w:ascii="仿宋" w:hAnsi="仿宋"/>
          <w:szCs w:val="24"/>
        </w:rPr>
        <w:t>分析某一具体医疗机构下的收费大类项目或收费清单中的项目的收费情况，将其与卫健委制定的标准进行对比，分析出超标开具的项目笔数，同时可查看对应项目下开具的超标电子票据详情。</w:t>
      </w:r>
    </w:p>
    <w:p>
      <w:pPr>
        <w:pStyle w:val="6"/>
        <w:numPr>
          <w:ilvl w:val="4"/>
          <w:numId w:val="10"/>
        </w:numPr>
      </w:pPr>
      <w:r>
        <w:rPr>
          <w:rFonts w:hint="eastAsia"/>
        </w:rPr>
        <w:t>全量医院收费监管</w:t>
      </w:r>
    </w:p>
    <w:p>
      <w:pPr>
        <w:pStyle w:val="210"/>
        <w:spacing w:line="360" w:lineRule="auto"/>
        <w:ind w:firstLine="480"/>
        <w:rPr>
          <w:rFonts w:ascii="仿宋" w:hAnsi="仿宋"/>
          <w:szCs w:val="24"/>
        </w:rPr>
      </w:pPr>
      <w:r>
        <w:rPr>
          <w:rFonts w:hint="eastAsia" w:ascii="仿宋" w:hAnsi="仿宋"/>
          <w:szCs w:val="24"/>
        </w:rPr>
        <w:t>以医疗机构的收费项目维度出发，按照项目大类及其对应的小类，查询其在各个医疗机构之间的收费情况，将其与卫健委制定的收费标准区间进行对比，分析超标收费的开具笔数，同时可查看对应项目在对应医疗机构开具的超标电子票据详情。</w:t>
      </w:r>
    </w:p>
    <w:p>
      <w:pPr>
        <w:pStyle w:val="56"/>
        <w:numPr>
          <w:ilvl w:val="3"/>
          <w:numId w:val="9"/>
        </w:numPr>
        <w:tabs>
          <w:tab w:val="left" w:pos="360"/>
        </w:tabs>
        <w:ind w:left="0" w:firstLine="0"/>
      </w:pPr>
      <w:r>
        <w:rPr>
          <w:rFonts w:hint="eastAsia"/>
        </w:rPr>
        <w:t>医疗机构负担与保障分析</w:t>
      </w:r>
    </w:p>
    <w:p>
      <w:pPr>
        <w:pStyle w:val="210"/>
        <w:spacing w:line="360" w:lineRule="auto"/>
        <w:ind w:firstLine="480"/>
        <w:rPr>
          <w:rFonts w:ascii="仿宋" w:hAnsi="仿宋"/>
          <w:szCs w:val="24"/>
        </w:rPr>
      </w:pPr>
      <w:r>
        <w:rPr>
          <w:rFonts w:hint="eastAsia" w:ascii="仿宋" w:hAnsi="仿宋"/>
          <w:szCs w:val="24"/>
        </w:rPr>
        <w:t>分析医疗机构的就诊费用情况，同时对医疗机构各类业务的就诊次均费用情况进行监控，分析医疗服务的各项目占比情况、费用变化趋势等。</w:t>
      </w:r>
    </w:p>
    <w:p>
      <w:pPr>
        <w:pStyle w:val="6"/>
        <w:numPr>
          <w:ilvl w:val="4"/>
          <w:numId w:val="10"/>
        </w:numPr>
      </w:pPr>
      <w:r>
        <w:rPr>
          <w:rFonts w:hint="eastAsia"/>
        </w:rPr>
        <w:t>医疗负担情况总览</w:t>
      </w:r>
    </w:p>
    <w:p>
      <w:pPr>
        <w:pStyle w:val="34"/>
        <w:numPr>
          <w:ilvl w:val="1"/>
          <w:numId w:val="0"/>
        </w:numPr>
        <w:spacing w:line="360" w:lineRule="auto"/>
        <w:ind w:right="240" w:firstLine="480"/>
        <w:rPr>
          <w:rFonts w:ascii="仿宋" w:hAnsi="仿宋" w:eastAsia="仿宋"/>
        </w:rPr>
      </w:pPr>
      <w:r>
        <w:rPr>
          <w:rFonts w:hint="eastAsia" w:ascii="仿宋" w:hAnsi="仿宋" w:eastAsia="仿宋"/>
          <w:kern w:val="2"/>
        </w:rPr>
        <w:t>医疗负担情况总览，主要展示门急诊次均费用、门诊次均费用、急诊次均费用、住院次均费用、住院次均药费及其各大类对应的环比变化情况。</w:t>
      </w:r>
    </w:p>
    <w:p>
      <w:pPr>
        <w:pStyle w:val="6"/>
        <w:numPr>
          <w:ilvl w:val="4"/>
          <w:numId w:val="10"/>
        </w:numPr>
      </w:pPr>
      <w:r>
        <w:rPr>
          <w:rFonts w:hint="eastAsia"/>
        </w:rPr>
        <w:t>医疗次均费用项目占比分析</w:t>
      </w:r>
    </w:p>
    <w:p>
      <w:pPr>
        <w:pStyle w:val="34"/>
        <w:numPr>
          <w:ilvl w:val="1"/>
          <w:numId w:val="0"/>
        </w:numPr>
        <w:spacing w:line="360" w:lineRule="auto"/>
        <w:ind w:right="240" w:firstLine="480"/>
        <w:rPr>
          <w:rFonts w:ascii="仿宋" w:hAnsi="仿宋" w:eastAsia="仿宋"/>
          <w:kern w:val="2"/>
        </w:rPr>
      </w:pPr>
      <w:r>
        <w:rPr>
          <w:rFonts w:hint="eastAsia" w:ascii="仿宋" w:hAnsi="仿宋" w:eastAsia="仿宋"/>
          <w:kern w:val="2"/>
        </w:rPr>
        <w:t>需要了解医疗机构的次均费用中的项目费用的占比分布情况。</w:t>
      </w:r>
    </w:p>
    <w:p>
      <w:pPr>
        <w:pStyle w:val="6"/>
        <w:numPr>
          <w:ilvl w:val="4"/>
          <w:numId w:val="10"/>
        </w:numPr>
      </w:pPr>
      <w:r>
        <w:rPr>
          <w:rFonts w:hint="eastAsia"/>
        </w:rPr>
        <w:t>医保患者就诊情况总览</w:t>
      </w:r>
    </w:p>
    <w:p>
      <w:pPr>
        <w:pStyle w:val="34"/>
        <w:numPr>
          <w:ilvl w:val="1"/>
          <w:numId w:val="0"/>
        </w:numPr>
        <w:spacing w:line="360" w:lineRule="auto"/>
        <w:ind w:right="240" w:firstLine="480"/>
        <w:rPr>
          <w:rFonts w:ascii="仿宋" w:hAnsi="仿宋" w:eastAsia="仿宋"/>
          <w:b/>
          <w:bCs/>
        </w:rPr>
      </w:pPr>
      <w:r>
        <w:rPr>
          <w:rFonts w:hint="eastAsia" w:ascii="仿宋" w:hAnsi="仿宋" w:eastAsia="仿宋"/>
        </w:rPr>
        <w:t>需要通过分析得知医保患者的就诊情况。</w:t>
      </w:r>
    </w:p>
    <w:p>
      <w:pPr>
        <w:pStyle w:val="6"/>
        <w:numPr>
          <w:ilvl w:val="4"/>
          <w:numId w:val="10"/>
        </w:numPr>
      </w:pPr>
      <w:r>
        <w:rPr>
          <w:rFonts w:hint="eastAsia"/>
        </w:rPr>
        <w:t>次均费用变化分析</w:t>
      </w:r>
    </w:p>
    <w:p>
      <w:pPr>
        <w:pStyle w:val="34"/>
        <w:numPr>
          <w:ilvl w:val="1"/>
          <w:numId w:val="0"/>
        </w:numPr>
        <w:spacing w:line="360" w:lineRule="auto"/>
        <w:ind w:right="240" w:firstLine="480"/>
        <w:rPr>
          <w:rFonts w:ascii="仿宋" w:hAnsi="仿宋" w:eastAsia="仿宋"/>
          <w:b/>
          <w:bCs/>
        </w:rPr>
      </w:pPr>
      <w:r>
        <w:rPr>
          <w:rFonts w:hint="eastAsia" w:ascii="仿宋" w:hAnsi="仿宋" w:eastAsia="仿宋"/>
        </w:rPr>
        <w:t>需要展示门诊患者次均费用与住院患者次均费用的变化情况。</w:t>
      </w:r>
    </w:p>
    <w:p>
      <w:pPr>
        <w:pStyle w:val="6"/>
        <w:numPr>
          <w:ilvl w:val="4"/>
          <w:numId w:val="10"/>
        </w:numPr>
      </w:pPr>
      <w:r>
        <w:rPr>
          <w:rFonts w:hint="eastAsia"/>
        </w:rPr>
        <w:t>次均个人/医保费用占比</w:t>
      </w:r>
    </w:p>
    <w:p>
      <w:pPr>
        <w:pStyle w:val="34"/>
        <w:numPr>
          <w:ilvl w:val="1"/>
          <w:numId w:val="0"/>
        </w:numPr>
        <w:spacing w:line="360" w:lineRule="auto"/>
        <w:ind w:right="240" w:firstLine="480"/>
        <w:rPr>
          <w:rFonts w:ascii="仿宋" w:hAnsi="仿宋" w:eastAsia="仿宋"/>
          <w:b/>
          <w:bCs/>
        </w:rPr>
      </w:pPr>
      <w:r>
        <w:rPr>
          <w:rFonts w:hint="eastAsia" w:ascii="仿宋" w:hAnsi="仿宋" w:eastAsia="仿宋"/>
        </w:rPr>
        <w:t>需要了解当前医疗机构医保报销的普及情况。</w:t>
      </w:r>
    </w:p>
    <w:p>
      <w:pPr>
        <w:pStyle w:val="6"/>
        <w:numPr>
          <w:ilvl w:val="4"/>
          <w:numId w:val="10"/>
        </w:numPr>
      </w:pPr>
      <w:r>
        <w:rPr>
          <w:rFonts w:hint="eastAsia"/>
        </w:rPr>
        <w:t>患者次均药费变化趋势</w:t>
      </w:r>
    </w:p>
    <w:p>
      <w:pPr>
        <w:pStyle w:val="47"/>
        <w:ind w:firstLine="480"/>
        <w:rPr>
          <w:b/>
          <w:bCs/>
        </w:rPr>
      </w:pPr>
      <w:r>
        <w:rPr>
          <w:rFonts w:hint="eastAsia"/>
        </w:rPr>
        <w:t>分析门诊、住院医疗患者的医保和所有患者（包含医保）之间的次均费用的变化情况，可观察在不同时间段下的费用变化趋势情况。</w:t>
      </w:r>
    </w:p>
    <w:p>
      <w:pPr>
        <w:pStyle w:val="56"/>
        <w:numPr>
          <w:ilvl w:val="3"/>
          <w:numId w:val="9"/>
        </w:numPr>
        <w:tabs>
          <w:tab w:val="left" w:pos="360"/>
        </w:tabs>
        <w:ind w:left="0" w:firstLine="0"/>
      </w:pPr>
      <w:r>
        <w:rPr>
          <w:rFonts w:hint="eastAsia"/>
        </w:rPr>
        <w:t>医疗机构用票检查</w:t>
      </w:r>
    </w:p>
    <w:p>
      <w:pPr>
        <w:pStyle w:val="47"/>
        <w:ind w:firstLine="480"/>
      </w:pPr>
      <w:r>
        <w:rPr>
          <w:rFonts w:hint="eastAsia"/>
        </w:rPr>
        <w:t>需要实现卫健委对医疗机构的用票数据的监管。</w:t>
      </w:r>
    </w:p>
    <w:p>
      <w:pPr>
        <w:pStyle w:val="6"/>
        <w:numPr>
          <w:ilvl w:val="4"/>
          <w:numId w:val="10"/>
        </w:numPr>
      </w:pPr>
      <w:r>
        <w:rPr>
          <w:rFonts w:hint="eastAsia"/>
        </w:rPr>
        <w:t>历史开票异常TOP10</w:t>
      </w:r>
    </w:p>
    <w:p>
      <w:pPr>
        <w:pStyle w:val="34"/>
        <w:numPr>
          <w:ilvl w:val="1"/>
          <w:numId w:val="0"/>
        </w:numPr>
        <w:spacing w:line="360" w:lineRule="auto"/>
        <w:ind w:right="240" w:firstLine="480"/>
        <w:rPr>
          <w:rFonts w:ascii="仿宋" w:hAnsi="仿宋" w:eastAsia="仿宋"/>
          <w:b/>
          <w:bCs/>
        </w:rPr>
      </w:pPr>
      <w:r>
        <w:rPr>
          <w:rFonts w:hint="eastAsia" w:ascii="仿宋" w:hAnsi="仿宋" w:eastAsia="仿宋"/>
        </w:rPr>
        <w:t>需要展示异常开票总数及异常开票数占比。</w:t>
      </w:r>
    </w:p>
    <w:p>
      <w:pPr>
        <w:pStyle w:val="6"/>
        <w:numPr>
          <w:ilvl w:val="4"/>
          <w:numId w:val="10"/>
        </w:numPr>
      </w:pPr>
      <w:r>
        <w:rPr>
          <w:rFonts w:hint="eastAsia"/>
        </w:rPr>
        <w:t>历史开票异常TOP10</w:t>
      </w:r>
    </w:p>
    <w:p>
      <w:pPr>
        <w:pStyle w:val="34"/>
        <w:numPr>
          <w:ilvl w:val="1"/>
          <w:numId w:val="0"/>
        </w:numPr>
        <w:spacing w:line="360" w:lineRule="auto"/>
        <w:ind w:right="240" w:firstLine="480"/>
        <w:rPr>
          <w:rFonts w:ascii="仿宋" w:hAnsi="仿宋" w:eastAsia="仿宋"/>
          <w:b/>
          <w:bCs/>
        </w:rPr>
      </w:pPr>
      <w:r>
        <w:rPr>
          <w:rFonts w:hint="eastAsia" w:ascii="仿宋" w:hAnsi="仿宋" w:eastAsia="仿宋"/>
        </w:rPr>
        <w:t>需要实现按照不同时间维度切换查询历史符合查询条件的开票异常数的单位排名。</w:t>
      </w:r>
    </w:p>
    <w:p>
      <w:pPr>
        <w:pStyle w:val="6"/>
        <w:numPr>
          <w:ilvl w:val="4"/>
          <w:numId w:val="10"/>
        </w:numPr>
      </w:pPr>
      <w:r>
        <w:rPr>
          <w:rFonts w:hint="eastAsia"/>
        </w:rPr>
        <w:t>开票异常筛选明细</w:t>
      </w:r>
    </w:p>
    <w:p>
      <w:pPr>
        <w:pStyle w:val="47"/>
        <w:ind w:firstLine="480"/>
      </w:pPr>
      <w:r>
        <w:rPr>
          <w:rFonts w:hint="eastAsia"/>
        </w:rPr>
        <w:t>列表中默认展示符合筛选条件设置的所有数据；通过时间查询条件的设置，可查询符合条件的数据，对查询得到的结果数据，可在操作栏点击【详情】按钮，查看对应的电子票据查看详情。</w:t>
      </w:r>
    </w:p>
    <w:p>
      <w:pPr>
        <w:pStyle w:val="55"/>
        <w:numPr>
          <w:ilvl w:val="2"/>
          <w:numId w:val="7"/>
        </w:numPr>
        <w:tabs>
          <w:tab w:val="left" w:pos="360"/>
        </w:tabs>
        <w:ind w:left="0" w:firstLine="0"/>
      </w:pPr>
      <w:bookmarkStart w:id="75" w:name="_Toc78103701"/>
      <w:bookmarkStart w:id="76" w:name="_Toc80990157"/>
      <w:bookmarkStart w:id="77" w:name="_Toc59185475"/>
      <w:bookmarkStart w:id="78" w:name="_Toc48833423"/>
      <w:r>
        <w:rPr>
          <w:rFonts w:hint="eastAsia"/>
        </w:rPr>
        <w:t>系统监控分析</w:t>
      </w:r>
      <w:bookmarkEnd w:id="75"/>
      <w:bookmarkEnd w:id="76"/>
    </w:p>
    <w:p>
      <w:pPr>
        <w:pStyle w:val="47"/>
        <w:ind w:firstLine="480"/>
      </w:pPr>
      <w:r>
        <w:rPr>
          <w:rFonts w:hint="eastAsia"/>
        </w:rPr>
        <w:t>系统监控分析主要满足卫健委电子票据管理平台的系统运行情况的监管。</w:t>
      </w:r>
    </w:p>
    <w:p>
      <w:pPr>
        <w:pStyle w:val="56"/>
        <w:numPr>
          <w:ilvl w:val="3"/>
          <w:numId w:val="9"/>
        </w:numPr>
        <w:tabs>
          <w:tab w:val="left" w:pos="360"/>
        </w:tabs>
        <w:ind w:left="0" w:firstLine="0"/>
      </w:pPr>
      <w:bookmarkStart w:id="79" w:name="_Toc59185467"/>
      <w:r>
        <w:rPr>
          <w:rFonts w:hint="eastAsia"/>
        </w:rPr>
        <w:t>调度运行情况监控</w:t>
      </w:r>
      <w:bookmarkEnd w:id="79"/>
    </w:p>
    <w:p>
      <w:pPr>
        <w:pStyle w:val="47"/>
        <w:ind w:firstLine="480"/>
      </w:pPr>
      <w:r>
        <w:rPr>
          <w:rFonts w:hint="eastAsia"/>
        </w:rPr>
        <w:t>调度运行情况监控需要对单位的执行器的调度运行情况进行实时监控。</w:t>
      </w:r>
    </w:p>
    <w:p>
      <w:pPr>
        <w:pStyle w:val="56"/>
        <w:numPr>
          <w:ilvl w:val="3"/>
          <w:numId w:val="9"/>
        </w:numPr>
        <w:tabs>
          <w:tab w:val="left" w:pos="360"/>
        </w:tabs>
        <w:ind w:left="0" w:firstLine="0"/>
      </w:pPr>
      <w:bookmarkStart w:id="80" w:name="_Toc59185471"/>
      <w:r>
        <w:rPr>
          <w:rFonts w:hint="eastAsia"/>
        </w:rPr>
        <w:t>端口连通性监控</w:t>
      </w:r>
      <w:bookmarkEnd w:id="80"/>
    </w:p>
    <w:p>
      <w:pPr>
        <w:pStyle w:val="47"/>
        <w:ind w:firstLine="480"/>
      </w:pPr>
      <w:r>
        <w:rPr>
          <w:rFonts w:hint="eastAsia"/>
        </w:rPr>
        <w:t>需要监控当前不同应用服务器的应用端口的连通情况。</w:t>
      </w:r>
    </w:p>
    <w:p>
      <w:pPr>
        <w:pStyle w:val="56"/>
        <w:numPr>
          <w:ilvl w:val="3"/>
          <w:numId w:val="9"/>
        </w:numPr>
        <w:tabs>
          <w:tab w:val="left" w:pos="360"/>
        </w:tabs>
        <w:ind w:left="0" w:firstLine="0"/>
      </w:pPr>
      <w:bookmarkStart w:id="81" w:name="_Toc59185472"/>
      <w:r>
        <w:rPr>
          <w:rFonts w:hint="eastAsia"/>
        </w:rPr>
        <w:t>数据库表空间监控</w:t>
      </w:r>
      <w:bookmarkEnd w:id="81"/>
    </w:p>
    <w:p>
      <w:pPr>
        <w:pStyle w:val="47"/>
        <w:ind w:firstLine="480"/>
      </w:pPr>
      <w:r>
        <w:rPr>
          <w:rFonts w:hint="eastAsia"/>
        </w:rPr>
        <w:t>监控数据库中的所有数据表的空间使用情况。</w:t>
      </w:r>
    </w:p>
    <w:p>
      <w:pPr>
        <w:pStyle w:val="56"/>
        <w:numPr>
          <w:ilvl w:val="3"/>
          <w:numId w:val="9"/>
        </w:numPr>
        <w:tabs>
          <w:tab w:val="left" w:pos="360"/>
        </w:tabs>
        <w:ind w:left="0" w:firstLine="0"/>
      </w:pPr>
      <w:bookmarkStart w:id="82" w:name="_Toc59185473"/>
      <w:r>
        <w:rPr>
          <w:rFonts w:hint="eastAsia"/>
        </w:rPr>
        <w:t>数据库连接数监控</w:t>
      </w:r>
      <w:bookmarkEnd w:id="82"/>
    </w:p>
    <w:p>
      <w:pPr>
        <w:pStyle w:val="47"/>
        <w:ind w:firstLine="480"/>
      </w:pPr>
      <w:r>
        <w:rPr>
          <w:rFonts w:hint="eastAsia"/>
        </w:rPr>
        <w:t>分析不同数库下截止当前时间点为止不同数据库的连接数情况，点击连接数值可查看详情数据，对于连接数超预设阀值时，系统将会进行报警提示。</w:t>
      </w:r>
    </w:p>
    <w:p>
      <w:pPr>
        <w:pStyle w:val="56"/>
        <w:numPr>
          <w:ilvl w:val="3"/>
          <w:numId w:val="9"/>
        </w:numPr>
        <w:tabs>
          <w:tab w:val="left" w:pos="360"/>
        </w:tabs>
        <w:ind w:left="0" w:firstLine="0"/>
      </w:pPr>
      <w:bookmarkStart w:id="83" w:name="_Toc59185474"/>
      <w:r>
        <w:rPr>
          <w:rFonts w:hint="eastAsia"/>
        </w:rPr>
        <w:t>数据库并发数监控</w:t>
      </w:r>
      <w:bookmarkEnd w:id="83"/>
    </w:p>
    <w:p>
      <w:pPr>
        <w:pStyle w:val="47"/>
        <w:ind w:firstLine="480"/>
      </w:pPr>
      <w:r>
        <w:rPr>
          <w:rFonts w:hint="eastAsia"/>
        </w:rPr>
        <w:t>通过记录不同数据库下的连接数，获取最大连接并发数，当数据最大并发量超过系统预设阀值时，系统进行报警提示。</w:t>
      </w:r>
    </w:p>
    <w:p>
      <w:pPr>
        <w:pStyle w:val="55"/>
        <w:numPr>
          <w:ilvl w:val="2"/>
          <w:numId w:val="7"/>
        </w:numPr>
        <w:tabs>
          <w:tab w:val="left" w:pos="360"/>
        </w:tabs>
        <w:ind w:left="0" w:firstLine="0"/>
      </w:pPr>
      <w:bookmarkStart w:id="84" w:name="_Toc80990158"/>
      <w:bookmarkStart w:id="85" w:name="_Toc78103702"/>
      <w:r>
        <w:rPr>
          <w:rFonts w:hint="eastAsia"/>
        </w:rPr>
        <w:t>监控预警指标设置</w:t>
      </w:r>
      <w:bookmarkEnd w:id="77"/>
      <w:bookmarkEnd w:id="78"/>
      <w:bookmarkEnd w:id="84"/>
      <w:bookmarkEnd w:id="85"/>
    </w:p>
    <w:p>
      <w:pPr>
        <w:pStyle w:val="47"/>
        <w:ind w:firstLine="480"/>
      </w:pPr>
      <w:r>
        <w:rPr>
          <w:rFonts w:hint="eastAsia"/>
        </w:rPr>
        <w:t>满足监控预警分析的实际需要。</w:t>
      </w:r>
    </w:p>
    <w:p>
      <w:pPr>
        <w:pStyle w:val="55"/>
        <w:numPr>
          <w:ilvl w:val="2"/>
          <w:numId w:val="7"/>
        </w:numPr>
        <w:tabs>
          <w:tab w:val="left" w:pos="360"/>
        </w:tabs>
        <w:ind w:left="0" w:firstLine="0"/>
      </w:pPr>
      <w:bookmarkStart w:id="86" w:name="_Toc80990159"/>
      <w:bookmarkStart w:id="87" w:name="_Toc78103703"/>
      <w:r>
        <w:rPr>
          <w:rFonts w:hint="eastAsia"/>
        </w:rPr>
        <w:t>系统管理</w:t>
      </w:r>
      <w:bookmarkEnd w:id="86"/>
      <w:bookmarkEnd w:id="87"/>
    </w:p>
    <w:p>
      <w:pPr>
        <w:pStyle w:val="56"/>
        <w:numPr>
          <w:ilvl w:val="3"/>
          <w:numId w:val="9"/>
        </w:numPr>
        <w:tabs>
          <w:tab w:val="left" w:pos="360"/>
        </w:tabs>
        <w:ind w:left="0" w:firstLine="0"/>
      </w:pPr>
      <w:r>
        <w:rPr>
          <w:rFonts w:hint="eastAsia"/>
        </w:rPr>
        <w:t>机构管理</w:t>
      </w:r>
    </w:p>
    <w:p>
      <w:pPr>
        <w:pStyle w:val="47"/>
        <w:ind w:firstLine="480"/>
      </w:pPr>
      <w:r>
        <w:rPr>
          <w:rFonts w:hint="eastAsia"/>
        </w:rPr>
        <w:t>可编辑、查看维护卫健委本机构的基础信息。</w:t>
      </w:r>
    </w:p>
    <w:p>
      <w:pPr>
        <w:pStyle w:val="56"/>
        <w:numPr>
          <w:ilvl w:val="3"/>
          <w:numId w:val="9"/>
        </w:numPr>
        <w:tabs>
          <w:tab w:val="left" w:pos="360"/>
        </w:tabs>
        <w:ind w:left="0" w:firstLine="0"/>
      </w:pPr>
      <w:r>
        <w:rPr>
          <w:rFonts w:hint="eastAsia"/>
        </w:rPr>
        <w:t>用户管理</w:t>
      </w:r>
    </w:p>
    <w:p>
      <w:pPr>
        <w:pStyle w:val="47"/>
        <w:ind w:firstLine="480"/>
      </w:pPr>
      <w:r>
        <w:rPr>
          <w:rFonts w:hint="eastAsia"/>
        </w:rPr>
        <w:t>卫健委可根据单位实际业务情况，创建本单位的用户信息，对单位用户的进行新增、编辑、删除等操作，创建的用户可登录监控平台查看分析数据。</w:t>
      </w:r>
    </w:p>
    <w:p>
      <w:pPr>
        <w:pStyle w:val="56"/>
        <w:numPr>
          <w:ilvl w:val="3"/>
          <w:numId w:val="9"/>
        </w:numPr>
        <w:tabs>
          <w:tab w:val="left" w:pos="360"/>
        </w:tabs>
        <w:ind w:left="0" w:firstLine="0"/>
      </w:pPr>
      <w:r>
        <w:rPr>
          <w:rFonts w:hint="eastAsia"/>
        </w:rPr>
        <w:t>角色管理</w:t>
      </w:r>
    </w:p>
    <w:p>
      <w:pPr>
        <w:pStyle w:val="47"/>
        <w:ind w:firstLine="480"/>
      </w:pPr>
      <w:r>
        <w:rPr>
          <w:rFonts w:hint="eastAsia"/>
        </w:rPr>
        <w:t>为满足实际业务中，多岗位多角色查看数据的情况，可在角色管理中按照不同的功能菜单分别创建对应的角色，且可对已创建的角色的进行功能授权。</w:t>
      </w:r>
    </w:p>
    <w:p>
      <w:pPr>
        <w:pStyle w:val="56"/>
        <w:numPr>
          <w:ilvl w:val="3"/>
          <w:numId w:val="9"/>
        </w:numPr>
        <w:tabs>
          <w:tab w:val="left" w:pos="360"/>
        </w:tabs>
        <w:ind w:left="0" w:firstLine="0"/>
      </w:pPr>
      <w:r>
        <w:rPr>
          <w:rFonts w:hint="eastAsia"/>
        </w:rPr>
        <w:t>用票检查管理</w:t>
      </w:r>
    </w:p>
    <w:p>
      <w:pPr>
        <w:pStyle w:val="47"/>
        <w:ind w:firstLine="480"/>
      </w:pPr>
      <w:r>
        <w:t>通过指标维护，前端根据指标条件过滤出对应的数据筛查结果并予以展示。</w:t>
      </w:r>
    </w:p>
    <w:p>
      <w:pPr>
        <w:pStyle w:val="56"/>
        <w:numPr>
          <w:ilvl w:val="3"/>
          <w:numId w:val="9"/>
        </w:numPr>
        <w:tabs>
          <w:tab w:val="left" w:pos="360"/>
        </w:tabs>
        <w:ind w:left="0" w:firstLine="0"/>
      </w:pPr>
      <w:r>
        <w:rPr>
          <w:rFonts w:hint="eastAsia"/>
        </w:rPr>
        <w:t>收入映射管理</w:t>
      </w:r>
    </w:p>
    <w:p>
      <w:pPr>
        <w:pStyle w:val="47"/>
        <w:ind w:firstLine="480"/>
      </w:pPr>
      <w:r>
        <w:rPr>
          <w:rFonts w:hint="eastAsia"/>
        </w:rPr>
        <w:t>将各个医疗机构从财政同步的项目与29号文中规定的标准医疗项目及项目对应的收入类型关联起来进行映射对照管理。</w:t>
      </w:r>
    </w:p>
    <w:p>
      <w:pPr>
        <w:pStyle w:val="54"/>
        <w:numPr>
          <w:ilvl w:val="1"/>
          <w:numId w:val="6"/>
        </w:numPr>
      </w:pPr>
      <w:bookmarkStart w:id="88" w:name="_Toc78103704"/>
      <w:bookmarkStart w:id="89" w:name="_Toc49244891"/>
      <w:bookmarkStart w:id="90" w:name="_Toc80990160"/>
      <w:bookmarkStart w:id="91" w:name="_Toc78120738"/>
      <w:r>
        <w:rPr>
          <w:rFonts w:hint="eastAsia"/>
        </w:rPr>
        <w:t>医保、社保接口管理</w:t>
      </w:r>
      <w:bookmarkEnd w:id="88"/>
      <w:bookmarkEnd w:id="89"/>
      <w:bookmarkEnd w:id="90"/>
      <w:bookmarkEnd w:id="91"/>
    </w:p>
    <w:p>
      <w:pPr>
        <w:pStyle w:val="55"/>
        <w:numPr>
          <w:ilvl w:val="2"/>
          <w:numId w:val="7"/>
        </w:numPr>
        <w:tabs>
          <w:tab w:val="left" w:pos="360"/>
        </w:tabs>
        <w:ind w:left="0" w:firstLine="0"/>
      </w:pPr>
      <w:bookmarkStart w:id="92" w:name="_Toc80990161"/>
      <w:bookmarkStart w:id="93" w:name="_Toc49244892"/>
      <w:bookmarkStart w:id="94" w:name="_Toc78103705"/>
      <w:r>
        <w:rPr>
          <w:rFonts w:hint="eastAsia"/>
        </w:rPr>
        <w:t>系统管理</w:t>
      </w:r>
      <w:bookmarkEnd w:id="92"/>
      <w:bookmarkEnd w:id="93"/>
      <w:bookmarkEnd w:id="94"/>
    </w:p>
    <w:p>
      <w:pPr>
        <w:pStyle w:val="47"/>
        <w:ind w:firstLine="480"/>
      </w:pPr>
      <w:r>
        <w:rPr>
          <w:rFonts w:hint="eastAsia"/>
        </w:rPr>
        <w:t>包括以下功能及外部勾稽关联关系处理实现：</w:t>
      </w:r>
    </w:p>
    <w:p>
      <w:pPr>
        <w:pStyle w:val="47"/>
        <w:numPr>
          <w:ilvl w:val="0"/>
          <w:numId w:val="2"/>
        </w:numPr>
        <w:ind w:firstLineChars="0"/>
      </w:pPr>
      <w:r>
        <w:rPr>
          <w:rFonts w:hint="eastAsia"/>
        </w:rPr>
        <w:t>系统联通性、应用管理以及系统基础参数设置实现</w:t>
      </w:r>
    </w:p>
    <w:p>
      <w:pPr>
        <w:pStyle w:val="47"/>
        <w:numPr>
          <w:ilvl w:val="0"/>
          <w:numId w:val="2"/>
        </w:numPr>
        <w:ind w:firstLineChars="0"/>
      </w:pPr>
      <w:r>
        <w:rPr>
          <w:rFonts w:hint="eastAsia"/>
        </w:rPr>
        <w:t>应用参数设置：实现接口参数配置及调用</w:t>
      </w:r>
    </w:p>
    <w:p>
      <w:pPr>
        <w:pStyle w:val="47"/>
        <w:numPr>
          <w:ilvl w:val="0"/>
          <w:numId w:val="2"/>
        </w:numPr>
        <w:ind w:firstLineChars="0"/>
      </w:pPr>
      <w:r>
        <w:rPr>
          <w:rFonts w:hint="eastAsia"/>
        </w:rPr>
        <w:t>注册管理：医保、社保系统身份调用准入申请、注册信息查看</w:t>
      </w:r>
    </w:p>
    <w:p>
      <w:pPr>
        <w:pStyle w:val="47"/>
        <w:numPr>
          <w:ilvl w:val="0"/>
          <w:numId w:val="2"/>
        </w:numPr>
        <w:ind w:firstLineChars="0"/>
      </w:pPr>
      <w:r>
        <w:rPr>
          <w:rFonts w:hint="eastAsia"/>
        </w:rPr>
        <w:t>日志监控：对外交互日志流水监控</w:t>
      </w:r>
    </w:p>
    <w:p>
      <w:pPr>
        <w:pStyle w:val="55"/>
        <w:numPr>
          <w:ilvl w:val="2"/>
          <w:numId w:val="7"/>
        </w:numPr>
        <w:tabs>
          <w:tab w:val="left" w:pos="360"/>
        </w:tabs>
        <w:ind w:left="0" w:firstLine="0"/>
      </w:pPr>
      <w:bookmarkStart w:id="95" w:name="_Toc80990162"/>
      <w:bookmarkStart w:id="96" w:name="_Toc78103706"/>
      <w:bookmarkStart w:id="97" w:name="_Toc49244893"/>
      <w:r>
        <w:rPr>
          <w:rFonts w:hint="eastAsia"/>
        </w:rPr>
        <w:t>基础信息</w:t>
      </w:r>
      <w:bookmarkEnd w:id="95"/>
      <w:bookmarkEnd w:id="96"/>
      <w:bookmarkEnd w:id="97"/>
    </w:p>
    <w:p>
      <w:pPr>
        <w:pStyle w:val="47"/>
        <w:ind w:firstLine="480"/>
      </w:pPr>
      <w:r>
        <w:rPr>
          <w:rFonts w:hint="eastAsia"/>
        </w:rPr>
        <w:t>包括以下功能及外部勾稽关联关系处理实现：基础信息对照（区划、医疗机构以及票据基础信息等等）</w:t>
      </w:r>
    </w:p>
    <w:p>
      <w:pPr>
        <w:pStyle w:val="55"/>
        <w:numPr>
          <w:ilvl w:val="2"/>
          <w:numId w:val="7"/>
        </w:numPr>
        <w:tabs>
          <w:tab w:val="left" w:pos="360"/>
        </w:tabs>
        <w:ind w:left="0" w:firstLine="0"/>
      </w:pPr>
      <w:bookmarkStart w:id="98" w:name="_Toc80990163"/>
      <w:bookmarkStart w:id="99" w:name="_Toc49244894"/>
      <w:bookmarkStart w:id="100" w:name="_Toc78103707"/>
      <w:r>
        <w:rPr>
          <w:rFonts w:hint="eastAsia"/>
        </w:rPr>
        <w:t>医保、社保受理</w:t>
      </w:r>
      <w:bookmarkEnd w:id="98"/>
      <w:bookmarkEnd w:id="99"/>
      <w:bookmarkEnd w:id="100"/>
    </w:p>
    <w:p>
      <w:pPr>
        <w:pStyle w:val="47"/>
        <w:numPr>
          <w:ilvl w:val="0"/>
          <w:numId w:val="16"/>
        </w:numPr>
        <w:ind w:firstLineChars="0"/>
      </w:pPr>
      <w:r>
        <w:rPr>
          <w:rFonts w:hint="eastAsia"/>
        </w:rPr>
        <w:t>医保、社保受理状态接收</w:t>
      </w:r>
    </w:p>
    <w:p>
      <w:pPr>
        <w:pStyle w:val="47"/>
        <w:numPr>
          <w:ilvl w:val="0"/>
          <w:numId w:val="16"/>
        </w:numPr>
        <w:ind w:firstLineChars="0"/>
      </w:pPr>
      <w:r>
        <w:rPr>
          <w:rFonts w:hint="eastAsia"/>
        </w:rPr>
        <w:t>医保、社保受理状态撤销</w:t>
      </w:r>
    </w:p>
    <w:p>
      <w:pPr>
        <w:pStyle w:val="47"/>
        <w:numPr>
          <w:ilvl w:val="0"/>
          <w:numId w:val="16"/>
        </w:numPr>
        <w:ind w:firstLineChars="0"/>
      </w:pPr>
      <w:r>
        <w:rPr>
          <w:rFonts w:hint="eastAsia"/>
        </w:rPr>
        <w:t>实现医保、社保受理状态实时同步至开票管理器（单位端），并提供医院查询</w:t>
      </w:r>
    </w:p>
    <w:p>
      <w:pPr>
        <w:pStyle w:val="47"/>
        <w:numPr>
          <w:ilvl w:val="0"/>
          <w:numId w:val="16"/>
        </w:numPr>
        <w:ind w:firstLineChars="0"/>
      </w:pPr>
      <w:r>
        <w:rPr>
          <w:rFonts w:hint="eastAsia"/>
        </w:rPr>
        <w:t>实现医保、社保受理状态实时对接、保存</w:t>
      </w:r>
    </w:p>
    <w:p>
      <w:pPr>
        <w:pStyle w:val="55"/>
        <w:numPr>
          <w:ilvl w:val="2"/>
          <w:numId w:val="7"/>
        </w:numPr>
        <w:tabs>
          <w:tab w:val="left" w:pos="360"/>
        </w:tabs>
        <w:ind w:left="0" w:firstLine="0"/>
      </w:pPr>
      <w:bookmarkStart w:id="101" w:name="_Toc78103708"/>
      <w:bookmarkStart w:id="102" w:name="_Toc49244895"/>
      <w:bookmarkStart w:id="103" w:name="_Toc80990164"/>
      <w:r>
        <w:rPr>
          <w:rFonts w:hint="eastAsia"/>
        </w:rPr>
        <w:t>医保、社保入账</w:t>
      </w:r>
      <w:bookmarkEnd w:id="101"/>
      <w:bookmarkEnd w:id="102"/>
      <w:bookmarkEnd w:id="103"/>
    </w:p>
    <w:p>
      <w:pPr>
        <w:pStyle w:val="47"/>
        <w:numPr>
          <w:ilvl w:val="0"/>
          <w:numId w:val="17"/>
        </w:numPr>
        <w:ind w:firstLineChars="0"/>
      </w:pPr>
      <w:r>
        <w:rPr>
          <w:rFonts w:hint="eastAsia"/>
        </w:rPr>
        <w:t>医保、社保入账状态接收</w:t>
      </w:r>
    </w:p>
    <w:p>
      <w:pPr>
        <w:pStyle w:val="47"/>
        <w:numPr>
          <w:ilvl w:val="0"/>
          <w:numId w:val="17"/>
        </w:numPr>
        <w:ind w:firstLineChars="0"/>
      </w:pPr>
      <w:r>
        <w:rPr>
          <w:rFonts w:hint="eastAsia"/>
        </w:rPr>
        <w:t>医保、社保入账状态撤销</w:t>
      </w:r>
    </w:p>
    <w:p>
      <w:pPr>
        <w:pStyle w:val="47"/>
        <w:numPr>
          <w:ilvl w:val="0"/>
          <w:numId w:val="17"/>
        </w:numPr>
        <w:ind w:firstLineChars="0"/>
      </w:pPr>
      <w:r>
        <w:rPr>
          <w:rFonts w:hint="eastAsia"/>
        </w:rPr>
        <w:t>实现各地医保、社保实时入账反馈</w:t>
      </w:r>
    </w:p>
    <w:p>
      <w:pPr>
        <w:pStyle w:val="55"/>
        <w:numPr>
          <w:ilvl w:val="2"/>
          <w:numId w:val="7"/>
        </w:numPr>
        <w:tabs>
          <w:tab w:val="left" w:pos="360"/>
        </w:tabs>
        <w:ind w:left="0" w:firstLine="0"/>
      </w:pPr>
      <w:bookmarkStart w:id="104" w:name="_Toc80990165"/>
      <w:bookmarkStart w:id="105" w:name="_Toc78103709"/>
      <w:bookmarkStart w:id="106" w:name="_Toc49244896"/>
      <w:r>
        <w:rPr>
          <w:rFonts w:hint="eastAsia"/>
        </w:rPr>
        <w:t>医疗机构票据查询</w:t>
      </w:r>
      <w:bookmarkEnd w:id="104"/>
      <w:bookmarkEnd w:id="105"/>
      <w:bookmarkEnd w:id="106"/>
    </w:p>
    <w:p>
      <w:pPr>
        <w:pStyle w:val="47"/>
        <w:numPr>
          <w:ilvl w:val="0"/>
          <w:numId w:val="18"/>
        </w:numPr>
        <w:ind w:firstLineChars="0"/>
      </w:pPr>
      <w:r>
        <w:rPr>
          <w:rFonts w:hint="eastAsia"/>
        </w:rPr>
        <w:t>票据明细信息查询</w:t>
      </w:r>
    </w:p>
    <w:p>
      <w:pPr>
        <w:pStyle w:val="47"/>
        <w:numPr>
          <w:ilvl w:val="0"/>
          <w:numId w:val="18"/>
        </w:numPr>
        <w:ind w:firstLineChars="0"/>
      </w:pPr>
      <w:r>
        <w:rPr>
          <w:rFonts w:hint="eastAsia"/>
        </w:rPr>
        <w:t>冲红信息查询</w:t>
      </w:r>
    </w:p>
    <w:p>
      <w:pPr>
        <w:pStyle w:val="47"/>
        <w:numPr>
          <w:ilvl w:val="0"/>
          <w:numId w:val="18"/>
        </w:numPr>
        <w:ind w:firstLineChars="0"/>
      </w:pPr>
      <w:r>
        <w:rPr>
          <w:rFonts w:hint="eastAsia"/>
        </w:rPr>
        <w:t>票据受理、入账状态查询</w:t>
      </w:r>
    </w:p>
    <w:p>
      <w:pPr>
        <w:pStyle w:val="54"/>
        <w:numPr>
          <w:ilvl w:val="1"/>
          <w:numId w:val="6"/>
        </w:numPr>
      </w:pPr>
      <w:bookmarkStart w:id="107" w:name="_Toc54955498"/>
      <w:bookmarkStart w:id="108" w:name="_Toc80990166"/>
      <w:bookmarkStart w:id="109" w:name="_Toc78120740"/>
      <w:bookmarkStart w:id="110" w:name="_Toc22934"/>
      <w:bookmarkStart w:id="111" w:name="_Toc54627835"/>
      <w:bookmarkStart w:id="112" w:name="_Toc837"/>
      <w:bookmarkStart w:id="113" w:name="_Toc78103715"/>
      <w:bookmarkStart w:id="114" w:name="_Toc56000186"/>
      <w:bookmarkStart w:id="115" w:name="_Toc72830138"/>
      <w:bookmarkStart w:id="116" w:name="_Toc8809"/>
      <w:r>
        <w:rPr>
          <w:rFonts w:hint="eastAsia"/>
        </w:rPr>
        <w:t>CA部分</w:t>
      </w:r>
      <w:bookmarkEnd w:id="107"/>
      <w:bookmarkEnd w:id="108"/>
      <w:bookmarkEnd w:id="109"/>
      <w:bookmarkEnd w:id="110"/>
      <w:bookmarkEnd w:id="111"/>
      <w:bookmarkEnd w:id="112"/>
      <w:bookmarkEnd w:id="113"/>
      <w:bookmarkEnd w:id="114"/>
      <w:bookmarkEnd w:id="115"/>
      <w:bookmarkEnd w:id="116"/>
    </w:p>
    <w:p>
      <w:pPr>
        <w:pStyle w:val="210"/>
        <w:spacing w:line="360" w:lineRule="auto"/>
        <w:ind w:firstLine="480"/>
        <w:rPr>
          <w:rFonts w:ascii="仿宋" w:hAnsi="仿宋"/>
          <w:szCs w:val="24"/>
        </w:rPr>
      </w:pPr>
      <w:r>
        <w:rPr>
          <w:rFonts w:hint="eastAsia" w:ascii="仿宋" w:hAnsi="仿宋"/>
          <w:szCs w:val="24"/>
        </w:rPr>
        <w:t>数字签名验证平台，主要面向业务单位侧的电子票据系统提供数字签名、电子印章、签名验证等功能服务接口。数字签名验证平台满足上海市财政局对于电子票据数据接口要求。</w:t>
      </w:r>
    </w:p>
    <w:p>
      <w:pPr>
        <w:pStyle w:val="54"/>
        <w:numPr>
          <w:ilvl w:val="1"/>
          <w:numId w:val="6"/>
        </w:numPr>
      </w:pPr>
      <w:bookmarkStart w:id="117" w:name="_Toc78120742"/>
      <w:bookmarkStart w:id="118" w:name="_Toc80990168"/>
      <w:bookmarkStart w:id="119" w:name="_Toc78103717"/>
      <w:r>
        <w:t>H</w:t>
      </w:r>
      <w:r>
        <w:rPr>
          <w:rFonts w:hint="eastAsia"/>
        </w:rPr>
        <w:t>is改造说明</w:t>
      </w:r>
      <w:bookmarkEnd w:id="117"/>
      <w:bookmarkEnd w:id="118"/>
      <w:bookmarkEnd w:id="119"/>
    </w:p>
    <w:p>
      <w:pPr>
        <w:pStyle w:val="210"/>
        <w:spacing w:line="360" w:lineRule="auto"/>
        <w:ind w:firstLine="480"/>
        <w:rPr>
          <w:rFonts w:ascii="仿宋" w:hAnsi="仿宋"/>
          <w:szCs w:val="24"/>
        </w:rPr>
      </w:pPr>
      <w:r>
        <w:rPr>
          <w:rFonts w:hint="eastAsia" w:ascii="仿宋" w:hAnsi="仿宋"/>
          <w:szCs w:val="24"/>
        </w:rPr>
        <w:t>医院的门急诊、住院等绝大部分业务是在</w:t>
      </w:r>
      <w:r>
        <w:rPr>
          <w:rFonts w:ascii="仿宋" w:hAnsi="仿宋"/>
          <w:szCs w:val="24"/>
        </w:rPr>
        <w:t>HIS业务系统完成，在医院门急诊、住院业务场景结算成功后，请求医疗电子票据管理平台提供的电子票据开具接口，自动完成电子票据开具、冲红、通知、自助打印等环节。医疗电子票据管理平台需开发与HIS系统的数据交换接口，实现HIS缴费业务数据的自动传输、电子票据的自动生成等。</w:t>
      </w:r>
    </w:p>
    <w:bookmarkEnd w:id="15"/>
    <w:bookmarkEnd w:id="16"/>
    <w:p>
      <w:pPr>
        <w:pStyle w:val="54"/>
        <w:numPr>
          <w:ilvl w:val="1"/>
          <w:numId w:val="6"/>
        </w:numPr>
      </w:pPr>
      <w:bookmarkStart w:id="120" w:name="_Toc80990172"/>
      <w:bookmarkStart w:id="121" w:name="_Toc78120743"/>
      <w:bookmarkStart w:id="122" w:name="_Hlk46998409"/>
      <w:r>
        <w:rPr>
          <w:rFonts w:hint="eastAsia"/>
        </w:rPr>
        <w:t>系统软硬件</w:t>
      </w:r>
      <w:bookmarkEnd w:id="120"/>
      <w:bookmarkEnd w:id="121"/>
      <w:r>
        <w:rPr>
          <w:rFonts w:hint="eastAsia"/>
        </w:rPr>
        <w:t>要求</w:t>
      </w:r>
    </w:p>
    <w:p>
      <w:pPr>
        <w:pStyle w:val="55"/>
        <w:numPr>
          <w:ilvl w:val="2"/>
          <w:numId w:val="7"/>
        </w:numPr>
        <w:tabs>
          <w:tab w:val="left" w:pos="360"/>
        </w:tabs>
        <w:ind w:left="0" w:firstLine="0"/>
      </w:pPr>
      <w:bookmarkStart w:id="123" w:name="_Toc78120717"/>
      <w:bookmarkStart w:id="124" w:name="_Toc80990129"/>
      <w:r>
        <w:rPr>
          <w:rFonts w:hint="eastAsia"/>
        </w:rPr>
        <w:t>系统软件需求</w:t>
      </w:r>
      <w:bookmarkEnd w:id="123"/>
      <w:bookmarkEnd w:id="124"/>
    </w:p>
    <w:p>
      <w:pPr>
        <w:pStyle w:val="56"/>
        <w:numPr>
          <w:ilvl w:val="3"/>
          <w:numId w:val="9"/>
        </w:numPr>
        <w:tabs>
          <w:tab w:val="left" w:pos="360"/>
        </w:tabs>
        <w:ind w:left="0" w:firstLine="0"/>
      </w:pPr>
      <w:bookmarkStart w:id="125" w:name="_Toc307413536"/>
      <w:bookmarkStart w:id="126" w:name="_Toc314000982"/>
      <w:bookmarkStart w:id="127" w:name="_Toc385505025"/>
      <w:bookmarkStart w:id="128" w:name="_Toc338667696"/>
      <w:bookmarkStart w:id="129" w:name="_Toc322953604"/>
      <w:bookmarkStart w:id="130" w:name="_Toc80990130"/>
      <w:r>
        <w:rPr>
          <w:rFonts w:hint="eastAsia"/>
        </w:rPr>
        <w:t>数据库需求</w:t>
      </w:r>
      <w:bookmarkEnd w:id="125"/>
      <w:bookmarkEnd w:id="126"/>
      <w:bookmarkEnd w:id="127"/>
      <w:bookmarkEnd w:id="128"/>
      <w:bookmarkEnd w:id="129"/>
      <w:bookmarkEnd w:id="130"/>
    </w:p>
    <w:p>
      <w:pPr>
        <w:pStyle w:val="47"/>
        <w:ind w:firstLine="480"/>
      </w:pPr>
      <w:bookmarkStart w:id="131" w:name="_Toc385505026"/>
      <w:bookmarkStart w:id="132" w:name="_Toc167867735"/>
      <w:bookmarkStart w:id="133" w:name="_Toc338667697"/>
      <w:bookmarkStart w:id="134" w:name="_Toc307413537"/>
      <w:bookmarkStart w:id="135" w:name="_Toc322953605"/>
      <w:bookmarkStart w:id="136" w:name="_Toc167621661"/>
      <w:bookmarkStart w:id="137" w:name="_Toc167076858"/>
      <w:bookmarkStart w:id="138" w:name="_Toc314000983"/>
      <w:r>
        <w:rPr>
          <w:rFonts w:hint="eastAsia"/>
        </w:rPr>
        <w:t>本系统数据库要满足以下要求：</w:t>
      </w:r>
    </w:p>
    <w:p>
      <w:pPr>
        <w:pStyle w:val="47"/>
        <w:ind w:firstLine="480"/>
      </w:pPr>
      <w:r>
        <w:rPr>
          <w:rFonts w:hint="eastAsia"/>
        </w:rPr>
        <w:t>保证数据库连续、高效，在硬件、软件两个方面做到容错和冗余，实现数据库系统的高可用性；</w:t>
      </w:r>
    </w:p>
    <w:p>
      <w:pPr>
        <w:pStyle w:val="47"/>
        <w:ind w:firstLine="480"/>
      </w:pPr>
      <w:r>
        <w:rPr>
          <w:rFonts w:hint="eastAsia"/>
        </w:rPr>
        <w:t>可以承受长时间、大用户量的并发访问；</w:t>
      </w:r>
    </w:p>
    <w:p>
      <w:pPr>
        <w:pStyle w:val="47"/>
        <w:ind w:firstLine="480"/>
      </w:pPr>
      <w:r>
        <w:rPr>
          <w:rFonts w:hint="eastAsia"/>
        </w:rPr>
        <w:t>数据库系统能够支持服务器数量、</w:t>
      </w:r>
      <w:r>
        <w:t>CPU</w:t>
      </w:r>
      <w:r>
        <w:rPr>
          <w:rFonts w:hint="eastAsia"/>
        </w:rPr>
        <w:t>、内存等的平滑扩容和升级，具有高伸缩性；</w:t>
      </w:r>
    </w:p>
    <w:p>
      <w:pPr>
        <w:pStyle w:val="47"/>
        <w:ind w:firstLine="480"/>
      </w:pPr>
      <w:r>
        <w:rPr>
          <w:rFonts w:hint="eastAsia"/>
        </w:rPr>
        <w:t>数据库支持开放系统、国际技术标准、有良好的性价比。</w:t>
      </w:r>
    </w:p>
    <w:p>
      <w:pPr>
        <w:pStyle w:val="56"/>
        <w:numPr>
          <w:ilvl w:val="3"/>
          <w:numId w:val="9"/>
        </w:numPr>
        <w:tabs>
          <w:tab w:val="left" w:pos="360"/>
        </w:tabs>
        <w:ind w:left="0" w:firstLine="0"/>
      </w:pPr>
      <w:bookmarkStart w:id="139" w:name="_Toc80990131"/>
      <w:r>
        <w:rPr>
          <w:rFonts w:hint="eastAsia"/>
        </w:rPr>
        <w:t>应用中间件需求</w:t>
      </w:r>
      <w:bookmarkEnd w:id="131"/>
      <w:bookmarkEnd w:id="132"/>
      <w:bookmarkEnd w:id="133"/>
      <w:bookmarkEnd w:id="134"/>
      <w:bookmarkEnd w:id="135"/>
      <w:bookmarkEnd w:id="136"/>
      <w:bookmarkEnd w:id="137"/>
      <w:bookmarkEnd w:id="138"/>
      <w:bookmarkEnd w:id="139"/>
    </w:p>
    <w:p>
      <w:pPr>
        <w:pStyle w:val="47"/>
        <w:ind w:firstLine="480"/>
      </w:pPr>
      <w:r>
        <w:rPr>
          <w:rFonts w:hint="eastAsia"/>
        </w:rPr>
        <w:t>本系统的应用系统需满足以下需求：</w:t>
      </w:r>
    </w:p>
    <w:p>
      <w:pPr>
        <w:pStyle w:val="47"/>
        <w:ind w:firstLine="480"/>
      </w:pPr>
      <w:r>
        <w:rPr>
          <w:rFonts w:hint="eastAsia"/>
        </w:rPr>
        <w:t>面向对象的模块化组件设计</w:t>
      </w:r>
      <w:r>
        <w:t>——</w:t>
      </w:r>
      <w:r>
        <w:rPr>
          <w:rFonts w:hint="eastAsia"/>
        </w:rPr>
        <w:t>可以提高开发速度，降低开发成本。</w:t>
      </w:r>
      <w:r>
        <w:t xml:space="preserve"> </w:t>
      </w:r>
    </w:p>
    <w:p>
      <w:pPr>
        <w:pStyle w:val="47"/>
        <w:ind w:firstLine="480"/>
      </w:pPr>
      <w:r>
        <w:rPr>
          <w:rFonts w:hint="eastAsia"/>
        </w:rPr>
        <w:t>基于开放的标准。</w:t>
      </w:r>
    </w:p>
    <w:p>
      <w:pPr>
        <w:pStyle w:val="47"/>
        <w:ind w:firstLine="480"/>
      </w:pPr>
      <w:r>
        <w:rPr>
          <w:rFonts w:hint="eastAsia"/>
        </w:rPr>
        <w:t>以应用服务器为中心</w:t>
      </w:r>
      <w:r>
        <w:t>——</w:t>
      </w:r>
      <w:r>
        <w:rPr>
          <w:rFonts w:hint="eastAsia"/>
        </w:rPr>
        <w:t>低成本，安全和高性能。</w:t>
      </w:r>
    </w:p>
    <w:p>
      <w:pPr>
        <w:pStyle w:val="47"/>
        <w:ind w:firstLine="480"/>
      </w:pPr>
      <w:r>
        <w:rPr>
          <w:rFonts w:hint="eastAsia"/>
        </w:rPr>
        <w:t>可扩展</w:t>
      </w:r>
      <w:r>
        <w:t>——</w:t>
      </w:r>
      <w:r>
        <w:rPr>
          <w:rFonts w:hint="eastAsia"/>
        </w:rPr>
        <w:t>允许透明地扩展以适应平台应用爆炸式的增长。</w:t>
      </w:r>
    </w:p>
    <w:p>
      <w:pPr>
        <w:pStyle w:val="47"/>
        <w:ind w:firstLine="480"/>
      </w:pPr>
      <w:r>
        <w:rPr>
          <w:rFonts w:hint="eastAsia"/>
        </w:rPr>
        <w:t>最大限度地利用现有的技术投资，并能得到大多数厂商支持，保护用户投资。</w:t>
      </w:r>
    </w:p>
    <w:p>
      <w:pPr>
        <w:pStyle w:val="55"/>
        <w:numPr>
          <w:ilvl w:val="2"/>
          <w:numId w:val="7"/>
        </w:numPr>
        <w:tabs>
          <w:tab w:val="left" w:pos="360"/>
        </w:tabs>
        <w:ind w:left="0" w:firstLine="0"/>
      </w:pPr>
      <w:r>
        <w:rPr>
          <w:rFonts w:hint="eastAsia"/>
        </w:rPr>
        <w:t>硬件要求</w:t>
      </w:r>
    </w:p>
    <w:tbl>
      <w:tblPr>
        <w:tblStyle w:val="44"/>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126"/>
        <w:gridCol w:w="1134"/>
        <w:gridCol w:w="1276"/>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4" w:hRule="atLeast"/>
        </w:trPr>
        <w:tc>
          <w:tcPr>
            <w:tcW w:w="704" w:type="dxa"/>
          </w:tcPr>
          <w:p>
            <w:pPr>
              <w:spacing w:line="360" w:lineRule="auto"/>
              <w:jc w:val="center"/>
              <w:rPr>
                <w:rFonts w:ascii="仿宋_GB2312" w:hAnsi="仿宋_GB2312" w:eastAsia="仿宋_GB2312" w:cs="Times New Roman"/>
                <w:kern w:val="0"/>
                <w:sz w:val="24"/>
                <w:szCs w:val="28"/>
              </w:rPr>
            </w:pPr>
            <w:r>
              <w:rPr>
                <w:rFonts w:hint="eastAsia" w:ascii="仿宋_GB2312" w:hAnsi="仿宋_GB2312" w:eastAsia="仿宋_GB2312" w:cs="Times New Roman"/>
                <w:kern w:val="0"/>
                <w:sz w:val="24"/>
                <w:szCs w:val="28"/>
              </w:rPr>
              <w:t>序号</w:t>
            </w:r>
          </w:p>
        </w:tc>
        <w:tc>
          <w:tcPr>
            <w:tcW w:w="2126" w:type="dxa"/>
          </w:tcPr>
          <w:p>
            <w:pPr>
              <w:spacing w:line="360" w:lineRule="auto"/>
              <w:jc w:val="center"/>
              <w:rPr>
                <w:rFonts w:ascii="仿宋_GB2312" w:hAnsi="仿宋_GB2312" w:eastAsia="仿宋_GB2312" w:cs="Times New Roman"/>
                <w:kern w:val="0"/>
                <w:sz w:val="24"/>
                <w:szCs w:val="28"/>
              </w:rPr>
            </w:pPr>
            <w:r>
              <w:rPr>
                <w:rFonts w:hint="eastAsia" w:ascii="仿宋_GB2312" w:hAnsi="仿宋_GB2312" w:eastAsia="仿宋_GB2312" w:cs="Times New Roman"/>
                <w:kern w:val="0"/>
                <w:sz w:val="24"/>
                <w:szCs w:val="28"/>
              </w:rPr>
              <w:t>名称</w:t>
            </w:r>
          </w:p>
        </w:tc>
        <w:tc>
          <w:tcPr>
            <w:tcW w:w="1134" w:type="dxa"/>
          </w:tcPr>
          <w:p>
            <w:pPr>
              <w:spacing w:line="360" w:lineRule="auto"/>
              <w:jc w:val="center"/>
              <w:rPr>
                <w:rFonts w:ascii="仿宋_GB2312" w:hAnsi="仿宋_GB2312" w:eastAsia="仿宋_GB2312" w:cs="Times New Roman"/>
                <w:kern w:val="0"/>
                <w:sz w:val="24"/>
                <w:szCs w:val="28"/>
              </w:rPr>
            </w:pPr>
            <w:r>
              <w:rPr>
                <w:rFonts w:hint="eastAsia" w:ascii="仿宋_GB2312" w:hAnsi="仿宋_GB2312" w:eastAsia="仿宋_GB2312" w:cs="Times New Roman"/>
                <w:kern w:val="0"/>
                <w:sz w:val="24"/>
                <w:szCs w:val="28"/>
              </w:rPr>
              <w:t>数量</w:t>
            </w:r>
          </w:p>
        </w:tc>
        <w:tc>
          <w:tcPr>
            <w:tcW w:w="1276" w:type="dxa"/>
          </w:tcPr>
          <w:p>
            <w:pPr>
              <w:spacing w:line="360" w:lineRule="auto"/>
              <w:jc w:val="center"/>
              <w:rPr>
                <w:rFonts w:ascii="仿宋_GB2312" w:hAnsi="仿宋_GB2312" w:eastAsia="仿宋_GB2312" w:cs="Times New Roman"/>
                <w:kern w:val="0"/>
                <w:sz w:val="24"/>
                <w:szCs w:val="28"/>
              </w:rPr>
            </w:pPr>
            <w:r>
              <w:rPr>
                <w:rFonts w:hint="eastAsia" w:ascii="仿宋_GB2312" w:hAnsi="仿宋_GB2312" w:eastAsia="仿宋_GB2312" w:cs="Times New Roman"/>
                <w:kern w:val="0"/>
                <w:sz w:val="24"/>
                <w:szCs w:val="28"/>
              </w:rPr>
              <w:t>单位</w:t>
            </w:r>
          </w:p>
        </w:tc>
        <w:tc>
          <w:tcPr>
            <w:tcW w:w="3827" w:type="dxa"/>
          </w:tcPr>
          <w:p>
            <w:pPr>
              <w:spacing w:line="360" w:lineRule="auto"/>
              <w:jc w:val="center"/>
              <w:rPr>
                <w:rFonts w:ascii="仿宋_GB2312" w:hAnsi="仿宋_GB2312" w:eastAsia="仿宋_GB2312" w:cs="Times New Roman"/>
                <w:kern w:val="0"/>
                <w:sz w:val="24"/>
                <w:szCs w:val="28"/>
              </w:rPr>
            </w:pPr>
            <w:r>
              <w:rPr>
                <w:rFonts w:hint="eastAsia" w:ascii="仿宋_GB2312" w:hAnsi="仿宋_GB2312" w:eastAsia="仿宋_GB2312" w:cs="Times New Roman"/>
                <w:kern w:val="0"/>
                <w:sz w:val="24"/>
                <w:szCs w:val="28"/>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4" w:hRule="atLeast"/>
        </w:trPr>
        <w:tc>
          <w:tcPr>
            <w:tcW w:w="704" w:type="dxa"/>
            <w:tcBorders>
              <w:bottom w:val="single" w:color="auto" w:sz="4" w:space="0"/>
            </w:tcBorders>
          </w:tcPr>
          <w:p>
            <w:pPr>
              <w:spacing w:line="360" w:lineRule="auto"/>
              <w:ind w:firstLine="240" w:firstLineChars="100"/>
              <w:rPr>
                <w:rFonts w:ascii="仿宋_GB2312" w:hAnsi="仿宋_GB2312" w:eastAsia="仿宋_GB2312" w:cs="Times New Roman"/>
                <w:kern w:val="0"/>
                <w:sz w:val="24"/>
                <w:szCs w:val="28"/>
              </w:rPr>
            </w:pPr>
            <w:r>
              <w:rPr>
                <w:rFonts w:hint="eastAsia" w:ascii="仿宋_GB2312" w:hAnsi="仿宋_GB2312" w:eastAsia="仿宋_GB2312" w:cs="Times New Roman"/>
                <w:kern w:val="0"/>
                <w:sz w:val="24"/>
                <w:szCs w:val="28"/>
              </w:rPr>
              <w:t>1</w:t>
            </w:r>
          </w:p>
        </w:tc>
        <w:tc>
          <w:tcPr>
            <w:tcW w:w="2126" w:type="dxa"/>
            <w:tcBorders>
              <w:bottom w:val="single" w:color="auto" w:sz="4" w:space="0"/>
            </w:tcBorders>
          </w:tcPr>
          <w:p>
            <w:pPr>
              <w:spacing w:line="360" w:lineRule="auto"/>
              <w:jc w:val="center"/>
              <w:rPr>
                <w:rFonts w:ascii="仿宋_GB2312" w:hAnsi="仿宋_GB2312" w:eastAsia="仿宋_GB2312" w:cs="Times New Roman"/>
                <w:kern w:val="0"/>
                <w:sz w:val="24"/>
                <w:szCs w:val="28"/>
              </w:rPr>
            </w:pPr>
            <w:r>
              <w:rPr>
                <w:rFonts w:hint="eastAsia" w:ascii="仿宋_GB2312" w:hAnsi="仿宋_GB2312" w:eastAsia="仿宋_GB2312" w:cs="Times New Roman"/>
                <w:kern w:val="0"/>
                <w:sz w:val="24"/>
                <w:szCs w:val="28"/>
              </w:rPr>
              <w:t>医疗电子票据自助服务终端</w:t>
            </w:r>
          </w:p>
        </w:tc>
        <w:tc>
          <w:tcPr>
            <w:tcW w:w="1134" w:type="dxa"/>
            <w:tcBorders>
              <w:bottom w:val="single" w:color="auto" w:sz="4" w:space="0"/>
            </w:tcBorders>
          </w:tcPr>
          <w:p>
            <w:pPr>
              <w:spacing w:line="360" w:lineRule="auto"/>
              <w:jc w:val="center"/>
              <w:rPr>
                <w:rFonts w:ascii="仿宋_GB2312" w:hAnsi="仿宋_GB2312" w:eastAsia="仿宋_GB2312" w:cs="Times New Roman"/>
                <w:kern w:val="0"/>
                <w:sz w:val="24"/>
                <w:szCs w:val="28"/>
              </w:rPr>
            </w:pPr>
            <w:r>
              <w:rPr>
                <w:rFonts w:ascii="仿宋_GB2312" w:hAnsi="仿宋_GB2312" w:eastAsia="仿宋_GB2312" w:cs="Times New Roman"/>
                <w:kern w:val="0"/>
                <w:sz w:val="24"/>
                <w:szCs w:val="28"/>
              </w:rPr>
              <w:t>10</w:t>
            </w:r>
          </w:p>
        </w:tc>
        <w:tc>
          <w:tcPr>
            <w:tcW w:w="1276" w:type="dxa"/>
            <w:tcBorders>
              <w:bottom w:val="single" w:color="auto" w:sz="4" w:space="0"/>
            </w:tcBorders>
          </w:tcPr>
          <w:p>
            <w:pPr>
              <w:spacing w:line="360" w:lineRule="auto"/>
              <w:jc w:val="center"/>
              <w:rPr>
                <w:rFonts w:ascii="仿宋_GB2312" w:hAnsi="仿宋_GB2312" w:eastAsia="仿宋_GB2312" w:cs="Times New Roman"/>
                <w:kern w:val="0"/>
                <w:sz w:val="24"/>
                <w:szCs w:val="28"/>
              </w:rPr>
            </w:pPr>
            <w:r>
              <w:rPr>
                <w:rFonts w:hint="eastAsia" w:ascii="仿宋_GB2312" w:hAnsi="仿宋_GB2312" w:eastAsia="仿宋_GB2312" w:cs="Times New Roman"/>
                <w:kern w:val="0"/>
                <w:sz w:val="24"/>
                <w:szCs w:val="28"/>
              </w:rPr>
              <w:t>台</w:t>
            </w:r>
          </w:p>
        </w:tc>
        <w:tc>
          <w:tcPr>
            <w:tcW w:w="3827" w:type="dxa"/>
            <w:tcBorders>
              <w:bottom w:val="single" w:color="auto" w:sz="4" w:space="0"/>
            </w:tcBorders>
          </w:tcPr>
          <w:p>
            <w:pPr>
              <w:spacing w:line="360" w:lineRule="auto"/>
              <w:jc w:val="center"/>
              <w:rPr>
                <w:rFonts w:ascii="仿宋_GB2312" w:hAnsi="仿宋_GB2312" w:eastAsia="仿宋_GB2312" w:cs="Times New Roman"/>
                <w:kern w:val="0"/>
                <w:sz w:val="24"/>
                <w:szCs w:val="28"/>
              </w:rPr>
            </w:pPr>
            <w:r>
              <w:rPr>
                <w:rFonts w:hint="eastAsia" w:ascii="仿宋_GB2312" w:hAnsi="仿宋_GB2312" w:eastAsia="仿宋_GB2312" w:cs="Times New Roman"/>
                <w:kern w:val="0"/>
                <w:sz w:val="24"/>
                <w:szCs w:val="28"/>
              </w:rPr>
              <w:t>主要通过社保卡、就诊卡等方式，可随时办理医疗门诊收费票据（电子）、住院收费票据（电子）、收费明细（电子）等查询打印业务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34" w:hRule="atLeast"/>
        </w:trPr>
        <w:tc>
          <w:tcPr>
            <w:tcW w:w="9067" w:type="dxa"/>
            <w:gridSpan w:val="5"/>
            <w:tcBorders>
              <w:left w:val="nil"/>
              <w:bottom w:val="nil"/>
              <w:right w:val="nil"/>
            </w:tcBorders>
          </w:tcPr>
          <w:p>
            <w:pPr>
              <w:spacing w:line="360" w:lineRule="auto"/>
              <w:jc w:val="left"/>
              <w:rPr>
                <w:rFonts w:ascii="仿宋_GB2312" w:hAnsi="仿宋_GB2312" w:eastAsia="仿宋_GB2312" w:cs="Times New Roman"/>
                <w:kern w:val="0"/>
                <w:sz w:val="24"/>
                <w:szCs w:val="28"/>
              </w:rPr>
            </w:pPr>
            <w:r>
              <w:rPr>
                <w:rFonts w:hint="eastAsia" w:ascii="仿宋_GB2312" w:hAnsi="仿宋_GB2312" w:eastAsia="仿宋_GB2312" w:cs="Times New Roman"/>
                <w:kern w:val="0"/>
                <w:sz w:val="24"/>
                <w:szCs w:val="28"/>
              </w:rPr>
              <w:t>单台设备的具体参数如下：</w:t>
            </w:r>
          </w:p>
        </w:tc>
      </w:tr>
    </w:tbl>
    <w:tbl>
      <w:tblPr>
        <w:tblStyle w:val="215"/>
        <w:tblW w:w="8353" w:type="dxa"/>
        <w:jc w:val="center"/>
        <w:tblInd w:w="62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86"/>
        <w:gridCol w:w="1239"/>
        <w:gridCol w:w="2919"/>
        <w:gridCol w:w="350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40" w:hRule="atLeast"/>
          <w:jc w:val="center"/>
        </w:trPr>
        <w:tc>
          <w:tcPr>
            <w:tcW w:w="686" w:type="dxa"/>
          </w:tcPr>
          <w:p>
            <w:pPr>
              <w:pStyle w:val="216"/>
              <w:spacing w:before="7"/>
              <w:rPr>
                <w:sz w:val="25"/>
                <w:lang w:eastAsia="zh-CN"/>
              </w:rPr>
            </w:pPr>
          </w:p>
          <w:p>
            <w:pPr>
              <w:pStyle w:val="216"/>
              <w:spacing w:before="1"/>
              <w:ind w:left="110" w:right="93"/>
              <w:jc w:val="center"/>
              <w:rPr>
                <w:b/>
                <w:sz w:val="21"/>
              </w:rPr>
            </w:pPr>
            <w:r>
              <w:rPr>
                <w:b/>
                <w:sz w:val="21"/>
              </w:rPr>
              <w:t>序号</w:t>
            </w:r>
          </w:p>
        </w:tc>
        <w:tc>
          <w:tcPr>
            <w:tcW w:w="1239" w:type="dxa"/>
          </w:tcPr>
          <w:p>
            <w:pPr>
              <w:pStyle w:val="216"/>
              <w:spacing w:before="7"/>
              <w:rPr>
                <w:sz w:val="25"/>
              </w:rPr>
            </w:pPr>
          </w:p>
          <w:p>
            <w:pPr>
              <w:pStyle w:val="216"/>
              <w:spacing w:before="1"/>
              <w:ind w:left="199"/>
              <w:rPr>
                <w:b/>
                <w:sz w:val="21"/>
              </w:rPr>
            </w:pPr>
            <w:r>
              <w:rPr>
                <w:b/>
                <w:w w:val="95"/>
                <w:sz w:val="21"/>
              </w:rPr>
              <w:t>功能模块</w:t>
            </w:r>
          </w:p>
        </w:tc>
        <w:tc>
          <w:tcPr>
            <w:tcW w:w="2919" w:type="dxa"/>
          </w:tcPr>
          <w:p>
            <w:pPr>
              <w:pStyle w:val="216"/>
              <w:spacing w:before="7"/>
              <w:rPr>
                <w:sz w:val="25"/>
              </w:rPr>
            </w:pPr>
          </w:p>
          <w:p>
            <w:pPr>
              <w:pStyle w:val="216"/>
              <w:spacing w:before="1"/>
              <w:ind w:left="827"/>
              <w:rPr>
                <w:b/>
                <w:sz w:val="21"/>
              </w:rPr>
            </w:pPr>
            <w:r>
              <w:rPr>
                <w:b/>
                <w:w w:val="95"/>
                <w:sz w:val="21"/>
              </w:rPr>
              <w:t>规格参数要求</w:t>
            </w:r>
          </w:p>
        </w:tc>
        <w:tc>
          <w:tcPr>
            <w:tcW w:w="3509" w:type="dxa"/>
          </w:tcPr>
          <w:p>
            <w:pPr>
              <w:pStyle w:val="216"/>
              <w:spacing w:before="7"/>
              <w:rPr>
                <w:sz w:val="25"/>
              </w:rPr>
            </w:pPr>
          </w:p>
          <w:p>
            <w:pPr>
              <w:pStyle w:val="216"/>
              <w:spacing w:before="1"/>
              <w:ind w:left="1333" w:right="1314"/>
              <w:jc w:val="center"/>
              <w:rPr>
                <w:b/>
                <w:sz w:val="21"/>
              </w:rPr>
            </w:pPr>
            <w:r>
              <w:rPr>
                <w:b/>
                <w:w w:val="95"/>
                <w:sz w:val="21"/>
              </w:rPr>
              <w:t>功能说明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877" w:hRule="atLeast"/>
          <w:jc w:val="center"/>
        </w:trPr>
        <w:tc>
          <w:tcPr>
            <w:tcW w:w="686" w:type="dxa"/>
          </w:tcPr>
          <w:p>
            <w:pPr>
              <w:pStyle w:val="216"/>
              <w:rPr>
                <w:sz w:val="20"/>
              </w:rPr>
            </w:pPr>
          </w:p>
          <w:p>
            <w:pPr>
              <w:pStyle w:val="216"/>
              <w:rPr>
                <w:sz w:val="20"/>
              </w:rPr>
            </w:pPr>
          </w:p>
          <w:p>
            <w:pPr>
              <w:pStyle w:val="216"/>
              <w:spacing w:before="2"/>
              <w:rPr>
                <w:sz w:val="26"/>
              </w:rPr>
            </w:pPr>
          </w:p>
          <w:p>
            <w:pPr>
              <w:pStyle w:val="216"/>
              <w:ind w:left="18"/>
              <w:jc w:val="center"/>
              <w:rPr>
                <w:sz w:val="21"/>
              </w:rPr>
            </w:pPr>
            <w:r>
              <w:rPr>
                <w:w w:val="99"/>
                <w:sz w:val="21"/>
              </w:rPr>
              <w:t>1</w:t>
            </w:r>
          </w:p>
        </w:tc>
        <w:tc>
          <w:tcPr>
            <w:tcW w:w="1239" w:type="dxa"/>
          </w:tcPr>
          <w:p>
            <w:pPr>
              <w:pStyle w:val="216"/>
              <w:rPr>
                <w:sz w:val="20"/>
              </w:rPr>
            </w:pPr>
          </w:p>
          <w:p>
            <w:pPr>
              <w:pStyle w:val="216"/>
              <w:rPr>
                <w:sz w:val="20"/>
              </w:rPr>
            </w:pPr>
          </w:p>
          <w:p>
            <w:pPr>
              <w:pStyle w:val="216"/>
              <w:spacing w:before="2"/>
              <w:rPr>
                <w:sz w:val="26"/>
              </w:rPr>
            </w:pPr>
          </w:p>
          <w:p>
            <w:pPr>
              <w:pStyle w:val="216"/>
              <w:ind w:left="108"/>
              <w:rPr>
                <w:sz w:val="21"/>
              </w:rPr>
            </w:pPr>
            <w:r>
              <w:rPr>
                <w:sz w:val="21"/>
              </w:rPr>
              <w:t>工控主机</w:t>
            </w:r>
          </w:p>
        </w:tc>
        <w:tc>
          <w:tcPr>
            <w:tcW w:w="2919" w:type="dxa"/>
          </w:tcPr>
          <w:p>
            <w:pPr>
              <w:pStyle w:val="216"/>
              <w:rPr>
                <w:sz w:val="24"/>
                <w:lang w:eastAsia="zh-CN"/>
              </w:rPr>
            </w:pPr>
          </w:p>
          <w:p>
            <w:pPr>
              <w:pStyle w:val="216"/>
              <w:spacing w:line="321" w:lineRule="auto"/>
              <w:ind w:left="107" w:right="532"/>
              <w:rPr>
                <w:sz w:val="21"/>
                <w:lang w:eastAsia="zh-CN"/>
              </w:rPr>
            </w:pPr>
            <w:r>
              <w:rPr>
                <w:w w:val="95"/>
                <w:sz w:val="21"/>
                <w:lang w:eastAsia="zh-CN"/>
              </w:rPr>
              <w:t>CPU</w:t>
            </w:r>
            <w:r>
              <w:rPr>
                <w:spacing w:val="3"/>
                <w:w w:val="95"/>
                <w:sz w:val="21"/>
                <w:lang w:eastAsia="zh-CN"/>
              </w:rPr>
              <w:t xml:space="preserve">：双核，主频 </w:t>
            </w:r>
            <w:r>
              <w:rPr>
                <w:w w:val="95"/>
                <w:sz w:val="21"/>
                <w:lang w:eastAsia="zh-CN"/>
              </w:rPr>
              <w:t>2.6GHz</w:t>
            </w:r>
            <w:r>
              <w:rPr>
                <w:spacing w:val="-97"/>
                <w:w w:val="95"/>
                <w:sz w:val="21"/>
                <w:lang w:eastAsia="zh-CN"/>
              </w:rPr>
              <w:t xml:space="preserve"> </w:t>
            </w:r>
            <w:r>
              <w:rPr>
                <w:sz w:val="21"/>
                <w:lang w:eastAsia="zh-CN"/>
              </w:rPr>
              <w:t>内存：4GB</w:t>
            </w:r>
          </w:p>
          <w:p>
            <w:pPr>
              <w:pStyle w:val="216"/>
              <w:spacing w:line="268" w:lineRule="exact"/>
              <w:ind w:left="107"/>
              <w:rPr>
                <w:sz w:val="21"/>
              </w:rPr>
            </w:pPr>
            <w:r>
              <w:rPr>
                <w:w w:val="95"/>
                <w:sz w:val="21"/>
              </w:rPr>
              <w:t>硬盘：1TB</w:t>
            </w:r>
          </w:p>
          <w:p>
            <w:pPr>
              <w:pStyle w:val="216"/>
              <w:spacing w:before="91"/>
              <w:ind w:left="107"/>
              <w:rPr>
                <w:sz w:val="21"/>
              </w:rPr>
            </w:pPr>
            <w:r>
              <w:rPr>
                <w:spacing w:val="-5"/>
                <w:w w:val="95"/>
                <w:sz w:val="21"/>
              </w:rPr>
              <w:t xml:space="preserve">正版操作系统 </w:t>
            </w:r>
            <w:r>
              <w:rPr>
                <w:w w:val="95"/>
                <w:sz w:val="21"/>
              </w:rPr>
              <w:t>Windows</w:t>
            </w:r>
            <w:r>
              <w:rPr>
                <w:spacing w:val="32"/>
                <w:w w:val="95"/>
                <w:sz w:val="21"/>
              </w:rPr>
              <w:t xml:space="preserve"> </w:t>
            </w:r>
            <w:r>
              <w:rPr>
                <w:w w:val="95"/>
                <w:sz w:val="21"/>
              </w:rPr>
              <w:t>7</w:t>
            </w:r>
          </w:p>
        </w:tc>
        <w:tc>
          <w:tcPr>
            <w:tcW w:w="3509" w:type="dxa"/>
          </w:tcPr>
          <w:p>
            <w:pPr>
              <w:pStyle w:val="216"/>
              <w:spacing w:before="89" w:line="321" w:lineRule="auto"/>
              <w:ind w:left="106" w:right="-29"/>
              <w:rPr>
                <w:sz w:val="21"/>
                <w:lang w:eastAsia="zh-CN"/>
              </w:rPr>
            </w:pPr>
            <w:r>
              <w:rPr>
                <w:sz w:val="21"/>
                <w:lang w:eastAsia="zh-CN"/>
              </w:rPr>
              <w:t>1、主控机采用工控主机，正版操作</w:t>
            </w:r>
            <w:r>
              <w:rPr>
                <w:spacing w:val="-35"/>
                <w:w w:val="99"/>
                <w:sz w:val="21"/>
                <w:lang w:eastAsia="zh-CN"/>
              </w:rPr>
              <w:t>系统，</w:t>
            </w:r>
            <w:r>
              <w:rPr>
                <w:spacing w:val="1"/>
                <w:w w:val="99"/>
                <w:sz w:val="21"/>
                <w:lang w:eastAsia="zh-CN"/>
              </w:rPr>
              <w:t>US</w:t>
            </w:r>
            <w:r>
              <w:rPr>
                <w:w w:val="99"/>
                <w:sz w:val="21"/>
                <w:lang w:eastAsia="zh-CN"/>
              </w:rPr>
              <w:t>B</w:t>
            </w:r>
            <w:r>
              <w:rPr>
                <w:spacing w:val="-68"/>
                <w:sz w:val="21"/>
                <w:lang w:eastAsia="zh-CN"/>
              </w:rPr>
              <w:t xml:space="preserve"> </w:t>
            </w:r>
            <w:r>
              <w:rPr>
                <w:spacing w:val="-1"/>
                <w:w w:val="99"/>
                <w:sz w:val="21"/>
                <w:lang w:eastAsia="zh-CN"/>
              </w:rPr>
              <w:t>和串口等接口均板载集成，</w:t>
            </w:r>
            <w:r>
              <w:rPr>
                <w:sz w:val="21"/>
                <w:lang w:eastAsia="zh-CN"/>
              </w:rPr>
              <w:t>稳定可靠。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862" w:hRule="atLeast"/>
          <w:jc w:val="center"/>
        </w:trPr>
        <w:tc>
          <w:tcPr>
            <w:tcW w:w="686" w:type="dxa"/>
          </w:tcPr>
          <w:p>
            <w:pPr>
              <w:pStyle w:val="216"/>
              <w:rPr>
                <w:sz w:val="20"/>
                <w:lang w:eastAsia="zh-CN"/>
              </w:rPr>
            </w:pPr>
          </w:p>
          <w:p>
            <w:pPr>
              <w:pStyle w:val="216"/>
              <w:rPr>
                <w:sz w:val="20"/>
                <w:lang w:eastAsia="zh-CN"/>
              </w:rPr>
            </w:pPr>
          </w:p>
          <w:p>
            <w:pPr>
              <w:pStyle w:val="216"/>
              <w:spacing w:before="8"/>
              <w:rPr>
                <w:sz w:val="25"/>
                <w:lang w:eastAsia="zh-CN"/>
              </w:rPr>
            </w:pPr>
          </w:p>
          <w:p>
            <w:pPr>
              <w:pStyle w:val="216"/>
              <w:ind w:left="18"/>
              <w:jc w:val="center"/>
              <w:rPr>
                <w:sz w:val="21"/>
              </w:rPr>
            </w:pPr>
            <w:r>
              <w:rPr>
                <w:w w:val="99"/>
                <w:sz w:val="21"/>
              </w:rPr>
              <w:t>2</w:t>
            </w:r>
          </w:p>
        </w:tc>
        <w:tc>
          <w:tcPr>
            <w:tcW w:w="1239" w:type="dxa"/>
          </w:tcPr>
          <w:p>
            <w:pPr>
              <w:pStyle w:val="216"/>
              <w:rPr>
                <w:sz w:val="20"/>
              </w:rPr>
            </w:pPr>
          </w:p>
          <w:p>
            <w:pPr>
              <w:pStyle w:val="216"/>
              <w:rPr>
                <w:sz w:val="20"/>
              </w:rPr>
            </w:pPr>
          </w:p>
          <w:p>
            <w:pPr>
              <w:pStyle w:val="216"/>
              <w:spacing w:before="149" w:line="321" w:lineRule="auto"/>
              <w:ind w:left="108" w:right="271"/>
              <w:rPr>
                <w:sz w:val="21"/>
              </w:rPr>
            </w:pPr>
            <w:r>
              <w:rPr>
                <w:spacing w:val="-2"/>
                <w:sz w:val="21"/>
              </w:rPr>
              <w:t>触摸显示</w:t>
            </w:r>
            <w:r>
              <w:rPr>
                <w:sz w:val="21"/>
              </w:rPr>
              <w:t>器</w:t>
            </w:r>
          </w:p>
        </w:tc>
        <w:tc>
          <w:tcPr>
            <w:tcW w:w="2919" w:type="dxa"/>
          </w:tcPr>
          <w:p>
            <w:pPr>
              <w:pStyle w:val="216"/>
              <w:rPr>
                <w:sz w:val="20"/>
                <w:lang w:eastAsia="zh-CN"/>
              </w:rPr>
            </w:pPr>
          </w:p>
          <w:p>
            <w:pPr>
              <w:pStyle w:val="216"/>
              <w:spacing w:before="7"/>
              <w:rPr>
                <w:sz w:val="17"/>
                <w:lang w:eastAsia="zh-CN"/>
              </w:rPr>
            </w:pPr>
          </w:p>
          <w:p>
            <w:pPr>
              <w:pStyle w:val="216"/>
              <w:spacing w:line="321" w:lineRule="auto"/>
              <w:ind w:left="107" w:right="1005"/>
              <w:rPr>
                <w:sz w:val="21"/>
                <w:lang w:eastAsia="zh-CN"/>
              </w:rPr>
            </w:pPr>
            <w:r>
              <w:rPr>
                <w:w w:val="95"/>
                <w:sz w:val="21"/>
                <w:lang w:eastAsia="zh-CN"/>
              </w:rPr>
              <w:t>19</w:t>
            </w:r>
            <w:r>
              <w:rPr>
                <w:spacing w:val="-3"/>
                <w:w w:val="95"/>
                <w:sz w:val="21"/>
                <w:lang w:eastAsia="zh-CN"/>
              </w:rPr>
              <w:t xml:space="preserve"> 英寸电容触摸屏</w:t>
            </w:r>
            <w:r>
              <w:rPr>
                <w:spacing w:val="-1"/>
                <w:sz w:val="21"/>
                <w:lang w:eastAsia="zh-CN"/>
              </w:rPr>
              <w:t>分辨率：1280*1024</w:t>
            </w:r>
          </w:p>
          <w:p>
            <w:pPr>
              <w:pStyle w:val="216"/>
              <w:spacing w:line="268" w:lineRule="exact"/>
              <w:ind w:left="107"/>
              <w:rPr>
                <w:sz w:val="21"/>
              </w:rPr>
            </w:pPr>
            <w:r>
              <w:rPr>
                <w:spacing w:val="-5"/>
                <w:w w:val="95"/>
                <w:sz w:val="21"/>
              </w:rPr>
              <w:t xml:space="preserve">触摸分辨率 </w:t>
            </w:r>
            <w:r>
              <w:rPr>
                <w:w w:val="95"/>
                <w:sz w:val="21"/>
              </w:rPr>
              <w:t>4096*4096</w:t>
            </w:r>
          </w:p>
        </w:tc>
        <w:tc>
          <w:tcPr>
            <w:tcW w:w="3509" w:type="dxa"/>
          </w:tcPr>
          <w:p>
            <w:pPr>
              <w:pStyle w:val="216"/>
              <w:spacing w:before="90" w:line="321" w:lineRule="auto"/>
              <w:ind w:left="106" w:right="125"/>
              <w:rPr>
                <w:sz w:val="21"/>
                <w:lang w:eastAsia="zh-CN"/>
              </w:rPr>
            </w:pPr>
            <w:r>
              <w:rPr>
                <w:w w:val="95"/>
                <w:sz w:val="21"/>
                <w:lang w:eastAsia="zh-CN"/>
              </w:rPr>
              <w:t>1、显示屏，显示清晰，支持多点触</w:t>
            </w:r>
            <w:r>
              <w:rPr>
                <w:sz w:val="21"/>
                <w:lang w:eastAsia="zh-CN"/>
              </w:rPr>
              <w:t>摸，便于操作；</w:t>
            </w:r>
          </w:p>
          <w:p>
            <w:pPr>
              <w:pStyle w:val="216"/>
              <w:spacing w:line="321" w:lineRule="auto"/>
              <w:ind w:left="106" w:right="125"/>
              <w:rPr>
                <w:sz w:val="21"/>
                <w:lang w:eastAsia="zh-CN"/>
              </w:rPr>
            </w:pPr>
            <w:r>
              <w:rPr>
                <w:w w:val="95"/>
                <w:sz w:val="21"/>
                <w:lang w:eastAsia="zh-CN"/>
              </w:rPr>
              <w:t>2、响应速度快，提供完美的人机交</w:t>
            </w:r>
            <w:r>
              <w:rPr>
                <w:sz w:val="21"/>
                <w:lang w:eastAsia="zh-CN"/>
              </w:rPr>
              <w:t>互体验。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0" w:hRule="atLeast"/>
          <w:jc w:val="center"/>
        </w:trPr>
        <w:tc>
          <w:tcPr>
            <w:tcW w:w="686" w:type="dxa"/>
          </w:tcPr>
          <w:p>
            <w:pPr>
              <w:pStyle w:val="216"/>
              <w:rPr>
                <w:sz w:val="20"/>
                <w:lang w:eastAsia="zh-CN"/>
              </w:rPr>
            </w:pPr>
          </w:p>
          <w:p>
            <w:pPr>
              <w:pStyle w:val="216"/>
              <w:rPr>
                <w:sz w:val="15"/>
                <w:lang w:eastAsia="zh-CN"/>
              </w:rPr>
            </w:pPr>
          </w:p>
          <w:p>
            <w:pPr>
              <w:pStyle w:val="216"/>
              <w:ind w:left="18"/>
              <w:jc w:val="center"/>
              <w:rPr>
                <w:sz w:val="21"/>
              </w:rPr>
            </w:pPr>
            <w:r>
              <w:rPr>
                <w:w w:val="99"/>
                <w:sz w:val="21"/>
              </w:rPr>
              <w:t>3</w:t>
            </w:r>
          </w:p>
        </w:tc>
        <w:tc>
          <w:tcPr>
            <w:tcW w:w="1239" w:type="dxa"/>
          </w:tcPr>
          <w:p>
            <w:pPr>
              <w:pStyle w:val="216"/>
              <w:spacing w:before="12"/>
              <w:rPr>
                <w:sz w:val="20"/>
              </w:rPr>
            </w:pPr>
          </w:p>
          <w:p>
            <w:pPr>
              <w:pStyle w:val="216"/>
              <w:spacing w:line="321" w:lineRule="auto"/>
              <w:ind w:left="108" w:right="271"/>
              <w:rPr>
                <w:sz w:val="21"/>
              </w:rPr>
            </w:pPr>
            <w:r>
              <w:rPr>
                <w:spacing w:val="-2"/>
                <w:sz w:val="21"/>
              </w:rPr>
              <w:t>条码阅读</w:t>
            </w:r>
            <w:r>
              <w:rPr>
                <w:sz w:val="21"/>
              </w:rPr>
              <w:t>器</w:t>
            </w:r>
          </w:p>
        </w:tc>
        <w:tc>
          <w:tcPr>
            <w:tcW w:w="2919" w:type="dxa"/>
          </w:tcPr>
          <w:p>
            <w:pPr>
              <w:pStyle w:val="216"/>
              <w:spacing w:before="12"/>
              <w:rPr>
                <w:sz w:val="20"/>
                <w:lang w:eastAsia="zh-CN"/>
              </w:rPr>
            </w:pPr>
          </w:p>
          <w:p>
            <w:pPr>
              <w:pStyle w:val="216"/>
              <w:spacing w:line="321" w:lineRule="auto"/>
              <w:ind w:left="107" w:right="87"/>
              <w:rPr>
                <w:sz w:val="21"/>
                <w:lang w:eastAsia="zh-CN"/>
              </w:rPr>
            </w:pPr>
            <w:r>
              <w:rPr>
                <w:w w:val="95"/>
                <w:sz w:val="21"/>
                <w:lang w:eastAsia="zh-CN"/>
              </w:rPr>
              <w:t>1</w:t>
            </w:r>
            <w:r>
              <w:rPr>
                <w:spacing w:val="-6"/>
                <w:w w:val="95"/>
                <w:sz w:val="21"/>
                <w:lang w:eastAsia="zh-CN"/>
              </w:rPr>
              <w:t xml:space="preserve">．支持 </w:t>
            </w:r>
            <w:r>
              <w:rPr>
                <w:w w:val="95"/>
                <w:sz w:val="21"/>
                <w:lang w:eastAsia="zh-CN"/>
              </w:rPr>
              <w:t>1D、PDF</w:t>
            </w:r>
            <w:r>
              <w:rPr>
                <w:spacing w:val="-21"/>
                <w:w w:val="95"/>
                <w:sz w:val="21"/>
                <w:lang w:eastAsia="zh-CN"/>
              </w:rPr>
              <w:t xml:space="preserve"> 和 </w:t>
            </w:r>
            <w:r>
              <w:rPr>
                <w:w w:val="95"/>
                <w:sz w:val="21"/>
                <w:lang w:eastAsia="zh-CN"/>
              </w:rPr>
              <w:t>2D</w:t>
            </w:r>
            <w:r>
              <w:rPr>
                <w:spacing w:val="-8"/>
                <w:w w:val="95"/>
                <w:sz w:val="21"/>
                <w:lang w:eastAsia="zh-CN"/>
              </w:rPr>
              <w:t xml:space="preserve"> 条码读</w:t>
            </w:r>
            <w:r>
              <w:rPr>
                <w:sz w:val="21"/>
                <w:lang w:eastAsia="zh-CN"/>
              </w:rPr>
              <w:t>取</w:t>
            </w:r>
          </w:p>
        </w:tc>
        <w:tc>
          <w:tcPr>
            <w:tcW w:w="3509" w:type="dxa"/>
          </w:tcPr>
          <w:p>
            <w:pPr>
              <w:pStyle w:val="216"/>
              <w:spacing w:before="88"/>
              <w:ind w:left="106" w:right="-29"/>
              <w:rPr>
                <w:sz w:val="21"/>
                <w:lang w:eastAsia="zh-CN"/>
              </w:rPr>
            </w:pPr>
            <w:r>
              <w:rPr>
                <w:w w:val="95"/>
                <w:sz w:val="21"/>
                <w:lang w:eastAsia="zh-CN"/>
              </w:rPr>
              <w:t>1、条码扫码，信息录入，高效便捷；</w:t>
            </w:r>
          </w:p>
          <w:p>
            <w:pPr>
              <w:pStyle w:val="216"/>
              <w:spacing w:line="360" w:lineRule="atLeast"/>
              <w:ind w:left="106" w:right="125"/>
              <w:rPr>
                <w:sz w:val="21"/>
                <w:lang w:eastAsia="zh-CN"/>
              </w:rPr>
            </w:pPr>
            <w:r>
              <w:rPr>
                <w:w w:val="95"/>
                <w:sz w:val="21"/>
                <w:lang w:eastAsia="zh-CN"/>
              </w:rPr>
              <w:t>2、快速识别，手机屏幕识别兼容性</w:t>
            </w:r>
            <w:r>
              <w:rPr>
                <w:sz w:val="21"/>
                <w:lang w:eastAsia="zh-CN"/>
              </w:rPr>
              <w:t>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PrEx>
        <w:trPr>
          <w:trHeight w:val="931" w:hRule="atLeast"/>
          <w:jc w:val="center"/>
        </w:trPr>
        <w:tc>
          <w:tcPr>
            <w:tcW w:w="686" w:type="dxa"/>
          </w:tcPr>
          <w:p>
            <w:pPr>
              <w:pStyle w:val="216"/>
              <w:spacing w:before="2"/>
              <w:rPr>
                <w:sz w:val="29"/>
                <w:lang w:eastAsia="zh-CN"/>
              </w:rPr>
            </w:pPr>
          </w:p>
          <w:p>
            <w:pPr>
              <w:pStyle w:val="216"/>
              <w:ind w:left="18"/>
              <w:jc w:val="center"/>
              <w:rPr>
                <w:sz w:val="21"/>
              </w:rPr>
            </w:pPr>
            <w:r>
              <w:rPr>
                <w:w w:val="99"/>
                <w:sz w:val="21"/>
              </w:rPr>
              <w:t>4</w:t>
            </w:r>
          </w:p>
        </w:tc>
        <w:tc>
          <w:tcPr>
            <w:tcW w:w="1239" w:type="dxa"/>
          </w:tcPr>
          <w:p>
            <w:pPr>
              <w:pStyle w:val="216"/>
              <w:spacing w:before="102" w:line="360" w:lineRule="atLeast"/>
              <w:ind w:left="108" w:right="271"/>
              <w:rPr>
                <w:sz w:val="21"/>
              </w:rPr>
            </w:pPr>
            <w:r>
              <w:rPr>
                <w:spacing w:val="-2"/>
                <w:sz w:val="21"/>
              </w:rPr>
              <w:t>就诊卡读</w:t>
            </w:r>
            <w:r>
              <w:rPr>
                <w:sz w:val="21"/>
              </w:rPr>
              <w:t>卡器</w:t>
            </w:r>
          </w:p>
        </w:tc>
        <w:tc>
          <w:tcPr>
            <w:tcW w:w="2919" w:type="dxa"/>
          </w:tcPr>
          <w:p>
            <w:pPr>
              <w:pStyle w:val="216"/>
              <w:spacing w:before="2"/>
              <w:rPr>
                <w:sz w:val="29"/>
              </w:rPr>
            </w:pPr>
          </w:p>
          <w:p>
            <w:pPr>
              <w:pStyle w:val="216"/>
              <w:ind w:left="107"/>
              <w:rPr>
                <w:sz w:val="21"/>
              </w:rPr>
            </w:pPr>
            <w:r>
              <w:rPr>
                <w:sz w:val="21"/>
              </w:rPr>
              <w:t>支持就诊卡读取</w:t>
            </w:r>
          </w:p>
        </w:tc>
        <w:tc>
          <w:tcPr>
            <w:tcW w:w="3509" w:type="dxa"/>
          </w:tcPr>
          <w:p>
            <w:pPr>
              <w:pStyle w:val="216"/>
              <w:spacing w:before="90"/>
              <w:ind w:left="106"/>
              <w:rPr>
                <w:sz w:val="21"/>
                <w:lang w:eastAsia="zh-CN"/>
              </w:rPr>
            </w:pPr>
            <w:r>
              <w:rPr>
                <w:sz w:val="21"/>
                <w:lang w:eastAsia="zh-CN"/>
              </w:rPr>
              <w:t>1、就诊卡信息快速读取。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28" w:hRule="atLeast"/>
          <w:jc w:val="center"/>
        </w:trPr>
        <w:tc>
          <w:tcPr>
            <w:tcW w:w="686" w:type="dxa"/>
          </w:tcPr>
          <w:p>
            <w:pPr>
              <w:pStyle w:val="216"/>
              <w:spacing w:before="3"/>
              <w:rPr>
                <w:sz w:val="29"/>
                <w:lang w:eastAsia="zh-CN"/>
              </w:rPr>
            </w:pPr>
          </w:p>
          <w:p>
            <w:pPr>
              <w:pStyle w:val="216"/>
              <w:spacing w:before="1"/>
              <w:ind w:left="18"/>
              <w:jc w:val="center"/>
              <w:rPr>
                <w:sz w:val="21"/>
              </w:rPr>
            </w:pPr>
            <w:r>
              <w:rPr>
                <w:w w:val="99"/>
                <w:sz w:val="21"/>
              </w:rPr>
              <w:t>5</w:t>
            </w:r>
          </w:p>
        </w:tc>
        <w:tc>
          <w:tcPr>
            <w:tcW w:w="1239" w:type="dxa"/>
          </w:tcPr>
          <w:p>
            <w:pPr>
              <w:pStyle w:val="216"/>
              <w:spacing w:before="104" w:line="360" w:lineRule="atLeast"/>
              <w:ind w:left="108" w:right="271"/>
              <w:rPr>
                <w:sz w:val="21"/>
              </w:rPr>
            </w:pPr>
            <w:r>
              <w:rPr>
                <w:spacing w:val="-2"/>
                <w:sz w:val="21"/>
              </w:rPr>
              <w:t>社保卡读</w:t>
            </w:r>
            <w:r>
              <w:rPr>
                <w:sz w:val="21"/>
              </w:rPr>
              <w:t>卡器</w:t>
            </w:r>
          </w:p>
        </w:tc>
        <w:tc>
          <w:tcPr>
            <w:tcW w:w="2919" w:type="dxa"/>
          </w:tcPr>
          <w:p>
            <w:pPr>
              <w:pStyle w:val="216"/>
              <w:spacing w:before="3"/>
              <w:rPr>
                <w:sz w:val="29"/>
              </w:rPr>
            </w:pPr>
          </w:p>
          <w:p>
            <w:pPr>
              <w:pStyle w:val="216"/>
              <w:spacing w:before="1"/>
              <w:ind w:left="107"/>
              <w:rPr>
                <w:sz w:val="21"/>
              </w:rPr>
            </w:pPr>
            <w:r>
              <w:rPr>
                <w:sz w:val="21"/>
              </w:rPr>
              <w:t>支持社保卡读取</w:t>
            </w:r>
          </w:p>
        </w:tc>
        <w:tc>
          <w:tcPr>
            <w:tcW w:w="3509" w:type="dxa"/>
          </w:tcPr>
          <w:p>
            <w:pPr>
              <w:pStyle w:val="216"/>
              <w:spacing w:before="89"/>
              <w:ind w:left="106"/>
              <w:rPr>
                <w:sz w:val="21"/>
                <w:lang w:eastAsia="zh-CN"/>
              </w:rPr>
            </w:pPr>
            <w:r>
              <w:rPr>
                <w:sz w:val="21"/>
                <w:lang w:eastAsia="zh-CN"/>
              </w:rPr>
              <w:t>1、社保卡信息快速读取。</w:t>
            </w:r>
          </w:p>
        </w:tc>
      </w:tr>
    </w:tbl>
    <w:p/>
    <w:bookmarkEnd w:id="122"/>
    <w:p>
      <w:pPr>
        <w:pStyle w:val="54"/>
        <w:numPr>
          <w:ilvl w:val="1"/>
          <w:numId w:val="6"/>
        </w:numPr>
      </w:pPr>
      <w:r>
        <w:rPr>
          <w:rFonts w:hint="eastAsia"/>
        </w:rPr>
        <w:t>其他需求</w:t>
      </w:r>
    </w:p>
    <w:p>
      <w:pPr>
        <w:pStyle w:val="55"/>
        <w:numPr>
          <w:ilvl w:val="2"/>
          <w:numId w:val="7"/>
        </w:numPr>
        <w:tabs>
          <w:tab w:val="left" w:pos="360"/>
        </w:tabs>
        <w:ind w:left="0" w:firstLine="0"/>
      </w:pPr>
      <w:r>
        <w:rPr>
          <w:rFonts w:hint="eastAsia"/>
        </w:rPr>
        <w:t>性能需求</w:t>
      </w:r>
    </w:p>
    <w:p>
      <w:pPr>
        <w:pStyle w:val="53"/>
        <w:spacing w:after="156" w:afterLines="50" w:line="360" w:lineRule="auto"/>
        <w:ind w:firstLine="480" w:firstLineChars="200"/>
        <w:rPr>
          <w:rFonts w:ascii="Arial" w:hAnsi="Arial" w:eastAsia="仿宋_GB2312"/>
          <w:sz w:val="24"/>
        </w:rPr>
      </w:pPr>
      <w:r>
        <w:rPr>
          <w:rFonts w:hint="eastAsia" w:ascii="Arial" w:hAnsi="Arial" w:eastAsia="仿宋_GB2312"/>
          <w:sz w:val="24"/>
        </w:rPr>
        <w:t>（</w:t>
      </w:r>
      <w:r>
        <w:rPr>
          <w:rFonts w:ascii="Arial" w:hAnsi="Arial" w:eastAsia="仿宋_GB2312"/>
          <w:sz w:val="24"/>
        </w:rPr>
        <w:t>1）系统的响应时间迅速，必须保证系统使用的高效性，系统能够支持500并发用户数以上，系统的日签发能力 20000 张以上。</w:t>
      </w:r>
    </w:p>
    <w:p>
      <w:pPr>
        <w:pStyle w:val="53"/>
        <w:spacing w:after="156" w:afterLines="50" w:line="360" w:lineRule="auto"/>
        <w:ind w:firstLine="480" w:firstLineChars="200"/>
        <w:rPr>
          <w:rFonts w:ascii="Arial" w:hAnsi="Arial" w:eastAsia="仿宋_GB2312"/>
          <w:sz w:val="24"/>
        </w:rPr>
      </w:pPr>
      <w:r>
        <w:rPr>
          <w:rFonts w:hint="eastAsia" w:ascii="Arial" w:hAnsi="Arial" w:eastAsia="仿宋_GB2312"/>
          <w:sz w:val="24"/>
        </w:rPr>
        <w:t>（</w:t>
      </w:r>
      <w:r>
        <w:rPr>
          <w:rFonts w:ascii="Arial" w:hAnsi="Arial" w:eastAsia="仿宋_GB2312"/>
          <w:sz w:val="24"/>
        </w:rPr>
        <w:t>2）系统为其他软件开发提供开放的数据接口，满足数据的共享和交换要求。</w:t>
      </w:r>
    </w:p>
    <w:p>
      <w:pPr>
        <w:pStyle w:val="53"/>
        <w:spacing w:after="156" w:afterLines="50" w:line="360" w:lineRule="auto"/>
        <w:ind w:firstLine="480" w:firstLineChars="200"/>
        <w:rPr>
          <w:rFonts w:ascii="Arial" w:hAnsi="Arial" w:eastAsia="仿宋_GB2312"/>
          <w:sz w:val="24"/>
        </w:rPr>
      </w:pPr>
      <w:r>
        <w:rPr>
          <w:rFonts w:hint="eastAsia" w:ascii="Arial" w:hAnsi="Arial" w:eastAsia="仿宋_GB2312"/>
          <w:sz w:val="24"/>
        </w:rPr>
        <w:t>（</w:t>
      </w:r>
      <w:r>
        <w:rPr>
          <w:rFonts w:ascii="Arial" w:hAnsi="Arial" w:eastAsia="仿宋_GB2312"/>
          <w:sz w:val="24"/>
        </w:rPr>
        <w:t>3）系统平均年故障时间少于5天；具有较强的灾难恢复能力，平均故障修复时间少于24 小时。</w:t>
      </w:r>
    </w:p>
    <w:p>
      <w:pPr>
        <w:pStyle w:val="53"/>
        <w:spacing w:after="156" w:afterLines="50" w:line="360" w:lineRule="auto"/>
        <w:ind w:firstLine="480" w:firstLineChars="200"/>
        <w:rPr>
          <w:rFonts w:ascii="Arial" w:hAnsi="Arial" w:eastAsia="仿宋_GB2312"/>
          <w:sz w:val="24"/>
        </w:rPr>
      </w:pPr>
      <w:r>
        <w:rPr>
          <w:rFonts w:hint="eastAsia" w:ascii="Arial" w:hAnsi="Arial" w:eastAsia="仿宋_GB2312"/>
          <w:sz w:val="24"/>
        </w:rPr>
        <w:t>（</w:t>
      </w:r>
      <w:r>
        <w:rPr>
          <w:rFonts w:ascii="Arial" w:hAnsi="Arial" w:eastAsia="仿宋_GB2312"/>
          <w:sz w:val="24"/>
        </w:rPr>
        <w:t>4）90%界面切换响应时间≤5s，其余≤10s。</w:t>
      </w:r>
    </w:p>
    <w:p>
      <w:pPr>
        <w:pStyle w:val="53"/>
        <w:spacing w:after="156" w:afterLines="50" w:line="360" w:lineRule="auto"/>
        <w:ind w:firstLine="480" w:firstLineChars="200"/>
        <w:rPr>
          <w:rFonts w:ascii="Arial" w:hAnsi="Arial" w:eastAsia="仿宋_GB2312"/>
          <w:sz w:val="24"/>
        </w:rPr>
      </w:pPr>
      <w:r>
        <w:rPr>
          <w:rFonts w:hint="eastAsia" w:ascii="Arial" w:hAnsi="Arial" w:eastAsia="仿宋_GB2312"/>
          <w:sz w:val="24"/>
        </w:rPr>
        <w:t>（</w:t>
      </w:r>
      <w:r>
        <w:rPr>
          <w:rFonts w:ascii="Arial" w:hAnsi="Arial" w:eastAsia="仿宋_GB2312"/>
          <w:sz w:val="24"/>
        </w:rPr>
        <w:t>5）系统提供其他系统能兼容的、完备的数据输入、输出接口。</w:t>
      </w:r>
    </w:p>
    <w:p>
      <w:pPr>
        <w:pStyle w:val="53"/>
        <w:spacing w:after="156" w:afterLines="50" w:line="360" w:lineRule="auto"/>
        <w:ind w:firstLine="480" w:firstLineChars="200"/>
        <w:rPr>
          <w:rFonts w:ascii="Arial" w:hAnsi="Arial" w:eastAsia="仿宋_GB2312"/>
          <w:sz w:val="24"/>
        </w:rPr>
      </w:pPr>
      <w:r>
        <w:rPr>
          <w:rFonts w:hint="eastAsia" w:ascii="Arial" w:hAnsi="Arial" w:eastAsia="仿宋_GB2312"/>
          <w:sz w:val="24"/>
        </w:rPr>
        <w:t>（</w:t>
      </w:r>
      <w:r>
        <w:rPr>
          <w:rFonts w:ascii="Arial" w:hAnsi="Arial" w:eastAsia="仿宋_GB2312"/>
          <w:sz w:val="24"/>
        </w:rPr>
        <w:t>6）保证数据和系统的安全性。提供管理员身份认证机制、数据加密机制。</w:t>
      </w:r>
    </w:p>
    <w:p>
      <w:pPr>
        <w:pStyle w:val="53"/>
        <w:spacing w:after="156" w:afterLines="50" w:line="360" w:lineRule="auto"/>
        <w:ind w:firstLine="480" w:firstLineChars="200"/>
        <w:rPr>
          <w:rFonts w:ascii="Arial" w:hAnsi="Arial" w:eastAsia="仿宋_GB2312"/>
          <w:sz w:val="24"/>
        </w:rPr>
      </w:pPr>
      <w:r>
        <w:rPr>
          <w:rFonts w:hint="eastAsia" w:ascii="Arial" w:hAnsi="Arial" w:eastAsia="仿宋_GB2312"/>
          <w:sz w:val="24"/>
        </w:rPr>
        <w:t>（</w:t>
      </w:r>
      <w:r>
        <w:rPr>
          <w:rFonts w:ascii="Arial" w:hAnsi="Arial" w:eastAsia="仿宋_GB2312"/>
          <w:sz w:val="24"/>
        </w:rPr>
        <w:t>7）系统管理模块进行数据备份、日志等管理、维护。对系统所涉及到的各项应用及管理必须是可管理和维护的。</w:t>
      </w:r>
    </w:p>
    <w:p>
      <w:pPr>
        <w:pStyle w:val="53"/>
        <w:spacing w:after="156" w:afterLines="50" w:line="360" w:lineRule="auto"/>
        <w:ind w:firstLine="480" w:firstLineChars="200"/>
        <w:rPr>
          <w:rFonts w:ascii="Arial" w:hAnsi="Arial" w:eastAsia="仿宋_GB2312"/>
          <w:sz w:val="24"/>
        </w:rPr>
      </w:pPr>
      <w:r>
        <w:rPr>
          <w:rFonts w:hint="eastAsia" w:ascii="Arial" w:hAnsi="Arial" w:eastAsia="仿宋_GB2312"/>
          <w:sz w:val="24"/>
        </w:rPr>
        <w:t>（</w:t>
      </w:r>
      <w:r>
        <w:rPr>
          <w:rFonts w:ascii="Arial" w:hAnsi="Arial" w:eastAsia="仿宋_GB2312"/>
          <w:sz w:val="24"/>
        </w:rPr>
        <w:t>8）考虑到系统建设是一个循序渐进、不断扩充的过程,系统要采用积木式结构,组件化设计，整体构架要考虑系统间的无缝连接,为今后系统扩展和集成留有扩充余量。</w:t>
      </w:r>
    </w:p>
    <w:p>
      <w:pPr>
        <w:pStyle w:val="55"/>
        <w:numPr>
          <w:ilvl w:val="2"/>
          <w:numId w:val="7"/>
        </w:numPr>
        <w:tabs>
          <w:tab w:val="left" w:pos="360"/>
        </w:tabs>
        <w:ind w:left="0" w:firstLine="0"/>
      </w:pPr>
      <w:r>
        <w:rPr>
          <w:rFonts w:hint="eastAsia"/>
        </w:rPr>
        <w:t>安全需求</w:t>
      </w:r>
    </w:p>
    <w:p>
      <w:pPr>
        <w:pStyle w:val="53"/>
        <w:spacing w:after="156" w:afterLines="50" w:line="360" w:lineRule="auto"/>
        <w:ind w:firstLine="480" w:firstLineChars="200"/>
        <w:rPr>
          <w:rFonts w:ascii="Arial" w:hAnsi="Arial" w:eastAsia="仿宋_GB2312"/>
          <w:sz w:val="24"/>
        </w:rPr>
      </w:pPr>
      <w:r>
        <w:rPr>
          <w:rFonts w:hint="eastAsia" w:ascii="Arial" w:hAnsi="Arial" w:eastAsia="仿宋_GB2312"/>
          <w:sz w:val="24"/>
        </w:rPr>
        <w:t>按照国家《信息系统安全等级保护定级指南》（</w:t>
      </w:r>
      <w:r>
        <w:rPr>
          <w:rFonts w:ascii="Arial" w:hAnsi="Arial" w:eastAsia="仿宋_GB2312"/>
          <w:sz w:val="24"/>
        </w:rPr>
        <w:t>GBT 22240-2008）、《信息系统安全等级保护基本要求》（GB/T 22239-2008）等管理规范和标准要求，建设符合第三等级要求的财政电子票据管理体系和安全保障制度，从系统、数据、管理等多个维度构建安全体系，消除系统漏洞，杜绝安全隐患。</w:t>
      </w:r>
    </w:p>
    <w:p/>
    <w:p>
      <w:pPr>
        <w:pStyle w:val="2"/>
      </w:pPr>
      <w:r>
        <w:rPr>
          <w:rFonts w:hint="eastAsia"/>
        </w:rPr>
        <w:t xml:space="preserve"> 服务要求</w:t>
      </w:r>
    </w:p>
    <w:p>
      <w:pPr>
        <w:rPr>
          <w:lang w:bidi="ar"/>
        </w:rPr>
      </w:pPr>
    </w:p>
    <w:p>
      <w:pPr>
        <w:pStyle w:val="54"/>
        <w:numPr>
          <w:ilvl w:val="1"/>
          <w:numId w:val="6"/>
        </w:numPr>
      </w:pPr>
      <w:bookmarkStart w:id="140" w:name="_Toc78616691"/>
      <w:r>
        <w:rPr>
          <w:rFonts w:hint="eastAsia"/>
        </w:rPr>
        <w:t>验收要求</w:t>
      </w:r>
    </w:p>
    <w:p>
      <w:pPr>
        <w:pStyle w:val="21"/>
        <w:spacing w:line="360" w:lineRule="auto"/>
        <w:ind w:firstLine="480" w:firstLineChars="200"/>
        <w:rPr>
          <w:rFonts w:ascii="仿宋_GB2312" w:hAnsi="仿宋_GB2312" w:eastAsia="仿宋_GB2312"/>
          <w:kern w:val="0"/>
          <w:szCs w:val="28"/>
        </w:rPr>
      </w:pPr>
      <w:r>
        <w:rPr>
          <w:rFonts w:hint="eastAsia" w:ascii="仿宋_GB2312" w:hAnsi="仿宋_GB2312" w:eastAsia="仿宋_GB2312"/>
          <w:kern w:val="0"/>
          <w:szCs w:val="28"/>
        </w:rPr>
        <w:t>本项目验收采用专家和用户现场验收方式。验收前必须至少满足以下要求：</w:t>
      </w:r>
    </w:p>
    <w:p>
      <w:pPr>
        <w:pStyle w:val="21"/>
        <w:spacing w:line="360" w:lineRule="auto"/>
        <w:ind w:firstLine="480" w:firstLineChars="200"/>
        <w:rPr>
          <w:rFonts w:ascii="仿宋_GB2312" w:hAnsi="仿宋_GB2312" w:eastAsia="仿宋_GB2312"/>
          <w:kern w:val="0"/>
          <w:szCs w:val="28"/>
        </w:rPr>
      </w:pPr>
      <w:r>
        <w:rPr>
          <w:rFonts w:hint="eastAsia" w:ascii="仿宋_GB2312" w:hAnsi="仿宋_GB2312" w:eastAsia="仿宋_GB2312"/>
          <w:kern w:val="0"/>
          <w:szCs w:val="28"/>
        </w:rPr>
        <w:t>投标人应负责在项目验收时将系统的全部有关技术文件、资料、及安装、测试、验收报告等文档汇集成册交付用户方。</w:t>
      </w:r>
    </w:p>
    <w:p>
      <w:pPr>
        <w:pStyle w:val="21"/>
        <w:spacing w:line="360" w:lineRule="auto"/>
        <w:ind w:firstLine="480" w:firstLineChars="200"/>
        <w:rPr>
          <w:rFonts w:ascii="仿宋_GB2312" w:hAnsi="仿宋_GB2312" w:eastAsia="仿宋_GB2312"/>
          <w:kern w:val="0"/>
          <w:szCs w:val="28"/>
        </w:rPr>
      </w:pPr>
      <w:r>
        <w:rPr>
          <w:rFonts w:hint="eastAsia" w:ascii="仿宋_GB2312" w:hAnsi="仿宋_GB2312" w:eastAsia="仿宋_GB2312"/>
          <w:kern w:val="0"/>
          <w:szCs w:val="28"/>
        </w:rPr>
        <w:t>投标方须准备详细的软件相关技术文档、使用说明书、维护手册等文档资料。</w:t>
      </w:r>
    </w:p>
    <w:p>
      <w:pPr>
        <w:pStyle w:val="54"/>
        <w:numPr>
          <w:ilvl w:val="1"/>
          <w:numId w:val="6"/>
        </w:numPr>
      </w:pPr>
      <w:r>
        <w:rPr>
          <w:rFonts w:hint="eastAsia"/>
        </w:rPr>
        <w:t>售后服务要求</w:t>
      </w:r>
      <w:bookmarkEnd w:id="140"/>
    </w:p>
    <w:p>
      <w:pPr>
        <w:pStyle w:val="21"/>
        <w:spacing w:line="360" w:lineRule="auto"/>
        <w:ind w:left="480"/>
        <w:rPr>
          <w:rFonts w:ascii="仿宋_GB2312" w:hAnsi="仿宋_GB2312" w:eastAsia="仿宋_GB2312"/>
          <w:kern w:val="0"/>
          <w:szCs w:val="28"/>
        </w:rPr>
      </w:pPr>
      <w:r>
        <w:rPr>
          <w:rFonts w:hint="eastAsia" w:ascii="仿宋_GB2312" w:hAnsi="仿宋_GB2312" w:eastAsia="仿宋_GB2312"/>
          <w:kern w:val="0"/>
          <w:szCs w:val="28"/>
        </w:rPr>
        <w:t>自系统验收之日起，提供一年免费运维服务，具体服务内容如下：</w:t>
      </w:r>
    </w:p>
    <w:p>
      <w:pPr>
        <w:pStyle w:val="21"/>
        <w:spacing w:line="360" w:lineRule="auto"/>
        <w:ind w:firstLine="480" w:firstLineChars="200"/>
        <w:rPr>
          <w:rFonts w:ascii="仿宋_GB2312" w:hAnsi="仿宋_GB2312" w:eastAsia="仿宋_GB2312"/>
          <w:kern w:val="0"/>
          <w:szCs w:val="28"/>
        </w:rPr>
      </w:pPr>
      <w:r>
        <w:rPr>
          <w:rFonts w:hint="eastAsia" w:ascii="仿宋_GB2312" w:hAnsi="仿宋_GB2312" w:eastAsia="仿宋_GB2312"/>
          <w:kern w:val="0"/>
          <w:szCs w:val="28"/>
        </w:rPr>
        <w:t>1）保障电子票据系统在维护年度内正常运转，正常提供各项规定的服务功能。</w:t>
      </w:r>
    </w:p>
    <w:p>
      <w:pPr>
        <w:pStyle w:val="21"/>
        <w:spacing w:line="360" w:lineRule="auto"/>
        <w:ind w:firstLine="480" w:firstLineChars="200"/>
        <w:rPr>
          <w:rFonts w:ascii="仿宋_GB2312" w:hAnsi="仿宋_GB2312" w:eastAsia="仿宋_GB2312"/>
          <w:kern w:val="0"/>
          <w:szCs w:val="28"/>
        </w:rPr>
      </w:pPr>
      <w:r>
        <w:rPr>
          <w:rFonts w:hint="eastAsia" w:ascii="仿宋_GB2312" w:hAnsi="仿宋_GB2312" w:eastAsia="仿宋_GB2312"/>
          <w:kern w:val="0"/>
          <w:szCs w:val="28"/>
        </w:rPr>
        <w:t>2：建立系统应急处理机制，遇到各类突发事件时采取有效的应急措施及时处理和解决问题。</w:t>
      </w:r>
    </w:p>
    <w:p>
      <w:pPr>
        <w:pStyle w:val="21"/>
        <w:spacing w:line="360" w:lineRule="auto"/>
        <w:ind w:firstLine="480" w:firstLineChars="200"/>
        <w:rPr>
          <w:rFonts w:ascii="仿宋_GB2312" w:hAnsi="仿宋_GB2312" w:eastAsia="仿宋_GB2312"/>
          <w:kern w:val="0"/>
          <w:szCs w:val="28"/>
        </w:rPr>
      </w:pPr>
      <w:r>
        <w:rPr>
          <w:rFonts w:hint="eastAsia" w:ascii="仿宋_GB2312" w:hAnsi="仿宋_GB2312" w:eastAsia="仿宋_GB2312"/>
          <w:kern w:val="0"/>
          <w:szCs w:val="28"/>
        </w:rPr>
        <w:t>3）按照财政部要求，根据电子票据改革工作进程，针对系统进行配套的日常性完善开发和升级。</w:t>
      </w:r>
    </w:p>
    <w:p>
      <w:pPr>
        <w:pStyle w:val="21"/>
        <w:spacing w:line="360" w:lineRule="auto"/>
        <w:ind w:firstLine="480" w:firstLineChars="200"/>
        <w:rPr>
          <w:rFonts w:ascii="仿宋_GB2312" w:hAnsi="仿宋_GB2312" w:eastAsia="仿宋_GB2312"/>
          <w:kern w:val="0"/>
          <w:szCs w:val="28"/>
        </w:rPr>
      </w:pPr>
      <w:r>
        <w:rPr>
          <w:rFonts w:hint="eastAsia" w:ascii="仿宋_GB2312" w:hAnsi="仿宋_GB2312" w:eastAsia="仿宋_GB2312"/>
          <w:kern w:val="0"/>
          <w:szCs w:val="28"/>
        </w:rPr>
        <w:t>4）保障电子票据系统在维护年度内的运行安全和数据安全。</w:t>
      </w:r>
    </w:p>
    <w:p>
      <w:pPr>
        <w:pStyle w:val="54"/>
        <w:numPr>
          <w:ilvl w:val="0"/>
          <w:numId w:val="0"/>
        </w:numPr>
        <w:rPr>
          <w:rFonts w:ascii="宋体" w:hAnsi="宋体" w:eastAsia="宋体" w:cstheme="minorBidi"/>
          <w:b w:val="0"/>
          <w:bCs/>
          <w:sz w:val="24"/>
          <w:szCs w:val="24"/>
          <w:lang w:bidi="ar"/>
        </w:rPr>
      </w:pPr>
      <w:bookmarkStart w:id="141" w:name="_Toc78616692"/>
      <w:r>
        <w:t>4.2售后服务的形式</w:t>
      </w:r>
      <w:bookmarkEnd w:id="141"/>
    </w:p>
    <w:p>
      <w:pPr>
        <w:spacing w:line="360" w:lineRule="auto"/>
        <w:rPr>
          <w:rFonts w:ascii="仿宋_GB2312" w:hAnsi="仿宋_GB2312" w:eastAsia="仿宋_GB2312" w:cs="Times New Roman"/>
          <w:kern w:val="0"/>
          <w:sz w:val="24"/>
          <w:szCs w:val="28"/>
        </w:rPr>
      </w:pPr>
      <w:r>
        <w:rPr>
          <w:rFonts w:hint="eastAsia" w:ascii="宋体" w:hAnsi="宋体" w:eastAsia="宋体"/>
          <w:sz w:val="24"/>
          <w:szCs w:val="24"/>
          <w:lang w:bidi="ar"/>
        </w:rPr>
        <w:t>（</w:t>
      </w:r>
      <w:r>
        <w:rPr>
          <w:rFonts w:ascii="宋体" w:hAnsi="宋体" w:eastAsia="宋体"/>
          <w:sz w:val="24"/>
          <w:szCs w:val="24"/>
          <w:lang w:bidi="ar"/>
        </w:rPr>
        <w:t>1）</w:t>
      </w:r>
      <w:r>
        <w:rPr>
          <w:rFonts w:ascii="宋体" w:hAnsi="宋体" w:eastAsia="宋体"/>
          <w:sz w:val="24"/>
          <w:szCs w:val="24"/>
          <w:lang w:bidi="ar"/>
        </w:rPr>
        <w:tab/>
      </w:r>
      <w:r>
        <w:rPr>
          <w:rFonts w:ascii="仿宋_GB2312" w:hAnsi="仿宋_GB2312" w:eastAsia="仿宋_GB2312" w:cs="Times New Roman"/>
          <w:kern w:val="0"/>
          <w:sz w:val="24"/>
          <w:szCs w:val="28"/>
        </w:rPr>
        <w:t>现场支持</w:t>
      </w:r>
    </w:p>
    <w:p>
      <w:pPr>
        <w:spacing w:line="360" w:lineRule="auto"/>
        <w:ind w:firstLine="480" w:firstLineChars="200"/>
        <w:rPr>
          <w:rFonts w:ascii="仿宋_GB2312" w:hAnsi="仿宋_GB2312" w:eastAsia="仿宋_GB2312" w:cs="Times New Roman"/>
          <w:kern w:val="0"/>
          <w:sz w:val="24"/>
          <w:szCs w:val="28"/>
        </w:rPr>
      </w:pPr>
      <w:r>
        <w:rPr>
          <w:rFonts w:hint="eastAsia" w:ascii="仿宋_GB2312" w:hAnsi="仿宋_GB2312" w:eastAsia="仿宋_GB2312" w:cs="Times New Roman"/>
          <w:kern w:val="0"/>
          <w:sz w:val="24"/>
          <w:szCs w:val="28"/>
        </w:rPr>
        <w:t>投标方应能提供现场支持服务，在招标人使用过程中需要进行上门现场服务时，进行支持服务。服务工程师</w:t>
      </w:r>
      <w:r>
        <w:rPr>
          <w:rFonts w:ascii="仿宋_GB2312" w:hAnsi="仿宋_GB2312" w:eastAsia="仿宋_GB2312" w:cs="Times New Roman"/>
          <w:kern w:val="0"/>
          <w:sz w:val="24"/>
          <w:szCs w:val="28"/>
        </w:rPr>
        <w:t>接受招标人统一管理。经过招标人确认后，无特殊原因不得随意更换，要保证人员的稳定性，更换人员需得到招标人确认。若不符合招标人要求，招标人有权利要求更换现场维护人员。</w:t>
      </w:r>
    </w:p>
    <w:p>
      <w:pPr>
        <w:spacing w:line="360" w:lineRule="auto"/>
        <w:rPr>
          <w:rFonts w:ascii="仿宋_GB2312" w:hAnsi="仿宋_GB2312" w:eastAsia="仿宋_GB2312" w:cs="Times New Roman"/>
          <w:kern w:val="0"/>
          <w:sz w:val="24"/>
          <w:szCs w:val="28"/>
        </w:rPr>
      </w:pPr>
      <w:r>
        <w:rPr>
          <w:rFonts w:hint="eastAsia" w:ascii="仿宋_GB2312" w:hAnsi="仿宋_GB2312" w:eastAsia="仿宋_GB2312" w:cs="Times New Roman"/>
          <w:kern w:val="0"/>
          <w:sz w:val="24"/>
          <w:szCs w:val="28"/>
        </w:rPr>
        <w:t>（</w:t>
      </w:r>
      <w:r>
        <w:rPr>
          <w:rFonts w:ascii="仿宋_GB2312" w:hAnsi="仿宋_GB2312" w:eastAsia="仿宋_GB2312" w:cs="Times New Roman"/>
          <w:kern w:val="0"/>
          <w:sz w:val="24"/>
          <w:szCs w:val="28"/>
        </w:rPr>
        <w:t>2）</w:t>
      </w:r>
      <w:r>
        <w:rPr>
          <w:rFonts w:ascii="仿宋_GB2312" w:hAnsi="仿宋_GB2312" w:eastAsia="仿宋_GB2312" w:cs="Times New Roman"/>
          <w:kern w:val="0"/>
          <w:sz w:val="24"/>
          <w:szCs w:val="28"/>
        </w:rPr>
        <w:tab/>
      </w:r>
      <w:r>
        <w:rPr>
          <w:rFonts w:ascii="仿宋_GB2312" w:hAnsi="仿宋_GB2312" w:eastAsia="仿宋_GB2312" w:cs="Times New Roman"/>
          <w:kern w:val="0"/>
          <w:sz w:val="24"/>
          <w:szCs w:val="28"/>
        </w:rPr>
        <w:t xml:space="preserve"> 远程服务</w:t>
      </w:r>
    </w:p>
    <w:p>
      <w:pPr>
        <w:spacing w:line="360" w:lineRule="auto"/>
        <w:ind w:firstLine="480" w:firstLineChars="200"/>
        <w:rPr>
          <w:rFonts w:ascii="仿宋_GB2312" w:hAnsi="仿宋_GB2312" w:eastAsia="仿宋_GB2312" w:cs="Times New Roman"/>
          <w:kern w:val="0"/>
          <w:sz w:val="24"/>
          <w:szCs w:val="28"/>
        </w:rPr>
      </w:pPr>
      <w:r>
        <w:rPr>
          <w:rFonts w:hint="eastAsia" w:ascii="仿宋_GB2312" w:hAnsi="仿宋_GB2312" w:eastAsia="仿宋_GB2312" w:cs="Times New Roman"/>
          <w:kern w:val="0"/>
          <w:sz w:val="24"/>
          <w:szCs w:val="28"/>
        </w:rPr>
        <w:t>招标人允许投标方在现场人员不能排除故障时，授权通过电话线或</w:t>
      </w:r>
      <w:r>
        <w:rPr>
          <w:rFonts w:ascii="仿宋_GB2312" w:hAnsi="仿宋_GB2312" w:eastAsia="仿宋_GB2312" w:cs="Times New Roman"/>
          <w:kern w:val="0"/>
          <w:sz w:val="24"/>
          <w:szCs w:val="28"/>
        </w:rPr>
        <w:t>VPN方式远程登录到招标人网络进行免费的故障诊断和故障排除；</w:t>
      </w:r>
    </w:p>
    <w:p>
      <w:pPr>
        <w:spacing w:line="360" w:lineRule="auto"/>
        <w:rPr>
          <w:rFonts w:ascii="仿宋_GB2312" w:hAnsi="仿宋_GB2312" w:eastAsia="仿宋_GB2312" w:cs="Times New Roman"/>
          <w:kern w:val="0"/>
          <w:sz w:val="24"/>
          <w:szCs w:val="28"/>
        </w:rPr>
      </w:pPr>
      <w:r>
        <w:rPr>
          <w:rFonts w:hint="eastAsia" w:ascii="仿宋_GB2312" w:hAnsi="仿宋_GB2312" w:eastAsia="仿宋_GB2312" w:cs="Times New Roman"/>
          <w:kern w:val="0"/>
          <w:sz w:val="24"/>
          <w:szCs w:val="28"/>
        </w:rPr>
        <w:t>（</w:t>
      </w:r>
      <w:r>
        <w:rPr>
          <w:rFonts w:ascii="仿宋_GB2312" w:hAnsi="仿宋_GB2312" w:eastAsia="仿宋_GB2312" w:cs="Times New Roman"/>
          <w:kern w:val="0"/>
          <w:sz w:val="24"/>
          <w:szCs w:val="28"/>
        </w:rPr>
        <w:t>3）</w:t>
      </w:r>
      <w:r>
        <w:rPr>
          <w:rFonts w:ascii="仿宋_GB2312" w:hAnsi="仿宋_GB2312" w:eastAsia="仿宋_GB2312" w:cs="Times New Roman"/>
          <w:kern w:val="0"/>
          <w:sz w:val="24"/>
          <w:szCs w:val="28"/>
        </w:rPr>
        <w:tab/>
      </w:r>
      <w:r>
        <w:rPr>
          <w:rFonts w:ascii="仿宋_GB2312" w:hAnsi="仿宋_GB2312" w:eastAsia="仿宋_GB2312" w:cs="Times New Roman"/>
          <w:kern w:val="0"/>
          <w:sz w:val="24"/>
          <w:szCs w:val="28"/>
        </w:rPr>
        <w:t>政策性维护</w:t>
      </w:r>
    </w:p>
    <w:p>
      <w:pPr>
        <w:spacing w:line="360" w:lineRule="auto"/>
        <w:ind w:firstLine="480" w:firstLineChars="200"/>
        <w:rPr>
          <w:rFonts w:ascii="仿宋_GB2312" w:hAnsi="仿宋_GB2312" w:eastAsia="仿宋_GB2312" w:cs="Times New Roman"/>
          <w:kern w:val="0"/>
          <w:sz w:val="24"/>
          <w:szCs w:val="28"/>
        </w:rPr>
      </w:pPr>
      <w:r>
        <w:rPr>
          <w:rFonts w:hint="eastAsia" w:ascii="仿宋_GB2312" w:hAnsi="仿宋_GB2312" w:eastAsia="仿宋_GB2312" w:cs="Times New Roman"/>
          <w:kern w:val="0"/>
          <w:sz w:val="24"/>
          <w:szCs w:val="28"/>
        </w:rPr>
        <w:t>今后因国家政策或政府、上级部门要求导致的被动性程序修改，投标方应及时提供程序修改服务，并确保系统的在政策要求的时限内正确运行，该费用包含在投标总价内，招标人不再另行支付相关费用。</w:t>
      </w:r>
    </w:p>
    <w:p>
      <w:pPr>
        <w:spacing w:line="360" w:lineRule="auto"/>
        <w:rPr>
          <w:rFonts w:ascii="仿宋_GB2312" w:hAnsi="仿宋_GB2312" w:eastAsia="仿宋_GB2312" w:cs="Times New Roman"/>
          <w:kern w:val="0"/>
          <w:sz w:val="24"/>
          <w:szCs w:val="28"/>
        </w:rPr>
      </w:pPr>
      <w:r>
        <w:rPr>
          <w:rFonts w:hint="eastAsia" w:ascii="仿宋_GB2312" w:hAnsi="仿宋_GB2312" w:eastAsia="仿宋_GB2312" w:cs="Times New Roman"/>
          <w:kern w:val="0"/>
          <w:sz w:val="24"/>
          <w:szCs w:val="28"/>
        </w:rPr>
        <w:t>（</w:t>
      </w:r>
      <w:r>
        <w:rPr>
          <w:rFonts w:ascii="仿宋_GB2312" w:hAnsi="仿宋_GB2312" w:eastAsia="仿宋_GB2312" w:cs="Times New Roman"/>
          <w:kern w:val="0"/>
          <w:sz w:val="24"/>
          <w:szCs w:val="28"/>
        </w:rPr>
        <w:t>4）</w:t>
      </w:r>
      <w:r>
        <w:rPr>
          <w:rFonts w:ascii="仿宋_GB2312" w:hAnsi="仿宋_GB2312" w:eastAsia="仿宋_GB2312" w:cs="Times New Roman"/>
          <w:kern w:val="0"/>
          <w:sz w:val="24"/>
          <w:szCs w:val="28"/>
        </w:rPr>
        <w:tab/>
      </w:r>
      <w:r>
        <w:rPr>
          <w:rFonts w:ascii="仿宋_GB2312" w:hAnsi="仿宋_GB2312" w:eastAsia="仿宋_GB2312" w:cs="Times New Roman"/>
          <w:kern w:val="0"/>
          <w:sz w:val="24"/>
          <w:szCs w:val="28"/>
        </w:rPr>
        <w:t>系统升级途径及费用</w:t>
      </w:r>
    </w:p>
    <w:p>
      <w:pPr>
        <w:spacing w:line="360" w:lineRule="auto"/>
        <w:ind w:firstLine="480" w:firstLineChars="200"/>
        <w:rPr>
          <w:rFonts w:ascii="仿宋_GB2312" w:hAnsi="仿宋_GB2312" w:eastAsia="仿宋_GB2312" w:cs="Times New Roman"/>
          <w:kern w:val="0"/>
          <w:sz w:val="24"/>
          <w:szCs w:val="28"/>
        </w:rPr>
      </w:pPr>
      <w:r>
        <w:rPr>
          <w:rFonts w:hint="eastAsia" w:ascii="仿宋_GB2312" w:hAnsi="仿宋_GB2312" w:eastAsia="仿宋_GB2312" w:cs="Times New Roman"/>
          <w:kern w:val="0"/>
          <w:sz w:val="24"/>
          <w:szCs w:val="28"/>
        </w:rPr>
        <w:t>投标方应承诺所投标的应用软件在维保期内免费升级，今后的升级费用包括在年维护费用内。</w:t>
      </w:r>
    </w:p>
    <w:p>
      <w:pPr>
        <w:pStyle w:val="54"/>
        <w:numPr>
          <w:ilvl w:val="0"/>
          <w:numId w:val="0"/>
        </w:numPr>
        <w:ind w:left="567" w:hanging="567"/>
      </w:pPr>
      <w:bookmarkStart w:id="142" w:name="_Toc78616693"/>
      <w:r>
        <w:rPr>
          <w:rFonts w:hint="eastAsia"/>
        </w:rPr>
        <w:t>4</w:t>
      </w:r>
      <w:r>
        <w:t>.3系统维保服务</w:t>
      </w:r>
      <w:bookmarkEnd w:id="142"/>
    </w:p>
    <w:p>
      <w:pPr>
        <w:spacing w:line="360" w:lineRule="auto"/>
        <w:ind w:firstLine="480" w:firstLineChars="200"/>
        <w:rPr>
          <w:rFonts w:ascii="仿宋_GB2312" w:hAnsi="仿宋_GB2312" w:eastAsia="仿宋_GB2312" w:cs="Times New Roman"/>
          <w:kern w:val="0"/>
          <w:sz w:val="24"/>
          <w:szCs w:val="28"/>
        </w:rPr>
      </w:pPr>
      <w:r>
        <w:rPr>
          <w:rFonts w:ascii="仿宋_GB2312" w:hAnsi="仿宋_GB2312" w:eastAsia="仿宋_GB2312" w:cs="Times New Roman"/>
          <w:kern w:val="0"/>
          <w:sz w:val="24"/>
          <w:szCs w:val="28"/>
        </w:rPr>
        <w:t>维保期内售后服务时间，工作日白天（8：00-17：00）故障响应时间不超过1小时，非工作日及夜间故障响应时间为不超过2小时。3小时到达现场，8小时内修复。维保期内对系统优化和常规安全检查：每月1次。</w:t>
      </w:r>
    </w:p>
    <w:p>
      <w:pPr>
        <w:pStyle w:val="54"/>
        <w:numPr>
          <w:ilvl w:val="0"/>
          <w:numId w:val="0"/>
        </w:numPr>
        <w:ind w:left="567" w:hanging="567"/>
      </w:pPr>
      <w:bookmarkStart w:id="143" w:name="_Toc78616694"/>
      <w:r>
        <w:t>4.4人员培训</w:t>
      </w:r>
      <w:bookmarkEnd w:id="143"/>
    </w:p>
    <w:p>
      <w:pPr>
        <w:tabs>
          <w:tab w:val="left" w:pos="720"/>
        </w:tabs>
        <w:spacing w:line="360" w:lineRule="auto"/>
        <w:ind w:firstLine="480" w:firstLineChars="200"/>
        <w:rPr>
          <w:rFonts w:ascii="仿宋_GB2312" w:hAnsi="仿宋_GB2312" w:eastAsia="仿宋_GB2312" w:cs="Times New Roman"/>
          <w:kern w:val="0"/>
          <w:sz w:val="24"/>
          <w:szCs w:val="28"/>
        </w:rPr>
      </w:pPr>
      <w:r>
        <w:rPr>
          <w:rFonts w:hint="eastAsia" w:ascii="仿宋_GB2312" w:hAnsi="仿宋_GB2312" w:eastAsia="仿宋_GB2312" w:cs="Times New Roman"/>
          <w:kern w:val="0"/>
          <w:sz w:val="24"/>
          <w:szCs w:val="28"/>
        </w:rPr>
        <w:t xml:space="preserve">制定培训计划，安装调试培训环境，准备培训教材，主要包括用户手册、PPT 课件、常见问题解答等，组织相关业务和技术人员集中培训和上机操作。每场培训成交供应商需自带服务器、笔记本电脑等，搭建培训运行环境，进行现场教学和上机操作讲解。 </w:t>
      </w:r>
    </w:p>
    <w:p/>
    <w:p>
      <w:pPr>
        <w:pStyle w:val="2"/>
      </w:pPr>
      <w:r>
        <w:rPr>
          <w:rFonts w:hint="eastAsia"/>
        </w:rPr>
        <w:t>实施方案</w:t>
      </w:r>
    </w:p>
    <w:p>
      <w:pPr>
        <w:pStyle w:val="54"/>
        <w:numPr>
          <w:ilvl w:val="1"/>
          <w:numId w:val="6"/>
        </w:numPr>
      </w:pPr>
      <w:bookmarkStart w:id="144" w:name="_Toc78120747"/>
      <w:bookmarkStart w:id="145" w:name="_Toc80990183"/>
      <w:r>
        <w:rPr>
          <w:rFonts w:hint="eastAsia"/>
        </w:rPr>
        <w:t>项目建设周期</w:t>
      </w:r>
      <w:bookmarkEnd w:id="144"/>
      <w:bookmarkEnd w:id="145"/>
    </w:p>
    <w:p>
      <w:pPr>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合同签订后</w:t>
      </w:r>
      <w:r>
        <w:rPr>
          <w:rFonts w:ascii="宋体" w:hAnsi="宋体" w:eastAsia="宋体" w:cs="Times New Roman"/>
          <w:sz w:val="24"/>
          <w:szCs w:val="20"/>
        </w:rPr>
        <w:t>5个月完成系统开发、部署和联调测试。</w:t>
      </w:r>
    </w:p>
    <w:p>
      <w:pPr>
        <w:pStyle w:val="54"/>
        <w:numPr>
          <w:ilvl w:val="1"/>
          <w:numId w:val="6"/>
        </w:numPr>
      </w:pPr>
      <w:bookmarkStart w:id="146" w:name="_Toc78616697"/>
      <w:r>
        <w:rPr>
          <w:rFonts w:hint="eastAsia"/>
        </w:rPr>
        <w:t>人员要求</w:t>
      </w:r>
      <w:bookmarkEnd w:id="146"/>
    </w:p>
    <w:p>
      <w:pPr>
        <w:tabs>
          <w:tab w:val="left" w:pos="720"/>
        </w:tabs>
        <w:spacing w:line="360" w:lineRule="auto"/>
        <w:ind w:firstLine="480" w:firstLineChars="200"/>
        <w:rPr>
          <w:rFonts w:ascii="仿宋_GB2312" w:hAnsi="仿宋_GB2312" w:eastAsia="仿宋_GB2312" w:cs="Times New Roman"/>
          <w:kern w:val="0"/>
          <w:sz w:val="24"/>
          <w:szCs w:val="28"/>
        </w:rPr>
      </w:pPr>
      <w:r>
        <w:rPr>
          <w:rFonts w:hint="eastAsia" w:ascii="仿宋_GB2312" w:hAnsi="仿宋_GB2312" w:eastAsia="仿宋_GB2312" w:cs="Times New Roman"/>
          <w:kern w:val="0"/>
          <w:sz w:val="24"/>
          <w:szCs w:val="28"/>
        </w:rPr>
        <w:t>中标方需要在需组建一支经验丰富的项目实施团队；项目实施团队中的项目经理需具备5年以上省级及以上财政电子票据或票据电子化项目开发或实施项目经验。骨干实施工程师需参与过省级及以上财政电子票据类项目实施经验。项目供应商保证在实施期间，项目团队主要人员的稳定性，并按时、保质完成项目实施任务。</w:t>
      </w:r>
    </w:p>
    <w:p>
      <w:pPr>
        <w:tabs>
          <w:tab w:val="left" w:pos="720"/>
        </w:tabs>
        <w:spacing w:line="360" w:lineRule="auto"/>
        <w:ind w:firstLine="480" w:firstLineChars="200"/>
        <w:rPr>
          <w:rFonts w:ascii="仿宋_GB2312" w:hAnsi="仿宋_GB2312" w:eastAsia="仿宋_GB2312" w:cs="Times New Roman"/>
          <w:kern w:val="0"/>
          <w:sz w:val="24"/>
          <w:szCs w:val="28"/>
        </w:rPr>
      </w:pPr>
    </w:p>
    <w:p>
      <w:pPr>
        <w:pStyle w:val="2"/>
      </w:pPr>
      <w:r>
        <w:rPr>
          <w:rFonts w:hint="eastAsia"/>
        </w:rPr>
        <w:t>付款方式</w:t>
      </w:r>
    </w:p>
    <w:p>
      <w:pPr>
        <w:tabs>
          <w:tab w:val="left" w:pos="720"/>
        </w:tabs>
        <w:spacing w:line="360" w:lineRule="auto"/>
        <w:ind w:firstLine="480" w:firstLineChars="200"/>
        <w:rPr>
          <w:rFonts w:ascii="仿宋_GB2312" w:hAnsi="仿宋_GB2312" w:eastAsia="仿宋_GB2312" w:cs="Times New Roman"/>
          <w:kern w:val="0"/>
          <w:sz w:val="24"/>
          <w:szCs w:val="28"/>
        </w:rPr>
      </w:pPr>
      <w:r>
        <w:rPr>
          <w:rFonts w:hint="eastAsia" w:ascii="仿宋_GB2312" w:hAnsi="仿宋_GB2312" w:eastAsia="仿宋_GB2312" w:cs="Times New Roman"/>
          <w:kern w:val="0"/>
          <w:sz w:val="24"/>
          <w:szCs w:val="28"/>
        </w:rPr>
        <w:t>第一笔付款</w:t>
      </w:r>
      <w:r>
        <w:rPr>
          <w:rFonts w:ascii="仿宋_GB2312" w:hAnsi="仿宋_GB2312" w:eastAsia="仿宋_GB2312" w:cs="Times New Roman"/>
          <w:kern w:val="0"/>
          <w:sz w:val="24"/>
          <w:szCs w:val="28"/>
        </w:rPr>
        <w:t>-预付款(50%)：合同签订一个月，采购人收到发票后十</w:t>
      </w:r>
      <w:r>
        <w:rPr>
          <w:rFonts w:hint="eastAsia" w:ascii="仿宋_GB2312" w:hAnsi="仿宋_GB2312" w:eastAsia="仿宋_GB2312" w:cs="Times New Roman"/>
          <w:kern w:val="0"/>
          <w:sz w:val="24"/>
          <w:szCs w:val="28"/>
        </w:rPr>
        <w:t>五</w:t>
      </w:r>
      <w:r>
        <w:rPr>
          <w:rFonts w:ascii="仿宋_GB2312" w:hAnsi="仿宋_GB2312" w:eastAsia="仿宋_GB2312" w:cs="Times New Roman"/>
          <w:kern w:val="0"/>
          <w:sz w:val="24"/>
          <w:szCs w:val="28"/>
        </w:rPr>
        <w:t>个工作日内支付第一笔合同款，为合同总额的50%；</w:t>
      </w:r>
    </w:p>
    <w:p>
      <w:pPr>
        <w:tabs>
          <w:tab w:val="left" w:pos="720"/>
        </w:tabs>
        <w:spacing w:line="360" w:lineRule="auto"/>
        <w:ind w:firstLine="480" w:firstLineChars="200"/>
        <w:rPr>
          <w:rFonts w:hint="eastAsia" w:ascii="仿宋_GB2312" w:hAnsi="仿宋_GB2312" w:eastAsia="仿宋_GB2312" w:cs="Times New Roman"/>
          <w:kern w:val="0"/>
          <w:sz w:val="24"/>
          <w:szCs w:val="28"/>
        </w:rPr>
      </w:pPr>
      <w:r>
        <w:rPr>
          <w:rFonts w:hint="eastAsia" w:ascii="仿宋_GB2312" w:hAnsi="仿宋_GB2312" w:eastAsia="仿宋_GB2312" w:cs="Times New Roman"/>
          <w:kern w:val="0"/>
          <w:sz w:val="24"/>
          <w:szCs w:val="28"/>
        </w:rPr>
        <w:t>第二笔付款</w:t>
      </w:r>
      <w:r>
        <w:rPr>
          <w:rFonts w:ascii="仿宋_GB2312" w:hAnsi="仿宋_GB2312" w:eastAsia="仿宋_GB2312" w:cs="Times New Roman"/>
          <w:kern w:val="0"/>
          <w:sz w:val="24"/>
          <w:szCs w:val="28"/>
        </w:rPr>
        <w:t>-进度付款(50%)：系统全部上线，采购人收到发票后十</w:t>
      </w:r>
      <w:r>
        <w:rPr>
          <w:rFonts w:hint="eastAsia" w:ascii="仿宋_GB2312" w:hAnsi="仿宋_GB2312" w:eastAsia="仿宋_GB2312" w:cs="Times New Roman"/>
          <w:kern w:val="0"/>
          <w:sz w:val="24"/>
          <w:szCs w:val="28"/>
        </w:rPr>
        <w:t>五</w:t>
      </w:r>
      <w:r>
        <w:rPr>
          <w:rFonts w:ascii="仿宋_GB2312" w:hAnsi="仿宋_GB2312" w:eastAsia="仿宋_GB2312" w:cs="Times New Roman"/>
          <w:kern w:val="0"/>
          <w:sz w:val="24"/>
          <w:szCs w:val="28"/>
        </w:rPr>
        <w:t>个工作日内支付第二笔合同款，为合同总额的50%；</w:t>
      </w:r>
    </w:p>
    <w:p>
      <w:pPr>
        <w:tabs>
          <w:tab w:val="left" w:pos="720"/>
        </w:tabs>
        <w:spacing w:line="360" w:lineRule="auto"/>
        <w:ind w:firstLine="480" w:firstLineChars="200"/>
        <w:rPr>
          <w:rFonts w:hint="eastAsia" w:ascii="仿宋_GB2312" w:hAnsi="仿宋_GB2312" w:eastAsia="仿宋_GB2312" w:cs="Times New Roman"/>
          <w:kern w:val="0"/>
          <w:sz w:val="24"/>
          <w:szCs w:val="28"/>
        </w:rPr>
      </w:pPr>
    </w:p>
    <w:p>
      <w:pPr>
        <w:tabs>
          <w:tab w:val="left" w:pos="720"/>
        </w:tabs>
        <w:spacing w:line="360" w:lineRule="auto"/>
        <w:ind w:firstLine="480" w:firstLineChars="200"/>
        <w:rPr>
          <w:rFonts w:hint="eastAsia" w:ascii="仿宋_GB2312" w:hAnsi="仿宋_GB2312" w:eastAsia="仿宋_GB2312" w:cs="Times New Roman"/>
          <w:kern w:val="0"/>
          <w:sz w:val="24"/>
          <w:szCs w:val="28"/>
        </w:rPr>
      </w:pPr>
    </w:p>
    <w:p>
      <w:pPr>
        <w:tabs>
          <w:tab w:val="left" w:pos="720"/>
        </w:tabs>
        <w:spacing w:line="360" w:lineRule="auto"/>
        <w:ind w:firstLine="480" w:firstLineChars="200"/>
        <w:rPr>
          <w:rFonts w:hint="eastAsia" w:ascii="仿宋_GB2312" w:hAnsi="仿宋_GB2312" w:eastAsia="仿宋_GB2312" w:cs="Times New Roman"/>
          <w:kern w:val="0"/>
          <w:sz w:val="24"/>
          <w:szCs w:val="28"/>
        </w:rPr>
      </w:pPr>
    </w:p>
    <w:p>
      <w:pPr>
        <w:tabs>
          <w:tab w:val="left" w:pos="720"/>
        </w:tabs>
        <w:spacing w:line="360" w:lineRule="auto"/>
        <w:rPr>
          <w:rFonts w:ascii="仿宋_GB2312" w:hAnsi="仿宋_GB2312" w:eastAsia="仿宋_GB2312" w:cs="Times New Roman"/>
          <w:kern w:val="0"/>
          <w:sz w:val="24"/>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仿宋_GB2312"/>
    <w:panose1 w:val="00000000000000000000"/>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PakType Naskh Basic"/>
    <w:panose1 w:val="00000000000000000000"/>
    <w:charset w:val="00"/>
    <w:family w:val="auto"/>
    <w:pitch w:val="default"/>
    <w:sig w:usb0="00000000" w:usb1="00000000" w:usb2="00000000" w:usb3="00000000" w:csb0="00000000" w:csb1="00000000"/>
  </w:font>
  <w:font w:name="等线 Light">
    <w:altName w:val="仿宋_GB2312"/>
    <w:panose1 w:val="00000000000000000000"/>
    <w:charset w:val="86"/>
    <w:family w:val="auto"/>
    <w:pitch w:val="default"/>
    <w:sig w:usb0="00000000" w:usb1="00000000" w:usb2="00000016" w:usb3="00000000" w:csb0="0004000F" w:csb1="00000000"/>
  </w:font>
  <w:font w:name="Arial">
    <w:altName w:val="DejaVu Sans"/>
    <w:panose1 w:val="020B0604020202020204"/>
    <w:charset w:val="00"/>
    <w:family w:val="swiss"/>
    <w:pitch w:val="default"/>
    <w:sig w:usb0="00000000" w:usb1="00000000" w:usb2="00000009" w:usb3="00000000" w:csb0="000001FF" w:csb1="00000000"/>
  </w:font>
  <w:font w:name="黑体">
    <w:panose1 w:val="02010609060101010101"/>
    <w:charset w:val="86"/>
    <w:family w:val="modern"/>
    <w:pitch w:val="default"/>
    <w:sig w:usb0="800002BF" w:usb1="38CF7CFA" w:usb2="00000016" w:usb3="00000000" w:csb0="00040001" w:csb1="00000000"/>
  </w:font>
  <w:font w:name="Cambria">
    <w:altName w:val="FreeSerif"/>
    <w:panose1 w:val="02040503050406030204"/>
    <w:charset w:val="00"/>
    <w:family w:val="roman"/>
    <w:pitch w:val="default"/>
    <w:sig w:usb0="00000000" w:usb1="00000000" w:usb2="00000000" w:usb3="00000000" w:csb0="0000019F" w:csb1="00000000"/>
  </w:font>
  <w:font w:name="Courier New">
    <w:altName w:val="DejaVu Sans"/>
    <w:panose1 w:val="02070309020205020404"/>
    <w:charset w:val="00"/>
    <w:family w:val="modern"/>
    <w:pitch w:val="default"/>
    <w:sig w:usb0="00000000" w:usb1="00000000" w:usb2="00000009" w:usb3="00000000" w:csb0="000001FF" w:csb1="00000000"/>
  </w:font>
  <w:font w:name="仿宋_GB2312">
    <w:panose1 w:val="02010609030101010101"/>
    <w:charset w:val="86"/>
    <w:family w:val="auto"/>
    <w:pitch w:val="default"/>
    <w:sig w:usb0="00000001" w:usb1="080E0000" w:usb2="00000000" w:usb3="00000000" w:csb0="00040000" w:csb1="00000000"/>
  </w:font>
  <w:font w:name="Wingdings">
    <w:altName w:val="MT Extra"/>
    <w:panose1 w:val="05000000000000000000"/>
    <w:charset w:val="02"/>
    <w:family w:val="auto"/>
    <w:pitch w:val="default"/>
    <w:sig w:usb0="00000000" w:usb1="00000000" w:usb2="00000000" w:usb3="00000000" w:csb0="80000000" w:csb1="00000000"/>
  </w:font>
  <w:font w:name="微软雅黑">
    <w:altName w:val="黑体"/>
    <w:panose1 w:val="020B0503020204020204"/>
    <w:charset w:val="86"/>
    <w:family w:val="swiss"/>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PakType Naskh Basic">
    <w:panose1 w:val="00000400000000000000"/>
    <w:charset w:val="00"/>
    <w:family w:val="auto"/>
    <w:pitch w:val="default"/>
    <w:sig w:usb0="80006003" w:usb1="8000000A" w:usb2="00000008" w:usb3="00000000" w:csb0="00000041" w:csb1="20080000"/>
  </w:font>
  <w:font w:name="DejaVa Sans">
    <w:altName w:val="PakType Naskh Basic"/>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451C4"/>
    <w:multiLevelType w:val="multilevel"/>
    <w:tmpl w:val="07A451C4"/>
    <w:lvl w:ilvl="0" w:tentative="0">
      <w:start w:val="1"/>
      <w:numFmt w:val="bullet"/>
      <w:pStyle w:val="89"/>
      <w:lvlText w:val=""/>
      <w:lvlJc w:val="left"/>
      <w:pPr>
        <w:ind w:left="840" w:hanging="420"/>
      </w:pPr>
      <w:rPr>
        <w:rFonts w:hint="default" w:ascii="Wingdings" w:hAnsi="Wingding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3782203"/>
    <w:multiLevelType w:val="multilevel"/>
    <w:tmpl w:val="13782203"/>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34CC466E"/>
    <w:multiLevelType w:val="multilevel"/>
    <w:tmpl w:val="34CC466E"/>
    <w:lvl w:ilvl="0" w:tentative="0">
      <w:start w:val="1"/>
      <w:numFmt w:val="decimal"/>
      <w:suff w:val="space"/>
      <w:lvlText w:val="%1"/>
      <w:lvlJc w:val="left"/>
      <w:pPr>
        <w:ind w:left="0" w:firstLine="0"/>
      </w:pPr>
    </w:lvl>
    <w:lvl w:ilvl="1" w:tentative="0">
      <w:start w:val="1"/>
      <w:numFmt w:val="decimal"/>
      <w:pStyle w:val="205"/>
      <w:suff w:val="space"/>
      <w:lvlText w:val="%1.%2"/>
      <w:lvlJc w:val="left"/>
      <w:pPr>
        <w:ind w:left="0" w:firstLine="0"/>
      </w:pPr>
    </w:lvl>
    <w:lvl w:ilvl="2" w:tentative="0">
      <w:start w:val="1"/>
      <w:numFmt w:val="decimal"/>
      <w:pStyle w:val="206"/>
      <w:suff w:val="space"/>
      <w:lvlText w:val="%1.%2.%3"/>
      <w:lvlJc w:val="left"/>
      <w:pPr>
        <w:ind w:left="0" w:firstLine="0"/>
      </w:pPr>
    </w:lvl>
    <w:lvl w:ilvl="3" w:tentative="0">
      <w:start w:val="1"/>
      <w:numFmt w:val="decimal"/>
      <w:suff w:val="space"/>
      <w:lvlText w:val="%1.%2.%3.%4"/>
      <w:lvlJc w:val="left"/>
      <w:pPr>
        <w:ind w:left="0" w:firstLine="0"/>
      </w:pPr>
    </w:lvl>
    <w:lvl w:ilvl="4" w:tentative="0">
      <w:start w:val="1"/>
      <w:numFmt w:val="decimal"/>
      <w:pStyle w:val="204"/>
      <w:suff w:val="space"/>
      <w:lvlText w:val="%1.%2.%3.%4.%5"/>
      <w:lvlJc w:val="left"/>
      <w:pPr>
        <w:ind w:left="0" w:firstLine="0"/>
      </w:pPr>
    </w:lvl>
    <w:lvl w:ilvl="5" w:tentative="0">
      <w:start w:val="1"/>
      <w:numFmt w:val="decimal"/>
      <w:pStyle w:val="208"/>
      <w:suff w:val="space"/>
      <w:lvlText w:val="%1.%2.%3.%4.%5.%6"/>
      <w:lvlJc w:val="left"/>
      <w:pPr>
        <w:ind w:left="0" w:firstLine="0"/>
      </w:pPr>
    </w:lvl>
    <w:lvl w:ilvl="6" w:tentative="0">
      <w:start w:val="1"/>
      <w:numFmt w:val="decimal"/>
      <w:pStyle w:val="207"/>
      <w:suff w:val="space"/>
      <w:lvlText w:val="%1.%2.%3.%4.%5.%6.%7"/>
      <w:lvlJc w:val="left"/>
      <w:pPr>
        <w:ind w:left="0" w:firstLine="0"/>
      </w:pPr>
    </w:lvl>
    <w:lvl w:ilvl="7" w:tentative="0">
      <w:start w:val="1"/>
      <w:numFmt w:val="decimal"/>
      <w:pStyle w:val="209"/>
      <w:suff w:val="space"/>
      <w:lvlText w:val="%1.%2.%3.%4.%5.%6.%7.%8"/>
      <w:lvlJc w:val="left"/>
      <w:pPr>
        <w:ind w:left="0" w:firstLine="0"/>
      </w:pPr>
    </w:lvl>
    <w:lvl w:ilvl="8" w:tentative="0">
      <w:start w:val="1"/>
      <w:numFmt w:val="decimal"/>
      <w:suff w:val="space"/>
      <w:lvlText w:val="%1.%2.%3.%4.%5.%6.%7.%8.%9"/>
      <w:lvlJc w:val="left"/>
      <w:pPr>
        <w:ind w:left="0" w:firstLine="0"/>
      </w:pPr>
    </w:lvl>
  </w:abstractNum>
  <w:abstractNum w:abstractNumId="3">
    <w:nsid w:val="378235BA"/>
    <w:multiLevelType w:val="multilevel"/>
    <w:tmpl w:val="378235BA"/>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48436C34"/>
    <w:multiLevelType w:val="multilevel"/>
    <w:tmpl w:val="48436C34"/>
    <w:lvl w:ilvl="0" w:tentative="0">
      <w:start w:val="1"/>
      <w:numFmt w:val="chineseCountingThousand"/>
      <w:pStyle w:val="2"/>
      <w:lvlText w:val="第%1章"/>
      <w:lvlJc w:val="left"/>
      <w:pPr>
        <w:ind w:left="425" w:hanging="425"/>
      </w:pPr>
      <w:rPr>
        <w:rFonts w:hint="eastAsia"/>
      </w:rPr>
    </w:lvl>
    <w:lvl w:ilvl="1" w:tentative="0">
      <w:start w:val="1"/>
      <w:numFmt w:val="decimal"/>
      <w:pStyle w:val="54"/>
      <w:lvlText w:val="%1.%2."/>
      <w:lvlJc w:val="left"/>
      <w:pPr>
        <w:ind w:left="567" w:hanging="567"/>
      </w:pPr>
      <w:rPr>
        <w:rFonts w:hint="eastAsia"/>
      </w:rPr>
    </w:lvl>
    <w:lvl w:ilvl="2" w:tentative="0">
      <w:start w:val="1"/>
      <w:numFmt w:val="decimal"/>
      <w:pStyle w:val="55"/>
      <w:lvlText w:val="%1.%2.%3."/>
      <w:lvlJc w:val="left"/>
      <w:pPr>
        <w:ind w:left="709" w:hanging="709"/>
      </w:pPr>
      <w:rPr>
        <w:rFonts w:hint="eastAsia"/>
      </w:rPr>
    </w:lvl>
    <w:lvl w:ilvl="3" w:tentative="0">
      <w:start w:val="1"/>
      <w:numFmt w:val="decimal"/>
      <w:pStyle w:val="56"/>
      <w:lvlText w:val="%1.%2.%3.%4."/>
      <w:lvlJc w:val="left"/>
      <w:pPr>
        <w:ind w:left="851" w:hanging="851"/>
      </w:pPr>
      <w:rPr>
        <w:rFonts w:hint="eastAsia"/>
      </w:rPr>
    </w:lvl>
    <w:lvl w:ilvl="4" w:tentative="0">
      <w:start w:val="1"/>
      <w:numFmt w:val="decimal"/>
      <w:pStyle w:val="6"/>
      <w:lvlText w:val="%1.%2.%3.%4.%5."/>
      <w:lvlJc w:val="left"/>
      <w:pPr>
        <w:ind w:left="992" w:hanging="992"/>
      </w:pPr>
      <w:rPr>
        <w:rFonts w:hint="eastAsia"/>
      </w:rPr>
    </w:lvl>
    <w:lvl w:ilvl="5" w:tentative="0">
      <w:start w:val="1"/>
      <w:numFmt w:val="decimal"/>
      <w:pStyle w:val="57"/>
      <w:lvlText w:val="%1.%2.%3.%4.%5.%6."/>
      <w:lvlJc w:val="left"/>
      <w:pPr>
        <w:ind w:left="1134" w:hanging="1134"/>
      </w:pPr>
      <w:rPr>
        <w:rFonts w:hint="eastAsia"/>
      </w:rPr>
    </w:lvl>
    <w:lvl w:ilvl="6" w:tentative="0">
      <w:start w:val="1"/>
      <w:numFmt w:val="decimal"/>
      <w:pStyle w:val="8"/>
      <w:lvlText w:val="%1.%2.%3.%4.%5.%6.%7."/>
      <w:lvlJc w:val="left"/>
      <w:pPr>
        <w:ind w:left="1276" w:hanging="1276"/>
      </w:pPr>
      <w:rPr>
        <w:rFonts w:hint="eastAsia"/>
      </w:rPr>
    </w:lvl>
    <w:lvl w:ilvl="7" w:tentative="0">
      <w:start w:val="1"/>
      <w:numFmt w:val="decimal"/>
      <w:pStyle w:val="9"/>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
    <w:nsid w:val="48BD2C7B"/>
    <w:multiLevelType w:val="multilevel"/>
    <w:tmpl w:val="48BD2C7B"/>
    <w:lvl w:ilvl="0" w:tentative="0">
      <w:start w:val="1"/>
      <w:numFmt w:val="japaneseCounting"/>
      <w:lvlText w:val="（%1）"/>
      <w:lvlJc w:val="left"/>
      <w:pPr>
        <w:ind w:left="1247" w:hanging="765"/>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52E30CA2"/>
    <w:multiLevelType w:val="multilevel"/>
    <w:tmpl w:val="52E30CA2"/>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5A84450A"/>
    <w:multiLevelType w:val="multilevel"/>
    <w:tmpl w:val="5A84450A"/>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5E93734A"/>
    <w:multiLevelType w:val="multilevel"/>
    <w:tmpl w:val="5E93734A"/>
    <w:lvl w:ilvl="0" w:tentative="0">
      <w:start w:val="1"/>
      <w:numFmt w:val="bullet"/>
      <w:lvlText w:val=""/>
      <w:lvlJc w:val="left"/>
      <w:pPr>
        <w:ind w:left="960" w:firstLine="174"/>
      </w:pPr>
      <w:rPr>
        <w:rFonts w:hint="default" w:ascii="Wingdings" w:hAnsi="Wingdings"/>
      </w:rPr>
    </w:lvl>
    <w:lvl w:ilvl="1" w:tentative="0">
      <w:start w:val="1"/>
      <w:numFmt w:val="bullet"/>
      <w:lvlText w:val=""/>
      <w:lvlJc w:val="left"/>
      <w:pPr>
        <w:ind w:left="1440" w:hanging="480"/>
      </w:pPr>
      <w:rPr>
        <w:rFonts w:hint="default" w:ascii="Wingdings" w:hAnsi="Wingdings"/>
      </w:rPr>
    </w:lvl>
    <w:lvl w:ilvl="2" w:tentative="0">
      <w:start w:val="1"/>
      <w:numFmt w:val="bullet"/>
      <w:lvlText w:val=""/>
      <w:lvlJc w:val="left"/>
      <w:pPr>
        <w:ind w:left="1920" w:hanging="480"/>
      </w:pPr>
      <w:rPr>
        <w:rFonts w:hint="default" w:ascii="Wingdings" w:hAnsi="Wingdings"/>
      </w:rPr>
    </w:lvl>
    <w:lvl w:ilvl="3" w:tentative="0">
      <w:start w:val="1"/>
      <w:numFmt w:val="bullet"/>
      <w:lvlText w:val=""/>
      <w:lvlJc w:val="left"/>
      <w:pPr>
        <w:ind w:left="2400" w:hanging="480"/>
      </w:pPr>
      <w:rPr>
        <w:rFonts w:hint="default" w:ascii="Wingdings" w:hAnsi="Wingdings"/>
      </w:rPr>
    </w:lvl>
    <w:lvl w:ilvl="4" w:tentative="0">
      <w:start w:val="1"/>
      <w:numFmt w:val="bullet"/>
      <w:pStyle w:val="142"/>
      <w:lvlText w:val=""/>
      <w:lvlJc w:val="left"/>
      <w:pPr>
        <w:ind w:left="2880" w:hanging="480"/>
      </w:pPr>
      <w:rPr>
        <w:rFonts w:hint="default" w:ascii="Wingdings" w:hAnsi="Wingdings"/>
      </w:rPr>
    </w:lvl>
    <w:lvl w:ilvl="5" w:tentative="0">
      <w:start w:val="1"/>
      <w:numFmt w:val="bullet"/>
      <w:lvlText w:val=""/>
      <w:lvlJc w:val="left"/>
      <w:pPr>
        <w:ind w:left="3360" w:hanging="480"/>
      </w:pPr>
      <w:rPr>
        <w:rFonts w:hint="default" w:ascii="Wingdings" w:hAnsi="Wingdings"/>
      </w:rPr>
    </w:lvl>
    <w:lvl w:ilvl="6" w:tentative="0">
      <w:start w:val="1"/>
      <w:numFmt w:val="bullet"/>
      <w:lvlText w:val=""/>
      <w:lvlJc w:val="left"/>
      <w:pPr>
        <w:ind w:left="3840" w:hanging="480"/>
      </w:pPr>
      <w:rPr>
        <w:rFonts w:hint="default" w:ascii="Wingdings" w:hAnsi="Wingdings"/>
      </w:rPr>
    </w:lvl>
    <w:lvl w:ilvl="7" w:tentative="0">
      <w:start w:val="1"/>
      <w:numFmt w:val="bullet"/>
      <w:lvlText w:val=""/>
      <w:lvlJc w:val="left"/>
      <w:pPr>
        <w:ind w:left="4320" w:hanging="480"/>
      </w:pPr>
      <w:rPr>
        <w:rFonts w:hint="default" w:ascii="Wingdings" w:hAnsi="Wingdings"/>
      </w:rPr>
    </w:lvl>
    <w:lvl w:ilvl="8" w:tentative="0">
      <w:start w:val="1"/>
      <w:numFmt w:val="bullet"/>
      <w:lvlText w:val=""/>
      <w:lvlJc w:val="left"/>
      <w:pPr>
        <w:ind w:left="4800" w:hanging="480"/>
      </w:pPr>
      <w:rPr>
        <w:rFonts w:hint="default" w:ascii="Wingdings" w:hAnsi="Wingdings"/>
      </w:rPr>
    </w:lvl>
  </w:abstractNum>
  <w:abstractNum w:abstractNumId="9">
    <w:nsid w:val="680668FE"/>
    <w:multiLevelType w:val="multilevel"/>
    <w:tmpl w:val="680668FE"/>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72893BEA"/>
    <w:multiLevelType w:val="multilevel"/>
    <w:tmpl w:val="72893BEA"/>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793F3DF7"/>
    <w:multiLevelType w:val="multilevel"/>
    <w:tmpl w:val="793F3DF7"/>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7DDE022C"/>
    <w:multiLevelType w:val="multilevel"/>
    <w:tmpl w:val="7DDE022C"/>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5"/>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4"/>
  </w:num>
  <w:num w:numId="2">
    <w:abstractNumId w:val="12"/>
  </w:num>
  <w:num w:numId="3">
    <w:abstractNumId w:val="0"/>
  </w:num>
  <w:num w:numId="4">
    <w:abstractNumId w:val="8"/>
  </w:num>
  <w:num w:numId="5">
    <w:abstractNumId w:val="2"/>
  </w:num>
  <w:num w:numId="6">
    <w:abstractNumId w:val="4"/>
    <w:lvlOverride w:ilvl="0">
      <w:lvl w:ilvl="0" w:tentative="1">
        <w:start w:val="1"/>
        <w:numFmt w:val="chineseCountingThousand"/>
        <w:lvlText w:val="第%1章"/>
        <w:lvlJc w:val="left"/>
        <w:pPr>
          <w:ind w:left="425" w:hanging="425"/>
        </w:pPr>
        <w:rPr>
          <w:rFonts w:hint="eastAsia"/>
        </w:rPr>
      </w:lvl>
    </w:lvlOverride>
    <w:lvlOverride w:ilvl="1">
      <w:lvl w:ilvl="1" w:tentative="1">
        <w:start w:val="1"/>
        <w:numFmt w:val="decimal"/>
        <w:isLgl/>
        <w:lvlText w:val="%1.%2."/>
        <w:lvlJc w:val="left"/>
        <w:pPr>
          <w:ind w:left="567" w:hanging="567"/>
        </w:pPr>
        <w:rPr>
          <w:rFonts w:hint="eastAsia"/>
        </w:rPr>
      </w:lvl>
    </w:lvlOverride>
    <w:lvlOverride w:ilvl="2">
      <w:lvl w:ilvl="2" w:tentative="1">
        <w:start w:val="1"/>
        <w:numFmt w:val="decimal"/>
        <w:lvlText w:val="%1.%2.%3."/>
        <w:lvlJc w:val="left"/>
        <w:pPr>
          <w:ind w:left="709" w:hanging="709"/>
        </w:pPr>
        <w:rPr>
          <w:rFonts w:hint="eastAsia"/>
        </w:rPr>
      </w:lvl>
    </w:lvlOverride>
    <w:lvlOverride w:ilvl="3">
      <w:lvl w:ilvl="3" w:tentative="1">
        <w:start w:val="1"/>
        <w:numFmt w:val="decimal"/>
        <w:lvlText w:val="%1.%2.%3.%4."/>
        <w:lvlJc w:val="left"/>
        <w:pPr>
          <w:ind w:left="851" w:hanging="851"/>
        </w:pPr>
        <w:rPr>
          <w:rFonts w:hint="eastAsia"/>
        </w:rPr>
      </w:lvl>
    </w:lvlOverride>
    <w:lvlOverride w:ilvl="4">
      <w:lvl w:ilvl="4" w:tentative="1">
        <w:start w:val="1"/>
        <w:numFmt w:val="decimal"/>
        <w:lvlText w:val="%1.%2.%3.%4.%5."/>
        <w:lvlJc w:val="left"/>
        <w:pPr>
          <w:ind w:left="992" w:hanging="99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7">
    <w:abstractNumId w:val="4"/>
    <w:lvlOverride w:ilvl="0">
      <w:lvl w:ilvl="0" w:tentative="1">
        <w:start w:val="1"/>
        <w:numFmt w:val="chineseCountingThousand"/>
        <w:lvlText w:val="第%1章"/>
        <w:lvlJc w:val="left"/>
        <w:pPr>
          <w:ind w:left="425" w:hanging="425"/>
        </w:pPr>
        <w:rPr>
          <w:rFonts w:hint="eastAsia"/>
        </w:rPr>
      </w:lvl>
    </w:lvlOverride>
    <w:lvlOverride w:ilvl="1">
      <w:lvl w:ilvl="1" w:tentative="1">
        <w:start w:val="1"/>
        <w:numFmt w:val="decimal"/>
        <w:lvlText w:val="%1.%2."/>
        <w:lvlJc w:val="left"/>
        <w:pPr>
          <w:ind w:left="567" w:hanging="567"/>
        </w:pPr>
        <w:rPr>
          <w:rFonts w:hint="eastAsia"/>
        </w:rPr>
      </w:lvl>
    </w:lvlOverride>
    <w:lvlOverride w:ilvl="2">
      <w:lvl w:ilvl="2" w:tentative="1">
        <w:start w:val="1"/>
        <w:numFmt w:val="decimal"/>
        <w:isLgl/>
        <w:lvlText w:val="%1.%2.%3."/>
        <w:lvlJc w:val="left"/>
        <w:pPr>
          <w:ind w:left="709" w:hanging="709"/>
        </w:pPr>
        <w:rPr>
          <w:rFonts w:hint="eastAsia"/>
        </w:rPr>
      </w:lvl>
    </w:lvlOverride>
    <w:lvlOverride w:ilvl="3">
      <w:lvl w:ilvl="3" w:tentative="1">
        <w:start w:val="1"/>
        <w:numFmt w:val="decimal"/>
        <w:lvlText w:val="%1.%2.%3.%4."/>
        <w:lvlJc w:val="left"/>
        <w:pPr>
          <w:ind w:left="851" w:hanging="851"/>
        </w:pPr>
        <w:rPr>
          <w:rFonts w:hint="eastAsia"/>
        </w:rPr>
      </w:lvl>
    </w:lvlOverride>
    <w:lvlOverride w:ilvl="4">
      <w:lvl w:ilvl="4" w:tentative="1">
        <w:start w:val="1"/>
        <w:numFmt w:val="decimal"/>
        <w:lvlText w:val="%1.%2.%3.%4.%5."/>
        <w:lvlJc w:val="left"/>
        <w:pPr>
          <w:ind w:left="992" w:hanging="99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8">
    <w:abstractNumId w:val="5"/>
  </w:num>
  <w:num w:numId="9">
    <w:abstractNumId w:val="4"/>
    <w:lvlOverride w:ilvl="0">
      <w:lvl w:ilvl="0" w:tentative="1">
        <w:start w:val="1"/>
        <w:numFmt w:val="chineseCountingThousand"/>
        <w:lvlText w:val="第%1章"/>
        <w:lvlJc w:val="left"/>
        <w:pPr>
          <w:ind w:left="425" w:hanging="425"/>
        </w:pPr>
        <w:rPr>
          <w:rFonts w:hint="eastAsia"/>
        </w:rPr>
      </w:lvl>
    </w:lvlOverride>
    <w:lvlOverride w:ilvl="1">
      <w:lvl w:ilvl="1" w:tentative="1">
        <w:start w:val="1"/>
        <w:numFmt w:val="decimal"/>
        <w:lvlText w:val="%1.%2."/>
        <w:lvlJc w:val="left"/>
        <w:pPr>
          <w:ind w:left="567" w:hanging="567"/>
        </w:pPr>
        <w:rPr>
          <w:rFonts w:hint="eastAsia"/>
        </w:rPr>
      </w:lvl>
    </w:lvlOverride>
    <w:lvlOverride w:ilvl="2">
      <w:lvl w:ilvl="2" w:tentative="1">
        <w:start w:val="1"/>
        <w:numFmt w:val="decimal"/>
        <w:lvlText w:val="%1.%2.%3."/>
        <w:lvlJc w:val="left"/>
        <w:pPr>
          <w:ind w:left="709" w:hanging="709"/>
        </w:pPr>
        <w:rPr>
          <w:rFonts w:hint="eastAsia"/>
        </w:rPr>
      </w:lvl>
    </w:lvlOverride>
    <w:lvlOverride w:ilvl="3">
      <w:lvl w:ilvl="3" w:tentative="1">
        <w:start w:val="1"/>
        <w:numFmt w:val="decimal"/>
        <w:isLgl/>
        <w:lvlText w:val="%1.%2.%3.%4."/>
        <w:lvlJc w:val="left"/>
        <w:pPr>
          <w:ind w:left="851" w:hanging="851"/>
        </w:pPr>
        <w:rPr>
          <w:rFonts w:hint="eastAsia"/>
        </w:rPr>
      </w:lvl>
    </w:lvlOverride>
    <w:lvlOverride w:ilvl="4">
      <w:lvl w:ilvl="4" w:tentative="1">
        <w:start w:val="1"/>
        <w:numFmt w:val="decimal"/>
        <w:lvlText w:val="%1.%2.%3.%4.%5."/>
        <w:lvlJc w:val="left"/>
        <w:pPr>
          <w:ind w:left="992" w:hanging="99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10">
    <w:abstractNumId w:val="4"/>
    <w:lvlOverride w:ilvl="0">
      <w:lvl w:ilvl="0" w:tentative="1">
        <w:start w:val="1"/>
        <w:numFmt w:val="chineseCountingThousand"/>
        <w:lvlText w:val="第%1章"/>
        <w:lvlJc w:val="left"/>
        <w:pPr>
          <w:ind w:left="425" w:hanging="425"/>
        </w:pPr>
        <w:rPr>
          <w:rFonts w:hint="eastAsia"/>
        </w:rPr>
      </w:lvl>
    </w:lvlOverride>
    <w:lvlOverride w:ilvl="1">
      <w:lvl w:ilvl="1" w:tentative="1">
        <w:start w:val="1"/>
        <w:numFmt w:val="decimal"/>
        <w:lvlText w:val="%1.%2."/>
        <w:lvlJc w:val="left"/>
        <w:pPr>
          <w:ind w:left="567" w:hanging="567"/>
        </w:pPr>
        <w:rPr>
          <w:rFonts w:hint="eastAsia"/>
        </w:rPr>
      </w:lvl>
    </w:lvlOverride>
    <w:lvlOverride w:ilvl="2">
      <w:lvl w:ilvl="2" w:tentative="1">
        <w:start w:val="1"/>
        <w:numFmt w:val="decimal"/>
        <w:lvlText w:val="%1.%2.%3."/>
        <w:lvlJc w:val="left"/>
        <w:pPr>
          <w:ind w:left="709" w:hanging="709"/>
        </w:pPr>
        <w:rPr>
          <w:rFonts w:hint="eastAsia"/>
        </w:rPr>
      </w:lvl>
    </w:lvlOverride>
    <w:lvlOverride w:ilvl="3">
      <w:lvl w:ilvl="3" w:tentative="1">
        <w:start w:val="1"/>
        <w:numFmt w:val="decimal"/>
        <w:lvlText w:val="%1.%2.%3.%4."/>
        <w:lvlJc w:val="left"/>
        <w:pPr>
          <w:ind w:left="851" w:hanging="851"/>
        </w:pPr>
        <w:rPr>
          <w:rFonts w:hint="eastAsia"/>
        </w:rPr>
      </w:lvl>
    </w:lvlOverride>
    <w:lvlOverride w:ilvl="4">
      <w:lvl w:ilvl="4" w:tentative="1">
        <w:start w:val="1"/>
        <w:numFmt w:val="decimal"/>
        <w:isLgl/>
        <w:lvlText w:val="%1.%2.%3.%4.%5."/>
        <w:lvlJc w:val="left"/>
        <w:pPr>
          <w:ind w:left="992" w:hanging="99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11">
    <w:abstractNumId w:val="9"/>
  </w:num>
  <w:num w:numId="12">
    <w:abstractNumId w:val="6"/>
  </w:num>
  <w:num w:numId="13">
    <w:abstractNumId w:val="11"/>
  </w:num>
  <w:num w:numId="14">
    <w:abstractNumId w:val="7"/>
  </w:num>
  <w:num w:numId="15">
    <w:abstractNumId w:val="4"/>
    <w:lvlOverride w:ilvl="0">
      <w:lvl w:ilvl="0" w:tentative="1">
        <w:start w:val="1"/>
        <w:numFmt w:val="chineseCountingThousand"/>
        <w:lvlText w:val="第%1章"/>
        <w:lvlJc w:val="left"/>
        <w:pPr>
          <w:ind w:left="425" w:hanging="425"/>
        </w:pPr>
        <w:rPr>
          <w:rFonts w:hint="eastAsia"/>
        </w:rPr>
      </w:lvl>
    </w:lvlOverride>
    <w:lvlOverride w:ilvl="1">
      <w:lvl w:ilvl="1" w:tentative="1">
        <w:start w:val="1"/>
        <w:numFmt w:val="decimal"/>
        <w:lvlText w:val="%1.%2."/>
        <w:lvlJc w:val="left"/>
        <w:pPr>
          <w:ind w:left="567" w:hanging="567"/>
        </w:pPr>
        <w:rPr>
          <w:rFonts w:hint="eastAsia"/>
        </w:rPr>
      </w:lvl>
    </w:lvlOverride>
    <w:lvlOverride w:ilvl="2">
      <w:lvl w:ilvl="2" w:tentative="1">
        <w:start w:val="1"/>
        <w:numFmt w:val="decimal"/>
        <w:lvlText w:val="%1.%2.%3."/>
        <w:lvlJc w:val="left"/>
        <w:pPr>
          <w:ind w:left="709" w:hanging="709"/>
        </w:pPr>
        <w:rPr>
          <w:rFonts w:hint="eastAsia"/>
        </w:rPr>
      </w:lvl>
    </w:lvlOverride>
    <w:lvlOverride w:ilvl="3">
      <w:lvl w:ilvl="3" w:tentative="1">
        <w:start w:val="1"/>
        <w:numFmt w:val="decimal"/>
        <w:lvlText w:val="%1.%2.%3.%4."/>
        <w:lvlJc w:val="left"/>
        <w:pPr>
          <w:ind w:left="851" w:hanging="851"/>
        </w:pPr>
        <w:rPr>
          <w:rFonts w:hint="eastAsia"/>
        </w:rPr>
      </w:lvl>
    </w:lvlOverride>
    <w:lvlOverride w:ilvl="4">
      <w:lvl w:ilvl="4" w:tentative="1">
        <w:start w:val="1"/>
        <w:numFmt w:val="decimal"/>
        <w:lvlText w:val="%1.%2.%3.%4.%5."/>
        <w:lvlJc w:val="left"/>
        <w:pPr>
          <w:ind w:left="992" w:hanging="992"/>
        </w:pPr>
        <w:rPr>
          <w:rFonts w:hint="eastAsia"/>
        </w:rPr>
      </w:lvl>
    </w:lvlOverride>
    <w:lvlOverride w:ilvl="5">
      <w:lvl w:ilvl="5" w:tentative="1">
        <w:start w:val="1"/>
        <w:numFmt w:val="decimal"/>
        <w:isLg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16">
    <w:abstractNumId w:val="1"/>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iMjUzNTYwMGYwY2U3MTFhYTE2ZDQ1NGM1NWU2ZGQifQ=="/>
  </w:docVars>
  <w:rsids>
    <w:rsidRoot w:val="007947AC"/>
    <w:rsid w:val="00004244"/>
    <w:rsid w:val="00024820"/>
    <w:rsid w:val="00034C77"/>
    <w:rsid w:val="000623C1"/>
    <w:rsid w:val="00092B98"/>
    <w:rsid w:val="000A4E30"/>
    <w:rsid w:val="00100F78"/>
    <w:rsid w:val="00184F50"/>
    <w:rsid w:val="002202DC"/>
    <w:rsid w:val="00236C7E"/>
    <w:rsid w:val="00262EF5"/>
    <w:rsid w:val="00267A4F"/>
    <w:rsid w:val="003D19BF"/>
    <w:rsid w:val="003E4CDB"/>
    <w:rsid w:val="003F3E18"/>
    <w:rsid w:val="004313A0"/>
    <w:rsid w:val="004417EA"/>
    <w:rsid w:val="004840FC"/>
    <w:rsid w:val="004B1A60"/>
    <w:rsid w:val="004B27B5"/>
    <w:rsid w:val="004C24B8"/>
    <w:rsid w:val="004F7288"/>
    <w:rsid w:val="0054772F"/>
    <w:rsid w:val="00587609"/>
    <w:rsid w:val="00682CE6"/>
    <w:rsid w:val="006836B4"/>
    <w:rsid w:val="006A6196"/>
    <w:rsid w:val="006C73FC"/>
    <w:rsid w:val="006E1017"/>
    <w:rsid w:val="00704186"/>
    <w:rsid w:val="007947AC"/>
    <w:rsid w:val="00801A5D"/>
    <w:rsid w:val="00845203"/>
    <w:rsid w:val="0084645B"/>
    <w:rsid w:val="00890B6F"/>
    <w:rsid w:val="00891E73"/>
    <w:rsid w:val="009463F8"/>
    <w:rsid w:val="009B1F2F"/>
    <w:rsid w:val="009C7C28"/>
    <w:rsid w:val="00A03BC6"/>
    <w:rsid w:val="00A20498"/>
    <w:rsid w:val="00A86F77"/>
    <w:rsid w:val="00AF27F0"/>
    <w:rsid w:val="00B226DD"/>
    <w:rsid w:val="00B27403"/>
    <w:rsid w:val="00B355EF"/>
    <w:rsid w:val="00B637FB"/>
    <w:rsid w:val="00B76A61"/>
    <w:rsid w:val="00BA5C0F"/>
    <w:rsid w:val="00C12103"/>
    <w:rsid w:val="00C141D4"/>
    <w:rsid w:val="00C32826"/>
    <w:rsid w:val="00C61834"/>
    <w:rsid w:val="00D457F5"/>
    <w:rsid w:val="00D72997"/>
    <w:rsid w:val="00DB0961"/>
    <w:rsid w:val="00DB1F73"/>
    <w:rsid w:val="00DD3F97"/>
    <w:rsid w:val="00EA4F5C"/>
    <w:rsid w:val="00EF2AC3"/>
    <w:rsid w:val="00F0374E"/>
    <w:rsid w:val="00F147CB"/>
    <w:rsid w:val="00F45433"/>
    <w:rsid w:val="00F52ED7"/>
    <w:rsid w:val="00F97EB7"/>
    <w:rsid w:val="00FC035A"/>
    <w:rsid w:val="17DC5F24"/>
    <w:rsid w:val="37361D0A"/>
    <w:rsid w:val="3BD6641D"/>
    <w:rsid w:val="4D4F1A63"/>
    <w:rsid w:val="5F23EE7D"/>
    <w:rsid w:val="71EE070F"/>
    <w:rsid w:val="77AF488B"/>
    <w:rsid w:val="7FF7A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9"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9"/>
    <w:qFormat/>
    <w:uiPriority w:val="0"/>
    <w:pPr>
      <w:keepNext/>
      <w:keepLines/>
      <w:numPr>
        <w:ilvl w:val="0"/>
        <w:numId w:val="1"/>
      </w:numPr>
      <w:tabs>
        <w:tab w:val="left" w:pos="1134"/>
      </w:tabs>
      <w:adjustRightInd w:val="0"/>
      <w:snapToGrid w:val="0"/>
      <w:spacing w:before="340" w:line="480" w:lineRule="auto"/>
      <w:jc w:val="center"/>
      <w:outlineLvl w:val="0"/>
    </w:pPr>
    <w:rPr>
      <w:rFonts w:ascii="Times New Roman" w:hAnsi="Times New Roman" w:eastAsia="宋体" w:cs="Times New Roman"/>
      <w:b/>
      <w:kern w:val="44"/>
      <w:sz w:val="36"/>
      <w:szCs w:val="20"/>
    </w:rPr>
  </w:style>
  <w:style w:type="paragraph" w:styleId="3">
    <w:name w:val="heading 2"/>
    <w:basedOn w:val="1"/>
    <w:next w:val="1"/>
    <w:link w:val="5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9"/>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6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50"/>
    <w:qFormat/>
    <w:uiPriority w:val="9"/>
    <w:pPr>
      <w:keepNext/>
      <w:keepLines/>
      <w:numPr>
        <w:ilvl w:val="4"/>
        <w:numId w:val="1"/>
      </w:numPr>
      <w:spacing w:before="280" w:after="290" w:line="374" w:lineRule="auto"/>
      <w:outlineLvl w:val="4"/>
    </w:pPr>
    <w:rPr>
      <w:rFonts w:ascii="Times New Roman" w:hAnsi="Times New Roman" w:eastAsia="宋体" w:cs="Times New Roman"/>
      <w:b/>
      <w:sz w:val="28"/>
      <w:szCs w:val="20"/>
    </w:rPr>
  </w:style>
  <w:style w:type="paragraph" w:styleId="7">
    <w:name w:val="heading 6"/>
    <w:basedOn w:val="1"/>
    <w:next w:val="1"/>
    <w:link w:val="61"/>
    <w:qFormat/>
    <w:uiPriority w:val="9"/>
    <w:pPr>
      <w:keepNext/>
      <w:keepLines/>
      <w:spacing w:before="240" w:after="64" w:line="319" w:lineRule="auto"/>
      <w:outlineLvl w:val="5"/>
    </w:pPr>
    <w:rPr>
      <w:rFonts w:ascii="Arial" w:hAnsi="Arial" w:eastAsia="黑体" w:cs="Times New Roman"/>
      <w:b/>
      <w:sz w:val="24"/>
      <w:szCs w:val="20"/>
    </w:rPr>
  </w:style>
  <w:style w:type="paragraph" w:styleId="8">
    <w:name w:val="heading 7"/>
    <w:basedOn w:val="1"/>
    <w:next w:val="1"/>
    <w:link w:val="51"/>
    <w:qFormat/>
    <w:uiPriority w:val="0"/>
    <w:pPr>
      <w:keepNext/>
      <w:keepLines/>
      <w:numPr>
        <w:ilvl w:val="6"/>
        <w:numId w:val="1"/>
      </w:numPr>
      <w:spacing w:before="240" w:after="64" w:line="319" w:lineRule="auto"/>
      <w:outlineLvl w:val="6"/>
    </w:pPr>
    <w:rPr>
      <w:rFonts w:ascii="Times New Roman" w:hAnsi="Times New Roman" w:eastAsia="宋体" w:cs="Times New Roman"/>
      <w:b/>
      <w:sz w:val="24"/>
      <w:szCs w:val="20"/>
    </w:rPr>
  </w:style>
  <w:style w:type="paragraph" w:styleId="9">
    <w:name w:val="heading 8"/>
    <w:basedOn w:val="1"/>
    <w:next w:val="1"/>
    <w:link w:val="52"/>
    <w:qFormat/>
    <w:uiPriority w:val="0"/>
    <w:pPr>
      <w:keepNext/>
      <w:keepLines/>
      <w:numPr>
        <w:ilvl w:val="7"/>
        <w:numId w:val="1"/>
      </w:numPr>
      <w:spacing w:before="240" w:after="64" w:line="319" w:lineRule="auto"/>
      <w:outlineLvl w:val="7"/>
    </w:pPr>
    <w:rPr>
      <w:rFonts w:ascii="Arial" w:hAnsi="Arial" w:eastAsia="黑体" w:cs="Times New Roman"/>
      <w:sz w:val="24"/>
      <w:szCs w:val="20"/>
    </w:rPr>
  </w:style>
  <w:style w:type="paragraph" w:styleId="10">
    <w:name w:val="heading 9"/>
    <w:basedOn w:val="1"/>
    <w:next w:val="1"/>
    <w:link w:val="62"/>
    <w:qFormat/>
    <w:uiPriority w:val="9"/>
    <w:pPr>
      <w:keepNext/>
      <w:keepLines/>
      <w:spacing w:before="240" w:after="64" w:line="319" w:lineRule="auto"/>
      <w:outlineLvl w:val="8"/>
    </w:pPr>
    <w:rPr>
      <w:rFonts w:ascii="Arial" w:hAnsi="Arial" w:eastAsia="黑体" w:cs="Times New Roman"/>
      <w:szCs w:val="20"/>
    </w:rPr>
  </w:style>
  <w:style w:type="character" w:default="1" w:styleId="36">
    <w:name w:val="Default Paragraph Font"/>
    <w:semiHidden/>
    <w:unhideWhenUsed/>
    <w:qFormat/>
    <w:uiPriority w:val="1"/>
  </w:style>
  <w:style w:type="table" w:default="1" w:styleId="43">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73"/>
    <w:qFormat/>
    <w:uiPriority w:val="99"/>
    <w:rPr>
      <w:b/>
    </w:rPr>
  </w:style>
  <w:style w:type="paragraph" w:styleId="12">
    <w:name w:val="annotation text"/>
    <w:basedOn w:val="1"/>
    <w:link w:val="66"/>
    <w:qFormat/>
    <w:uiPriority w:val="99"/>
    <w:pPr>
      <w:jc w:val="left"/>
    </w:pPr>
    <w:rPr>
      <w:rFonts w:ascii="Times New Roman" w:hAnsi="Times New Roman" w:eastAsia="宋体" w:cs="Times New Roman"/>
      <w:szCs w:val="20"/>
    </w:rPr>
  </w:style>
  <w:style w:type="paragraph" w:styleId="13">
    <w:name w:val="toc 7"/>
    <w:basedOn w:val="1"/>
    <w:next w:val="1"/>
    <w:unhideWhenUsed/>
    <w:qFormat/>
    <w:uiPriority w:val="39"/>
    <w:pPr>
      <w:ind w:left="1260"/>
      <w:jc w:val="left"/>
    </w:pPr>
    <w:rPr>
      <w:rFonts w:ascii="等线" w:hAnsi="Times New Roman" w:eastAsia="等线" w:cs="Times New Roman"/>
      <w:sz w:val="18"/>
      <w:szCs w:val="18"/>
    </w:rPr>
  </w:style>
  <w:style w:type="paragraph" w:styleId="14">
    <w:name w:val="Body Text First Indent"/>
    <w:basedOn w:val="15"/>
    <w:link w:val="74"/>
    <w:qFormat/>
    <w:uiPriority w:val="99"/>
    <w:pPr>
      <w:ind w:firstLine="420" w:firstLineChars="100"/>
    </w:pPr>
  </w:style>
  <w:style w:type="paragraph" w:styleId="15">
    <w:name w:val="Body Text"/>
    <w:basedOn w:val="1"/>
    <w:link w:val="67"/>
    <w:qFormat/>
    <w:uiPriority w:val="99"/>
    <w:pPr>
      <w:spacing w:after="120"/>
    </w:pPr>
    <w:rPr>
      <w:rFonts w:ascii="Times New Roman" w:hAnsi="Times New Roman" w:eastAsia="宋体" w:cs="Times New Roman"/>
      <w:szCs w:val="20"/>
    </w:rPr>
  </w:style>
  <w:style w:type="paragraph" w:styleId="16">
    <w:name w:val="Normal Indent"/>
    <w:basedOn w:val="1"/>
    <w:link w:val="63"/>
    <w:qFormat/>
    <w:uiPriority w:val="99"/>
    <w:pPr>
      <w:ind w:firstLine="420" w:firstLineChars="200"/>
    </w:pPr>
    <w:rPr>
      <w:rFonts w:ascii="Times New Roman" w:hAnsi="Times New Roman" w:eastAsia="宋体" w:cs="Times New Roman"/>
      <w:szCs w:val="24"/>
    </w:rPr>
  </w:style>
  <w:style w:type="paragraph" w:styleId="17">
    <w:name w:val="caption"/>
    <w:basedOn w:val="1"/>
    <w:next w:val="1"/>
    <w:link w:val="64"/>
    <w:qFormat/>
    <w:uiPriority w:val="0"/>
    <w:pPr>
      <w:spacing w:line="360" w:lineRule="auto"/>
      <w:jc w:val="left"/>
    </w:pPr>
    <w:rPr>
      <w:rFonts w:ascii="Cambria" w:hAnsi="Cambria" w:eastAsia="黑体" w:cs="Times New Roman"/>
      <w:sz w:val="20"/>
      <w:szCs w:val="20"/>
    </w:rPr>
  </w:style>
  <w:style w:type="paragraph" w:styleId="18">
    <w:name w:val="Document Map"/>
    <w:basedOn w:val="1"/>
    <w:link w:val="65"/>
    <w:qFormat/>
    <w:uiPriority w:val="99"/>
    <w:pPr>
      <w:shd w:val="clear" w:color="auto" w:fill="000080"/>
    </w:pPr>
    <w:rPr>
      <w:rFonts w:ascii="Times New Roman" w:hAnsi="Times New Roman" w:eastAsia="宋体" w:cs="Times New Roman"/>
      <w:szCs w:val="20"/>
    </w:rPr>
  </w:style>
  <w:style w:type="paragraph" w:styleId="19">
    <w:name w:val="toc 5"/>
    <w:basedOn w:val="1"/>
    <w:next w:val="1"/>
    <w:unhideWhenUsed/>
    <w:qFormat/>
    <w:uiPriority w:val="39"/>
    <w:pPr>
      <w:ind w:left="840"/>
      <w:jc w:val="left"/>
    </w:pPr>
    <w:rPr>
      <w:rFonts w:ascii="等线" w:hAnsi="Times New Roman" w:eastAsia="等线" w:cs="Times New Roman"/>
      <w:sz w:val="18"/>
      <w:szCs w:val="18"/>
    </w:rPr>
  </w:style>
  <w:style w:type="paragraph" w:styleId="20">
    <w:name w:val="toc 3"/>
    <w:basedOn w:val="1"/>
    <w:next w:val="1"/>
    <w:qFormat/>
    <w:uiPriority w:val="39"/>
    <w:pPr>
      <w:ind w:left="420"/>
      <w:jc w:val="left"/>
    </w:pPr>
    <w:rPr>
      <w:rFonts w:ascii="等线" w:hAnsi="Times New Roman" w:eastAsia="等线" w:cs="Times New Roman"/>
      <w:i/>
      <w:iCs/>
      <w:sz w:val="20"/>
      <w:szCs w:val="20"/>
    </w:rPr>
  </w:style>
  <w:style w:type="paragraph" w:styleId="21">
    <w:name w:val="Plain Text"/>
    <w:basedOn w:val="1"/>
    <w:link w:val="214"/>
    <w:qFormat/>
    <w:uiPriority w:val="0"/>
    <w:rPr>
      <w:rFonts w:ascii="宋体" w:hAnsi="Courier New" w:eastAsia="宋体" w:cs="Times New Roman"/>
      <w:sz w:val="24"/>
    </w:rPr>
  </w:style>
  <w:style w:type="paragraph" w:styleId="22">
    <w:name w:val="toc 8"/>
    <w:basedOn w:val="1"/>
    <w:next w:val="1"/>
    <w:unhideWhenUsed/>
    <w:qFormat/>
    <w:uiPriority w:val="39"/>
    <w:pPr>
      <w:ind w:left="1470"/>
      <w:jc w:val="left"/>
    </w:pPr>
    <w:rPr>
      <w:rFonts w:ascii="等线" w:hAnsi="Times New Roman" w:eastAsia="等线" w:cs="Times New Roman"/>
      <w:sz w:val="18"/>
      <w:szCs w:val="18"/>
    </w:rPr>
  </w:style>
  <w:style w:type="paragraph" w:styleId="23">
    <w:name w:val="Date"/>
    <w:basedOn w:val="1"/>
    <w:next w:val="1"/>
    <w:link w:val="68"/>
    <w:qFormat/>
    <w:uiPriority w:val="99"/>
    <w:pPr>
      <w:ind w:left="100" w:leftChars="2500"/>
    </w:pPr>
    <w:rPr>
      <w:rFonts w:ascii="Times New Roman" w:hAnsi="Times New Roman" w:eastAsia="宋体" w:cs="Times New Roman"/>
      <w:szCs w:val="20"/>
    </w:rPr>
  </w:style>
  <w:style w:type="paragraph" w:styleId="24">
    <w:name w:val="Body Text Indent 2"/>
    <w:basedOn w:val="1"/>
    <w:link w:val="69"/>
    <w:unhideWhenUsed/>
    <w:qFormat/>
    <w:uiPriority w:val="0"/>
    <w:pPr>
      <w:spacing w:after="120" w:line="480" w:lineRule="auto"/>
      <w:ind w:left="420" w:leftChars="200"/>
    </w:pPr>
    <w:rPr>
      <w:rFonts w:ascii="Times New Roman" w:hAnsi="Times New Roman" w:eastAsia="宋体" w:cs="Times New Roman"/>
      <w:szCs w:val="20"/>
    </w:rPr>
  </w:style>
  <w:style w:type="paragraph" w:styleId="25">
    <w:name w:val="Balloon Text"/>
    <w:basedOn w:val="1"/>
    <w:link w:val="70"/>
    <w:qFormat/>
    <w:uiPriority w:val="99"/>
    <w:rPr>
      <w:rFonts w:ascii="Times New Roman" w:hAnsi="Times New Roman" w:eastAsia="宋体" w:cs="Times New Roman"/>
      <w:sz w:val="18"/>
      <w:szCs w:val="20"/>
    </w:rPr>
  </w:style>
  <w:style w:type="paragraph" w:styleId="26">
    <w:name w:val="footer"/>
    <w:basedOn w:val="1"/>
    <w:link w:val="46"/>
    <w:unhideWhenUsed/>
    <w:qFormat/>
    <w:uiPriority w:val="99"/>
    <w:pPr>
      <w:tabs>
        <w:tab w:val="center" w:pos="4153"/>
        <w:tab w:val="right" w:pos="8306"/>
      </w:tabs>
      <w:snapToGrid w:val="0"/>
      <w:jc w:val="left"/>
    </w:pPr>
    <w:rPr>
      <w:sz w:val="18"/>
      <w:szCs w:val="18"/>
    </w:rPr>
  </w:style>
  <w:style w:type="paragraph" w:styleId="27">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before="120" w:after="120"/>
      <w:jc w:val="left"/>
    </w:pPr>
    <w:rPr>
      <w:rFonts w:ascii="等线" w:hAnsi="Times New Roman" w:eastAsia="等线" w:cs="Times New Roman"/>
      <w:b/>
      <w:bCs/>
      <w:caps/>
      <w:sz w:val="20"/>
      <w:szCs w:val="20"/>
    </w:rPr>
  </w:style>
  <w:style w:type="paragraph" w:styleId="29">
    <w:name w:val="toc 4"/>
    <w:basedOn w:val="1"/>
    <w:next w:val="1"/>
    <w:unhideWhenUsed/>
    <w:qFormat/>
    <w:uiPriority w:val="39"/>
    <w:pPr>
      <w:ind w:left="630"/>
      <w:jc w:val="left"/>
    </w:pPr>
    <w:rPr>
      <w:rFonts w:ascii="等线" w:hAnsi="Times New Roman" w:eastAsia="等线" w:cs="Times New Roman"/>
      <w:sz w:val="18"/>
      <w:szCs w:val="18"/>
    </w:rPr>
  </w:style>
  <w:style w:type="paragraph" w:styleId="30">
    <w:name w:val="Subtitle"/>
    <w:basedOn w:val="1"/>
    <w:next w:val="1"/>
    <w:link w:val="71"/>
    <w:qFormat/>
    <w:uiPriority w:val="99"/>
    <w:pPr>
      <w:spacing w:before="240" w:after="60" w:line="312" w:lineRule="auto"/>
      <w:jc w:val="center"/>
      <w:outlineLvl w:val="1"/>
    </w:pPr>
    <w:rPr>
      <w:rFonts w:ascii="Cambria" w:hAnsi="Cambria" w:eastAsia="宋体" w:cs="Times New Roman"/>
      <w:b/>
      <w:bCs/>
      <w:kern w:val="28"/>
      <w:sz w:val="32"/>
      <w:szCs w:val="32"/>
    </w:rPr>
  </w:style>
  <w:style w:type="paragraph" w:styleId="31">
    <w:name w:val="toc 6"/>
    <w:basedOn w:val="1"/>
    <w:next w:val="1"/>
    <w:unhideWhenUsed/>
    <w:qFormat/>
    <w:uiPriority w:val="39"/>
    <w:pPr>
      <w:ind w:left="1050"/>
      <w:jc w:val="left"/>
    </w:pPr>
    <w:rPr>
      <w:rFonts w:ascii="等线" w:hAnsi="Times New Roman" w:eastAsia="等线" w:cs="Times New Roman"/>
      <w:sz w:val="18"/>
      <w:szCs w:val="18"/>
    </w:rPr>
  </w:style>
  <w:style w:type="paragraph" w:styleId="32">
    <w:name w:val="toc 2"/>
    <w:basedOn w:val="1"/>
    <w:next w:val="1"/>
    <w:qFormat/>
    <w:uiPriority w:val="39"/>
    <w:pPr>
      <w:ind w:left="210"/>
      <w:jc w:val="left"/>
    </w:pPr>
    <w:rPr>
      <w:rFonts w:ascii="等线" w:hAnsi="Times New Roman" w:eastAsia="等线" w:cs="Times New Roman"/>
      <w:smallCaps/>
      <w:sz w:val="20"/>
      <w:szCs w:val="20"/>
    </w:rPr>
  </w:style>
  <w:style w:type="paragraph" w:styleId="33">
    <w:name w:val="toc 9"/>
    <w:basedOn w:val="1"/>
    <w:next w:val="1"/>
    <w:unhideWhenUsed/>
    <w:qFormat/>
    <w:uiPriority w:val="39"/>
    <w:pPr>
      <w:ind w:left="1680"/>
      <w:jc w:val="left"/>
    </w:pPr>
    <w:rPr>
      <w:rFonts w:ascii="等线" w:hAnsi="Times New Roman" w:eastAsia="等线" w:cs="Times New Roman"/>
      <w:sz w:val="18"/>
      <w:szCs w:val="18"/>
    </w:rPr>
  </w:style>
  <w:style w:type="paragraph" w:styleId="34">
    <w:name w:val="Normal (Web)"/>
    <w:basedOn w:val="1"/>
    <w:qFormat/>
    <w:uiPriority w:val="99"/>
    <w:pPr>
      <w:spacing w:beforeAutospacing="1" w:afterAutospacing="1"/>
      <w:jc w:val="left"/>
    </w:pPr>
    <w:rPr>
      <w:rFonts w:cs="Times New Roman"/>
      <w:kern w:val="0"/>
      <w:sz w:val="24"/>
      <w:szCs w:val="24"/>
    </w:rPr>
  </w:style>
  <w:style w:type="paragraph" w:styleId="35">
    <w:name w:val="Title"/>
    <w:basedOn w:val="1"/>
    <w:next w:val="1"/>
    <w:link w:val="72"/>
    <w:qFormat/>
    <w:uiPriority w:val="0"/>
    <w:pPr>
      <w:pageBreakBefore/>
      <w:spacing w:before="240" w:after="120"/>
      <w:ind w:left="420" w:hanging="420"/>
      <w:outlineLvl w:val="0"/>
    </w:pPr>
    <w:rPr>
      <w:rFonts w:ascii="Cambria" w:hAnsi="Cambria" w:eastAsia="仿宋_GB2312" w:cs="Times New Roman"/>
      <w:b/>
      <w:bCs/>
      <w:sz w:val="36"/>
      <w:szCs w:val="32"/>
    </w:rPr>
  </w:style>
  <w:style w:type="character" w:styleId="37">
    <w:name w:val="Strong"/>
    <w:basedOn w:val="36"/>
    <w:qFormat/>
    <w:uiPriority w:val="22"/>
    <w:rPr>
      <w:b/>
    </w:rPr>
  </w:style>
  <w:style w:type="character" w:styleId="38">
    <w:name w:val="page number"/>
    <w:qFormat/>
    <w:uiPriority w:val="0"/>
  </w:style>
  <w:style w:type="character" w:styleId="39">
    <w:name w:val="FollowedHyperlink"/>
    <w:unhideWhenUsed/>
    <w:qFormat/>
    <w:uiPriority w:val="99"/>
    <w:rPr>
      <w:color w:val="800080"/>
      <w:u w:val="single"/>
    </w:rPr>
  </w:style>
  <w:style w:type="character" w:styleId="40">
    <w:name w:val="Emphasis"/>
    <w:qFormat/>
    <w:uiPriority w:val="0"/>
    <w:rPr>
      <w:i/>
      <w:iCs/>
    </w:rPr>
  </w:style>
  <w:style w:type="character" w:styleId="41">
    <w:name w:val="Hyperlink"/>
    <w:qFormat/>
    <w:uiPriority w:val="99"/>
    <w:rPr>
      <w:color w:val="0000FF"/>
      <w:u w:val="single"/>
    </w:rPr>
  </w:style>
  <w:style w:type="character" w:styleId="42">
    <w:name w:val="annotation reference"/>
    <w:qFormat/>
    <w:uiPriority w:val="99"/>
    <w:rPr>
      <w:sz w:val="21"/>
    </w:rPr>
  </w:style>
  <w:style w:type="table" w:styleId="44">
    <w:name w:val="Table Grid"/>
    <w:basedOn w:val="4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45">
    <w:name w:val="页眉 Char"/>
    <w:basedOn w:val="36"/>
    <w:link w:val="27"/>
    <w:qFormat/>
    <w:uiPriority w:val="99"/>
    <w:rPr>
      <w:sz w:val="18"/>
      <w:szCs w:val="18"/>
    </w:rPr>
  </w:style>
  <w:style w:type="character" w:customStyle="1" w:styleId="46">
    <w:name w:val="页脚 Char"/>
    <w:basedOn w:val="36"/>
    <w:link w:val="26"/>
    <w:qFormat/>
    <w:uiPriority w:val="99"/>
    <w:rPr>
      <w:sz w:val="18"/>
      <w:szCs w:val="18"/>
    </w:rPr>
  </w:style>
  <w:style w:type="paragraph" w:customStyle="1" w:styleId="47">
    <w:name w:val="样式1"/>
    <w:basedOn w:val="1"/>
    <w:link w:val="48"/>
    <w:qFormat/>
    <w:uiPriority w:val="0"/>
    <w:pPr>
      <w:widowControl/>
      <w:adjustRightInd w:val="0"/>
      <w:spacing w:line="360" w:lineRule="auto"/>
      <w:ind w:firstLine="420" w:firstLineChars="200"/>
    </w:pPr>
    <w:rPr>
      <w:rFonts w:ascii="仿宋_GB2312" w:hAnsi="仿宋_GB2312" w:eastAsia="仿宋_GB2312" w:cs="Times New Roman"/>
      <w:kern w:val="0"/>
      <w:sz w:val="24"/>
      <w:szCs w:val="28"/>
    </w:rPr>
  </w:style>
  <w:style w:type="character" w:customStyle="1" w:styleId="48">
    <w:name w:val="样式1 Char"/>
    <w:link w:val="47"/>
    <w:qFormat/>
    <w:uiPriority w:val="0"/>
    <w:rPr>
      <w:rFonts w:ascii="仿宋_GB2312" w:hAnsi="仿宋_GB2312" w:eastAsia="仿宋_GB2312" w:cs="Times New Roman"/>
      <w:kern w:val="0"/>
      <w:sz w:val="24"/>
      <w:szCs w:val="28"/>
    </w:rPr>
  </w:style>
  <w:style w:type="character" w:customStyle="1" w:styleId="49">
    <w:name w:val="标题 1 Char"/>
    <w:basedOn w:val="36"/>
    <w:link w:val="2"/>
    <w:qFormat/>
    <w:uiPriority w:val="9"/>
    <w:rPr>
      <w:rFonts w:ascii="Times New Roman" w:hAnsi="Times New Roman" w:eastAsia="宋体" w:cs="Times New Roman"/>
      <w:b/>
      <w:kern w:val="44"/>
      <w:sz w:val="36"/>
    </w:rPr>
  </w:style>
  <w:style w:type="character" w:customStyle="1" w:styleId="50">
    <w:name w:val="标题 5 Char"/>
    <w:basedOn w:val="36"/>
    <w:link w:val="6"/>
    <w:qFormat/>
    <w:uiPriority w:val="9"/>
    <w:rPr>
      <w:rFonts w:ascii="Times New Roman" w:hAnsi="Times New Roman" w:eastAsia="宋体" w:cs="Times New Roman"/>
      <w:b/>
      <w:sz w:val="28"/>
      <w:szCs w:val="20"/>
    </w:rPr>
  </w:style>
  <w:style w:type="character" w:customStyle="1" w:styleId="51">
    <w:name w:val="标题 7 Char"/>
    <w:basedOn w:val="36"/>
    <w:link w:val="8"/>
    <w:qFormat/>
    <w:uiPriority w:val="0"/>
    <w:rPr>
      <w:rFonts w:ascii="Times New Roman" w:hAnsi="Times New Roman" w:eastAsia="宋体" w:cs="Times New Roman"/>
      <w:b/>
      <w:sz w:val="24"/>
      <w:szCs w:val="20"/>
    </w:rPr>
  </w:style>
  <w:style w:type="character" w:customStyle="1" w:styleId="52">
    <w:name w:val="标题 8 Char"/>
    <w:basedOn w:val="36"/>
    <w:link w:val="9"/>
    <w:qFormat/>
    <w:uiPriority w:val="0"/>
    <w:rPr>
      <w:rFonts w:ascii="Arial" w:hAnsi="Arial" w:eastAsia="黑体" w:cs="Times New Roman"/>
      <w:sz w:val="24"/>
      <w:szCs w:val="20"/>
    </w:rPr>
  </w:style>
  <w:style w:type="paragraph" w:customStyle="1" w:styleId="53">
    <w:name w:val="默认段落字体 Para Char Char Char"/>
    <w:basedOn w:val="1"/>
    <w:qFormat/>
    <w:uiPriority w:val="0"/>
    <w:rPr>
      <w:rFonts w:ascii="Times New Roman" w:hAnsi="Times New Roman" w:eastAsia="宋体" w:cs="Times New Roman"/>
      <w:szCs w:val="20"/>
    </w:rPr>
  </w:style>
  <w:style w:type="paragraph" w:customStyle="1" w:styleId="54">
    <w:name w:val="标题 2（绿盟科技）"/>
    <w:basedOn w:val="3"/>
    <w:next w:val="1"/>
    <w:qFormat/>
    <w:uiPriority w:val="0"/>
    <w:pPr>
      <w:numPr>
        <w:ilvl w:val="1"/>
        <w:numId w:val="1"/>
      </w:numPr>
      <w:snapToGrid w:val="0"/>
      <w:spacing w:line="415" w:lineRule="auto"/>
      <w:ind w:right="25" w:rightChars="12"/>
      <w:jc w:val="left"/>
    </w:pPr>
    <w:rPr>
      <w:rFonts w:ascii="Arial" w:hAnsi="Arial" w:eastAsia="黑体" w:cs="Times New Roman"/>
      <w:bCs w:val="0"/>
      <w:kern w:val="0"/>
    </w:rPr>
  </w:style>
  <w:style w:type="paragraph" w:customStyle="1" w:styleId="55">
    <w:name w:val="标题 3（绿盟科技）"/>
    <w:basedOn w:val="4"/>
    <w:next w:val="1"/>
    <w:qFormat/>
    <w:uiPriority w:val="0"/>
    <w:pPr>
      <w:numPr>
        <w:ilvl w:val="2"/>
        <w:numId w:val="1"/>
      </w:numPr>
      <w:tabs>
        <w:tab w:val="left" w:pos="960"/>
      </w:tabs>
      <w:jc w:val="left"/>
    </w:pPr>
    <w:rPr>
      <w:rFonts w:ascii="Arial" w:hAnsi="Arial" w:eastAsia="黑体" w:cs="Times New Roman"/>
      <w:bCs w:val="0"/>
      <w:kern w:val="0"/>
      <w:sz w:val="30"/>
      <w:szCs w:val="30"/>
    </w:rPr>
  </w:style>
  <w:style w:type="paragraph" w:customStyle="1" w:styleId="56">
    <w:name w:val="标题 4（绿盟科技）"/>
    <w:basedOn w:val="5"/>
    <w:next w:val="1"/>
    <w:qFormat/>
    <w:uiPriority w:val="0"/>
    <w:pPr>
      <w:widowControl/>
      <w:numPr>
        <w:ilvl w:val="3"/>
        <w:numId w:val="1"/>
      </w:numPr>
      <w:spacing w:after="156"/>
      <w:jc w:val="left"/>
    </w:pPr>
    <w:rPr>
      <w:rFonts w:ascii="Arial" w:hAnsi="Arial" w:eastAsia="黑体" w:cs="Times New Roman"/>
      <w:bCs w:val="0"/>
    </w:rPr>
  </w:style>
  <w:style w:type="paragraph" w:customStyle="1" w:styleId="57">
    <w:name w:val="标题 6（有编号）（绿盟科技）"/>
    <w:basedOn w:val="1"/>
    <w:next w:val="1"/>
    <w:qFormat/>
    <w:uiPriority w:val="0"/>
    <w:pPr>
      <w:keepNext/>
      <w:keepLines/>
      <w:numPr>
        <w:ilvl w:val="5"/>
        <w:numId w:val="1"/>
      </w:numPr>
      <w:spacing w:before="240" w:after="64" w:line="319" w:lineRule="auto"/>
      <w:jc w:val="left"/>
      <w:outlineLvl w:val="5"/>
    </w:pPr>
    <w:rPr>
      <w:rFonts w:ascii="Arial" w:hAnsi="Arial" w:eastAsia="黑体" w:cs="Times New Roman"/>
      <w:b/>
      <w:sz w:val="24"/>
      <w:szCs w:val="24"/>
    </w:rPr>
  </w:style>
  <w:style w:type="character" w:customStyle="1" w:styleId="58">
    <w:name w:val="标题 2 Char"/>
    <w:basedOn w:val="36"/>
    <w:link w:val="3"/>
    <w:qFormat/>
    <w:uiPriority w:val="9"/>
    <w:rPr>
      <w:rFonts w:asciiTheme="majorHAnsi" w:hAnsiTheme="majorHAnsi" w:eastAsiaTheme="majorEastAsia" w:cstheme="majorBidi"/>
      <w:b/>
      <w:bCs/>
      <w:sz w:val="32"/>
      <w:szCs w:val="32"/>
    </w:rPr>
  </w:style>
  <w:style w:type="character" w:customStyle="1" w:styleId="59">
    <w:name w:val="标题 3 Char"/>
    <w:basedOn w:val="36"/>
    <w:link w:val="4"/>
    <w:qFormat/>
    <w:uiPriority w:val="0"/>
    <w:rPr>
      <w:b/>
      <w:bCs/>
      <w:sz w:val="32"/>
      <w:szCs w:val="32"/>
    </w:rPr>
  </w:style>
  <w:style w:type="character" w:customStyle="1" w:styleId="60">
    <w:name w:val="标题 4 Char"/>
    <w:basedOn w:val="36"/>
    <w:link w:val="5"/>
    <w:qFormat/>
    <w:uiPriority w:val="0"/>
    <w:rPr>
      <w:rFonts w:asciiTheme="majorHAnsi" w:hAnsiTheme="majorHAnsi" w:eastAsiaTheme="majorEastAsia" w:cstheme="majorBidi"/>
      <w:b/>
      <w:bCs/>
      <w:sz w:val="28"/>
      <w:szCs w:val="28"/>
    </w:rPr>
  </w:style>
  <w:style w:type="character" w:customStyle="1" w:styleId="61">
    <w:name w:val="标题 6 Char"/>
    <w:basedOn w:val="36"/>
    <w:link w:val="7"/>
    <w:qFormat/>
    <w:uiPriority w:val="9"/>
    <w:rPr>
      <w:rFonts w:ascii="Arial" w:hAnsi="Arial" w:eastAsia="黑体" w:cs="Times New Roman"/>
      <w:b/>
      <w:sz w:val="24"/>
      <w:szCs w:val="20"/>
    </w:rPr>
  </w:style>
  <w:style w:type="character" w:customStyle="1" w:styleId="62">
    <w:name w:val="标题 9 Char"/>
    <w:basedOn w:val="36"/>
    <w:link w:val="10"/>
    <w:qFormat/>
    <w:uiPriority w:val="9"/>
    <w:rPr>
      <w:rFonts w:ascii="Arial" w:hAnsi="Arial" w:eastAsia="黑体" w:cs="Times New Roman"/>
      <w:szCs w:val="20"/>
    </w:rPr>
  </w:style>
  <w:style w:type="character" w:customStyle="1" w:styleId="63">
    <w:name w:val="正文缩进 Char"/>
    <w:link w:val="16"/>
    <w:qFormat/>
    <w:uiPriority w:val="99"/>
    <w:rPr>
      <w:rFonts w:ascii="Times New Roman" w:hAnsi="Times New Roman" w:eastAsia="宋体" w:cs="Times New Roman"/>
      <w:szCs w:val="24"/>
    </w:rPr>
  </w:style>
  <w:style w:type="character" w:customStyle="1" w:styleId="64">
    <w:name w:val="题注 Char"/>
    <w:link w:val="17"/>
    <w:qFormat/>
    <w:uiPriority w:val="0"/>
    <w:rPr>
      <w:rFonts w:ascii="Cambria" w:hAnsi="Cambria" w:eastAsia="黑体" w:cs="Times New Roman"/>
      <w:sz w:val="20"/>
      <w:szCs w:val="20"/>
    </w:rPr>
  </w:style>
  <w:style w:type="character" w:customStyle="1" w:styleId="65">
    <w:name w:val="文档结构图 Char"/>
    <w:basedOn w:val="36"/>
    <w:link w:val="18"/>
    <w:qFormat/>
    <w:uiPriority w:val="99"/>
    <w:rPr>
      <w:rFonts w:ascii="Times New Roman" w:hAnsi="Times New Roman" w:eastAsia="宋体" w:cs="Times New Roman"/>
      <w:szCs w:val="20"/>
      <w:shd w:val="clear" w:color="auto" w:fill="000080"/>
    </w:rPr>
  </w:style>
  <w:style w:type="character" w:customStyle="1" w:styleId="66">
    <w:name w:val="批注文字 Char"/>
    <w:basedOn w:val="36"/>
    <w:link w:val="12"/>
    <w:qFormat/>
    <w:uiPriority w:val="99"/>
    <w:rPr>
      <w:rFonts w:ascii="Times New Roman" w:hAnsi="Times New Roman" w:eastAsia="宋体" w:cs="Times New Roman"/>
      <w:szCs w:val="20"/>
    </w:rPr>
  </w:style>
  <w:style w:type="character" w:customStyle="1" w:styleId="67">
    <w:name w:val="正文文本 Char"/>
    <w:basedOn w:val="36"/>
    <w:link w:val="15"/>
    <w:qFormat/>
    <w:uiPriority w:val="99"/>
    <w:rPr>
      <w:rFonts w:ascii="Times New Roman" w:hAnsi="Times New Roman" w:eastAsia="宋体" w:cs="Times New Roman"/>
      <w:szCs w:val="20"/>
    </w:rPr>
  </w:style>
  <w:style w:type="character" w:customStyle="1" w:styleId="68">
    <w:name w:val="日期 Char"/>
    <w:basedOn w:val="36"/>
    <w:link w:val="23"/>
    <w:qFormat/>
    <w:uiPriority w:val="99"/>
    <w:rPr>
      <w:rFonts w:ascii="Times New Roman" w:hAnsi="Times New Roman" w:eastAsia="宋体" w:cs="Times New Roman"/>
      <w:szCs w:val="20"/>
    </w:rPr>
  </w:style>
  <w:style w:type="character" w:customStyle="1" w:styleId="69">
    <w:name w:val="正文文本缩进 2 Char"/>
    <w:basedOn w:val="36"/>
    <w:link w:val="24"/>
    <w:qFormat/>
    <w:uiPriority w:val="0"/>
    <w:rPr>
      <w:rFonts w:ascii="Times New Roman" w:hAnsi="Times New Roman" w:eastAsia="宋体" w:cs="Times New Roman"/>
      <w:szCs w:val="20"/>
    </w:rPr>
  </w:style>
  <w:style w:type="character" w:customStyle="1" w:styleId="70">
    <w:name w:val="批注框文本 Char"/>
    <w:basedOn w:val="36"/>
    <w:link w:val="25"/>
    <w:qFormat/>
    <w:uiPriority w:val="99"/>
    <w:rPr>
      <w:rFonts w:ascii="Times New Roman" w:hAnsi="Times New Roman" w:eastAsia="宋体" w:cs="Times New Roman"/>
      <w:sz w:val="18"/>
      <w:szCs w:val="20"/>
    </w:rPr>
  </w:style>
  <w:style w:type="character" w:customStyle="1" w:styleId="71">
    <w:name w:val="副标题 Char"/>
    <w:basedOn w:val="36"/>
    <w:link w:val="30"/>
    <w:qFormat/>
    <w:uiPriority w:val="99"/>
    <w:rPr>
      <w:rFonts w:ascii="Cambria" w:hAnsi="Cambria" w:eastAsia="宋体" w:cs="Times New Roman"/>
      <w:b/>
      <w:bCs/>
      <w:kern w:val="28"/>
      <w:sz w:val="32"/>
      <w:szCs w:val="32"/>
    </w:rPr>
  </w:style>
  <w:style w:type="character" w:customStyle="1" w:styleId="72">
    <w:name w:val="标题 Char"/>
    <w:basedOn w:val="36"/>
    <w:link w:val="35"/>
    <w:qFormat/>
    <w:uiPriority w:val="0"/>
    <w:rPr>
      <w:rFonts w:ascii="Cambria" w:hAnsi="Cambria" w:eastAsia="仿宋_GB2312" w:cs="Times New Roman"/>
      <w:b/>
      <w:bCs/>
      <w:sz w:val="36"/>
      <w:szCs w:val="32"/>
    </w:rPr>
  </w:style>
  <w:style w:type="character" w:customStyle="1" w:styleId="73">
    <w:name w:val="批注主题 Char"/>
    <w:basedOn w:val="66"/>
    <w:link w:val="11"/>
    <w:qFormat/>
    <w:uiPriority w:val="99"/>
    <w:rPr>
      <w:rFonts w:ascii="Times New Roman" w:hAnsi="Times New Roman" w:eastAsia="宋体" w:cs="Times New Roman"/>
      <w:b/>
      <w:szCs w:val="20"/>
    </w:rPr>
  </w:style>
  <w:style w:type="character" w:customStyle="1" w:styleId="74">
    <w:name w:val="正文首行缩进 Char"/>
    <w:basedOn w:val="67"/>
    <w:link w:val="14"/>
    <w:qFormat/>
    <w:uiPriority w:val="99"/>
    <w:rPr>
      <w:rFonts w:ascii="Times New Roman" w:hAnsi="Times New Roman" w:eastAsia="宋体" w:cs="Times New Roman"/>
      <w:szCs w:val="20"/>
    </w:rPr>
  </w:style>
  <w:style w:type="paragraph" w:customStyle="1" w:styleId="75">
    <w:name w:val="Char"/>
    <w:basedOn w:val="6"/>
    <w:qFormat/>
    <w:uiPriority w:val="0"/>
    <w:pPr>
      <w:widowControl/>
      <w:numPr>
        <w:numId w:val="2"/>
      </w:numPr>
      <w:spacing w:after="160" w:line="240" w:lineRule="exact"/>
      <w:jc w:val="left"/>
    </w:pPr>
  </w:style>
  <w:style w:type="paragraph" w:customStyle="1" w:styleId="76">
    <w:name w:val="正文（首行缩进2字符） Char Char"/>
    <w:basedOn w:val="1"/>
    <w:next w:val="1"/>
    <w:qFormat/>
    <w:uiPriority w:val="99"/>
    <w:pPr>
      <w:spacing w:line="360" w:lineRule="auto"/>
      <w:ind w:firstLine="482"/>
    </w:pPr>
    <w:rPr>
      <w:rFonts w:ascii="Times New Roman" w:hAnsi="Times New Roman" w:eastAsia="宋体" w:cs="Times New Roman"/>
      <w:sz w:val="24"/>
      <w:szCs w:val="20"/>
    </w:rPr>
  </w:style>
  <w:style w:type="paragraph" w:customStyle="1" w:styleId="77">
    <w:name w:val="Char Char Char Char Char Char Char Char Char Char Char Char Char Char Char Char"/>
    <w:basedOn w:val="1"/>
    <w:qFormat/>
    <w:uiPriority w:val="0"/>
    <w:pPr>
      <w:tabs>
        <w:tab w:val="left" w:pos="360"/>
      </w:tabs>
    </w:pPr>
    <w:rPr>
      <w:rFonts w:ascii="Times New Roman" w:hAnsi="Times New Roman" w:eastAsia="宋体" w:cs="Times New Roman"/>
      <w:sz w:val="24"/>
      <w:szCs w:val="20"/>
    </w:rPr>
  </w:style>
  <w:style w:type="paragraph" w:customStyle="1" w:styleId="78">
    <w:name w:val="ECS正文1"/>
    <w:basedOn w:val="1"/>
    <w:qFormat/>
    <w:uiPriority w:val="99"/>
    <w:pPr>
      <w:widowControl/>
      <w:adjustRightInd w:val="0"/>
      <w:snapToGrid w:val="0"/>
      <w:spacing w:line="360" w:lineRule="auto"/>
      <w:ind w:firstLine="480"/>
      <w:jc w:val="left"/>
    </w:pPr>
    <w:rPr>
      <w:rFonts w:ascii="宋体" w:hAnsi="宋体" w:eastAsia="宋体" w:cs="Times New Roman"/>
      <w:sz w:val="24"/>
      <w:szCs w:val="20"/>
    </w:rPr>
  </w:style>
  <w:style w:type="paragraph" w:customStyle="1" w:styleId="79">
    <w:name w:val="1 Char Char Char Char Char Char Char Char Char Char Char Char Char"/>
    <w:basedOn w:val="1"/>
    <w:qFormat/>
    <w:uiPriority w:val="99"/>
    <w:rPr>
      <w:rFonts w:ascii="Times New Roman" w:hAnsi="Times New Roman" w:eastAsia="宋体" w:cs="Times New Roman"/>
      <w:sz w:val="24"/>
      <w:szCs w:val="20"/>
    </w:rPr>
  </w:style>
  <w:style w:type="paragraph" w:customStyle="1" w:styleId="80">
    <w:name w:val="样式 小四 段前: 1.55 磅 段后: 1.55 磅 行距: 1.5 倍行距"/>
    <w:basedOn w:val="1"/>
    <w:qFormat/>
    <w:uiPriority w:val="0"/>
    <w:pPr>
      <w:spacing w:before="31" w:after="31" w:line="360" w:lineRule="auto"/>
    </w:pPr>
    <w:rPr>
      <w:rFonts w:ascii="Times New Roman" w:hAnsi="Times New Roman" w:eastAsia="宋体" w:cs="Times New Roman"/>
      <w:sz w:val="28"/>
      <w:szCs w:val="20"/>
    </w:rPr>
  </w:style>
  <w:style w:type="paragraph" w:customStyle="1" w:styleId="81">
    <w:name w:val="样式 首行缩进:  2 字符 段前: 7.8 磅"/>
    <w:basedOn w:val="1"/>
    <w:qFormat/>
    <w:uiPriority w:val="99"/>
    <w:pPr>
      <w:spacing w:after="120" w:line="360" w:lineRule="auto"/>
      <w:ind w:firstLine="360"/>
    </w:pPr>
    <w:rPr>
      <w:rFonts w:ascii="Times New Roman" w:hAnsi="Times New Roman" w:eastAsia="宋体" w:cs="Times New Roman"/>
      <w:sz w:val="24"/>
      <w:szCs w:val="20"/>
    </w:rPr>
  </w:style>
  <w:style w:type="paragraph" w:styleId="82">
    <w:name w:val="List Paragraph"/>
    <w:basedOn w:val="1"/>
    <w:link w:val="83"/>
    <w:qFormat/>
    <w:uiPriority w:val="34"/>
    <w:pPr>
      <w:ind w:firstLine="420" w:firstLineChars="200"/>
    </w:pPr>
    <w:rPr>
      <w:rFonts w:ascii="Calibri" w:hAnsi="Calibri" w:eastAsia="宋体" w:cs="Times New Roman"/>
    </w:rPr>
  </w:style>
  <w:style w:type="character" w:customStyle="1" w:styleId="83">
    <w:name w:val="列出段落 Char"/>
    <w:link w:val="82"/>
    <w:qFormat/>
    <w:uiPriority w:val="34"/>
    <w:rPr>
      <w:rFonts w:ascii="Calibri" w:hAnsi="Calibri" w:eastAsia="宋体" w:cs="Times New Roman"/>
    </w:rPr>
  </w:style>
  <w:style w:type="paragraph" w:customStyle="1" w:styleId="84">
    <w:name w:val="1.1.1"/>
    <w:basedOn w:val="4"/>
    <w:link w:val="85"/>
    <w:qFormat/>
    <w:uiPriority w:val="0"/>
    <w:pPr>
      <w:tabs>
        <w:tab w:val="left" w:pos="1080"/>
      </w:tabs>
      <w:adjustRightInd w:val="0"/>
      <w:snapToGrid w:val="0"/>
      <w:spacing w:after="0" w:line="413" w:lineRule="auto"/>
      <w:ind w:left="340" w:hanging="340"/>
    </w:pPr>
    <w:rPr>
      <w:rFonts w:ascii="Times New Roman" w:hAnsi="Times New Roman" w:eastAsia="宋体" w:cs="Times New Roman"/>
      <w:bCs w:val="0"/>
      <w:sz w:val="28"/>
      <w:szCs w:val="20"/>
    </w:rPr>
  </w:style>
  <w:style w:type="character" w:customStyle="1" w:styleId="85">
    <w:name w:val="1.1.1 Char"/>
    <w:link w:val="84"/>
    <w:qFormat/>
    <w:uiPriority w:val="0"/>
    <w:rPr>
      <w:rFonts w:ascii="Times New Roman" w:hAnsi="Times New Roman" w:eastAsia="宋体" w:cs="Times New Roman"/>
      <w:b/>
      <w:sz w:val="28"/>
      <w:szCs w:val="20"/>
    </w:rPr>
  </w:style>
  <w:style w:type="paragraph" w:customStyle="1" w:styleId="86">
    <w:name w:val="Char1"/>
    <w:basedOn w:val="6"/>
    <w:qFormat/>
    <w:uiPriority w:val="99"/>
    <w:pPr>
      <w:widowControl/>
      <w:numPr>
        <w:ilvl w:val="0"/>
        <w:numId w:val="0"/>
      </w:numPr>
      <w:spacing w:after="160" w:line="240" w:lineRule="exact"/>
      <w:ind w:left="2580" w:hanging="420"/>
      <w:jc w:val="left"/>
    </w:pPr>
  </w:style>
  <w:style w:type="paragraph" w:customStyle="1" w:styleId="87">
    <w:name w:val="Char Char Char Char Char Char Char Char Char Char Char Char Char Char Char Char1"/>
    <w:basedOn w:val="1"/>
    <w:qFormat/>
    <w:uiPriority w:val="99"/>
    <w:pPr>
      <w:tabs>
        <w:tab w:val="left" w:pos="360"/>
      </w:tabs>
    </w:pPr>
    <w:rPr>
      <w:rFonts w:ascii="Times New Roman" w:hAnsi="Times New Roman" w:eastAsia="宋体" w:cs="Times New Roman"/>
      <w:sz w:val="24"/>
      <w:szCs w:val="20"/>
    </w:rPr>
  </w:style>
  <w:style w:type="paragraph" w:customStyle="1" w:styleId="88">
    <w:name w:val="样式 首行缩进:  2 字符5"/>
    <w:basedOn w:val="1"/>
    <w:qFormat/>
    <w:uiPriority w:val="99"/>
    <w:pPr>
      <w:spacing w:before="120" w:line="360" w:lineRule="auto"/>
      <w:ind w:firstLine="480" w:firstLineChars="200"/>
    </w:pPr>
    <w:rPr>
      <w:rFonts w:ascii="Times New Roman" w:hAnsi="Times New Roman" w:eastAsia="宋体" w:cs="宋体"/>
      <w:sz w:val="24"/>
      <w:szCs w:val="20"/>
    </w:rPr>
  </w:style>
  <w:style w:type="paragraph" w:customStyle="1" w:styleId="89">
    <w:name w:val="标题（一）"/>
    <w:basedOn w:val="1"/>
    <w:next w:val="1"/>
    <w:qFormat/>
    <w:uiPriority w:val="99"/>
    <w:pPr>
      <w:numPr>
        <w:ilvl w:val="0"/>
        <w:numId w:val="3"/>
      </w:numPr>
      <w:tabs>
        <w:tab w:val="left" w:pos="840"/>
      </w:tabs>
      <w:ind w:firstLine="0"/>
    </w:pPr>
    <w:rPr>
      <w:rFonts w:ascii="Times New Roman" w:hAnsi="Times New Roman" w:eastAsia="宋体" w:cs="Times New Roman"/>
      <w:b/>
      <w:szCs w:val="21"/>
    </w:rPr>
  </w:style>
  <w:style w:type="paragraph" w:customStyle="1" w:styleId="90">
    <w:name w:val="标题 1（绿盟科技）"/>
    <w:basedOn w:val="2"/>
    <w:next w:val="1"/>
    <w:qFormat/>
    <w:uiPriority w:val="0"/>
    <w:pPr>
      <w:pageBreakBefore/>
      <w:numPr>
        <w:numId w:val="0"/>
      </w:numPr>
      <w:pBdr>
        <w:bottom w:val="single" w:color="auto" w:sz="48" w:space="1"/>
      </w:pBdr>
      <w:adjustRightInd/>
      <w:spacing w:before="600" w:after="330" w:line="576" w:lineRule="auto"/>
      <w:ind w:left="907" w:right="29" w:rightChars="12" w:hanging="907"/>
      <w:jc w:val="left"/>
    </w:pPr>
    <w:rPr>
      <w:rFonts w:ascii="Arial" w:hAnsi="Arial" w:eastAsia="黑体"/>
      <w:bCs/>
      <w:szCs w:val="44"/>
    </w:rPr>
  </w:style>
  <w:style w:type="paragraph" w:customStyle="1" w:styleId="91">
    <w:name w:val="GP标题1"/>
    <w:basedOn w:val="1"/>
    <w:next w:val="1"/>
    <w:qFormat/>
    <w:uiPriority w:val="99"/>
    <w:pPr>
      <w:adjustRightInd w:val="0"/>
      <w:snapToGrid w:val="0"/>
      <w:spacing w:afterLines="50"/>
      <w:ind w:left="425" w:hanging="425"/>
      <w:jc w:val="center"/>
      <w:outlineLvl w:val="0"/>
    </w:pPr>
    <w:rPr>
      <w:rFonts w:ascii="黑体" w:hAnsi="黑体" w:eastAsia="黑体" w:cs="Times New Roman"/>
      <w:b/>
      <w:sz w:val="36"/>
      <w:szCs w:val="36"/>
    </w:rPr>
  </w:style>
  <w:style w:type="paragraph" w:customStyle="1" w:styleId="92">
    <w:name w:val="GP标题2"/>
    <w:basedOn w:val="1"/>
    <w:next w:val="1"/>
    <w:qFormat/>
    <w:uiPriority w:val="99"/>
    <w:pPr>
      <w:spacing w:beforeLines="50" w:afterLines="50"/>
      <w:jc w:val="left"/>
      <w:outlineLvl w:val="1"/>
    </w:pPr>
    <w:rPr>
      <w:rFonts w:ascii="黑体" w:hAnsi="黑体" w:eastAsia="黑体" w:cs="黑体"/>
      <w:b/>
      <w:sz w:val="32"/>
      <w:szCs w:val="32"/>
    </w:rPr>
  </w:style>
  <w:style w:type="paragraph" w:customStyle="1" w:styleId="93">
    <w:name w:val="GP标题4"/>
    <w:basedOn w:val="1"/>
    <w:next w:val="1"/>
    <w:qFormat/>
    <w:uiPriority w:val="99"/>
    <w:pPr>
      <w:spacing w:beforeLines="50" w:afterLines="50"/>
      <w:jc w:val="left"/>
      <w:outlineLvl w:val="3"/>
    </w:pPr>
    <w:rPr>
      <w:rFonts w:ascii="黑体" w:hAnsi="黑体" w:eastAsia="黑体" w:cs="黑体"/>
      <w:b/>
      <w:sz w:val="28"/>
      <w:szCs w:val="28"/>
    </w:rPr>
  </w:style>
  <w:style w:type="paragraph" w:customStyle="1" w:styleId="94">
    <w:name w:val="GP标题5"/>
    <w:basedOn w:val="1"/>
    <w:next w:val="1"/>
    <w:qFormat/>
    <w:uiPriority w:val="99"/>
    <w:pPr>
      <w:spacing w:beforeLines="50" w:afterLines="50"/>
      <w:jc w:val="left"/>
      <w:outlineLvl w:val="4"/>
    </w:pPr>
    <w:rPr>
      <w:rFonts w:ascii="黑体" w:hAnsi="黑体" w:eastAsia="黑体" w:cs="黑体"/>
      <w:b/>
      <w:szCs w:val="20"/>
    </w:rPr>
  </w:style>
  <w:style w:type="paragraph" w:customStyle="1" w:styleId="95">
    <w:name w:val="前言、引言标题"/>
    <w:next w:val="1"/>
    <w:qFormat/>
    <w:uiPriority w:val="0"/>
    <w:pPr>
      <w:shd w:val="clear" w:color="FFFFFF"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96">
    <w:name w:val="第一级标题"/>
    <w:basedOn w:val="2"/>
    <w:next w:val="1"/>
    <w:qFormat/>
    <w:uiPriority w:val="99"/>
    <w:pPr>
      <w:pageBreakBefore/>
      <w:numPr>
        <w:numId w:val="0"/>
      </w:numPr>
      <w:tabs>
        <w:tab w:val="left" w:pos="432"/>
      </w:tabs>
      <w:adjustRightInd/>
      <w:snapToGrid/>
      <w:spacing w:after="330" w:line="360" w:lineRule="auto"/>
      <w:ind w:left="425"/>
    </w:pPr>
    <w:rPr>
      <w:rFonts w:ascii="微软雅黑" w:hAnsi="宋体" w:eastAsia="微软雅黑"/>
      <w:b w:val="0"/>
      <w:bCs/>
      <w:szCs w:val="28"/>
    </w:rPr>
  </w:style>
  <w:style w:type="paragraph" w:customStyle="1" w:styleId="97">
    <w:name w:val="第二级标题"/>
    <w:basedOn w:val="3"/>
    <w:next w:val="1"/>
    <w:qFormat/>
    <w:uiPriority w:val="99"/>
    <w:pPr>
      <w:ind w:left="567"/>
    </w:pPr>
    <w:rPr>
      <w:rFonts w:ascii="微软雅黑" w:hAnsi="微软雅黑" w:eastAsia="微软雅黑" w:cs="Calibri"/>
      <w:b w:val="0"/>
      <w:bCs w:val="0"/>
      <w:snapToGrid w:val="0"/>
      <w:w w:val="0"/>
      <w:kern w:val="0"/>
      <w:sz w:val="28"/>
      <w:szCs w:val="28"/>
    </w:rPr>
  </w:style>
  <w:style w:type="paragraph" w:customStyle="1" w:styleId="98">
    <w:name w:val="第三极标题"/>
    <w:basedOn w:val="4"/>
    <w:next w:val="1"/>
    <w:qFormat/>
    <w:uiPriority w:val="99"/>
    <w:pPr>
      <w:tabs>
        <w:tab w:val="left" w:pos="851"/>
      </w:tabs>
      <w:spacing w:line="360" w:lineRule="auto"/>
      <w:ind w:left="709"/>
    </w:pPr>
    <w:rPr>
      <w:rFonts w:ascii="微软雅黑" w:hAnsi="微软雅黑" w:eastAsia="微软雅黑" w:cs="Times New Roman"/>
      <w:b w:val="0"/>
      <w:bCs w:val="0"/>
      <w:color w:val="000000"/>
      <w:sz w:val="28"/>
      <w:szCs w:val="28"/>
    </w:rPr>
  </w:style>
  <w:style w:type="paragraph" w:customStyle="1" w:styleId="99">
    <w:name w:val="第四级标题"/>
    <w:basedOn w:val="5"/>
    <w:next w:val="1"/>
    <w:qFormat/>
    <w:uiPriority w:val="99"/>
    <w:pPr>
      <w:tabs>
        <w:tab w:val="left" w:pos="851"/>
      </w:tabs>
      <w:ind w:left="851" w:hanging="851"/>
    </w:pPr>
    <w:rPr>
      <w:rFonts w:ascii="微软雅黑" w:hAnsi="微软雅黑" w:eastAsia="微软雅黑" w:cs="Times New Roman"/>
      <w:b w:val="0"/>
    </w:rPr>
  </w:style>
  <w:style w:type="paragraph" w:customStyle="1" w:styleId="100">
    <w:name w:val="第五级标题"/>
    <w:basedOn w:val="6"/>
    <w:next w:val="1"/>
    <w:qFormat/>
    <w:uiPriority w:val="99"/>
    <w:pPr>
      <w:numPr>
        <w:ilvl w:val="0"/>
        <w:numId w:val="0"/>
      </w:numPr>
      <w:spacing w:before="120" w:after="120" w:line="360" w:lineRule="auto"/>
      <w:ind w:left="992"/>
    </w:pPr>
    <w:rPr>
      <w:rFonts w:ascii="微软雅黑" w:hAnsi="微软雅黑" w:eastAsia="微软雅黑"/>
      <w:b w:val="0"/>
      <w:bCs/>
      <w:color w:val="000000"/>
      <w:kern w:val="0"/>
      <w:szCs w:val="28"/>
    </w:rPr>
  </w:style>
  <w:style w:type="paragraph" w:customStyle="1" w:styleId="101">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2">
    <w:name w:val="font6"/>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03">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04">
    <w:name w:val="font8"/>
    <w:basedOn w:val="1"/>
    <w:qFormat/>
    <w:uiPriority w:val="0"/>
    <w:pPr>
      <w:widowControl/>
      <w:spacing w:before="100" w:beforeAutospacing="1" w:after="100" w:afterAutospacing="1"/>
      <w:jc w:val="left"/>
    </w:pPr>
    <w:rPr>
      <w:rFonts w:ascii="Courier New" w:hAnsi="Courier New" w:eastAsia="宋体" w:cs="Courier New"/>
      <w:color w:val="000000"/>
      <w:kern w:val="0"/>
      <w:sz w:val="20"/>
      <w:szCs w:val="20"/>
    </w:rPr>
  </w:style>
  <w:style w:type="paragraph" w:customStyle="1" w:styleId="105">
    <w:name w:val="font9"/>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2"/>
    </w:rPr>
  </w:style>
  <w:style w:type="paragraph" w:customStyle="1" w:styleId="106">
    <w:name w:val="font10"/>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107">
    <w:name w:val="font11"/>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8">
    <w:name w:val="font12"/>
    <w:basedOn w:val="1"/>
    <w:qFormat/>
    <w:uiPriority w:val="99"/>
    <w:pPr>
      <w:widowControl/>
      <w:spacing w:before="100" w:beforeAutospacing="1" w:after="100" w:afterAutospacing="1"/>
      <w:jc w:val="left"/>
    </w:pPr>
    <w:rPr>
      <w:rFonts w:ascii="Times New Roman" w:hAnsi="Times New Roman" w:eastAsia="宋体" w:cs="Times New Roman"/>
      <w:kern w:val="0"/>
      <w:szCs w:val="21"/>
    </w:rPr>
  </w:style>
  <w:style w:type="paragraph" w:customStyle="1" w:styleId="109">
    <w:name w:val="font13"/>
    <w:basedOn w:val="1"/>
    <w:qFormat/>
    <w:uiPriority w:val="99"/>
    <w:pPr>
      <w:widowControl/>
      <w:spacing w:before="100" w:beforeAutospacing="1" w:after="100" w:afterAutospacing="1"/>
      <w:jc w:val="left"/>
    </w:pPr>
    <w:rPr>
      <w:rFonts w:ascii="Arial" w:hAnsi="Arial" w:eastAsia="宋体" w:cs="Arial"/>
      <w:kern w:val="0"/>
      <w:sz w:val="18"/>
      <w:szCs w:val="18"/>
    </w:rPr>
  </w:style>
  <w:style w:type="paragraph" w:customStyle="1" w:styleId="110">
    <w:name w:val="xl67"/>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eastAsia="宋体" w:cs="Times New Roman"/>
      <w:color w:val="000000"/>
      <w:kern w:val="0"/>
      <w:sz w:val="20"/>
      <w:szCs w:val="20"/>
    </w:rPr>
  </w:style>
  <w:style w:type="paragraph" w:customStyle="1" w:styleId="111">
    <w:name w:val="xl6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Times New Roman" w:hAnsi="Times New Roman" w:eastAsia="宋体" w:cs="Times New Roman"/>
      <w:color w:val="000000"/>
      <w:kern w:val="0"/>
      <w:sz w:val="24"/>
      <w:szCs w:val="24"/>
    </w:rPr>
  </w:style>
  <w:style w:type="paragraph" w:customStyle="1" w:styleId="112">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color w:val="000000"/>
      <w:kern w:val="0"/>
      <w:sz w:val="20"/>
      <w:szCs w:val="20"/>
    </w:rPr>
  </w:style>
  <w:style w:type="paragraph" w:customStyle="1" w:styleId="113">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color w:val="000000"/>
      <w:kern w:val="0"/>
      <w:sz w:val="24"/>
      <w:szCs w:val="24"/>
    </w:rPr>
  </w:style>
  <w:style w:type="paragraph" w:customStyle="1" w:styleId="114">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color w:val="000000"/>
      <w:kern w:val="0"/>
      <w:sz w:val="24"/>
      <w:szCs w:val="24"/>
    </w:rPr>
  </w:style>
  <w:style w:type="paragraph" w:customStyle="1" w:styleId="115">
    <w:name w:val="xl7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Times New Roman" w:hAnsi="Times New Roman" w:eastAsia="宋体" w:cs="Times New Roman"/>
      <w:color w:val="000000"/>
      <w:kern w:val="0"/>
      <w:sz w:val="24"/>
      <w:szCs w:val="24"/>
    </w:rPr>
  </w:style>
  <w:style w:type="paragraph" w:customStyle="1" w:styleId="11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11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0"/>
      <w:szCs w:val="20"/>
    </w:rPr>
  </w:style>
  <w:style w:type="paragraph" w:customStyle="1" w:styleId="118">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color w:val="000000"/>
      <w:kern w:val="0"/>
      <w:sz w:val="20"/>
      <w:szCs w:val="20"/>
    </w:rPr>
  </w:style>
  <w:style w:type="paragraph" w:customStyle="1" w:styleId="119">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120">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color w:val="000000"/>
      <w:kern w:val="0"/>
      <w:sz w:val="20"/>
      <w:szCs w:val="20"/>
    </w:rPr>
  </w:style>
  <w:style w:type="paragraph" w:customStyle="1" w:styleId="121">
    <w:name w:val="xl7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2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4"/>
      <w:szCs w:val="24"/>
    </w:rPr>
  </w:style>
  <w:style w:type="paragraph" w:customStyle="1" w:styleId="124">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4"/>
      <w:szCs w:val="24"/>
    </w:rPr>
  </w:style>
  <w:style w:type="paragraph" w:customStyle="1" w:styleId="12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12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12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12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129">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13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3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32">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textAlignment w:val="center"/>
    </w:pPr>
    <w:rPr>
      <w:rFonts w:ascii="Arial" w:hAnsi="Arial" w:eastAsia="宋体" w:cs="Arial"/>
      <w:b/>
      <w:bCs/>
      <w:kern w:val="0"/>
      <w:sz w:val="18"/>
      <w:szCs w:val="18"/>
    </w:rPr>
  </w:style>
  <w:style w:type="paragraph" w:customStyle="1" w:styleId="133">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textAlignment w:val="center"/>
    </w:pPr>
    <w:rPr>
      <w:rFonts w:ascii="宋体" w:hAnsi="宋体" w:eastAsia="宋体" w:cs="宋体"/>
      <w:b/>
      <w:bCs/>
      <w:kern w:val="0"/>
      <w:sz w:val="18"/>
      <w:szCs w:val="18"/>
    </w:rPr>
  </w:style>
  <w:style w:type="paragraph" w:customStyle="1" w:styleId="13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3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36">
    <w:name w:val="xl9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37">
    <w:name w:val="xl9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宋体" w:cs="Arial"/>
      <w:kern w:val="0"/>
      <w:sz w:val="18"/>
      <w:szCs w:val="18"/>
    </w:rPr>
  </w:style>
  <w:style w:type="paragraph" w:customStyle="1" w:styleId="138">
    <w:name w:val="xl95"/>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18"/>
      <w:szCs w:val="18"/>
    </w:rPr>
  </w:style>
  <w:style w:type="paragraph" w:customStyle="1" w:styleId="139">
    <w:name w:val="xl96"/>
    <w:basedOn w:val="1"/>
    <w:qFormat/>
    <w:uiPriority w:val="99"/>
    <w:pPr>
      <w:widowControl/>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140">
    <w:name w:val="xl97"/>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Arial" w:hAnsi="Arial" w:eastAsia="宋体" w:cs="Arial"/>
      <w:kern w:val="0"/>
      <w:sz w:val="18"/>
      <w:szCs w:val="18"/>
    </w:rPr>
  </w:style>
  <w:style w:type="paragraph" w:customStyle="1" w:styleId="141">
    <w:name w:val="标题4——4"/>
    <w:basedOn w:val="5"/>
    <w:next w:val="1"/>
    <w:qFormat/>
    <w:uiPriority w:val="0"/>
    <w:pPr>
      <w:tabs>
        <w:tab w:val="left" w:pos="0"/>
      </w:tabs>
      <w:spacing w:beforeLines="50" w:after="0" w:line="288" w:lineRule="auto"/>
      <w:ind w:left="1984" w:right="2" w:hanging="708"/>
    </w:pPr>
    <w:rPr>
      <w:rFonts w:ascii="Arial" w:hAnsi="Arial" w:eastAsia="楷体_GB2312" w:cs="Times New Roman"/>
      <w:bCs w:val="0"/>
      <w:szCs w:val="30"/>
    </w:rPr>
  </w:style>
  <w:style w:type="paragraph" w:customStyle="1" w:styleId="142">
    <w:name w:val="标题 5（无编号）（绿盟科技）"/>
    <w:basedOn w:val="6"/>
    <w:next w:val="1"/>
    <w:qFormat/>
    <w:uiPriority w:val="0"/>
    <w:pPr>
      <w:numPr>
        <w:numId w:val="4"/>
      </w:numPr>
      <w:tabs>
        <w:tab w:val="left" w:pos="1080"/>
      </w:tabs>
      <w:spacing w:before="60" w:after="156" w:line="377" w:lineRule="auto"/>
      <w:jc w:val="left"/>
    </w:pPr>
    <w:rPr>
      <w:rFonts w:ascii="Arial" w:hAnsi="Arial" w:eastAsia="黑体"/>
      <w:b w:val="0"/>
      <w:sz w:val="24"/>
      <w:szCs w:val="28"/>
    </w:rPr>
  </w:style>
  <w:style w:type="paragraph" w:customStyle="1" w:styleId="143">
    <w:name w:val="列表编号 31"/>
    <w:basedOn w:val="1"/>
    <w:qFormat/>
    <w:uiPriority w:val="99"/>
    <w:pPr>
      <w:tabs>
        <w:tab w:val="left" w:pos="1200"/>
      </w:tabs>
      <w:spacing w:line="360" w:lineRule="auto"/>
      <w:ind w:left="425"/>
    </w:pPr>
    <w:rPr>
      <w:rFonts w:ascii="Arial" w:hAnsi="Arial" w:eastAsia="宋体" w:cs="Times New Roman"/>
      <w:sz w:val="24"/>
      <w:szCs w:val="20"/>
    </w:rPr>
  </w:style>
  <w:style w:type="paragraph" w:customStyle="1" w:styleId="144">
    <w:name w:val="正文缩进 2"/>
    <w:basedOn w:val="1"/>
    <w:qFormat/>
    <w:uiPriority w:val="0"/>
    <w:pPr>
      <w:adjustRightInd w:val="0"/>
      <w:spacing w:line="400" w:lineRule="atLeast"/>
      <w:ind w:left="400" w:leftChars="400" w:firstLine="454"/>
      <w:textAlignment w:val="baseline"/>
    </w:pPr>
    <w:rPr>
      <w:rFonts w:ascii="Times New Roman" w:hAnsi="Times New Roman" w:eastAsia="宋体" w:cs="Times New Roman"/>
      <w:kern w:val="0"/>
      <w:sz w:val="24"/>
      <w:szCs w:val="20"/>
    </w:rPr>
  </w:style>
  <w:style w:type="character" w:customStyle="1" w:styleId="145">
    <w:name w:val="标题 1 Char1"/>
    <w:qFormat/>
    <w:uiPriority w:val="0"/>
    <w:rPr>
      <w:b/>
      <w:bCs/>
      <w:kern w:val="44"/>
      <w:sz w:val="44"/>
      <w:szCs w:val="44"/>
    </w:rPr>
  </w:style>
  <w:style w:type="character" w:customStyle="1" w:styleId="146">
    <w:name w:val="标题 2 Char1"/>
    <w:semiHidden/>
    <w:qFormat/>
    <w:uiPriority w:val="0"/>
    <w:rPr>
      <w:rFonts w:ascii="Calibri Light" w:hAnsi="Calibri Light" w:eastAsia="宋体" w:cs="Times New Roman"/>
      <w:b/>
      <w:bCs/>
      <w:kern w:val="2"/>
      <w:sz w:val="32"/>
      <w:szCs w:val="32"/>
    </w:rPr>
  </w:style>
  <w:style w:type="character" w:customStyle="1" w:styleId="147">
    <w:name w:val="标题 3 Char1"/>
    <w:semiHidden/>
    <w:qFormat/>
    <w:uiPriority w:val="0"/>
    <w:rPr>
      <w:b/>
      <w:bCs/>
      <w:kern w:val="2"/>
      <w:sz w:val="32"/>
      <w:szCs w:val="32"/>
    </w:rPr>
  </w:style>
  <w:style w:type="character" w:customStyle="1" w:styleId="148">
    <w:name w:val="标题 4 Char1"/>
    <w:semiHidden/>
    <w:qFormat/>
    <w:uiPriority w:val="0"/>
    <w:rPr>
      <w:rFonts w:ascii="Calibri Light" w:hAnsi="Calibri Light" w:eastAsia="宋体" w:cs="Times New Roman"/>
      <w:b/>
      <w:bCs/>
      <w:kern w:val="2"/>
      <w:sz w:val="28"/>
      <w:szCs w:val="28"/>
    </w:rPr>
  </w:style>
  <w:style w:type="character" w:customStyle="1" w:styleId="149">
    <w:name w:val="标题 5 Char1"/>
    <w:semiHidden/>
    <w:qFormat/>
    <w:uiPriority w:val="0"/>
    <w:rPr>
      <w:b/>
      <w:bCs/>
      <w:kern w:val="2"/>
      <w:sz w:val="28"/>
      <w:szCs w:val="28"/>
    </w:rPr>
  </w:style>
  <w:style w:type="character" w:customStyle="1" w:styleId="150">
    <w:name w:val="页眉 Char1"/>
    <w:semiHidden/>
    <w:qFormat/>
    <w:uiPriority w:val="99"/>
    <w:rPr>
      <w:kern w:val="2"/>
      <w:sz w:val="18"/>
      <w:szCs w:val="18"/>
    </w:rPr>
  </w:style>
  <w:style w:type="character" w:customStyle="1" w:styleId="151">
    <w:name w:val="页脚 Char1"/>
    <w:semiHidden/>
    <w:qFormat/>
    <w:uiPriority w:val="99"/>
    <w:rPr>
      <w:kern w:val="2"/>
      <w:sz w:val="18"/>
      <w:szCs w:val="18"/>
    </w:rPr>
  </w:style>
  <w:style w:type="paragraph" w:customStyle="1" w:styleId="152">
    <w:name w:val="标题 5（有编号）（绿盟科技）"/>
    <w:basedOn w:val="142"/>
    <w:next w:val="1"/>
    <w:qFormat/>
    <w:uiPriority w:val="0"/>
    <w:pPr>
      <w:numPr>
        <w:ilvl w:val="0"/>
        <w:numId w:val="0"/>
      </w:numPr>
      <w:tabs>
        <w:tab w:val="clear" w:pos="1080"/>
      </w:tabs>
      <w:ind w:left="1134" w:hanging="1134"/>
    </w:pPr>
  </w:style>
  <w:style w:type="paragraph" w:customStyle="1" w:styleId="153">
    <w:name w:val="插图标注（绿盟科技）"/>
    <w:next w:val="1"/>
    <w:qFormat/>
    <w:uiPriority w:val="0"/>
    <w:pPr>
      <w:spacing w:after="156"/>
      <w:jc w:val="center"/>
    </w:pPr>
    <w:rPr>
      <w:rFonts w:ascii="Arial" w:hAnsi="Arial" w:eastAsia="宋体" w:cs="Times New Roman"/>
      <w:sz w:val="21"/>
      <w:szCs w:val="21"/>
      <w:lang w:val="en-US" w:eastAsia="zh-CN" w:bidi="ar-SA"/>
    </w:rPr>
  </w:style>
  <w:style w:type="paragraph" w:customStyle="1" w:styleId="154">
    <w:name w:val="表格标注（绿盟科技）"/>
    <w:basedOn w:val="153"/>
    <w:next w:val="1"/>
    <w:qFormat/>
    <w:uiPriority w:val="0"/>
    <w:pPr>
      <w:tabs>
        <w:tab w:val="left" w:pos="360"/>
        <w:tab w:val="left" w:pos="3360"/>
        <w:tab w:val="left" w:pos="3780"/>
        <w:tab w:val="left" w:pos="3814"/>
        <w:tab w:val="left" w:pos="5760"/>
        <w:tab w:val="left" w:pos="6300"/>
      </w:tabs>
      <w:ind w:left="3360" w:hanging="420"/>
    </w:pPr>
  </w:style>
  <w:style w:type="paragraph" w:customStyle="1" w:styleId="155">
    <w:name w:val="样式 首行缩进:  0.99 厘米 段后: 自动"/>
    <w:basedOn w:val="1"/>
    <w:qFormat/>
    <w:uiPriority w:val="0"/>
    <w:pPr>
      <w:adjustRightInd w:val="0"/>
      <w:spacing w:before="100" w:beforeAutospacing="1" w:after="100" w:afterAutospacing="1" w:line="400" w:lineRule="atLeast"/>
      <w:ind w:firstLine="200" w:firstLineChars="200"/>
      <w:textAlignment w:val="baseline"/>
    </w:pPr>
    <w:rPr>
      <w:rFonts w:ascii="Times New Roman" w:hAnsi="Times New Roman" w:eastAsia="宋体" w:cs="宋体"/>
      <w:kern w:val="0"/>
      <w:sz w:val="24"/>
      <w:szCs w:val="20"/>
    </w:rPr>
  </w:style>
  <w:style w:type="paragraph" w:customStyle="1" w:styleId="156">
    <w:name w:val="正文9"/>
    <w:basedOn w:val="1"/>
    <w:next w:val="1"/>
    <w:link w:val="157"/>
    <w:qFormat/>
    <w:uiPriority w:val="0"/>
    <w:pPr>
      <w:spacing w:line="360" w:lineRule="auto"/>
      <w:ind w:left="425" w:hanging="425"/>
    </w:pPr>
    <w:rPr>
      <w:rFonts w:ascii="宋体" w:hAnsi="宋体" w:eastAsia="宋体" w:cs="Times New Roman"/>
      <w:kern w:val="0"/>
      <w:sz w:val="24"/>
      <w:szCs w:val="24"/>
      <w:lang w:eastAsia="en-US"/>
    </w:rPr>
  </w:style>
  <w:style w:type="character" w:customStyle="1" w:styleId="157">
    <w:name w:val="正文9 Char Char"/>
    <w:link w:val="156"/>
    <w:qFormat/>
    <w:uiPriority w:val="0"/>
    <w:rPr>
      <w:rFonts w:ascii="宋体" w:hAnsi="宋体" w:eastAsia="宋体" w:cs="Times New Roman"/>
      <w:kern w:val="0"/>
      <w:sz w:val="24"/>
      <w:szCs w:val="24"/>
      <w:lang w:eastAsia="en-US"/>
    </w:rPr>
  </w:style>
  <w:style w:type="paragraph" w:customStyle="1" w:styleId="158">
    <w:name w:val="正文首行缩进1"/>
    <w:basedOn w:val="15"/>
    <w:qFormat/>
    <w:uiPriority w:val="0"/>
    <w:pPr>
      <w:spacing w:line="360" w:lineRule="auto"/>
      <w:ind w:firstLine="420" w:firstLineChars="100"/>
    </w:pPr>
    <w:rPr>
      <w:rFonts w:ascii="Arial" w:hAnsi="Arial" w:eastAsia="黑体"/>
      <w:color w:val="000000"/>
      <w:kern w:val="0"/>
      <w:sz w:val="28"/>
      <w:szCs w:val="28"/>
    </w:rPr>
  </w:style>
  <w:style w:type="paragraph" w:customStyle="1" w:styleId="159">
    <w:name w:val="科维正文1"/>
    <w:basedOn w:val="1"/>
    <w:qFormat/>
    <w:uiPriority w:val="0"/>
    <w:pPr>
      <w:widowControl/>
      <w:spacing w:beforeLines="50" w:afterLines="50" w:line="360" w:lineRule="auto"/>
      <w:ind w:firstLine="480" w:firstLineChars="200"/>
      <w:jc w:val="left"/>
    </w:pPr>
    <w:rPr>
      <w:rFonts w:ascii="Times New Roman" w:hAnsi="Times New Roman" w:eastAsia="宋体" w:cs="Times New Roman"/>
      <w:color w:val="000000"/>
      <w:kern w:val="0"/>
      <w:sz w:val="24"/>
      <w:szCs w:val="24"/>
      <w:lang w:eastAsia="en-US"/>
    </w:rPr>
  </w:style>
  <w:style w:type="paragraph" w:customStyle="1" w:styleId="160">
    <w:name w:val="列出段落1"/>
    <w:basedOn w:val="1"/>
    <w:qFormat/>
    <w:uiPriority w:val="0"/>
    <w:pPr>
      <w:spacing w:line="360" w:lineRule="auto"/>
      <w:ind w:firstLine="420" w:firstLineChars="200"/>
    </w:pPr>
    <w:rPr>
      <w:rFonts w:ascii="Arial" w:hAnsi="Arial" w:eastAsia="宋体" w:cs="Times New Roman"/>
      <w:sz w:val="24"/>
      <w:szCs w:val="28"/>
    </w:rPr>
  </w:style>
  <w:style w:type="paragraph" w:styleId="161">
    <w:name w:val="No Spacing"/>
    <w:link w:val="162"/>
    <w:qFormat/>
    <w:uiPriority w:val="1"/>
    <w:rPr>
      <w:rFonts w:ascii="Calibri" w:hAnsi="Calibri" w:eastAsia="宋体" w:cs="Times New Roman"/>
      <w:sz w:val="22"/>
      <w:szCs w:val="22"/>
      <w:lang w:val="en-US" w:eastAsia="zh-CN" w:bidi="ar-SA"/>
    </w:rPr>
  </w:style>
  <w:style w:type="character" w:customStyle="1" w:styleId="162">
    <w:name w:val="无间隔 Char"/>
    <w:link w:val="161"/>
    <w:qFormat/>
    <w:uiPriority w:val="1"/>
    <w:rPr>
      <w:rFonts w:ascii="Calibri" w:hAnsi="Calibri" w:eastAsia="宋体" w:cs="Times New Roman"/>
      <w:kern w:val="0"/>
      <w:sz w:val="22"/>
    </w:rPr>
  </w:style>
  <w:style w:type="paragraph" w:customStyle="1" w:styleId="163">
    <w:name w:val="TOC 标题1"/>
    <w:basedOn w:val="2"/>
    <w:next w:val="1"/>
    <w:qFormat/>
    <w:uiPriority w:val="39"/>
    <w:pPr>
      <w:widowControl/>
      <w:numPr>
        <w:numId w:val="0"/>
      </w:numPr>
      <w:adjustRightInd/>
      <w:snapToGrid/>
      <w:spacing w:before="480" w:line="276" w:lineRule="auto"/>
      <w:jc w:val="left"/>
      <w:outlineLvl w:val="9"/>
    </w:pPr>
    <w:rPr>
      <w:rFonts w:ascii="Cambria" w:hAnsi="Cambria"/>
      <w:bCs/>
      <w:color w:val="365F91"/>
      <w:kern w:val="0"/>
      <w:sz w:val="28"/>
      <w:szCs w:val="28"/>
    </w:rPr>
  </w:style>
  <w:style w:type="paragraph" w:customStyle="1" w:styleId="164">
    <w:name w:val="小四文本缩进"/>
    <w:basedOn w:val="1"/>
    <w:link w:val="165"/>
    <w:qFormat/>
    <w:uiPriority w:val="0"/>
    <w:pPr>
      <w:spacing w:line="360" w:lineRule="auto"/>
      <w:ind w:firstLine="480" w:firstLineChars="200"/>
    </w:pPr>
    <w:rPr>
      <w:rFonts w:ascii="Times New Roman" w:hAnsi="Times New Roman" w:eastAsia="宋体" w:cs="Times New Roman"/>
      <w:sz w:val="24"/>
      <w:szCs w:val="24"/>
    </w:rPr>
  </w:style>
  <w:style w:type="character" w:customStyle="1" w:styleId="165">
    <w:name w:val="小四文本缩进 Char"/>
    <w:link w:val="164"/>
    <w:qFormat/>
    <w:uiPriority w:val="0"/>
    <w:rPr>
      <w:rFonts w:ascii="Times New Roman" w:hAnsi="Times New Roman" w:eastAsia="宋体" w:cs="Times New Roman"/>
      <w:sz w:val="24"/>
      <w:szCs w:val="24"/>
    </w:rPr>
  </w:style>
  <w:style w:type="paragraph" w:customStyle="1" w:styleId="166">
    <w:name w:val="标题二"/>
    <w:basedOn w:val="1"/>
    <w:link w:val="167"/>
    <w:qFormat/>
    <w:uiPriority w:val="0"/>
    <w:pPr>
      <w:ind w:left="425" w:hanging="425"/>
    </w:pPr>
    <w:rPr>
      <w:rFonts w:ascii="黑体" w:hAnsi="Times New Roman" w:eastAsia="黑体" w:cs="Times New Roman"/>
      <w:kern w:val="0"/>
      <w:sz w:val="32"/>
      <w:szCs w:val="32"/>
    </w:rPr>
  </w:style>
  <w:style w:type="character" w:customStyle="1" w:styleId="167">
    <w:name w:val="标题二 Char"/>
    <w:link w:val="166"/>
    <w:qFormat/>
    <w:uiPriority w:val="0"/>
    <w:rPr>
      <w:rFonts w:ascii="黑体" w:hAnsi="Times New Roman" w:eastAsia="黑体" w:cs="Times New Roman"/>
      <w:kern w:val="0"/>
      <w:sz w:val="32"/>
      <w:szCs w:val="32"/>
    </w:rPr>
  </w:style>
  <w:style w:type="paragraph" w:customStyle="1" w:styleId="168">
    <w:name w:val="样式5-咨询正文"/>
    <w:basedOn w:val="1"/>
    <w:link w:val="169"/>
    <w:qFormat/>
    <w:uiPriority w:val="0"/>
    <w:pPr>
      <w:widowControl/>
      <w:spacing w:line="360" w:lineRule="auto"/>
      <w:ind w:firstLine="420" w:firstLineChars="200"/>
      <w:jc w:val="left"/>
    </w:pPr>
    <w:rPr>
      <w:rFonts w:ascii="宋体" w:hAnsi="宋体" w:eastAsia="宋体" w:cs="Times New Roman"/>
      <w:kern w:val="0"/>
      <w:lang w:bidi="en-US"/>
    </w:rPr>
  </w:style>
  <w:style w:type="character" w:customStyle="1" w:styleId="169">
    <w:name w:val="样式5-咨询正文 Char"/>
    <w:link w:val="168"/>
    <w:qFormat/>
    <w:uiPriority w:val="0"/>
    <w:rPr>
      <w:rFonts w:ascii="宋体" w:hAnsi="宋体" w:eastAsia="宋体" w:cs="Times New Roman"/>
      <w:kern w:val="0"/>
      <w:lang w:bidi="en-US"/>
    </w:rPr>
  </w:style>
  <w:style w:type="paragraph" w:customStyle="1" w:styleId="170">
    <w:name w:val="headbox"/>
    <w:basedOn w:val="1"/>
    <w:qFormat/>
    <w:uiPriority w:val="0"/>
    <w:pPr>
      <w:widowControl/>
      <w:jc w:val="left"/>
    </w:pPr>
    <w:rPr>
      <w:rFonts w:ascii="宋体" w:hAnsi="宋体" w:eastAsia="宋体" w:cs="宋体"/>
      <w:kern w:val="0"/>
      <w:sz w:val="24"/>
      <w:szCs w:val="24"/>
    </w:rPr>
  </w:style>
  <w:style w:type="paragraph" w:customStyle="1" w:styleId="171">
    <w:name w:val="nav"/>
    <w:basedOn w:val="1"/>
    <w:qFormat/>
    <w:uiPriority w:val="0"/>
    <w:pPr>
      <w:widowControl/>
      <w:spacing w:before="300" w:line="750" w:lineRule="atLeast"/>
      <w:ind w:left="300"/>
      <w:jc w:val="left"/>
    </w:pPr>
    <w:rPr>
      <w:rFonts w:ascii="微软雅黑" w:hAnsi="微软雅黑" w:eastAsia="微软雅黑" w:cs="宋体"/>
      <w:color w:val="004986"/>
      <w:kern w:val="0"/>
      <w:sz w:val="24"/>
      <w:szCs w:val="24"/>
    </w:rPr>
  </w:style>
  <w:style w:type="paragraph" w:customStyle="1" w:styleId="172">
    <w:name w:val="crumbs"/>
    <w:basedOn w:val="1"/>
    <w:qFormat/>
    <w:uiPriority w:val="0"/>
    <w:pPr>
      <w:widowControl/>
      <w:spacing w:after="90" w:line="360" w:lineRule="atLeast"/>
      <w:ind w:firstLine="150"/>
      <w:jc w:val="left"/>
    </w:pPr>
    <w:rPr>
      <w:rFonts w:ascii="微软雅黑" w:hAnsi="微软雅黑" w:eastAsia="微软雅黑" w:cs="宋体"/>
      <w:color w:val="999999"/>
      <w:kern w:val="0"/>
      <w:sz w:val="18"/>
      <w:szCs w:val="18"/>
    </w:rPr>
  </w:style>
  <w:style w:type="paragraph" w:customStyle="1" w:styleId="173">
    <w:name w:val="wrap"/>
    <w:basedOn w:val="1"/>
    <w:qFormat/>
    <w:uiPriority w:val="0"/>
    <w:pPr>
      <w:widowControl/>
      <w:pBdr>
        <w:top w:val="single" w:color="9F9F9F" w:sz="6" w:space="15"/>
        <w:bottom w:val="single" w:color="9F9F9F" w:sz="6" w:space="15"/>
      </w:pBdr>
      <w:spacing w:after="300"/>
      <w:jc w:val="left"/>
    </w:pPr>
    <w:rPr>
      <w:rFonts w:ascii="宋体" w:hAnsi="宋体" w:eastAsia="宋体" w:cs="宋体"/>
      <w:kern w:val="0"/>
      <w:sz w:val="24"/>
      <w:szCs w:val="24"/>
    </w:rPr>
  </w:style>
  <w:style w:type="paragraph" w:customStyle="1" w:styleId="174">
    <w:name w:val="leftbox"/>
    <w:basedOn w:val="1"/>
    <w:qFormat/>
    <w:uiPriority w:val="0"/>
    <w:pPr>
      <w:widowControl/>
      <w:ind w:left="405" w:right="600"/>
      <w:jc w:val="left"/>
    </w:pPr>
    <w:rPr>
      <w:rFonts w:ascii="宋体" w:hAnsi="宋体" w:eastAsia="宋体" w:cs="宋体"/>
      <w:kern w:val="0"/>
      <w:sz w:val="24"/>
      <w:szCs w:val="24"/>
    </w:rPr>
  </w:style>
  <w:style w:type="paragraph" w:customStyle="1" w:styleId="175">
    <w:name w:val="treebox"/>
    <w:basedOn w:val="1"/>
    <w:qFormat/>
    <w:uiPriority w:val="0"/>
    <w:pPr>
      <w:widowControl/>
      <w:spacing w:before="100" w:beforeAutospacing="1" w:after="150"/>
      <w:jc w:val="left"/>
    </w:pPr>
    <w:rPr>
      <w:rFonts w:ascii="宋体" w:hAnsi="宋体" w:eastAsia="宋体" w:cs="宋体"/>
      <w:kern w:val="0"/>
      <w:sz w:val="24"/>
      <w:szCs w:val="24"/>
    </w:rPr>
  </w:style>
  <w:style w:type="paragraph" w:customStyle="1" w:styleId="176">
    <w:name w:val="rightbox"/>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7">
    <w:name w:val="search2"/>
    <w:basedOn w:val="1"/>
    <w:qFormat/>
    <w:uiPriority w:val="0"/>
    <w:pPr>
      <w:widowControl/>
      <w:spacing w:before="525" w:after="100" w:afterAutospacing="1"/>
      <w:ind w:left="450"/>
      <w:jc w:val="left"/>
    </w:pPr>
    <w:rPr>
      <w:rFonts w:ascii="宋体" w:hAnsi="宋体" w:eastAsia="宋体" w:cs="宋体"/>
      <w:kern w:val="0"/>
      <w:sz w:val="24"/>
      <w:szCs w:val="24"/>
    </w:rPr>
  </w:style>
  <w:style w:type="paragraph" w:customStyle="1" w:styleId="178">
    <w:name w:val="search2a1"/>
    <w:basedOn w:val="1"/>
    <w:qFormat/>
    <w:uiPriority w:val="0"/>
    <w:pPr>
      <w:widowControl/>
      <w:pBdr>
        <w:top w:val="single" w:color="BFBFBF" w:sz="12" w:space="0"/>
        <w:left w:val="single" w:color="BFBFBF" w:sz="12" w:space="0"/>
        <w:bottom w:val="single" w:color="BFBFBF" w:sz="12" w:space="0"/>
        <w:right w:val="single" w:color="BFBFBF" w:sz="2" w:space="0"/>
      </w:pBdr>
      <w:spacing w:before="100" w:beforeAutospacing="1" w:after="100" w:afterAutospacing="1" w:line="300" w:lineRule="atLeast"/>
      <w:jc w:val="left"/>
    </w:pPr>
    <w:rPr>
      <w:rFonts w:ascii="宋体" w:hAnsi="宋体" w:eastAsia="宋体" w:cs="宋体"/>
      <w:kern w:val="0"/>
      <w:sz w:val="24"/>
      <w:szCs w:val="24"/>
    </w:rPr>
  </w:style>
  <w:style w:type="paragraph" w:customStyle="1" w:styleId="179">
    <w:name w:val="search2a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0">
    <w:name w:val="b12"/>
    <w:basedOn w:val="1"/>
    <w:qFormat/>
    <w:uiPriority w:val="0"/>
    <w:pPr>
      <w:widowControl/>
      <w:spacing w:before="100" w:beforeAutospacing="1" w:after="100" w:afterAutospacing="1" w:line="330" w:lineRule="atLeast"/>
      <w:jc w:val="left"/>
    </w:pPr>
    <w:rPr>
      <w:rFonts w:ascii="宋体" w:hAnsi="宋体" w:eastAsia="宋体" w:cs="宋体"/>
      <w:color w:val="686868"/>
      <w:kern w:val="0"/>
      <w:sz w:val="24"/>
      <w:szCs w:val="24"/>
    </w:rPr>
  </w:style>
  <w:style w:type="paragraph" w:customStyle="1" w:styleId="181">
    <w:name w:val="b12c"/>
    <w:basedOn w:val="1"/>
    <w:qFormat/>
    <w:uiPriority w:val="0"/>
    <w:pPr>
      <w:widowControl/>
      <w:spacing w:before="100" w:beforeAutospacing="1" w:after="100" w:afterAutospacing="1" w:line="432" w:lineRule="auto"/>
      <w:jc w:val="left"/>
    </w:pPr>
    <w:rPr>
      <w:rFonts w:ascii="宋体" w:hAnsi="宋体" w:eastAsia="宋体" w:cs="宋体"/>
      <w:kern w:val="0"/>
      <w:sz w:val="24"/>
      <w:szCs w:val="24"/>
    </w:rPr>
  </w:style>
  <w:style w:type="paragraph" w:customStyle="1" w:styleId="182">
    <w:name w:val="bd1"/>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83">
    <w:name w:val="n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4">
    <w:name w:val="n_top"/>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5">
    <w:name w:val="n_bottom"/>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6">
    <w:name w:val="n11"/>
    <w:basedOn w:val="1"/>
    <w:qFormat/>
    <w:uiPriority w:val="0"/>
    <w:pPr>
      <w:widowControl/>
      <w:spacing w:before="100" w:beforeAutospacing="1" w:after="150" w:line="435" w:lineRule="atLeast"/>
      <w:jc w:val="left"/>
    </w:pPr>
    <w:rPr>
      <w:rFonts w:ascii="宋体" w:hAnsi="宋体" w:eastAsia="宋体" w:cs="宋体"/>
      <w:color w:val="4D4D4D"/>
      <w:kern w:val="0"/>
      <w:szCs w:val="21"/>
    </w:rPr>
  </w:style>
  <w:style w:type="paragraph" w:customStyle="1" w:styleId="187">
    <w:name w:val="n_top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8">
    <w:name w:val="n_bottom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9">
    <w:name w:val="Char2"/>
    <w:basedOn w:val="6"/>
    <w:qFormat/>
    <w:uiPriority w:val="0"/>
    <w:pPr>
      <w:widowControl/>
      <w:numPr>
        <w:ilvl w:val="0"/>
        <w:numId w:val="0"/>
      </w:numPr>
      <w:spacing w:after="160" w:line="240" w:lineRule="exact"/>
      <w:ind w:left="2580" w:hanging="420"/>
      <w:jc w:val="left"/>
    </w:pPr>
  </w:style>
  <w:style w:type="paragraph" w:customStyle="1" w:styleId="190">
    <w:name w:val="*正文"/>
    <w:basedOn w:val="1"/>
    <w:qFormat/>
    <w:uiPriority w:val="0"/>
    <w:pPr>
      <w:spacing w:line="360" w:lineRule="auto"/>
      <w:ind w:firstLine="480" w:firstLineChars="200"/>
    </w:pPr>
    <w:rPr>
      <w:rFonts w:ascii="仿宋_GB2312" w:hAnsi="Times New Roman" w:eastAsia="仿宋_GB2312" w:cs="Times New Roman"/>
      <w:sz w:val="24"/>
      <w:szCs w:val="28"/>
    </w:rPr>
  </w:style>
  <w:style w:type="paragraph" w:customStyle="1" w:styleId="191">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192">
    <w:name w:val="一级条标题"/>
    <w:basedOn w:val="191"/>
    <w:next w:val="1"/>
    <w:qFormat/>
    <w:uiPriority w:val="0"/>
    <w:pPr>
      <w:spacing w:beforeLines="0" w:afterLines="0"/>
      <w:outlineLvl w:val="2"/>
    </w:pPr>
  </w:style>
  <w:style w:type="paragraph" w:customStyle="1" w:styleId="193">
    <w:name w:val="二级条标题"/>
    <w:basedOn w:val="192"/>
    <w:next w:val="1"/>
    <w:qFormat/>
    <w:uiPriority w:val="0"/>
    <w:pPr>
      <w:outlineLvl w:val="3"/>
    </w:pPr>
  </w:style>
  <w:style w:type="paragraph" w:customStyle="1" w:styleId="194">
    <w:name w:val="三级条标题"/>
    <w:basedOn w:val="193"/>
    <w:next w:val="1"/>
    <w:qFormat/>
    <w:uiPriority w:val="0"/>
    <w:pPr>
      <w:outlineLvl w:val="4"/>
    </w:pPr>
  </w:style>
  <w:style w:type="paragraph" w:customStyle="1" w:styleId="195">
    <w:name w:val="四级条标题"/>
    <w:basedOn w:val="194"/>
    <w:next w:val="1"/>
    <w:qFormat/>
    <w:uiPriority w:val="0"/>
    <w:pPr>
      <w:outlineLvl w:val="5"/>
    </w:pPr>
  </w:style>
  <w:style w:type="paragraph" w:customStyle="1" w:styleId="196">
    <w:name w:val="五级条标题"/>
    <w:basedOn w:val="195"/>
    <w:next w:val="1"/>
    <w:qFormat/>
    <w:uiPriority w:val="0"/>
    <w:pPr>
      <w:outlineLvl w:val="6"/>
    </w:pPr>
  </w:style>
  <w:style w:type="paragraph" w:customStyle="1" w:styleId="197">
    <w:name w:val="常用-正文"/>
    <w:basedOn w:val="1"/>
    <w:link w:val="198"/>
    <w:qFormat/>
    <w:uiPriority w:val="0"/>
    <w:pPr>
      <w:spacing w:line="360" w:lineRule="auto"/>
      <w:ind w:firstLine="200" w:firstLineChars="200"/>
    </w:pPr>
    <w:rPr>
      <w:rFonts w:ascii="Calibri" w:hAnsi="Calibri" w:eastAsia="仿宋" w:cs="Times New Roman"/>
      <w:sz w:val="24"/>
      <w:szCs w:val="21"/>
    </w:rPr>
  </w:style>
  <w:style w:type="character" w:customStyle="1" w:styleId="198">
    <w:name w:val="常用-正文 Char"/>
    <w:link w:val="197"/>
    <w:qFormat/>
    <w:uiPriority w:val="0"/>
    <w:rPr>
      <w:rFonts w:ascii="Calibri" w:hAnsi="Calibri" w:eastAsia="仿宋" w:cs="Times New Roman"/>
      <w:sz w:val="24"/>
      <w:szCs w:val="21"/>
    </w:rPr>
  </w:style>
  <w:style w:type="character" w:customStyle="1" w:styleId="199">
    <w:name w:val="列表段落 字符"/>
    <w:qFormat/>
    <w:uiPriority w:val="34"/>
    <w:rPr>
      <w:rFonts w:ascii="宋体" w:hAnsi="宋体" w:eastAsia="仿宋"/>
      <w:kern w:val="2"/>
      <w:sz w:val="24"/>
      <w:szCs w:val="28"/>
    </w:rPr>
  </w:style>
  <w:style w:type="paragraph" w:customStyle="1" w:styleId="200">
    <w:name w:val="Default"/>
    <w:qFormat/>
    <w:uiPriority w:val="0"/>
    <w:pPr>
      <w:widowControl w:val="0"/>
      <w:autoSpaceDE w:val="0"/>
      <w:autoSpaceDN w:val="0"/>
      <w:adjustRightInd w:val="0"/>
    </w:pPr>
    <w:rPr>
      <w:rFonts w:ascii="宋体" w:hAnsi="Times New Roman" w:eastAsia="宋体" w:cs="Times New Roman"/>
      <w:lang w:val="en-US" w:eastAsia="zh-CN" w:bidi="ar-SA"/>
    </w:rPr>
  </w:style>
  <w:style w:type="character" w:customStyle="1" w:styleId="201">
    <w:name w:val="Unresolved Mention"/>
    <w:unhideWhenUsed/>
    <w:qFormat/>
    <w:uiPriority w:val="99"/>
    <w:rPr>
      <w:color w:val="605E5C"/>
      <w:shd w:val="clear" w:color="auto" w:fill="E1DFDD"/>
    </w:rPr>
  </w:style>
  <w:style w:type="paragraph" w:customStyle="1" w:styleId="202">
    <w:name w:val="13"/>
    <w:basedOn w:val="1"/>
    <w:qFormat/>
    <w:uiPriority w:val="0"/>
    <w:pPr>
      <w:spacing w:line="360" w:lineRule="auto"/>
      <w:ind w:firstLine="480" w:firstLineChars="200"/>
    </w:pPr>
    <w:rPr>
      <w:rFonts w:ascii="宋体" w:hAnsi="宋体" w:eastAsia="宋体" w:cs="宋体"/>
      <w:sz w:val="24"/>
      <w:szCs w:val="20"/>
    </w:rPr>
  </w:style>
  <w:style w:type="character" w:customStyle="1" w:styleId="203">
    <w:name w:val="无间隔 字符"/>
    <w:qFormat/>
    <w:locked/>
    <w:uiPriority w:val="1"/>
    <w:rPr>
      <w:sz w:val="24"/>
    </w:rPr>
  </w:style>
  <w:style w:type="paragraph" w:customStyle="1" w:styleId="204">
    <w:name w:val="MM Topic 1"/>
    <w:basedOn w:val="2"/>
    <w:qFormat/>
    <w:uiPriority w:val="0"/>
    <w:pPr>
      <w:numPr>
        <w:ilvl w:val="4"/>
        <w:numId w:val="5"/>
      </w:numPr>
      <w:adjustRightInd/>
      <w:snapToGrid/>
      <w:spacing w:before="0" w:line="360" w:lineRule="auto"/>
    </w:pPr>
    <w:rPr>
      <w:rFonts w:ascii="仿宋" w:hAnsi="Calibri" w:eastAsia="仿宋" w:cs="宋体"/>
      <w:bCs/>
      <w:sz w:val="30"/>
      <w:szCs w:val="44"/>
    </w:rPr>
  </w:style>
  <w:style w:type="paragraph" w:customStyle="1" w:styleId="205">
    <w:name w:val="MM Topic 2"/>
    <w:basedOn w:val="3"/>
    <w:qFormat/>
    <w:uiPriority w:val="0"/>
    <w:pPr>
      <w:numPr>
        <w:ilvl w:val="1"/>
        <w:numId w:val="5"/>
      </w:numPr>
      <w:spacing w:before="120" w:after="0" w:line="360" w:lineRule="auto"/>
    </w:pPr>
    <w:rPr>
      <w:rFonts w:ascii="仿宋" w:hAnsi="仿宋" w:eastAsia="仿宋" w:cs="仿宋"/>
      <w:sz w:val="28"/>
      <w:szCs w:val="28"/>
    </w:rPr>
  </w:style>
  <w:style w:type="paragraph" w:customStyle="1" w:styleId="206">
    <w:name w:val="MM Topic 3"/>
    <w:basedOn w:val="4"/>
    <w:qFormat/>
    <w:uiPriority w:val="0"/>
    <w:pPr>
      <w:numPr>
        <w:ilvl w:val="2"/>
        <w:numId w:val="5"/>
      </w:numPr>
      <w:tabs>
        <w:tab w:val="left" w:pos="1080"/>
      </w:tabs>
      <w:ind w:left="340" w:hanging="340"/>
    </w:pPr>
    <w:rPr>
      <w:rFonts w:ascii="Calibri" w:hAnsi="Calibri" w:eastAsia="仿宋" w:cs="宋体"/>
      <w:sz w:val="24"/>
    </w:rPr>
  </w:style>
  <w:style w:type="paragraph" w:customStyle="1" w:styleId="207">
    <w:name w:val="MM Topic 4"/>
    <w:basedOn w:val="5"/>
    <w:qFormat/>
    <w:uiPriority w:val="0"/>
    <w:pPr>
      <w:numPr>
        <w:ilvl w:val="6"/>
        <w:numId w:val="5"/>
      </w:numPr>
    </w:pPr>
    <w:rPr>
      <w:rFonts w:ascii="Calibri Light" w:hAnsi="Calibri Light" w:eastAsia="宋体" w:cs="宋体"/>
      <w:sz w:val="24"/>
    </w:rPr>
  </w:style>
  <w:style w:type="paragraph" w:customStyle="1" w:styleId="208">
    <w:name w:val="MM Topic 6"/>
    <w:basedOn w:val="7"/>
    <w:qFormat/>
    <w:uiPriority w:val="0"/>
    <w:pPr>
      <w:numPr>
        <w:ilvl w:val="5"/>
        <w:numId w:val="5"/>
      </w:numPr>
      <w:tabs>
        <w:tab w:val="left" w:pos="1080"/>
      </w:tabs>
      <w:spacing w:line="320" w:lineRule="auto"/>
      <w:ind w:left="340" w:hanging="340"/>
    </w:pPr>
    <w:rPr>
      <w:rFonts w:ascii="Calibri Light" w:hAnsi="Calibri Light" w:eastAsia="宋体" w:cs="宋体"/>
      <w:bCs/>
      <w:szCs w:val="24"/>
    </w:rPr>
  </w:style>
  <w:style w:type="paragraph" w:customStyle="1" w:styleId="209">
    <w:name w:val="MM Topic 8"/>
    <w:basedOn w:val="9"/>
    <w:qFormat/>
    <w:uiPriority w:val="0"/>
    <w:pPr>
      <w:numPr>
        <w:numId w:val="5"/>
      </w:numPr>
      <w:tabs>
        <w:tab w:val="left" w:pos="1080"/>
      </w:tabs>
      <w:spacing w:line="320" w:lineRule="auto"/>
      <w:ind w:left="340" w:hanging="340"/>
    </w:pPr>
    <w:rPr>
      <w:rFonts w:ascii="Calibri Light" w:hAnsi="Calibri Light" w:eastAsia="宋体" w:cs="宋体"/>
      <w:szCs w:val="24"/>
    </w:rPr>
  </w:style>
  <w:style w:type="paragraph" w:customStyle="1" w:styleId="210">
    <w:name w:val="列表段落1"/>
    <w:basedOn w:val="1"/>
    <w:qFormat/>
    <w:uiPriority w:val="34"/>
    <w:pPr>
      <w:ind w:firstLine="420" w:firstLineChars="200"/>
    </w:pPr>
    <w:rPr>
      <w:rFonts w:ascii="Calibri" w:hAnsi="Calibri" w:eastAsia="仿宋" w:cs="宋体"/>
      <w:sz w:val="24"/>
    </w:rPr>
  </w:style>
  <w:style w:type="paragraph" w:customStyle="1" w:styleId="211">
    <w:name w:val="正文基准样式"/>
    <w:basedOn w:val="1"/>
    <w:qFormat/>
    <w:uiPriority w:val="0"/>
    <w:rPr>
      <w:rFonts w:ascii="仿宋_GB2312" w:hAnsi="Calibri" w:eastAsia="仿宋_GB2312" w:cs="Times New Roman"/>
      <w:sz w:val="24"/>
      <w:szCs w:val="28"/>
    </w:rPr>
  </w:style>
  <w:style w:type="character" w:customStyle="1" w:styleId="212">
    <w:name w:val="纯文本 字符"/>
    <w:basedOn w:val="36"/>
    <w:qFormat/>
    <w:uiPriority w:val="0"/>
    <w:rPr>
      <w:rFonts w:hAnsi="Courier New" w:cs="Courier New" w:asciiTheme="minorEastAsia"/>
    </w:rPr>
  </w:style>
  <w:style w:type="character" w:customStyle="1" w:styleId="213">
    <w:name w:val="纯文本 Char"/>
    <w:semiHidden/>
    <w:qFormat/>
    <w:uiPriority w:val="0"/>
    <w:rPr>
      <w:rFonts w:ascii="宋体" w:hAnsi="Courier New" w:cs="Courier New"/>
      <w:kern w:val="2"/>
      <w:sz w:val="21"/>
      <w:szCs w:val="21"/>
    </w:rPr>
  </w:style>
  <w:style w:type="character" w:customStyle="1" w:styleId="214">
    <w:name w:val="纯文本 Char1"/>
    <w:link w:val="21"/>
    <w:qFormat/>
    <w:locked/>
    <w:uiPriority w:val="0"/>
    <w:rPr>
      <w:rFonts w:ascii="宋体" w:hAnsi="Courier New" w:eastAsia="宋体" w:cs="Times New Roman"/>
      <w:sz w:val="24"/>
    </w:rPr>
  </w:style>
  <w:style w:type="table" w:customStyle="1" w:styleId="215">
    <w:name w:val="Table Normal"/>
    <w:semiHidden/>
    <w:unhideWhenUsed/>
    <w:qFormat/>
    <w:uiPriority w:val="2"/>
    <w:pPr>
      <w:widowControl w:val="0"/>
      <w:autoSpaceDE w:val="0"/>
      <w:autoSpaceDN w:val="0"/>
    </w:pPr>
    <w:rPr>
      <w:sz w:val="22"/>
      <w:lang w:eastAsia="en-US"/>
    </w:rPr>
    <w:tblPr>
      <w:tblLayout w:type="fixed"/>
      <w:tblCellMar>
        <w:top w:w="0" w:type="dxa"/>
        <w:left w:w="0" w:type="dxa"/>
        <w:bottom w:w="0" w:type="dxa"/>
        <w:right w:w="0" w:type="dxa"/>
      </w:tblCellMar>
    </w:tblPr>
  </w:style>
  <w:style w:type="paragraph" w:customStyle="1" w:styleId="216">
    <w:name w:val="Table Paragraph"/>
    <w:basedOn w:val="1"/>
    <w:qFormat/>
    <w:uiPriority w:val="1"/>
    <w:pPr>
      <w:autoSpaceDE w:val="0"/>
      <w:autoSpaceDN w:val="0"/>
      <w:jc w:val="left"/>
    </w:pPr>
    <w:rPr>
      <w:rFonts w:ascii="仿宋" w:hAnsi="仿宋" w:eastAsia="仿宋" w:cs="仿宋"/>
      <w:kern w:val="0"/>
      <w:sz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12820</Words>
  <Characters>13115</Characters>
  <Lines>113</Lines>
  <Paragraphs>32</Paragraphs>
  <TotalTime>4</TotalTime>
  <ScaleCrop>false</ScaleCrop>
  <LinksUpToDate>false</LinksUpToDate>
  <CharactersWithSpaces>13153</CharactersWithSpaces>
  <Application>WPS Office_10.1.0.7526_F1E327BC-269C-435d-A152-05C5408002CA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2022-06-08T05:00:00Z</dcterms:created>
  <dc:creator>user</dc:creator>
  <cp:lastModifiedBy>user</cp:lastModifiedBy>
  <dcterms:modified xsi:type="dcterms:W3CDTF">2022-06-15T09:11:29Z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2052-10.1.0.7526</vt:lpwstr>
  </property>
  <property fmtid="{D5CDD505-2E9C-101B-9397-08002B2CF9AE}" pid="3" name="ICV">
    <vt:lpwstr>B74EB9BBF44D4650A33296011E1F2B64</vt:lpwstr>
  </property>
</Properties>
</file>