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ind w:leftChars="0"/>
        <w:jc w:val="center"/>
        <w:rPr>
          <w:rFonts w:hint="eastAsia" w:ascii="黑体" w:hAnsi="黑体" w:eastAsia="黑体" w:cs="黑体"/>
          <w:color w:val="auto"/>
          <w:sz w:val="32"/>
          <w:szCs w:val="44"/>
          <w:highlight w:val="none"/>
          <w:shd w:val="clear" w:color="auto" w:fill="auto"/>
          <w:lang w:val="en-US" w:eastAsia="zh-CN"/>
        </w:rPr>
      </w:pPr>
      <w:bookmarkStart w:id="0" w:name="_Toc352675076"/>
      <w:r>
        <w:rPr>
          <w:rFonts w:hint="eastAsia" w:ascii="黑体" w:hAnsi="黑体" w:eastAsia="黑体" w:cs="黑体"/>
          <w:color w:val="auto"/>
          <w:sz w:val="32"/>
          <w:szCs w:val="44"/>
          <w:highlight w:val="none"/>
          <w:shd w:val="clear" w:color="auto" w:fill="auto"/>
          <w:lang w:val="en-US" w:eastAsia="zh-CN"/>
        </w:rPr>
        <w:t>长宁公安分局2021年度信息化模型建设竞争性磋商项目</w:t>
      </w:r>
    </w:p>
    <w:p>
      <w:pPr>
        <w:pStyle w:val="2"/>
        <w:numPr>
          <w:ilvl w:val="0"/>
          <w:numId w:val="0"/>
        </w:numPr>
        <w:ind w:leftChars="0"/>
        <w:jc w:val="center"/>
        <w:rPr>
          <w:rFonts w:hint="eastAsia" w:ascii="黑体" w:hAnsi="黑体" w:eastAsia="黑体" w:cs="黑体"/>
          <w:color w:val="auto"/>
          <w:sz w:val="36"/>
          <w:szCs w:val="48"/>
          <w:highlight w:val="none"/>
          <w:shd w:val="clear" w:color="auto" w:fill="auto"/>
          <w:lang w:val="en-US" w:eastAsia="zh-CN"/>
        </w:rPr>
      </w:pPr>
      <w:r>
        <w:rPr>
          <w:rFonts w:hint="eastAsia" w:ascii="黑体" w:hAnsi="黑体" w:eastAsia="黑体" w:cs="黑体"/>
          <w:color w:val="auto"/>
          <w:sz w:val="36"/>
          <w:szCs w:val="48"/>
          <w:highlight w:val="none"/>
          <w:shd w:val="clear" w:color="auto" w:fill="auto"/>
          <w:lang w:val="en-US" w:eastAsia="zh-CN"/>
        </w:rPr>
        <w:t>磋商需求文件</w:t>
      </w:r>
    </w:p>
    <w:p>
      <w:pPr>
        <w:pStyle w:val="3"/>
        <w:rPr>
          <w:rFonts w:hint="default"/>
          <w:color w:val="auto"/>
          <w:highlight w:val="none"/>
          <w:shd w:val="clear" w:color="auto" w:fill="auto"/>
          <w:lang w:val="en-US"/>
        </w:rPr>
      </w:pPr>
      <w:r>
        <w:rPr>
          <w:rFonts w:hint="eastAsia"/>
          <w:color w:val="auto"/>
          <w:highlight w:val="none"/>
          <w:shd w:val="clear" w:color="auto" w:fill="auto"/>
          <w:lang w:val="en-US" w:eastAsia="zh-CN"/>
        </w:rPr>
        <w:t>本项目采购预算金额为210.03万元，最高投标限价194.71万元，超过投标最高限价的投标不予接受。</w:t>
      </w:r>
      <w:r>
        <w:rPr>
          <w:rFonts w:hint="eastAsia"/>
          <w:color w:val="auto"/>
          <w:highlight w:val="none"/>
          <w:shd w:val="clear" w:color="auto" w:fill="auto"/>
          <w:lang w:val="en-US" w:eastAsia="zh-CN"/>
        </w:rPr>
        <w:t>其中软件测评和安全测评等验收费用包含在本次采购项目中，工程监理及财务监理费用不包含在本次采购项目中。</w:t>
      </w:r>
    </w:p>
    <w:bookmarkEnd w:id="0"/>
    <w:p>
      <w:pPr>
        <w:pStyle w:val="3"/>
        <w:rPr>
          <w:color w:val="auto"/>
          <w:highlight w:val="none"/>
          <w:shd w:val="clear" w:color="auto" w:fill="auto"/>
        </w:rPr>
      </w:pPr>
      <w:r>
        <w:rPr>
          <w:color w:val="auto"/>
          <w:highlight w:val="none"/>
          <w:shd w:val="clear" w:color="auto" w:fill="auto"/>
        </w:rPr>
        <w:t>本次投标不接受联合投标，投标人必须有能力独立完成全部</w:t>
      </w:r>
      <w:r>
        <w:rPr>
          <w:rFonts w:hint="eastAsia"/>
          <w:color w:val="auto"/>
          <w:highlight w:val="none"/>
          <w:shd w:val="clear" w:color="auto" w:fill="auto"/>
          <w:lang w:val="en-US" w:eastAsia="zh-CN"/>
        </w:rPr>
        <w:t>服务内容</w:t>
      </w:r>
      <w:r>
        <w:rPr>
          <w:color w:val="auto"/>
          <w:highlight w:val="none"/>
          <w:shd w:val="clear" w:color="auto" w:fill="auto"/>
        </w:rPr>
        <w:t>，不得转包给第三方或将其中一部分转包给第三方。</w:t>
      </w:r>
    </w:p>
    <w:p>
      <w:pPr>
        <w:pStyle w:val="3"/>
        <w:spacing w:before="156" w:after="156"/>
        <w:rPr>
          <w:color w:val="auto"/>
          <w:highlight w:val="none"/>
          <w:shd w:val="clear" w:color="auto" w:fill="auto"/>
        </w:rPr>
      </w:pPr>
      <w:r>
        <w:rPr>
          <w:rFonts w:hint="eastAsia"/>
          <w:color w:val="auto"/>
          <w:highlight w:val="none"/>
          <w:shd w:val="clear" w:color="auto" w:fill="auto"/>
          <w:lang w:val="en-US" w:eastAsia="zh-CN"/>
        </w:rPr>
        <w:t>本项目需要供应商提供设计方案、解决方案或组织方案。</w:t>
      </w:r>
    </w:p>
    <w:p>
      <w:pPr>
        <w:pStyle w:val="2"/>
        <w:rPr>
          <w:color w:val="auto"/>
          <w:highlight w:val="none"/>
          <w:shd w:val="clear" w:color="auto" w:fill="auto"/>
        </w:rPr>
      </w:pPr>
      <w:r>
        <w:rPr>
          <w:color w:val="auto"/>
          <w:highlight w:val="none"/>
          <w:shd w:val="clear" w:color="auto" w:fill="auto"/>
        </w:rPr>
        <w:t>招标清单</w:t>
      </w:r>
    </w:p>
    <w:tbl>
      <w:tblPr>
        <w:tblStyle w:val="43"/>
        <w:tblW w:w="8336" w:type="dxa"/>
        <w:tblInd w:w="0" w:type="dxa"/>
        <w:tblLayout w:type="fixed"/>
        <w:tblCellMar>
          <w:top w:w="15" w:type="dxa"/>
          <w:left w:w="15" w:type="dxa"/>
          <w:bottom w:w="15" w:type="dxa"/>
          <w:right w:w="15" w:type="dxa"/>
        </w:tblCellMar>
      </w:tblPr>
      <w:tblGrid>
        <w:gridCol w:w="467"/>
        <w:gridCol w:w="1676"/>
        <w:gridCol w:w="4948"/>
        <w:gridCol w:w="1245"/>
      </w:tblGrid>
      <w:tr>
        <w:tblPrEx>
          <w:tblLayout w:type="fixed"/>
        </w:tblPrEx>
        <w:trPr>
          <w:trHeight w:val="285"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b/>
                <w:bCs/>
                <w:color w:val="auto"/>
                <w:kern w:val="0"/>
                <w:sz w:val="22"/>
                <w:szCs w:val="22"/>
                <w:highlight w:val="none"/>
                <w:shd w:val="clear" w:color="auto" w:fill="auto"/>
              </w:rPr>
            </w:pPr>
            <w:r>
              <w:rPr>
                <w:rFonts w:hint="eastAsia" w:cs="宋体" w:asciiTheme="minorEastAsia" w:hAnsiTheme="minorEastAsia" w:eastAsiaTheme="minorEastAsia"/>
                <w:b/>
                <w:bCs/>
                <w:color w:val="auto"/>
                <w:kern w:val="0"/>
                <w:sz w:val="22"/>
                <w:szCs w:val="22"/>
                <w:highlight w:val="none"/>
                <w:shd w:val="clear" w:color="auto" w:fill="auto"/>
              </w:rPr>
              <w:t>序号</w:t>
            </w:r>
          </w:p>
        </w:tc>
        <w:tc>
          <w:tcPr>
            <w:tcW w:w="662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b/>
                <w:bCs/>
                <w:color w:val="auto"/>
                <w:kern w:val="0"/>
                <w:sz w:val="22"/>
                <w:szCs w:val="22"/>
                <w:highlight w:val="none"/>
                <w:shd w:val="clear" w:color="auto" w:fill="auto"/>
              </w:rPr>
            </w:pPr>
            <w:r>
              <w:rPr>
                <w:rFonts w:hint="eastAsia" w:cs="宋体" w:asciiTheme="minorEastAsia" w:hAnsiTheme="minorEastAsia" w:eastAsiaTheme="minorEastAsia"/>
                <w:b/>
                <w:bCs/>
                <w:color w:val="auto"/>
                <w:kern w:val="0"/>
                <w:sz w:val="22"/>
                <w:szCs w:val="22"/>
                <w:highlight w:val="none"/>
                <w:shd w:val="clear" w:color="auto" w:fill="auto"/>
              </w:rPr>
              <w:t>建设内容</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b/>
                <w:bCs/>
                <w:color w:val="auto"/>
                <w:kern w:val="0"/>
                <w:sz w:val="22"/>
                <w:szCs w:val="22"/>
                <w:highlight w:val="none"/>
                <w:shd w:val="clear" w:color="auto" w:fill="auto"/>
              </w:rPr>
            </w:pPr>
            <w:r>
              <w:rPr>
                <w:rFonts w:hint="eastAsia" w:cs="宋体" w:asciiTheme="minorEastAsia" w:hAnsiTheme="minorEastAsia" w:eastAsiaTheme="minorEastAsia"/>
                <w:b/>
                <w:bCs/>
                <w:color w:val="auto"/>
                <w:kern w:val="0"/>
                <w:sz w:val="22"/>
                <w:szCs w:val="22"/>
                <w:highlight w:val="none"/>
                <w:shd w:val="clear" w:color="auto" w:fill="auto"/>
              </w:rPr>
              <w:t>数量</w:t>
            </w:r>
          </w:p>
        </w:tc>
      </w:tr>
      <w:tr>
        <w:tblPrEx>
          <w:tblLayout w:type="fixed"/>
          <w:tblCellMar>
            <w:top w:w="15" w:type="dxa"/>
            <w:left w:w="15" w:type="dxa"/>
            <w:bottom w:w="15" w:type="dxa"/>
            <w:right w:w="15" w:type="dxa"/>
          </w:tblCellMar>
        </w:tblPrEx>
        <w:trPr>
          <w:trHeight w:val="285"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1</w:t>
            </w:r>
          </w:p>
        </w:tc>
        <w:tc>
          <w:tcPr>
            <w:tcW w:w="167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数据接入加工</w:t>
            </w:r>
          </w:p>
        </w:tc>
        <w:tc>
          <w:tcPr>
            <w:tcW w:w="494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模型数据接入加工</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2</w:t>
            </w:r>
          </w:p>
        </w:tc>
        <w:tc>
          <w:tcPr>
            <w:tcW w:w="1676"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模型建设</w:t>
            </w: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110</w:t>
            </w:r>
            <w:r>
              <w:rPr>
                <w:rFonts w:hint="eastAsia" w:cs="宋体" w:asciiTheme="minorEastAsia" w:hAnsiTheme="minorEastAsia" w:eastAsiaTheme="minorEastAsia"/>
                <w:color w:val="auto"/>
                <w:kern w:val="0"/>
                <w:sz w:val="22"/>
                <w:szCs w:val="22"/>
                <w:highlight w:val="none"/>
                <w:shd w:val="clear" w:color="auto" w:fill="auto"/>
              </w:rPr>
              <w:t>警情研判模型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3</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高危人员来沪在特定区域发现预警模型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4</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入室盗窃标签人员预警模型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5</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入室盗窃高危地区人员预警模型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6</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查处吸毒人员模型、容留吸毒犯罪模型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7</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盗窃“</w:t>
            </w:r>
            <w:r>
              <w:rPr>
                <w:rFonts w:hint="eastAsia" w:cs="宋体" w:asciiTheme="minorEastAsia" w:hAnsiTheme="minorEastAsia" w:eastAsiaTheme="minorEastAsia"/>
                <w:color w:val="auto"/>
                <w:kern w:val="0"/>
                <w:sz w:val="22"/>
                <w:szCs w:val="22"/>
                <w:highlight w:val="none"/>
                <w:shd w:val="clear" w:color="auto" w:fill="auto"/>
              </w:rPr>
              <w:t>三车</w:t>
            </w:r>
            <w:r>
              <w:rPr>
                <w:rFonts w:cs="宋体" w:asciiTheme="minorEastAsia" w:hAnsiTheme="minorEastAsia" w:eastAsiaTheme="minorEastAsia"/>
                <w:color w:val="auto"/>
                <w:kern w:val="0"/>
                <w:sz w:val="22"/>
                <w:szCs w:val="22"/>
                <w:highlight w:val="none"/>
                <w:shd w:val="clear" w:color="auto" w:fill="auto"/>
              </w:rPr>
              <w:t>”</w:t>
            </w:r>
            <w:r>
              <w:rPr>
                <w:rFonts w:hint="eastAsia" w:cs="宋体" w:asciiTheme="minorEastAsia" w:hAnsiTheme="minorEastAsia" w:eastAsiaTheme="minorEastAsia"/>
                <w:color w:val="auto"/>
                <w:kern w:val="0"/>
                <w:sz w:val="22"/>
                <w:szCs w:val="22"/>
                <w:highlight w:val="none"/>
                <w:shd w:val="clear" w:color="auto" w:fill="auto"/>
              </w:rPr>
              <w:t>路面预警模型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8</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信访数据可视化模型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9</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在逃人员（临控人员）出入境证件号码关联发现预警模型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10</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案综三类案件事由错误及智能分析模型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11</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新疆籍关注人员在本区重点区域出现预警模型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12</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治安热点区域涉黄涉赌人员发现管控模型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13</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盗窃“</w:t>
            </w:r>
            <w:r>
              <w:rPr>
                <w:rFonts w:hint="eastAsia" w:cs="宋体" w:asciiTheme="minorEastAsia" w:hAnsiTheme="minorEastAsia" w:eastAsiaTheme="minorEastAsia"/>
                <w:color w:val="auto"/>
                <w:kern w:val="0"/>
                <w:sz w:val="22"/>
                <w:szCs w:val="22"/>
                <w:highlight w:val="none"/>
                <w:shd w:val="clear" w:color="auto" w:fill="auto"/>
              </w:rPr>
              <w:t>三车</w:t>
            </w:r>
            <w:r>
              <w:rPr>
                <w:rFonts w:cs="宋体" w:asciiTheme="minorEastAsia" w:hAnsiTheme="minorEastAsia" w:eastAsiaTheme="minorEastAsia"/>
                <w:color w:val="auto"/>
                <w:kern w:val="0"/>
                <w:sz w:val="22"/>
                <w:szCs w:val="22"/>
                <w:highlight w:val="none"/>
                <w:shd w:val="clear" w:color="auto" w:fill="auto"/>
              </w:rPr>
              <w:t>”</w:t>
            </w:r>
            <w:r>
              <w:rPr>
                <w:rFonts w:hint="eastAsia" w:cs="宋体" w:asciiTheme="minorEastAsia" w:hAnsiTheme="minorEastAsia" w:eastAsiaTheme="minorEastAsia"/>
                <w:color w:val="auto"/>
                <w:kern w:val="0"/>
                <w:sz w:val="22"/>
                <w:szCs w:val="22"/>
                <w:highlight w:val="none"/>
                <w:shd w:val="clear" w:color="auto" w:fill="auto"/>
              </w:rPr>
              <w:t>嫌疑人串并打击模型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14</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精神病人全量轨迹模型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15</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根据已知盗窃嫌疑人串并盗窃案件的分析模型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16</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疑似卖淫人员发现预警模型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17</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境外逃犯布控预警模型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18</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频繁入境疑似违法越南籍女性发现预警模型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19</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违反外国人临时住宿登记人员排查模型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20</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商务楼宇非法就业排查模型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21</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实有人口感知模型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22</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走失人员寻回模型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23</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上访人员预警模型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24</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本市户籍在逃人员家庭成员伴随发现模型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25</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恶意谎报警情发现模型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26</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在押人员分析</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27</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监所精神类疾病对象识别模型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28</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涉黄窝点发现模型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29</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基于数据的闹访团体筛选防范模型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30</w:t>
            </w:r>
          </w:p>
        </w:tc>
        <w:tc>
          <w:tcPr>
            <w:tcW w:w="167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民警工作勤奋度模型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31</w:t>
            </w:r>
          </w:p>
        </w:tc>
        <w:tc>
          <w:tcPr>
            <w:tcW w:w="1676" w:type="dxa"/>
            <w:vMerge w:val="continue"/>
            <w:tcBorders>
              <w:top w:val="single" w:color="000000" w:sz="4" w:space="0"/>
              <w:left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广西河池入室盗窃布控预警模型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auto" w:sz="4" w:space="0"/>
              <w:left w:val="single" w:color="000000" w:sz="4" w:space="0"/>
              <w:bottom w:val="single" w:color="auto"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32</w:t>
            </w:r>
          </w:p>
        </w:tc>
        <w:tc>
          <w:tcPr>
            <w:tcW w:w="1676" w:type="dxa"/>
            <w:vMerge w:val="restart"/>
            <w:tcBorders>
              <w:left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电信网络新型违法犯罪高危人员宣传模型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33</w:t>
            </w:r>
          </w:p>
        </w:tc>
        <w:tc>
          <w:tcPr>
            <w:tcW w:w="1676" w:type="dxa"/>
            <w:vMerge w:val="continue"/>
            <w:tcBorders>
              <w:left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智慧团建模型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34</w:t>
            </w:r>
          </w:p>
        </w:tc>
        <w:tc>
          <w:tcPr>
            <w:tcW w:w="1676" w:type="dxa"/>
            <w:vMerge w:val="continue"/>
            <w:tcBorders>
              <w:left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cs="宋体" w:asciiTheme="minorEastAsia" w:hAnsiTheme="minorEastAsia" w:eastAsiaTheme="minorEastAsia"/>
                <w:color w:val="auto"/>
                <w:kern w:val="0"/>
                <w:sz w:val="22"/>
                <w:szCs w:val="22"/>
                <w:highlight w:val="none"/>
                <w:shd w:val="clear" w:color="auto" w:fill="auto"/>
              </w:rPr>
              <w:t>“</w:t>
            </w:r>
            <w:r>
              <w:rPr>
                <w:rFonts w:hint="eastAsia" w:cs="宋体" w:asciiTheme="minorEastAsia" w:hAnsiTheme="minorEastAsia" w:eastAsiaTheme="minorEastAsia"/>
                <w:color w:val="auto"/>
                <w:kern w:val="0"/>
                <w:sz w:val="22"/>
                <w:szCs w:val="22"/>
                <w:highlight w:val="none"/>
                <w:shd w:val="clear" w:color="auto" w:fill="auto"/>
              </w:rPr>
              <w:t>三个规定</w:t>
            </w:r>
            <w:r>
              <w:rPr>
                <w:rFonts w:cs="宋体" w:asciiTheme="minorEastAsia" w:hAnsiTheme="minorEastAsia" w:eastAsiaTheme="minorEastAsia"/>
                <w:color w:val="auto"/>
                <w:kern w:val="0"/>
                <w:sz w:val="22"/>
                <w:szCs w:val="22"/>
                <w:highlight w:val="none"/>
                <w:shd w:val="clear" w:color="auto" w:fill="auto"/>
              </w:rPr>
              <w:t>”“</w:t>
            </w:r>
            <w:r>
              <w:rPr>
                <w:rFonts w:hint="eastAsia" w:cs="宋体" w:asciiTheme="minorEastAsia" w:hAnsiTheme="minorEastAsia" w:eastAsiaTheme="minorEastAsia"/>
                <w:color w:val="auto"/>
                <w:kern w:val="0"/>
                <w:sz w:val="22"/>
                <w:szCs w:val="22"/>
                <w:highlight w:val="none"/>
                <w:shd w:val="clear" w:color="auto" w:fill="auto"/>
              </w:rPr>
              <w:t>六个严禁</w:t>
            </w:r>
            <w:r>
              <w:rPr>
                <w:rFonts w:cs="宋体" w:asciiTheme="minorEastAsia" w:hAnsiTheme="minorEastAsia" w:eastAsiaTheme="minorEastAsia"/>
                <w:color w:val="auto"/>
                <w:kern w:val="0"/>
                <w:sz w:val="22"/>
                <w:szCs w:val="22"/>
                <w:highlight w:val="none"/>
                <w:shd w:val="clear" w:color="auto" w:fill="auto"/>
              </w:rPr>
              <w:t>”</w:t>
            </w:r>
            <w:r>
              <w:rPr>
                <w:rFonts w:hint="eastAsia" w:cs="宋体" w:asciiTheme="minorEastAsia" w:hAnsiTheme="minorEastAsia" w:eastAsiaTheme="minorEastAsia"/>
                <w:color w:val="auto"/>
                <w:kern w:val="0"/>
                <w:sz w:val="22"/>
                <w:szCs w:val="22"/>
                <w:highlight w:val="none"/>
                <w:shd w:val="clear" w:color="auto" w:fill="auto"/>
              </w:rPr>
              <w:t>落实情况督导模型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35</w:t>
            </w:r>
          </w:p>
        </w:tc>
        <w:tc>
          <w:tcPr>
            <w:tcW w:w="1676" w:type="dxa"/>
            <w:vMerge w:val="continue"/>
            <w:tcBorders>
              <w:left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个人极端行为倾向关注人员管理模型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36</w:t>
            </w:r>
          </w:p>
        </w:tc>
        <w:tc>
          <w:tcPr>
            <w:tcW w:w="1676" w:type="dxa"/>
            <w:vMerge w:val="continue"/>
            <w:tcBorders>
              <w:left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重点单位筛选分析模型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37</w:t>
            </w:r>
          </w:p>
        </w:tc>
        <w:tc>
          <w:tcPr>
            <w:tcW w:w="1676" w:type="dxa"/>
            <w:tcBorders>
              <w:left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违禁药品寄递关系分析模型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38</w:t>
            </w:r>
          </w:p>
        </w:tc>
        <w:tc>
          <w:tcPr>
            <w:tcW w:w="1676" w:type="dxa"/>
            <w:tcBorders>
              <w:left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涉毒前科人员特征分析模型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39</w:t>
            </w:r>
          </w:p>
        </w:tc>
        <w:tc>
          <w:tcPr>
            <w:tcW w:w="1676" w:type="dxa"/>
            <w:tcBorders>
              <w:left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吸毒人员同飞机火车出行发现模型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40</w:t>
            </w:r>
          </w:p>
        </w:tc>
        <w:tc>
          <w:tcPr>
            <w:tcW w:w="1676" w:type="dxa"/>
            <w:tcBorders>
              <w:left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非涉毒前科人员挖掘分析模型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41</w:t>
            </w:r>
          </w:p>
        </w:tc>
        <w:tc>
          <w:tcPr>
            <w:tcW w:w="1676" w:type="dxa"/>
            <w:tcBorders>
              <w:left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过夜手机信息匹配分析模型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42</w:t>
            </w:r>
          </w:p>
        </w:tc>
        <w:tc>
          <w:tcPr>
            <w:tcW w:w="1676" w:type="dxa"/>
            <w:tcBorders>
              <w:left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带</w:t>
            </w:r>
            <w:r>
              <w:rPr>
                <w:rFonts w:cs="宋体" w:asciiTheme="minorEastAsia" w:hAnsiTheme="minorEastAsia" w:eastAsiaTheme="minorEastAsia"/>
                <w:color w:val="auto"/>
                <w:kern w:val="0"/>
                <w:sz w:val="22"/>
                <w:szCs w:val="22"/>
                <w:highlight w:val="none"/>
                <w:shd w:val="clear" w:color="auto" w:fill="auto"/>
              </w:rPr>
              <w:t>*</w:t>
            </w:r>
            <w:r>
              <w:rPr>
                <w:rFonts w:hint="eastAsia" w:cs="宋体" w:asciiTheme="minorEastAsia" w:hAnsiTheme="minorEastAsia" w:eastAsiaTheme="minorEastAsia"/>
                <w:color w:val="auto"/>
                <w:kern w:val="0"/>
                <w:sz w:val="22"/>
                <w:szCs w:val="22"/>
                <w:highlight w:val="none"/>
                <w:shd w:val="clear" w:color="auto" w:fill="auto"/>
              </w:rPr>
              <w:t>号手机关联人员模型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CellMar>
            <w:top w:w="15" w:type="dxa"/>
            <w:left w:w="15" w:type="dxa"/>
            <w:bottom w:w="15" w:type="dxa"/>
            <w:right w:w="15" w:type="dxa"/>
          </w:tblCellMar>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43</w:t>
            </w:r>
          </w:p>
        </w:tc>
        <w:tc>
          <w:tcPr>
            <w:tcW w:w="1676" w:type="dxa"/>
            <w:tcBorders>
              <w:left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交通违法人员信息补全模型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PrEx>
        <w:trPr>
          <w:trHeight w:val="270" w:hRule="atLeast"/>
        </w:trPr>
        <w:tc>
          <w:tcPr>
            <w:tcW w:w="4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44</w:t>
            </w:r>
          </w:p>
        </w:tc>
        <w:tc>
          <w:tcPr>
            <w:tcW w:w="1676" w:type="dxa"/>
            <w:tcBorders>
              <w:left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000000"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交通事故研判分析模型</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r>
        <w:tblPrEx>
          <w:tblLayout w:type="fixed"/>
        </w:tblPrEx>
        <w:trPr>
          <w:trHeight w:val="270" w:hRule="atLeast"/>
        </w:trPr>
        <w:tc>
          <w:tcPr>
            <w:tcW w:w="467"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45</w:t>
            </w:r>
          </w:p>
        </w:tc>
        <w:tc>
          <w:tcPr>
            <w:tcW w:w="1676" w:type="dxa"/>
            <w:tcBorders>
              <w:left w:val="single" w:color="000000" w:sz="4" w:space="0"/>
              <w:bottom w:val="single" w:color="auto"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p>
        </w:tc>
        <w:tc>
          <w:tcPr>
            <w:tcW w:w="4948" w:type="dxa"/>
            <w:tcBorders>
              <w:top w:val="single" w:color="000000" w:sz="4" w:space="0"/>
              <w:left w:val="single" w:color="000000" w:sz="4" w:space="0"/>
              <w:bottom w:val="single" w:color="auto" w:sz="4" w:space="0"/>
              <w:right w:val="single" w:color="000000" w:sz="4" w:space="0"/>
            </w:tcBorders>
            <w:vAlign w:val="center"/>
          </w:tcPr>
          <w:p>
            <w:pPr>
              <w:ind w:firstLine="44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sz w:val="22"/>
                <w:szCs w:val="22"/>
                <w:highlight w:val="none"/>
                <w:shd w:val="clear" w:color="auto" w:fill="auto"/>
              </w:rPr>
              <w:t>电子卷宗问题分析预警模型</w:t>
            </w:r>
          </w:p>
        </w:tc>
        <w:tc>
          <w:tcPr>
            <w:tcW w:w="1245" w:type="dxa"/>
            <w:tcBorders>
              <w:top w:val="single" w:color="000000" w:sz="4" w:space="0"/>
              <w:left w:val="single" w:color="000000" w:sz="4" w:space="0"/>
              <w:bottom w:val="single" w:color="auto" w:sz="4" w:space="0"/>
              <w:right w:val="single" w:color="000000" w:sz="4" w:space="0"/>
            </w:tcBorders>
            <w:vAlign w:val="center"/>
          </w:tcPr>
          <w:p>
            <w:pPr>
              <w:widowControl/>
              <w:spacing w:line="240" w:lineRule="auto"/>
              <w:ind w:firstLine="0" w:firstLineChars="0"/>
              <w:jc w:val="center"/>
              <w:rPr>
                <w:rFonts w:cs="宋体" w:asciiTheme="minorEastAsia" w:hAnsiTheme="minorEastAsia" w:eastAsiaTheme="minorEastAsia"/>
                <w:color w:val="auto"/>
                <w:kern w:val="0"/>
                <w:sz w:val="22"/>
                <w:szCs w:val="22"/>
                <w:highlight w:val="none"/>
                <w:shd w:val="clear" w:color="auto" w:fill="auto"/>
              </w:rPr>
            </w:pPr>
            <w:r>
              <w:rPr>
                <w:rFonts w:hint="eastAsia" w:cs="宋体" w:asciiTheme="minorEastAsia" w:hAnsiTheme="minorEastAsia" w:eastAsiaTheme="minorEastAsia"/>
                <w:color w:val="auto"/>
                <w:kern w:val="0"/>
                <w:highlight w:val="none"/>
                <w:shd w:val="clear" w:color="auto" w:fill="auto"/>
              </w:rPr>
              <w:t>1项</w:t>
            </w:r>
          </w:p>
        </w:tc>
      </w:tr>
    </w:tbl>
    <w:p>
      <w:pPr>
        <w:ind w:firstLine="0" w:firstLineChars="0"/>
        <w:rPr>
          <w:color w:val="auto"/>
          <w:highlight w:val="none"/>
          <w:shd w:val="clear" w:color="auto" w:fill="auto"/>
        </w:rPr>
      </w:pPr>
    </w:p>
    <w:p>
      <w:pPr>
        <w:pStyle w:val="2"/>
        <w:rPr>
          <w:color w:val="auto"/>
          <w:highlight w:val="none"/>
          <w:shd w:val="clear" w:color="auto" w:fill="auto"/>
        </w:rPr>
      </w:pPr>
      <w:r>
        <w:rPr>
          <w:rFonts w:hint="eastAsia"/>
          <w:color w:val="auto"/>
          <w:highlight w:val="none"/>
          <w:shd w:val="clear" w:color="auto" w:fill="auto"/>
        </w:rPr>
        <w:t>系统建设技术要求</w:t>
      </w:r>
    </w:p>
    <w:p>
      <w:pPr>
        <w:pStyle w:val="4"/>
        <w:rPr>
          <w:color w:val="auto"/>
          <w:highlight w:val="none"/>
          <w:shd w:val="clear" w:color="auto" w:fill="auto"/>
        </w:rPr>
      </w:pPr>
      <w:r>
        <w:rPr>
          <w:color w:val="auto"/>
          <w:highlight w:val="none"/>
          <w:shd w:val="clear" w:color="auto" w:fill="auto"/>
        </w:rPr>
        <w:t>建设</w:t>
      </w:r>
      <w:r>
        <w:rPr>
          <w:rFonts w:hint="eastAsia"/>
          <w:color w:val="auto"/>
          <w:highlight w:val="none"/>
          <w:shd w:val="clear" w:color="auto" w:fill="auto"/>
        </w:rPr>
        <w:t>背景</w:t>
      </w:r>
    </w:p>
    <w:p>
      <w:pPr>
        <w:pStyle w:val="3"/>
        <w:spacing w:before="156" w:after="156"/>
        <w:rPr>
          <w:color w:val="auto"/>
          <w:highlight w:val="none"/>
          <w:shd w:val="clear" w:color="auto" w:fill="auto"/>
        </w:rPr>
      </w:pPr>
      <w:r>
        <w:rPr>
          <w:rFonts w:hint="eastAsia"/>
          <w:color w:val="auto"/>
          <w:highlight w:val="none"/>
          <w:shd w:val="clear" w:color="auto" w:fill="auto"/>
        </w:rPr>
        <w:t>近年来智慧公安信息化建设取得了丰硕成果，有力支撑了公安各项业务工作开展，促进了公安工作体制机制变革。公安信息化的高速发展积累了丰富的业务数据，特别是前端感知数据的不断丰富、结构不断异化、总量不断增长，公安行业的大数据实战应用蓄势待发。</w:t>
      </w:r>
    </w:p>
    <w:p>
      <w:pPr>
        <w:pStyle w:val="3"/>
        <w:spacing w:before="156" w:after="156"/>
        <w:rPr>
          <w:color w:val="auto"/>
          <w:highlight w:val="none"/>
          <w:shd w:val="clear" w:color="auto" w:fill="auto"/>
        </w:rPr>
      </w:pPr>
      <w:r>
        <w:rPr>
          <w:rFonts w:hint="eastAsia"/>
          <w:color w:val="auto"/>
          <w:highlight w:val="none"/>
          <w:shd w:val="clear" w:color="auto" w:fill="auto"/>
        </w:rPr>
        <w:t>在2</w:t>
      </w:r>
      <w:r>
        <w:rPr>
          <w:color w:val="auto"/>
          <w:highlight w:val="none"/>
          <w:shd w:val="clear" w:color="auto" w:fill="auto"/>
        </w:rPr>
        <w:t>019</w:t>
      </w:r>
      <w:r>
        <w:rPr>
          <w:rFonts w:hint="eastAsia"/>
          <w:color w:val="auto"/>
          <w:highlight w:val="none"/>
          <w:shd w:val="clear" w:color="auto" w:fill="auto"/>
        </w:rPr>
        <w:t>年和2</w:t>
      </w:r>
      <w:r>
        <w:rPr>
          <w:color w:val="auto"/>
          <w:highlight w:val="none"/>
          <w:shd w:val="clear" w:color="auto" w:fill="auto"/>
        </w:rPr>
        <w:t>020</w:t>
      </w:r>
      <w:r>
        <w:rPr>
          <w:rFonts w:hint="eastAsia"/>
          <w:color w:val="auto"/>
          <w:highlight w:val="none"/>
          <w:shd w:val="clear" w:color="auto" w:fill="auto"/>
        </w:rPr>
        <w:t>年，全市局举办了优秀模型及轻应用“双十佳”评比，取得了良好反响，在激发创新、壮大人才库等方面都取得了积极效果，在这两次模型大赛中，分局搭建的模型也都成功入选1</w:t>
      </w:r>
      <w:r>
        <w:rPr>
          <w:color w:val="auto"/>
          <w:highlight w:val="none"/>
          <w:shd w:val="clear" w:color="auto" w:fill="auto"/>
        </w:rPr>
        <w:t>0</w:t>
      </w:r>
      <w:r>
        <w:rPr>
          <w:rFonts w:hint="eastAsia"/>
          <w:color w:val="auto"/>
          <w:highlight w:val="none"/>
          <w:shd w:val="clear" w:color="auto" w:fill="auto"/>
        </w:rPr>
        <w:t>佳优秀模型。在今年，此项活动将继续开展，并提出了新的要求，建模背景要求准确，业务场景清晰，存在问题明确，建模理由充分；业务特征方面要结合感知数据以及实践经验，提炼打防管控技战法规律，符合实战需求；成效机制方面实际成效明显，能形成新型警务模式，有明显创新点，可在某一领域复制推广，同时要求能够赋能“一网通管”和“一网通办”。</w:t>
      </w:r>
    </w:p>
    <w:p>
      <w:pPr>
        <w:pStyle w:val="3"/>
        <w:spacing w:before="156" w:after="156"/>
        <w:rPr>
          <w:color w:val="auto"/>
          <w:highlight w:val="none"/>
          <w:shd w:val="clear" w:color="auto" w:fill="auto"/>
        </w:rPr>
      </w:pPr>
      <w:r>
        <w:rPr>
          <w:rFonts w:hint="eastAsia"/>
          <w:color w:val="auto"/>
          <w:highlight w:val="none"/>
          <w:shd w:val="clear" w:color="auto" w:fill="auto"/>
        </w:rPr>
        <w:t>根据《2</w:t>
      </w:r>
      <w:r>
        <w:rPr>
          <w:color w:val="auto"/>
          <w:highlight w:val="none"/>
          <w:shd w:val="clear" w:color="auto" w:fill="auto"/>
        </w:rPr>
        <w:t>021</w:t>
      </w:r>
      <w:r>
        <w:rPr>
          <w:rFonts w:hint="eastAsia"/>
          <w:color w:val="auto"/>
          <w:highlight w:val="none"/>
          <w:shd w:val="clear" w:color="auto" w:fill="auto"/>
        </w:rPr>
        <w:t>年度地区分局数据工作考评细则》、《全国公安机关社会治安防控体系建设指南》等文件精神，长宁分局数据科作为分局数据汇聚、数据应用、业务模型建设的主要责任单位，为贯彻推进长宁综合治理体系和治理能力的现代化要求，以共建共享和开放利用为建设思路，拟建长宁分局数据模型融合应用平台，使海量数据资源能够充分发挥业务价值，帮助一线民警实现数据模型化、模型实战化、紧贴一线业务需求的数据应用系统，为一线民警提供业务实战模型、模型分析、自助分析等数据应用。</w:t>
      </w:r>
    </w:p>
    <w:p>
      <w:pPr>
        <w:pStyle w:val="4"/>
        <w:spacing w:before="240" w:after="240"/>
        <w:rPr>
          <w:color w:val="auto"/>
          <w:highlight w:val="none"/>
          <w:shd w:val="clear" w:color="auto" w:fill="auto"/>
        </w:rPr>
      </w:pPr>
      <w:r>
        <w:rPr>
          <w:rFonts w:hint="eastAsia"/>
          <w:color w:val="auto"/>
          <w:highlight w:val="none"/>
          <w:shd w:val="clear" w:color="auto" w:fill="auto"/>
        </w:rPr>
        <w:t>功能要求</w:t>
      </w:r>
    </w:p>
    <w:p>
      <w:pPr>
        <w:pStyle w:val="5"/>
        <w:rPr>
          <w:color w:val="auto"/>
          <w:highlight w:val="none"/>
          <w:shd w:val="clear" w:color="auto" w:fill="auto"/>
        </w:rPr>
      </w:pPr>
      <w:r>
        <w:rPr>
          <w:rFonts w:hint="eastAsia"/>
          <w:color w:val="auto"/>
          <w:highlight w:val="none"/>
          <w:shd w:val="clear" w:color="auto" w:fill="auto"/>
        </w:rPr>
        <w:t>数据接入加工</w:t>
      </w:r>
    </w:p>
    <w:p>
      <w:pPr>
        <w:pStyle w:val="3"/>
        <w:spacing w:before="156" w:after="156"/>
        <w:rPr>
          <w:color w:val="auto"/>
          <w:highlight w:val="none"/>
          <w:shd w:val="clear" w:color="auto" w:fill="auto"/>
        </w:rPr>
      </w:pPr>
      <w:r>
        <w:rPr>
          <w:rFonts w:hint="eastAsia"/>
          <w:color w:val="auto"/>
          <w:highlight w:val="none"/>
          <w:shd w:val="clear" w:color="auto" w:fill="auto"/>
        </w:rPr>
        <w:t>要求接入各类建模所需数据，开展数据标准化治理，确保数据精度达到建模标准。</w:t>
      </w:r>
    </w:p>
    <w:p>
      <w:pPr>
        <w:pStyle w:val="5"/>
        <w:rPr>
          <w:color w:val="auto"/>
          <w:highlight w:val="none"/>
          <w:shd w:val="clear" w:color="auto" w:fill="auto"/>
        </w:rPr>
      </w:pPr>
      <w:r>
        <w:rPr>
          <w:rFonts w:hint="eastAsia"/>
          <w:color w:val="auto"/>
          <w:highlight w:val="none"/>
          <w:shd w:val="clear" w:color="auto" w:fill="auto"/>
        </w:rPr>
        <w:t>模型开发</w:t>
      </w:r>
    </w:p>
    <w:p>
      <w:pPr>
        <w:pStyle w:val="6"/>
        <w:rPr>
          <w:rFonts w:ascii="黑体" w:hAnsi="黑体"/>
          <w:color w:val="auto"/>
          <w:highlight w:val="none"/>
          <w:shd w:val="clear" w:color="auto" w:fill="auto"/>
        </w:rPr>
      </w:pPr>
      <w:bookmarkStart w:id="1" w:name="_Toc42776291"/>
      <w:r>
        <w:rPr>
          <w:rFonts w:ascii="黑体" w:hAnsi="黑体"/>
          <w:color w:val="auto"/>
          <w:highlight w:val="none"/>
          <w:shd w:val="clear" w:color="auto" w:fill="auto"/>
        </w:rPr>
        <w:t>110</w:t>
      </w:r>
      <w:r>
        <w:rPr>
          <w:rFonts w:hint="eastAsia" w:ascii="黑体" w:hAnsi="黑体"/>
          <w:color w:val="auto"/>
          <w:highlight w:val="none"/>
          <w:shd w:val="clear" w:color="auto" w:fill="auto"/>
        </w:rPr>
        <w:t>警情研判模型</w:t>
      </w:r>
      <w:bookmarkEnd w:id="1"/>
    </w:p>
    <w:p>
      <w:pPr>
        <w:pStyle w:val="3"/>
        <w:spacing w:before="156" w:after="156"/>
        <w:rPr>
          <w:color w:val="auto"/>
          <w:highlight w:val="none"/>
          <w:shd w:val="clear" w:color="auto" w:fill="auto"/>
        </w:rPr>
      </w:pPr>
      <w:r>
        <w:rPr>
          <w:color w:val="auto"/>
          <w:highlight w:val="none"/>
          <w:shd w:val="clear" w:color="auto" w:fill="auto"/>
        </w:rPr>
        <w:t>通过110接警数据分析，对警情各时间段趋势、各派出所接警数、报警类占比、报警信息分类占比等维度进行分析统计，根据警情的时空和地域特点寻找可控警情高发点，进行科学布警。</w:t>
      </w:r>
    </w:p>
    <w:p>
      <w:pPr>
        <w:pStyle w:val="6"/>
        <w:rPr>
          <w:rFonts w:ascii="黑体" w:hAnsi="黑体"/>
          <w:color w:val="auto"/>
          <w:highlight w:val="none"/>
          <w:shd w:val="clear" w:color="auto" w:fill="auto"/>
        </w:rPr>
      </w:pPr>
      <w:r>
        <w:rPr>
          <w:rFonts w:ascii="黑体" w:hAnsi="黑体"/>
          <w:color w:val="auto"/>
          <w:highlight w:val="none"/>
          <w:shd w:val="clear" w:color="auto" w:fill="auto"/>
        </w:rPr>
        <w:t>高危人员来沪在特定区域发现预警模型</w:t>
      </w:r>
    </w:p>
    <w:p>
      <w:pPr>
        <w:pStyle w:val="3"/>
        <w:spacing w:before="156" w:after="156"/>
        <w:rPr>
          <w:color w:val="auto"/>
          <w:highlight w:val="none"/>
          <w:shd w:val="clear" w:color="auto" w:fill="auto"/>
          <w:lang w:val="en-US"/>
        </w:rPr>
      </w:pPr>
      <w:r>
        <w:rPr>
          <w:color w:val="auto"/>
          <w:highlight w:val="none"/>
          <w:shd w:val="clear" w:color="auto" w:fill="auto"/>
          <w:lang w:val="en-US"/>
        </w:rPr>
        <w:t>模型通过高危人员进行布控预警，对人员出现在领馆、商场、学校、多次进出不同小区进行预警，对可疑轨迹及时查处。</w:t>
      </w:r>
    </w:p>
    <w:p>
      <w:pPr>
        <w:pStyle w:val="6"/>
        <w:rPr>
          <w:rFonts w:ascii="黑体" w:hAnsi="黑体"/>
          <w:color w:val="auto"/>
          <w:highlight w:val="none"/>
          <w:shd w:val="clear" w:color="auto" w:fill="auto"/>
        </w:rPr>
      </w:pPr>
      <w:r>
        <w:rPr>
          <w:rFonts w:ascii="黑体" w:hAnsi="黑体"/>
          <w:color w:val="auto"/>
          <w:highlight w:val="none"/>
          <w:shd w:val="clear" w:color="auto" w:fill="auto"/>
        </w:rPr>
        <w:t>入室盗窃标签人员预警模型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模型通过上海市以往的盗窃案件中以人员籍贯、案发地点、人员是否实有人口登记、人口是否实有居住登记进行标签分配。并对多个标签人员进行重点预警并将人员信息提供给相关部门。</w:t>
      </w:r>
    </w:p>
    <w:p>
      <w:pPr>
        <w:pStyle w:val="6"/>
        <w:rPr>
          <w:rFonts w:ascii="黑体" w:hAnsi="黑体"/>
          <w:color w:val="auto"/>
          <w:highlight w:val="none"/>
          <w:shd w:val="clear" w:color="auto" w:fill="auto"/>
        </w:rPr>
      </w:pPr>
      <w:r>
        <w:rPr>
          <w:rFonts w:ascii="黑体" w:hAnsi="黑体"/>
          <w:color w:val="auto"/>
          <w:highlight w:val="none"/>
          <w:shd w:val="clear" w:color="auto" w:fill="auto"/>
        </w:rPr>
        <w:t>入室盗窃高危地区人员预警模型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模型通过上海市以往的盗窃类案件中，统计所有的案发地点并进行地区聚合，针对在高危地区作案的人员进行重点关注，并将预警的数据提供给刑侦支队作为线索掌握。</w:t>
      </w:r>
    </w:p>
    <w:p>
      <w:pPr>
        <w:pStyle w:val="6"/>
        <w:rPr>
          <w:rFonts w:ascii="黑体" w:hAnsi="黑体"/>
          <w:color w:val="auto"/>
          <w:highlight w:val="none"/>
          <w:shd w:val="clear" w:color="auto" w:fill="auto"/>
        </w:rPr>
      </w:pPr>
      <w:r>
        <w:rPr>
          <w:rFonts w:ascii="黑体" w:hAnsi="黑体"/>
          <w:color w:val="auto"/>
          <w:highlight w:val="none"/>
          <w:shd w:val="clear" w:color="auto" w:fill="auto"/>
        </w:rPr>
        <w:t>查处吸毒人员模型、容留吸毒犯罪模型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模型使用吸毒人员信息表与旅馆登记信息进行关联，匹配出两名以上吸毒人员同时登记入住、吸毒人员多次入住同一旅馆、吸毒人员与非吸毒前科人员登记入住的信息进行预警，并将产出的数据进行汇总，整理出高危的人员名单和旅馆名单进行核查。</w:t>
      </w:r>
    </w:p>
    <w:p>
      <w:pPr>
        <w:pStyle w:val="6"/>
        <w:rPr>
          <w:rFonts w:ascii="黑体" w:hAnsi="黑体"/>
          <w:color w:val="auto"/>
          <w:highlight w:val="none"/>
          <w:shd w:val="clear" w:color="auto" w:fill="auto"/>
        </w:rPr>
      </w:pPr>
      <w:r>
        <w:rPr>
          <w:rFonts w:ascii="黑体" w:hAnsi="黑体"/>
          <w:color w:val="auto"/>
          <w:highlight w:val="none"/>
          <w:shd w:val="clear" w:color="auto" w:fill="auto"/>
        </w:rPr>
        <w:t>盗窃“</w:t>
      </w:r>
      <w:r>
        <w:rPr>
          <w:rFonts w:hint="eastAsia" w:ascii="黑体" w:hAnsi="黑体"/>
          <w:color w:val="auto"/>
          <w:highlight w:val="none"/>
          <w:shd w:val="clear" w:color="auto" w:fill="auto"/>
        </w:rPr>
        <w:t>三车</w:t>
      </w:r>
      <w:r>
        <w:rPr>
          <w:rFonts w:ascii="黑体" w:hAnsi="黑体"/>
          <w:color w:val="auto"/>
          <w:highlight w:val="none"/>
          <w:shd w:val="clear" w:color="auto" w:fill="auto"/>
        </w:rPr>
        <w:t>”</w:t>
      </w:r>
      <w:r>
        <w:rPr>
          <w:rFonts w:hint="eastAsia" w:ascii="黑体" w:hAnsi="黑体"/>
          <w:color w:val="auto"/>
          <w:highlight w:val="none"/>
          <w:shd w:val="clear" w:color="auto" w:fill="auto"/>
        </w:rPr>
        <w:t>路面预警模型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模型通过上海市以往的“盗三车”类的盗窃中的嫌疑人员进行布控预警，统计人员频繁活动、人员进入非自己小区作为维度进行预警，并将模型产出的数据进行核查。</w:t>
      </w:r>
    </w:p>
    <w:p>
      <w:pPr>
        <w:pStyle w:val="6"/>
        <w:rPr>
          <w:rFonts w:ascii="黑体" w:hAnsi="黑体"/>
          <w:color w:val="auto"/>
          <w:highlight w:val="none"/>
          <w:shd w:val="clear" w:color="auto" w:fill="auto"/>
        </w:rPr>
      </w:pPr>
      <w:r>
        <w:rPr>
          <w:rFonts w:ascii="黑体" w:hAnsi="黑体"/>
          <w:color w:val="auto"/>
          <w:highlight w:val="none"/>
          <w:shd w:val="clear" w:color="auto" w:fill="auto"/>
        </w:rPr>
        <w:t>信访数据可视化模型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模型针对上访数据进行可视化展示，从各信访办地点接访数量作为扇形统计图展示，并对所接访的信息进行联动，同时针对一人多次访、多人同时访信息进行统计，并从中展示非正常上访人员的相关信息反馈给相关部门进行处理。</w:t>
      </w:r>
    </w:p>
    <w:p>
      <w:pPr>
        <w:pStyle w:val="6"/>
        <w:rPr>
          <w:rFonts w:ascii="黑体" w:hAnsi="黑体"/>
          <w:color w:val="auto"/>
          <w:highlight w:val="none"/>
          <w:shd w:val="clear" w:color="auto" w:fill="auto"/>
        </w:rPr>
      </w:pPr>
      <w:r>
        <w:rPr>
          <w:rFonts w:ascii="黑体" w:hAnsi="黑体"/>
          <w:color w:val="auto"/>
          <w:highlight w:val="none"/>
          <w:shd w:val="clear" w:color="auto" w:fill="auto"/>
        </w:rPr>
        <w:t>在逃人员（临控人员）出入境证件号码关联发现预警模型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要求</w:t>
      </w:r>
      <w:r>
        <w:rPr>
          <w:color w:val="auto"/>
          <w:highlight w:val="none"/>
          <w:shd w:val="clear" w:color="auto" w:fill="auto"/>
          <w:lang w:val="en-US"/>
        </w:rPr>
        <w:t>对在逃人员信息与出入境护照信息进行匹配，匹配有护照的在逃人员并匹配人员的出行信息、出入境记录，从而发现在逃人员的出行线索。</w:t>
      </w:r>
    </w:p>
    <w:p>
      <w:pPr>
        <w:pStyle w:val="6"/>
        <w:rPr>
          <w:rFonts w:ascii="黑体" w:hAnsi="黑体"/>
          <w:color w:val="auto"/>
          <w:highlight w:val="none"/>
          <w:shd w:val="clear" w:color="auto" w:fill="auto"/>
        </w:rPr>
      </w:pPr>
      <w:r>
        <w:rPr>
          <w:rFonts w:ascii="黑体" w:hAnsi="黑体"/>
          <w:color w:val="auto"/>
          <w:highlight w:val="none"/>
          <w:shd w:val="clear" w:color="auto" w:fill="auto"/>
        </w:rPr>
        <w:t>案综三类案件事由错误及智能分析模型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通过业务需求的案综三类案件进行过滤，并对其案件产生的法律文书进行研判，针对文书中不符合的案件信息进行过滤，并对案件的主办单位和主办民警进行推送并整改。</w:t>
      </w:r>
    </w:p>
    <w:p>
      <w:pPr>
        <w:pStyle w:val="6"/>
        <w:rPr>
          <w:rFonts w:ascii="黑体" w:hAnsi="黑体"/>
          <w:color w:val="auto"/>
          <w:highlight w:val="none"/>
          <w:shd w:val="clear" w:color="auto" w:fill="auto"/>
        </w:rPr>
      </w:pPr>
      <w:r>
        <w:rPr>
          <w:rFonts w:ascii="黑体" w:hAnsi="黑体"/>
          <w:color w:val="auto"/>
          <w:highlight w:val="none"/>
          <w:shd w:val="clear" w:color="auto" w:fill="auto"/>
        </w:rPr>
        <w:t>新疆籍关注人员在本区重点区域出现预警模型</w:t>
      </w:r>
    </w:p>
    <w:p>
      <w:pPr>
        <w:pStyle w:val="3"/>
        <w:spacing w:before="156" w:after="156"/>
        <w:rPr>
          <w:color w:val="auto"/>
          <w:highlight w:val="none"/>
          <w:shd w:val="clear" w:color="auto" w:fill="auto"/>
          <w:lang w:val="en-US"/>
        </w:rPr>
      </w:pPr>
      <w:r>
        <w:rPr>
          <w:color w:val="auto"/>
          <w:highlight w:val="none"/>
          <w:shd w:val="clear" w:color="auto" w:fill="auto"/>
          <w:lang w:val="en-US"/>
        </w:rPr>
        <w:t>模型对</w:t>
      </w:r>
      <w:r>
        <w:rPr>
          <w:rFonts w:hint="eastAsia"/>
          <w:color w:val="auto"/>
          <w:highlight w:val="none"/>
          <w:shd w:val="clear" w:color="auto" w:fill="auto"/>
          <w:lang w:val="en-US"/>
        </w:rPr>
        <w:t>用户指定类型</w:t>
      </w:r>
      <w:r>
        <w:rPr>
          <w:color w:val="auto"/>
          <w:highlight w:val="none"/>
          <w:shd w:val="clear" w:color="auto" w:fill="auto"/>
          <w:lang w:val="en-US"/>
        </w:rPr>
        <w:t>人员进行重点布控，采取方式为图像融合系统进行布控，对同一重点目标5分钟出现3名以上</w:t>
      </w:r>
      <w:r>
        <w:rPr>
          <w:rFonts w:hint="eastAsia"/>
          <w:color w:val="auto"/>
          <w:highlight w:val="none"/>
          <w:shd w:val="clear" w:color="auto" w:fill="auto"/>
          <w:lang w:val="en-US"/>
        </w:rPr>
        <w:t>指定类型</w:t>
      </w:r>
      <w:r>
        <w:rPr>
          <w:color w:val="auto"/>
          <w:highlight w:val="none"/>
          <w:shd w:val="clear" w:color="auto" w:fill="auto"/>
          <w:lang w:val="en-US"/>
        </w:rPr>
        <w:t>人员、10分钟内3个重点目标出现</w:t>
      </w:r>
      <w:r>
        <w:rPr>
          <w:rFonts w:hint="eastAsia"/>
          <w:color w:val="auto"/>
          <w:highlight w:val="none"/>
          <w:shd w:val="clear" w:color="auto" w:fill="auto"/>
          <w:lang w:val="en-US"/>
        </w:rPr>
        <w:t>指定类型</w:t>
      </w:r>
      <w:r>
        <w:rPr>
          <w:color w:val="auto"/>
          <w:highlight w:val="none"/>
          <w:shd w:val="clear" w:color="auto" w:fill="auto"/>
          <w:lang w:val="en-US"/>
        </w:rPr>
        <w:t>人员、同一</w:t>
      </w:r>
      <w:r>
        <w:rPr>
          <w:rFonts w:hint="eastAsia"/>
          <w:color w:val="auto"/>
          <w:highlight w:val="none"/>
          <w:shd w:val="clear" w:color="auto" w:fill="auto"/>
          <w:lang w:val="en-US"/>
        </w:rPr>
        <w:t>指定类型</w:t>
      </w:r>
      <w:r>
        <w:rPr>
          <w:color w:val="auto"/>
          <w:highlight w:val="none"/>
          <w:shd w:val="clear" w:color="auto" w:fill="auto"/>
          <w:lang w:val="en-US"/>
        </w:rPr>
        <w:t>关注人员24小时出现3个区域以上、同一摄像机30秒内预警两名以上</w:t>
      </w:r>
      <w:r>
        <w:rPr>
          <w:rFonts w:hint="eastAsia"/>
          <w:color w:val="auto"/>
          <w:highlight w:val="none"/>
          <w:shd w:val="clear" w:color="auto" w:fill="auto"/>
          <w:lang w:val="en-US"/>
        </w:rPr>
        <w:t>同类型</w:t>
      </w:r>
      <w:r>
        <w:rPr>
          <w:color w:val="auto"/>
          <w:highlight w:val="none"/>
          <w:shd w:val="clear" w:color="auto" w:fill="auto"/>
          <w:lang w:val="en-US"/>
        </w:rPr>
        <w:t>人员、本区实有</w:t>
      </w:r>
      <w:r>
        <w:rPr>
          <w:rFonts w:hint="eastAsia"/>
          <w:color w:val="auto"/>
          <w:highlight w:val="none"/>
          <w:shd w:val="clear" w:color="auto" w:fill="auto"/>
          <w:lang w:val="en-US"/>
        </w:rPr>
        <w:t>指定类型</w:t>
      </w:r>
      <w:r>
        <w:rPr>
          <w:color w:val="auto"/>
          <w:highlight w:val="none"/>
          <w:shd w:val="clear" w:color="auto" w:fill="auto"/>
          <w:lang w:val="en-US"/>
        </w:rPr>
        <w:t>人员72小时无抓拍信息、非本区实有</w:t>
      </w:r>
      <w:r>
        <w:rPr>
          <w:rFonts w:hint="eastAsia"/>
          <w:color w:val="auto"/>
          <w:highlight w:val="none"/>
          <w:shd w:val="clear" w:color="auto" w:fill="auto"/>
          <w:lang w:val="en-US"/>
        </w:rPr>
        <w:t>指定类型</w:t>
      </w:r>
      <w:r>
        <w:rPr>
          <w:color w:val="auto"/>
          <w:highlight w:val="none"/>
          <w:shd w:val="clear" w:color="auto" w:fill="auto"/>
          <w:lang w:val="en-US"/>
        </w:rPr>
        <w:t>人员一周在本区出现3次以上、出现在领馆附近</w:t>
      </w:r>
      <w:r>
        <w:rPr>
          <w:rFonts w:hint="eastAsia"/>
          <w:color w:val="auto"/>
          <w:highlight w:val="none"/>
          <w:shd w:val="clear" w:color="auto" w:fill="auto"/>
          <w:lang w:val="en-US"/>
        </w:rPr>
        <w:t>指定类型</w:t>
      </w:r>
      <w:r>
        <w:rPr>
          <w:color w:val="auto"/>
          <w:highlight w:val="none"/>
          <w:shd w:val="clear" w:color="auto" w:fill="auto"/>
          <w:lang w:val="en-US"/>
        </w:rPr>
        <w:t>人员进行分析统计，对人员及时监控并对异常行为重点关注。</w:t>
      </w:r>
    </w:p>
    <w:p>
      <w:pPr>
        <w:pStyle w:val="6"/>
        <w:rPr>
          <w:rFonts w:ascii="黑体" w:hAnsi="黑体"/>
          <w:color w:val="auto"/>
          <w:highlight w:val="none"/>
          <w:shd w:val="clear" w:color="auto" w:fill="auto"/>
        </w:rPr>
      </w:pPr>
      <w:r>
        <w:rPr>
          <w:rFonts w:ascii="黑体" w:hAnsi="黑体"/>
          <w:color w:val="auto"/>
          <w:highlight w:val="none"/>
          <w:shd w:val="clear" w:color="auto" w:fill="auto"/>
        </w:rPr>
        <w:t>治安热点区域涉黄涉赌人员发现管控模型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要求将</w:t>
      </w:r>
      <w:r>
        <w:rPr>
          <w:color w:val="auto"/>
          <w:highlight w:val="none"/>
          <w:shd w:val="clear" w:color="auto" w:fill="auto"/>
          <w:lang w:val="en-US"/>
        </w:rPr>
        <w:t>上海市及</w:t>
      </w:r>
      <w:r>
        <w:rPr>
          <w:rFonts w:hint="eastAsia"/>
          <w:color w:val="auto"/>
          <w:highlight w:val="none"/>
          <w:shd w:val="clear" w:color="auto" w:fill="auto"/>
          <w:lang w:val="en-US"/>
        </w:rPr>
        <w:t>长</w:t>
      </w:r>
      <w:r>
        <w:rPr>
          <w:color w:val="auto"/>
          <w:highlight w:val="none"/>
          <w:shd w:val="clear" w:color="auto" w:fill="auto"/>
          <w:lang w:val="en-US"/>
        </w:rPr>
        <w:t>三角地区涉黄人员作为人员底库，</w:t>
      </w:r>
      <w:r>
        <w:rPr>
          <w:rFonts w:hint="eastAsia"/>
          <w:color w:val="auto"/>
          <w:highlight w:val="none"/>
          <w:shd w:val="clear" w:color="auto" w:fill="auto"/>
          <w:lang w:val="en-US"/>
        </w:rPr>
        <w:t>通过比对实有人口信息、旅馆住宿登记信息等数据分析</w:t>
      </w:r>
      <w:r>
        <w:rPr>
          <w:color w:val="auto"/>
          <w:highlight w:val="none"/>
          <w:shd w:val="clear" w:color="auto" w:fill="auto"/>
          <w:lang w:val="en-US"/>
        </w:rPr>
        <w:t>频繁活动卖淫前科人员，卖淫前科人员聚集</w:t>
      </w:r>
      <w:r>
        <w:rPr>
          <w:rFonts w:hint="eastAsia"/>
          <w:color w:val="auto"/>
          <w:highlight w:val="none"/>
          <w:shd w:val="clear" w:color="auto" w:fill="auto"/>
          <w:lang w:val="en-US"/>
        </w:rPr>
        <w:t>地</w:t>
      </w:r>
      <w:r>
        <w:rPr>
          <w:color w:val="auto"/>
          <w:highlight w:val="none"/>
          <w:shd w:val="clear" w:color="auto" w:fill="auto"/>
          <w:lang w:val="en-US"/>
        </w:rPr>
        <w:t>，嫖娼前科人员聚集</w:t>
      </w:r>
      <w:r>
        <w:rPr>
          <w:rFonts w:hint="eastAsia"/>
          <w:color w:val="auto"/>
          <w:highlight w:val="none"/>
          <w:shd w:val="clear" w:color="auto" w:fill="auto"/>
          <w:lang w:val="en-US"/>
        </w:rPr>
        <w:t>地</w:t>
      </w:r>
      <w:r>
        <w:rPr>
          <w:color w:val="auto"/>
          <w:highlight w:val="none"/>
          <w:shd w:val="clear" w:color="auto" w:fill="auto"/>
          <w:lang w:val="en-US"/>
        </w:rPr>
        <w:t>，涉黄人员同区域相遇，涉黄人员轨迹撒点分析5个维度，并将产出的数据下发派出所进行核查。</w:t>
      </w:r>
      <w:r>
        <w:rPr>
          <w:rFonts w:hint="eastAsia"/>
          <w:color w:val="auto"/>
          <w:highlight w:val="none"/>
          <w:shd w:val="clear" w:color="auto" w:fill="auto"/>
          <w:lang w:val="en-US"/>
        </w:rPr>
        <w:t>将</w:t>
      </w:r>
      <w:r>
        <w:rPr>
          <w:color w:val="auto"/>
          <w:highlight w:val="none"/>
          <w:shd w:val="clear" w:color="auto" w:fill="auto"/>
          <w:lang w:val="en-US"/>
        </w:rPr>
        <w:t>涉毒人员信息作为人员底库，并对前科案由进行标签</w:t>
      </w:r>
      <w:r>
        <w:rPr>
          <w:rFonts w:hint="eastAsia"/>
          <w:color w:val="auto"/>
          <w:highlight w:val="none"/>
          <w:shd w:val="clear" w:color="auto" w:fill="auto"/>
          <w:lang w:val="en-US"/>
        </w:rPr>
        <w:t>处理</w:t>
      </w:r>
      <w:r>
        <w:rPr>
          <w:color w:val="auto"/>
          <w:highlight w:val="none"/>
          <w:shd w:val="clear" w:color="auto" w:fill="auto"/>
          <w:lang w:val="en-US"/>
        </w:rPr>
        <w:t>，并比对一人一档过滤在沪人员进行布控，对布控数据划分模型维度，维度包括赌博人员聚集、同区域同赌博种类前科人员发现、赌博人员轨迹撒点分析三个维度，数据最终将下发到派出所进行实地核查。</w:t>
      </w:r>
    </w:p>
    <w:p>
      <w:pPr>
        <w:pStyle w:val="6"/>
        <w:rPr>
          <w:rFonts w:ascii="黑体" w:hAnsi="黑体"/>
          <w:color w:val="auto"/>
          <w:highlight w:val="none"/>
          <w:shd w:val="clear" w:color="auto" w:fill="auto"/>
        </w:rPr>
      </w:pPr>
      <w:r>
        <w:rPr>
          <w:rFonts w:ascii="黑体" w:hAnsi="黑体"/>
          <w:color w:val="auto"/>
          <w:highlight w:val="none"/>
          <w:shd w:val="clear" w:color="auto" w:fill="auto"/>
        </w:rPr>
        <w:t>盗窃“</w:t>
      </w:r>
      <w:r>
        <w:rPr>
          <w:rFonts w:hint="eastAsia" w:ascii="黑体" w:hAnsi="黑体"/>
          <w:color w:val="auto"/>
          <w:highlight w:val="none"/>
          <w:shd w:val="clear" w:color="auto" w:fill="auto"/>
        </w:rPr>
        <w:t>三车</w:t>
      </w:r>
      <w:r>
        <w:rPr>
          <w:rFonts w:ascii="黑体" w:hAnsi="黑体"/>
          <w:color w:val="auto"/>
          <w:highlight w:val="none"/>
          <w:shd w:val="clear" w:color="auto" w:fill="auto"/>
        </w:rPr>
        <w:t>”</w:t>
      </w:r>
      <w:r>
        <w:rPr>
          <w:rFonts w:hint="eastAsia" w:ascii="黑体" w:hAnsi="黑体"/>
          <w:color w:val="auto"/>
          <w:highlight w:val="none"/>
          <w:shd w:val="clear" w:color="auto" w:fill="auto"/>
        </w:rPr>
        <w:t>嫌疑人串并打击模型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模型通过上海市以往的“盗三车”类的盗窃案件中统计犯罪嫌疑人的办案次数，同时匹配人员通入住、同上网、同出行等串并人员信息反馈至业务部门进行核查处理。</w:t>
      </w:r>
    </w:p>
    <w:p>
      <w:pPr>
        <w:pStyle w:val="6"/>
        <w:rPr>
          <w:rFonts w:ascii="黑体" w:hAnsi="黑体"/>
          <w:color w:val="auto"/>
          <w:highlight w:val="none"/>
          <w:shd w:val="clear" w:color="auto" w:fill="auto"/>
        </w:rPr>
      </w:pPr>
      <w:r>
        <w:rPr>
          <w:rFonts w:ascii="黑体" w:hAnsi="黑体"/>
          <w:color w:val="auto"/>
          <w:highlight w:val="none"/>
          <w:shd w:val="clear" w:color="auto" w:fill="auto"/>
        </w:rPr>
        <w:t>精神病人全量轨迹模型</w:t>
      </w:r>
    </w:p>
    <w:p>
      <w:pPr>
        <w:pStyle w:val="3"/>
        <w:spacing w:before="156" w:after="156"/>
        <w:rPr>
          <w:color w:val="auto"/>
          <w:highlight w:val="none"/>
          <w:shd w:val="clear" w:color="auto" w:fill="auto"/>
          <w:lang w:val="en-US"/>
        </w:rPr>
      </w:pPr>
      <w:r>
        <w:rPr>
          <w:color w:val="auto"/>
          <w:highlight w:val="none"/>
          <w:shd w:val="clear" w:color="auto" w:fill="auto"/>
          <w:lang w:val="en-US"/>
        </w:rPr>
        <w:t>模型对上海市精神病人进行汇总，从人员占比、轨迹活动占比、活动趋势进行统计，并将相关活动信息统计到字段中，并以可视化展示进行日常监控，发现可疑轨迹及时进行处理。</w:t>
      </w:r>
    </w:p>
    <w:p>
      <w:pPr>
        <w:pStyle w:val="6"/>
        <w:rPr>
          <w:rFonts w:ascii="黑体" w:hAnsi="黑体"/>
          <w:color w:val="auto"/>
          <w:highlight w:val="none"/>
          <w:shd w:val="clear" w:color="auto" w:fill="auto"/>
        </w:rPr>
      </w:pPr>
      <w:r>
        <w:rPr>
          <w:rFonts w:ascii="黑体" w:hAnsi="黑体"/>
          <w:color w:val="auto"/>
          <w:highlight w:val="none"/>
          <w:shd w:val="clear" w:color="auto" w:fill="auto"/>
        </w:rPr>
        <w:t>根据已知盗窃嫌疑人串并盗窃案件的分析模型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模型通过上海市以往盗窃类案件中统计犯罪嫌疑人的办案次数，同时匹配人员通入住、同上网、同出行等串并人员信息反馈至业务部门进行核查处理。</w:t>
      </w:r>
    </w:p>
    <w:p>
      <w:pPr>
        <w:pStyle w:val="6"/>
        <w:rPr>
          <w:rFonts w:ascii="黑体" w:hAnsi="黑体"/>
          <w:color w:val="auto"/>
          <w:highlight w:val="none"/>
          <w:shd w:val="clear" w:color="auto" w:fill="auto"/>
        </w:rPr>
      </w:pPr>
      <w:r>
        <w:rPr>
          <w:rFonts w:ascii="黑体" w:hAnsi="黑体"/>
          <w:color w:val="auto"/>
          <w:highlight w:val="none"/>
          <w:shd w:val="clear" w:color="auto" w:fill="auto"/>
        </w:rPr>
        <w:t>疑似卖淫人员发现预警模型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模型通过旅馆入住信息进行分析，针对有嫖娼前科的人员与多个女性开房、卖淫前科人员多次与多个男性开房、涉黄前科人员一天多次开钟点房等维度进行统计，对整理后的旅馆、人员数据进行重点预警，并下发至有关部门进行核查。</w:t>
      </w:r>
    </w:p>
    <w:p>
      <w:pPr>
        <w:pStyle w:val="6"/>
        <w:rPr>
          <w:rFonts w:ascii="黑体" w:hAnsi="黑体"/>
          <w:color w:val="auto"/>
          <w:highlight w:val="none"/>
          <w:shd w:val="clear" w:color="auto" w:fill="auto"/>
        </w:rPr>
      </w:pPr>
      <w:r>
        <w:rPr>
          <w:rFonts w:ascii="黑体" w:hAnsi="黑体"/>
          <w:color w:val="auto"/>
          <w:highlight w:val="none"/>
          <w:shd w:val="clear" w:color="auto" w:fill="auto"/>
        </w:rPr>
        <w:t>境外逃犯布控预警模型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模型通过在逃人员信息中过滤出境外逃犯信息进行布控，通过人员轨迹布控及时发现人员活动地区，并针对数据结果反馈至业务部门及时处理。</w:t>
      </w:r>
    </w:p>
    <w:p>
      <w:pPr>
        <w:pStyle w:val="6"/>
        <w:rPr>
          <w:rFonts w:ascii="黑体" w:hAnsi="黑体"/>
          <w:color w:val="auto"/>
          <w:highlight w:val="none"/>
          <w:shd w:val="clear" w:color="auto" w:fill="auto"/>
        </w:rPr>
      </w:pPr>
      <w:r>
        <w:rPr>
          <w:rFonts w:ascii="黑体" w:hAnsi="黑体"/>
          <w:color w:val="auto"/>
          <w:highlight w:val="none"/>
          <w:shd w:val="clear" w:color="auto" w:fill="auto"/>
        </w:rPr>
        <w:t>频繁入境疑似违法越南籍女性发现预警模型</w:t>
      </w:r>
    </w:p>
    <w:p>
      <w:pPr>
        <w:pStyle w:val="3"/>
        <w:spacing w:before="156" w:after="156"/>
        <w:rPr>
          <w:color w:val="auto"/>
          <w:highlight w:val="none"/>
          <w:shd w:val="clear" w:color="auto" w:fill="auto"/>
          <w:lang w:val="en-US"/>
        </w:rPr>
      </w:pPr>
      <w:r>
        <w:rPr>
          <w:color w:val="auto"/>
          <w:highlight w:val="none"/>
          <w:shd w:val="clear" w:color="auto" w:fill="auto"/>
          <w:lang w:val="en-US"/>
        </w:rPr>
        <w:t>通过境外人员信息、外国人登记信息对外籍</w:t>
      </w:r>
      <w:r>
        <w:rPr>
          <w:rFonts w:hint="eastAsia"/>
          <w:color w:val="auto"/>
          <w:highlight w:val="none"/>
          <w:shd w:val="clear" w:color="auto" w:fill="auto"/>
          <w:lang w:val="en-US"/>
        </w:rPr>
        <w:t>越南</w:t>
      </w:r>
      <w:r>
        <w:rPr>
          <w:color w:val="auto"/>
          <w:highlight w:val="none"/>
          <w:shd w:val="clear" w:color="auto" w:fill="auto"/>
          <w:lang w:val="en-US"/>
        </w:rPr>
        <w:t>女性人员存在非法居留、非法就业等行为滤除，并通过人员居住地信息指派民警进行上门登记或拘留。</w:t>
      </w:r>
    </w:p>
    <w:p>
      <w:pPr>
        <w:pStyle w:val="6"/>
        <w:rPr>
          <w:rFonts w:ascii="黑体" w:hAnsi="黑体"/>
          <w:color w:val="auto"/>
          <w:highlight w:val="none"/>
          <w:shd w:val="clear" w:color="auto" w:fill="auto"/>
        </w:rPr>
      </w:pPr>
      <w:r>
        <w:rPr>
          <w:rFonts w:ascii="黑体" w:hAnsi="黑体"/>
          <w:color w:val="auto"/>
          <w:highlight w:val="none"/>
          <w:shd w:val="clear" w:color="auto" w:fill="auto"/>
        </w:rPr>
        <w:t>违反外国人临时住宿登记人员排查模型</w:t>
      </w:r>
    </w:p>
    <w:p>
      <w:pPr>
        <w:pStyle w:val="3"/>
        <w:spacing w:before="156" w:after="156"/>
        <w:rPr>
          <w:color w:val="auto"/>
          <w:highlight w:val="none"/>
          <w:shd w:val="clear" w:color="auto" w:fill="auto"/>
          <w:lang w:val="en-US"/>
        </w:rPr>
      </w:pPr>
      <w:r>
        <w:rPr>
          <w:color w:val="auto"/>
          <w:highlight w:val="none"/>
          <w:shd w:val="clear" w:color="auto" w:fill="auto"/>
          <w:lang w:val="en-US"/>
        </w:rPr>
        <w:t>模型通过境外人员临时、常驻信息表过滤人员类型为临时的人员，同时匹配人员签证信息，匹配出签证已到期且人员未离沪的人员，对数据进行推送派出所名警采取后期相关措施。</w:t>
      </w:r>
    </w:p>
    <w:p>
      <w:pPr>
        <w:pStyle w:val="6"/>
        <w:rPr>
          <w:rFonts w:ascii="黑体" w:hAnsi="黑体"/>
          <w:color w:val="auto"/>
          <w:highlight w:val="none"/>
          <w:shd w:val="clear" w:color="auto" w:fill="auto"/>
        </w:rPr>
      </w:pPr>
      <w:r>
        <w:rPr>
          <w:rFonts w:hint="eastAsia" w:ascii="黑体" w:hAnsi="黑体"/>
          <w:color w:val="auto"/>
          <w:highlight w:val="none"/>
          <w:shd w:val="clear" w:color="auto" w:fill="auto"/>
        </w:rPr>
        <w:t>商务楼宇非法就业排查模型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模型通过从业人员信息表中匹配出境外人员信息与境外人员签证过期滞留境内发现模型关联，筛选出目前在业且签证过期的人员，针对该类人员反馈至有关业务部分进行核查。</w:t>
      </w:r>
    </w:p>
    <w:p>
      <w:pPr>
        <w:pStyle w:val="6"/>
        <w:rPr>
          <w:rFonts w:ascii="黑体" w:hAnsi="黑体"/>
          <w:color w:val="auto"/>
          <w:highlight w:val="none"/>
          <w:shd w:val="clear" w:color="auto" w:fill="auto"/>
        </w:rPr>
      </w:pPr>
      <w:r>
        <w:rPr>
          <w:rFonts w:ascii="黑体" w:hAnsi="黑体"/>
          <w:color w:val="auto"/>
          <w:highlight w:val="none"/>
          <w:shd w:val="clear" w:color="auto" w:fill="auto"/>
        </w:rPr>
        <w:t>实有人口感知模型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模型通过长宁区的保安、快递、外卖、网吧上网、订票、手机爱回收等纳入感知发现名单。在将登记的人口库进行匹配，从而感知其在沪情况并反馈至人口办进行统计。</w:t>
      </w:r>
    </w:p>
    <w:p>
      <w:pPr>
        <w:pStyle w:val="6"/>
        <w:rPr>
          <w:rFonts w:ascii="黑体" w:hAnsi="黑体"/>
          <w:color w:val="auto"/>
          <w:highlight w:val="none"/>
          <w:shd w:val="clear" w:color="auto" w:fill="auto"/>
        </w:rPr>
      </w:pPr>
      <w:r>
        <w:rPr>
          <w:rFonts w:hint="eastAsia" w:ascii="黑体" w:hAnsi="黑体"/>
          <w:color w:val="auto"/>
          <w:highlight w:val="none"/>
          <w:shd w:val="clear" w:color="auto" w:fill="auto"/>
        </w:rPr>
        <w:t>走失人员寻回模型</w:t>
      </w:r>
    </w:p>
    <w:p>
      <w:pPr>
        <w:pStyle w:val="3"/>
        <w:spacing w:before="156" w:after="156"/>
        <w:rPr>
          <w:color w:val="auto"/>
          <w:highlight w:val="none"/>
          <w:shd w:val="clear" w:color="auto" w:fill="auto"/>
          <w:lang w:val="en-US"/>
        </w:rPr>
      </w:pPr>
      <w:r>
        <w:rPr>
          <w:color w:val="auto"/>
          <w:highlight w:val="none"/>
          <w:shd w:val="clear" w:color="auto" w:fill="auto"/>
          <w:lang w:val="en-US"/>
        </w:rPr>
        <w:t>通过实有人口居住信息</w:t>
      </w:r>
      <w:r>
        <w:rPr>
          <w:rFonts w:hint="eastAsia"/>
          <w:color w:val="auto"/>
          <w:highlight w:val="none"/>
          <w:shd w:val="clear" w:color="auto" w:fill="auto"/>
          <w:lang w:val="en-US"/>
        </w:rPr>
        <w:t>筛选</w:t>
      </w:r>
      <w:r>
        <w:rPr>
          <w:color w:val="auto"/>
          <w:highlight w:val="none"/>
          <w:shd w:val="clear" w:color="auto" w:fill="auto"/>
          <w:lang w:val="en-US"/>
        </w:rPr>
        <w:t>年龄低于12岁、年龄大于70岁的人员和精神病人信息表中的精神病人信息为数据底库，对这三类人员居住地进行匹配，同时将数据反馈给居住地居委会上门咨询家庭情况。</w:t>
      </w:r>
    </w:p>
    <w:p>
      <w:pPr>
        <w:pStyle w:val="6"/>
        <w:rPr>
          <w:rFonts w:ascii="黑体" w:hAnsi="黑体"/>
          <w:color w:val="auto"/>
          <w:highlight w:val="none"/>
          <w:shd w:val="clear" w:color="auto" w:fill="auto"/>
        </w:rPr>
      </w:pPr>
      <w:r>
        <w:rPr>
          <w:rFonts w:ascii="黑体" w:hAnsi="黑体"/>
          <w:color w:val="auto"/>
          <w:highlight w:val="none"/>
          <w:shd w:val="clear" w:color="auto" w:fill="auto"/>
        </w:rPr>
        <w:t>上访人员预警模型</w:t>
      </w:r>
    </w:p>
    <w:p>
      <w:pPr>
        <w:pStyle w:val="3"/>
        <w:spacing w:before="156" w:after="156"/>
        <w:rPr>
          <w:color w:val="auto"/>
          <w:highlight w:val="none"/>
          <w:shd w:val="clear" w:color="auto" w:fill="auto"/>
          <w:lang w:val="en-US"/>
        </w:rPr>
      </w:pPr>
      <w:r>
        <w:rPr>
          <w:color w:val="auto"/>
          <w:highlight w:val="none"/>
          <w:shd w:val="clear" w:color="auto" w:fill="auto"/>
          <w:lang w:val="en-US"/>
        </w:rPr>
        <w:t>通过上访人员的求助信息中对求助类型进行</w:t>
      </w:r>
      <w:r>
        <w:rPr>
          <w:rFonts w:hint="eastAsia"/>
          <w:color w:val="auto"/>
          <w:highlight w:val="none"/>
          <w:shd w:val="clear" w:color="auto" w:fill="auto"/>
          <w:lang w:val="en-US"/>
        </w:rPr>
        <w:t>聚合分析</w:t>
      </w:r>
      <w:r>
        <w:rPr>
          <w:color w:val="auto"/>
          <w:highlight w:val="none"/>
          <w:shd w:val="clear" w:color="auto" w:fill="auto"/>
          <w:lang w:val="en-US"/>
        </w:rPr>
        <w:t>，对求助类型较高的信息进行预警并及时向相关部门咨询情况和反应，及时解决人民呼吁较高的问题，维护社会秩序。</w:t>
      </w:r>
    </w:p>
    <w:p>
      <w:pPr>
        <w:pStyle w:val="6"/>
        <w:rPr>
          <w:rFonts w:ascii="黑体" w:hAnsi="黑体"/>
          <w:color w:val="auto"/>
          <w:highlight w:val="none"/>
          <w:shd w:val="clear" w:color="auto" w:fill="auto"/>
        </w:rPr>
      </w:pPr>
      <w:r>
        <w:rPr>
          <w:rFonts w:hint="eastAsia" w:ascii="黑体" w:hAnsi="黑体"/>
          <w:color w:val="auto"/>
          <w:highlight w:val="none"/>
          <w:shd w:val="clear" w:color="auto" w:fill="auto"/>
        </w:rPr>
        <w:t>本市户籍在逃人员家庭成员伴随发现模型</w:t>
      </w:r>
    </w:p>
    <w:p>
      <w:pPr>
        <w:pStyle w:val="3"/>
        <w:spacing w:before="156" w:after="156"/>
        <w:rPr>
          <w:color w:val="auto"/>
          <w:highlight w:val="none"/>
          <w:shd w:val="clear" w:color="auto" w:fill="auto"/>
          <w:lang w:val="en-US"/>
        </w:rPr>
      </w:pPr>
      <w:r>
        <w:rPr>
          <w:color w:val="auto"/>
          <w:highlight w:val="none"/>
          <w:shd w:val="clear" w:color="auto" w:fill="auto"/>
          <w:lang w:val="en-US"/>
        </w:rPr>
        <w:t>通过在逃人员信息匹配房屋同住人、夫妻信息、子女信息、同出行、同入住、同上网进行人员扩展，为警方破案提供线索。</w:t>
      </w:r>
    </w:p>
    <w:p>
      <w:pPr>
        <w:pStyle w:val="6"/>
        <w:rPr>
          <w:rFonts w:ascii="黑体" w:hAnsi="黑体"/>
          <w:color w:val="auto"/>
          <w:highlight w:val="none"/>
          <w:shd w:val="clear" w:color="auto" w:fill="auto"/>
        </w:rPr>
      </w:pPr>
      <w:r>
        <w:rPr>
          <w:rFonts w:hint="eastAsia" w:ascii="黑体" w:hAnsi="黑体"/>
          <w:color w:val="auto"/>
          <w:highlight w:val="none"/>
          <w:shd w:val="clear" w:color="auto" w:fill="auto"/>
        </w:rPr>
        <w:t>恶意谎报警情发现模型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要求对</w:t>
      </w:r>
      <w:r>
        <w:rPr>
          <w:color w:val="auto"/>
          <w:highlight w:val="none"/>
          <w:shd w:val="clear" w:color="auto" w:fill="auto"/>
          <w:lang w:val="en-US"/>
        </w:rPr>
        <w:t>警信息中报警内容中无效报警、多次报警、无用报警等不含相关报警内容的数据</w:t>
      </w:r>
      <w:r>
        <w:rPr>
          <w:rFonts w:hint="eastAsia"/>
          <w:color w:val="auto"/>
          <w:highlight w:val="none"/>
          <w:shd w:val="clear" w:color="auto" w:fill="auto"/>
          <w:lang w:val="en-US"/>
        </w:rPr>
        <w:t>筛选出来</w:t>
      </w:r>
      <w:r>
        <w:rPr>
          <w:color w:val="auto"/>
          <w:highlight w:val="none"/>
          <w:shd w:val="clear" w:color="auto" w:fill="auto"/>
          <w:lang w:val="en-US"/>
        </w:rPr>
        <w:t>，并统计出报警的手机号码，</w:t>
      </w:r>
      <w:r>
        <w:rPr>
          <w:rFonts w:hint="eastAsia"/>
          <w:color w:val="auto"/>
          <w:highlight w:val="none"/>
          <w:shd w:val="clear" w:color="auto" w:fill="auto"/>
          <w:lang w:val="en-US"/>
        </w:rPr>
        <w:t>并按照手机号进行聚合分析，分析出高频谎报警情的手机号，针</w:t>
      </w:r>
      <w:r>
        <w:rPr>
          <w:color w:val="auto"/>
          <w:highlight w:val="none"/>
          <w:shd w:val="clear" w:color="auto" w:fill="auto"/>
          <w:lang w:val="en-US"/>
        </w:rPr>
        <w:t>对性的进行回访或寻访。</w:t>
      </w:r>
    </w:p>
    <w:p>
      <w:pPr>
        <w:pStyle w:val="6"/>
        <w:rPr>
          <w:color w:val="auto"/>
          <w:highlight w:val="none"/>
          <w:shd w:val="clear" w:color="auto" w:fill="auto"/>
        </w:rPr>
      </w:pPr>
      <w:r>
        <w:rPr>
          <w:rFonts w:hint="eastAsia" w:ascii="黑体" w:hAnsi="黑体"/>
          <w:color w:val="auto"/>
          <w:highlight w:val="none"/>
          <w:shd w:val="clear" w:color="auto" w:fill="auto"/>
        </w:rPr>
        <w:t>在押</w:t>
      </w:r>
      <w:r>
        <w:rPr>
          <w:rFonts w:hint="eastAsia"/>
          <w:color w:val="auto"/>
          <w:highlight w:val="none"/>
          <w:shd w:val="clear" w:color="auto" w:fill="auto"/>
        </w:rPr>
        <w:t>人员分析</w:t>
      </w:r>
    </w:p>
    <w:p>
      <w:pPr>
        <w:pStyle w:val="3"/>
        <w:spacing w:before="156" w:after="156"/>
        <w:rPr>
          <w:color w:val="auto"/>
          <w:highlight w:val="none"/>
          <w:shd w:val="clear" w:color="auto" w:fill="auto"/>
          <w:lang w:val="en-US"/>
        </w:rPr>
      </w:pPr>
      <w:r>
        <w:rPr>
          <w:color w:val="auto"/>
          <w:highlight w:val="none"/>
          <w:shd w:val="clear" w:color="auto" w:fill="auto"/>
          <w:lang w:val="en-US"/>
        </w:rPr>
        <w:t>通过在押人员的轨迹信息分析人员状态进行统计，对状态异常的人员进行重点关注，同时对异常状态的人员进行寻访。</w:t>
      </w:r>
    </w:p>
    <w:p>
      <w:pPr>
        <w:pStyle w:val="6"/>
        <w:rPr>
          <w:rFonts w:ascii="黑体" w:hAnsi="黑体"/>
          <w:color w:val="auto"/>
          <w:highlight w:val="none"/>
          <w:shd w:val="clear" w:color="auto" w:fill="auto"/>
        </w:rPr>
      </w:pPr>
      <w:r>
        <w:rPr>
          <w:rFonts w:ascii="黑体" w:hAnsi="黑体"/>
          <w:color w:val="auto"/>
          <w:highlight w:val="none"/>
          <w:shd w:val="clear" w:color="auto" w:fill="auto"/>
        </w:rPr>
        <w:t>监所精神类疾病对象识别模型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模型通过监所人员基本信息与肇事肇祸精神病人信息大宽表进行关联，匹配出在押的精神病人相关信息，将其信息提供至监所作为线索掌握。</w:t>
      </w:r>
    </w:p>
    <w:p>
      <w:pPr>
        <w:pStyle w:val="6"/>
        <w:rPr>
          <w:rFonts w:ascii="黑体" w:hAnsi="黑体"/>
          <w:color w:val="auto"/>
          <w:highlight w:val="none"/>
          <w:shd w:val="clear" w:color="auto" w:fill="auto"/>
        </w:rPr>
      </w:pPr>
      <w:r>
        <w:rPr>
          <w:rFonts w:ascii="黑体" w:hAnsi="黑体"/>
          <w:color w:val="auto"/>
          <w:highlight w:val="none"/>
          <w:shd w:val="clear" w:color="auto" w:fill="auto"/>
        </w:rPr>
        <w:t>涉黄窝点发现模型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模型通过前科涉黄人员作为人员库，并对人员进行布控预警，并探头抓拍预警地点与居住地点做差集，并匹配出酒店、旅馆、小区为人员聚集地点进行统计，同时通过轨迹统计区域出现人员数、各性别人数。针对异常地区汇总核查单下发至派出所进行核查。</w:t>
      </w:r>
    </w:p>
    <w:p>
      <w:pPr>
        <w:pStyle w:val="6"/>
        <w:rPr>
          <w:rFonts w:ascii="黑体" w:hAnsi="黑体"/>
          <w:color w:val="auto"/>
          <w:highlight w:val="none"/>
          <w:shd w:val="clear" w:color="auto" w:fill="auto"/>
        </w:rPr>
      </w:pPr>
      <w:r>
        <w:rPr>
          <w:rFonts w:ascii="黑体" w:hAnsi="黑体"/>
          <w:color w:val="auto"/>
          <w:highlight w:val="none"/>
          <w:shd w:val="clear" w:color="auto" w:fill="auto"/>
        </w:rPr>
        <w:t>基于数据的闹访团体筛选防范模型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通过人员上访情况信息表中，过滤非正常上访的数据进行分析，从非正常上访地点聚合、非正常上访时间聚合、人员多次非正常上访情况进行统计，针对重点信访办及重点人员联系并协调相关部门进行处理。</w:t>
      </w:r>
    </w:p>
    <w:p>
      <w:pPr>
        <w:pStyle w:val="6"/>
        <w:rPr>
          <w:rFonts w:ascii="黑体" w:hAnsi="黑体"/>
          <w:color w:val="auto"/>
          <w:highlight w:val="none"/>
          <w:shd w:val="clear" w:color="auto" w:fill="auto"/>
        </w:rPr>
      </w:pPr>
      <w:r>
        <w:rPr>
          <w:rFonts w:ascii="黑体" w:hAnsi="黑体"/>
          <w:color w:val="auto"/>
          <w:highlight w:val="none"/>
          <w:shd w:val="clear" w:color="auto" w:fill="auto"/>
        </w:rPr>
        <w:t>民警工作勤奋度模型</w:t>
      </w:r>
    </w:p>
    <w:p>
      <w:pPr>
        <w:pStyle w:val="3"/>
        <w:spacing w:before="156" w:after="156"/>
        <w:rPr>
          <w:color w:val="auto"/>
          <w:highlight w:val="none"/>
          <w:shd w:val="clear" w:color="auto" w:fill="auto"/>
          <w:lang w:val="en-US"/>
        </w:rPr>
      </w:pPr>
      <w:r>
        <w:rPr>
          <w:color w:val="auto"/>
          <w:highlight w:val="none"/>
          <w:shd w:val="clear" w:color="auto" w:fill="auto"/>
          <w:lang w:val="en-US"/>
        </w:rPr>
        <w:t>通过110处警信息对接警</w:t>
      </w:r>
      <w:r>
        <w:rPr>
          <w:rFonts w:hint="eastAsia"/>
          <w:color w:val="auto"/>
          <w:highlight w:val="none"/>
          <w:shd w:val="clear" w:color="auto" w:fill="auto"/>
          <w:lang w:val="en-US"/>
        </w:rPr>
        <w:t>民</w:t>
      </w:r>
      <w:r>
        <w:rPr>
          <w:color w:val="auto"/>
          <w:highlight w:val="none"/>
          <w:shd w:val="clear" w:color="auto" w:fill="auto"/>
          <w:lang w:val="en-US"/>
        </w:rPr>
        <w:t>警进行聚合统计，</w:t>
      </w:r>
      <w:r>
        <w:rPr>
          <w:rFonts w:hint="eastAsia"/>
          <w:color w:val="auto"/>
          <w:highlight w:val="none"/>
          <w:shd w:val="clear" w:color="auto" w:fill="auto"/>
          <w:lang w:val="en-US"/>
        </w:rPr>
        <w:t>按</w:t>
      </w:r>
      <w:r>
        <w:rPr>
          <w:color w:val="auto"/>
          <w:highlight w:val="none"/>
          <w:shd w:val="clear" w:color="auto" w:fill="auto"/>
          <w:lang w:val="en-US"/>
        </w:rPr>
        <w:t>月、季度、年接警数量进行排行统计，针对排名靠前的进行表彰等奖励。</w:t>
      </w:r>
    </w:p>
    <w:p>
      <w:pPr>
        <w:pStyle w:val="6"/>
        <w:rPr>
          <w:rFonts w:ascii="黑体" w:hAnsi="黑体"/>
          <w:color w:val="auto"/>
          <w:highlight w:val="none"/>
          <w:shd w:val="clear" w:color="auto" w:fill="auto"/>
        </w:rPr>
      </w:pPr>
      <w:r>
        <w:rPr>
          <w:rFonts w:ascii="黑体" w:hAnsi="黑体"/>
          <w:color w:val="auto"/>
          <w:highlight w:val="none"/>
          <w:shd w:val="clear" w:color="auto" w:fill="auto"/>
        </w:rPr>
        <w:t>广西河池入室盗窃布控预警模型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通过近10年被入室盗窃的广西河池、贵州铜仁、四川泸州等籍贯入室盗窃的违法嫌疑人员进行布控，通过人员铁路、民航、客运出行信息进行关联。并针对20-30岁的该类人员出现活动频繁、同一区域聚集等轨迹进行重点布控，及时发现并查处相关人员。</w:t>
      </w:r>
    </w:p>
    <w:p>
      <w:pPr>
        <w:pStyle w:val="6"/>
        <w:rPr>
          <w:rFonts w:ascii="黑体" w:hAnsi="黑体"/>
          <w:color w:val="auto"/>
          <w:highlight w:val="none"/>
          <w:shd w:val="clear" w:color="auto" w:fill="auto"/>
        </w:rPr>
      </w:pPr>
      <w:r>
        <w:rPr>
          <w:rFonts w:hint="eastAsia" w:ascii="黑体" w:hAnsi="黑体"/>
          <w:color w:val="auto"/>
          <w:highlight w:val="none"/>
          <w:shd w:val="clear" w:color="auto" w:fill="auto"/>
        </w:rPr>
        <w:t>电信网络新型违法犯罪高危人员宣传模型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利用反诈中心数据对被认定为是诈骗电话的数据进行分析研判，匹配人员住址精确到小区名，统计各居民小区电信网络新型违法犯罪发案情况。</w:t>
      </w:r>
    </w:p>
    <w:p>
      <w:pPr>
        <w:pStyle w:val="6"/>
        <w:rPr>
          <w:rFonts w:ascii="黑体" w:hAnsi="黑体"/>
          <w:color w:val="auto"/>
          <w:highlight w:val="none"/>
          <w:shd w:val="clear" w:color="auto" w:fill="auto"/>
        </w:rPr>
      </w:pPr>
      <w:r>
        <w:rPr>
          <w:rFonts w:ascii="黑体" w:hAnsi="黑体"/>
          <w:color w:val="auto"/>
          <w:highlight w:val="none"/>
          <w:shd w:val="clear" w:color="auto" w:fill="auto"/>
        </w:rPr>
        <w:t>智慧团建模型</w:t>
      </w:r>
    </w:p>
    <w:p>
      <w:pPr>
        <w:pStyle w:val="3"/>
        <w:spacing w:before="156" w:after="156"/>
        <w:rPr>
          <w:color w:val="auto"/>
          <w:highlight w:val="none"/>
          <w:shd w:val="clear" w:color="auto" w:fill="auto"/>
          <w:lang w:val="en-US"/>
        </w:rPr>
      </w:pPr>
      <w:r>
        <w:rPr>
          <w:color w:val="auto"/>
          <w:highlight w:val="none"/>
          <w:shd w:val="clear" w:color="auto" w:fill="auto"/>
          <w:lang w:val="en-US"/>
        </w:rPr>
        <w:t>智慧团建共分为基础数据</w:t>
      </w:r>
      <w:r>
        <w:rPr>
          <w:rFonts w:hint="eastAsia"/>
          <w:color w:val="auto"/>
          <w:highlight w:val="none"/>
          <w:shd w:val="clear" w:color="auto" w:fill="auto"/>
          <w:lang w:val="en-US"/>
        </w:rPr>
        <w:t>部分</w:t>
      </w:r>
      <w:r>
        <w:rPr>
          <w:color w:val="auto"/>
          <w:highlight w:val="none"/>
          <w:shd w:val="clear" w:color="auto" w:fill="auto"/>
          <w:lang w:val="en-US"/>
        </w:rPr>
        <w:t>、</w:t>
      </w:r>
      <w:r>
        <w:rPr>
          <w:rFonts w:hint="eastAsia"/>
          <w:color w:val="auto"/>
          <w:highlight w:val="none"/>
          <w:shd w:val="clear" w:color="auto" w:fill="auto"/>
          <w:lang w:val="en-US"/>
        </w:rPr>
        <w:t>智能</w:t>
      </w:r>
      <w:r>
        <w:rPr>
          <w:color w:val="auto"/>
          <w:highlight w:val="none"/>
          <w:shd w:val="clear" w:color="auto" w:fill="auto"/>
          <w:lang w:val="en-US"/>
        </w:rPr>
        <w:t>提醒部分、三会一课部分、考评考核部分、青春榜单部分、推优入党部分、青年突击队部分、斜杠青年部分、态势分析部分和职业发展部分，</w:t>
      </w:r>
      <w:r>
        <w:rPr>
          <w:rFonts w:hint="eastAsia"/>
          <w:color w:val="auto"/>
          <w:highlight w:val="none"/>
          <w:shd w:val="clear" w:color="auto" w:fill="auto"/>
          <w:lang w:val="en-US"/>
        </w:rPr>
        <w:t>要求</w:t>
      </w:r>
      <w:r>
        <w:rPr>
          <w:color w:val="auto"/>
          <w:highlight w:val="none"/>
          <w:shd w:val="clear" w:color="auto" w:fill="auto"/>
          <w:lang w:val="en-US"/>
        </w:rPr>
        <w:t>以青年和团员数据为主展开多维度的统计，最终处理后的数据以</w:t>
      </w:r>
      <w:r>
        <w:rPr>
          <w:rFonts w:hint="eastAsia"/>
          <w:color w:val="auto"/>
          <w:highlight w:val="none"/>
          <w:shd w:val="clear" w:color="auto" w:fill="auto"/>
          <w:lang w:val="en-US"/>
        </w:rPr>
        <w:t>可视化</w:t>
      </w:r>
      <w:r>
        <w:rPr>
          <w:color w:val="auto"/>
          <w:highlight w:val="none"/>
          <w:shd w:val="clear" w:color="auto" w:fill="auto"/>
          <w:lang w:val="en-US"/>
        </w:rPr>
        <w:t>的形式展现。</w:t>
      </w:r>
    </w:p>
    <w:p>
      <w:pPr>
        <w:pStyle w:val="6"/>
        <w:rPr>
          <w:rFonts w:ascii="黑体" w:hAnsi="黑体"/>
          <w:color w:val="auto"/>
          <w:highlight w:val="none"/>
          <w:shd w:val="clear" w:color="auto" w:fill="auto"/>
        </w:rPr>
      </w:pPr>
      <w:r>
        <w:rPr>
          <w:rFonts w:ascii="黑体" w:hAnsi="黑体"/>
          <w:color w:val="auto"/>
          <w:highlight w:val="none"/>
          <w:shd w:val="clear" w:color="auto" w:fill="auto"/>
        </w:rPr>
        <w:t>“</w:t>
      </w:r>
      <w:r>
        <w:rPr>
          <w:rFonts w:hint="eastAsia" w:ascii="黑体" w:hAnsi="黑体"/>
          <w:color w:val="auto"/>
          <w:highlight w:val="none"/>
          <w:shd w:val="clear" w:color="auto" w:fill="auto"/>
        </w:rPr>
        <w:t>三个规定</w:t>
      </w:r>
      <w:r>
        <w:rPr>
          <w:rFonts w:ascii="黑体" w:hAnsi="黑体"/>
          <w:color w:val="auto"/>
          <w:highlight w:val="none"/>
          <w:shd w:val="clear" w:color="auto" w:fill="auto"/>
        </w:rPr>
        <w:t>”“</w:t>
      </w:r>
      <w:r>
        <w:rPr>
          <w:rFonts w:hint="eastAsia" w:ascii="黑体" w:hAnsi="黑体"/>
          <w:color w:val="auto"/>
          <w:highlight w:val="none"/>
          <w:shd w:val="clear" w:color="auto" w:fill="auto"/>
        </w:rPr>
        <w:t>六个严禁</w:t>
      </w:r>
      <w:r>
        <w:rPr>
          <w:rFonts w:ascii="黑体" w:hAnsi="黑体"/>
          <w:color w:val="auto"/>
          <w:highlight w:val="none"/>
          <w:shd w:val="clear" w:color="auto" w:fill="auto"/>
        </w:rPr>
        <w:t>”</w:t>
      </w:r>
      <w:r>
        <w:rPr>
          <w:rFonts w:hint="eastAsia" w:ascii="黑体" w:hAnsi="黑体"/>
          <w:color w:val="auto"/>
          <w:highlight w:val="none"/>
          <w:shd w:val="clear" w:color="auto" w:fill="auto"/>
        </w:rPr>
        <w:t>落实情况督导模型</w:t>
      </w:r>
    </w:p>
    <w:p>
      <w:pPr>
        <w:pStyle w:val="3"/>
        <w:spacing w:before="156" w:after="156"/>
        <w:ind w:firstLine="420" w:firstLineChars="175"/>
        <w:rPr>
          <w:color w:val="auto"/>
          <w:highlight w:val="none"/>
          <w:shd w:val="clear" w:color="auto" w:fill="auto"/>
          <w:lang w:val="en-US"/>
        </w:rPr>
      </w:pPr>
      <w:r>
        <w:rPr>
          <w:rFonts w:hint="eastAsia"/>
          <w:color w:val="auto"/>
          <w:highlight w:val="none"/>
          <w:shd w:val="clear" w:color="auto" w:fill="auto"/>
          <w:lang w:val="en-US"/>
        </w:rPr>
        <w:t>1.对人员处理过程信息进行数据分析，发现案件文书中不含“三个规定”“移交后”关键词文书材料的违规问题，推送至督察支队、办案单位责任民警智能助理，提醒民警及时整改。</w:t>
      </w:r>
      <w:r>
        <w:rPr>
          <w:rFonts w:hint="eastAsia"/>
          <w:color w:val="auto"/>
          <w:highlight w:val="none"/>
          <w:shd w:val="clear" w:color="auto" w:fill="auto"/>
          <w:lang w:val="en-US"/>
        </w:rPr>
        <w:br w:type="textWrapping"/>
      </w:r>
      <w:r>
        <w:rPr>
          <w:rFonts w:hint="eastAsia"/>
          <w:color w:val="auto"/>
          <w:highlight w:val="none"/>
          <w:shd w:val="clear" w:color="auto" w:fill="auto"/>
          <w:lang w:val="en-US"/>
        </w:rPr>
        <w:t xml:space="preserve">    2.计算分局2020年7月1日以来，案件文书材料中存在出差办案，但缺漏相关协作文函的问题，推送至办案民警智能助理，提醒民警及时整改。</w:t>
      </w:r>
    </w:p>
    <w:p>
      <w:pPr>
        <w:pStyle w:val="6"/>
        <w:rPr>
          <w:rFonts w:ascii="黑体" w:hAnsi="黑体"/>
          <w:color w:val="auto"/>
          <w:highlight w:val="none"/>
          <w:shd w:val="clear" w:color="auto" w:fill="auto"/>
        </w:rPr>
      </w:pPr>
      <w:r>
        <w:rPr>
          <w:rFonts w:hint="eastAsia" w:ascii="黑体" w:hAnsi="黑体"/>
          <w:color w:val="auto"/>
          <w:highlight w:val="none"/>
          <w:shd w:val="clear" w:color="auto" w:fill="auto"/>
        </w:rPr>
        <w:t>个人极端行为倾向关注人员管理模型</w:t>
      </w:r>
    </w:p>
    <w:p>
      <w:pPr>
        <w:pStyle w:val="3"/>
        <w:spacing w:before="156" w:after="156"/>
        <w:rPr>
          <w:color w:val="auto"/>
          <w:highlight w:val="none"/>
          <w:shd w:val="clear" w:color="auto" w:fill="auto"/>
          <w:lang w:val="en-US"/>
        </w:rPr>
      </w:pPr>
      <w:r>
        <w:rPr>
          <w:color w:val="auto"/>
          <w:highlight w:val="none"/>
          <w:shd w:val="clear" w:color="auto" w:fill="auto"/>
          <w:lang w:val="en-US"/>
        </w:rPr>
        <w:t>对个人极端行为的人员管控中，</w:t>
      </w:r>
      <w:r>
        <w:rPr>
          <w:rFonts w:hint="eastAsia"/>
          <w:color w:val="auto"/>
          <w:highlight w:val="none"/>
          <w:shd w:val="clear" w:color="auto" w:fill="auto"/>
          <w:lang w:val="en-US"/>
        </w:rPr>
        <w:t>要求</w:t>
      </w:r>
      <w:r>
        <w:rPr>
          <w:color w:val="auto"/>
          <w:highlight w:val="none"/>
          <w:shd w:val="clear" w:color="auto" w:fill="auto"/>
          <w:lang w:val="en-US"/>
        </w:rPr>
        <w:t>通过案件信息与人员处理过程信息进行匹配，筛选出包含扬言类的案件，并与已经列管的人员进行差集比对，比对出后针对长宁区位列管的个人极端人员进行重点关注。</w:t>
      </w:r>
    </w:p>
    <w:p>
      <w:pPr>
        <w:pStyle w:val="6"/>
        <w:rPr>
          <w:rFonts w:ascii="黑体" w:hAnsi="黑体"/>
          <w:color w:val="auto"/>
          <w:highlight w:val="none"/>
          <w:shd w:val="clear" w:color="auto" w:fill="auto"/>
        </w:rPr>
      </w:pPr>
      <w:r>
        <w:rPr>
          <w:rFonts w:hint="eastAsia" w:ascii="黑体" w:hAnsi="黑体"/>
          <w:color w:val="auto"/>
          <w:highlight w:val="none"/>
          <w:shd w:val="clear" w:color="auto" w:fill="auto"/>
        </w:rPr>
        <w:t>重点单位筛选分析模型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对国保处提供的一批需求的单位字段，匹配实有单位表筛选固定字段匹配出符合需求的数据。</w:t>
      </w:r>
    </w:p>
    <w:p>
      <w:pPr>
        <w:pStyle w:val="6"/>
        <w:rPr>
          <w:rFonts w:ascii="黑体" w:hAnsi="黑体"/>
          <w:color w:val="auto"/>
          <w:highlight w:val="none"/>
          <w:shd w:val="clear" w:color="auto" w:fill="auto"/>
        </w:rPr>
      </w:pPr>
      <w:r>
        <w:rPr>
          <w:rFonts w:ascii="黑体" w:hAnsi="黑体"/>
          <w:color w:val="auto"/>
          <w:highlight w:val="none"/>
          <w:shd w:val="clear" w:color="auto" w:fill="auto"/>
        </w:rPr>
        <w:t>违禁药品寄递关系分析模型</w:t>
      </w:r>
    </w:p>
    <w:p>
      <w:pPr>
        <w:pStyle w:val="3"/>
        <w:spacing w:before="156" w:after="156"/>
        <w:rPr>
          <w:color w:val="auto"/>
          <w:highlight w:val="none"/>
          <w:shd w:val="clear" w:color="auto" w:fill="auto"/>
          <w:lang w:val="en-US"/>
        </w:rPr>
      </w:pPr>
      <w:r>
        <w:rPr>
          <w:color w:val="auto"/>
          <w:highlight w:val="none"/>
          <w:shd w:val="clear" w:color="auto" w:fill="auto"/>
          <w:lang w:val="en-US"/>
        </w:rPr>
        <w:t>通过全市网上购药处理人员信息与快递信息进行匹配，统计收发快递的所有数据，并对该数据进行多发判断并从发件人手机号码统计上家所有的发件信息。最终对可疑卖家的发货信息中提取出包含塑身、减肥、韩国、药</w:t>
      </w:r>
      <w:r>
        <w:rPr>
          <w:rFonts w:hint="eastAsia"/>
          <w:color w:val="auto"/>
          <w:highlight w:val="none"/>
          <w:shd w:val="clear" w:color="auto" w:fill="auto"/>
          <w:lang w:val="en-US"/>
        </w:rPr>
        <w:t>等关键词</w:t>
      </w:r>
      <w:r>
        <w:rPr>
          <w:color w:val="auto"/>
          <w:highlight w:val="none"/>
          <w:shd w:val="clear" w:color="auto" w:fill="auto"/>
          <w:lang w:val="en-US"/>
        </w:rPr>
        <w:t>的订单匹配到收件人地址进行核查。</w:t>
      </w:r>
    </w:p>
    <w:p>
      <w:pPr>
        <w:pStyle w:val="6"/>
        <w:rPr>
          <w:rFonts w:ascii="黑体" w:hAnsi="黑体"/>
          <w:color w:val="auto"/>
          <w:highlight w:val="none"/>
          <w:shd w:val="clear" w:color="auto" w:fill="auto"/>
        </w:rPr>
      </w:pPr>
      <w:r>
        <w:rPr>
          <w:rFonts w:ascii="黑体" w:hAnsi="黑体"/>
          <w:color w:val="auto"/>
          <w:highlight w:val="none"/>
          <w:shd w:val="clear" w:color="auto" w:fill="auto"/>
        </w:rPr>
        <w:t>涉毒前科人员特征分析模型</w:t>
      </w:r>
    </w:p>
    <w:p>
      <w:pPr>
        <w:pStyle w:val="3"/>
        <w:spacing w:before="156" w:after="156"/>
        <w:rPr>
          <w:color w:val="auto"/>
          <w:highlight w:val="none"/>
          <w:shd w:val="clear" w:color="auto" w:fill="auto"/>
          <w:lang w:val="en-US"/>
        </w:rPr>
      </w:pPr>
      <w:r>
        <w:rPr>
          <w:color w:val="auto"/>
          <w:highlight w:val="none"/>
          <w:shd w:val="clear" w:color="auto" w:fill="auto"/>
          <w:lang w:val="en-US"/>
        </w:rPr>
        <w:t>吸毒前科人员从学历、结离婚次数、名下注册公司、就医记录、网啊上网次数、宾馆开房次数、交通（飞机、铁路、汽车）、场所从业、娱乐场所消费数、工作更换次数、手机更换次数、手机号码更换频率、房屋租凭、物品典当等17个维度对前科人员和抽样人员进行分析</w:t>
      </w:r>
      <w:r>
        <w:rPr>
          <w:rFonts w:hint="eastAsia"/>
          <w:color w:val="auto"/>
          <w:highlight w:val="none"/>
          <w:shd w:val="clear" w:color="auto" w:fill="auto"/>
          <w:lang w:val="en-US"/>
        </w:rPr>
        <w:t>。</w:t>
      </w:r>
    </w:p>
    <w:p>
      <w:pPr>
        <w:pStyle w:val="6"/>
        <w:rPr>
          <w:rFonts w:ascii="黑体" w:hAnsi="黑体"/>
          <w:color w:val="auto"/>
          <w:highlight w:val="none"/>
          <w:shd w:val="clear" w:color="auto" w:fill="auto"/>
        </w:rPr>
      </w:pPr>
      <w:r>
        <w:rPr>
          <w:rFonts w:hint="eastAsia" w:ascii="黑体" w:hAnsi="黑体"/>
          <w:color w:val="auto"/>
          <w:highlight w:val="none"/>
          <w:shd w:val="clear" w:color="auto" w:fill="auto"/>
        </w:rPr>
        <w:t>吸毒人员同飞机火车出行发现模型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计算吸毒前科人员近半年内3人及以上同时乘坐同一飞机火车出行2次及以上的线索。</w:t>
      </w:r>
    </w:p>
    <w:p>
      <w:pPr>
        <w:pStyle w:val="6"/>
        <w:rPr>
          <w:rFonts w:ascii="黑体" w:hAnsi="黑体"/>
          <w:color w:val="auto"/>
          <w:highlight w:val="none"/>
          <w:shd w:val="clear" w:color="auto" w:fill="auto"/>
        </w:rPr>
      </w:pPr>
      <w:r>
        <w:rPr>
          <w:rFonts w:ascii="黑体" w:hAnsi="黑体"/>
          <w:color w:val="auto"/>
          <w:highlight w:val="none"/>
          <w:shd w:val="clear" w:color="auto" w:fill="auto"/>
        </w:rPr>
        <w:t>非吸毒前科人员挖掘分析模型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要求</w:t>
      </w:r>
      <w:r>
        <w:rPr>
          <w:color w:val="auto"/>
          <w:highlight w:val="none"/>
          <w:shd w:val="clear" w:color="auto" w:fill="auto"/>
          <w:lang w:val="en-US"/>
        </w:rPr>
        <w:t>通过法人信息、拥有手机号数量、民航乘坐次数、旅馆入住次数、铁路乘坐次数、结婚登记信息、社保缴纳信息</w:t>
      </w:r>
      <w:r>
        <w:rPr>
          <w:rFonts w:hint="eastAsia"/>
          <w:color w:val="auto"/>
          <w:highlight w:val="none"/>
          <w:shd w:val="clear" w:color="auto" w:fill="auto"/>
          <w:lang w:val="en-US"/>
        </w:rPr>
        <w:t>等</w:t>
      </w:r>
      <w:r>
        <w:rPr>
          <w:color w:val="auto"/>
          <w:highlight w:val="none"/>
          <w:shd w:val="clear" w:color="auto" w:fill="auto"/>
          <w:lang w:val="en-US"/>
        </w:rPr>
        <w:t>进行分析对各维度</w:t>
      </w:r>
      <w:r>
        <w:rPr>
          <w:rFonts w:hint="eastAsia"/>
          <w:color w:val="auto"/>
          <w:highlight w:val="none"/>
          <w:shd w:val="clear" w:color="auto" w:fill="auto"/>
          <w:lang w:val="en-US"/>
        </w:rPr>
        <w:t>进行</w:t>
      </w:r>
      <w:r>
        <w:rPr>
          <w:color w:val="auto"/>
          <w:highlight w:val="none"/>
          <w:shd w:val="clear" w:color="auto" w:fill="auto"/>
          <w:lang w:val="en-US"/>
        </w:rPr>
        <w:t>聚合统计，统计6分以上人员，并从6分以上的人员中匹配到吸毒人员前科人员，其次差集后的人员为非吸毒人员。</w:t>
      </w:r>
    </w:p>
    <w:p>
      <w:pPr>
        <w:pStyle w:val="6"/>
        <w:rPr>
          <w:rFonts w:ascii="黑体" w:hAnsi="黑体"/>
          <w:color w:val="auto"/>
          <w:highlight w:val="none"/>
          <w:shd w:val="clear" w:color="auto" w:fill="auto"/>
        </w:rPr>
      </w:pPr>
      <w:r>
        <w:rPr>
          <w:rFonts w:ascii="黑体" w:hAnsi="黑体"/>
          <w:color w:val="auto"/>
          <w:highlight w:val="none"/>
          <w:shd w:val="clear" w:color="auto" w:fill="auto"/>
        </w:rPr>
        <w:t>过夜手机信息匹配分析模型</w:t>
      </w:r>
    </w:p>
    <w:p>
      <w:pPr>
        <w:pStyle w:val="3"/>
        <w:spacing w:before="156" w:after="156"/>
        <w:rPr>
          <w:color w:val="auto"/>
          <w:highlight w:val="none"/>
          <w:shd w:val="clear" w:color="auto" w:fill="auto"/>
          <w:lang w:val="en-US"/>
        </w:rPr>
      </w:pPr>
      <w:r>
        <w:rPr>
          <w:color w:val="auto"/>
          <w:highlight w:val="none"/>
          <w:shd w:val="clear" w:color="auto" w:fill="auto"/>
          <w:lang w:val="en-US"/>
        </w:rPr>
        <w:t>针对在夜间手机出现多次收到不同短信的人员进行统计，同时及时派民警电话或实地咨询情况，及时了解该人员近期的日常行为并做好防范宣传，以防出现人员被骗的风险。</w:t>
      </w:r>
    </w:p>
    <w:p>
      <w:pPr>
        <w:pStyle w:val="6"/>
        <w:rPr>
          <w:rFonts w:ascii="黑体" w:hAnsi="黑体"/>
          <w:color w:val="auto"/>
          <w:highlight w:val="none"/>
          <w:shd w:val="clear" w:color="auto" w:fill="auto"/>
        </w:rPr>
      </w:pPr>
      <w:r>
        <w:rPr>
          <w:rFonts w:hint="eastAsia" w:ascii="黑体" w:hAnsi="黑体"/>
          <w:color w:val="auto"/>
          <w:highlight w:val="none"/>
          <w:shd w:val="clear" w:color="auto" w:fill="auto"/>
        </w:rPr>
        <w:t>带</w:t>
      </w:r>
      <w:r>
        <w:rPr>
          <w:rFonts w:ascii="黑体" w:hAnsi="黑体"/>
          <w:color w:val="auto"/>
          <w:highlight w:val="none"/>
          <w:shd w:val="clear" w:color="auto" w:fill="auto"/>
        </w:rPr>
        <w:t>*</w:t>
      </w:r>
      <w:r>
        <w:rPr>
          <w:rFonts w:hint="eastAsia" w:ascii="黑体" w:hAnsi="黑体"/>
          <w:color w:val="auto"/>
          <w:highlight w:val="none"/>
          <w:shd w:val="clear" w:color="auto" w:fill="auto"/>
        </w:rPr>
        <w:t>号手机关联人员模型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对人口办提供的数据与“身份证手机互转模型”进行匹配，匹配出人员的证件号码与实有人口居住信息关联，找出没有实有人口居住地址登记的人员与快递信息匹配补全人员地址信息，将地址所属长宁区的数据反馈给人口办。</w:t>
      </w:r>
    </w:p>
    <w:p>
      <w:pPr>
        <w:pStyle w:val="6"/>
        <w:rPr>
          <w:rFonts w:ascii="黑体" w:hAnsi="黑体"/>
          <w:color w:val="auto"/>
          <w:highlight w:val="none"/>
          <w:shd w:val="clear" w:color="auto" w:fill="auto"/>
        </w:rPr>
      </w:pPr>
      <w:r>
        <w:rPr>
          <w:rFonts w:hint="eastAsia" w:ascii="黑体" w:hAnsi="黑体"/>
          <w:color w:val="auto"/>
          <w:highlight w:val="none"/>
          <w:shd w:val="clear" w:color="auto" w:fill="auto"/>
        </w:rPr>
        <w:t>交通违法人员信息补全模型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通过实有信息数据补齐交通违法人员手机号码、身份证号码、姓名、居住地址等基本信息。</w:t>
      </w:r>
    </w:p>
    <w:p>
      <w:pPr>
        <w:pStyle w:val="6"/>
        <w:rPr>
          <w:rFonts w:ascii="黑体" w:hAnsi="黑体"/>
          <w:color w:val="auto"/>
          <w:highlight w:val="none"/>
          <w:shd w:val="clear" w:color="auto" w:fill="auto"/>
        </w:rPr>
      </w:pPr>
      <w:r>
        <w:rPr>
          <w:rFonts w:hint="eastAsia" w:ascii="黑体" w:hAnsi="黑体"/>
          <w:color w:val="auto"/>
          <w:highlight w:val="none"/>
          <w:shd w:val="clear" w:color="auto" w:fill="auto"/>
        </w:rPr>
        <w:t>交通事故研判分析模型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从交通违法行为人居住地、工作行业、违法和事故数量等维度进行深入分析，确定交通安全重点宣传区域、人群。</w:t>
      </w:r>
    </w:p>
    <w:p>
      <w:pPr>
        <w:pStyle w:val="6"/>
        <w:rPr>
          <w:rFonts w:ascii="黑体" w:hAnsi="黑体"/>
          <w:color w:val="auto"/>
          <w:highlight w:val="none"/>
          <w:shd w:val="clear" w:color="auto" w:fill="auto"/>
        </w:rPr>
      </w:pPr>
      <w:r>
        <w:rPr>
          <w:rFonts w:hint="eastAsia" w:ascii="黑体" w:hAnsi="黑体"/>
          <w:color w:val="auto"/>
          <w:highlight w:val="none"/>
          <w:shd w:val="clear" w:color="auto" w:fill="auto"/>
        </w:rPr>
        <w:t>电子卷宗问题分析预警模型</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实现文书缺漏预警、工作超期预警、定向自动推送等三大功能。针对电子卷宗中无受案回执、未上传笔录、无权利义务告知书、生成立案决定书的案件无立案告知书、生成扣押法律文书的案件无扣押或现场笔录、行政案件中生成检查证无检查笔录、刑事案件中生成搜查证无搜查笔录、刑事案件中生成鉴定聘请无鉴定意见告知书或鉴定报告、行政案件中无户籍资料和附件上传数量为零等11类文书缺漏情况分别进行建模，实现文书缺漏预警功能。对电子卷宗中已受理行政案件30日内无延长办案期限审批报告的，提前7日进行提醒；对已受理刑事案件7日内无延长立案审查期限报告的，提前3日进行提醒，及时提醒督促办案单位在规定时限内整改。</w:t>
      </w:r>
    </w:p>
    <w:p>
      <w:pPr>
        <w:pStyle w:val="5"/>
        <w:rPr>
          <w:color w:val="auto"/>
          <w:highlight w:val="none"/>
          <w:shd w:val="clear" w:color="auto" w:fill="auto"/>
        </w:rPr>
      </w:pPr>
      <w:r>
        <w:rPr>
          <w:rFonts w:hint="eastAsia"/>
          <w:color w:val="auto"/>
          <w:highlight w:val="none"/>
          <w:shd w:val="clear" w:color="auto" w:fill="auto"/>
        </w:rPr>
        <w:t>对接分局模型融合平台</w:t>
      </w:r>
    </w:p>
    <w:p>
      <w:pPr>
        <w:pStyle w:val="3"/>
        <w:spacing w:before="156" w:after="156"/>
        <w:rPr>
          <w:rFonts w:hint="eastAsia"/>
          <w:color w:val="auto"/>
          <w:highlight w:val="none"/>
          <w:shd w:val="clear" w:color="auto" w:fill="auto"/>
        </w:rPr>
      </w:pPr>
      <w:r>
        <w:rPr>
          <w:rFonts w:hint="eastAsia"/>
          <w:color w:val="auto"/>
          <w:highlight w:val="none"/>
          <w:shd w:val="clear" w:color="auto" w:fill="auto"/>
        </w:rPr>
        <w:t>要求将本项目建设模型上架到分局模型融合平台，实现模型统一管理。</w:t>
      </w:r>
    </w:p>
    <w:p>
      <w:pPr>
        <w:pStyle w:val="2"/>
        <w:rPr>
          <w:color w:val="auto"/>
          <w:highlight w:val="none"/>
          <w:shd w:val="clear" w:color="auto" w:fill="auto"/>
        </w:rPr>
      </w:pPr>
      <w:r>
        <w:rPr>
          <w:rFonts w:hint="eastAsia"/>
          <w:color w:val="auto"/>
          <w:highlight w:val="none"/>
          <w:shd w:val="clear" w:color="auto" w:fill="auto"/>
        </w:rPr>
        <w:t>实施要求</w:t>
      </w:r>
    </w:p>
    <w:p>
      <w:pPr>
        <w:rPr>
          <w:color w:val="auto"/>
          <w:highlight w:val="none"/>
          <w:shd w:val="clear" w:color="auto" w:fill="auto"/>
        </w:rPr>
      </w:pPr>
      <w:r>
        <w:rPr>
          <w:rFonts w:hint="eastAsia"/>
          <w:color w:val="auto"/>
          <w:highlight w:val="none"/>
          <w:shd w:val="clear" w:color="auto" w:fill="auto"/>
        </w:rPr>
        <w:t>（1）投标人必须确保在合同签订后6个月内完成项目建设。</w:t>
      </w:r>
    </w:p>
    <w:p>
      <w:pPr>
        <w:rPr>
          <w:color w:val="auto"/>
          <w:highlight w:val="none"/>
          <w:shd w:val="clear" w:color="auto" w:fill="auto"/>
        </w:rPr>
      </w:pPr>
      <w:r>
        <w:rPr>
          <w:rFonts w:hint="eastAsia"/>
          <w:color w:val="auto"/>
          <w:highlight w:val="none"/>
          <w:shd w:val="clear" w:color="auto" w:fill="auto"/>
        </w:rPr>
        <w:t>（2）投标人在项目实施前应与使用方签定《信息数据保密协议》。</w:t>
      </w:r>
    </w:p>
    <w:p>
      <w:pPr>
        <w:rPr>
          <w:color w:val="auto"/>
          <w:highlight w:val="none"/>
          <w:shd w:val="clear" w:color="auto" w:fill="auto"/>
        </w:rPr>
      </w:pPr>
      <w:r>
        <w:rPr>
          <w:rFonts w:hint="eastAsia"/>
          <w:color w:val="auto"/>
          <w:highlight w:val="none"/>
          <w:shd w:val="clear" w:color="auto" w:fill="auto"/>
        </w:rPr>
        <w:t>（3）为保证此项目按时按质地顺利进行，投标人应建立专门的项目开发组和管理组，由专人负责。</w:t>
      </w:r>
    </w:p>
    <w:p>
      <w:pPr>
        <w:rPr>
          <w:color w:val="auto"/>
          <w:highlight w:val="none"/>
          <w:shd w:val="clear" w:color="auto" w:fill="auto"/>
        </w:rPr>
      </w:pPr>
      <w:r>
        <w:rPr>
          <w:rFonts w:hint="eastAsia"/>
          <w:color w:val="auto"/>
          <w:highlight w:val="none"/>
          <w:shd w:val="clear" w:color="auto" w:fill="auto"/>
        </w:rPr>
        <w:t>（4）投标人应提供详细的项目实施详细的实施方案、时间表和各阶段各方人员安排及相关的工作内容，经使用方同意后，方可实施。</w:t>
      </w:r>
    </w:p>
    <w:p>
      <w:pPr>
        <w:rPr>
          <w:rFonts w:hint="eastAsia" w:eastAsia="宋体"/>
          <w:color w:val="auto"/>
          <w:highlight w:val="none"/>
          <w:shd w:val="clear" w:color="auto" w:fill="auto"/>
          <w:lang w:eastAsia="zh-CN"/>
        </w:rPr>
      </w:pPr>
      <w:r>
        <w:rPr>
          <w:rFonts w:hint="eastAsia"/>
          <w:color w:val="auto"/>
          <w:highlight w:val="none"/>
          <w:shd w:val="clear" w:color="auto" w:fill="auto"/>
        </w:rPr>
        <w:t>（5）投标人拟派项目经理需对公安大数据有充分了解，具备信息系统项目管理师、数据库系统工程师或同等级证书。</w:t>
      </w:r>
      <w:r>
        <w:rPr>
          <w:rFonts w:hint="eastAsia"/>
          <w:color w:val="auto"/>
          <w:highlight w:val="none"/>
          <w:shd w:val="clear" w:color="auto" w:fill="auto"/>
        </w:rPr>
        <w:t>其他驻场人</w:t>
      </w:r>
      <w:r>
        <w:rPr>
          <w:rFonts w:hint="eastAsia"/>
          <w:color w:val="auto"/>
          <w:highlight w:val="none"/>
          <w:shd w:val="clear" w:color="auto" w:fill="auto"/>
          <w:lang w:val="en-US" w:eastAsia="zh-CN"/>
        </w:rPr>
        <w:t>需具备</w:t>
      </w:r>
      <w:r>
        <w:rPr>
          <w:rFonts w:hint="eastAsia"/>
          <w:color w:val="auto"/>
          <w:highlight w:val="none"/>
          <w:shd w:val="clear" w:color="auto" w:fill="auto"/>
        </w:rPr>
        <w:t>信息系统项目管理师（高级）、PMP项目管理专业人士资格认证</w:t>
      </w:r>
      <w:r>
        <w:rPr>
          <w:rFonts w:hint="eastAsia"/>
          <w:color w:val="auto"/>
          <w:highlight w:val="none"/>
          <w:shd w:val="clear" w:color="auto" w:fill="auto"/>
          <w:lang w:eastAsia="zh-CN"/>
        </w:rPr>
        <w:t>。</w:t>
      </w:r>
    </w:p>
    <w:p>
      <w:pPr>
        <w:pStyle w:val="2"/>
        <w:rPr>
          <w:color w:val="auto"/>
          <w:highlight w:val="none"/>
          <w:shd w:val="clear" w:color="auto" w:fill="auto"/>
        </w:rPr>
      </w:pPr>
      <w:r>
        <w:rPr>
          <w:rFonts w:hint="eastAsia"/>
          <w:color w:val="auto"/>
          <w:highlight w:val="none"/>
          <w:shd w:val="clear" w:color="auto" w:fill="auto"/>
        </w:rPr>
        <w:t>售后服务要求</w:t>
      </w:r>
    </w:p>
    <w:p>
      <w:pPr>
        <w:rPr>
          <w:color w:val="auto"/>
          <w:highlight w:val="none"/>
          <w:shd w:val="clear" w:color="auto" w:fill="auto"/>
        </w:rPr>
      </w:pPr>
      <w:r>
        <w:rPr>
          <w:rFonts w:hint="eastAsia"/>
          <w:color w:val="auto"/>
          <w:highlight w:val="none"/>
          <w:shd w:val="clear" w:color="auto" w:fill="auto"/>
        </w:rPr>
        <w:t>针对本项目，投标人需承诺提供以下售后服务：</w:t>
      </w:r>
    </w:p>
    <w:p>
      <w:pPr>
        <w:rPr>
          <w:color w:val="auto"/>
          <w:highlight w:val="none"/>
          <w:shd w:val="clear" w:color="auto" w:fill="auto"/>
        </w:rPr>
      </w:pPr>
      <w:r>
        <w:rPr>
          <w:rFonts w:hint="eastAsia"/>
          <w:color w:val="auto"/>
          <w:highlight w:val="none"/>
          <w:shd w:val="clear" w:color="auto" w:fill="auto"/>
        </w:rPr>
        <w:t>（1）投标人必须承诺提供免费服务，免费服务期为36个月，自系统验收合格之日计算。提供7×24小时的技术支持、每季度一次巡检服务，并提供完备的文档资料，在接到用户通知后反应时间不多于2小时，修复时间不多于48小时。</w:t>
      </w:r>
    </w:p>
    <w:p>
      <w:pPr>
        <w:rPr>
          <w:color w:val="auto"/>
          <w:highlight w:val="none"/>
          <w:shd w:val="clear" w:color="auto" w:fill="auto"/>
        </w:rPr>
      </w:pPr>
      <w:r>
        <w:rPr>
          <w:rFonts w:hint="eastAsia"/>
          <w:color w:val="auto"/>
          <w:highlight w:val="none"/>
          <w:shd w:val="clear" w:color="auto" w:fill="auto"/>
        </w:rPr>
        <w:t>（2）投标人向用户方说明并承诺维护期满后，将继续提供进行系统扩充和维护升级服务，服务费用、维护内容及服务方式、范围（按照产品、技术、模块确定服务的收费标准）由双方共同协商，费用不计入本次投标</w:t>
      </w:r>
      <w:bookmarkStart w:id="2" w:name="_GoBack"/>
      <w:r>
        <w:rPr>
          <w:rFonts w:hint="eastAsia"/>
          <w:color w:val="auto"/>
          <w:highlight w:val="none"/>
          <w:shd w:val="clear" w:color="auto" w:fill="auto"/>
        </w:rPr>
        <w:t>总</w:t>
      </w:r>
      <w:bookmarkEnd w:id="2"/>
      <w:r>
        <w:rPr>
          <w:rFonts w:hint="eastAsia"/>
          <w:color w:val="auto"/>
          <w:highlight w:val="none"/>
          <w:shd w:val="clear" w:color="auto" w:fill="auto"/>
        </w:rPr>
        <w:t>价。</w:t>
      </w:r>
    </w:p>
    <w:p>
      <w:pPr>
        <w:ind w:firstLine="420" w:firstLineChars="0"/>
        <w:rPr>
          <w:color w:val="auto"/>
          <w:highlight w:val="none"/>
          <w:shd w:val="clear" w:color="auto" w:fill="auto"/>
        </w:rPr>
      </w:pPr>
      <w:r>
        <w:rPr>
          <w:rFonts w:hint="eastAsia"/>
          <w:color w:val="auto"/>
          <w:highlight w:val="none"/>
          <w:shd w:val="clear" w:color="auto" w:fill="auto"/>
        </w:rPr>
        <w:t>（3）投标人必须承诺提供技术后援支持，技术支持的方式包括：电话技术服务、定期巡查服务、一名工作人员工作日驻场维护等。</w:t>
      </w:r>
    </w:p>
    <w:p>
      <w:pPr>
        <w:pStyle w:val="2"/>
        <w:rPr>
          <w:color w:val="auto"/>
          <w:highlight w:val="none"/>
          <w:shd w:val="clear" w:color="auto" w:fill="auto"/>
        </w:rPr>
      </w:pPr>
      <w:r>
        <w:rPr>
          <w:rFonts w:hint="eastAsia"/>
          <w:color w:val="auto"/>
          <w:highlight w:val="none"/>
          <w:shd w:val="clear" w:color="auto" w:fill="auto"/>
        </w:rPr>
        <w:t>培训要求</w:t>
      </w:r>
    </w:p>
    <w:p>
      <w:pPr>
        <w:rPr>
          <w:color w:val="auto"/>
          <w:highlight w:val="none"/>
          <w:shd w:val="clear" w:color="auto" w:fill="auto"/>
        </w:rPr>
      </w:pPr>
      <w:r>
        <w:rPr>
          <w:rFonts w:hint="eastAsia"/>
          <w:color w:val="auto"/>
          <w:highlight w:val="none"/>
          <w:shd w:val="clear" w:color="auto" w:fill="auto"/>
        </w:rPr>
        <w:t>投标人有义务对用户提供及时、有效、全面的培训，并在项目实施过程中充分重视对用户方的技术转移，并提前制订有效的培训计划。</w:t>
      </w:r>
    </w:p>
    <w:p>
      <w:pPr>
        <w:rPr>
          <w:color w:val="auto"/>
          <w:highlight w:val="none"/>
          <w:shd w:val="clear" w:color="auto" w:fill="auto"/>
        </w:rPr>
      </w:pPr>
      <w:r>
        <w:rPr>
          <w:rFonts w:hint="eastAsia"/>
          <w:color w:val="auto"/>
          <w:highlight w:val="none"/>
          <w:shd w:val="clear" w:color="auto" w:fill="auto"/>
        </w:rPr>
        <w:t>（1）投标人必须承诺为用户方的管理人员、技术人员和使用人员提供现场培训和免费集中培训两种培训方式。</w:t>
      </w:r>
    </w:p>
    <w:p>
      <w:pPr>
        <w:rPr>
          <w:color w:val="auto"/>
          <w:highlight w:val="none"/>
          <w:shd w:val="clear" w:color="auto" w:fill="auto"/>
        </w:rPr>
      </w:pPr>
      <w:r>
        <w:rPr>
          <w:rFonts w:hint="eastAsia"/>
          <w:color w:val="auto"/>
          <w:highlight w:val="none"/>
          <w:shd w:val="clear" w:color="auto" w:fill="auto"/>
        </w:rPr>
        <w:t>（2）培训内容须保证学员能有效使用本系统。投标人必须充分考虑到用户方现有系统管理人员实际水平，提出详细的培训方案，以达到现有系统管理人员能够进行系统管理、一般故障处理及日常测试维护的能力。</w:t>
      </w:r>
    </w:p>
    <w:p>
      <w:pPr>
        <w:pStyle w:val="2"/>
        <w:rPr>
          <w:color w:val="auto"/>
          <w:highlight w:val="none"/>
          <w:shd w:val="clear" w:color="auto" w:fill="auto"/>
        </w:rPr>
      </w:pPr>
      <w:r>
        <w:rPr>
          <w:rFonts w:hint="eastAsia"/>
          <w:color w:val="auto"/>
          <w:highlight w:val="none"/>
          <w:shd w:val="clear" w:color="auto" w:fill="auto"/>
        </w:rPr>
        <w:t>验收要求</w:t>
      </w:r>
    </w:p>
    <w:p>
      <w:pPr>
        <w:rPr>
          <w:color w:val="auto"/>
          <w:highlight w:val="none"/>
          <w:shd w:val="clear" w:color="auto" w:fill="auto"/>
        </w:rPr>
      </w:pPr>
      <w:r>
        <w:rPr>
          <w:rFonts w:hint="eastAsia"/>
          <w:color w:val="auto"/>
          <w:highlight w:val="none"/>
          <w:shd w:val="clear" w:color="auto" w:fill="auto"/>
        </w:rPr>
        <w:t>项目验收按照政府信息化相关验收规范执行。验收的内容包括：</w:t>
      </w:r>
    </w:p>
    <w:p>
      <w:pPr>
        <w:pStyle w:val="3"/>
        <w:numPr>
          <w:ilvl w:val="0"/>
          <w:numId w:val="14"/>
        </w:numPr>
        <w:spacing w:before="156" w:after="156"/>
        <w:ind w:firstLineChars="0"/>
        <w:rPr>
          <w:color w:val="auto"/>
          <w:highlight w:val="none"/>
          <w:shd w:val="clear" w:color="auto" w:fill="auto"/>
        </w:rPr>
      </w:pPr>
      <w:r>
        <w:rPr>
          <w:rFonts w:hint="eastAsia"/>
          <w:color w:val="auto"/>
          <w:highlight w:val="none"/>
          <w:shd w:val="clear" w:color="auto" w:fill="auto"/>
        </w:rPr>
        <w:t>系统功能：按照需求书的要求，检查系统功能是否达到设计要求。</w:t>
      </w:r>
    </w:p>
    <w:p>
      <w:pPr>
        <w:pStyle w:val="3"/>
        <w:numPr>
          <w:ilvl w:val="0"/>
          <w:numId w:val="14"/>
        </w:numPr>
        <w:spacing w:before="156" w:after="156"/>
        <w:ind w:firstLineChars="0"/>
        <w:rPr>
          <w:color w:val="auto"/>
          <w:highlight w:val="none"/>
          <w:shd w:val="clear" w:color="auto" w:fill="auto"/>
        </w:rPr>
      </w:pPr>
      <w:r>
        <w:rPr>
          <w:rFonts w:hint="eastAsia"/>
          <w:color w:val="auto"/>
          <w:highlight w:val="none"/>
          <w:shd w:val="clear" w:color="auto" w:fill="auto"/>
        </w:rPr>
        <w:t>系统性能：按照需求书的性能指标，测试系统指标是否达到设计要求。</w:t>
      </w:r>
    </w:p>
    <w:p>
      <w:pPr>
        <w:pStyle w:val="3"/>
        <w:numPr>
          <w:ilvl w:val="0"/>
          <w:numId w:val="14"/>
        </w:numPr>
        <w:spacing w:before="156" w:after="156"/>
        <w:ind w:firstLineChars="0"/>
        <w:rPr>
          <w:color w:val="auto"/>
          <w:highlight w:val="none"/>
          <w:shd w:val="clear" w:color="auto" w:fill="auto"/>
        </w:rPr>
      </w:pPr>
      <w:r>
        <w:rPr>
          <w:rFonts w:hint="eastAsia"/>
          <w:color w:val="auto"/>
          <w:highlight w:val="none"/>
          <w:shd w:val="clear" w:color="auto" w:fill="auto"/>
        </w:rPr>
        <w:t>文档资料：检查系统设计文档、测试报告等验收文档是否齐全、是否合格。</w:t>
      </w:r>
    </w:p>
    <w:p>
      <w:pPr>
        <w:pStyle w:val="2"/>
        <w:rPr>
          <w:color w:val="auto"/>
          <w:highlight w:val="none"/>
          <w:shd w:val="clear" w:color="auto" w:fill="auto"/>
        </w:rPr>
      </w:pPr>
      <w:r>
        <w:rPr>
          <w:rFonts w:hint="eastAsia"/>
          <w:color w:val="auto"/>
          <w:highlight w:val="none"/>
          <w:shd w:val="clear" w:color="auto" w:fill="auto"/>
        </w:rPr>
        <w:t>付款条件</w:t>
      </w:r>
    </w:p>
    <w:p>
      <w:pPr>
        <w:pStyle w:val="3"/>
        <w:spacing w:before="156" w:after="156"/>
        <w:rPr>
          <w:color w:val="auto"/>
          <w:szCs w:val="22"/>
          <w:highlight w:val="none"/>
          <w:shd w:val="clear" w:color="auto" w:fill="auto"/>
        </w:rPr>
      </w:pPr>
      <w:r>
        <w:rPr>
          <w:color w:val="auto"/>
          <w:szCs w:val="22"/>
          <w:highlight w:val="none"/>
          <w:shd w:val="clear" w:color="auto" w:fill="auto"/>
        </w:rPr>
        <w:t xml:space="preserve">第一次付款:合同签订后，预付合同金额的 </w:t>
      </w:r>
      <w:r>
        <w:rPr>
          <w:rFonts w:hint="eastAsia"/>
          <w:color w:val="auto"/>
          <w:szCs w:val="22"/>
          <w:highlight w:val="none"/>
          <w:shd w:val="clear" w:color="auto" w:fill="auto"/>
        </w:rPr>
        <w:t>30</w:t>
      </w:r>
      <w:r>
        <w:rPr>
          <w:color w:val="auto"/>
          <w:szCs w:val="22"/>
          <w:highlight w:val="none"/>
          <w:shd w:val="clear" w:color="auto" w:fill="auto"/>
        </w:rPr>
        <w:t xml:space="preserve">%；第二次付款:试运行上线后，支付合同金额的 </w:t>
      </w:r>
      <w:r>
        <w:rPr>
          <w:rFonts w:hint="eastAsia"/>
          <w:color w:val="auto"/>
          <w:szCs w:val="22"/>
          <w:highlight w:val="none"/>
          <w:shd w:val="clear" w:color="auto" w:fill="auto"/>
        </w:rPr>
        <w:t>50</w:t>
      </w:r>
      <w:r>
        <w:rPr>
          <w:color w:val="auto"/>
          <w:szCs w:val="22"/>
          <w:highlight w:val="none"/>
          <w:shd w:val="clear" w:color="auto" w:fill="auto"/>
        </w:rPr>
        <w:t>%;第三次付款: 通过验收合格</w:t>
      </w:r>
      <w:r>
        <w:rPr>
          <w:rFonts w:hint="eastAsia"/>
          <w:color w:val="auto"/>
          <w:szCs w:val="22"/>
          <w:highlight w:val="none"/>
          <w:shd w:val="clear" w:color="auto" w:fill="auto"/>
        </w:rPr>
        <w:t>并审价后，支付剩余合同款项</w:t>
      </w:r>
      <w:r>
        <w:rPr>
          <w:color w:val="auto"/>
          <w:szCs w:val="22"/>
          <w:highlight w:val="none"/>
          <w:shd w:val="clear" w:color="auto" w:fill="auto"/>
        </w:rPr>
        <w:t xml:space="preserve">。 </w:t>
      </w:r>
    </w:p>
    <w:p>
      <w:pPr>
        <w:pStyle w:val="2"/>
        <w:rPr>
          <w:color w:val="auto"/>
          <w:highlight w:val="none"/>
          <w:shd w:val="clear" w:color="auto" w:fill="auto"/>
        </w:rPr>
      </w:pPr>
      <w:r>
        <w:rPr>
          <w:rFonts w:hint="eastAsia"/>
          <w:color w:val="auto"/>
          <w:highlight w:val="none"/>
          <w:shd w:val="clear" w:color="auto" w:fill="auto"/>
        </w:rPr>
        <w:t>知识产权</w:t>
      </w:r>
    </w:p>
    <w:p>
      <w:pPr>
        <w:pStyle w:val="3"/>
        <w:spacing w:before="156" w:after="156"/>
        <w:rPr>
          <w:color w:val="auto"/>
          <w:highlight w:val="none"/>
          <w:shd w:val="clear" w:color="auto" w:fill="auto"/>
          <w:lang w:val="en-US"/>
        </w:rPr>
      </w:pPr>
      <w:r>
        <w:rPr>
          <w:rFonts w:hint="eastAsia"/>
          <w:color w:val="auto"/>
          <w:highlight w:val="none"/>
          <w:shd w:val="clear" w:color="auto" w:fill="auto"/>
          <w:lang w:val="en-US"/>
        </w:rPr>
        <w:t>本项目所涉及的所有知识产权归长宁分局所有，不得随意泄露。</w:t>
      </w:r>
    </w:p>
    <w:p>
      <w:pPr>
        <w:pStyle w:val="3"/>
        <w:spacing w:before="156" w:after="156"/>
        <w:ind w:firstLine="0" w:firstLineChars="0"/>
        <w:jc w:val="left"/>
        <w:rPr>
          <w:color w:val="auto"/>
          <w:highlight w:val="none"/>
          <w:shd w:val="clear" w:color="auto" w:fill="auto"/>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文鼎ＰＬ简中楷"/>
    <w:panose1 w:val="02010600030101010101"/>
    <w:charset w:val="86"/>
    <w:family w:val="auto"/>
    <w:pitch w:val="default"/>
    <w:sig w:usb0="00000000" w:usb1="00000000" w:usb2="00000016" w:usb3="00000000" w:csb0="0004000F" w:csb1="00000000"/>
  </w:font>
  <w:font w:name="Arial">
    <w:altName w:val="DejaVu Sans"/>
    <w:panose1 w:val="020B0604020202020204"/>
    <w:charset w:val="01"/>
    <w:family w:val="swiss"/>
    <w:pitch w:val="default"/>
    <w:sig w:usb0="00000000" w:usb1="00000000" w:usb2="00000009" w:usb3="00000000" w:csb0="400001FF" w:csb1="FFFF0000"/>
  </w:font>
  <w:font w:name="黑体">
    <w:panose1 w:val="02010609060101010101"/>
    <w:charset w:val="86"/>
    <w:family w:val="auto"/>
    <w:pitch w:val="default"/>
    <w:sig w:usb0="800002BF" w:usb1="38CF7CFA" w:usb2="00000016"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Courier New">
    <w:altName w:val="DejaVu Sans"/>
    <w:panose1 w:val="02070309020205020404"/>
    <w:charset w:val="01"/>
    <w:family w:val="modern"/>
    <w:pitch w:val="default"/>
    <w:sig w:usb0="00000000" w:usb1="00000000" w:usb2="00000009" w:usb3="00000000" w:csb0="400001FF" w:csb1="FFFF0000"/>
  </w:font>
  <w:font w:name="仿宋">
    <w:altName w:val="方正仿宋_GBK"/>
    <w:panose1 w:val="02010609060101010101"/>
    <w:charset w:val="86"/>
    <w:family w:val="modern"/>
    <w:pitch w:val="default"/>
    <w:sig w:usb0="00000000" w:usb1="00000000" w:usb2="0000001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华文仿宋">
    <w:altName w:val="方正仿宋_GBK"/>
    <w:panose1 w:val="02010600040101010101"/>
    <w:charset w:val="86"/>
    <w:family w:val="auto"/>
    <w:pitch w:val="default"/>
    <w:sig w:usb0="00000000" w:usb1="00000000" w:usb2="00000010" w:usb3="00000000" w:csb0="0004009F" w:csb1="00000000"/>
  </w:font>
  <w:font w:name="Symbol">
    <w:altName w:val="MT Extra"/>
    <w:panose1 w:val="05050102010706020507"/>
    <w:charset w:val="02"/>
    <w:family w:val="roman"/>
    <w:pitch w:val="default"/>
    <w:sig w:usb0="00000000" w:usb1="00000000" w:usb2="00000000" w:usb3="00000000" w:csb0="80000000" w:csb1="00000000"/>
  </w:font>
  <w:font w:name="Tahoma">
    <w:altName w:val="DejaVu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文鼎ＰＬ简中楷">
    <w:panose1 w:val="02010600030101010101"/>
    <w:charset w:val="86"/>
    <w:family w:val="auto"/>
    <w:pitch w:val="default"/>
    <w:sig w:usb0="00000001" w:usb1="080E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DejaVa Sans">
    <w:altName w:val="PakType Naskh Basic"/>
    <w:panose1 w:val="00000000000000000000"/>
    <w:charset w:val="00"/>
    <w:family w:val="auto"/>
    <w:pitch w:val="default"/>
    <w:sig w:usb0="00000000" w:usb1="00000000" w:usb2="00000000" w:usb3="00000000" w:csb0="00000000" w:csb1="00000000"/>
  </w:font>
  <w:font w:name="PakType Naskh Basic">
    <w:panose1 w:val="00000400000000000000"/>
    <w:charset w:val="00"/>
    <w:family w:val="auto"/>
    <w:pitch w:val="default"/>
    <w:sig w:usb0="80006003" w:usb1="8000000A" w:usb2="00000008" w:usb3="00000000" w:csb0="00000041" w:csb1="2008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仿宋_GBK">
    <w:panose1 w:val="02000000000000000000"/>
    <w:charset w:val="86"/>
    <w:family w:val="auto"/>
    <w:pitch w:val="default"/>
    <w:sig w:usb0="00000001" w:usb1="08000000" w:usb2="00000000" w:usb3="00000000" w:csb0="0004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8201242"/>
    </w:sdtPr>
    <w:sdtContent>
      <w:p>
        <w:pPr>
          <w:pStyle w:val="25"/>
          <w:ind w:firstLine="360"/>
          <w:jc w:val="center"/>
        </w:pPr>
        <w:r>
          <w:fldChar w:fldCharType="begin"/>
        </w:r>
        <w:r>
          <w:instrText xml:space="preserve">PAGE   \* MERGEFORMAT</w:instrText>
        </w:r>
        <w:r>
          <w:fldChar w:fldCharType="separate"/>
        </w:r>
        <w:r>
          <w:rPr>
            <w:lang w:val="zh-CN"/>
          </w:rPr>
          <w:t>17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7"/>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
    <w:nsid w:val="00000018"/>
    <w:multiLevelType w:val="multilevel"/>
    <w:tmpl w:val="00000018"/>
    <w:lvl w:ilvl="0" w:tentative="0">
      <w:start w:val="1"/>
      <w:numFmt w:val="bullet"/>
      <w:pStyle w:val="64"/>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79102AD"/>
    <w:multiLevelType w:val="multilevel"/>
    <w:tmpl w:val="079102AD"/>
    <w:lvl w:ilvl="0" w:tentative="0">
      <w:start w:val="1"/>
      <w:numFmt w:val="decimal"/>
      <w:pStyle w:val="22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pStyle w:val="228"/>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AC42944"/>
    <w:multiLevelType w:val="multilevel"/>
    <w:tmpl w:val="0AC42944"/>
    <w:lvl w:ilvl="0" w:tentative="0">
      <w:start w:val="1"/>
      <w:numFmt w:val="bullet"/>
      <w:pStyle w:val="9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8D14FE6"/>
    <w:multiLevelType w:val="multilevel"/>
    <w:tmpl w:val="18D14FE6"/>
    <w:lvl w:ilvl="0" w:tentative="0">
      <w:start w:val="1"/>
      <w:numFmt w:val="decimal"/>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pStyle w:val="214"/>
      <w:lvlText w:val="%1.%2.%3.%4.%5"/>
      <w:lvlJc w:val="left"/>
      <w:pPr>
        <w:ind w:left="1134" w:hanging="1134"/>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5">
    <w:nsid w:val="1FC91163"/>
    <w:multiLevelType w:val="multilevel"/>
    <w:tmpl w:val="1FC91163"/>
    <w:lvl w:ilvl="0" w:tentative="0">
      <w:start w:val="1"/>
      <w:numFmt w:val="decimal"/>
      <w:pStyle w:val="17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7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178"/>
      <w:suff w:val="nothing"/>
      <w:lvlText w:val="%1.%2.%3　"/>
      <w:lvlJc w:val="left"/>
      <w:pPr>
        <w:ind w:left="0" w:firstLine="0"/>
      </w:pPr>
      <w:rPr>
        <w:rFonts w:hint="eastAsia" w:ascii="黑体" w:hAnsi="Times New Roman" w:eastAsia="黑体"/>
        <w:b w:val="0"/>
        <w:i w:val="0"/>
        <w:sz w:val="21"/>
      </w:rPr>
    </w:lvl>
    <w:lvl w:ilvl="3" w:tentative="0">
      <w:start w:val="1"/>
      <w:numFmt w:val="decimal"/>
      <w:pStyle w:val="179"/>
      <w:suff w:val="nothing"/>
      <w:lvlText w:val="%1.%2.%3.%4　"/>
      <w:lvlJc w:val="left"/>
      <w:pPr>
        <w:ind w:left="0" w:firstLine="0"/>
      </w:pPr>
      <w:rPr>
        <w:rFonts w:hint="eastAsia" w:ascii="黑体" w:hAnsi="Times New Roman" w:eastAsia="黑体"/>
        <w:b w:val="0"/>
        <w:i w:val="0"/>
        <w:sz w:val="21"/>
      </w:rPr>
    </w:lvl>
    <w:lvl w:ilvl="4" w:tentative="0">
      <w:start w:val="1"/>
      <w:numFmt w:val="decimal"/>
      <w:pStyle w:val="180"/>
      <w:suff w:val="nothing"/>
      <w:lvlText w:val="%1.%2.%3.%4.%5　"/>
      <w:lvlJc w:val="left"/>
      <w:pPr>
        <w:ind w:left="0" w:firstLine="0"/>
      </w:pPr>
      <w:rPr>
        <w:rFonts w:hint="eastAsia" w:ascii="黑体" w:hAnsi="Times New Roman" w:eastAsia="黑体"/>
        <w:b w:val="0"/>
        <w:i w:val="0"/>
        <w:sz w:val="21"/>
      </w:rPr>
    </w:lvl>
    <w:lvl w:ilvl="5" w:tentative="0">
      <w:start w:val="1"/>
      <w:numFmt w:val="decimal"/>
      <w:pStyle w:val="18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C5917C3"/>
    <w:multiLevelType w:val="multilevel"/>
    <w:tmpl w:val="2C5917C3"/>
    <w:lvl w:ilvl="0" w:tentative="0">
      <w:start w:val="1"/>
      <w:numFmt w:val="none"/>
      <w:pStyle w:val="172"/>
      <w:suff w:val="nothing"/>
      <w:lvlText w:val="%1——"/>
      <w:lvlJc w:val="left"/>
      <w:pPr>
        <w:ind w:left="833" w:hanging="408"/>
      </w:pPr>
      <w:rPr>
        <w:rFonts w:hint="eastAsia"/>
      </w:rPr>
    </w:lvl>
    <w:lvl w:ilvl="1" w:tentative="0">
      <w:start w:val="1"/>
      <w:numFmt w:val="bullet"/>
      <w:pStyle w:val="173"/>
      <w:lvlText w:val=""/>
      <w:lvlJc w:val="left"/>
      <w:pPr>
        <w:tabs>
          <w:tab w:val="left" w:pos="760"/>
        </w:tabs>
        <w:ind w:left="1264" w:hanging="413"/>
      </w:pPr>
      <w:rPr>
        <w:rFonts w:hint="default" w:ascii="Symbol" w:hAnsi="Symbol"/>
        <w:color w:val="auto"/>
      </w:rPr>
    </w:lvl>
    <w:lvl w:ilvl="2" w:tentative="0">
      <w:start w:val="1"/>
      <w:numFmt w:val="bullet"/>
      <w:pStyle w:val="17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44C50F90"/>
    <w:multiLevelType w:val="multilevel"/>
    <w:tmpl w:val="44C50F90"/>
    <w:lvl w:ilvl="0" w:tentative="0">
      <w:start w:val="1"/>
      <w:numFmt w:val="lowerLetter"/>
      <w:pStyle w:val="170"/>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169"/>
      <w:lvlText w:val="%2)"/>
      <w:lvlJc w:val="left"/>
      <w:pPr>
        <w:tabs>
          <w:tab w:val="left" w:pos="1259"/>
        </w:tabs>
        <w:ind w:left="1259" w:hanging="420"/>
      </w:pPr>
      <w:rPr>
        <w:rFonts w:hint="eastAsia" w:ascii="宋体" w:hAnsi="宋体" w:eastAsia="宋体" w:cs="Times New Roman"/>
        <w:b w:val="0"/>
        <w:bCs w:val="0"/>
        <w:i w:val="0"/>
        <w:iCs w:val="0"/>
        <w:caps w:val="0"/>
        <w:smallCaps w:val="0"/>
        <w:strike w:val="0"/>
        <w:dstrike w:val="0"/>
        <w:snapToGrid w:val="0"/>
        <w:vanish w:val="0"/>
        <w:color w:val="000000"/>
        <w:spacing w:val="0"/>
        <w:w w:val="0"/>
        <w:kern w:val="0"/>
        <w:position w:val="0"/>
        <w:sz w:val="20"/>
        <w:szCs w:val="0"/>
        <w:u w:val="none" w:color="000000"/>
        <w:shd w:val="clear" w:color="000000" w:fill="000000"/>
        <w:vertAlign w:val="baseline"/>
        <w:lang w:val="zh-CN" w:eastAsia="zh-CN" w:bidi="zh-CN"/>
      </w:rPr>
    </w:lvl>
    <w:lvl w:ilvl="2" w:tentative="0">
      <w:start w:val="1"/>
      <w:numFmt w:val="decimal"/>
      <w:pStyle w:val="171"/>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ascii="黑体" w:hAnsi="Times New Roman" w:eastAsia="黑体"/>
        <w:b w:val="0"/>
        <w:i w:val="0"/>
        <w:sz w:val="21"/>
      </w:rPr>
    </w:lvl>
    <w:lvl w:ilvl="4" w:tentative="0">
      <w:start w:val="1"/>
      <w:numFmt w:val="lowerLetter"/>
      <w:lvlText w:val="%5)"/>
      <w:lvlJc w:val="left"/>
      <w:pPr>
        <w:tabs>
          <w:tab w:val="left" w:pos="2517"/>
        </w:tabs>
        <w:ind w:left="2517" w:hanging="419"/>
      </w:pPr>
      <w:rPr>
        <w:rFonts w:hint="eastAsia" w:ascii="黑体" w:hAnsi="Times New Roman" w:eastAsia="黑体"/>
        <w:b w:val="0"/>
        <w:i w:val="0"/>
        <w:sz w:val="21"/>
      </w:rPr>
    </w:lvl>
    <w:lvl w:ilvl="5" w:tentative="0">
      <w:start w:val="1"/>
      <w:numFmt w:val="lowerRoman"/>
      <w:lvlText w:val="%6."/>
      <w:lvlJc w:val="right"/>
      <w:pPr>
        <w:tabs>
          <w:tab w:val="left" w:pos="2942"/>
        </w:tabs>
        <w:ind w:left="2937" w:hanging="420"/>
      </w:pPr>
      <w:rPr>
        <w:rFonts w:hint="eastAsia" w:ascii="黑体" w:hAnsi="Times New Roman" w:eastAsia="黑体"/>
        <w:b w:val="0"/>
        <w:i w:val="0"/>
        <w:sz w:val="21"/>
      </w:rPr>
    </w:lvl>
    <w:lvl w:ilvl="6" w:tentative="0">
      <w:start w:val="1"/>
      <w:numFmt w:val="decimal"/>
      <w:lvlText w:val="%7."/>
      <w:lvlJc w:val="left"/>
      <w:pPr>
        <w:tabs>
          <w:tab w:val="left" w:pos="3362"/>
        </w:tabs>
        <w:ind w:left="3356" w:hanging="414"/>
      </w:pPr>
      <w:rPr>
        <w:rFonts w:hint="eastAsia" w:ascii="黑体" w:hAnsi="Times New Roman" w:eastAsia="黑体"/>
        <w:b w:val="0"/>
        <w:i w:val="0"/>
        <w:sz w:val="21"/>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8">
    <w:nsid w:val="5B982823"/>
    <w:multiLevelType w:val="multilevel"/>
    <w:tmpl w:val="5B982823"/>
    <w:lvl w:ilvl="0" w:tentative="0">
      <w:start w:val="1"/>
      <w:numFmt w:val="decimal"/>
      <w:suff w:val="space"/>
      <w:lvlText w:val="%1"/>
      <w:lvlJc w:val="left"/>
      <w:pPr>
        <w:ind w:left="0" w:firstLine="0"/>
      </w:pPr>
      <w:rPr>
        <w:rFonts w:hint="eastAsia" w:ascii="仿宋" w:hAnsi="仿宋" w:eastAsia="仿宋"/>
        <w:b/>
        <w:i w:val="0"/>
        <w:sz w:val="44"/>
      </w:rPr>
    </w:lvl>
    <w:lvl w:ilvl="1" w:tentative="0">
      <w:start w:val="1"/>
      <w:numFmt w:val="decimal"/>
      <w:isLgl/>
      <w:suff w:val="space"/>
      <w:lvlText w:val="%1.%2 "/>
      <w:lvlJc w:val="left"/>
      <w:pPr>
        <w:ind w:left="567" w:hanging="567"/>
      </w:pPr>
      <w:rPr>
        <w:rFonts w:hint="default" w:ascii="仿宋" w:hAnsi="仿宋" w:eastAsia="仿宋"/>
      </w:rPr>
    </w:lvl>
    <w:lvl w:ilvl="2" w:tentative="0">
      <w:start w:val="1"/>
      <w:numFmt w:val="decimal"/>
      <w:pStyle w:val="100"/>
      <w:isLgl/>
      <w:suff w:val="space"/>
      <w:lvlText w:val="%1.%2.%3 "/>
      <w:lvlJc w:val="left"/>
      <w:pPr>
        <w:ind w:left="567" w:hanging="567"/>
      </w:pPr>
      <w:rPr>
        <w:rFonts w:hint="eastAsia" w:ascii="仿宋" w:hAnsi="仿宋" w:eastAsia="仿宋"/>
      </w:rPr>
    </w:lvl>
    <w:lvl w:ilvl="3" w:tentative="0">
      <w:start w:val="1"/>
      <w:numFmt w:val="decimal"/>
      <w:pStyle w:val="99"/>
      <w:isLgl/>
      <w:lvlText w:val="%1.%2.%3.%4 "/>
      <w:lvlJc w:val="left"/>
      <w:pPr>
        <w:tabs>
          <w:tab w:val="left" w:pos="864"/>
        </w:tabs>
        <w:ind w:left="567" w:hanging="567"/>
      </w:pPr>
      <w:rPr>
        <w:rFonts w:hint="eastAsia" w:ascii="仿宋" w:hAnsi="仿宋" w:eastAsia="仿宋" w:cs="Times New Roman"/>
        <w:b/>
        <w:i w:val="0"/>
        <w:iCs w:val="0"/>
        <w:caps w:val="0"/>
        <w:smallCaps w:val="0"/>
        <w:strike w:val="0"/>
        <w:dstrike w:val="0"/>
        <w:vanish w:val="0"/>
        <w:color w:val="000000"/>
        <w:spacing w:val="0"/>
        <w:position w:val="0"/>
        <w:u w:val="none"/>
        <w:vertAlign w:val="baseline"/>
      </w:rPr>
    </w:lvl>
    <w:lvl w:ilvl="4" w:tentative="0">
      <w:start w:val="1"/>
      <w:numFmt w:val="decimal"/>
      <w:isLgl/>
      <w:suff w:val="space"/>
      <w:lvlText w:val="%1.%2.%3.%4.%5 "/>
      <w:lvlJc w:val="left"/>
      <w:pPr>
        <w:ind w:left="567" w:hanging="567"/>
      </w:pPr>
      <w:rPr>
        <w:rFonts w:hint="eastAsia"/>
      </w:rPr>
    </w:lvl>
    <w:lvl w:ilvl="5" w:tentative="0">
      <w:start w:val="1"/>
      <w:numFmt w:val="decimal"/>
      <w:lvlText w:val="%1.%2.%3.%4.%5.%6"/>
      <w:lvlJc w:val="left"/>
      <w:pPr>
        <w:tabs>
          <w:tab w:val="left" w:pos="1152"/>
        </w:tabs>
        <w:ind w:left="1152" w:hanging="1152"/>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default" w:ascii="Times New Roman" w:hAnsi="Times New Roman" w:cs="Times New Roman"/>
      </w:rPr>
    </w:lvl>
    <w:lvl w:ilvl="8" w:tentative="0">
      <w:start w:val="1"/>
      <w:numFmt w:val="decimal"/>
      <w:lvlText w:val="%1.%2.%3.%4.%5.%6.%7.%8.%9"/>
      <w:lvlJc w:val="left"/>
      <w:pPr>
        <w:tabs>
          <w:tab w:val="left" w:pos="1584"/>
        </w:tabs>
        <w:ind w:left="1584" w:hanging="1584"/>
      </w:pPr>
      <w:rPr>
        <w:rFonts w:hint="default" w:ascii="Times New Roman" w:hAnsi="Times New Roman" w:cs="Times New Roman"/>
      </w:rPr>
    </w:lvl>
  </w:abstractNum>
  <w:abstractNum w:abstractNumId="9">
    <w:nsid w:val="657D3FBC"/>
    <w:multiLevelType w:val="multilevel"/>
    <w:tmpl w:val="657D3FBC"/>
    <w:lvl w:ilvl="0" w:tentative="0">
      <w:start w:val="1"/>
      <w:numFmt w:val="upperLetter"/>
      <w:pStyle w:val="1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8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9"/>
      <w:suff w:val="nothing"/>
      <w:lvlText w:val="%1.%2.%3　"/>
      <w:lvlJc w:val="left"/>
      <w:pPr>
        <w:ind w:left="0" w:firstLine="0"/>
      </w:pPr>
      <w:rPr>
        <w:rFonts w:hint="eastAsia" w:ascii="黑体" w:hAnsi="Times New Roman" w:eastAsia="黑体"/>
        <w:b w:val="0"/>
        <w:i w:val="0"/>
        <w:sz w:val="21"/>
      </w:rPr>
    </w:lvl>
    <w:lvl w:ilvl="3" w:tentative="0">
      <w:start w:val="1"/>
      <w:numFmt w:val="decimal"/>
      <w:pStyle w:val="184"/>
      <w:suff w:val="nothing"/>
      <w:lvlText w:val="%1.%2.%3.%4　"/>
      <w:lvlJc w:val="left"/>
      <w:pPr>
        <w:ind w:left="0" w:firstLine="0"/>
      </w:pPr>
      <w:rPr>
        <w:rFonts w:hint="eastAsia" w:ascii="黑体" w:hAnsi="Times New Roman" w:eastAsia="黑体"/>
        <w:b w:val="0"/>
        <w:i w:val="0"/>
        <w:sz w:val="21"/>
      </w:rPr>
    </w:lvl>
    <w:lvl w:ilvl="4" w:tentative="0">
      <w:start w:val="1"/>
      <w:numFmt w:val="decimal"/>
      <w:pStyle w:val="185"/>
      <w:suff w:val="nothing"/>
      <w:lvlText w:val="%1.%2.%3.%4.%5　"/>
      <w:lvlJc w:val="left"/>
      <w:pPr>
        <w:ind w:left="0" w:firstLine="0"/>
      </w:pPr>
      <w:rPr>
        <w:rFonts w:hint="eastAsia" w:ascii="黑体" w:hAnsi="Times New Roman" w:eastAsia="黑体"/>
        <w:b w:val="0"/>
        <w:i w:val="0"/>
        <w:sz w:val="21"/>
      </w:rPr>
    </w:lvl>
    <w:lvl w:ilvl="5" w:tentative="0">
      <w:start w:val="1"/>
      <w:numFmt w:val="decimal"/>
      <w:pStyle w:val="186"/>
      <w:suff w:val="nothing"/>
      <w:lvlText w:val="%1.%2.%3.%4.%5.%6　"/>
      <w:lvlJc w:val="left"/>
      <w:pPr>
        <w:ind w:left="0" w:firstLine="0"/>
      </w:pPr>
      <w:rPr>
        <w:rFonts w:hint="eastAsia" w:ascii="黑体" w:hAnsi="Times New Roman" w:eastAsia="黑体"/>
        <w:b w:val="0"/>
        <w:i w:val="0"/>
        <w:sz w:val="21"/>
      </w:rPr>
    </w:lvl>
    <w:lvl w:ilvl="6" w:tentative="0">
      <w:start w:val="1"/>
      <w:numFmt w:val="decimal"/>
      <w:pStyle w:val="18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7458358D"/>
    <w:multiLevelType w:val="multilevel"/>
    <w:tmpl w:val="7458358D"/>
    <w:lvl w:ilvl="0" w:tentative="0">
      <w:start w:val="1"/>
      <w:numFmt w:val="decimal"/>
      <w:pStyle w:val="2"/>
      <w:suff w:val="space"/>
      <w:lvlText w:val="%1"/>
      <w:lvlJc w:val="left"/>
      <w:pPr>
        <w:ind w:left="0" w:firstLine="0"/>
      </w:pPr>
      <w:rPr>
        <w:rFonts w:hint="default" w:ascii="Arial" w:hAnsi="Arial" w:eastAsia="黑体" w:cs="Times New Roman"/>
        <w:b/>
        <w:i w:val="0"/>
        <w:iCs w:val="0"/>
        <w:caps w:val="0"/>
        <w:strike w:val="0"/>
        <w:dstrike w:val="0"/>
        <w:vanish w:val="0"/>
        <w:color w:val="000000"/>
        <w:spacing w:val="0"/>
        <w:kern w:val="0"/>
        <w:position w:val="0"/>
        <w:sz w:val="32"/>
        <w:szCs w:val="32"/>
        <w:u w:val="none"/>
        <w:vertAlign w:val="baseline"/>
      </w:rPr>
    </w:lvl>
    <w:lvl w:ilvl="1" w:tentative="0">
      <w:start w:val="1"/>
      <w:numFmt w:val="decimal"/>
      <w:pStyle w:val="4"/>
      <w:suff w:val="space"/>
      <w:lvlText w:val="%1.%2"/>
      <w:lvlJc w:val="left"/>
      <w:pPr>
        <w:ind w:left="0" w:firstLine="0"/>
      </w:pPr>
      <w:rPr>
        <w:rFonts w:hint="default" w:ascii="Arial" w:hAnsi="Arial" w:eastAsia="黑体"/>
        <w:b/>
        <w:i w:val="0"/>
        <w:sz w:val="28"/>
        <w:szCs w:val="28"/>
      </w:rPr>
    </w:lvl>
    <w:lvl w:ilvl="2" w:tentative="0">
      <w:start w:val="1"/>
      <w:numFmt w:val="decimal"/>
      <w:pStyle w:val="5"/>
      <w:suff w:val="space"/>
      <w:lvlText w:val="%1.%2.%3"/>
      <w:lvlJc w:val="left"/>
      <w:pPr>
        <w:ind w:left="0" w:firstLine="0"/>
      </w:pPr>
      <w:rPr>
        <w:rFonts w:hint="default" w:ascii="Arial" w:hAnsi="Arial" w:eastAsia="黑体"/>
        <w:b/>
        <w:i w:val="0"/>
        <w:sz w:val="28"/>
        <w:szCs w:val="28"/>
      </w:rPr>
    </w:lvl>
    <w:lvl w:ilvl="3" w:tentative="0">
      <w:start w:val="1"/>
      <w:numFmt w:val="decimal"/>
      <w:pStyle w:val="6"/>
      <w:suff w:val="space"/>
      <w:lvlText w:val="%1.%2.%3.%4"/>
      <w:lvlJc w:val="left"/>
      <w:pPr>
        <w:ind w:left="0" w:firstLine="0"/>
      </w:pPr>
      <w:rPr>
        <w:rFonts w:hint="default" w:ascii="Arial" w:hAnsi="Arial" w:eastAsia="黑体"/>
        <w:b/>
        <w:i w:val="0"/>
        <w:sz w:val="30"/>
        <w:szCs w:val="30"/>
      </w:rPr>
    </w:lvl>
    <w:lvl w:ilvl="4" w:tentative="0">
      <w:start w:val="1"/>
      <w:numFmt w:val="decimal"/>
      <w:pStyle w:val="7"/>
      <w:suff w:val="space"/>
      <w:lvlText w:val="%1.%2.%3.%4.%5"/>
      <w:lvlJc w:val="left"/>
      <w:pPr>
        <w:ind w:left="0" w:firstLine="0"/>
      </w:pPr>
      <w:rPr>
        <w:rFonts w:hint="default" w:ascii="Arial" w:hAnsi="Arial" w:eastAsia="黑体"/>
        <w:b/>
        <w:i w:val="0"/>
        <w:sz w:val="28"/>
        <w:szCs w:val="28"/>
      </w:rPr>
    </w:lvl>
    <w:lvl w:ilvl="5" w:tentative="0">
      <w:start w:val="1"/>
      <w:numFmt w:val="decimal"/>
      <w:lvlText w:val="%1.%2.%3.%4.%5.%6"/>
      <w:lvlJc w:val="left"/>
      <w:pPr>
        <w:tabs>
          <w:tab w:val="left" w:pos="1152"/>
        </w:tabs>
        <w:ind w:left="0" w:firstLine="0"/>
      </w:pPr>
      <w:rPr>
        <w:rFonts w:hint="eastAsia"/>
      </w:rPr>
    </w:lvl>
    <w:lvl w:ilvl="6" w:tentative="0">
      <w:start w:val="1"/>
      <w:numFmt w:val="decimal"/>
      <w:lvlText w:val="%1.%2.%3.%4.%5.%6.%7"/>
      <w:lvlJc w:val="left"/>
      <w:pPr>
        <w:tabs>
          <w:tab w:val="left" w:pos="1296"/>
        </w:tabs>
        <w:ind w:left="0" w:firstLine="0"/>
      </w:pPr>
      <w:rPr>
        <w:rFonts w:hint="eastAsia"/>
      </w:rPr>
    </w:lvl>
    <w:lvl w:ilvl="7" w:tentative="0">
      <w:start w:val="1"/>
      <w:numFmt w:val="decimal"/>
      <w:lvlText w:val="%1.%2.%3.%4.%5.%6.%7.%8"/>
      <w:lvlJc w:val="left"/>
      <w:pPr>
        <w:tabs>
          <w:tab w:val="left" w:pos="1440"/>
        </w:tabs>
        <w:ind w:left="0" w:firstLine="0"/>
      </w:pPr>
      <w:rPr>
        <w:rFonts w:hint="eastAsia"/>
      </w:rPr>
    </w:lvl>
    <w:lvl w:ilvl="8" w:tentative="0">
      <w:start w:val="1"/>
      <w:numFmt w:val="decimal"/>
      <w:lvlText w:val="%1.%2.%3.%4.%5.%6.%7.%8.%9"/>
      <w:lvlJc w:val="left"/>
      <w:pPr>
        <w:tabs>
          <w:tab w:val="left" w:pos="1584"/>
        </w:tabs>
        <w:ind w:left="0" w:firstLine="0"/>
      </w:pPr>
      <w:rPr>
        <w:rFonts w:hint="eastAsia"/>
      </w:rPr>
    </w:lvl>
  </w:abstractNum>
  <w:abstractNum w:abstractNumId="11">
    <w:nsid w:val="7C7D0E22"/>
    <w:multiLevelType w:val="multilevel"/>
    <w:tmpl w:val="7C7D0E22"/>
    <w:lvl w:ilvl="0" w:tentative="0">
      <w:start w:val="1"/>
      <w:numFmt w:val="decimal"/>
      <w:pStyle w:val="234"/>
      <w:lvlText w:val="%1."/>
      <w:lvlJc w:val="left"/>
      <w:pPr>
        <w:ind w:left="1060" w:hanging="420"/>
      </w:pPr>
      <w:rPr>
        <w:rFonts w:hint="default" w:ascii="Times New Roman" w:hAnsi="Times New Roman"/>
        <w:sz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2">
    <w:nsid w:val="7CB7501E"/>
    <w:multiLevelType w:val="multilevel"/>
    <w:tmpl w:val="7CB7501E"/>
    <w:lvl w:ilvl="0" w:tentative="0">
      <w:start w:val="1"/>
      <w:numFmt w:val="decimal"/>
      <w:pStyle w:val="106"/>
      <w:lvlText w:val="第%1章"/>
      <w:lvlJc w:val="left"/>
      <w:pPr>
        <w:ind w:left="420" w:hanging="420"/>
      </w:pPr>
      <w:rPr>
        <w:rFonts w:hint="eastAsia"/>
      </w:rPr>
    </w:lvl>
    <w:lvl w:ilvl="1" w:tentative="0">
      <w:start w:val="1"/>
      <w:numFmt w:val="decimal"/>
      <w:pStyle w:val="107"/>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suff w:val="space"/>
      <w:lvlText w:val="%1.%2.%3.%4.%5.%6"/>
      <w:lvlJc w:val="left"/>
      <w:pPr>
        <w:ind w:left="0" w:firstLine="0"/>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3">
    <w:nsid w:val="7F773C35"/>
    <w:multiLevelType w:val="multilevel"/>
    <w:tmpl w:val="7F773C35"/>
    <w:lvl w:ilvl="0" w:tentative="0">
      <w:start w:val="1"/>
      <w:numFmt w:val="bullet"/>
      <w:pStyle w:val="243"/>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0"/>
  </w:num>
  <w:num w:numId="2">
    <w:abstractNumId w:val="1"/>
  </w:num>
  <w:num w:numId="3">
    <w:abstractNumId w:val="3"/>
  </w:num>
  <w:num w:numId="4">
    <w:abstractNumId w:val="8"/>
  </w:num>
  <w:num w:numId="5">
    <w:abstractNumId w:val="12"/>
  </w:num>
  <w:num w:numId="6">
    <w:abstractNumId w:val="7"/>
  </w:num>
  <w:num w:numId="7">
    <w:abstractNumId w:val="6"/>
  </w:num>
  <w:num w:numId="8">
    <w:abstractNumId w:val="5"/>
  </w:num>
  <w:num w:numId="9">
    <w:abstractNumId w:val="9"/>
  </w:num>
  <w:num w:numId="10">
    <w:abstractNumId w:val="4"/>
  </w:num>
  <w:num w:numId="11">
    <w:abstractNumId w:val="2"/>
  </w:num>
  <w:num w:numId="12">
    <w:abstractNumId w:val="11"/>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3CD"/>
    <w:rsid w:val="00005E85"/>
    <w:rsid w:val="0000793D"/>
    <w:rsid w:val="00010A21"/>
    <w:rsid w:val="0001288A"/>
    <w:rsid w:val="00013223"/>
    <w:rsid w:val="00014819"/>
    <w:rsid w:val="00015BC6"/>
    <w:rsid w:val="000170FC"/>
    <w:rsid w:val="00017A7A"/>
    <w:rsid w:val="00017E88"/>
    <w:rsid w:val="00021504"/>
    <w:rsid w:val="00021F64"/>
    <w:rsid w:val="0002220D"/>
    <w:rsid w:val="000230C9"/>
    <w:rsid w:val="00024A46"/>
    <w:rsid w:val="000270AB"/>
    <w:rsid w:val="000270C7"/>
    <w:rsid w:val="000271C0"/>
    <w:rsid w:val="000328CF"/>
    <w:rsid w:val="00032C95"/>
    <w:rsid w:val="00035FA5"/>
    <w:rsid w:val="00041DEB"/>
    <w:rsid w:val="0004239D"/>
    <w:rsid w:val="000441E3"/>
    <w:rsid w:val="00046AD8"/>
    <w:rsid w:val="00047A75"/>
    <w:rsid w:val="0005271C"/>
    <w:rsid w:val="00053436"/>
    <w:rsid w:val="00055339"/>
    <w:rsid w:val="000600A1"/>
    <w:rsid w:val="00060E9C"/>
    <w:rsid w:val="00061B50"/>
    <w:rsid w:val="00062791"/>
    <w:rsid w:val="0006496D"/>
    <w:rsid w:val="00067172"/>
    <w:rsid w:val="000673BF"/>
    <w:rsid w:val="000757FD"/>
    <w:rsid w:val="00080227"/>
    <w:rsid w:val="00080FDB"/>
    <w:rsid w:val="00081F99"/>
    <w:rsid w:val="0008277E"/>
    <w:rsid w:val="000840F0"/>
    <w:rsid w:val="00090B62"/>
    <w:rsid w:val="000921C2"/>
    <w:rsid w:val="00095BFC"/>
    <w:rsid w:val="0009631A"/>
    <w:rsid w:val="000A2650"/>
    <w:rsid w:val="000A2CAE"/>
    <w:rsid w:val="000A526E"/>
    <w:rsid w:val="000A714E"/>
    <w:rsid w:val="000A7C7D"/>
    <w:rsid w:val="000A7C85"/>
    <w:rsid w:val="000B6FB0"/>
    <w:rsid w:val="000C1A5D"/>
    <w:rsid w:val="000C2927"/>
    <w:rsid w:val="000C5E31"/>
    <w:rsid w:val="000C7FCC"/>
    <w:rsid w:val="000D0A33"/>
    <w:rsid w:val="000D0E99"/>
    <w:rsid w:val="000D2922"/>
    <w:rsid w:val="000D7402"/>
    <w:rsid w:val="000E29F1"/>
    <w:rsid w:val="000E47BE"/>
    <w:rsid w:val="000E572C"/>
    <w:rsid w:val="000E5C39"/>
    <w:rsid w:val="000E60FD"/>
    <w:rsid w:val="000E6C1C"/>
    <w:rsid w:val="000F00D7"/>
    <w:rsid w:val="000F1788"/>
    <w:rsid w:val="00100377"/>
    <w:rsid w:val="00101C5D"/>
    <w:rsid w:val="0010623C"/>
    <w:rsid w:val="00113B17"/>
    <w:rsid w:val="00113EE3"/>
    <w:rsid w:val="0011678F"/>
    <w:rsid w:val="0012134E"/>
    <w:rsid w:val="00122A48"/>
    <w:rsid w:val="001233CD"/>
    <w:rsid w:val="0012356B"/>
    <w:rsid w:val="00125453"/>
    <w:rsid w:val="00126B98"/>
    <w:rsid w:val="001308B3"/>
    <w:rsid w:val="00131104"/>
    <w:rsid w:val="00133370"/>
    <w:rsid w:val="001352DB"/>
    <w:rsid w:val="0013782E"/>
    <w:rsid w:val="00141092"/>
    <w:rsid w:val="00147304"/>
    <w:rsid w:val="001574AB"/>
    <w:rsid w:val="0016127C"/>
    <w:rsid w:val="0016135D"/>
    <w:rsid w:val="00161852"/>
    <w:rsid w:val="00165E05"/>
    <w:rsid w:val="00167C6D"/>
    <w:rsid w:val="00172DF2"/>
    <w:rsid w:val="00172E05"/>
    <w:rsid w:val="00176FED"/>
    <w:rsid w:val="00177792"/>
    <w:rsid w:val="00181347"/>
    <w:rsid w:val="00182CD8"/>
    <w:rsid w:val="00183472"/>
    <w:rsid w:val="00185844"/>
    <w:rsid w:val="00193027"/>
    <w:rsid w:val="001933B7"/>
    <w:rsid w:val="00195FFC"/>
    <w:rsid w:val="001A09E8"/>
    <w:rsid w:val="001A2759"/>
    <w:rsid w:val="001A2B4C"/>
    <w:rsid w:val="001A6D68"/>
    <w:rsid w:val="001A7CAD"/>
    <w:rsid w:val="001B04DD"/>
    <w:rsid w:val="001B0C05"/>
    <w:rsid w:val="001B459B"/>
    <w:rsid w:val="001B4B29"/>
    <w:rsid w:val="001B64F0"/>
    <w:rsid w:val="001B6C3F"/>
    <w:rsid w:val="001C0172"/>
    <w:rsid w:val="001C0F39"/>
    <w:rsid w:val="001C149C"/>
    <w:rsid w:val="001C1E6A"/>
    <w:rsid w:val="001C328A"/>
    <w:rsid w:val="001C3E76"/>
    <w:rsid w:val="001C4A47"/>
    <w:rsid w:val="001C4CDC"/>
    <w:rsid w:val="001C5D90"/>
    <w:rsid w:val="001C5E1B"/>
    <w:rsid w:val="001D0548"/>
    <w:rsid w:val="001D21C0"/>
    <w:rsid w:val="001D23FB"/>
    <w:rsid w:val="001D3F8D"/>
    <w:rsid w:val="001D43CA"/>
    <w:rsid w:val="001D4F0C"/>
    <w:rsid w:val="001D63C8"/>
    <w:rsid w:val="001D63D6"/>
    <w:rsid w:val="001D6437"/>
    <w:rsid w:val="001D7B36"/>
    <w:rsid w:val="001D7B3B"/>
    <w:rsid w:val="001E1778"/>
    <w:rsid w:val="001E20DB"/>
    <w:rsid w:val="001E3C80"/>
    <w:rsid w:val="001E43CD"/>
    <w:rsid w:val="001E5C1F"/>
    <w:rsid w:val="001E6A01"/>
    <w:rsid w:val="001F12E2"/>
    <w:rsid w:val="001F146D"/>
    <w:rsid w:val="001F333E"/>
    <w:rsid w:val="001F6C5C"/>
    <w:rsid w:val="00201F8E"/>
    <w:rsid w:val="00205248"/>
    <w:rsid w:val="00207A9A"/>
    <w:rsid w:val="00214501"/>
    <w:rsid w:val="00214690"/>
    <w:rsid w:val="0021557E"/>
    <w:rsid w:val="00215E7F"/>
    <w:rsid w:val="00220A28"/>
    <w:rsid w:val="0022122B"/>
    <w:rsid w:val="002216A6"/>
    <w:rsid w:val="00222C9B"/>
    <w:rsid w:val="00224C2F"/>
    <w:rsid w:val="00230D8E"/>
    <w:rsid w:val="00231CB6"/>
    <w:rsid w:val="00232870"/>
    <w:rsid w:val="002347A0"/>
    <w:rsid w:val="002365E0"/>
    <w:rsid w:val="00240C8B"/>
    <w:rsid w:val="00241FDA"/>
    <w:rsid w:val="002422D6"/>
    <w:rsid w:val="002430F4"/>
    <w:rsid w:val="002452AD"/>
    <w:rsid w:val="002457FE"/>
    <w:rsid w:val="002503A0"/>
    <w:rsid w:val="00253B70"/>
    <w:rsid w:val="00257970"/>
    <w:rsid w:val="00261728"/>
    <w:rsid w:val="00262F1E"/>
    <w:rsid w:val="00264656"/>
    <w:rsid w:val="00270674"/>
    <w:rsid w:val="00272DCA"/>
    <w:rsid w:val="0027438C"/>
    <w:rsid w:val="002761A5"/>
    <w:rsid w:val="00282C0E"/>
    <w:rsid w:val="00287486"/>
    <w:rsid w:val="00287E2A"/>
    <w:rsid w:val="002943F8"/>
    <w:rsid w:val="002947A7"/>
    <w:rsid w:val="00297BE7"/>
    <w:rsid w:val="002A0A2D"/>
    <w:rsid w:val="002A3304"/>
    <w:rsid w:val="002A56A8"/>
    <w:rsid w:val="002B1816"/>
    <w:rsid w:val="002B58A9"/>
    <w:rsid w:val="002B6F85"/>
    <w:rsid w:val="002C23D1"/>
    <w:rsid w:val="002C2B7C"/>
    <w:rsid w:val="002C308A"/>
    <w:rsid w:val="002C32B3"/>
    <w:rsid w:val="002C3797"/>
    <w:rsid w:val="002C523D"/>
    <w:rsid w:val="002C624A"/>
    <w:rsid w:val="002C65E8"/>
    <w:rsid w:val="002C7367"/>
    <w:rsid w:val="002D1AE4"/>
    <w:rsid w:val="002D1E0A"/>
    <w:rsid w:val="002D1F74"/>
    <w:rsid w:val="002D31CF"/>
    <w:rsid w:val="002D769A"/>
    <w:rsid w:val="002D7EA5"/>
    <w:rsid w:val="002E0480"/>
    <w:rsid w:val="002E12B0"/>
    <w:rsid w:val="002E3C3C"/>
    <w:rsid w:val="002E3DAD"/>
    <w:rsid w:val="002E5AAA"/>
    <w:rsid w:val="002E5E9A"/>
    <w:rsid w:val="002E5ECE"/>
    <w:rsid w:val="002E66D1"/>
    <w:rsid w:val="002E68D5"/>
    <w:rsid w:val="002F1AD0"/>
    <w:rsid w:val="002F30E8"/>
    <w:rsid w:val="002F36B3"/>
    <w:rsid w:val="002F513C"/>
    <w:rsid w:val="0030201E"/>
    <w:rsid w:val="00304E3C"/>
    <w:rsid w:val="00306713"/>
    <w:rsid w:val="00307085"/>
    <w:rsid w:val="00307A1F"/>
    <w:rsid w:val="00307F73"/>
    <w:rsid w:val="00312AAF"/>
    <w:rsid w:val="00313DBD"/>
    <w:rsid w:val="0031712F"/>
    <w:rsid w:val="003176AA"/>
    <w:rsid w:val="00320331"/>
    <w:rsid w:val="00323B27"/>
    <w:rsid w:val="0032501B"/>
    <w:rsid w:val="00325352"/>
    <w:rsid w:val="00325A07"/>
    <w:rsid w:val="0033119E"/>
    <w:rsid w:val="003312D0"/>
    <w:rsid w:val="00332CA8"/>
    <w:rsid w:val="003331ED"/>
    <w:rsid w:val="00334589"/>
    <w:rsid w:val="003353ED"/>
    <w:rsid w:val="0034161A"/>
    <w:rsid w:val="00343282"/>
    <w:rsid w:val="00344C09"/>
    <w:rsid w:val="00344F4C"/>
    <w:rsid w:val="00352241"/>
    <w:rsid w:val="00353450"/>
    <w:rsid w:val="00355645"/>
    <w:rsid w:val="00363BF2"/>
    <w:rsid w:val="00364E12"/>
    <w:rsid w:val="00365597"/>
    <w:rsid w:val="003658B3"/>
    <w:rsid w:val="00380939"/>
    <w:rsid w:val="00383A32"/>
    <w:rsid w:val="00385D97"/>
    <w:rsid w:val="003901C3"/>
    <w:rsid w:val="00392E3C"/>
    <w:rsid w:val="003937BA"/>
    <w:rsid w:val="00394283"/>
    <w:rsid w:val="003A0473"/>
    <w:rsid w:val="003A5A28"/>
    <w:rsid w:val="003A6366"/>
    <w:rsid w:val="003A77F7"/>
    <w:rsid w:val="003A7EFC"/>
    <w:rsid w:val="003B0AD9"/>
    <w:rsid w:val="003B59D6"/>
    <w:rsid w:val="003B6D3E"/>
    <w:rsid w:val="003B7A6A"/>
    <w:rsid w:val="003C14E2"/>
    <w:rsid w:val="003C1926"/>
    <w:rsid w:val="003C200C"/>
    <w:rsid w:val="003C2568"/>
    <w:rsid w:val="003C32D5"/>
    <w:rsid w:val="003C4712"/>
    <w:rsid w:val="003C58E9"/>
    <w:rsid w:val="003C5A1D"/>
    <w:rsid w:val="003D094A"/>
    <w:rsid w:val="003D1574"/>
    <w:rsid w:val="003D1B1F"/>
    <w:rsid w:val="003D34E1"/>
    <w:rsid w:val="003D58D2"/>
    <w:rsid w:val="003D726F"/>
    <w:rsid w:val="003D753D"/>
    <w:rsid w:val="003D78E3"/>
    <w:rsid w:val="003E1472"/>
    <w:rsid w:val="003E5BA7"/>
    <w:rsid w:val="003E6D0F"/>
    <w:rsid w:val="003E6E06"/>
    <w:rsid w:val="003E7771"/>
    <w:rsid w:val="003F6C14"/>
    <w:rsid w:val="0040080D"/>
    <w:rsid w:val="004031E5"/>
    <w:rsid w:val="00403707"/>
    <w:rsid w:val="004051E3"/>
    <w:rsid w:val="00406998"/>
    <w:rsid w:val="004075C8"/>
    <w:rsid w:val="00410136"/>
    <w:rsid w:val="004107B2"/>
    <w:rsid w:val="00410894"/>
    <w:rsid w:val="00413018"/>
    <w:rsid w:val="00414722"/>
    <w:rsid w:val="00417F0E"/>
    <w:rsid w:val="004217C1"/>
    <w:rsid w:val="004372C7"/>
    <w:rsid w:val="004401F2"/>
    <w:rsid w:val="00441416"/>
    <w:rsid w:val="00443ADD"/>
    <w:rsid w:val="004462A7"/>
    <w:rsid w:val="00446601"/>
    <w:rsid w:val="00454590"/>
    <w:rsid w:val="00463A4F"/>
    <w:rsid w:val="0046504D"/>
    <w:rsid w:val="00465C37"/>
    <w:rsid w:val="004668B7"/>
    <w:rsid w:val="004727D6"/>
    <w:rsid w:val="004728F7"/>
    <w:rsid w:val="00472F14"/>
    <w:rsid w:val="0047358F"/>
    <w:rsid w:val="0047581B"/>
    <w:rsid w:val="004800D4"/>
    <w:rsid w:val="004833DD"/>
    <w:rsid w:val="004866D2"/>
    <w:rsid w:val="004907C4"/>
    <w:rsid w:val="00490ED1"/>
    <w:rsid w:val="0049281B"/>
    <w:rsid w:val="00495C33"/>
    <w:rsid w:val="004960D3"/>
    <w:rsid w:val="004A18F2"/>
    <w:rsid w:val="004A1DDB"/>
    <w:rsid w:val="004A2691"/>
    <w:rsid w:val="004A2C6E"/>
    <w:rsid w:val="004A4177"/>
    <w:rsid w:val="004B0D7A"/>
    <w:rsid w:val="004B146F"/>
    <w:rsid w:val="004B17DE"/>
    <w:rsid w:val="004B1B33"/>
    <w:rsid w:val="004B2D6D"/>
    <w:rsid w:val="004B3219"/>
    <w:rsid w:val="004B455E"/>
    <w:rsid w:val="004B7C94"/>
    <w:rsid w:val="004C2D4B"/>
    <w:rsid w:val="004C2EE9"/>
    <w:rsid w:val="004C48B6"/>
    <w:rsid w:val="004C6E72"/>
    <w:rsid w:val="004D2D26"/>
    <w:rsid w:val="004D6581"/>
    <w:rsid w:val="004E2B0D"/>
    <w:rsid w:val="004E3EE4"/>
    <w:rsid w:val="004F1D86"/>
    <w:rsid w:val="004F2048"/>
    <w:rsid w:val="004F330A"/>
    <w:rsid w:val="004F62DE"/>
    <w:rsid w:val="004F67BA"/>
    <w:rsid w:val="0050206A"/>
    <w:rsid w:val="0050234F"/>
    <w:rsid w:val="00504179"/>
    <w:rsid w:val="005057E7"/>
    <w:rsid w:val="00511287"/>
    <w:rsid w:val="00512DF5"/>
    <w:rsid w:val="00514024"/>
    <w:rsid w:val="00516C12"/>
    <w:rsid w:val="005329BE"/>
    <w:rsid w:val="00533AD1"/>
    <w:rsid w:val="00533FB5"/>
    <w:rsid w:val="00541114"/>
    <w:rsid w:val="00541148"/>
    <w:rsid w:val="005421DA"/>
    <w:rsid w:val="00542B9C"/>
    <w:rsid w:val="005431B8"/>
    <w:rsid w:val="00543D27"/>
    <w:rsid w:val="005478F4"/>
    <w:rsid w:val="00551F99"/>
    <w:rsid w:val="00555B71"/>
    <w:rsid w:val="005608FC"/>
    <w:rsid w:val="00560E1A"/>
    <w:rsid w:val="00563BD4"/>
    <w:rsid w:val="00563D7A"/>
    <w:rsid w:val="00563E4E"/>
    <w:rsid w:val="005648C7"/>
    <w:rsid w:val="00574276"/>
    <w:rsid w:val="00574C99"/>
    <w:rsid w:val="00575CE4"/>
    <w:rsid w:val="00576EC4"/>
    <w:rsid w:val="00585E94"/>
    <w:rsid w:val="005904E4"/>
    <w:rsid w:val="005910FF"/>
    <w:rsid w:val="00592E72"/>
    <w:rsid w:val="00595C94"/>
    <w:rsid w:val="00596899"/>
    <w:rsid w:val="00596F4C"/>
    <w:rsid w:val="005A125A"/>
    <w:rsid w:val="005A2CD8"/>
    <w:rsid w:val="005A4030"/>
    <w:rsid w:val="005A47F5"/>
    <w:rsid w:val="005A61E8"/>
    <w:rsid w:val="005A6CC6"/>
    <w:rsid w:val="005A7DCA"/>
    <w:rsid w:val="005B0C54"/>
    <w:rsid w:val="005B10EE"/>
    <w:rsid w:val="005B25BE"/>
    <w:rsid w:val="005B2682"/>
    <w:rsid w:val="005B4C4E"/>
    <w:rsid w:val="005B64C6"/>
    <w:rsid w:val="005C0F22"/>
    <w:rsid w:val="005C0F38"/>
    <w:rsid w:val="005C5E35"/>
    <w:rsid w:val="005C6393"/>
    <w:rsid w:val="005D1771"/>
    <w:rsid w:val="005D1CA6"/>
    <w:rsid w:val="005D37C7"/>
    <w:rsid w:val="005D442C"/>
    <w:rsid w:val="005D4755"/>
    <w:rsid w:val="005D74D6"/>
    <w:rsid w:val="005E0345"/>
    <w:rsid w:val="005E253D"/>
    <w:rsid w:val="005E28D7"/>
    <w:rsid w:val="005E372D"/>
    <w:rsid w:val="005E3ADF"/>
    <w:rsid w:val="005E4A9D"/>
    <w:rsid w:val="005E760B"/>
    <w:rsid w:val="005F0EA6"/>
    <w:rsid w:val="005F1D4B"/>
    <w:rsid w:val="005F3D20"/>
    <w:rsid w:val="005F6853"/>
    <w:rsid w:val="00600569"/>
    <w:rsid w:val="00602666"/>
    <w:rsid w:val="00606705"/>
    <w:rsid w:val="0060785C"/>
    <w:rsid w:val="00607BF1"/>
    <w:rsid w:val="0061309C"/>
    <w:rsid w:val="006140F0"/>
    <w:rsid w:val="00615534"/>
    <w:rsid w:val="0061594F"/>
    <w:rsid w:val="00622375"/>
    <w:rsid w:val="0062310B"/>
    <w:rsid w:val="00623998"/>
    <w:rsid w:val="006239BE"/>
    <w:rsid w:val="00631704"/>
    <w:rsid w:val="006320FA"/>
    <w:rsid w:val="006334F7"/>
    <w:rsid w:val="006348DD"/>
    <w:rsid w:val="00640866"/>
    <w:rsid w:val="0064103C"/>
    <w:rsid w:val="00642035"/>
    <w:rsid w:val="0064276E"/>
    <w:rsid w:val="006439C8"/>
    <w:rsid w:val="006463A0"/>
    <w:rsid w:val="00652190"/>
    <w:rsid w:val="00656E94"/>
    <w:rsid w:val="00660E65"/>
    <w:rsid w:val="00662A1A"/>
    <w:rsid w:val="006642B8"/>
    <w:rsid w:val="00664B23"/>
    <w:rsid w:val="00665ED0"/>
    <w:rsid w:val="0067013F"/>
    <w:rsid w:val="00670FA8"/>
    <w:rsid w:val="00673235"/>
    <w:rsid w:val="006744A2"/>
    <w:rsid w:val="00674F05"/>
    <w:rsid w:val="00676EA8"/>
    <w:rsid w:val="0068010D"/>
    <w:rsid w:val="00682936"/>
    <w:rsid w:val="0068358B"/>
    <w:rsid w:val="00684AF0"/>
    <w:rsid w:val="00687243"/>
    <w:rsid w:val="0069092A"/>
    <w:rsid w:val="00697E26"/>
    <w:rsid w:val="006A5331"/>
    <w:rsid w:val="006A7215"/>
    <w:rsid w:val="006B2D53"/>
    <w:rsid w:val="006B313A"/>
    <w:rsid w:val="006B38A0"/>
    <w:rsid w:val="006B3C5D"/>
    <w:rsid w:val="006B6BD9"/>
    <w:rsid w:val="006B6D39"/>
    <w:rsid w:val="006C2D2D"/>
    <w:rsid w:val="006C47D8"/>
    <w:rsid w:val="006C6815"/>
    <w:rsid w:val="006D1B44"/>
    <w:rsid w:val="006D6F79"/>
    <w:rsid w:val="006D7773"/>
    <w:rsid w:val="006E46B1"/>
    <w:rsid w:val="006F1F38"/>
    <w:rsid w:val="006F21F0"/>
    <w:rsid w:val="006F4465"/>
    <w:rsid w:val="006F5110"/>
    <w:rsid w:val="006F5E35"/>
    <w:rsid w:val="006F6062"/>
    <w:rsid w:val="00700F22"/>
    <w:rsid w:val="007030F3"/>
    <w:rsid w:val="007060CE"/>
    <w:rsid w:val="007104C5"/>
    <w:rsid w:val="0071253C"/>
    <w:rsid w:val="00717129"/>
    <w:rsid w:val="007174C9"/>
    <w:rsid w:val="00717863"/>
    <w:rsid w:val="007178E5"/>
    <w:rsid w:val="007224DC"/>
    <w:rsid w:val="00722814"/>
    <w:rsid w:val="00723B6A"/>
    <w:rsid w:val="007302B6"/>
    <w:rsid w:val="00730A83"/>
    <w:rsid w:val="00734353"/>
    <w:rsid w:val="00746229"/>
    <w:rsid w:val="00746BD8"/>
    <w:rsid w:val="00753DDD"/>
    <w:rsid w:val="007564D3"/>
    <w:rsid w:val="00756907"/>
    <w:rsid w:val="00756A69"/>
    <w:rsid w:val="00757C3B"/>
    <w:rsid w:val="00757E70"/>
    <w:rsid w:val="00761C9B"/>
    <w:rsid w:val="007624AC"/>
    <w:rsid w:val="007641E6"/>
    <w:rsid w:val="00770498"/>
    <w:rsid w:val="00771409"/>
    <w:rsid w:val="0077154A"/>
    <w:rsid w:val="007732BB"/>
    <w:rsid w:val="007751A3"/>
    <w:rsid w:val="007761C7"/>
    <w:rsid w:val="0078142E"/>
    <w:rsid w:val="00782649"/>
    <w:rsid w:val="0078387F"/>
    <w:rsid w:val="007855B0"/>
    <w:rsid w:val="0078571F"/>
    <w:rsid w:val="00787881"/>
    <w:rsid w:val="007879CB"/>
    <w:rsid w:val="00791398"/>
    <w:rsid w:val="00791ECD"/>
    <w:rsid w:val="00794883"/>
    <w:rsid w:val="007950F1"/>
    <w:rsid w:val="00796381"/>
    <w:rsid w:val="0079690B"/>
    <w:rsid w:val="007A0112"/>
    <w:rsid w:val="007A03C0"/>
    <w:rsid w:val="007A160E"/>
    <w:rsid w:val="007A4488"/>
    <w:rsid w:val="007A514E"/>
    <w:rsid w:val="007A5222"/>
    <w:rsid w:val="007A694E"/>
    <w:rsid w:val="007A7573"/>
    <w:rsid w:val="007B0E0E"/>
    <w:rsid w:val="007B3365"/>
    <w:rsid w:val="007B57AE"/>
    <w:rsid w:val="007B7783"/>
    <w:rsid w:val="007B7F69"/>
    <w:rsid w:val="007C0449"/>
    <w:rsid w:val="007C1680"/>
    <w:rsid w:val="007C1BC1"/>
    <w:rsid w:val="007C464E"/>
    <w:rsid w:val="007C4E2C"/>
    <w:rsid w:val="007C570D"/>
    <w:rsid w:val="007C6CD4"/>
    <w:rsid w:val="007C6E62"/>
    <w:rsid w:val="007D4700"/>
    <w:rsid w:val="007D5FC5"/>
    <w:rsid w:val="007D733F"/>
    <w:rsid w:val="007D7D7B"/>
    <w:rsid w:val="007E0B5B"/>
    <w:rsid w:val="007E10E8"/>
    <w:rsid w:val="007E2A53"/>
    <w:rsid w:val="007E5775"/>
    <w:rsid w:val="007F6CA5"/>
    <w:rsid w:val="00803164"/>
    <w:rsid w:val="0080436D"/>
    <w:rsid w:val="00805FF2"/>
    <w:rsid w:val="008064EF"/>
    <w:rsid w:val="0081017B"/>
    <w:rsid w:val="00815CCC"/>
    <w:rsid w:val="00816D4A"/>
    <w:rsid w:val="00821DC0"/>
    <w:rsid w:val="00822115"/>
    <w:rsid w:val="008265C5"/>
    <w:rsid w:val="0082751D"/>
    <w:rsid w:val="00831A8D"/>
    <w:rsid w:val="00833911"/>
    <w:rsid w:val="008341D2"/>
    <w:rsid w:val="008345BB"/>
    <w:rsid w:val="00844384"/>
    <w:rsid w:val="00845A67"/>
    <w:rsid w:val="00845D5B"/>
    <w:rsid w:val="00846B2D"/>
    <w:rsid w:val="008473DE"/>
    <w:rsid w:val="0085517C"/>
    <w:rsid w:val="008615AD"/>
    <w:rsid w:val="0086257F"/>
    <w:rsid w:val="00863429"/>
    <w:rsid w:val="008636B8"/>
    <w:rsid w:val="008647B7"/>
    <w:rsid w:val="008659BF"/>
    <w:rsid w:val="00866A6F"/>
    <w:rsid w:val="00870386"/>
    <w:rsid w:val="00872044"/>
    <w:rsid w:val="008730EB"/>
    <w:rsid w:val="00874A59"/>
    <w:rsid w:val="00875C4C"/>
    <w:rsid w:val="0087663D"/>
    <w:rsid w:val="008766F6"/>
    <w:rsid w:val="0088100E"/>
    <w:rsid w:val="00882891"/>
    <w:rsid w:val="008877E9"/>
    <w:rsid w:val="0089389B"/>
    <w:rsid w:val="008939DD"/>
    <w:rsid w:val="008944A2"/>
    <w:rsid w:val="00894D97"/>
    <w:rsid w:val="00895497"/>
    <w:rsid w:val="008954F1"/>
    <w:rsid w:val="008961A0"/>
    <w:rsid w:val="0089645B"/>
    <w:rsid w:val="008A6E43"/>
    <w:rsid w:val="008A7759"/>
    <w:rsid w:val="008B43FE"/>
    <w:rsid w:val="008B45B4"/>
    <w:rsid w:val="008B7BB0"/>
    <w:rsid w:val="008C164C"/>
    <w:rsid w:val="008D2819"/>
    <w:rsid w:val="008D6C66"/>
    <w:rsid w:val="008D6CD7"/>
    <w:rsid w:val="008D7EFC"/>
    <w:rsid w:val="008E0515"/>
    <w:rsid w:val="008E0E49"/>
    <w:rsid w:val="008E3DDB"/>
    <w:rsid w:val="008E45A3"/>
    <w:rsid w:val="008E6EB0"/>
    <w:rsid w:val="008E7E62"/>
    <w:rsid w:val="008F0986"/>
    <w:rsid w:val="008F463A"/>
    <w:rsid w:val="008F7512"/>
    <w:rsid w:val="00900663"/>
    <w:rsid w:val="0090257E"/>
    <w:rsid w:val="009026C2"/>
    <w:rsid w:val="00902AA8"/>
    <w:rsid w:val="00902ACE"/>
    <w:rsid w:val="0091059E"/>
    <w:rsid w:val="009143A0"/>
    <w:rsid w:val="009237D6"/>
    <w:rsid w:val="00923AAE"/>
    <w:rsid w:val="00924329"/>
    <w:rsid w:val="00924B17"/>
    <w:rsid w:val="0092655F"/>
    <w:rsid w:val="00926793"/>
    <w:rsid w:val="00930F5B"/>
    <w:rsid w:val="00932139"/>
    <w:rsid w:val="00943F0D"/>
    <w:rsid w:val="00944471"/>
    <w:rsid w:val="00945C72"/>
    <w:rsid w:val="00950583"/>
    <w:rsid w:val="009507FA"/>
    <w:rsid w:val="00954D4D"/>
    <w:rsid w:val="00960847"/>
    <w:rsid w:val="00961728"/>
    <w:rsid w:val="009635A0"/>
    <w:rsid w:val="009651D8"/>
    <w:rsid w:val="009651ED"/>
    <w:rsid w:val="009670DF"/>
    <w:rsid w:val="00967E7B"/>
    <w:rsid w:val="00972DC6"/>
    <w:rsid w:val="00974835"/>
    <w:rsid w:val="0097514E"/>
    <w:rsid w:val="00981FA1"/>
    <w:rsid w:val="00982C7D"/>
    <w:rsid w:val="00984BC2"/>
    <w:rsid w:val="009854C4"/>
    <w:rsid w:val="00986044"/>
    <w:rsid w:val="009871B2"/>
    <w:rsid w:val="0099019C"/>
    <w:rsid w:val="00990FC6"/>
    <w:rsid w:val="00996768"/>
    <w:rsid w:val="00996BEB"/>
    <w:rsid w:val="009A5256"/>
    <w:rsid w:val="009A56D8"/>
    <w:rsid w:val="009A5905"/>
    <w:rsid w:val="009A5C1D"/>
    <w:rsid w:val="009A6860"/>
    <w:rsid w:val="009B093C"/>
    <w:rsid w:val="009B0B3F"/>
    <w:rsid w:val="009B255F"/>
    <w:rsid w:val="009B66D1"/>
    <w:rsid w:val="009B69C7"/>
    <w:rsid w:val="009C10C3"/>
    <w:rsid w:val="009C1E56"/>
    <w:rsid w:val="009C2EC4"/>
    <w:rsid w:val="009C3FAE"/>
    <w:rsid w:val="009C74C9"/>
    <w:rsid w:val="009C798F"/>
    <w:rsid w:val="009D07A8"/>
    <w:rsid w:val="009D0C5B"/>
    <w:rsid w:val="009D2A8B"/>
    <w:rsid w:val="009D5E46"/>
    <w:rsid w:val="009E05E0"/>
    <w:rsid w:val="009E2E36"/>
    <w:rsid w:val="009E5859"/>
    <w:rsid w:val="009E6110"/>
    <w:rsid w:val="009E61F4"/>
    <w:rsid w:val="009F0839"/>
    <w:rsid w:val="009F1610"/>
    <w:rsid w:val="009F1720"/>
    <w:rsid w:val="009F4088"/>
    <w:rsid w:val="009F4A76"/>
    <w:rsid w:val="009F4F24"/>
    <w:rsid w:val="009F535D"/>
    <w:rsid w:val="009F56E6"/>
    <w:rsid w:val="009F5930"/>
    <w:rsid w:val="00A02028"/>
    <w:rsid w:val="00A03610"/>
    <w:rsid w:val="00A052A3"/>
    <w:rsid w:val="00A05AF1"/>
    <w:rsid w:val="00A05F3B"/>
    <w:rsid w:val="00A06D49"/>
    <w:rsid w:val="00A10443"/>
    <w:rsid w:val="00A107E3"/>
    <w:rsid w:val="00A13921"/>
    <w:rsid w:val="00A13D97"/>
    <w:rsid w:val="00A2124A"/>
    <w:rsid w:val="00A24809"/>
    <w:rsid w:val="00A24D14"/>
    <w:rsid w:val="00A272AB"/>
    <w:rsid w:val="00A313C2"/>
    <w:rsid w:val="00A317F1"/>
    <w:rsid w:val="00A326F9"/>
    <w:rsid w:val="00A32E20"/>
    <w:rsid w:val="00A33F3B"/>
    <w:rsid w:val="00A34DA1"/>
    <w:rsid w:val="00A35B43"/>
    <w:rsid w:val="00A37C77"/>
    <w:rsid w:val="00A407E7"/>
    <w:rsid w:val="00A411B8"/>
    <w:rsid w:val="00A41859"/>
    <w:rsid w:val="00A4283A"/>
    <w:rsid w:val="00A52035"/>
    <w:rsid w:val="00A54591"/>
    <w:rsid w:val="00A600AE"/>
    <w:rsid w:val="00A61C18"/>
    <w:rsid w:val="00A62B0A"/>
    <w:rsid w:val="00A63AD5"/>
    <w:rsid w:val="00A642A5"/>
    <w:rsid w:val="00A65DD2"/>
    <w:rsid w:val="00A70818"/>
    <w:rsid w:val="00A70C0D"/>
    <w:rsid w:val="00A71207"/>
    <w:rsid w:val="00A72B9D"/>
    <w:rsid w:val="00A7405C"/>
    <w:rsid w:val="00A76E49"/>
    <w:rsid w:val="00A803CD"/>
    <w:rsid w:val="00A8288B"/>
    <w:rsid w:val="00A829C2"/>
    <w:rsid w:val="00A85578"/>
    <w:rsid w:val="00A87E92"/>
    <w:rsid w:val="00A90713"/>
    <w:rsid w:val="00A90CC5"/>
    <w:rsid w:val="00A93264"/>
    <w:rsid w:val="00A9429D"/>
    <w:rsid w:val="00A95D0B"/>
    <w:rsid w:val="00AA3615"/>
    <w:rsid w:val="00AA4293"/>
    <w:rsid w:val="00AA77D4"/>
    <w:rsid w:val="00AB0AF3"/>
    <w:rsid w:val="00AB3CFE"/>
    <w:rsid w:val="00AB3FD0"/>
    <w:rsid w:val="00AB65C9"/>
    <w:rsid w:val="00AB77FD"/>
    <w:rsid w:val="00AC2D7A"/>
    <w:rsid w:val="00AC6839"/>
    <w:rsid w:val="00AC7C5B"/>
    <w:rsid w:val="00AD1E05"/>
    <w:rsid w:val="00AD553E"/>
    <w:rsid w:val="00AD7E74"/>
    <w:rsid w:val="00AE2AAB"/>
    <w:rsid w:val="00AE56F3"/>
    <w:rsid w:val="00AE75D6"/>
    <w:rsid w:val="00AE786E"/>
    <w:rsid w:val="00AF3017"/>
    <w:rsid w:val="00AF4D31"/>
    <w:rsid w:val="00AF604F"/>
    <w:rsid w:val="00AF76B1"/>
    <w:rsid w:val="00B00990"/>
    <w:rsid w:val="00B16FF9"/>
    <w:rsid w:val="00B17376"/>
    <w:rsid w:val="00B179D1"/>
    <w:rsid w:val="00B221C5"/>
    <w:rsid w:val="00B224A4"/>
    <w:rsid w:val="00B2595B"/>
    <w:rsid w:val="00B26D56"/>
    <w:rsid w:val="00B27703"/>
    <w:rsid w:val="00B3036B"/>
    <w:rsid w:val="00B3279C"/>
    <w:rsid w:val="00B3341B"/>
    <w:rsid w:val="00B33993"/>
    <w:rsid w:val="00B34CDE"/>
    <w:rsid w:val="00B350CA"/>
    <w:rsid w:val="00B352A0"/>
    <w:rsid w:val="00B463DB"/>
    <w:rsid w:val="00B519AA"/>
    <w:rsid w:val="00B51FFF"/>
    <w:rsid w:val="00B53038"/>
    <w:rsid w:val="00B53529"/>
    <w:rsid w:val="00B54410"/>
    <w:rsid w:val="00B573C6"/>
    <w:rsid w:val="00B5778E"/>
    <w:rsid w:val="00B63A41"/>
    <w:rsid w:val="00B66555"/>
    <w:rsid w:val="00B668B4"/>
    <w:rsid w:val="00B70197"/>
    <w:rsid w:val="00B719EA"/>
    <w:rsid w:val="00B71ABB"/>
    <w:rsid w:val="00B72165"/>
    <w:rsid w:val="00B80A16"/>
    <w:rsid w:val="00B842EF"/>
    <w:rsid w:val="00B87BB7"/>
    <w:rsid w:val="00B90096"/>
    <w:rsid w:val="00B94A51"/>
    <w:rsid w:val="00B97A34"/>
    <w:rsid w:val="00BA1001"/>
    <w:rsid w:val="00BA155A"/>
    <w:rsid w:val="00BA15F3"/>
    <w:rsid w:val="00BA53BD"/>
    <w:rsid w:val="00BB1B9F"/>
    <w:rsid w:val="00BB7692"/>
    <w:rsid w:val="00BB7ED5"/>
    <w:rsid w:val="00BC1707"/>
    <w:rsid w:val="00BC2B80"/>
    <w:rsid w:val="00BC59CC"/>
    <w:rsid w:val="00BD07F2"/>
    <w:rsid w:val="00BD25B4"/>
    <w:rsid w:val="00BD2C14"/>
    <w:rsid w:val="00BD3DC5"/>
    <w:rsid w:val="00BD44C7"/>
    <w:rsid w:val="00BD6956"/>
    <w:rsid w:val="00BD6BD1"/>
    <w:rsid w:val="00BD6D2E"/>
    <w:rsid w:val="00BE09FF"/>
    <w:rsid w:val="00BE1C2E"/>
    <w:rsid w:val="00BE2F6C"/>
    <w:rsid w:val="00BE34CE"/>
    <w:rsid w:val="00BE3590"/>
    <w:rsid w:val="00BE35FB"/>
    <w:rsid w:val="00BE70E8"/>
    <w:rsid w:val="00BF2AB2"/>
    <w:rsid w:val="00BF5C02"/>
    <w:rsid w:val="00BF5E79"/>
    <w:rsid w:val="00C06825"/>
    <w:rsid w:val="00C0750B"/>
    <w:rsid w:val="00C078B3"/>
    <w:rsid w:val="00C12B70"/>
    <w:rsid w:val="00C14ABB"/>
    <w:rsid w:val="00C15BB0"/>
    <w:rsid w:val="00C15FB7"/>
    <w:rsid w:val="00C16CC3"/>
    <w:rsid w:val="00C17B5F"/>
    <w:rsid w:val="00C219E6"/>
    <w:rsid w:val="00C23556"/>
    <w:rsid w:val="00C23599"/>
    <w:rsid w:val="00C23A68"/>
    <w:rsid w:val="00C24EB4"/>
    <w:rsid w:val="00C25C73"/>
    <w:rsid w:val="00C3721D"/>
    <w:rsid w:val="00C401F3"/>
    <w:rsid w:val="00C407D9"/>
    <w:rsid w:val="00C42512"/>
    <w:rsid w:val="00C436E7"/>
    <w:rsid w:val="00C45058"/>
    <w:rsid w:val="00C474D7"/>
    <w:rsid w:val="00C54F4B"/>
    <w:rsid w:val="00C57449"/>
    <w:rsid w:val="00C57868"/>
    <w:rsid w:val="00C60538"/>
    <w:rsid w:val="00C62C23"/>
    <w:rsid w:val="00C64CFB"/>
    <w:rsid w:val="00C6506C"/>
    <w:rsid w:val="00C679C0"/>
    <w:rsid w:val="00C70CDA"/>
    <w:rsid w:val="00C7226E"/>
    <w:rsid w:val="00C72535"/>
    <w:rsid w:val="00C72541"/>
    <w:rsid w:val="00C73A56"/>
    <w:rsid w:val="00C740C9"/>
    <w:rsid w:val="00C74C61"/>
    <w:rsid w:val="00C75DED"/>
    <w:rsid w:val="00C815CC"/>
    <w:rsid w:val="00C8193E"/>
    <w:rsid w:val="00C823C2"/>
    <w:rsid w:val="00C87AE5"/>
    <w:rsid w:val="00C91771"/>
    <w:rsid w:val="00C91B59"/>
    <w:rsid w:val="00C9290E"/>
    <w:rsid w:val="00C96110"/>
    <w:rsid w:val="00C97454"/>
    <w:rsid w:val="00CA0E54"/>
    <w:rsid w:val="00CA28BB"/>
    <w:rsid w:val="00CA50C4"/>
    <w:rsid w:val="00CA5C23"/>
    <w:rsid w:val="00CB1FB8"/>
    <w:rsid w:val="00CB42FF"/>
    <w:rsid w:val="00CB48F2"/>
    <w:rsid w:val="00CB4E37"/>
    <w:rsid w:val="00CB5E13"/>
    <w:rsid w:val="00CB769D"/>
    <w:rsid w:val="00CC29CF"/>
    <w:rsid w:val="00CC33E2"/>
    <w:rsid w:val="00CC382C"/>
    <w:rsid w:val="00CC7FD2"/>
    <w:rsid w:val="00CD0E1B"/>
    <w:rsid w:val="00CD111E"/>
    <w:rsid w:val="00CD1BBA"/>
    <w:rsid w:val="00CD1F1D"/>
    <w:rsid w:val="00CD3929"/>
    <w:rsid w:val="00CD5FD7"/>
    <w:rsid w:val="00CE1A7E"/>
    <w:rsid w:val="00CE6838"/>
    <w:rsid w:val="00CE7606"/>
    <w:rsid w:val="00CE76A8"/>
    <w:rsid w:val="00CF3C2E"/>
    <w:rsid w:val="00CF540E"/>
    <w:rsid w:val="00CF6E75"/>
    <w:rsid w:val="00CF7827"/>
    <w:rsid w:val="00CF7C8F"/>
    <w:rsid w:val="00D00DC3"/>
    <w:rsid w:val="00D02D47"/>
    <w:rsid w:val="00D04360"/>
    <w:rsid w:val="00D0675C"/>
    <w:rsid w:val="00D101C5"/>
    <w:rsid w:val="00D10BD5"/>
    <w:rsid w:val="00D11D35"/>
    <w:rsid w:val="00D121E6"/>
    <w:rsid w:val="00D1240A"/>
    <w:rsid w:val="00D12716"/>
    <w:rsid w:val="00D128EB"/>
    <w:rsid w:val="00D1403A"/>
    <w:rsid w:val="00D14074"/>
    <w:rsid w:val="00D1519B"/>
    <w:rsid w:val="00D228A3"/>
    <w:rsid w:val="00D22EDB"/>
    <w:rsid w:val="00D25BC6"/>
    <w:rsid w:val="00D31184"/>
    <w:rsid w:val="00D31AAA"/>
    <w:rsid w:val="00D322F3"/>
    <w:rsid w:val="00D32D76"/>
    <w:rsid w:val="00D34A94"/>
    <w:rsid w:val="00D357F9"/>
    <w:rsid w:val="00D35E2B"/>
    <w:rsid w:val="00D44220"/>
    <w:rsid w:val="00D52242"/>
    <w:rsid w:val="00D53570"/>
    <w:rsid w:val="00D579C6"/>
    <w:rsid w:val="00D57FF0"/>
    <w:rsid w:val="00D61885"/>
    <w:rsid w:val="00D6241A"/>
    <w:rsid w:val="00D6604F"/>
    <w:rsid w:val="00D6692F"/>
    <w:rsid w:val="00D71795"/>
    <w:rsid w:val="00D7247D"/>
    <w:rsid w:val="00D72DA7"/>
    <w:rsid w:val="00D73A16"/>
    <w:rsid w:val="00D73D40"/>
    <w:rsid w:val="00D759C4"/>
    <w:rsid w:val="00D768C0"/>
    <w:rsid w:val="00D777A7"/>
    <w:rsid w:val="00D77CEC"/>
    <w:rsid w:val="00D81140"/>
    <w:rsid w:val="00D82898"/>
    <w:rsid w:val="00D84EF7"/>
    <w:rsid w:val="00D85033"/>
    <w:rsid w:val="00D85671"/>
    <w:rsid w:val="00D876E5"/>
    <w:rsid w:val="00D9081F"/>
    <w:rsid w:val="00D9680B"/>
    <w:rsid w:val="00D9726B"/>
    <w:rsid w:val="00DA2896"/>
    <w:rsid w:val="00DB112E"/>
    <w:rsid w:val="00DB1AD2"/>
    <w:rsid w:val="00DB1D86"/>
    <w:rsid w:val="00DB6945"/>
    <w:rsid w:val="00DB761B"/>
    <w:rsid w:val="00DC159D"/>
    <w:rsid w:val="00DC15AE"/>
    <w:rsid w:val="00DC1CD0"/>
    <w:rsid w:val="00DC2093"/>
    <w:rsid w:val="00DC2BEF"/>
    <w:rsid w:val="00DC5706"/>
    <w:rsid w:val="00DD1A56"/>
    <w:rsid w:val="00DD6572"/>
    <w:rsid w:val="00DD73C9"/>
    <w:rsid w:val="00DE252C"/>
    <w:rsid w:val="00DE32B7"/>
    <w:rsid w:val="00DE3A39"/>
    <w:rsid w:val="00DE47D5"/>
    <w:rsid w:val="00DE4F5A"/>
    <w:rsid w:val="00DE65E1"/>
    <w:rsid w:val="00DE77A2"/>
    <w:rsid w:val="00DE7FF5"/>
    <w:rsid w:val="00DF251E"/>
    <w:rsid w:val="00DF26F0"/>
    <w:rsid w:val="00DF4710"/>
    <w:rsid w:val="00DF55F4"/>
    <w:rsid w:val="00DF6034"/>
    <w:rsid w:val="00DF6080"/>
    <w:rsid w:val="00DF7522"/>
    <w:rsid w:val="00E02FAB"/>
    <w:rsid w:val="00E03E67"/>
    <w:rsid w:val="00E05158"/>
    <w:rsid w:val="00E05376"/>
    <w:rsid w:val="00E05D18"/>
    <w:rsid w:val="00E10188"/>
    <w:rsid w:val="00E13E81"/>
    <w:rsid w:val="00E16F5C"/>
    <w:rsid w:val="00E2155C"/>
    <w:rsid w:val="00E2429E"/>
    <w:rsid w:val="00E251A5"/>
    <w:rsid w:val="00E26832"/>
    <w:rsid w:val="00E26E8F"/>
    <w:rsid w:val="00E33EF1"/>
    <w:rsid w:val="00E346CB"/>
    <w:rsid w:val="00E50DF9"/>
    <w:rsid w:val="00E51F62"/>
    <w:rsid w:val="00E54C5A"/>
    <w:rsid w:val="00E54E45"/>
    <w:rsid w:val="00E56D7A"/>
    <w:rsid w:val="00E60380"/>
    <w:rsid w:val="00E60913"/>
    <w:rsid w:val="00E60CC5"/>
    <w:rsid w:val="00E6416B"/>
    <w:rsid w:val="00E64A7B"/>
    <w:rsid w:val="00E709A9"/>
    <w:rsid w:val="00E72A80"/>
    <w:rsid w:val="00E735D2"/>
    <w:rsid w:val="00E7362E"/>
    <w:rsid w:val="00E74C91"/>
    <w:rsid w:val="00E76852"/>
    <w:rsid w:val="00E77CCC"/>
    <w:rsid w:val="00E82277"/>
    <w:rsid w:val="00E826E1"/>
    <w:rsid w:val="00E837C4"/>
    <w:rsid w:val="00E85B6B"/>
    <w:rsid w:val="00E85CE7"/>
    <w:rsid w:val="00E85E68"/>
    <w:rsid w:val="00E86EA7"/>
    <w:rsid w:val="00E86FAA"/>
    <w:rsid w:val="00E902A7"/>
    <w:rsid w:val="00E9044F"/>
    <w:rsid w:val="00E90D35"/>
    <w:rsid w:val="00E9141B"/>
    <w:rsid w:val="00E96173"/>
    <w:rsid w:val="00E963EB"/>
    <w:rsid w:val="00E97997"/>
    <w:rsid w:val="00EA0E93"/>
    <w:rsid w:val="00EA158D"/>
    <w:rsid w:val="00EA191C"/>
    <w:rsid w:val="00EA5B95"/>
    <w:rsid w:val="00EB0909"/>
    <w:rsid w:val="00EB1CC1"/>
    <w:rsid w:val="00EB2CA1"/>
    <w:rsid w:val="00EB3634"/>
    <w:rsid w:val="00EB3DF9"/>
    <w:rsid w:val="00EB5B3C"/>
    <w:rsid w:val="00EB66B6"/>
    <w:rsid w:val="00EB670D"/>
    <w:rsid w:val="00EB67E6"/>
    <w:rsid w:val="00EC1BBD"/>
    <w:rsid w:val="00EC374E"/>
    <w:rsid w:val="00EC48BE"/>
    <w:rsid w:val="00EC674C"/>
    <w:rsid w:val="00EC7643"/>
    <w:rsid w:val="00ED20FB"/>
    <w:rsid w:val="00ED23B0"/>
    <w:rsid w:val="00ED5B1E"/>
    <w:rsid w:val="00ED5FCB"/>
    <w:rsid w:val="00ED5FE0"/>
    <w:rsid w:val="00ED67AC"/>
    <w:rsid w:val="00EE04F7"/>
    <w:rsid w:val="00EE1BE8"/>
    <w:rsid w:val="00EE1E4A"/>
    <w:rsid w:val="00EE3C8C"/>
    <w:rsid w:val="00EE79A4"/>
    <w:rsid w:val="00EF1CA9"/>
    <w:rsid w:val="00EF3EC9"/>
    <w:rsid w:val="00EF4813"/>
    <w:rsid w:val="00EF4F02"/>
    <w:rsid w:val="00EF5563"/>
    <w:rsid w:val="00EF62E7"/>
    <w:rsid w:val="00EF74F1"/>
    <w:rsid w:val="00EF7B2D"/>
    <w:rsid w:val="00F01C21"/>
    <w:rsid w:val="00F05192"/>
    <w:rsid w:val="00F06A99"/>
    <w:rsid w:val="00F06EDC"/>
    <w:rsid w:val="00F11B1A"/>
    <w:rsid w:val="00F11E7B"/>
    <w:rsid w:val="00F1209A"/>
    <w:rsid w:val="00F13076"/>
    <w:rsid w:val="00F14008"/>
    <w:rsid w:val="00F1430A"/>
    <w:rsid w:val="00F17479"/>
    <w:rsid w:val="00F2274E"/>
    <w:rsid w:val="00F23B33"/>
    <w:rsid w:val="00F23DE1"/>
    <w:rsid w:val="00F27232"/>
    <w:rsid w:val="00F27468"/>
    <w:rsid w:val="00F36984"/>
    <w:rsid w:val="00F404A4"/>
    <w:rsid w:val="00F4203B"/>
    <w:rsid w:val="00F43F27"/>
    <w:rsid w:val="00F454B1"/>
    <w:rsid w:val="00F45CB9"/>
    <w:rsid w:val="00F469C0"/>
    <w:rsid w:val="00F469F8"/>
    <w:rsid w:val="00F50C01"/>
    <w:rsid w:val="00F514E8"/>
    <w:rsid w:val="00F5170C"/>
    <w:rsid w:val="00F52137"/>
    <w:rsid w:val="00F52C6A"/>
    <w:rsid w:val="00F53394"/>
    <w:rsid w:val="00F70345"/>
    <w:rsid w:val="00F70F9E"/>
    <w:rsid w:val="00F7132B"/>
    <w:rsid w:val="00F71844"/>
    <w:rsid w:val="00F71906"/>
    <w:rsid w:val="00F728A2"/>
    <w:rsid w:val="00F773B5"/>
    <w:rsid w:val="00F81B0D"/>
    <w:rsid w:val="00F83CEE"/>
    <w:rsid w:val="00F842BA"/>
    <w:rsid w:val="00F848BD"/>
    <w:rsid w:val="00F849E7"/>
    <w:rsid w:val="00F87753"/>
    <w:rsid w:val="00F92AFC"/>
    <w:rsid w:val="00F93DA1"/>
    <w:rsid w:val="00F97649"/>
    <w:rsid w:val="00F97A81"/>
    <w:rsid w:val="00FA2E7B"/>
    <w:rsid w:val="00FA3C70"/>
    <w:rsid w:val="00FA6814"/>
    <w:rsid w:val="00FB2613"/>
    <w:rsid w:val="00FB2F10"/>
    <w:rsid w:val="00FC02E7"/>
    <w:rsid w:val="00FC0797"/>
    <w:rsid w:val="00FC0A5A"/>
    <w:rsid w:val="00FC18B9"/>
    <w:rsid w:val="00FC3486"/>
    <w:rsid w:val="00FC3AC8"/>
    <w:rsid w:val="00FC4E6C"/>
    <w:rsid w:val="00FC6A9A"/>
    <w:rsid w:val="00FC6C54"/>
    <w:rsid w:val="00FC6ECA"/>
    <w:rsid w:val="00FC6F4B"/>
    <w:rsid w:val="00FD1C01"/>
    <w:rsid w:val="00FD4173"/>
    <w:rsid w:val="00FD4B79"/>
    <w:rsid w:val="00FD50AB"/>
    <w:rsid w:val="00FD50E4"/>
    <w:rsid w:val="00FD62D2"/>
    <w:rsid w:val="00FD6BB1"/>
    <w:rsid w:val="00FE096C"/>
    <w:rsid w:val="00FE1200"/>
    <w:rsid w:val="00FE2EAE"/>
    <w:rsid w:val="00FE37F2"/>
    <w:rsid w:val="00FE399A"/>
    <w:rsid w:val="00FE3DD4"/>
    <w:rsid w:val="00FE4201"/>
    <w:rsid w:val="00FE65FE"/>
    <w:rsid w:val="00FE67B5"/>
    <w:rsid w:val="00FE68D1"/>
    <w:rsid w:val="00FE6FB4"/>
    <w:rsid w:val="00FF14DB"/>
    <w:rsid w:val="00FF30C9"/>
    <w:rsid w:val="00FF5D68"/>
    <w:rsid w:val="00FF6D12"/>
    <w:rsid w:val="12DE7599"/>
    <w:rsid w:val="144C4DDE"/>
    <w:rsid w:val="1EE02ABF"/>
    <w:rsid w:val="1F104C3B"/>
    <w:rsid w:val="25A702D9"/>
    <w:rsid w:val="28CF06DA"/>
    <w:rsid w:val="2DCA6509"/>
    <w:rsid w:val="31266731"/>
    <w:rsid w:val="3696654F"/>
    <w:rsid w:val="36FA7BF9"/>
    <w:rsid w:val="3A0D49BE"/>
    <w:rsid w:val="432A37CD"/>
    <w:rsid w:val="477332FC"/>
    <w:rsid w:val="491103BB"/>
    <w:rsid w:val="608847F0"/>
    <w:rsid w:val="69D22C67"/>
    <w:rsid w:val="6EEE28F9"/>
    <w:rsid w:val="76FB342B"/>
    <w:rsid w:val="77C57FEA"/>
    <w:rsid w:val="7839EDFC"/>
    <w:rsid w:val="7B8D2FE7"/>
    <w:rsid w:val="7FA9D001"/>
    <w:rsid w:val="CF741598"/>
    <w:rsid w:val="D2EF8288"/>
    <w:rsid w:val="DF5FF458"/>
    <w:rsid w:val="FA9F22D4"/>
    <w:rsid w:val="FBFFAE19"/>
    <w:rsid w:val="FBFFDD12"/>
    <w:rsid w:val="FF62BE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semiHidden="0" w:name="heading 7"/>
    <w:lsdException w:qFormat="1"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3"/>
    <w:link w:val="45"/>
    <w:qFormat/>
    <w:uiPriority w:val="9"/>
    <w:pPr>
      <w:keepNext/>
      <w:keepLines/>
      <w:numPr>
        <w:ilvl w:val="0"/>
        <w:numId w:val="1"/>
      </w:numPr>
      <w:ind w:firstLineChars="0"/>
      <w:jc w:val="left"/>
      <w:outlineLvl w:val="0"/>
    </w:pPr>
    <w:rPr>
      <w:rFonts w:eastAsia="黑体"/>
      <w:b/>
      <w:bCs/>
      <w:kern w:val="0"/>
      <w:sz w:val="32"/>
      <w:szCs w:val="44"/>
    </w:rPr>
  </w:style>
  <w:style w:type="paragraph" w:styleId="4">
    <w:name w:val="heading 2"/>
    <w:basedOn w:val="1"/>
    <w:next w:val="3"/>
    <w:link w:val="47"/>
    <w:qFormat/>
    <w:uiPriority w:val="99"/>
    <w:pPr>
      <w:keepNext/>
      <w:keepLines/>
      <w:numPr>
        <w:ilvl w:val="1"/>
        <w:numId w:val="1"/>
      </w:numPr>
      <w:ind w:firstLineChars="0"/>
      <w:jc w:val="left"/>
      <w:outlineLvl w:val="1"/>
    </w:pPr>
    <w:rPr>
      <w:rFonts w:ascii="Arial" w:hAnsi="Arial" w:eastAsia="黑体"/>
      <w:b/>
      <w:bCs/>
      <w:sz w:val="30"/>
      <w:szCs w:val="36"/>
    </w:rPr>
  </w:style>
  <w:style w:type="paragraph" w:styleId="5">
    <w:name w:val="heading 3"/>
    <w:basedOn w:val="1"/>
    <w:next w:val="3"/>
    <w:link w:val="46"/>
    <w:qFormat/>
    <w:uiPriority w:val="0"/>
    <w:pPr>
      <w:keepNext/>
      <w:keepLines/>
      <w:numPr>
        <w:ilvl w:val="2"/>
        <w:numId w:val="1"/>
      </w:numPr>
      <w:ind w:firstLineChars="0"/>
      <w:jc w:val="left"/>
      <w:outlineLvl w:val="2"/>
    </w:pPr>
    <w:rPr>
      <w:rFonts w:ascii="Arial" w:hAnsi="Arial" w:eastAsia="黑体"/>
      <w:b/>
      <w:bCs/>
      <w:sz w:val="28"/>
      <w:szCs w:val="28"/>
    </w:rPr>
  </w:style>
  <w:style w:type="paragraph" w:styleId="6">
    <w:name w:val="heading 4"/>
    <w:basedOn w:val="1"/>
    <w:next w:val="3"/>
    <w:link w:val="48"/>
    <w:qFormat/>
    <w:uiPriority w:val="0"/>
    <w:pPr>
      <w:keepNext/>
      <w:keepLines/>
      <w:numPr>
        <w:ilvl w:val="3"/>
        <w:numId w:val="1"/>
      </w:numPr>
      <w:ind w:firstLineChars="0"/>
      <w:jc w:val="left"/>
      <w:outlineLvl w:val="3"/>
    </w:pPr>
    <w:rPr>
      <w:rFonts w:ascii="Arial" w:hAnsi="Arial" w:eastAsia="黑体"/>
      <w:b/>
      <w:bCs/>
      <w:sz w:val="28"/>
    </w:rPr>
  </w:style>
  <w:style w:type="paragraph" w:styleId="7">
    <w:name w:val="heading 5"/>
    <w:basedOn w:val="1"/>
    <w:next w:val="3"/>
    <w:link w:val="49"/>
    <w:qFormat/>
    <w:uiPriority w:val="0"/>
    <w:pPr>
      <w:keepNext/>
      <w:keepLines/>
      <w:numPr>
        <w:ilvl w:val="4"/>
        <w:numId w:val="1"/>
      </w:numPr>
      <w:snapToGrid w:val="0"/>
      <w:ind w:firstLineChars="0"/>
      <w:jc w:val="left"/>
      <w:outlineLvl w:val="4"/>
    </w:pPr>
    <w:rPr>
      <w:rFonts w:ascii="Arial" w:hAnsi="Arial" w:eastAsia="黑体"/>
      <w:b/>
      <w:bCs/>
    </w:rPr>
  </w:style>
  <w:style w:type="paragraph" w:styleId="8">
    <w:name w:val="heading 6"/>
    <w:basedOn w:val="1"/>
    <w:next w:val="1"/>
    <w:link w:val="68"/>
    <w:unhideWhenUsed/>
    <w:qFormat/>
    <w:uiPriority w:val="9"/>
    <w:pPr>
      <w:keepNext/>
      <w:keepLines/>
      <w:spacing w:before="240" w:after="64" w:line="320" w:lineRule="auto"/>
      <w:outlineLvl w:val="5"/>
    </w:pPr>
    <w:rPr>
      <w:rFonts w:asciiTheme="majorHAnsi" w:hAnsiTheme="majorHAnsi" w:eastAsiaTheme="majorEastAsia" w:cstheme="majorBidi"/>
      <w:b/>
      <w:bCs/>
    </w:rPr>
  </w:style>
  <w:style w:type="paragraph" w:styleId="9">
    <w:name w:val="heading 7"/>
    <w:basedOn w:val="1"/>
    <w:next w:val="1"/>
    <w:link w:val="73"/>
    <w:unhideWhenUsed/>
    <w:qFormat/>
    <w:uiPriority w:val="9"/>
    <w:pPr>
      <w:keepNext/>
      <w:keepLines/>
      <w:spacing w:before="240" w:after="64" w:line="320" w:lineRule="auto"/>
      <w:outlineLvl w:val="6"/>
    </w:pPr>
    <w:rPr>
      <w:b/>
      <w:bCs/>
    </w:rPr>
  </w:style>
  <w:style w:type="paragraph" w:styleId="10">
    <w:name w:val="heading 8"/>
    <w:basedOn w:val="1"/>
    <w:next w:val="1"/>
    <w:link w:val="74"/>
    <w:unhideWhenUsed/>
    <w:qFormat/>
    <w:uiPriority w:val="0"/>
    <w:pPr>
      <w:keepNext/>
      <w:keepLines/>
      <w:spacing w:beforeLines="50" w:afterLines="50"/>
      <w:ind w:firstLine="0" w:firstLineChars="0"/>
      <w:outlineLvl w:val="7"/>
    </w:pPr>
    <w:rPr>
      <w:rFonts w:ascii="黑体" w:hAnsi="黑体" w:eastAsia="黑体" w:cstheme="majorBidi"/>
      <w:b/>
      <w:sz w:val="28"/>
    </w:rPr>
  </w:style>
  <w:style w:type="paragraph" w:styleId="11">
    <w:name w:val="heading 9"/>
    <w:basedOn w:val="1"/>
    <w:next w:val="1"/>
    <w:link w:val="75"/>
    <w:qFormat/>
    <w:uiPriority w:val="0"/>
    <w:pPr>
      <w:tabs>
        <w:tab w:val="left" w:pos="716"/>
        <w:tab w:val="left" w:pos="1584"/>
      </w:tabs>
      <w:adjustRightInd w:val="0"/>
      <w:spacing w:beforeLines="50" w:afterLines="50"/>
      <w:ind w:firstLine="0" w:firstLineChars="0"/>
      <w:textAlignment w:val="baseline"/>
      <w:outlineLvl w:val="8"/>
    </w:pPr>
    <w:rPr>
      <w:rFonts w:ascii="黑体" w:hAnsi="黑体" w:eastAsia="黑体"/>
      <w:b/>
      <w:sz w:val="28"/>
      <w:lang w:eastAsia="en-US"/>
    </w:rPr>
  </w:style>
  <w:style w:type="character" w:default="1" w:styleId="36">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link w:val="52"/>
    <w:unhideWhenUsed/>
    <w:qFormat/>
    <w:uiPriority w:val="0"/>
    <w:pPr>
      <w:spacing w:beforeLines="50" w:afterLines="50"/>
    </w:pPr>
    <w:rPr>
      <w:lang w:val="zh-CN"/>
    </w:rPr>
  </w:style>
  <w:style w:type="paragraph" w:styleId="12">
    <w:name w:val="annotation subject"/>
    <w:basedOn w:val="13"/>
    <w:next w:val="13"/>
    <w:link w:val="54"/>
    <w:unhideWhenUsed/>
    <w:qFormat/>
    <w:uiPriority w:val="99"/>
    <w:rPr>
      <w:b/>
      <w:bCs/>
    </w:rPr>
  </w:style>
  <w:style w:type="paragraph" w:styleId="13">
    <w:name w:val="annotation text"/>
    <w:basedOn w:val="1"/>
    <w:link w:val="53"/>
    <w:unhideWhenUsed/>
    <w:qFormat/>
    <w:uiPriority w:val="0"/>
    <w:pPr>
      <w:jc w:val="left"/>
    </w:pPr>
  </w:style>
  <w:style w:type="paragraph" w:styleId="14">
    <w:name w:val="toc 7"/>
    <w:basedOn w:val="1"/>
    <w:next w:val="1"/>
    <w:qFormat/>
    <w:uiPriority w:val="39"/>
    <w:pPr>
      <w:spacing w:beforeLines="50" w:afterLines="50"/>
      <w:ind w:left="2520" w:leftChars="1200" w:firstLine="0" w:firstLineChars="0"/>
    </w:pPr>
    <w:rPr>
      <w:rFonts w:ascii="Times New Roman" w:hAnsi="Times New Roman"/>
      <w:sz w:val="28"/>
    </w:rPr>
  </w:style>
  <w:style w:type="paragraph" w:styleId="15">
    <w:name w:val="Body Text First Indent"/>
    <w:basedOn w:val="16"/>
    <w:link w:val="81"/>
    <w:unhideWhenUsed/>
    <w:qFormat/>
    <w:uiPriority w:val="99"/>
    <w:pPr>
      <w:widowControl/>
      <w:snapToGrid w:val="0"/>
      <w:spacing w:beforeLines="0" w:afterLines="0"/>
      <w:ind w:firstLine="420" w:firstLineChars="100"/>
    </w:pPr>
    <w:rPr>
      <w:rFonts w:eastAsia="仿宋"/>
      <w:kern w:val="0"/>
      <w:sz w:val="32"/>
      <w:szCs w:val="20"/>
    </w:rPr>
  </w:style>
  <w:style w:type="paragraph" w:styleId="16">
    <w:name w:val="Body Text"/>
    <w:basedOn w:val="1"/>
    <w:link w:val="77"/>
    <w:unhideWhenUsed/>
    <w:qFormat/>
    <w:uiPriority w:val="99"/>
    <w:pPr>
      <w:spacing w:beforeLines="50" w:afterLines="50"/>
      <w:ind w:firstLine="0" w:firstLineChars="0"/>
    </w:pPr>
    <w:rPr>
      <w:rFonts w:ascii="Times New Roman" w:hAnsi="Times New Roman"/>
      <w:sz w:val="28"/>
    </w:rPr>
  </w:style>
  <w:style w:type="paragraph" w:styleId="17">
    <w:name w:val="caption"/>
    <w:basedOn w:val="1"/>
    <w:next w:val="1"/>
    <w:link w:val="90"/>
    <w:qFormat/>
    <w:uiPriority w:val="0"/>
    <w:pPr>
      <w:jc w:val="center"/>
    </w:pPr>
    <w:rPr>
      <w:rFonts w:ascii="Arial" w:hAnsi="Arial" w:eastAsia="黑体" w:cs="Arial"/>
      <w:b/>
    </w:rPr>
  </w:style>
  <w:style w:type="paragraph" w:styleId="18">
    <w:name w:val="Document Map"/>
    <w:basedOn w:val="1"/>
    <w:link w:val="76"/>
    <w:qFormat/>
    <w:uiPriority w:val="99"/>
    <w:pPr>
      <w:shd w:val="clear" w:color="auto" w:fill="000080"/>
      <w:spacing w:beforeLines="50" w:afterLines="50"/>
      <w:ind w:firstLine="0" w:firstLineChars="0"/>
    </w:pPr>
    <w:rPr>
      <w:rFonts w:ascii="Times New Roman" w:hAnsi="Times New Roman"/>
      <w:sz w:val="28"/>
    </w:rPr>
  </w:style>
  <w:style w:type="paragraph" w:styleId="19">
    <w:name w:val="toc 5"/>
    <w:basedOn w:val="1"/>
    <w:next w:val="1"/>
    <w:qFormat/>
    <w:uiPriority w:val="39"/>
    <w:pPr>
      <w:spacing w:beforeLines="25" w:afterLines="25"/>
      <w:ind w:left="500" w:leftChars="500" w:firstLine="0" w:firstLineChars="0"/>
      <w:jc w:val="left"/>
    </w:pPr>
    <w:rPr>
      <w:rFonts w:ascii="Times New Roman" w:hAnsi="Times New Roman"/>
      <w:i/>
      <w:sz w:val="21"/>
      <w:szCs w:val="21"/>
    </w:rPr>
  </w:style>
  <w:style w:type="paragraph" w:styleId="20">
    <w:name w:val="toc 3"/>
    <w:basedOn w:val="1"/>
    <w:next w:val="1"/>
    <w:qFormat/>
    <w:uiPriority w:val="39"/>
    <w:pPr>
      <w:spacing w:beforeLines="50" w:afterLines="50"/>
      <w:ind w:left="200" w:leftChars="200" w:firstLine="0" w:firstLineChars="0"/>
      <w:jc w:val="left"/>
    </w:pPr>
    <w:rPr>
      <w:rFonts w:ascii="Times New Roman" w:hAnsi="Times New Roman"/>
      <w:b/>
      <w:iCs/>
      <w:sz w:val="28"/>
    </w:rPr>
  </w:style>
  <w:style w:type="paragraph" w:styleId="21">
    <w:name w:val="Plain Text"/>
    <w:basedOn w:val="1"/>
    <w:link w:val="69"/>
    <w:unhideWhenUsed/>
    <w:qFormat/>
    <w:uiPriority w:val="99"/>
    <w:pPr>
      <w:spacing w:line="240" w:lineRule="auto"/>
      <w:ind w:firstLine="0" w:firstLineChars="0"/>
    </w:pPr>
    <w:rPr>
      <w:rFonts w:hAnsi="Courier New" w:cs="黑体"/>
      <w:kern w:val="0"/>
      <w:sz w:val="20"/>
      <w:szCs w:val="21"/>
    </w:rPr>
  </w:style>
  <w:style w:type="paragraph" w:styleId="22">
    <w:name w:val="toc 8"/>
    <w:basedOn w:val="1"/>
    <w:next w:val="1"/>
    <w:qFormat/>
    <w:uiPriority w:val="39"/>
    <w:pPr>
      <w:spacing w:beforeLines="50" w:afterLines="50"/>
      <w:ind w:left="2940" w:leftChars="1400" w:firstLine="0" w:firstLineChars="0"/>
    </w:pPr>
    <w:rPr>
      <w:rFonts w:ascii="Times New Roman" w:hAnsi="Times New Roman"/>
      <w:sz w:val="28"/>
    </w:rPr>
  </w:style>
  <w:style w:type="paragraph" w:styleId="23">
    <w:name w:val="Body Text Indent 2"/>
    <w:basedOn w:val="1"/>
    <w:link w:val="78"/>
    <w:qFormat/>
    <w:uiPriority w:val="0"/>
    <w:pPr>
      <w:spacing w:after="120" w:line="480" w:lineRule="auto"/>
      <w:ind w:left="420" w:leftChars="200" w:firstLine="200"/>
    </w:pPr>
    <w:rPr>
      <w:rFonts w:ascii="Times New Roman" w:hAnsi="Times New Roman" w:eastAsia="仿宋"/>
    </w:rPr>
  </w:style>
  <w:style w:type="paragraph" w:styleId="24">
    <w:name w:val="Balloon Text"/>
    <w:basedOn w:val="1"/>
    <w:link w:val="55"/>
    <w:unhideWhenUsed/>
    <w:qFormat/>
    <w:uiPriority w:val="99"/>
    <w:rPr>
      <w:sz w:val="18"/>
      <w:szCs w:val="18"/>
    </w:rPr>
  </w:style>
  <w:style w:type="paragraph" w:styleId="25">
    <w:name w:val="footer"/>
    <w:basedOn w:val="1"/>
    <w:link w:val="51"/>
    <w:unhideWhenUsed/>
    <w:qFormat/>
    <w:uiPriority w:val="99"/>
    <w:pPr>
      <w:tabs>
        <w:tab w:val="center" w:pos="4153"/>
        <w:tab w:val="right" w:pos="8306"/>
      </w:tabs>
      <w:snapToGrid w:val="0"/>
      <w:jc w:val="left"/>
    </w:pPr>
    <w:rPr>
      <w:sz w:val="18"/>
      <w:szCs w:val="18"/>
    </w:rPr>
  </w:style>
  <w:style w:type="paragraph" w:styleId="26">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8302"/>
      </w:tabs>
      <w:spacing w:beforeLines="50" w:afterLines="50"/>
      <w:ind w:firstLine="0" w:firstLineChars="0"/>
      <w:jc w:val="left"/>
    </w:pPr>
    <w:rPr>
      <w:rFonts w:ascii="Times New Roman" w:hAnsi="Times New Roman"/>
      <w:b/>
      <w:bCs/>
      <w:caps/>
      <w:sz w:val="28"/>
    </w:rPr>
  </w:style>
  <w:style w:type="paragraph" w:styleId="28">
    <w:name w:val="toc 4"/>
    <w:basedOn w:val="1"/>
    <w:next w:val="1"/>
    <w:qFormat/>
    <w:uiPriority w:val="39"/>
    <w:pPr>
      <w:spacing w:beforeLines="25" w:afterLines="25"/>
      <w:ind w:left="400" w:leftChars="400" w:firstLine="0" w:firstLineChars="0"/>
      <w:jc w:val="left"/>
    </w:pPr>
    <w:rPr>
      <w:rFonts w:ascii="Times New Roman" w:hAnsi="Times New Roman"/>
      <w:sz w:val="21"/>
      <w:szCs w:val="21"/>
    </w:rPr>
  </w:style>
  <w:style w:type="paragraph" w:styleId="29">
    <w:name w:val="toc 6"/>
    <w:basedOn w:val="1"/>
    <w:next w:val="1"/>
    <w:qFormat/>
    <w:uiPriority w:val="39"/>
    <w:pPr>
      <w:spacing w:beforeLines="50" w:afterLines="50"/>
      <w:ind w:left="2100" w:leftChars="1000" w:firstLine="0" w:firstLineChars="0"/>
    </w:pPr>
    <w:rPr>
      <w:rFonts w:ascii="Times New Roman" w:hAnsi="Times New Roman"/>
      <w:sz w:val="28"/>
    </w:rPr>
  </w:style>
  <w:style w:type="paragraph" w:styleId="30">
    <w:name w:val="table of figures"/>
    <w:basedOn w:val="1"/>
    <w:next w:val="1"/>
    <w:semiHidden/>
    <w:qFormat/>
    <w:uiPriority w:val="0"/>
    <w:pPr>
      <w:spacing w:beforeLines="50" w:afterLines="50"/>
      <w:ind w:left="840" w:leftChars="200" w:hanging="420" w:hangingChars="200"/>
    </w:pPr>
    <w:rPr>
      <w:rFonts w:ascii="Times New Roman" w:hAnsi="Times New Roman"/>
      <w:sz w:val="28"/>
    </w:rPr>
  </w:style>
  <w:style w:type="paragraph" w:styleId="31">
    <w:name w:val="toc 2"/>
    <w:basedOn w:val="1"/>
    <w:next w:val="1"/>
    <w:qFormat/>
    <w:uiPriority w:val="39"/>
    <w:pPr>
      <w:tabs>
        <w:tab w:val="right" w:leader="dot" w:pos="8302"/>
      </w:tabs>
      <w:spacing w:beforeLines="50" w:afterLines="50"/>
      <w:ind w:left="100" w:leftChars="100" w:firstLine="0" w:firstLineChars="0"/>
      <w:jc w:val="left"/>
    </w:pPr>
    <w:rPr>
      <w:rFonts w:ascii="Times New Roman" w:hAnsi="Times New Roman"/>
      <w:b/>
      <w:smallCaps/>
      <w:sz w:val="28"/>
    </w:rPr>
  </w:style>
  <w:style w:type="paragraph" w:styleId="32">
    <w:name w:val="toc 9"/>
    <w:basedOn w:val="1"/>
    <w:next w:val="1"/>
    <w:qFormat/>
    <w:uiPriority w:val="39"/>
    <w:pPr>
      <w:spacing w:beforeLines="50" w:afterLines="50"/>
      <w:ind w:left="3360" w:leftChars="1600" w:firstLine="0" w:firstLineChars="0"/>
    </w:pPr>
    <w:rPr>
      <w:rFonts w:ascii="Times New Roman" w:hAnsi="Times New Roman"/>
      <w:sz w:val="28"/>
    </w:rPr>
  </w:style>
  <w:style w:type="paragraph" w:styleId="33">
    <w:name w:val="HTML Preformatted"/>
    <w:basedOn w:val="1"/>
    <w:link w:val="7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cs="宋体"/>
      <w:kern w:val="0"/>
    </w:rPr>
  </w:style>
  <w:style w:type="paragraph" w:styleId="34">
    <w:name w:val="Normal (Web)"/>
    <w:basedOn w:val="1"/>
    <w:unhideWhenUsed/>
    <w:qFormat/>
    <w:uiPriority w:val="99"/>
    <w:pPr>
      <w:widowControl/>
      <w:spacing w:before="100" w:beforeAutospacing="1" w:after="100" w:afterAutospacing="1" w:line="240" w:lineRule="auto"/>
      <w:ind w:firstLine="200"/>
      <w:jc w:val="left"/>
    </w:pPr>
    <w:rPr>
      <w:rFonts w:eastAsia="仿宋" w:cs="宋体"/>
      <w:kern w:val="0"/>
    </w:rPr>
  </w:style>
  <w:style w:type="paragraph" w:styleId="35">
    <w:name w:val="Title"/>
    <w:basedOn w:val="1"/>
    <w:next w:val="3"/>
    <w:link w:val="80"/>
    <w:qFormat/>
    <w:uiPriority w:val="0"/>
    <w:pPr>
      <w:pageBreakBefore/>
      <w:spacing w:beforeLines="1600" w:afterLines="100" w:line="300" w:lineRule="auto"/>
      <w:ind w:firstLine="0" w:firstLineChars="0"/>
      <w:jc w:val="center"/>
    </w:pPr>
    <w:rPr>
      <w:rFonts w:ascii="Arial" w:hAnsi="Arial" w:eastAsia="黑体" w:cs="Arial"/>
      <w:b/>
      <w:bCs/>
      <w:sz w:val="48"/>
      <w:szCs w:val="32"/>
    </w:rPr>
  </w:style>
  <w:style w:type="character" w:styleId="37">
    <w:name w:val="Strong"/>
    <w:basedOn w:val="36"/>
    <w:qFormat/>
    <w:uiPriority w:val="22"/>
    <w:rPr>
      <w:b/>
      <w:bCs/>
    </w:rPr>
  </w:style>
  <w:style w:type="character" w:styleId="38">
    <w:name w:val="page number"/>
    <w:basedOn w:val="36"/>
    <w:qFormat/>
    <w:uiPriority w:val="0"/>
  </w:style>
  <w:style w:type="character" w:styleId="39">
    <w:name w:val="FollowedHyperlink"/>
    <w:basedOn w:val="36"/>
    <w:unhideWhenUsed/>
    <w:qFormat/>
    <w:uiPriority w:val="99"/>
    <w:rPr>
      <w:color w:val="954F72"/>
      <w:u w:val="single"/>
    </w:rPr>
  </w:style>
  <w:style w:type="character" w:styleId="40">
    <w:name w:val="Emphasis"/>
    <w:basedOn w:val="36"/>
    <w:qFormat/>
    <w:uiPriority w:val="20"/>
    <w:rPr>
      <w:i/>
      <w:iCs/>
    </w:rPr>
  </w:style>
  <w:style w:type="character" w:styleId="41">
    <w:name w:val="Hyperlink"/>
    <w:basedOn w:val="36"/>
    <w:qFormat/>
    <w:uiPriority w:val="99"/>
    <w:rPr>
      <w:color w:val="0000FF"/>
      <w:u w:val="single"/>
    </w:rPr>
  </w:style>
  <w:style w:type="character" w:styleId="42">
    <w:name w:val="annotation reference"/>
    <w:basedOn w:val="36"/>
    <w:unhideWhenUsed/>
    <w:qFormat/>
    <w:uiPriority w:val="99"/>
    <w:rPr>
      <w:sz w:val="21"/>
      <w:szCs w:val="21"/>
    </w:rPr>
  </w:style>
  <w:style w:type="table" w:styleId="44">
    <w:name w:val="Table Grid"/>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5">
    <w:name w:val="标题 1 字符"/>
    <w:basedOn w:val="36"/>
    <w:link w:val="2"/>
    <w:qFormat/>
    <w:uiPriority w:val="9"/>
    <w:rPr>
      <w:rFonts w:ascii="宋体" w:hAnsi="宋体" w:eastAsia="黑体" w:cs="Times New Roman"/>
      <w:b/>
      <w:bCs/>
      <w:sz w:val="32"/>
      <w:szCs w:val="44"/>
    </w:rPr>
  </w:style>
  <w:style w:type="character" w:customStyle="1" w:styleId="46">
    <w:name w:val="标题 3 字符"/>
    <w:link w:val="5"/>
    <w:qFormat/>
    <w:uiPriority w:val="0"/>
    <w:rPr>
      <w:rFonts w:ascii="Arial" w:hAnsi="Arial" w:eastAsia="黑体" w:cs="Times New Roman"/>
      <w:b/>
      <w:bCs/>
      <w:kern w:val="2"/>
      <w:sz w:val="28"/>
      <w:szCs w:val="28"/>
    </w:rPr>
  </w:style>
  <w:style w:type="character" w:customStyle="1" w:styleId="47">
    <w:name w:val="标题 2 字符"/>
    <w:basedOn w:val="36"/>
    <w:link w:val="4"/>
    <w:qFormat/>
    <w:uiPriority w:val="99"/>
    <w:rPr>
      <w:rFonts w:ascii="Arial" w:hAnsi="Arial" w:eastAsia="黑体" w:cs="Times New Roman"/>
      <w:b/>
      <w:bCs/>
      <w:kern w:val="2"/>
      <w:sz w:val="30"/>
      <w:szCs w:val="36"/>
    </w:rPr>
  </w:style>
  <w:style w:type="character" w:customStyle="1" w:styleId="48">
    <w:name w:val="标题 4 字符"/>
    <w:basedOn w:val="36"/>
    <w:link w:val="6"/>
    <w:qFormat/>
    <w:uiPriority w:val="0"/>
    <w:rPr>
      <w:rFonts w:ascii="Arial" w:hAnsi="Arial" w:eastAsia="黑体" w:cs="Times New Roman"/>
      <w:b/>
      <w:bCs/>
      <w:kern w:val="2"/>
      <w:sz w:val="28"/>
      <w:szCs w:val="24"/>
    </w:rPr>
  </w:style>
  <w:style w:type="character" w:customStyle="1" w:styleId="49">
    <w:name w:val="标题 5 字符"/>
    <w:basedOn w:val="36"/>
    <w:link w:val="7"/>
    <w:qFormat/>
    <w:uiPriority w:val="0"/>
    <w:rPr>
      <w:rFonts w:ascii="Arial" w:hAnsi="Arial" w:eastAsia="黑体" w:cs="Times New Roman"/>
      <w:b/>
      <w:bCs/>
      <w:kern w:val="2"/>
      <w:sz w:val="24"/>
      <w:szCs w:val="24"/>
    </w:rPr>
  </w:style>
  <w:style w:type="character" w:customStyle="1" w:styleId="50">
    <w:name w:val="页眉 字符"/>
    <w:basedOn w:val="36"/>
    <w:link w:val="26"/>
    <w:qFormat/>
    <w:uiPriority w:val="99"/>
    <w:rPr>
      <w:kern w:val="2"/>
      <w:sz w:val="18"/>
      <w:szCs w:val="18"/>
    </w:rPr>
  </w:style>
  <w:style w:type="character" w:customStyle="1" w:styleId="51">
    <w:name w:val="页脚 字符"/>
    <w:basedOn w:val="36"/>
    <w:link w:val="25"/>
    <w:qFormat/>
    <w:uiPriority w:val="99"/>
    <w:rPr>
      <w:kern w:val="2"/>
      <w:sz w:val="18"/>
      <w:szCs w:val="18"/>
    </w:rPr>
  </w:style>
  <w:style w:type="character" w:customStyle="1" w:styleId="52">
    <w:name w:val="正文缩进 字符"/>
    <w:link w:val="3"/>
    <w:qFormat/>
    <w:uiPriority w:val="0"/>
    <w:rPr>
      <w:rFonts w:ascii="宋体" w:hAnsi="宋体"/>
      <w:kern w:val="2"/>
      <w:sz w:val="24"/>
      <w:lang w:val="zh-CN"/>
    </w:rPr>
  </w:style>
  <w:style w:type="character" w:customStyle="1" w:styleId="53">
    <w:name w:val="批注文字 字符"/>
    <w:basedOn w:val="36"/>
    <w:link w:val="13"/>
    <w:qFormat/>
    <w:uiPriority w:val="0"/>
    <w:rPr>
      <w:kern w:val="2"/>
      <w:sz w:val="21"/>
    </w:rPr>
  </w:style>
  <w:style w:type="character" w:customStyle="1" w:styleId="54">
    <w:name w:val="批注主题 字符"/>
    <w:basedOn w:val="53"/>
    <w:link w:val="12"/>
    <w:semiHidden/>
    <w:qFormat/>
    <w:uiPriority w:val="99"/>
    <w:rPr>
      <w:b/>
      <w:bCs/>
      <w:kern w:val="2"/>
      <w:sz w:val="21"/>
    </w:rPr>
  </w:style>
  <w:style w:type="character" w:customStyle="1" w:styleId="55">
    <w:name w:val="批注框文本 字符"/>
    <w:basedOn w:val="36"/>
    <w:link w:val="24"/>
    <w:semiHidden/>
    <w:qFormat/>
    <w:uiPriority w:val="99"/>
    <w:rPr>
      <w:kern w:val="2"/>
      <w:sz w:val="18"/>
      <w:szCs w:val="18"/>
    </w:rPr>
  </w:style>
  <w:style w:type="paragraph" w:customStyle="1" w:styleId="56">
    <w:name w:val="正文缩进1"/>
    <w:basedOn w:val="1"/>
    <w:qFormat/>
    <w:uiPriority w:val="0"/>
    <w:pPr>
      <w:spacing w:beforeLines="50" w:afterLines="50"/>
      <w:ind w:firstLine="200"/>
    </w:pPr>
  </w:style>
  <w:style w:type="character" w:customStyle="1" w:styleId="57">
    <w:name w:val="表格正文 Char"/>
    <w:link w:val="58"/>
    <w:qFormat/>
    <w:uiPriority w:val="0"/>
    <w:rPr>
      <w:rFonts w:asciiTheme="minorEastAsia" w:hAnsiTheme="minorEastAsia" w:eastAsiaTheme="minorEastAsia"/>
      <w:kern w:val="2"/>
      <w:sz w:val="21"/>
      <w:szCs w:val="21"/>
      <w:lang w:val="zh-CN"/>
    </w:rPr>
  </w:style>
  <w:style w:type="paragraph" w:customStyle="1" w:styleId="58">
    <w:name w:val="表格正文"/>
    <w:basedOn w:val="3"/>
    <w:link w:val="57"/>
    <w:qFormat/>
    <w:uiPriority w:val="0"/>
    <w:pPr>
      <w:adjustRightInd w:val="0"/>
      <w:snapToGrid w:val="0"/>
      <w:spacing w:line="240" w:lineRule="auto"/>
      <w:ind w:firstLine="0" w:firstLineChars="0"/>
    </w:pPr>
    <w:rPr>
      <w:rFonts w:asciiTheme="minorEastAsia" w:hAnsiTheme="minorEastAsia" w:eastAsiaTheme="minorEastAsia"/>
      <w:sz w:val="21"/>
      <w:szCs w:val="21"/>
    </w:rPr>
  </w:style>
  <w:style w:type="character" w:customStyle="1" w:styleId="59">
    <w:name w:val="样式5 Char"/>
    <w:link w:val="60"/>
    <w:qFormat/>
    <w:uiPriority w:val="0"/>
    <w:rPr>
      <w:rFonts w:ascii="宋体" w:hAnsi="宋体"/>
      <w:kern w:val="2"/>
      <w:sz w:val="24"/>
      <w:szCs w:val="24"/>
    </w:rPr>
  </w:style>
  <w:style w:type="paragraph" w:customStyle="1" w:styleId="60">
    <w:name w:val="样式5"/>
    <w:basedOn w:val="1"/>
    <w:link w:val="59"/>
    <w:qFormat/>
    <w:uiPriority w:val="0"/>
  </w:style>
  <w:style w:type="character" w:customStyle="1" w:styleId="61">
    <w:name w:val="标书正文 Char"/>
    <w:link w:val="62"/>
    <w:qFormat/>
    <w:uiPriority w:val="0"/>
    <w:rPr>
      <w:kern w:val="2"/>
      <w:sz w:val="24"/>
      <w:szCs w:val="24"/>
    </w:rPr>
  </w:style>
  <w:style w:type="paragraph" w:customStyle="1" w:styleId="62">
    <w:name w:val="标书正文"/>
    <w:basedOn w:val="1"/>
    <w:link w:val="61"/>
    <w:qFormat/>
    <w:uiPriority w:val="0"/>
    <w:pPr>
      <w:spacing w:line="400" w:lineRule="exact"/>
      <w:ind w:firstLine="200"/>
    </w:pPr>
    <w:rPr>
      <w:rFonts w:ascii="Times New Roman" w:hAnsi="Times New Roman"/>
    </w:rPr>
  </w:style>
  <w:style w:type="character" w:customStyle="1" w:styleId="63">
    <w:name w:val="项目排列 Char Char"/>
    <w:link w:val="64"/>
    <w:qFormat/>
    <w:uiPriority w:val="0"/>
    <w:rPr>
      <w:rFonts w:ascii="Times New Roman" w:hAnsi="Times New Roman" w:eastAsia="宋体" w:cs="Times New Roman"/>
      <w:kern w:val="2"/>
      <w:sz w:val="24"/>
      <w:szCs w:val="24"/>
      <w:lang w:val="zh-CN"/>
    </w:rPr>
  </w:style>
  <w:style w:type="paragraph" w:customStyle="1" w:styleId="64">
    <w:name w:val="项目排列"/>
    <w:basedOn w:val="1"/>
    <w:link w:val="63"/>
    <w:qFormat/>
    <w:uiPriority w:val="0"/>
    <w:pPr>
      <w:numPr>
        <w:ilvl w:val="0"/>
        <w:numId w:val="2"/>
      </w:numPr>
      <w:spacing w:beforeLines="50" w:afterLines="50" w:line="300" w:lineRule="auto"/>
      <w:ind w:firstLine="0" w:firstLineChars="0"/>
    </w:pPr>
    <w:rPr>
      <w:rFonts w:ascii="Times New Roman" w:hAnsi="Times New Roman"/>
      <w:lang w:val="zh-CN"/>
    </w:rPr>
  </w:style>
  <w:style w:type="paragraph" w:customStyle="1" w:styleId="65">
    <w:name w:val="正文1"/>
    <w:basedOn w:val="1"/>
    <w:link w:val="66"/>
    <w:qFormat/>
    <w:uiPriority w:val="0"/>
    <w:pPr>
      <w:snapToGrid w:val="0"/>
      <w:ind w:firstLine="510" w:firstLineChars="0"/>
    </w:pPr>
    <w:rPr>
      <w:rFonts w:hAnsi="Times New Roman"/>
      <w:lang w:val="zh-CN"/>
    </w:rPr>
  </w:style>
  <w:style w:type="character" w:customStyle="1" w:styleId="66">
    <w:name w:val="正文1 Char"/>
    <w:link w:val="65"/>
    <w:qFormat/>
    <w:uiPriority w:val="0"/>
    <w:rPr>
      <w:rFonts w:ascii="宋体"/>
      <w:kern w:val="2"/>
      <w:sz w:val="24"/>
      <w:lang w:val="zh-CN" w:eastAsia="zh-CN"/>
    </w:rPr>
  </w:style>
  <w:style w:type="paragraph" w:customStyle="1" w:styleId="6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8">
    <w:name w:val="标题 6 字符"/>
    <w:basedOn w:val="36"/>
    <w:link w:val="8"/>
    <w:qFormat/>
    <w:uiPriority w:val="9"/>
    <w:rPr>
      <w:rFonts w:asciiTheme="majorHAnsi" w:hAnsiTheme="majorHAnsi" w:eastAsiaTheme="majorEastAsia" w:cstheme="majorBidi"/>
      <w:b/>
      <w:bCs/>
      <w:kern w:val="2"/>
      <w:sz w:val="24"/>
      <w:szCs w:val="24"/>
    </w:rPr>
  </w:style>
  <w:style w:type="character" w:customStyle="1" w:styleId="69">
    <w:name w:val="纯文本 字符"/>
    <w:link w:val="21"/>
    <w:qFormat/>
    <w:locked/>
    <w:uiPriority w:val="99"/>
    <w:rPr>
      <w:rFonts w:ascii="宋体" w:hAnsi="Courier New" w:cs="黑体"/>
      <w:szCs w:val="21"/>
    </w:rPr>
  </w:style>
  <w:style w:type="character" w:customStyle="1" w:styleId="70">
    <w:name w:val="纯文本 字符1"/>
    <w:basedOn w:val="36"/>
    <w:semiHidden/>
    <w:qFormat/>
    <w:uiPriority w:val="99"/>
    <w:rPr>
      <w:rFonts w:hAnsi="Courier New" w:cs="Courier New" w:asciiTheme="minorEastAsia" w:eastAsiaTheme="minorEastAsia"/>
      <w:kern w:val="2"/>
      <w:sz w:val="24"/>
    </w:rPr>
  </w:style>
  <w:style w:type="character" w:customStyle="1" w:styleId="71">
    <w:name w:val="正文缩进 字符1"/>
    <w:qFormat/>
    <w:locked/>
    <w:uiPriority w:val="0"/>
    <w:rPr>
      <w:kern w:val="2"/>
      <w:sz w:val="24"/>
      <w:szCs w:val="24"/>
    </w:rPr>
  </w:style>
  <w:style w:type="paragraph" w:customStyle="1" w:styleId="72">
    <w:name w:val="列表段落1"/>
    <w:basedOn w:val="1"/>
    <w:qFormat/>
    <w:uiPriority w:val="34"/>
    <w:pPr>
      <w:ind w:firstLine="420"/>
    </w:pPr>
  </w:style>
  <w:style w:type="character" w:customStyle="1" w:styleId="73">
    <w:name w:val="标题 7 字符"/>
    <w:basedOn w:val="36"/>
    <w:link w:val="9"/>
    <w:qFormat/>
    <w:uiPriority w:val="9"/>
    <w:rPr>
      <w:rFonts w:ascii="宋体" w:hAnsi="宋体" w:eastAsia="宋体" w:cs="Times New Roman"/>
      <w:b/>
      <w:bCs/>
      <w:kern w:val="2"/>
      <w:sz w:val="24"/>
      <w:szCs w:val="24"/>
    </w:rPr>
  </w:style>
  <w:style w:type="character" w:customStyle="1" w:styleId="74">
    <w:name w:val="标题 8 字符"/>
    <w:basedOn w:val="36"/>
    <w:link w:val="10"/>
    <w:qFormat/>
    <w:uiPriority w:val="0"/>
    <w:rPr>
      <w:rFonts w:ascii="黑体" w:hAnsi="黑体" w:eastAsia="黑体" w:cstheme="majorBidi"/>
      <w:b/>
      <w:kern w:val="2"/>
      <w:sz w:val="28"/>
      <w:szCs w:val="24"/>
    </w:rPr>
  </w:style>
  <w:style w:type="character" w:customStyle="1" w:styleId="75">
    <w:name w:val="标题 9 字符"/>
    <w:basedOn w:val="36"/>
    <w:link w:val="11"/>
    <w:qFormat/>
    <w:uiPriority w:val="0"/>
    <w:rPr>
      <w:rFonts w:ascii="黑体" w:hAnsi="黑体" w:eastAsia="黑体" w:cs="Times New Roman"/>
      <w:b/>
      <w:kern w:val="2"/>
      <w:sz w:val="28"/>
      <w:szCs w:val="24"/>
      <w:lang w:eastAsia="en-US"/>
    </w:rPr>
  </w:style>
  <w:style w:type="character" w:customStyle="1" w:styleId="76">
    <w:name w:val="文档结构图 字符"/>
    <w:basedOn w:val="36"/>
    <w:link w:val="18"/>
    <w:qFormat/>
    <w:uiPriority w:val="99"/>
    <w:rPr>
      <w:rFonts w:ascii="Times New Roman" w:hAnsi="Times New Roman" w:eastAsia="宋体" w:cs="Times New Roman"/>
      <w:kern w:val="2"/>
      <w:sz w:val="28"/>
      <w:szCs w:val="24"/>
      <w:shd w:val="clear" w:color="auto" w:fill="000080"/>
    </w:rPr>
  </w:style>
  <w:style w:type="character" w:customStyle="1" w:styleId="77">
    <w:name w:val="正文文本 字符"/>
    <w:basedOn w:val="36"/>
    <w:link w:val="16"/>
    <w:qFormat/>
    <w:uiPriority w:val="99"/>
    <w:rPr>
      <w:rFonts w:ascii="Times New Roman" w:hAnsi="Times New Roman" w:eastAsia="宋体" w:cs="Times New Roman"/>
      <w:kern w:val="2"/>
      <w:sz w:val="28"/>
      <w:szCs w:val="24"/>
    </w:rPr>
  </w:style>
  <w:style w:type="character" w:customStyle="1" w:styleId="78">
    <w:name w:val="正文文本缩进 2 字符"/>
    <w:basedOn w:val="36"/>
    <w:link w:val="23"/>
    <w:qFormat/>
    <w:uiPriority w:val="0"/>
    <w:rPr>
      <w:rFonts w:ascii="Times New Roman" w:hAnsi="Times New Roman" w:eastAsia="仿宋" w:cs="Times New Roman"/>
      <w:kern w:val="2"/>
      <w:sz w:val="24"/>
      <w:szCs w:val="24"/>
    </w:rPr>
  </w:style>
  <w:style w:type="character" w:customStyle="1" w:styleId="79">
    <w:name w:val="HTML 预设格式 字符"/>
    <w:basedOn w:val="36"/>
    <w:link w:val="33"/>
    <w:semiHidden/>
    <w:qFormat/>
    <w:uiPriority w:val="99"/>
    <w:rPr>
      <w:rFonts w:ascii="宋体" w:hAnsi="宋体" w:eastAsia="宋体" w:cs="宋体"/>
      <w:sz w:val="24"/>
      <w:szCs w:val="24"/>
    </w:rPr>
  </w:style>
  <w:style w:type="character" w:customStyle="1" w:styleId="80">
    <w:name w:val="标题 字符"/>
    <w:basedOn w:val="36"/>
    <w:link w:val="35"/>
    <w:qFormat/>
    <w:uiPriority w:val="0"/>
    <w:rPr>
      <w:rFonts w:ascii="Arial" w:hAnsi="Arial" w:eastAsia="黑体" w:cs="Arial"/>
      <w:b/>
      <w:bCs/>
      <w:kern w:val="2"/>
      <w:sz w:val="48"/>
      <w:szCs w:val="32"/>
    </w:rPr>
  </w:style>
  <w:style w:type="character" w:customStyle="1" w:styleId="81">
    <w:name w:val="正文文本首行缩进 字符"/>
    <w:basedOn w:val="77"/>
    <w:link w:val="15"/>
    <w:qFormat/>
    <w:uiPriority w:val="99"/>
    <w:rPr>
      <w:rFonts w:ascii="Times New Roman" w:hAnsi="Times New Roman" w:eastAsia="仿宋" w:cs="Times New Roman"/>
      <w:kern w:val="2"/>
      <w:sz w:val="32"/>
      <w:szCs w:val="24"/>
    </w:rPr>
  </w:style>
  <w:style w:type="paragraph" w:customStyle="1" w:styleId="82">
    <w:name w:val="浅色列表 - 强调文字颜色 31"/>
    <w:hidden/>
    <w:semiHidden/>
    <w:qFormat/>
    <w:uiPriority w:val="99"/>
    <w:rPr>
      <w:rFonts w:ascii="Times New Roman" w:hAnsi="Times New Roman" w:eastAsia="宋体" w:cs="Times New Roman"/>
      <w:kern w:val="2"/>
      <w:sz w:val="24"/>
      <w:szCs w:val="24"/>
      <w:lang w:val="en-US" w:eastAsia="zh-CN" w:bidi="ar-SA"/>
    </w:rPr>
  </w:style>
  <w:style w:type="paragraph" w:customStyle="1" w:styleId="83">
    <w:name w:val="修订13"/>
    <w:hidden/>
    <w:qFormat/>
    <w:uiPriority w:val="99"/>
    <w:rPr>
      <w:rFonts w:ascii="Times New Roman" w:hAnsi="Times New Roman" w:eastAsia="宋体" w:cs="Calibri"/>
      <w:kern w:val="2"/>
      <w:sz w:val="21"/>
      <w:szCs w:val="24"/>
      <w:lang w:val="en-US" w:eastAsia="zh-CN" w:bidi="ar-SA"/>
    </w:rPr>
  </w:style>
  <w:style w:type="paragraph" w:customStyle="1" w:styleId="84">
    <w:name w:val="修订1"/>
    <w:hidden/>
    <w:qFormat/>
    <w:uiPriority w:val="0"/>
    <w:rPr>
      <w:rFonts w:ascii="Times New Roman" w:hAnsi="Times New Roman" w:eastAsia="宋体" w:cs="Times New Roman"/>
      <w:kern w:val="2"/>
      <w:sz w:val="24"/>
      <w:szCs w:val="24"/>
      <w:lang w:val="en-US" w:eastAsia="zh-CN" w:bidi="ar-SA"/>
    </w:rPr>
  </w:style>
  <w:style w:type="paragraph" w:customStyle="1" w:styleId="85">
    <w:name w:val="标题（无编号）"/>
    <w:basedOn w:val="6"/>
    <w:qFormat/>
    <w:uiPriority w:val="0"/>
    <w:pPr>
      <w:numPr>
        <w:ilvl w:val="0"/>
        <w:numId w:val="0"/>
      </w:numPr>
      <w:spacing w:beforeLines="100" w:afterLines="100"/>
    </w:pPr>
    <w:rPr>
      <w:sz w:val="30"/>
      <w:szCs w:val="28"/>
    </w:rPr>
  </w:style>
  <w:style w:type="paragraph" w:customStyle="1" w:styleId="86">
    <w:name w:val="表格文字"/>
    <w:basedOn w:val="1"/>
    <w:link w:val="136"/>
    <w:qFormat/>
    <w:uiPriority w:val="0"/>
    <w:pPr>
      <w:spacing w:beforeLines="50" w:afterLines="50" w:line="240" w:lineRule="auto"/>
      <w:ind w:firstLine="0" w:firstLineChars="0"/>
      <w:jc w:val="left"/>
    </w:pPr>
    <w:rPr>
      <w:rFonts w:ascii="Times New Roman" w:hAnsi="Times New Roman"/>
      <w:kern w:val="21"/>
      <w:sz w:val="21"/>
      <w:szCs w:val="21"/>
    </w:rPr>
  </w:style>
  <w:style w:type="paragraph" w:customStyle="1" w:styleId="87">
    <w:name w:val="表格标题"/>
    <w:basedOn w:val="86"/>
    <w:next w:val="86"/>
    <w:link w:val="137"/>
    <w:qFormat/>
    <w:uiPriority w:val="0"/>
    <w:pPr>
      <w:jc w:val="center"/>
    </w:pPr>
    <w:rPr>
      <w:b/>
    </w:rPr>
  </w:style>
  <w:style w:type="paragraph" w:customStyle="1" w:styleId="88">
    <w:name w:val="普通标题"/>
    <w:basedOn w:val="1"/>
    <w:next w:val="3"/>
    <w:qFormat/>
    <w:uiPriority w:val="0"/>
    <w:pPr>
      <w:pageBreakBefore/>
      <w:spacing w:beforeLines="200" w:afterLines="100"/>
      <w:ind w:firstLine="0" w:firstLineChars="0"/>
      <w:jc w:val="center"/>
    </w:pPr>
    <w:rPr>
      <w:rFonts w:ascii="Arial" w:hAnsi="Arial" w:eastAsia="黑体"/>
      <w:b/>
      <w:sz w:val="32"/>
      <w:szCs w:val="32"/>
    </w:rPr>
  </w:style>
  <w:style w:type="paragraph" w:customStyle="1" w:styleId="89">
    <w:name w:val="说明文字"/>
    <w:basedOn w:val="1"/>
    <w:next w:val="3"/>
    <w:qFormat/>
    <w:uiPriority w:val="0"/>
    <w:pPr>
      <w:spacing w:beforeLines="50" w:afterLines="50"/>
      <w:ind w:firstLine="0" w:firstLineChars="0"/>
    </w:pPr>
    <w:rPr>
      <w:rFonts w:ascii="Times New Roman" w:hAnsi="Times New Roman"/>
      <w:i/>
      <w:color w:val="0000FF"/>
      <w:sz w:val="21"/>
      <w:szCs w:val="21"/>
    </w:rPr>
  </w:style>
  <w:style w:type="character" w:customStyle="1" w:styleId="90">
    <w:name w:val="题注 字符"/>
    <w:link w:val="17"/>
    <w:qFormat/>
    <w:uiPriority w:val="0"/>
    <w:rPr>
      <w:rFonts w:ascii="Arial" w:hAnsi="Arial" w:eastAsia="黑体" w:cs="Arial"/>
      <w:b/>
      <w:kern w:val="2"/>
      <w:sz w:val="24"/>
    </w:rPr>
  </w:style>
  <w:style w:type="paragraph" w:customStyle="1" w:styleId="91">
    <w:name w:val="文档标题"/>
    <w:basedOn w:val="1"/>
    <w:qFormat/>
    <w:uiPriority w:val="0"/>
    <w:pPr>
      <w:spacing w:beforeLines="100" w:afterLines="100" w:line="300" w:lineRule="auto"/>
      <w:ind w:firstLine="0" w:firstLineChars="0"/>
      <w:jc w:val="center"/>
    </w:pPr>
    <w:rPr>
      <w:rFonts w:ascii="Arial" w:hAnsi="Arial" w:eastAsia="黑体" w:cs="Arial"/>
      <w:b/>
      <w:sz w:val="48"/>
      <w:szCs w:val="32"/>
    </w:rPr>
  </w:style>
  <w:style w:type="character" w:customStyle="1" w:styleId="92">
    <w:name w:val="项目排列 Char"/>
    <w:qFormat/>
    <w:uiPriority w:val="0"/>
    <w:rPr>
      <w:rFonts w:ascii="Times New Roman" w:hAnsi="Times New Roman" w:eastAsia="宋体" w:cs="Times New Roman"/>
      <w:kern w:val="2"/>
      <w:sz w:val="28"/>
      <w:szCs w:val="24"/>
    </w:rPr>
  </w:style>
  <w:style w:type="paragraph" w:customStyle="1" w:styleId="93">
    <w:name w:val="小标题"/>
    <w:basedOn w:val="1"/>
    <w:next w:val="3"/>
    <w:link w:val="94"/>
    <w:qFormat/>
    <w:uiPriority w:val="0"/>
    <w:pPr>
      <w:numPr>
        <w:ilvl w:val="0"/>
        <w:numId w:val="3"/>
      </w:numPr>
      <w:spacing w:beforeLines="25" w:afterLines="25"/>
      <w:ind w:hanging="200" w:hangingChars="200"/>
    </w:pPr>
    <w:rPr>
      <w:rFonts w:ascii="Arial" w:hAnsi="Arial" w:eastAsia="黑体"/>
      <w:b/>
      <w:sz w:val="28"/>
    </w:rPr>
  </w:style>
  <w:style w:type="character" w:customStyle="1" w:styleId="94">
    <w:name w:val="小标题 Char"/>
    <w:link w:val="93"/>
    <w:qFormat/>
    <w:locked/>
    <w:uiPriority w:val="0"/>
    <w:rPr>
      <w:rFonts w:ascii="Arial" w:hAnsi="Arial" w:eastAsia="黑体" w:cs="Times New Roman"/>
      <w:b/>
      <w:kern w:val="2"/>
      <w:sz w:val="28"/>
      <w:szCs w:val="24"/>
    </w:rPr>
  </w:style>
  <w:style w:type="character" w:customStyle="1" w:styleId="95">
    <w:name w:val="已访问超链接"/>
    <w:basedOn w:val="36"/>
    <w:qFormat/>
    <w:uiPriority w:val="0"/>
    <w:rPr>
      <w:color w:val="800080"/>
      <w:u w:val="single" w:color="800080"/>
    </w:rPr>
  </w:style>
  <w:style w:type="paragraph" w:customStyle="1" w:styleId="96">
    <w:name w:val="文档正文"/>
    <w:basedOn w:val="1"/>
    <w:link w:val="97"/>
    <w:qFormat/>
    <w:uiPriority w:val="0"/>
    <w:pPr>
      <w:spacing w:beforeLines="50" w:afterLines="50"/>
      <w:ind w:firstLine="200"/>
    </w:pPr>
    <w:rPr>
      <w:rFonts w:ascii="仿宋_GB2312" w:hAnsi="Times New Roman" w:eastAsia="仿宋_GB2312"/>
      <w:sz w:val="28"/>
    </w:rPr>
  </w:style>
  <w:style w:type="character" w:customStyle="1" w:styleId="97">
    <w:name w:val="文档正文 Char"/>
    <w:basedOn w:val="36"/>
    <w:link w:val="96"/>
    <w:qFormat/>
    <w:uiPriority w:val="0"/>
    <w:rPr>
      <w:rFonts w:ascii="仿宋_GB2312" w:hAnsi="Times New Roman" w:eastAsia="仿宋_GB2312" w:cs="Times New Roman"/>
      <w:kern w:val="2"/>
      <w:sz w:val="28"/>
      <w:szCs w:val="24"/>
    </w:rPr>
  </w:style>
  <w:style w:type="character" w:customStyle="1" w:styleId="98">
    <w:name w:val="批注文字 Char"/>
    <w:semiHidden/>
    <w:qFormat/>
    <w:uiPriority w:val="99"/>
    <w:rPr>
      <w:kern w:val="2"/>
      <w:sz w:val="24"/>
      <w:szCs w:val="22"/>
    </w:rPr>
  </w:style>
  <w:style w:type="paragraph" w:customStyle="1" w:styleId="99">
    <w:name w:val="4 级标题"/>
    <w:basedOn w:val="6"/>
    <w:next w:val="1"/>
    <w:qFormat/>
    <w:uiPriority w:val="0"/>
    <w:pPr>
      <w:numPr>
        <w:numId w:val="4"/>
      </w:numPr>
      <w:tabs>
        <w:tab w:val="left" w:pos="864"/>
      </w:tabs>
      <w:spacing w:beforeLines="100" w:afterLines="100"/>
      <w:ind w:right="27" w:rightChars="13"/>
    </w:pPr>
    <w:rPr>
      <w:rFonts w:ascii="仿宋" w:hAnsi="仿宋" w:eastAsia="仿宋"/>
      <w:b w:val="0"/>
      <w:sz w:val="30"/>
      <w:szCs w:val="28"/>
    </w:rPr>
  </w:style>
  <w:style w:type="paragraph" w:customStyle="1" w:styleId="100">
    <w:name w:val="3 级标题"/>
    <w:basedOn w:val="5"/>
    <w:next w:val="1"/>
    <w:qFormat/>
    <w:uiPriority w:val="0"/>
    <w:pPr>
      <w:numPr>
        <w:numId w:val="4"/>
      </w:numPr>
      <w:spacing w:beforeLines="100" w:afterLines="100"/>
      <w:ind w:right="27" w:rightChars="13"/>
    </w:pPr>
    <w:rPr>
      <w:rFonts w:ascii="仿宋" w:hAnsi="仿宋" w:eastAsia="仿宋"/>
      <w:b w:val="0"/>
      <w:sz w:val="32"/>
      <w:szCs w:val="32"/>
    </w:rPr>
  </w:style>
  <w:style w:type="paragraph" w:customStyle="1" w:styleId="101">
    <w:name w:val="1级标题"/>
    <w:basedOn w:val="2"/>
    <w:qFormat/>
    <w:uiPriority w:val="0"/>
    <w:pPr>
      <w:numPr>
        <w:numId w:val="0"/>
      </w:numPr>
      <w:spacing w:beforeLines="200" w:afterLines="100"/>
      <w:ind w:right="27" w:rightChars="13"/>
      <w:jc w:val="center"/>
    </w:pPr>
    <w:rPr>
      <w:rFonts w:ascii="Times New Roman" w:hAnsi="Times New Roman" w:eastAsia="仿宋"/>
      <w:b w:val="0"/>
      <w:sz w:val="44"/>
    </w:rPr>
  </w:style>
  <w:style w:type="paragraph" w:customStyle="1" w:styleId="102">
    <w:name w:val="2 级标题"/>
    <w:basedOn w:val="4"/>
    <w:next w:val="1"/>
    <w:qFormat/>
    <w:uiPriority w:val="0"/>
    <w:pPr>
      <w:numPr>
        <w:ilvl w:val="0"/>
        <w:numId w:val="0"/>
      </w:numPr>
      <w:spacing w:beforeLines="100" w:afterLines="100"/>
      <w:ind w:left="567" w:right="36" w:rightChars="13" w:hanging="567"/>
      <w:jc w:val="both"/>
    </w:pPr>
    <w:rPr>
      <w:rFonts w:ascii="仿宋" w:hAnsi="仿宋" w:eastAsia="仿宋"/>
      <w:b w:val="0"/>
      <w:sz w:val="32"/>
    </w:rPr>
  </w:style>
  <w:style w:type="paragraph" w:customStyle="1" w:styleId="103">
    <w:name w:val="5 级标题"/>
    <w:basedOn w:val="7"/>
    <w:next w:val="1"/>
    <w:qFormat/>
    <w:uiPriority w:val="0"/>
    <w:pPr>
      <w:numPr>
        <w:ilvl w:val="0"/>
        <w:numId w:val="0"/>
      </w:numPr>
      <w:spacing w:beforeLines="100" w:afterLines="100"/>
      <w:ind w:left="567" w:right="27" w:rightChars="13" w:hanging="567"/>
    </w:pPr>
    <w:rPr>
      <w:rFonts w:ascii="仿宋" w:hAnsi="仿宋" w:eastAsia="仿宋"/>
      <w:b w:val="0"/>
      <w:kern w:val="0"/>
      <w:sz w:val="28"/>
      <w:szCs w:val="28"/>
    </w:rPr>
  </w:style>
  <w:style w:type="paragraph" w:customStyle="1" w:styleId="104">
    <w:name w:val="可研正文"/>
    <w:basedOn w:val="1"/>
    <w:link w:val="105"/>
    <w:qFormat/>
    <w:uiPriority w:val="0"/>
    <w:pPr>
      <w:ind w:firstLine="200"/>
    </w:pPr>
    <w:rPr>
      <w:rFonts w:ascii="仿宋" w:hAnsi="仿宋" w:eastAsia="仿宋"/>
      <w:sz w:val="28"/>
      <w:szCs w:val="28"/>
    </w:rPr>
  </w:style>
  <w:style w:type="character" w:customStyle="1" w:styleId="105">
    <w:name w:val="可研正文 Char"/>
    <w:link w:val="104"/>
    <w:qFormat/>
    <w:uiPriority w:val="0"/>
    <w:rPr>
      <w:rFonts w:ascii="仿宋" w:hAnsi="仿宋" w:eastAsia="仿宋" w:cs="Times New Roman"/>
      <w:kern w:val="2"/>
      <w:sz w:val="28"/>
      <w:szCs w:val="28"/>
    </w:rPr>
  </w:style>
  <w:style w:type="paragraph" w:customStyle="1" w:styleId="106">
    <w:name w:val="可研标题1级"/>
    <w:basedOn w:val="2"/>
    <w:next w:val="1"/>
    <w:qFormat/>
    <w:uiPriority w:val="0"/>
    <w:pPr>
      <w:pageBreakBefore/>
      <w:numPr>
        <w:numId w:val="5"/>
      </w:numPr>
      <w:spacing w:before="400" w:after="400"/>
      <w:jc w:val="center"/>
    </w:pPr>
    <w:rPr>
      <w:rFonts w:ascii="Calibri" w:hAnsi="Calibri" w:eastAsia="宋体"/>
      <w:kern w:val="44"/>
      <w:sz w:val="44"/>
    </w:rPr>
  </w:style>
  <w:style w:type="paragraph" w:customStyle="1" w:styleId="107">
    <w:name w:val="可研标题2级"/>
    <w:basedOn w:val="4"/>
    <w:next w:val="104"/>
    <w:qFormat/>
    <w:uiPriority w:val="0"/>
    <w:pPr>
      <w:numPr>
        <w:numId w:val="5"/>
      </w:numPr>
      <w:tabs>
        <w:tab w:val="left" w:pos="4395"/>
      </w:tabs>
      <w:spacing w:before="260" w:after="260" w:line="416" w:lineRule="auto"/>
      <w:jc w:val="both"/>
    </w:pPr>
    <w:rPr>
      <w:rFonts w:ascii="黑体" w:hAnsi="黑体"/>
      <w:sz w:val="36"/>
    </w:rPr>
  </w:style>
  <w:style w:type="paragraph" w:customStyle="1" w:styleId="108">
    <w:name w:val="可研标题3级"/>
    <w:basedOn w:val="5"/>
    <w:next w:val="104"/>
    <w:qFormat/>
    <w:uiPriority w:val="0"/>
    <w:pPr>
      <w:numPr>
        <w:ilvl w:val="0"/>
        <w:numId w:val="0"/>
      </w:numPr>
      <w:spacing w:before="260" w:after="260" w:line="416" w:lineRule="auto"/>
      <w:jc w:val="both"/>
    </w:pPr>
    <w:rPr>
      <w:rFonts w:ascii="华文仿宋" w:hAnsi="华文仿宋" w:eastAsia="华文仿宋"/>
      <w:color w:val="70AD47"/>
      <w:sz w:val="32"/>
      <w:szCs w:val="32"/>
    </w:rPr>
  </w:style>
  <w:style w:type="paragraph" w:customStyle="1" w:styleId="109">
    <w:name w:val="可研标题4级"/>
    <w:basedOn w:val="6"/>
    <w:next w:val="104"/>
    <w:qFormat/>
    <w:uiPriority w:val="0"/>
    <w:pPr>
      <w:numPr>
        <w:ilvl w:val="0"/>
        <w:numId w:val="0"/>
      </w:numPr>
      <w:spacing w:before="240" w:after="240"/>
      <w:jc w:val="both"/>
    </w:pPr>
    <w:rPr>
      <w:rFonts w:ascii="华文仿宋" w:hAnsi="华文仿宋" w:eastAsia="华文仿宋"/>
      <w:b w:val="0"/>
      <w:sz w:val="30"/>
      <w:szCs w:val="30"/>
    </w:rPr>
  </w:style>
  <w:style w:type="paragraph" w:customStyle="1" w:styleId="110">
    <w:name w:val="可研标题5级"/>
    <w:basedOn w:val="7"/>
    <w:next w:val="104"/>
    <w:qFormat/>
    <w:uiPriority w:val="0"/>
    <w:pPr>
      <w:numPr>
        <w:ilvl w:val="0"/>
        <w:numId w:val="0"/>
      </w:numPr>
      <w:snapToGrid/>
      <w:spacing w:beforeLines="50"/>
      <w:jc w:val="both"/>
    </w:pPr>
    <w:rPr>
      <w:rFonts w:ascii="华文仿宋" w:hAnsi="华文仿宋" w:eastAsia="华文仿宋"/>
      <w:sz w:val="28"/>
      <w:szCs w:val="28"/>
    </w:rPr>
  </w:style>
  <w:style w:type="paragraph" w:customStyle="1" w:styleId="111">
    <w:name w:val="无间隔1"/>
    <w:qFormat/>
    <w:uiPriority w:val="1"/>
    <w:pPr>
      <w:widowControl w:val="0"/>
      <w:spacing w:beforeLines="50" w:afterLines="50"/>
      <w:jc w:val="both"/>
    </w:pPr>
    <w:rPr>
      <w:rFonts w:ascii="Times New Roman" w:hAnsi="Times New Roman" w:eastAsia="宋体" w:cs="Times New Roman"/>
      <w:kern w:val="2"/>
      <w:sz w:val="24"/>
      <w:szCs w:val="24"/>
      <w:lang w:val="en-US" w:eastAsia="zh-CN" w:bidi="ar-SA"/>
    </w:rPr>
  </w:style>
  <w:style w:type="paragraph" w:customStyle="1" w:styleId="112">
    <w:name w:val="样式8"/>
    <w:basedOn w:val="1"/>
    <w:qFormat/>
    <w:uiPriority w:val="0"/>
    <w:pPr>
      <w:keepNext/>
      <w:keepLines/>
      <w:spacing w:beforeLines="50" w:afterLines="50" w:line="413" w:lineRule="auto"/>
      <w:ind w:left="992" w:firstLine="0" w:firstLineChars="0"/>
      <w:outlineLvl w:val="4"/>
    </w:pPr>
    <w:rPr>
      <w:rFonts w:ascii="Times New Roman"/>
      <w:b/>
      <w:bCs/>
      <w:sz w:val="28"/>
      <w:szCs w:val="32"/>
    </w:rPr>
  </w:style>
  <w:style w:type="paragraph" w:customStyle="1" w:styleId="113">
    <w:name w:val="floating_1"/>
    <w:basedOn w:val="1"/>
    <w:qFormat/>
    <w:uiPriority w:val="0"/>
    <w:pPr>
      <w:keepNext/>
      <w:keepLines/>
      <w:spacing w:beforeLines="50" w:afterLines="50" w:line="576" w:lineRule="auto"/>
      <w:ind w:left="425" w:firstLine="0" w:firstLineChars="0"/>
      <w:outlineLvl w:val="0"/>
    </w:pPr>
    <w:rPr>
      <w:rFonts w:ascii="Times New Roman"/>
      <w:b/>
      <w:bCs/>
      <w:kern w:val="44"/>
      <w:sz w:val="44"/>
      <w:szCs w:val="44"/>
    </w:rPr>
  </w:style>
  <w:style w:type="paragraph" w:customStyle="1" w:styleId="114">
    <w:name w:val="floating_4"/>
    <w:basedOn w:val="1"/>
    <w:qFormat/>
    <w:uiPriority w:val="0"/>
    <w:pPr>
      <w:keepNext/>
      <w:keepLines/>
      <w:tabs>
        <w:tab w:val="left" w:pos="851"/>
      </w:tabs>
      <w:spacing w:beforeLines="50" w:afterLines="50" w:line="413" w:lineRule="auto"/>
      <w:ind w:left="2553" w:firstLine="0" w:firstLineChars="0"/>
      <w:outlineLvl w:val="2"/>
    </w:pPr>
    <w:rPr>
      <w:rFonts w:ascii="Times New Roman"/>
      <w:b/>
      <w:bCs/>
      <w:kern w:val="0"/>
      <w:sz w:val="30"/>
      <w:szCs w:val="28"/>
    </w:rPr>
  </w:style>
  <w:style w:type="paragraph" w:customStyle="1" w:styleId="115">
    <w:name w:val="floating_2_1"/>
    <w:basedOn w:val="1"/>
    <w:qFormat/>
    <w:uiPriority w:val="0"/>
    <w:pPr>
      <w:keepNext/>
      <w:keepLines/>
      <w:spacing w:beforeLines="50" w:afterLines="50" w:line="413" w:lineRule="auto"/>
      <w:ind w:left="567" w:firstLine="0" w:firstLineChars="0"/>
      <w:outlineLvl w:val="1"/>
    </w:pPr>
    <w:rPr>
      <w:b/>
      <w:bCs/>
      <w:sz w:val="36"/>
      <w:szCs w:val="36"/>
    </w:rPr>
  </w:style>
  <w:style w:type="paragraph" w:customStyle="1" w:styleId="116">
    <w:name w:val="floating_6"/>
    <w:basedOn w:val="1"/>
    <w:qFormat/>
    <w:uiPriority w:val="0"/>
    <w:pPr>
      <w:keepNext/>
      <w:keepLines/>
      <w:spacing w:beforeLines="50" w:afterLines="50" w:line="413" w:lineRule="auto"/>
      <w:ind w:left="1134" w:firstLine="0" w:firstLineChars="0"/>
      <w:outlineLvl w:val="4"/>
    </w:pPr>
    <w:rPr>
      <w:rFonts w:ascii="Times New Roman"/>
      <w:b/>
      <w:bCs/>
      <w:sz w:val="28"/>
    </w:rPr>
  </w:style>
  <w:style w:type="paragraph" w:customStyle="1" w:styleId="117">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8">
    <w:name w:val="font5"/>
    <w:basedOn w:val="1"/>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119">
    <w:name w:val="xl65"/>
    <w:basedOn w:val="1"/>
    <w:qFormat/>
    <w:uiPriority w:val="0"/>
    <w:pPr>
      <w:widowControl/>
      <w:spacing w:before="100" w:beforeAutospacing="1" w:after="100" w:afterAutospacing="1" w:line="240" w:lineRule="auto"/>
      <w:ind w:firstLine="0" w:firstLineChars="0"/>
      <w:jc w:val="left"/>
    </w:pPr>
    <w:rPr>
      <w:rFonts w:cs="宋体"/>
      <w:kern w:val="0"/>
      <w:sz w:val="20"/>
    </w:rPr>
  </w:style>
  <w:style w:type="paragraph" w:customStyle="1" w:styleId="120">
    <w:name w:val="xl66"/>
    <w:basedOn w:val="1"/>
    <w:qFormat/>
    <w:uiPriority w:val="0"/>
    <w:pPr>
      <w:widowControl/>
      <w:spacing w:before="100" w:beforeAutospacing="1" w:after="100" w:afterAutospacing="1" w:line="240" w:lineRule="auto"/>
      <w:ind w:firstLine="0" w:firstLineChars="0"/>
      <w:jc w:val="left"/>
    </w:pPr>
    <w:rPr>
      <w:rFonts w:cs="宋体"/>
      <w:kern w:val="0"/>
      <w:sz w:val="20"/>
    </w:rPr>
  </w:style>
  <w:style w:type="paragraph" w:customStyle="1" w:styleId="12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kern w:val="0"/>
      <w:sz w:val="20"/>
    </w:rPr>
  </w:style>
  <w:style w:type="paragraph" w:customStyle="1" w:styleId="12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cs="宋体"/>
      <w:kern w:val="0"/>
      <w:sz w:val="20"/>
    </w:rPr>
  </w:style>
  <w:style w:type="paragraph" w:customStyle="1" w:styleId="12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sz w:val="20"/>
    </w:rPr>
  </w:style>
  <w:style w:type="paragraph" w:customStyle="1" w:styleId="124">
    <w:name w:val="xl70"/>
    <w:basedOn w:val="1"/>
    <w:qFormat/>
    <w:uiPriority w:val="0"/>
    <w:pPr>
      <w:widowControl/>
      <w:spacing w:before="100" w:beforeAutospacing="1" w:after="100" w:afterAutospacing="1" w:line="240" w:lineRule="auto"/>
      <w:ind w:firstLine="0" w:firstLineChars="0"/>
      <w:jc w:val="center"/>
      <w:textAlignment w:val="center"/>
    </w:pPr>
    <w:rPr>
      <w:rFonts w:cs="宋体"/>
      <w:kern w:val="0"/>
      <w:sz w:val="20"/>
    </w:rPr>
  </w:style>
  <w:style w:type="paragraph" w:customStyle="1" w:styleId="125">
    <w:name w:val="xl71"/>
    <w:basedOn w:val="1"/>
    <w:qFormat/>
    <w:uiPriority w:val="0"/>
    <w:pPr>
      <w:widowControl/>
      <w:spacing w:before="100" w:beforeAutospacing="1" w:after="100" w:afterAutospacing="1" w:line="240" w:lineRule="auto"/>
      <w:ind w:firstLine="0" w:firstLineChars="0"/>
      <w:jc w:val="center"/>
      <w:textAlignment w:val="center"/>
    </w:pPr>
    <w:rPr>
      <w:rFonts w:cs="宋体"/>
      <w:kern w:val="0"/>
      <w:sz w:val="20"/>
    </w:rPr>
  </w:style>
  <w:style w:type="paragraph" w:customStyle="1" w:styleId="126">
    <w:name w:val="xl72"/>
    <w:basedOn w:val="1"/>
    <w:qFormat/>
    <w:uiPriority w:val="0"/>
    <w:pPr>
      <w:widowControl/>
      <w:spacing w:before="100" w:beforeAutospacing="1" w:after="100" w:afterAutospacing="1" w:line="240" w:lineRule="auto"/>
      <w:ind w:firstLine="0" w:firstLineChars="0"/>
      <w:jc w:val="left"/>
      <w:textAlignment w:val="center"/>
    </w:pPr>
    <w:rPr>
      <w:rFonts w:cs="宋体"/>
      <w:kern w:val="0"/>
      <w:sz w:val="20"/>
    </w:rPr>
  </w:style>
  <w:style w:type="paragraph" w:customStyle="1" w:styleId="127">
    <w:name w:val="xl73"/>
    <w:basedOn w:val="1"/>
    <w:qFormat/>
    <w:uiPriority w:val="0"/>
    <w:pPr>
      <w:widowControl/>
      <w:spacing w:before="100" w:beforeAutospacing="1" w:after="100" w:afterAutospacing="1" w:line="240" w:lineRule="auto"/>
      <w:ind w:firstLine="0" w:firstLineChars="0"/>
      <w:jc w:val="center"/>
    </w:pPr>
    <w:rPr>
      <w:rFonts w:cs="宋体"/>
      <w:kern w:val="0"/>
      <w:sz w:val="20"/>
    </w:rPr>
  </w:style>
  <w:style w:type="paragraph" w:customStyle="1" w:styleId="128">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FFCC99"/>
      <w:spacing w:before="100" w:beforeAutospacing="1" w:after="100" w:afterAutospacing="1" w:line="240" w:lineRule="auto"/>
      <w:ind w:firstLine="0" w:firstLineChars="0"/>
      <w:jc w:val="center"/>
      <w:textAlignment w:val="center"/>
    </w:pPr>
    <w:rPr>
      <w:rFonts w:cs="宋体"/>
      <w:b/>
      <w:bCs/>
      <w:kern w:val="0"/>
      <w:sz w:val="20"/>
    </w:rPr>
  </w:style>
  <w:style w:type="paragraph" w:customStyle="1" w:styleId="12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cs="宋体"/>
      <w:kern w:val="0"/>
      <w:sz w:val="20"/>
    </w:rPr>
  </w:style>
  <w:style w:type="paragraph" w:customStyle="1" w:styleId="13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sz w:val="20"/>
    </w:rPr>
  </w:style>
  <w:style w:type="paragraph" w:customStyle="1" w:styleId="13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cs="宋体"/>
      <w:kern w:val="0"/>
      <w:sz w:val="20"/>
    </w:rPr>
  </w:style>
  <w:style w:type="paragraph" w:customStyle="1" w:styleId="132">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sz w:val="20"/>
    </w:rPr>
  </w:style>
  <w:style w:type="paragraph" w:customStyle="1" w:styleId="133">
    <w:name w:val="xl79"/>
    <w:basedOn w:val="1"/>
    <w:qFormat/>
    <w:uiPriority w:val="0"/>
    <w:pPr>
      <w:widowControl/>
      <w:pBdr>
        <w:left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sz w:val="20"/>
    </w:rPr>
  </w:style>
  <w:style w:type="paragraph" w:customStyle="1" w:styleId="134">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sz w:val="20"/>
    </w:rPr>
  </w:style>
  <w:style w:type="character" w:customStyle="1" w:styleId="135">
    <w:name w:val="未处理的提及1"/>
    <w:basedOn w:val="36"/>
    <w:unhideWhenUsed/>
    <w:qFormat/>
    <w:uiPriority w:val="99"/>
    <w:rPr>
      <w:color w:val="605E5C"/>
      <w:shd w:val="clear" w:color="auto" w:fill="E1DFDD"/>
    </w:rPr>
  </w:style>
  <w:style w:type="character" w:customStyle="1" w:styleId="136">
    <w:name w:val="表格文字 Char"/>
    <w:link w:val="86"/>
    <w:qFormat/>
    <w:uiPriority w:val="0"/>
    <w:rPr>
      <w:rFonts w:ascii="Times New Roman" w:hAnsi="Times New Roman" w:eastAsia="宋体" w:cs="Times New Roman"/>
      <w:kern w:val="21"/>
      <w:sz w:val="21"/>
      <w:szCs w:val="21"/>
    </w:rPr>
  </w:style>
  <w:style w:type="character" w:customStyle="1" w:styleId="137">
    <w:name w:val="表格标题 Char"/>
    <w:link w:val="87"/>
    <w:qFormat/>
    <w:locked/>
    <w:uiPriority w:val="0"/>
    <w:rPr>
      <w:rFonts w:ascii="Times New Roman" w:hAnsi="Times New Roman" w:eastAsia="宋体" w:cs="Times New Roman"/>
      <w:b/>
      <w:kern w:val="21"/>
      <w:sz w:val="21"/>
      <w:szCs w:val="21"/>
    </w:rPr>
  </w:style>
  <w:style w:type="character" w:customStyle="1" w:styleId="138">
    <w:name w:val="正文缩进 Char"/>
    <w:qFormat/>
    <w:uiPriority w:val="0"/>
    <w:rPr>
      <w:rFonts w:ascii="Times New Roman" w:hAnsi="Times New Roman" w:eastAsia="仿宋_GB2312"/>
      <w:kern w:val="2"/>
      <w:sz w:val="28"/>
      <w:szCs w:val="24"/>
    </w:rPr>
  </w:style>
  <w:style w:type="paragraph" w:customStyle="1" w:styleId="139">
    <w:name w:val="列表段落2"/>
    <w:basedOn w:val="1"/>
    <w:qFormat/>
    <w:uiPriority w:val="34"/>
    <w:pPr>
      <w:spacing w:line="240" w:lineRule="auto"/>
      <w:ind w:firstLine="420"/>
    </w:pPr>
    <w:rPr>
      <w:rFonts w:asciiTheme="minorHAnsi" w:hAnsiTheme="minorHAnsi" w:eastAsiaTheme="minorEastAsia" w:cstheme="minorBidi"/>
      <w:sz w:val="21"/>
      <w:szCs w:val="22"/>
    </w:rPr>
  </w:style>
  <w:style w:type="character" w:customStyle="1" w:styleId="140">
    <w:name w:val="*正文 Char"/>
    <w:link w:val="141"/>
    <w:qFormat/>
    <w:uiPriority w:val="0"/>
    <w:rPr>
      <w:rFonts w:ascii="宋体" w:hAnsi="宋体"/>
      <w:sz w:val="24"/>
      <w:szCs w:val="24"/>
    </w:rPr>
  </w:style>
  <w:style w:type="paragraph" w:customStyle="1" w:styleId="141">
    <w:name w:val="*正文"/>
    <w:basedOn w:val="1"/>
    <w:link w:val="140"/>
    <w:qFormat/>
    <w:uiPriority w:val="0"/>
    <w:pPr>
      <w:ind w:firstLine="200"/>
    </w:pPr>
    <w:rPr>
      <w:rFonts w:eastAsia="等线" w:cs="等线"/>
      <w:kern w:val="0"/>
    </w:rPr>
  </w:style>
  <w:style w:type="paragraph" w:customStyle="1" w:styleId="142">
    <w:name w:val="p0"/>
    <w:basedOn w:val="1"/>
    <w:qFormat/>
    <w:uiPriority w:val="0"/>
    <w:pPr>
      <w:widowControl/>
      <w:spacing w:line="360" w:lineRule="atLeast"/>
      <w:ind w:firstLine="0" w:firstLineChars="0"/>
      <w:jc w:val="left"/>
    </w:pPr>
    <w:rPr>
      <w:rFonts w:ascii="Times New Roman" w:hAnsi="Times New Roman"/>
      <w:kern w:val="0"/>
    </w:rPr>
  </w:style>
  <w:style w:type="character" w:customStyle="1" w:styleId="143">
    <w:name w:val="正文YK Char"/>
    <w:link w:val="144"/>
    <w:qFormat/>
    <w:uiPriority w:val="0"/>
    <w:rPr>
      <w:rFonts w:ascii="Times New Roman" w:hAnsi="Times New Roman" w:eastAsia="仿宋" w:cs="Times New Roman"/>
      <w:sz w:val="32"/>
      <w:szCs w:val="18"/>
    </w:rPr>
  </w:style>
  <w:style w:type="paragraph" w:customStyle="1" w:styleId="144">
    <w:name w:val="正文YK"/>
    <w:basedOn w:val="1"/>
    <w:link w:val="143"/>
    <w:qFormat/>
    <w:uiPriority w:val="0"/>
    <w:pPr>
      <w:ind w:firstLine="200"/>
      <w:jc w:val="left"/>
    </w:pPr>
    <w:rPr>
      <w:rFonts w:ascii="Times New Roman" w:hAnsi="Times New Roman" w:eastAsia="仿宋"/>
      <w:kern w:val="0"/>
      <w:sz w:val="32"/>
      <w:szCs w:val="18"/>
    </w:rPr>
  </w:style>
  <w:style w:type="character" w:customStyle="1" w:styleId="145">
    <w:name w:val="标题 2 Char"/>
    <w:basedOn w:val="36"/>
    <w:semiHidden/>
    <w:qFormat/>
    <w:uiPriority w:val="9"/>
    <w:rPr>
      <w:rFonts w:asciiTheme="majorHAnsi" w:hAnsiTheme="majorHAnsi" w:eastAsiaTheme="majorEastAsia" w:cstheme="majorBidi"/>
      <w:b/>
      <w:bCs/>
      <w:kern w:val="0"/>
      <w:sz w:val="32"/>
      <w:szCs w:val="32"/>
    </w:rPr>
  </w:style>
  <w:style w:type="paragraph" w:customStyle="1" w:styleId="146">
    <w:name w:val="列出段落1"/>
    <w:basedOn w:val="1"/>
    <w:link w:val="158"/>
    <w:qFormat/>
    <w:uiPriority w:val="34"/>
    <w:pPr>
      <w:widowControl/>
      <w:snapToGrid w:val="0"/>
      <w:ind w:firstLine="420"/>
    </w:pPr>
    <w:rPr>
      <w:rFonts w:ascii="Times New Roman" w:hAnsi="Times New Roman" w:eastAsia="仿宋" w:cs="Courier New"/>
      <w:kern w:val="0"/>
      <w:sz w:val="32"/>
    </w:rPr>
  </w:style>
  <w:style w:type="paragraph" w:customStyle="1" w:styleId="147">
    <w:name w:val="正文（绿盟科技）"/>
    <w:link w:val="148"/>
    <w:qFormat/>
    <w:uiPriority w:val="0"/>
    <w:pPr>
      <w:spacing w:line="300" w:lineRule="auto"/>
    </w:pPr>
    <w:rPr>
      <w:rFonts w:ascii="Arial" w:hAnsi="Arial" w:eastAsia="宋体" w:cs="Times New Roman"/>
      <w:sz w:val="21"/>
      <w:szCs w:val="21"/>
      <w:lang w:val="en-US" w:eastAsia="zh-CN" w:bidi="ar-SA"/>
    </w:rPr>
  </w:style>
  <w:style w:type="character" w:customStyle="1" w:styleId="148">
    <w:name w:val="正文（绿盟科技） Char"/>
    <w:link w:val="147"/>
    <w:qFormat/>
    <w:uiPriority w:val="0"/>
    <w:rPr>
      <w:rFonts w:ascii="Arial" w:hAnsi="Arial" w:eastAsia="宋体" w:cs="Times New Roman"/>
      <w:sz w:val="21"/>
      <w:szCs w:val="21"/>
    </w:rPr>
  </w:style>
  <w:style w:type="paragraph" w:customStyle="1" w:styleId="149">
    <w:name w:val="正文（奇虎360）"/>
    <w:link w:val="150"/>
    <w:qFormat/>
    <w:uiPriority w:val="0"/>
    <w:pPr>
      <w:spacing w:line="300" w:lineRule="auto"/>
    </w:pPr>
    <w:rPr>
      <w:rFonts w:ascii="Arial" w:hAnsi="Arial" w:eastAsia="宋体" w:cs="Times New Roman"/>
      <w:sz w:val="21"/>
      <w:szCs w:val="21"/>
      <w:lang w:val="en-US" w:eastAsia="zh-CN" w:bidi="ar-SA"/>
    </w:rPr>
  </w:style>
  <w:style w:type="character" w:customStyle="1" w:styleId="150">
    <w:name w:val="正文（奇虎360） Char"/>
    <w:link w:val="149"/>
    <w:qFormat/>
    <w:uiPriority w:val="0"/>
    <w:rPr>
      <w:rFonts w:ascii="Arial" w:hAnsi="Arial" w:eastAsia="宋体" w:cs="Times New Roman"/>
      <w:sz w:val="21"/>
      <w:szCs w:val="21"/>
    </w:rPr>
  </w:style>
  <w:style w:type="paragraph" w:customStyle="1" w:styleId="151">
    <w:name w:val="TOC 标题1"/>
    <w:basedOn w:val="2"/>
    <w:next w:val="1"/>
    <w:unhideWhenUsed/>
    <w:qFormat/>
    <w:uiPriority w:val="39"/>
    <w:pPr>
      <w:widowControl/>
      <w:numPr>
        <w:numId w:val="0"/>
      </w:numPr>
      <w:tabs>
        <w:tab w:val="left" w:pos="993"/>
      </w:tabs>
      <w:spacing w:line="276" w:lineRule="auto"/>
      <w:outlineLvl w:val="9"/>
    </w:pPr>
    <w:rPr>
      <w:rFonts w:asciiTheme="majorHAnsi" w:hAnsiTheme="majorHAnsi" w:eastAsiaTheme="majorEastAsia" w:cstheme="majorBidi"/>
      <w:color w:val="376092" w:themeColor="accent1" w:themeShade="BF"/>
      <w:sz w:val="28"/>
      <w:szCs w:val="28"/>
    </w:rPr>
  </w:style>
  <w:style w:type="paragraph" w:customStyle="1" w:styleId="152">
    <w:name w:val="插图"/>
    <w:basedOn w:val="16"/>
    <w:next w:val="1"/>
    <w:qFormat/>
    <w:uiPriority w:val="0"/>
    <w:pPr>
      <w:adjustRightInd w:val="0"/>
      <w:spacing w:beforeLines="0" w:afterLines="0" w:line="400" w:lineRule="atLeast"/>
      <w:ind w:firstLine="200" w:firstLineChars="200"/>
      <w:jc w:val="center"/>
      <w:textAlignment w:val="baseline"/>
    </w:pPr>
    <w:rPr>
      <w:rFonts w:eastAsia="仿宋"/>
      <w:kern w:val="0"/>
      <w:sz w:val="24"/>
      <w:szCs w:val="21"/>
    </w:rPr>
  </w:style>
  <w:style w:type="character" w:customStyle="1" w:styleId="153">
    <w:name w:val="fontstyle01"/>
    <w:basedOn w:val="36"/>
    <w:qFormat/>
    <w:uiPriority w:val="0"/>
    <w:rPr>
      <w:rFonts w:hint="eastAsia" w:ascii="宋体" w:hAnsi="宋体" w:eastAsia="宋体"/>
      <w:color w:val="000000"/>
      <w:sz w:val="22"/>
      <w:szCs w:val="22"/>
    </w:rPr>
  </w:style>
  <w:style w:type="character" w:customStyle="1" w:styleId="154">
    <w:name w:val="fontstyle21"/>
    <w:basedOn w:val="36"/>
    <w:qFormat/>
    <w:uiPriority w:val="0"/>
    <w:rPr>
      <w:rFonts w:hint="default" w:ascii="Times New Roman" w:hAnsi="Times New Roman" w:cs="Times New Roman"/>
      <w:color w:val="000000"/>
      <w:sz w:val="22"/>
      <w:szCs w:val="22"/>
    </w:rPr>
  </w:style>
  <w:style w:type="character" w:customStyle="1" w:styleId="155">
    <w:name w:val="fontstyle31"/>
    <w:basedOn w:val="36"/>
    <w:qFormat/>
    <w:uiPriority w:val="0"/>
    <w:rPr>
      <w:rFonts w:hint="default" w:ascii="Times New Roman" w:hAnsi="Times New Roman" w:cs="Times New Roman"/>
      <w:b/>
      <w:bCs/>
      <w:color w:val="FFFFFF"/>
      <w:sz w:val="22"/>
      <w:szCs w:val="22"/>
    </w:rPr>
  </w:style>
  <w:style w:type="character" w:customStyle="1" w:styleId="156">
    <w:name w:val="fontstyle41"/>
    <w:basedOn w:val="36"/>
    <w:qFormat/>
    <w:uiPriority w:val="0"/>
    <w:rPr>
      <w:rFonts w:hint="eastAsia" w:ascii="黑体" w:hAnsi="黑体" w:eastAsia="黑体"/>
      <w:color w:val="1A3F6D"/>
      <w:sz w:val="28"/>
      <w:szCs w:val="28"/>
    </w:rPr>
  </w:style>
  <w:style w:type="table" w:customStyle="1" w:styleId="157">
    <w:name w:val="网格表 5 深色 - 着色 51"/>
    <w:basedOn w:val="43"/>
    <w:qFormat/>
    <w:uiPriority w:val="50"/>
    <w:rPr>
      <w:rFonts w:asciiTheme="minorHAnsi" w:hAnsiTheme="minorHAnsi" w:eastAsiaTheme="minorEastAsia" w:cstheme="minorBidi"/>
    </w:rPr>
    <w:tblPr>
      <w:tblBorders>
        <w:top w:val="single" w:color="F8FAFD" w:themeColor="background1" w:sz="4" w:space="0"/>
        <w:left w:val="single" w:color="F8FAFD" w:themeColor="background1" w:sz="4" w:space="0"/>
        <w:bottom w:val="single" w:color="F8FAFD" w:themeColor="background1" w:sz="4" w:space="0"/>
        <w:right w:val="single" w:color="F8FAFD" w:themeColor="background1" w:sz="4" w:space="0"/>
        <w:insideH w:val="single" w:color="F8FAFD" w:themeColor="background1" w:sz="4" w:space="0"/>
        <w:insideV w:val="single" w:color="F8FAFD" w:themeColor="background1" w:sz="4" w:space="0"/>
      </w:tblBorders>
      <w:tblLayout w:type="fixed"/>
    </w:tblPr>
    <w:tcPr>
      <w:shd w:val="clear" w:color="auto" w:fill="DAEEF3" w:themeFill="accent5" w:themeFillTint="33"/>
    </w:tcPr>
    <w:tblStylePr w:type="firstRow">
      <w:rPr>
        <w:b/>
        <w:bCs/>
        <w:color w:val="F8FAFD" w:themeColor="background1"/>
        <w14:textFill>
          <w14:solidFill>
            <w14:schemeClr w14:val="bg1"/>
          </w14:solidFill>
        </w14:textFill>
      </w:rPr>
      <w:tcPr>
        <w:tcBorders>
          <w:top w:val="single" w:color="F8FAFD" w:themeColor="background1" w:sz="4" w:space="0"/>
          <w:left w:val="single" w:color="F8FAFD" w:themeColor="background1" w:sz="4" w:space="0"/>
          <w:right w:val="single" w:color="F8FAFD" w:themeColor="background1" w:sz="4" w:space="0"/>
          <w:insideH w:val="nil"/>
          <w:insideV w:val="nil"/>
        </w:tcBorders>
        <w:shd w:val="clear" w:color="auto" w:fill="4BACC6" w:themeFill="accent5"/>
      </w:tcPr>
    </w:tblStylePr>
    <w:tblStylePr w:type="lastRow">
      <w:rPr>
        <w:b/>
        <w:bCs/>
        <w:color w:val="F8FAFD" w:themeColor="background1"/>
        <w14:textFill>
          <w14:solidFill>
            <w14:schemeClr w14:val="bg1"/>
          </w14:solidFill>
        </w14:textFill>
      </w:rPr>
      <w:tcPr>
        <w:tcBorders>
          <w:left w:val="single" w:color="F8FAFD" w:themeColor="background1" w:sz="4" w:space="0"/>
          <w:bottom w:val="single" w:color="F8FAFD" w:themeColor="background1" w:sz="4" w:space="0"/>
          <w:right w:val="single" w:color="F8FAFD" w:themeColor="background1" w:sz="4" w:space="0"/>
          <w:insideH w:val="nil"/>
          <w:insideV w:val="nil"/>
        </w:tcBorders>
        <w:shd w:val="clear" w:color="auto" w:fill="4BACC6" w:themeFill="accent5"/>
      </w:tcPr>
    </w:tblStylePr>
    <w:tblStylePr w:type="firstCol">
      <w:rPr>
        <w:b/>
        <w:bCs/>
        <w:color w:val="F8FAFD" w:themeColor="background1"/>
        <w14:textFill>
          <w14:solidFill>
            <w14:schemeClr w14:val="bg1"/>
          </w14:solidFill>
        </w14:textFill>
      </w:rPr>
      <w:tcPr>
        <w:tcBorders>
          <w:top w:val="single" w:color="F8FAFD" w:themeColor="background1" w:sz="4" w:space="0"/>
          <w:left w:val="single" w:color="F8FAFD" w:themeColor="background1" w:sz="4" w:space="0"/>
          <w:bottom w:val="single" w:color="F8FAFD" w:themeColor="background1" w:sz="4" w:space="0"/>
          <w:insideV w:val="nil"/>
        </w:tcBorders>
        <w:shd w:val="clear" w:color="auto" w:fill="4BACC6" w:themeFill="accent5"/>
      </w:tcPr>
    </w:tblStylePr>
    <w:tblStylePr w:type="lastCol">
      <w:rPr>
        <w:b/>
        <w:bCs/>
        <w:color w:val="F8FAFD" w:themeColor="background1"/>
        <w14:textFill>
          <w14:solidFill>
            <w14:schemeClr w14:val="bg1"/>
          </w14:solidFill>
        </w14:textFill>
      </w:rPr>
      <w:tcPr>
        <w:tcBorders>
          <w:top w:val="single" w:color="F8FAFD" w:themeColor="background1" w:sz="4" w:space="0"/>
          <w:bottom w:val="single" w:color="F8FAFD" w:themeColor="background1" w:sz="4" w:space="0"/>
          <w:right w:val="single" w:color="F8FAFD" w:themeColor="background1" w:sz="4" w:space="0"/>
          <w:insideV w:val="nil"/>
        </w:tcBorders>
        <w:shd w:val="clear" w:color="auto" w:fill="4BACC6" w:themeFill="accent5"/>
      </w:tcPr>
    </w:tblStylePr>
    <w:tblStylePr w:type="band1Vert">
      <w:tcPr>
        <w:shd w:val="clear" w:color="auto" w:fill="B6DDE8" w:themeFill="accent5" w:themeFillTint="66"/>
      </w:tcPr>
    </w:tblStylePr>
    <w:tblStylePr w:type="band1Horz">
      <w:tcPr>
        <w:shd w:val="clear" w:color="auto" w:fill="B6DDE8" w:themeFill="accent5" w:themeFillTint="66"/>
      </w:tcPr>
    </w:tblStylePr>
  </w:style>
  <w:style w:type="character" w:customStyle="1" w:styleId="158">
    <w:name w:val="列出段落 Char"/>
    <w:link w:val="146"/>
    <w:qFormat/>
    <w:uiPriority w:val="34"/>
    <w:rPr>
      <w:rFonts w:ascii="Times New Roman" w:hAnsi="Times New Roman" w:eastAsia="仿宋" w:cs="Courier New"/>
      <w:sz w:val="32"/>
    </w:rPr>
  </w:style>
  <w:style w:type="paragraph" w:customStyle="1" w:styleId="159">
    <w:name w:val="正文首行缩进（360）"/>
    <w:basedOn w:val="1"/>
    <w:link w:val="160"/>
    <w:qFormat/>
    <w:uiPriority w:val="0"/>
    <w:pPr>
      <w:widowControl/>
      <w:spacing w:after="50"/>
      <w:ind w:firstLine="200"/>
      <w:jc w:val="left"/>
    </w:pPr>
    <w:rPr>
      <w:rFonts w:ascii="Times New Roman" w:hAnsi="Times New Roman" w:eastAsia="仿宋"/>
      <w:kern w:val="0"/>
      <w:sz w:val="32"/>
      <w:szCs w:val="21"/>
    </w:rPr>
  </w:style>
  <w:style w:type="character" w:customStyle="1" w:styleId="160">
    <w:name w:val="正文首行缩进（360） Char"/>
    <w:basedOn w:val="36"/>
    <w:link w:val="159"/>
    <w:qFormat/>
    <w:uiPriority w:val="0"/>
    <w:rPr>
      <w:rFonts w:ascii="Times New Roman" w:hAnsi="Times New Roman" w:eastAsia="仿宋" w:cs="Times New Roman"/>
      <w:sz w:val="32"/>
      <w:szCs w:val="21"/>
    </w:rPr>
  </w:style>
  <w:style w:type="paragraph" w:customStyle="1" w:styleId="161">
    <w:name w:val="HT_正文缩进"/>
    <w:basedOn w:val="1"/>
    <w:qFormat/>
    <w:uiPriority w:val="0"/>
    <w:pPr>
      <w:spacing w:beforeLines="50"/>
      <w:ind w:firstLine="420"/>
    </w:pPr>
    <w:rPr>
      <w:rFonts w:ascii="Times New Roman" w:hAnsi="Times New Roman" w:eastAsia="仿宋"/>
      <w:sz w:val="32"/>
    </w:rPr>
  </w:style>
  <w:style w:type="table" w:customStyle="1" w:styleId="162">
    <w:name w:val="无格式表格 11"/>
    <w:basedOn w:val="43"/>
    <w:qFormat/>
    <w:uiPriority w:val="41"/>
    <w:rPr>
      <w:rFonts w:asciiTheme="minorHAnsi" w:hAnsiTheme="minorHAnsi" w:eastAsiaTheme="minorEastAsia" w:cstheme="minorBidi"/>
    </w:rPr>
    <w:tblPr>
      <w:tblBorders>
        <w:top w:val="single" w:color="96B4E1" w:themeColor="background1" w:themeShade="BF" w:sz="4" w:space="0"/>
        <w:left w:val="single" w:color="96B4E1" w:themeColor="background1" w:themeShade="BF" w:sz="4" w:space="0"/>
        <w:bottom w:val="single" w:color="96B4E1" w:themeColor="background1" w:themeShade="BF" w:sz="4" w:space="0"/>
        <w:right w:val="single" w:color="96B4E1" w:themeColor="background1" w:themeShade="BF" w:sz="4" w:space="0"/>
        <w:insideH w:val="single" w:color="96B4E1" w:themeColor="background1" w:themeShade="BF" w:sz="4" w:space="0"/>
        <w:insideV w:val="single" w:color="96B4E1" w:themeColor="background1" w:themeShade="BF" w:sz="4" w:space="0"/>
      </w:tblBorders>
      <w:tblLayout w:type="fixed"/>
    </w:tblPr>
    <w:tblStylePr w:type="firstRow">
      <w:rPr>
        <w:b/>
        <w:bCs/>
      </w:rPr>
    </w:tblStylePr>
    <w:tblStylePr w:type="lastRow">
      <w:rPr>
        <w:b/>
        <w:bCs/>
      </w:rPr>
      <w:tcPr>
        <w:tcBorders>
          <w:top w:val="double" w:color="96B4E1" w:themeColor="background1" w:themeShade="BF" w:sz="4" w:space="0"/>
        </w:tcBorders>
      </w:tcPr>
    </w:tblStylePr>
    <w:tblStylePr w:type="firstCol">
      <w:rPr>
        <w:b/>
        <w:bCs/>
      </w:rPr>
    </w:tblStylePr>
    <w:tblStylePr w:type="lastCol">
      <w:rPr>
        <w:b/>
        <w:bCs/>
      </w:rPr>
    </w:tblStylePr>
    <w:tblStylePr w:type="band1Vert">
      <w:tcPr>
        <w:shd w:val="clear" w:color="auto" w:fill="E4EBF7" w:themeFill="background1" w:themeFillShade="F2"/>
      </w:tcPr>
    </w:tblStylePr>
    <w:tblStylePr w:type="band1Horz">
      <w:tcPr>
        <w:shd w:val="clear" w:color="auto" w:fill="E4EBF7" w:themeFill="background1" w:themeFillShade="F2"/>
      </w:tcPr>
    </w:tblStylePr>
  </w:style>
  <w:style w:type="table" w:customStyle="1" w:styleId="163">
    <w:name w:val="网格表 4 - 着色 11"/>
    <w:basedOn w:val="43"/>
    <w:qFormat/>
    <w:uiPriority w:val="49"/>
    <w:rPr>
      <w:rFonts w:asciiTheme="minorHAnsi" w:hAnsiTheme="minorHAnsi" w:eastAsiaTheme="minorEastAsia" w:cstheme="minorBidi"/>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Pr>
    <w:tblStylePr w:type="firstRow">
      <w:rPr>
        <w:b/>
        <w:bCs/>
        <w:color w:val="F8FAFD"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164">
    <w:name w:val="网格表 6 彩色 - 着色 11"/>
    <w:basedOn w:val="43"/>
    <w:qFormat/>
    <w:uiPriority w:val="51"/>
    <w:rPr>
      <w:rFonts w:asciiTheme="minorHAnsi" w:hAnsiTheme="minorHAnsi" w:eastAsiaTheme="minorEastAsia" w:cstheme="minorBidi"/>
      <w:color w:val="376092" w:themeColor="accent1" w:themeShade="BF"/>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Layout w:type="fixed"/>
    </w:tblPr>
    <w:tblStylePr w:type="firstRow">
      <w:rPr>
        <w:b/>
        <w:bCs/>
      </w:rPr>
      <w:tcPr>
        <w:tcBorders>
          <w:bottom w:val="single" w:color="95B3D7" w:themeColor="accent1" w:themeTint="99" w:sz="12" w:space="0"/>
        </w:tcBorders>
      </w:tcPr>
    </w:tblStylePr>
    <w:tblStylePr w:type="lastRow">
      <w:rPr>
        <w:b/>
        <w:bCs/>
      </w:rPr>
      <w:tcPr>
        <w:tcBorders>
          <w:top w:val="double" w:color="95B3D7" w:themeColor="accent1" w:themeTint="99"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paragraph" w:customStyle="1" w:styleId="165">
    <w:name w:val="段"/>
    <w:link w:val="166"/>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66">
    <w:name w:val="段 Char"/>
    <w:basedOn w:val="36"/>
    <w:link w:val="165"/>
    <w:qFormat/>
    <w:uiPriority w:val="99"/>
    <w:rPr>
      <w:rFonts w:ascii="宋体" w:hAnsi="Times New Roman" w:eastAsia="宋体" w:cs="Times New Roman"/>
      <w:sz w:val="21"/>
    </w:rPr>
  </w:style>
  <w:style w:type="paragraph" w:customStyle="1" w:styleId="167">
    <w:name w:val="彩色列表 - 强调文字颜色 11"/>
    <w:basedOn w:val="1"/>
    <w:link w:val="168"/>
    <w:qFormat/>
    <w:uiPriority w:val="34"/>
    <w:pPr>
      <w:ind w:firstLine="420"/>
    </w:pPr>
    <w:rPr>
      <w:rFonts w:ascii="Calibri" w:hAnsi="Calibri" w:eastAsia="仿宋"/>
      <w:szCs w:val="22"/>
    </w:rPr>
  </w:style>
  <w:style w:type="character" w:customStyle="1" w:styleId="168">
    <w:name w:val="彩色列表 - 强调文字颜色 1 Char"/>
    <w:link w:val="167"/>
    <w:qFormat/>
    <w:uiPriority w:val="34"/>
    <w:rPr>
      <w:rFonts w:ascii="Calibri" w:hAnsi="Calibri" w:eastAsia="仿宋" w:cs="Times New Roman"/>
      <w:kern w:val="2"/>
      <w:sz w:val="24"/>
      <w:szCs w:val="22"/>
    </w:rPr>
  </w:style>
  <w:style w:type="paragraph" w:customStyle="1" w:styleId="169">
    <w:name w:val="数字编号列项（二级）"/>
    <w:qFormat/>
    <w:uiPriority w:val="0"/>
    <w:pPr>
      <w:numPr>
        <w:ilvl w:val="1"/>
        <w:numId w:val="6"/>
      </w:numPr>
      <w:jc w:val="both"/>
    </w:pPr>
    <w:rPr>
      <w:rFonts w:ascii="宋体" w:hAnsi="Times New Roman" w:eastAsia="宋体" w:cs="Times New Roman"/>
      <w:sz w:val="21"/>
      <w:lang w:val="en-US" w:eastAsia="zh-CN" w:bidi="ar-SA"/>
    </w:rPr>
  </w:style>
  <w:style w:type="paragraph" w:customStyle="1" w:styleId="170">
    <w:name w:val="字母编号列项（一级）"/>
    <w:qFormat/>
    <w:uiPriority w:val="0"/>
    <w:pPr>
      <w:numPr>
        <w:ilvl w:val="0"/>
        <w:numId w:val="6"/>
      </w:numPr>
      <w:jc w:val="both"/>
    </w:pPr>
    <w:rPr>
      <w:rFonts w:ascii="宋体" w:hAnsi="Times New Roman" w:eastAsia="宋体" w:cs="Times New Roman"/>
      <w:sz w:val="21"/>
      <w:lang w:val="en-US" w:eastAsia="zh-CN" w:bidi="ar-SA"/>
    </w:rPr>
  </w:style>
  <w:style w:type="paragraph" w:customStyle="1" w:styleId="171">
    <w:name w:val="编号列项（三级）"/>
    <w:qFormat/>
    <w:uiPriority w:val="0"/>
    <w:pPr>
      <w:numPr>
        <w:ilvl w:val="2"/>
        <w:numId w:val="6"/>
      </w:numPr>
    </w:pPr>
    <w:rPr>
      <w:rFonts w:ascii="宋体" w:hAnsi="Times New Roman" w:eastAsia="宋体" w:cs="Times New Roman"/>
      <w:sz w:val="21"/>
      <w:lang w:val="en-US" w:eastAsia="zh-CN" w:bidi="ar-SA"/>
    </w:rPr>
  </w:style>
  <w:style w:type="paragraph" w:customStyle="1" w:styleId="172">
    <w:name w:val="列项——（一级）"/>
    <w:qFormat/>
    <w:uiPriority w:val="0"/>
    <w:pPr>
      <w:widowControl w:val="0"/>
      <w:numPr>
        <w:ilvl w:val="0"/>
        <w:numId w:val="7"/>
      </w:numPr>
      <w:jc w:val="both"/>
    </w:pPr>
    <w:rPr>
      <w:rFonts w:ascii="宋体" w:hAnsi="Times New Roman" w:eastAsia="宋体" w:cs="Times New Roman"/>
      <w:sz w:val="21"/>
      <w:lang w:val="en-US" w:eastAsia="zh-CN" w:bidi="ar-SA"/>
    </w:rPr>
  </w:style>
  <w:style w:type="paragraph" w:customStyle="1" w:styleId="173">
    <w:name w:val="列项●（二级）"/>
    <w:qFormat/>
    <w:uiPriority w:val="0"/>
    <w:pPr>
      <w:numPr>
        <w:ilvl w:val="1"/>
        <w:numId w:val="7"/>
      </w:numPr>
      <w:tabs>
        <w:tab w:val="left" w:pos="840"/>
      </w:tabs>
      <w:jc w:val="both"/>
    </w:pPr>
    <w:rPr>
      <w:rFonts w:ascii="宋体" w:hAnsi="Times New Roman" w:eastAsia="宋体" w:cs="Times New Roman"/>
      <w:sz w:val="21"/>
      <w:lang w:val="en-US" w:eastAsia="zh-CN" w:bidi="ar-SA"/>
    </w:rPr>
  </w:style>
  <w:style w:type="paragraph" w:customStyle="1" w:styleId="174">
    <w:name w:val="列项◆（三级）"/>
    <w:basedOn w:val="1"/>
    <w:qFormat/>
    <w:uiPriority w:val="0"/>
    <w:pPr>
      <w:numPr>
        <w:ilvl w:val="2"/>
        <w:numId w:val="7"/>
      </w:numPr>
      <w:spacing w:line="240" w:lineRule="auto"/>
      <w:ind w:firstLine="200"/>
    </w:pPr>
    <w:rPr>
      <w:rFonts w:hAnsi="Times New Roman" w:eastAsia="仿宋"/>
      <w:sz w:val="32"/>
      <w:szCs w:val="21"/>
    </w:rPr>
  </w:style>
  <w:style w:type="character" w:customStyle="1" w:styleId="175">
    <w:name w:val="占位符文本1"/>
    <w:basedOn w:val="36"/>
    <w:semiHidden/>
    <w:qFormat/>
    <w:uiPriority w:val="99"/>
    <w:rPr>
      <w:color w:val="808080"/>
    </w:rPr>
  </w:style>
  <w:style w:type="paragraph" w:customStyle="1" w:styleId="176">
    <w:name w:val="一级条标题"/>
    <w:next w:val="165"/>
    <w:qFormat/>
    <w:uiPriority w:val="99"/>
    <w:pPr>
      <w:numPr>
        <w:ilvl w:val="1"/>
        <w:numId w:val="8"/>
      </w:numPr>
      <w:spacing w:beforeLines="50" w:afterLines="50"/>
      <w:outlineLvl w:val="2"/>
    </w:pPr>
    <w:rPr>
      <w:rFonts w:ascii="黑体" w:hAnsi="Times New Roman" w:eastAsia="黑体" w:cs="Times New Roman"/>
      <w:sz w:val="21"/>
      <w:szCs w:val="21"/>
      <w:lang w:val="en-US" w:eastAsia="zh-CN" w:bidi="ar-SA"/>
    </w:rPr>
  </w:style>
  <w:style w:type="paragraph" w:customStyle="1" w:styleId="177">
    <w:name w:val="章标题"/>
    <w:next w:val="165"/>
    <w:qFormat/>
    <w:uiPriority w:val="99"/>
    <w:pPr>
      <w:numPr>
        <w:ilvl w:val="0"/>
        <w:numId w:val="8"/>
      </w:numPr>
      <w:spacing w:beforeLines="100" w:afterLines="100"/>
      <w:jc w:val="both"/>
      <w:outlineLvl w:val="1"/>
    </w:pPr>
    <w:rPr>
      <w:rFonts w:ascii="黑体" w:hAnsi="Times New Roman" w:eastAsia="黑体" w:cs="Times New Roman"/>
      <w:sz w:val="21"/>
      <w:lang w:val="en-US" w:eastAsia="zh-CN" w:bidi="ar-SA"/>
    </w:rPr>
  </w:style>
  <w:style w:type="paragraph" w:customStyle="1" w:styleId="178">
    <w:name w:val="二级条标题"/>
    <w:basedOn w:val="176"/>
    <w:next w:val="165"/>
    <w:link w:val="217"/>
    <w:qFormat/>
    <w:uiPriority w:val="99"/>
    <w:pPr>
      <w:numPr>
        <w:ilvl w:val="2"/>
      </w:numPr>
      <w:spacing w:before="50" w:after="50"/>
      <w:outlineLvl w:val="3"/>
    </w:pPr>
  </w:style>
  <w:style w:type="paragraph" w:customStyle="1" w:styleId="179">
    <w:name w:val="三级条标题"/>
    <w:basedOn w:val="178"/>
    <w:next w:val="165"/>
    <w:qFormat/>
    <w:uiPriority w:val="99"/>
    <w:pPr>
      <w:numPr>
        <w:ilvl w:val="3"/>
      </w:numPr>
      <w:tabs>
        <w:tab w:val="left" w:pos="360"/>
        <w:tab w:val="left" w:pos="1680"/>
      </w:tabs>
      <w:ind w:left="1680" w:hanging="420"/>
      <w:outlineLvl w:val="4"/>
    </w:pPr>
  </w:style>
  <w:style w:type="paragraph" w:customStyle="1" w:styleId="180">
    <w:name w:val="四级条标题"/>
    <w:basedOn w:val="179"/>
    <w:next w:val="165"/>
    <w:qFormat/>
    <w:uiPriority w:val="99"/>
    <w:pPr>
      <w:numPr>
        <w:ilvl w:val="4"/>
      </w:numPr>
      <w:tabs>
        <w:tab w:val="left" w:pos="2100"/>
      </w:tabs>
      <w:ind w:left="2100" w:hanging="420"/>
      <w:outlineLvl w:val="5"/>
    </w:pPr>
  </w:style>
  <w:style w:type="paragraph" w:customStyle="1" w:styleId="181">
    <w:name w:val="五级条标题"/>
    <w:basedOn w:val="180"/>
    <w:next w:val="165"/>
    <w:qFormat/>
    <w:uiPriority w:val="99"/>
    <w:pPr>
      <w:numPr>
        <w:ilvl w:val="5"/>
      </w:numPr>
      <w:tabs>
        <w:tab w:val="left" w:pos="2520"/>
      </w:tabs>
      <w:ind w:left="2520" w:hanging="420"/>
      <w:outlineLvl w:val="6"/>
    </w:pPr>
  </w:style>
  <w:style w:type="paragraph" w:customStyle="1" w:styleId="182">
    <w:name w:val="前言、引言标题"/>
    <w:next w:val="1"/>
    <w:qFormat/>
    <w:uiPriority w:val="99"/>
    <w:pPr>
      <w:shd w:val="clear" w:color="FFFFFF" w:fill="FFFFFF"/>
      <w:spacing w:before="640" w:after="560"/>
      <w:jc w:val="center"/>
      <w:outlineLvl w:val="0"/>
    </w:pPr>
    <w:rPr>
      <w:rFonts w:ascii="黑体" w:hAnsi="Times New Roman" w:eastAsia="黑体" w:cs="黑体"/>
      <w:sz w:val="32"/>
      <w:szCs w:val="32"/>
      <w:lang w:val="en-US" w:eastAsia="zh-CN" w:bidi="ar-SA"/>
    </w:rPr>
  </w:style>
  <w:style w:type="paragraph" w:customStyle="1" w:styleId="183">
    <w:name w:val="附录标识"/>
    <w:basedOn w:val="1"/>
    <w:next w:val="165"/>
    <w:qFormat/>
    <w:uiPriority w:val="0"/>
    <w:pPr>
      <w:keepNext/>
      <w:widowControl/>
      <w:numPr>
        <w:ilvl w:val="0"/>
        <w:numId w:val="9"/>
      </w:numPr>
      <w:shd w:val="clear" w:color="FFFFFF" w:fill="FFFFFF"/>
      <w:tabs>
        <w:tab w:val="left" w:pos="360"/>
        <w:tab w:val="left" w:pos="6405"/>
      </w:tabs>
      <w:spacing w:before="640" w:after="280" w:line="240" w:lineRule="auto"/>
      <w:ind w:firstLine="200"/>
      <w:jc w:val="center"/>
      <w:outlineLvl w:val="0"/>
    </w:pPr>
    <w:rPr>
      <w:rFonts w:ascii="黑体" w:hAnsi="Times New Roman" w:eastAsia="黑体"/>
      <w:kern w:val="0"/>
      <w:sz w:val="32"/>
    </w:rPr>
  </w:style>
  <w:style w:type="paragraph" w:customStyle="1" w:styleId="184">
    <w:name w:val="附录二级条标题"/>
    <w:basedOn w:val="1"/>
    <w:next w:val="165"/>
    <w:qFormat/>
    <w:uiPriority w:val="0"/>
    <w:pPr>
      <w:widowControl/>
      <w:numPr>
        <w:ilvl w:val="3"/>
        <w:numId w:val="9"/>
      </w:numPr>
      <w:tabs>
        <w:tab w:val="left" w:pos="360"/>
      </w:tabs>
      <w:wordWrap w:val="0"/>
      <w:overflowPunct w:val="0"/>
      <w:autoSpaceDE w:val="0"/>
      <w:autoSpaceDN w:val="0"/>
      <w:spacing w:beforeLines="50" w:afterLines="50" w:line="240" w:lineRule="auto"/>
      <w:ind w:firstLine="200"/>
      <w:textAlignment w:val="baseline"/>
      <w:outlineLvl w:val="3"/>
    </w:pPr>
    <w:rPr>
      <w:rFonts w:ascii="黑体" w:hAnsi="Times New Roman" w:eastAsia="黑体"/>
      <w:kern w:val="21"/>
      <w:sz w:val="32"/>
    </w:rPr>
  </w:style>
  <w:style w:type="paragraph" w:customStyle="1" w:styleId="185">
    <w:name w:val="附录三级条标题"/>
    <w:basedOn w:val="184"/>
    <w:next w:val="165"/>
    <w:qFormat/>
    <w:uiPriority w:val="0"/>
    <w:pPr>
      <w:numPr>
        <w:ilvl w:val="4"/>
      </w:numPr>
      <w:outlineLvl w:val="4"/>
    </w:pPr>
  </w:style>
  <w:style w:type="paragraph" w:customStyle="1" w:styleId="186">
    <w:name w:val="附录四级条标题"/>
    <w:basedOn w:val="185"/>
    <w:next w:val="165"/>
    <w:qFormat/>
    <w:uiPriority w:val="0"/>
    <w:pPr>
      <w:numPr>
        <w:ilvl w:val="5"/>
      </w:numPr>
      <w:outlineLvl w:val="5"/>
    </w:pPr>
  </w:style>
  <w:style w:type="paragraph" w:customStyle="1" w:styleId="187">
    <w:name w:val="附录五级条标题"/>
    <w:basedOn w:val="186"/>
    <w:next w:val="165"/>
    <w:qFormat/>
    <w:uiPriority w:val="0"/>
    <w:pPr>
      <w:numPr>
        <w:ilvl w:val="6"/>
      </w:numPr>
      <w:outlineLvl w:val="6"/>
    </w:pPr>
  </w:style>
  <w:style w:type="paragraph" w:customStyle="1" w:styleId="188">
    <w:name w:val="附录章标题"/>
    <w:next w:val="165"/>
    <w:qFormat/>
    <w:uiPriority w:val="0"/>
    <w:pPr>
      <w:numPr>
        <w:ilvl w:val="1"/>
        <w:numId w:val="9"/>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89">
    <w:name w:val="附录一级条标题"/>
    <w:basedOn w:val="188"/>
    <w:next w:val="165"/>
    <w:qFormat/>
    <w:uiPriority w:val="0"/>
    <w:pPr>
      <w:numPr>
        <w:ilvl w:val="2"/>
      </w:numPr>
      <w:autoSpaceDN w:val="0"/>
      <w:spacing w:beforeLines="50" w:afterLines="50"/>
      <w:outlineLvl w:val="2"/>
    </w:pPr>
  </w:style>
  <w:style w:type="paragraph" w:customStyle="1" w:styleId="190">
    <w:name w:val="QB标题2"/>
    <w:basedOn w:val="4"/>
    <w:qFormat/>
    <w:uiPriority w:val="0"/>
    <w:pPr>
      <w:numPr>
        <w:ilvl w:val="0"/>
        <w:numId w:val="0"/>
      </w:numPr>
      <w:tabs>
        <w:tab w:val="left" w:pos="567"/>
      </w:tabs>
      <w:spacing w:beforeLines="50" w:after="260"/>
      <w:ind w:left="567" w:hanging="567"/>
      <w:jc w:val="both"/>
    </w:pPr>
    <w:rPr>
      <w:rFonts w:ascii="Times New Roman" w:hAnsi="Times New Roman" w:eastAsia="仿宋"/>
      <w:b w:val="0"/>
      <w:sz w:val="21"/>
      <w:szCs w:val="21"/>
    </w:rPr>
  </w:style>
  <w:style w:type="paragraph" w:customStyle="1" w:styleId="191">
    <w:name w:val="QB标题3"/>
    <w:basedOn w:val="190"/>
    <w:qFormat/>
    <w:uiPriority w:val="0"/>
    <w:pPr>
      <w:tabs>
        <w:tab w:val="left" w:pos="709"/>
        <w:tab w:val="clear" w:pos="567"/>
      </w:tabs>
      <w:spacing w:line="415" w:lineRule="auto"/>
      <w:ind w:left="709" w:hanging="709"/>
      <w:outlineLvl w:val="2"/>
    </w:pPr>
  </w:style>
  <w:style w:type="paragraph" w:customStyle="1" w:styleId="192">
    <w:name w:val="QB标题4"/>
    <w:basedOn w:val="190"/>
    <w:qFormat/>
    <w:uiPriority w:val="0"/>
    <w:pPr>
      <w:tabs>
        <w:tab w:val="left" w:pos="851"/>
        <w:tab w:val="clear" w:pos="567"/>
      </w:tabs>
      <w:spacing w:line="415" w:lineRule="auto"/>
      <w:ind w:left="851" w:hanging="851"/>
      <w:outlineLvl w:val="3"/>
    </w:pPr>
  </w:style>
  <w:style w:type="paragraph" w:customStyle="1" w:styleId="193">
    <w:name w:val="QB标题5"/>
    <w:basedOn w:val="192"/>
    <w:qFormat/>
    <w:uiPriority w:val="0"/>
    <w:pPr>
      <w:tabs>
        <w:tab w:val="left" w:pos="992"/>
        <w:tab w:val="clear" w:pos="851"/>
      </w:tabs>
      <w:ind w:left="992" w:hanging="992"/>
    </w:pPr>
  </w:style>
  <w:style w:type="paragraph" w:customStyle="1" w:styleId="194">
    <w:name w:val="QB标题6"/>
    <w:basedOn w:val="193"/>
    <w:qFormat/>
    <w:uiPriority w:val="0"/>
    <w:pPr>
      <w:tabs>
        <w:tab w:val="left" w:pos="1134"/>
        <w:tab w:val="clear" w:pos="992"/>
      </w:tabs>
      <w:ind w:left="1134" w:hanging="1134"/>
    </w:pPr>
  </w:style>
  <w:style w:type="paragraph" w:customStyle="1" w:styleId="195">
    <w:name w:val="QB正文"/>
    <w:basedOn w:val="165"/>
    <w:link w:val="198"/>
    <w:qFormat/>
    <w:uiPriority w:val="0"/>
    <w:pPr>
      <w:tabs>
        <w:tab w:val="clear" w:pos="4201"/>
        <w:tab w:val="clear" w:pos="9298"/>
      </w:tabs>
      <w:ind w:firstLine="200"/>
    </w:pPr>
  </w:style>
  <w:style w:type="paragraph" w:customStyle="1" w:styleId="196">
    <w:name w:val="QB图"/>
    <w:basedOn w:val="195"/>
    <w:next w:val="195"/>
    <w:qFormat/>
    <w:uiPriority w:val="0"/>
    <w:pPr>
      <w:ind w:firstLine="0" w:firstLineChars="0"/>
      <w:jc w:val="center"/>
    </w:pPr>
  </w:style>
  <w:style w:type="paragraph" w:customStyle="1" w:styleId="197">
    <w:name w:val="QB表"/>
    <w:basedOn w:val="195"/>
    <w:next w:val="195"/>
    <w:qFormat/>
    <w:uiPriority w:val="0"/>
    <w:pPr>
      <w:ind w:left="567" w:firstLine="0" w:firstLineChars="0"/>
      <w:jc w:val="center"/>
    </w:pPr>
  </w:style>
  <w:style w:type="character" w:customStyle="1" w:styleId="198">
    <w:name w:val="QB正文 Char"/>
    <w:link w:val="195"/>
    <w:qFormat/>
    <w:locked/>
    <w:uiPriority w:val="0"/>
    <w:rPr>
      <w:rFonts w:ascii="宋体" w:hAnsi="Times New Roman" w:eastAsia="宋体" w:cs="Times New Roman"/>
      <w:sz w:val="21"/>
    </w:rPr>
  </w:style>
  <w:style w:type="character" w:customStyle="1" w:styleId="199">
    <w:name w:val="正文. Char"/>
    <w:link w:val="200"/>
    <w:qFormat/>
    <w:uiPriority w:val="0"/>
    <w:rPr>
      <w:rFonts w:ascii="Times New Roman" w:hAnsi="Times New Roman"/>
      <w:szCs w:val="21"/>
    </w:rPr>
  </w:style>
  <w:style w:type="paragraph" w:customStyle="1" w:styleId="200">
    <w:name w:val="正文."/>
    <w:link w:val="199"/>
    <w:qFormat/>
    <w:uiPriority w:val="0"/>
    <w:pPr>
      <w:ind w:firstLine="200" w:firstLineChars="200"/>
    </w:pPr>
    <w:rPr>
      <w:rFonts w:ascii="Times New Roman" w:hAnsi="Times New Roman" w:eastAsia="等线" w:cs="等线"/>
      <w:szCs w:val="21"/>
      <w:lang w:val="en-US" w:eastAsia="zh-CN" w:bidi="ar-SA"/>
    </w:rPr>
  </w:style>
  <w:style w:type="paragraph" w:customStyle="1" w:styleId="201">
    <w:name w:val="正文（奇虎）"/>
    <w:link w:val="202"/>
    <w:qFormat/>
    <w:uiPriority w:val="0"/>
    <w:pPr>
      <w:spacing w:line="300" w:lineRule="auto"/>
    </w:pPr>
    <w:rPr>
      <w:rFonts w:ascii="Arial" w:hAnsi="Arial" w:eastAsia="宋体" w:cs="Times New Roman"/>
      <w:sz w:val="21"/>
      <w:szCs w:val="21"/>
      <w:lang w:val="en-US" w:eastAsia="zh-CN" w:bidi="ar-SA"/>
    </w:rPr>
  </w:style>
  <w:style w:type="character" w:customStyle="1" w:styleId="202">
    <w:name w:val="正文（奇虎） Char"/>
    <w:link w:val="201"/>
    <w:qFormat/>
    <w:uiPriority w:val="0"/>
    <w:rPr>
      <w:rFonts w:ascii="Arial" w:hAnsi="Arial" w:eastAsia="宋体" w:cs="Times New Roman"/>
      <w:sz w:val="21"/>
      <w:szCs w:val="21"/>
    </w:rPr>
  </w:style>
  <w:style w:type="paragraph" w:customStyle="1" w:styleId="203">
    <w:name w:val="正文（安华金和）"/>
    <w:link w:val="204"/>
    <w:qFormat/>
    <w:uiPriority w:val="0"/>
    <w:pPr>
      <w:spacing w:line="300" w:lineRule="auto"/>
    </w:pPr>
    <w:rPr>
      <w:rFonts w:ascii="Arial" w:hAnsi="Arial" w:eastAsia="宋体" w:cs="Times New Roman"/>
      <w:sz w:val="21"/>
      <w:szCs w:val="21"/>
      <w:lang w:val="en-US" w:eastAsia="zh-CN" w:bidi="ar-SA"/>
    </w:rPr>
  </w:style>
  <w:style w:type="character" w:customStyle="1" w:styleId="204">
    <w:name w:val="正文（安华金和） Char"/>
    <w:basedOn w:val="36"/>
    <w:link w:val="203"/>
    <w:qFormat/>
    <w:uiPriority w:val="0"/>
    <w:rPr>
      <w:rFonts w:ascii="Arial" w:hAnsi="Arial" w:eastAsia="宋体" w:cs="Times New Roman"/>
      <w:sz w:val="21"/>
      <w:szCs w:val="21"/>
    </w:rPr>
  </w:style>
  <w:style w:type="paragraph" w:customStyle="1" w:styleId="205">
    <w:name w:val="市场调研报告正文样式"/>
    <w:basedOn w:val="1"/>
    <w:link w:val="206"/>
    <w:qFormat/>
    <w:uiPriority w:val="0"/>
    <w:pPr>
      <w:spacing w:afterLines="50" w:line="276" w:lineRule="auto"/>
      <w:ind w:firstLine="200"/>
    </w:pPr>
    <w:rPr>
      <w:rFonts w:ascii="Times New Roman" w:hAnsi="Times New Roman" w:eastAsia="仿宋"/>
      <w:sz w:val="32"/>
    </w:rPr>
  </w:style>
  <w:style w:type="character" w:customStyle="1" w:styleId="206">
    <w:name w:val="市场调研报告正文样式 Char"/>
    <w:link w:val="205"/>
    <w:qFormat/>
    <w:uiPriority w:val="0"/>
    <w:rPr>
      <w:rFonts w:ascii="Times New Roman" w:hAnsi="Times New Roman" w:eastAsia="仿宋" w:cs="Times New Roman"/>
      <w:kern w:val="2"/>
      <w:sz w:val="32"/>
    </w:rPr>
  </w:style>
  <w:style w:type="paragraph" w:customStyle="1" w:styleId="207">
    <w:name w:val="正文首行缩进（安华金和）"/>
    <w:basedOn w:val="203"/>
    <w:qFormat/>
    <w:uiPriority w:val="0"/>
    <w:pPr>
      <w:spacing w:after="50"/>
      <w:ind w:firstLine="200" w:firstLineChars="200"/>
    </w:pPr>
  </w:style>
  <w:style w:type="paragraph" w:customStyle="1" w:styleId="208">
    <w:name w:val="正文内容格式"/>
    <w:basedOn w:val="1"/>
    <w:qFormat/>
    <w:uiPriority w:val="0"/>
    <w:pPr>
      <w:widowControl/>
      <w:adjustRightInd w:val="0"/>
      <w:snapToGrid w:val="0"/>
      <w:ind w:firstLine="420"/>
      <w:jc w:val="left"/>
      <w:textAlignment w:val="baseline"/>
    </w:pPr>
    <w:rPr>
      <w:rFonts w:ascii="Times New Roman" w:hAnsi="Times New Roman" w:eastAsia="仿宋"/>
      <w:kern w:val="0"/>
      <w:sz w:val="32"/>
    </w:rPr>
  </w:style>
  <w:style w:type="paragraph" w:customStyle="1" w:styleId="209">
    <w:name w:val="正文360首行缩进"/>
    <w:basedOn w:val="1"/>
    <w:qFormat/>
    <w:uiPriority w:val="0"/>
    <w:pPr>
      <w:widowControl/>
      <w:spacing w:after="50"/>
      <w:ind w:firstLine="200"/>
      <w:jc w:val="left"/>
    </w:pPr>
    <w:rPr>
      <w:rFonts w:ascii="Times New Roman" w:hAnsi="Times New Roman" w:eastAsiaTheme="minorEastAsia"/>
      <w:kern w:val="0"/>
      <w:sz w:val="32"/>
      <w:szCs w:val="21"/>
    </w:rPr>
  </w:style>
  <w:style w:type="table" w:customStyle="1" w:styleId="210">
    <w:name w:val="网格表 5 深色 - 着色 31"/>
    <w:basedOn w:val="43"/>
    <w:qFormat/>
    <w:uiPriority w:val="50"/>
    <w:rPr>
      <w:rFonts w:ascii="Times New Roman" w:hAnsi="Times New Roman" w:eastAsia="宋体" w:cs="Times New Roman"/>
    </w:rPr>
    <w:tblPr>
      <w:tblBorders>
        <w:insideH w:val="single" w:color="F8FAFD" w:themeColor="background1" w:sz="4" w:space="0"/>
        <w:insideV w:val="single" w:color="F8FAFD" w:themeColor="background1" w:sz="4" w:space="0"/>
      </w:tblBorders>
      <w:tblLayout w:type="fixed"/>
    </w:tblPr>
    <w:tcPr>
      <w:shd w:val="clear" w:color="auto" w:fill="EAF1DD" w:themeFill="accent3" w:themeFillTint="33"/>
    </w:tcPr>
    <w:tblStylePr w:type="firstRow">
      <w:rPr>
        <w:b/>
        <w:bCs/>
        <w:color w:val="F8FAFD" w:themeColor="background1"/>
        <w14:textFill>
          <w14:solidFill>
            <w14:schemeClr w14:val="bg1"/>
          </w14:solidFill>
        </w14:textFill>
      </w:rPr>
      <w:tcPr>
        <w:tcBorders>
          <w:top w:val="single" w:color="F8FAFD" w:themeColor="background1" w:sz="4" w:space="0"/>
          <w:left w:val="single" w:color="F8FAFD" w:themeColor="background1" w:sz="4" w:space="0"/>
          <w:right w:val="single" w:color="F8FAFD" w:themeColor="background1" w:sz="4" w:space="0"/>
          <w:insideH w:val="nil"/>
          <w:insideV w:val="nil"/>
        </w:tcBorders>
        <w:shd w:val="clear" w:color="auto" w:fill="9BBB59" w:themeFill="accent3"/>
      </w:tcPr>
    </w:tblStylePr>
    <w:tblStylePr w:type="lastRow">
      <w:rPr>
        <w:b/>
        <w:bCs/>
        <w:color w:val="F8FAFD" w:themeColor="background1"/>
        <w14:textFill>
          <w14:solidFill>
            <w14:schemeClr w14:val="bg1"/>
          </w14:solidFill>
        </w14:textFill>
      </w:rPr>
      <w:tcPr>
        <w:tcBorders>
          <w:left w:val="single" w:color="F8FAFD" w:themeColor="background1" w:sz="4" w:space="0"/>
          <w:bottom w:val="single" w:color="F8FAFD" w:themeColor="background1" w:sz="4" w:space="0"/>
          <w:right w:val="single" w:color="F8FAFD" w:themeColor="background1" w:sz="4" w:space="0"/>
          <w:insideH w:val="nil"/>
          <w:insideV w:val="nil"/>
        </w:tcBorders>
        <w:shd w:val="clear" w:color="auto" w:fill="9BBB59" w:themeFill="accent3"/>
      </w:tcPr>
    </w:tblStylePr>
    <w:tblStylePr w:type="firstCol">
      <w:rPr>
        <w:b/>
        <w:bCs/>
        <w:color w:val="F8FAFD" w:themeColor="background1"/>
        <w14:textFill>
          <w14:solidFill>
            <w14:schemeClr w14:val="bg1"/>
          </w14:solidFill>
        </w14:textFill>
      </w:rPr>
      <w:tcPr>
        <w:tcBorders>
          <w:top w:val="single" w:color="F8FAFD" w:themeColor="background1" w:sz="4" w:space="0"/>
          <w:left w:val="single" w:color="F8FAFD" w:themeColor="background1" w:sz="4" w:space="0"/>
          <w:bottom w:val="single" w:color="F8FAFD" w:themeColor="background1" w:sz="4" w:space="0"/>
          <w:insideV w:val="nil"/>
        </w:tcBorders>
        <w:shd w:val="clear" w:color="auto" w:fill="9BBB59" w:themeFill="accent3"/>
      </w:tcPr>
    </w:tblStylePr>
    <w:tblStylePr w:type="lastCol">
      <w:rPr>
        <w:b/>
        <w:bCs/>
        <w:color w:val="F8FAFD" w:themeColor="background1"/>
        <w14:textFill>
          <w14:solidFill>
            <w14:schemeClr w14:val="bg1"/>
          </w14:solidFill>
        </w14:textFill>
      </w:rPr>
      <w:tcPr>
        <w:tcBorders>
          <w:top w:val="single" w:color="F8FAFD" w:themeColor="background1" w:sz="4" w:space="0"/>
          <w:bottom w:val="single" w:color="F8FAFD" w:themeColor="background1" w:sz="4" w:space="0"/>
          <w:right w:val="single" w:color="F8FAFD" w:themeColor="background1" w:sz="4" w:space="0"/>
          <w:insideV w:val="nil"/>
        </w:tcBorders>
        <w:shd w:val="clear" w:color="auto" w:fill="9BBB59" w:themeFill="accent3"/>
      </w:tcPr>
    </w:tblStylePr>
    <w:tblStylePr w:type="band1Vert">
      <w:tcPr>
        <w:shd w:val="clear" w:color="auto" w:fill="D6E3BC" w:themeFill="accent3" w:themeFillTint="66"/>
      </w:tcPr>
    </w:tblStylePr>
    <w:tblStylePr w:type="band1Horz">
      <w:tcPr>
        <w:shd w:val="clear" w:color="auto" w:fill="D6E3BC" w:themeFill="accent3" w:themeFillTint="66"/>
      </w:tcPr>
    </w:tblStylePr>
  </w:style>
  <w:style w:type="paragraph" w:customStyle="1" w:styleId="211">
    <w:name w:val="正文（360）"/>
    <w:link w:val="212"/>
    <w:qFormat/>
    <w:uiPriority w:val="0"/>
    <w:pPr>
      <w:spacing w:line="360" w:lineRule="auto"/>
      <w:ind w:firstLine="425" w:firstLineChars="177"/>
    </w:pPr>
    <w:rPr>
      <w:rFonts w:cs="Times New Roman" w:asciiTheme="minorEastAsia" w:hAnsiTheme="minorEastAsia" w:eastAsiaTheme="minorEastAsia"/>
      <w:sz w:val="24"/>
      <w:szCs w:val="24"/>
      <w:lang w:val="en-US" w:eastAsia="zh-CN" w:bidi="ar-SA"/>
    </w:rPr>
  </w:style>
  <w:style w:type="character" w:customStyle="1" w:styleId="212">
    <w:name w:val="正文（360） Char"/>
    <w:link w:val="211"/>
    <w:qFormat/>
    <w:uiPriority w:val="0"/>
    <w:rPr>
      <w:rFonts w:cs="Times New Roman" w:asciiTheme="minorEastAsia" w:hAnsiTheme="minorEastAsia" w:eastAsiaTheme="minorEastAsia"/>
      <w:sz w:val="24"/>
      <w:szCs w:val="24"/>
    </w:rPr>
  </w:style>
  <w:style w:type="character" w:customStyle="1" w:styleId="213">
    <w:name w:val="列出段落 字符"/>
    <w:qFormat/>
    <w:locked/>
    <w:uiPriority w:val="0"/>
    <w:rPr>
      <w:rFonts w:ascii="Calibri" w:hAnsi="Calibri" w:eastAsia="宋体"/>
      <w:kern w:val="2"/>
      <w:sz w:val="21"/>
      <w:szCs w:val="22"/>
    </w:rPr>
  </w:style>
  <w:style w:type="paragraph" w:customStyle="1" w:styleId="214">
    <w:name w:val="标题5"/>
    <w:basedOn w:val="1"/>
    <w:next w:val="209"/>
    <w:qFormat/>
    <w:uiPriority w:val="0"/>
    <w:pPr>
      <w:numPr>
        <w:ilvl w:val="4"/>
        <w:numId w:val="10"/>
      </w:numPr>
      <w:spacing w:before="240" w:after="64" w:line="377" w:lineRule="auto"/>
      <w:ind w:firstLine="200"/>
      <w:jc w:val="left"/>
      <w:outlineLvl w:val="4"/>
    </w:pPr>
    <w:rPr>
      <w:rFonts w:ascii="黑体" w:hAnsi="黑体" w:eastAsia="黑体"/>
      <w:b/>
      <w:sz w:val="21"/>
      <w:szCs w:val="21"/>
    </w:rPr>
  </w:style>
  <w:style w:type="paragraph" w:customStyle="1" w:styleId="215">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16">
    <w:name w:val="目次、标准名称标题"/>
    <w:basedOn w:val="1"/>
    <w:next w:val="165"/>
    <w:qFormat/>
    <w:uiPriority w:val="0"/>
    <w:pPr>
      <w:keepNext/>
      <w:pageBreakBefore/>
      <w:widowControl/>
      <w:shd w:val="clear" w:color="FFFFFF" w:fill="FFFFFF"/>
      <w:spacing w:before="640" w:after="560" w:line="460" w:lineRule="exact"/>
      <w:ind w:firstLine="200"/>
      <w:jc w:val="center"/>
      <w:outlineLvl w:val="0"/>
    </w:pPr>
    <w:rPr>
      <w:rFonts w:ascii="黑体" w:hAnsi="Times New Roman" w:eastAsia="黑体"/>
      <w:kern w:val="0"/>
      <w:sz w:val="32"/>
    </w:rPr>
  </w:style>
  <w:style w:type="character" w:customStyle="1" w:styleId="217">
    <w:name w:val="二级条标题 Char"/>
    <w:basedOn w:val="36"/>
    <w:link w:val="178"/>
    <w:qFormat/>
    <w:uiPriority w:val="99"/>
    <w:rPr>
      <w:rFonts w:ascii="黑体" w:hAnsi="Times New Roman" w:eastAsia="黑体" w:cs="Times New Roman"/>
      <w:sz w:val="21"/>
      <w:szCs w:val="21"/>
    </w:rPr>
  </w:style>
  <w:style w:type="paragraph" w:customStyle="1" w:styleId="218">
    <w:name w:val="正文！"/>
    <w:basedOn w:val="1"/>
    <w:qFormat/>
    <w:uiPriority w:val="0"/>
    <w:pPr>
      <w:ind w:firstLine="200"/>
    </w:pPr>
    <w:rPr>
      <w:rFonts w:ascii="Calibri" w:hAnsi="Calibri" w:eastAsia="仿宋"/>
      <w:szCs w:val="22"/>
    </w:rPr>
  </w:style>
  <w:style w:type="character" w:customStyle="1" w:styleId="219">
    <w:name w:val="标题5（美承） Char"/>
    <w:link w:val="220"/>
    <w:qFormat/>
    <w:locked/>
    <w:uiPriority w:val="0"/>
    <w:rPr>
      <w:rFonts w:ascii="Calibri" w:hAnsi="Calibri"/>
      <w:b/>
      <w:bCs/>
      <w:sz w:val="24"/>
      <w:szCs w:val="28"/>
    </w:rPr>
  </w:style>
  <w:style w:type="paragraph" w:customStyle="1" w:styleId="220">
    <w:name w:val="标题5（美承）"/>
    <w:basedOn w:val="7"/>
    <w:next w:val="1"/>
    <w:link w:val="219"/>
    <w:qFormat/>
    <w:uiPriority w:val="0"/>
    <w:pPr>
      <w:widowControl/>
      <w:numPr>
        <w:ilvl w:val="0"/>
        <w:numId w:val="0"/>
      </w:numPr>
      <w:snapToGrid/>
      <w:spacing w:before="280" w:after="290"/>
      <w:ind w:left="2184" w:hanging="1191" w:firstLineChars="200"/>
    </w:pPr>
    <w:rPr>
      <w:rFonts w:ascii="Calibri" w:hAnsi="Calibri" w:eastAsia="等线" w:cs="等线"/>
      <w:kern w:val="0"/>
      <w:szCs w:val="28"/>
    </w:rPr>
  </w:style>
  <w:style w:type="character" w:customStyle="1" w:styleId="221">
    <w:name w:val="正文测试 Char"/>
    <w:link w:val="222"/>
    <w:qFormat/>
    <w:uiPriority w:val="0"/>
    <w:rPr>
      <w:rFonts w:ascii="仿宋" w:hAnsi="仿宋" w:eastAsia="仿宋"/>
      <w:sz w:val="32"/>
    </w:rPr>
  </w:style>
  <w:style w:type="paragraph" w:customStyle="1" w:styleId="222">
    <w:name w:val="正文测试"/>
    <w:basedOn w:val="1"/>
    <w:link w:val="221"/>
    <w:qFormat/>
    <w:uiPriority w:val="0"/>
    <w:pPr>
      <w:tabs>
        <w:tab w:val="left" w:pos="0"/>
      </w:tabs>
      <w:ind w:firstLine="640"/>
    </w:pPr>
    <w:rPr>
      <w:rFonts w:ascii="仿宋" w:hAnsi="仿宋" w:eastAsia="仿宋" w:cs="等线"/>
      <w:kern w:val="0"/>
      <w:sz w:val="32"/>
    </w:rPr>
  </w:style>
  <w:style w:type="character" w:customStyle="1" w:styleId="223">
    <w:name w:val="!通知正文 Char"/>
    <w:link w:val="224"/>
    <w:qFormat/>
    <w:locked/>
    <w:uiPriority w:val="0"/>
    <w:rPr>
      <w:rFonts w:ascii="Times New Roman" w:hAnsi="Times New Roman" w:eastAsia="仿宋_GB2312"/>
      <w:sz w:val="32"/>
      <w:szCs w:val="21"/>
    </w:rPr>
  </w:style>
  <w:style w:type="paragraph" w:customStyle="1" w:styleId="224">
    <w:name w:val="!通知正文"/>
    <w:basedOn w:val="1"/>
    <w:link w:val="223"/>
    <w:qFormat/>
    <w:uiPriority w:val="0"/>
    <w:pPr>
      <w:snapToGrid w:val="0"/>
      <w:spacing w:line="580" w:lineRule="exact"/>
      <w:ind w:firstLine="200"/>
    </w:pPr>
    <w:rPr>
      <w:rFonts w:ascii="Times New Roman" w:hAnsi="Times New Roman" w:eastAsia="仿宋_GB2312" w:cs="等线"/>
      <w:kern w:val="0"/>
      <w:sz w:val="32"/>
      <w:szCs w:val="21"/>
    </w:rPr>
  </w:style>
  <w:style w:type="character" w:customStyle="1" w:styleId="225">
    <w:name w:val="FUNO正文 Char"/>
    <w:link w:val="226"/>
    <w:qFormat/>
    <w:uiPriority w:val="0"/>
    <w:rPr>
      <w:rFonts w:ascii="仿宋_GB2312" w:hAnsi="Calibri" w:eastAsia="仿宋_GB2312" w:cs="Times New Roman"/>
      <w:sz w:val="32"/>
    </w:rPr>
  </w:style>
  <w:style w:type="paragraph" w:customStyle="1" w:styleId="226">
    <w:name w:val="FUNO正文"/>
    <w:link w:val="225"/>
    <w:qFormat/>
    <w:uiPriority w:val="0"/>
    <w:pPr>
      <w:spacing w:line="360" w:lineRule="auto"/>
      <w:ind w:firstLine="200" w:firstLineChars="200"/>
      <w:jc w:val="both"/>
    </w:pPr>
    <w:rPr>
      <w:rFonts w:ascii="仿宋_GB2312" w:hAnsi="Calibri" w:eastAsia="仿宋_GB2312" w:cs="Times New Roman"/>
      <w:sz w:val="32"/>
      <w:lang w:val="en-US" w:eastAsia="zh-CN" w:bidi="ar-SA"/>
    </w:rPr>
  </w:style>
  <w:style w:type="paragraph" w:customStyle="1" w:styleId="227">
    <w:name w:val="注×："/>
    <w:qFormat/>
    <w:uiPriority w:val="0"/>
    <w:pPr>
      <w:widowControl w:val="0"/>
      <w:numPr>
        <w:ilvl w:val="0"/>
        <w:numId w:val="11"/>
      </w:numPr>
      <w:autoSpaceDE w:val="0"/>
      <w:autoSpaceDN w:val="0"/>
      <w:jc w:val="both"/>
    </w:pPr>
    <w:rPr>
      <w:rFonts w:ascii="宋体" w:hAnsi="Times New Roman" w:eastAsia="宋体" w:cs="Times New Roman"/>
      <w:sz w:val="18"/>
      <w:szCs w:val="18"/>
      <w:lang w:val="en-US" w:eastAsia="zh-CN" w:bidi="ar-SA"/>
    </w:rPr>
  </w:style>
  <w:style w:type="paragraph" w:customStyle="1" w:styleId="228">
    <w:name w:val="样式 二级条标题 + 行距: 1.5 倍行距"/>
    <w:basedOn w:val="178"/>
    <w:qFormat/>
    <w:uiPriority w:val="0"/>
    <w:pPr>
      <w:numPr>
        <w:ilvl w:val="3"/>
        <w:numId w:val="11"/>
      </w:numPr>
      <w:tabs>
        <w:tab w:val="left" w:pos="360"/>
        <w:tab w:val="clear" w:pos="0"/>
      </w:tabs>
      <w:spacing w:beforeLines="0" w:afterLines="0" w:line="360" w:lineRule="auto"/>
      <w:ind w:left="0" w:firstLine="0"/>
    </w:pPr>
    <w:rPr>
      <w:rFonts w:ascii="Times New Roman" w:cs="宋体"/>
      <w:szCs w:val="20"/>
    </w:rPr>
  </w:style>
  <w:style w:type="paragraph" w:customStyle="1" w:styleId="229">
    <w:name w:val="正文缩进2"/>
    <w:basedOn w:val="1"/>
    <w:qFormat/>
    <w:uiPriority w:val="0"/>
    <w:pPr>
      <w:spacing w:before="120" w:after="120" w:line="288" w:lineRule="auto"/>
      <w:ind w:firstLine="420"/>
    </w:pPr>
    <w:rPr>
      <w:rFonts w:ascii="Times New Roman" w:hAnsi="Times New Roman" w:eastAsia="仿宋"/>
      <w:sz w:val="21"/>
    </w:rPr>
  </w:style>
  <w:style w:type="paragraph" w:customStyle="1" w:styleId="230">
    <w:name w:val="tytytyty"/>
    <w:basedOn w:val="1"/>
    <w:link w:val="231"/>
    <w:qFormat/>
    <w:uiPriority w:val="0"/>
    <w:pPr>
      <w:ind w:left="359" w:leftChars="171"/>
    </w:pPr>
    <w:rPr>
      <w:rFonts w:ascii="Times New Roman" w:hAnsi="Times New Roman" w:eastAsia="仿宋"/>
    </w:rPr>
  </w:style>
  <w:style w:type="character" w:customStyle="1" w:styleId="231">
    <w:name w:val="tytytyty Char"/>
    <w:link w:val="230"/>
    <w:qFormat/>
    <w:uiPriority w:val="0"/>
    <w:rPr>
      <w:rFonts w:ascii="Times New Roman" w:hAnsi="Times New Roman" w:eastAsia="仿宋" w:cs="Times New Roman"/>
      <w:kern w:val="2"/>
      <w:sz w:val="24"/>
      <w:szCs w:val="24"/>
    </w:rPr>
  </w:style>
  <w:style w:type="paragraph" w:customStyle="1" w:styleId="232">
    <w:name w:val="正文首行缩进（绿盟科技）"/>
    <w:basedOn w:val="147"/>
    <w:link w:val="233"/>
    <w:qFormat/>
    <w:uiPriority w:val="0"/>
    <w:pPr>
      <w:spacing w:after="50"/>
      <w:ind w:firstLine="200" w:firstLineChars="200"/>
    </w:pPr>
  </w:style>
  <w:style w:type="character" w:customStyle="1" w:styleId="233">
    <w:name w:val="正文首行缩进（绿盟科技） Char"/>
    <w:basedOn w:val="148"/>
    <w:link w:val="232"/>
    <w:qFormat/>
    <w:uiPriority w:val="0"/>
    <w:rPr>
      <w:rFonts w:ascii="Arial" w:hAnsi="Arial" w:eastAsia="宋体" w:cs="Times New Roman"/>
      <w:sz w:val="21"/>
      <w:szCs w:val="21"/>
    </w:rPr>
  </w:style>
  <w:style w:type="paragraph" w:customStyle="1" w:styleId="234">
    <w:name w:val="样式A1"/>
    <w:basedOn w:val="146"/>
    <w:link w:val="235"/>
    <w:qFormat/>
    <w:uiPriority w:val="0"/>
    <w:pPr>
      <w:numPr>
        <w:ilvl w:val="0"/>
        <w:numId w:val="12"/>
      </w:numPr>
      <w:ind w:left="0" w:firstLine="641" w:firstLineChars="0"/>
    </w:pPr>
  </w:style>
  <w:style w:type="character" w:customStyle="1" w:styleId="235">
    <w:name w:val="样式A1 Char"/>
    <w:basedOn w:val="158"/>
    <w:link w:val="234"/>
    <w:qFormat/>
    <w:uiPriority w:val="0"/>
    <w:rPr>
      <w:rFonts w:ascii="Times New Roman" w:hAnsi="Times New Roman" w:eastAsia="仿宋" w:cs="Courier New"/>
      <w:sz w:val="32"/>
      <w:szCs w:val="24"/>
    </w:rPr>
  </w:style>
  <w:style w:type="character" w:customStyle="1" w:styleId="236">
    <w:name w:val="List-1 Char"/>
    <w:link w:val="237"/>
    <w:qFormat/>
    <w:uiPriority w:val="0"/>
    <w:rPr>
      <w:sz w:val="24"/>
    </w:rPr>
  </w:style>
  <w:style w:type="paragraph" w:customStyle="1" w:styleId="237">
    <w:name w:val="List-1"/>
    <w:basedOn w:val="146"/>
    <w:link w:val="236"/>
    <w:qFormat/>
    <w:uiPriority w:val="0"/>
    <w:pPr>
      <w:tabs>
        <w:tab w:val="left" w:pos="839"/>
      </w:tabs>
      <w:snapToGrid/>
      <w:spacing w:line="276" w:lineRule="auto"/>
      <w:ind w:left="839" w:firstLine="0" w:firstLineChars="0"/>
    </w:pPr>
    <w:rPr>
      <w:rFonts w:ascii="等线" w:hAnsi="等线" w:eastAsia="等线" w:cs="等线"/>
      <w:sz w:val="24"/>
    </w:rPr>
  </w:style>
  <w:style w:type="paragraph" w:customStyle="1" w:styleId="238">
    <w:name w:val="pw正文"/>
    <w:basedOn w:val="1"/>
    <w:link w:val="239"/>
    <w:qFormat/>
    <w:uiPriority w:val="0"/>
    <w:pPr>
      <w:widowControl/>
      <w:spacing w:beforeLines="50" w:afterLines="50"/>
      <w:jc w:val="left"/>
    </w:pPr>
    <w:rPr>
      <w:rFonts w:ascii="Tahoma" w:hAnsi="Tahoma"/>
      <w:kern w:val="0"/>
      <w:szCs w:val="22"/>
    </w:rPr>
  </w:style>
  <w:style w:type="character" w:customStyle="1" w:styleId="239">
    <w:name w:val="pw正文 Char"/>
    <w:link w:val="238"/>
    <w:qFormat/>
    <w:uiPriority w:val="0"/>
    <w:rPr>
      <w:rFonts w:ascii="Tahoma" w:hAnsi="Tahoma" w:eastAsia="宋体" w:cs="Times New Roman"/>
      <w:sz w:val="24"/>
      <w:szCs w:val="22"/>
    </w:rPr>
  </w:style>
  <w:style w:type="character" w:customStyle="1" w:styleId="240">
    <w:name w:val="列出段落 Char2"/>
    <w:basedOn w:val="36"/>
    <w:qFormat/>
    <w:uiPriority w:val="34"/>
  </w:style>
  <w:style w:type="character" w:customStyle="1" w:styleId="241">
    <w:name w:val="font21"/>
    <w:qFormat/>
    <w:uiPriority w:val="0"/>
    <w:rPr>
      <w:rFonts w:hint="eastAsia" w:ascii="微软雅黑" w:hAnsi="微软雅黑" w:eastAsia="微软雅黑" w:cs="微软雅黑"/>
      <w:color w:val="000000"/>
      <w:sz w:val="24"/>
      <w:szCs w:val="24"/>
      <w:u w:val="none"/>
    </w:rPr>
  </w:style>
  <w:style w:type="paragraph" w:customStyle="1" w:styleId="242">
    <w:name w:val="Table Text"/>
    <w:basedOn w:val="1"/>
    <w:qFormat/>
    <w:uiPriority w:val="0"/>
    <w:pPr>
      <w:topLinePunct/>
      <w:adjustRightInd w:val="0"/>
      <w:snapToGrid w:val="0"/>
      <w:spacing w:before="80" w:after="80" w:line="240" w:lineRule="atLeast"/>
      <w:ind w:firstLine="0" w:firstLineChars="0"/>
      <w:jc w:val="left"/>
    </w:pPr>
    <w:rPr>
      <w:rFonts w:ascii="Times New Roman" w:hAnsi="Times New Roman" w:cs="Arial"/>
      <w:snapToGrid w:val="0"/>
      <w:kern w:val="0"/>
      <w:sz w:val="21"/>
      <w:szCs w:val="21"/>
    </w:rPr>
  </w:style>
  <w:style w:type="paragraph" w:customStyle="1" w:styleId="243">
    <w:name w:val="Item List in Table"/>
    <w:basedOn w:val="1"/>
    <w:qFormat/>
    <w:uiPriority w:val="0"/>
    <w:pPr>
      <w:numPr>
        <w:ilvl w:val="0"/>
        <w:numId w:val="13"/>
      </w:numPr>
      <w:topLinePunct/>
      <w:adjustRightInd w:val="0"/>
      <w:snapToGrid w:val="0"/>
      <w:spacing w:before="80" w:after="80" w:line="240" w:lineRule="atLeast"/>
      <w:ind w:firstLine="0" w:firstLineChars="0"/>
      <w:jc w:val="left"/>
    </w:pPr>
    <w:rPr>
      <w:rFonts w:ascii="Times New Roman" w:hAnsi="Times New Roman"/>
      <w:kern w:val="0"/>
      <w:sz w:val="21"/>
      <w:szCs w:val="21"/>
      <w:lang w:val="zh-CN"/>
    </w:rPr>
  </w:style>
  <w:style w:type="character" w:customStyle="1" w:styleId="244">
    <w:name w:val="未处理的提及2"/>
    <w:basedOn w:val="36"/>
    <w:unhideWhenUsed/>
    <w:qFormat/>
    <w:uiPriority w:val="99"/>
    <w:rPr>
      <w:color w:val="605E5C"/>
      <w:shd w:val="clear" w:color="auto" w:fill="E1DFDD"/>
    </w:rPr>
  </w:style>
  <w:style w:type="paragraph" w:customStyle="1" w:styleId="245">
    <w:name w:val="修订2"/>
    <w:hidden/>
    <w:semiHidden/>
    <w:qFormat/>
    <w:uiPriority w:val="99"/>
    <w:rPr>
      <w:rFonts w:ascii="宋体" w:hAnsi="宋体" w:eastAsia="宋体" w:cs="Times New Roman"/>
      <w:kern w:val="2"/>
      <w:sz w:val="24"/>
      <w:szCs w:val="24"/>
      <w:lang w:val="en-US" w:eastAsia="zh-CN" w:bidi="ar-SA"/>
    </w:rPr>
  </w:style>
  <w:style w:type="paragraph" w:styleId="246">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7187</Words>
  <Characters>7283</Characters>
  <Lines>65</Lines>
  <Paragraphs>18</Paragraphs>
  <TotalTime>1</TotalTime>
  <ScaleCrop>false</ScaleCrop>
  <LinksUpToDate>false</LinksUpToDate>
  <CharactersWithSpaces>7291</CharactersWithSpaces>
  <Application>WPS Office_10.1.0.7526_F1E327BC-269C-435d-A152-05C5408002CA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2021-06-16T09:38:00Z</dcterms:created>
  <dc:creator> </dc:creator>
  <cp:lastModifiedBy>user</cp:lastModifiedBy>
  <dcterms:modified xsi:type="dcterms:W3CDTF">2021-09-23T10:13:19Z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2052-10.1.0.7526</vt:lpwstr>
  </property>
  <property fmtid="{D5CDD505-2E9C-101B-9397-08002B2CF9AE}" pid="3" name="ICV">
    <vt:lpwstr>120FFB41271E41DC807DD422A05FEDC4</vt:lpwstr>
  </property>
</Properties>
</file>