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招标需求文件</w:t>
      </w:r>
    </w:p>
    <w:p>
      <w:pPr>
        <w:spacing w:line="500" w:lineRule="exact"/>
        <w:ind w:firstLine="422" w:firstLineChars="200"/>
        <w:rPr>
          <w:rFonts w:hint="eastAsia" w:ascii="宋体" w:hAnsi="宋体" w:eastAsia="宋体" w:cs="宋体"/>
          <w:b/>
          <w:bCs/>
          <w:sz w:val="21"/>
          <w:szCs w:val="21"/>
        </w:rPr>
      </w:pPr>
    </w:p>
    <w:p>
      <w:pPr>
        <w:spacing w:line="5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一、项目名称</w:t>
      </w:r>
    </w:p>
    <w:p>
      <w:pPr>
        <w:tabs>
          <w:tab w:val="left" w:pos="993"/>
          <w:tab w:val="left" w:pos="1134"/>
          <w:tab w:val="left" w:pos="1418"/>
        </w:tabs>
        <w:spacing w:line="400" w:lineRule="exact"/>
        <w:ind w:firstLine="420" w:firstLineChars="200"/>
        <w:rPr>
          <w:rFonts w:hint="eastAsia" w:ascii="宋体" w:hAnsi="宋体" w:eastAsia="宋体" w:cs="宋体"/>
          <w:sz w:val="21"/>
          <w:szCs w:val="21"/>
        </w:rPr>
      </w:pPr>
      <w:bookmarkStart w:id="0" w:name="OLE_LINK1"/>
      <w:r>
        <w:rPr>
          <w:rFonts w:hint="eastAsia" w:ascii="宋体" w:hAnsi="宋体" w:eastAsia="宋体" w:cs="宋体"/>
          <w:sz w:val="21"/>
          <w:szCs w:val="21"/>
        </w:rPr>
        <w:t>2021年长宁区长宁区</w:t>
      </w:r>
      <w:bookmarkStart w:id="1" w:name="OLE_LINK2"/>
      <w:r>
        <w:rPr>
          <w:rFonts w:hint="eastAsia" w:ascii="宋体" w:hAnsi="宋体" w:eastAsia="宋体" w:cs="宋体"/>
          <w:sz w:val="21"/>
          <w:szCs w:val="21"/>
        </w:rPr>
        <w:t>餐厨垃圾收运服务</w:t>
      </w:r>
      <w:bookmarkEnd w:id="1"/>
      <w:r>
        <w:rPr>
          <w:rFonts w:hint="eastAsia" w:ascii="宋体" w:hAnsi="宋体" w:eastAsia="宋体" w:cs="宋体"/>
          <w:sz w:val="21"/>
          <w:szCs w:val="21"/>
        </w:rPr>
        <w:t>公开招标项目</w:t>
      </w:r>
      <w:bookmarkEnd w:id="0"/>
    </w:p>
    <w:p>
      <w:pPr>
        <w:spacing w:line="500" w:lineRule="exact"/>
        <w:ind w:firstLine="422" w:firstLineChars="200"/>
        <w:rPr>
          <w:rFonts w:hint="eastAsia" w:ascii="宋体" w:hAnsi="宋体" w:eastAsia="宋体" w:cs="宋体"/>
          <w:b/>
          <w:bCs/>
          <w:sz w:val="21"/>
          <w:szCs w:val="21"/>
        </w:rPr>
      </w:pPr>
    </w:p>
    <w:p>
      <w:pPr>
        <w:spacing w:line="5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二、项目目标</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为贯彻落实《上海市生活垃圾管理条例》精神，解决长宁区单位餐厨垃圾收运作业问题，维护长宁区文明城区的形象。上海市长宁区绿化和市容管理局委托上海市长宁区政府采购中心对长宁区单位收集点餐厨垃圾收运服务单位进行公开招标，本项目为长宁整区域</w:t>
      </w:r>
      <w:bookmarkStart w:id="4" w:name="_GoBack"/>
      <w:bookmarkEnd w:id="4"/>
      <w:r>
        <w:rPr>
          <w:rFonts w:hint="eastAsia" w:ascii="宋体" w:hAnsi="宋体" w:eastAsia="宋体" w:cs="宋体"/>
          <w:sz w:val="21"/>
          <w:szCs w:val="21"/>
        </w:rPr>
        <w:t>推进。作业服务单位可根据自身作业能力参与长宁整区域的投标，</w:t>
      </w:r>
      <w:r>
        <w:rPr>
          <w:rFonts w:hint="eastAsia" w:ascii="宋体" w:hAnsi="宋体" w:eastAsia="宋体" w:cs="宋体"/>
          <w:kern w:val="0"/>
          <w:sz w:val="21"/>
          <w:szCs w:val="21"/>
        </w:rPr>
        <w:t>招投标工作完成后，区绿化和市容管理局与中标单位签订《作业服务合同》。</w:t>
      </w:r>
    </w:p>
    <w:p>
      <w:pPr>
        <w:spacing w:line="5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三、投标人要求：</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详见本项目招标公告</w:t>
      </w:r>
    </w:p>
    <w:p>
      <w:pPr>
        <w:spacing w:line="500" w:lineRule="exact"/>
        <w:ind w:firstLine="420" w:firstLineChars="200"/>
        <w:rPr>
          <w:rFonts w:hint="eastAsia" w:ascii="宋体" w:hAnsi="宋体" w:eastAsia="宋体" w:cs="宋体"/>
          <w:sz w:val="21"/>
          <w:szCs w:val="21"/>
        </w:rPr>
      </w:pPr>
    </w:p>
    <w:p>
      <w:pPr>
        <w:spacing w:line="5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四、项目期限</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本项目服务期一年。</w:t>
      </w:r>
    </w:p>
    <w:p>
      <w:pPr>
        <w:spacing w:line="500" w:lineRule="exact"/>
        <w:ind w:firstLine="420" w:firstLineChars="200"/>
        <w:rPr>
          <w:rFonts w:hint="eastAsia" w:ascii="宋体" w:hAnsi="宋体" w:eastAsia="宋体" w:cs="宋体"/>
          <w:sz w:val="21"/>
          <w:szCs w:val="21"/>
        </w:rPr>
      </w:pPr>
    </w:p>
    <w:p>
      <w:pPr>
        <w:spacing w:line="5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五、经费核算</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项目预算金额为：年度总经费预算949万元。</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报价说明：</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1、本项目总预算为：949万元。中标人在承担采购人按此方案约定运输的全部餐厨垃圾，本项目采用固定单价，即收运单价不变（收运单价设置招标上限价为130元/吨），按实际餐厨垃圾清运量进行结算。</w:t>
      </w:r>
    </w:p>
    <w:p>
      <w:pPr>
        <w:spacing w:line="360" w:lineRule="auto"/>
        <w:ind w:firstLine="413" w:firstLineChars="196"/>
        <w:rPr>
          <w:rFonts w:hint="eastAsia" w:ascii="宋体" w:hAnsi="宋体" w:eastAsia="宋体" w:cs="宋体"/>
          <w:b/>
          <w:bCs/>
          <w:sz w:val="21"/>
          <w:szCs w:val="21"/>
        </w:rPr>
      </w:pPr>
      <w:r>
        <w:rPr>
          <w:rFonts w:hint="eastAsia" w:ascii="宋体" w:hAnsi="宋体" w:eastAsia="宋体" w:cs="宋体"/>
          <w:b/>
          <w:bCs/>
          <w:sz w:val="21"/>
          <w:szCs w:val="21"/>
        </w:rPr>
        <w:t>六、项目需求</w:t>
      </w:r>
    </w:p>
    <w:p>
      <w:pPr>
        <w:spacing w:line="360" w:lineRule="auto"/>
        <w:ind w:firstLine="411" w:firstLineChars="196"/>
        <w:rPr>
          <w:rFonts w:hint="eastAsia" w:ascii="宋体" w:hAnsi="宋体" w:eastAsia="宋体" w:cs="宋体"/>
          <w:kern w:val="0"/>
          <w:sz w:val="21"/>
          <w:szCs w:val="21"/>
        </w:rPr>
      </w:pPr>
      <w:r>
        <w:rPr>
          <w:rFonts w:hint="eastAsia" w:ascii="宋体" w:hAnsi="宋体" w:eastAsia="宋体" w:cs="宋体"/>
          <w:kern w:val="0"/>
          <w:sz w:val="21"/>
          <w:szCs w:val="21"/>
        </w:rPr>
        <w:t>1、所称餐厨垃圾，是指除居民日常生活以外的食品加工、饮食服务、单位供餐等活动中产生的食物残余和食品加工废料。</w:t>
      </w:r>
    </w:p>
    <w:p>
      <w:pPr>
        <w:spacing w:line="360" w:lineRule="auto"/>
        <w:ind w:firstLine="411" w:firstLineChars="196"/>
        <w:rPr>
          <w:rFonts w:hint="eastAsia" w:ascii="宋体" w:hAnsi="宋体" w:eastAsia="宋体" w:cs="宋体"/>
          <w:kern w:val="0"/>
          <w:sz w:val="21"/>
          <w:szCs w:val="21"/>
        </w:rPr>
      </w:pPr>
      <w:r>
        <w:rPr>
          <w:rFonts w:hint="eastAsia" w:ascii="宋体" w:hAnsi="宋体" w:eastAsia="宋体" w:cs="宋体"/>
          <w:kern w:val="0"/>
          <w:sz w:val="21"/>
          <w:szCs w:val="21"/>
        </w:rPr>
        <w:t>2、根据长宁区绿化和市容管理局的工作要求，完成长宁区绿化和市容管理局下达的年日均收运处理量约200吨的餐厨垃圾收运量（</w:t>
      </w:r>
      <w:bookmarkStart w:id="2" w:name="_Hlk45118428"/>
      <w:r>
        <w:rPr>
          <w:rFonts w:hint="eastAsia" w:ascii="宋体" w:hAnsi="宋体" w:eastAsia="宋体" w:cs="宋体"/>
          <w:kern w:val="0"/>
          <w:sz w:val="21"/>
          <w:szCs w:val="21"/>
        </w:rPr>
        <w:t>本次招标日均处理量按200吨</w:t>
      </w:r>
      <w:bookmarkEnd w:id="2"/>
      <w:r>
        <w:rPr>
          <w:rFonts w:hint="eastAsia" w:ascii="宋体" w:hAnsi="宋体" w:eastAsia="宋体" w:cs="宋体"/>
          <w:kern w:val="0"/>
          <w:sz w:val="21"/>
          <w:szCs w:val="21"/>
        </w:rPr>
        <w:t>计），在采购方指定的秤重点核量。</w:t>
      </w:r>
    </w:p>
    <w:p>
      <w:pPr>
        <w:spacing w:line="360" w:lineRule="auto"/>
        <w:ind w:firstLine="411" w:firstLineChars="196"/>
        <w:rPr>
          <w:rFonts w:hint="eastAsia" w:ascii="宋体" w:hAnsi="宋体" w:eastAsia="宋体" w:cs="宋体"/>
          <w:kern w:val="0"/>
          <w:sz w:val="21"/>
          <w:szCs w:val="21"/>
        </w:rPr>
      </w:pPr>
      <w:r>
        <w:rPr>
          <w:rFonts w:hint="eastAsia" w:ascii="宋体" w:hAnsi="宋体" w:eastAsia="宋体" w:cs="宋体"/>
          <w:kern w:val="0"/>
          <w:sz w:val="21"/>
          <w:szCs w:val="21"/>
        </w:rPr>
        <w:t>3、服务供应商负责对采购人指定的全区企事业单位实施 “以桶换桶” 的餐厨垃圾提供收运作业服务，按实际收运量结算。</w:t>
      </w:r>
    </w:p>
    <w:p>
      <w:pPr>
        <w:spacing w:line="360" w:lineRule="auto"/>
        <w:ind w:firstLine="411" w:firstLineChars="196"/>
        <w:rPr>
          <w:rFonts w:hint="eastAsia" w:ascii="宋体" w:hAnsi="宋体" w:eastAsia="宋体" w:cs="宋体"/>
          <w:kern w:val="0"/>
          <w:sz w:val="21"/>
          <w:szCs w:val="21"/>
        </w:rPr>
      </w:pPr>
      <w:r>
        <w:rPr>
          <w:rFonts w:hint="eastAsia" w:ascii="宋体" w:hAnsi="宋体" w:eastAsia="宋体" w:cs="宋体"/>
          <w:kern w:val="0"/>
          <w:sz w:val="21"/>
          <w:szCs w:val="21"/>
        </w:rPr>
        <w:t>4、餐厨垃圾收集容器要求载重100公斤，桶高80-90cm，桶口直径40-50cm的圆形桶，桶身颜色、标识须符合《上海市生活垃圾管理条例》内分类标识标准，中标单位须负责收集容器的配置与日常维护。</w:t>
      </w:r>
    </w:p>
    <w:p>
      <w:pPr>
        <w:spacing w:line="360" w:lineRule="auto"/>
        <w:ind w:firstLine="411" w:firstLineChars="196"/>
        <w:rPr>
          <w:rFonts w:hint="eastAsia" w:ascii="宋体" w:hAnsi="宋体" w:eastAsia="宋体" w:cs="宋体"/>
          <w:kern w:val="0"/>
          <w:sz w:val="21"/>
          <w:szCs w:val="21"/>
        </w:rPr>
      </w:pPr>
      <w:r>
        <w:rPr>
          <w:rFonts w:hint="eastAsia" w:ascii="宋体" w:hAnsi="宋体" w:eastAsia="宋体" w:cs="宋体"/>
          <w:kern w:val="0"/>
          <w:sz w:val="21"/>
          <w:szCs w:val="21"/>
        </w:rPr>
        <w:t>5、建议采用厢式货车，运输车辆不得少于10辆，收运车辆必须具有三证，且安装GPS定位系统并符合今后“一网统管”车载计量要求的车辆。</w:t>
      </w:r>
    </w:p>
    <w:p>
      <w:pPr>
        <w:spacing w:line="360" w:lineRule="auto"/>
        <w:ind w:firstLine="411" w:firstLineChars="196"/>
        <w:rPr>
          <w:rFonts w:hint="eastAsia" w:ascii="宋体" w:hAnsi="宋体" w:eastAsia="宋体" w:cs="宋体"/>
          <w:kern w:val="0"/>
          <w:sz w:val="21"/>
          <w:szCs w:val="21"/>
        </w:rPr>
      </w:pPr>
      <w:r>
        <w:rPr>
          <w:rFonts w:hint="eastAsia" w:ascii="宋体" w:hAnsi="宋体" w:eastAsia="宋体" w:cs="宋体"/>
          <w:kern w:val="0"/>
          <w:sz w:val="21"/>
          <w:szCs w:val="21"/>
        </w:rPr>
        <w:t>6、运输作业人员一般应培训具备上岗资格，投标单位须提供至少25人的作业服务人员和管理人员名单（须附身份证件复印件），并提供组织管理架构。</w:t>
      </w:r>
    </w:p>
    <w:p>
      <w:pPr>
        <w:spacing w:line="360" w:lineRule="auto"/>
        <w:ind w:firstLine="411" w:firstLineChars="196"/>
        <w:rPr>
          <w:rFonts w:hint="eastAsia" w:ascii="宋体" w:hAnsi="宋体" w:eastAsia="宋体" w:cs="宋体"/>
          <w:kern w:val="0"/>
          <w:sz w:val="21"/>
          <w:szCs w:val="21"/>
        </w:rPr>
      </w:pPr>
      <w:r>
        <w:rPr>
          <w:rFonts w:hint="eastAsia" w:ascii="宋体" w:hAnsi="宋体" w:eastAsia="宋体" w:cs="宋体"/>
          <w:kern w:val="0"/>
          <w:sz w:val="21"/>
          <w:szCs w:val="21"/>
        </w:rPr>
        <w:t>7、投标人可以提供有相关行业经营性服务许可证书。</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8、服务作业方式：中标单位对全区单位产生的餐厨垃圾收集点位实施“以桶换桶”收运，后运输至长宁区绿化和市容管理局指定卸点-长宁区废弃物综合处置中心，保证日产日清。同时，对每天更换的收集容器进行清洗。中标单位应当服从区绿化和市容管理局和所在地街道（镇）管理，对不服从管理的中标单位，招标单位有权终止《作业服务合同》的执行。</w:t>
      </w:r>
    </w:p>
    <w:p>
      <w:pPr>
        <w:spacing w:line="360" w:lineRule="auto"/>
        <w:ind w:firstLine="411" w:firstLineChars="196"/>
        <w:rPr>
          <w:rFonts w:hint="eastAsia" w:ascii="宋体" w:hAnsi="宋体" w:eastAsia="宋体" w:cs="宋体"/>
          <w:kern w:val="0"/>
          <w:sz w:val="21"/>
          <w:szCs w:val="21"/>
        </w:rPr>
      </w:pPr>
      <w:r>
        <w:rPr>
          <w:rFonts w:hint="eastAsia" w:ascii="宋体" w:hAnsi="宋体" w:eastAsia="宋体" w:cs="宋体"/>
          <w:kern w:val="0"/>
          <w:sz w:val="21"/>
          <w:szCs w:val="21"/>
        </w:rPr>
        <w:t>9、服务供应商应根据长宁区废弃物处置中心日常接收餐厨垃圾的运营时间开展收运服务，为每日5时至次日凌晨3时，并保证全年无休（经双方认可的特殊情况除外）。</w:t>
      </w:r>
    </w:p>
    <w:p>
      <w:pPr>
        <w:spacing w:line="360" w:lineRule="auto"/>
        <w:ind w:firstLine="420" w:firstLineChars="200"/>
        <w:rPr>
          <w:rFonts w:hint="eastAsia" w:ascii="宋体" w:hAnsi="宋体" w:eastAsia="宋体" w:cs="宋体"/>
          <w:kern w:val="0"/>
          <w:sz w:val="21"/>
          <w:szCs w:val="21"/>
        </w:rPr>
      </w:pPr>
      <w:bookmarkStart w:id="3" w:name="_Toc294602295"/>
      <w:r>
        <w:rPr>
          <w:rFonts w:hint="eastAsia" w:ascii="宋体" w:hAnsi="宋体" w:eastAsia="宋体" w:cs="宋体"/>
          <w:kern w:val="0"/>
          <w:sz w:val="21"/>
          <w:szCs w:val="21"/>
        </w:rPr>
        <w:t>10、投标单位须在投标文件中明确每吨餐厨垃圾收运服务单价。</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11、投标单位须自行配置和中标有关的车辆（停车场）、人员、设备和后勤设施。</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12、各级</w:t>
      </w:r>
      <w:r>
        <w:rPr>
          <w:rFonts w:hint="eastAsia" w:ascii="宋体" w:hAnsi="宋体" w:eastAsia="宋体" w:cs="宋体"/>
          <w:sz w:val="21"/>
          <w:szCs w:val="21"/>
        </w:rPr>
        <w:t>审计部门提供的涉及违规企业及该企业股东参股的其它企业不得参与招投标；有各类违法犯罪案件、违纪案件的企业不得参与招投标。</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sz w:val="21"/>
          <w:szCs w:val="21"/>
        </w:rPr>
        <w:t>13、</w:t>
      </w:r>
      <w:r>
        <w:rPr>
          <w:rFonts w:hint="eastAsia" w:ascii="宋体" w:hAnsi="宋体" w:eastAsia="宋体" w:cs="宋体"/>
          <w:kern w:val="0"/>
          <w:sz w:val="21"/>
          <w:szCs w:val="21"/>
        </w:rPr>
        <w:t>投标单位不得以联合投标方式投标。</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14、原则上中标单位不得擅自以任何名义对中标区域、收运作业行为进行二次发包。</w:t>
      </w:r>
    </w:p>
    <w:p>
      <w:pPr>
        <w:spacing w:line="360" w:lineRule="auto"/>
        <w:ind w:firstLine="645"/>
        <w:rPr>
          <w:rFonts w:hint="eastAsia" w:ascii="宋体" w:hAnsi="宋体" w:eastAsia="宋体" w:cs="宋体"/>
          <w:sz w:val="21"/>
          <w:szCs w:val="21"/>
        </w:rPr>
      </w:pPr>
      <w:r>
        <w:rPr>
          <w:rFonts w:hint="eastAsia" w:ascii="宋体" w:hAnsi="宋体" w:eastAsia="宋体" w:cs="宋体"/>
          <w:sz w:val="21"/>
          <w:szCs w:val="21"/>
        </w:rPr>
        <w:t>15、中标后设置新老移交过渡期，原则上不少于1个月，中标单位应当积极配合做好衔接工作，尽快进入角色，承担收运工作职能。</w:t>
      </w:r>
    </w:p>
    <w:p>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kern w:val="0"/>
          <w:sz w:val="21"/>
          <w:szCs w:val="21"/>
          <w:lang w:val="zh-CN"/>
        </w:rPr>
        <w:t>七、收运服务</w:t>
      </w:r>
      <w:r>
        <w:rPr>
          <w:rFonts w:hint="eastAsia" w:ascii="宋体" w:hAnsi="宋体" w:eastAsia="宋体" w:cs="宋体"/>
          <w:b/>
          <w:bCs/>
          <w:sz w:val="21"/>
          <w:szCs w:val="21"/>
        </w:rPr>
        <w:t>作业工作要求</w:t>
      </w:r>
    </w:p>
    <w:p>
      <w:pPr>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1、中标单位须制定收运作业服务工作方案。</w:t>
      </w:r>
    </w:p>
    <w:p>
      <w:pPr>
        <w:pStyle w:val="10"/>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2、中标单位在工作中须认真接受招标单位和长宁区废弃物管理所的指导、监督、帮助。要积极听从中标单位和长宁区废弃物管理所提出的建议和批评，并及时加以改进。</w:t>
      </w:r>
    </w:p>
    <w:p>
      <w:pPr>
        <w:pStyle w:val="10"/>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3、中标单位通过制定相关操作规程，建立湿垃圾收运台账制度，督促作业人员切实承担上门宣传告知、分类质量检查等工作职责，对不参与、不配合、不准确分类的建立黑名单，并向相关管理部门反馈，确保收集范围内分类收集面全覆盖，分类率不断提升。</w:t>
      </w:r>
    </w:p>
    <w:p>
      <w:pPr>
        <w:pStyle w:val="10"/>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4、中标单位落实对作业人员的检查考核措施，通过奖惩挂钩，切实提高工作实效。</w:t>
      </w:r>
    </w:p>
    <w:p>
      <w:pPr>
        <w:pStyle w:val="10"/>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5、中标单位全面负责对作业人员的安全教育，工作中产生的社会矛盾由中标方自行负责解决。招标方不承担任何安全责任以及中标方在工作中所产生的经济、社会赔偿责任。</w:t>
      </w:r>
    </w:p>
    <w:p>
      <w:pPr>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6、中标单位须按照行业标准制定收运作业服务标准。对餐厨垃圾收集运输在出车前、行车中、收车后全过程应制定相应的要求。</w:t>
      </w:r>
    </w:p>
    <w:p>
      <w:pPr>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7、严格遵守国家和地方政府及有关部门对生活垃圾收集、运输的规定，规范作业、加强安全教育及安全检查，做好安全生产工作。</w:t>
      </w:r>
    </w:p>
    <w:p>
      <w:pPr>
        <w:spacing w:line="360" w:lineRule="auto"/>
        <w:ind w:firstLine="411" w:firstLineChars="196"/>
        <w:rPr>
          <w:rFonts w:hint="eastAsia" w:ascii="宋体" w:hAnsi="宋体" w:eastAsia="宋体" w:cs="宋体"/>
          <w:sz w:val="21"/>
          <w:szCs w:val="21"/>
          <w:highlight w:val="yellow"/>
        </w:rPr>
      </w:pPr>
    </w:p>
    <w:p>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八、人员管理要求</w:t>
      </w:r>
    </w:p>
    <w:p>
      <w:pPr>
        <w:tabs>
          <w:tab w:val="left" w:pos="900"/>
          <w:tab w:val="left" w:pos="1080"/>
        </w:tabs>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1、严格制定规章制度，每辆车至少配编制2人（驾驶员1人，装卸工1人），统一着装。</w:t>
      </w:r>
    </w:p>
    <w:p>
      <w:pPr>
        <w:tabs>
          <w:tab w:val="left" w:pos="900"/>
          <w:tab w:val="left" w:pos="1080"/>
        </w:tabs>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2、强化管理制度，做到一切行动听指挥，形成看齐意识，工作上服从分配，以大局为重。</w:t>
      </w:r>
    </w:p>
    <w:p>
      <w:pPr>
        <w:tabs>
          <w:tab w:val="left" w:pos="900"/>
          <w:tab w:val="left" w:pos="1080"/>
        </w:tabs>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3、制定符合实际情况的工作人员管理制度，加强员工素质教育，有效提高作业服务水平。</w:t>
      </w:r>
    </w:p>
    <w:p>
      <w:pPr>
        <w:tabs>
          <w:tab w:val="left" w:pos="900"/>
          <w:tab w:val="left" w:pos="1080"/>
        </w:tabs>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4、加强团队建设，服务作业团队合理、可靠、稳定。建立高效的管理工作体系，提高工作效率。</w:t>
      </w:r>
    </w:p>
    <w:p>
      <w:pPr>
        <w:tabs>
          <w:tab w:val="left" w:pos="900"/>
          <w:tab w:val="left" w:pos="1080"/>
        </w:tabs>
        <w:spacing w:line="360" w:lineRule="auto"/>
        <w:ind w:firstLine="420" w:firstLineChars="200"/>
        <w:rPr>
          <w:rFonts w:hint="eastAsia" w:ascii="宋体" w:hAnsi="宋体" w:eastAsia="宋体" w:cs="宋体"/>
          <w:kern w:val="0"/>
          <w:sz w:val="21"/>
          <w:szCs w:val="21"/>
        </w:rPr>
      </w:pPr>
    </w:p>
    <w:p>
      <w:pPr>
        <w:tabs>
          <w:tab w:val="left" w:pos="900"/>
          <w:tab w:val="left" w:pos="1080"/>
        </w:tabs>
        <w:spacing w:line="360"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九、中标单位须制定各类应急预案，以应对各类安全、作业服务、人员管理等突发状况。</w:t>
      </w:r>
    </w:p>
    <w:p>
      <w:pPr>
        <w:tabs>
          <w:tab w:val="left" w:pos="900"/>
          <w:tab w:val="left" w:pos="1080"/>
        </w:tabs>
        <w:spacing w:line="360" w:lineRule="auto"/>
        <w:ind w:firstLine="422" w:firstLineChars="200"/>
        <w:rPr>
          <w:rFonts w:hint="eastAsia" w:ascii="宋体" w:hAnsi="宋体" w:eastAsia="宋体" w:cs="宋体"/>
          <w:b/>
          <w:kern w:val="0"/>
          <w:sz w:val="21"/>
          <w:szCs w:val="21"/>
        </w:rPr>
      </w:pPr>
    </w:p>
    <w:p>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十、</w:t>
      </w:r>
      <w:bookmarkEnd w:id="3"/>
      <w:r>
        <w:rPr>
          <w:rFonts w:hint="eastAsia" w:ascii="宋体" w:hAnsi="宋体" w:eastAsia="宋体" w:cs="宋体"/>
          <w:b/>
          <w:bCs/>
          <w:sz w:val="21"/>
          <w:szCs w:val="21"/>
        </w:rPr>
        <w:t>付款方式等</w:t>
      </w:r>
    </w:p>
    <w:p>
      <w:pPr>
        <w:tabs>
          <w:tab w:val="left" w:pos="900"/>
          <w:tab w:val="left" w:pos="1080"/>
        </w:tabs>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1、除合同中另有规定，中标人可要求采购人支付的金额，应与其投标报价一致；</w:t>
      </w:r>
    </w:p>
    <w:p>
      <w:pPr>
        <w:spacing w:line="56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按季度结付，当季度首月按实结付上季度运营管理经费；中标金额的20%作为日常考核金额，经长宁区废弃物管理所确认考核分数后（考核细则详见附表），中标单位需根据考核情况每季度提供发票，由招标单位支付到中标单位指定账户上。</w:t>
      </w:r>
    </w:p>
    <w:p>
      <w:pPr>
        <w:tabs>
          <w:tab w:val="left" w:pos="900"/>
          <w:tab w:val="left" w:pos="1080"/>
        </w:tabs>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付款公式：每季度服务费用=80%中标金额+20%中标金额*考核分值/100。</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本项目投标报价服务期为一年。投标人中标后，涉及2021年5月1日后，因工作移交期间未实际进行本项目的，而由前中标人进行的，按其期间的餐厨垃圾实际日产量，作为不竞争费用，与前中标人进行结算并支付。投标人标书未包含该项不竞争费用承诺的，按未实质性响应招标文件，作废标处理。</w:t>
      </w:r>
    </w:p>
    <w:p>
      <w:pPr>
        <w:pStyle w:val="8"/>
        <w:spacing w:line="360" w:lineRule="auto"/>
        <w:ind w:left="413" w:firstLine="0" w:firstLineChars="0"/>
        <w:rPr>
          <w:rFonts w:hint="eastAsia" w:ascii="宋体" w:hAnsi="宋体" w:eastAsia="宋体" w:cs="宋体"/>
          <w:b/>
          <w:bCs/>
          <w:sz w:val="21"/>
          <w:szCs w:val="21"/>
        </w:rPr>
      </w:pPr>
    </w:p>
    <w:p>
      <w:pPr>
        <w:pStyle w:val="8"/>
        <w:spacing w:line="360" w:lineRule="auto"/>
        <w:ind w:left="413" w:firstLine="0" w:firstLineChars="0"/>
        <w:rPr>
          <w:rFonts w:hint="eastAsia" w:ascii="宋体" w:hAnsi="宋体" w:eastAsia="宋体" w:cs="宋体"/>
          <w:b/>
          <w:bCs/>
          <w:sz w:val="21"/>
          <w:szCs w:val="21"/>
        </w:rPr>
      </w:pPr>
      <w:r>
        <w:rPr>
          <w:rFonts w:hint="eastAsia" w:ascii="宋体" w:hAnsi="宋体" w:eastAsia="宋体" w:cs="宋体"/>
          <w:b/>
          <w:bCs/>
          <w:sz w:val="21"/>
          <w:szCs w:val="21"/>
        </w:rPr>
        <w:t>十一、其它事项</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1、 投标人中标后，应以本项目招标文件为基础，与采购人签订《餐厨垃圾收运委托服务合同》；</w:t>
      </w:r>
    </w:p>
    <w:p>
      <w:pPr>
        <w:autoSpaceDE w:val="0"/>
        <w:autoSpaceDN w:val="0"/>
        <w:adjustRightIn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2、中标人在服务期内，未能完成《餐厨垃圾收运委托服务合同》的服务要求，经采购人3次书面通知整改，而未能完成整改的，采购人可取消与中标人的服务合同。</w:t>
      </w:r>
    </w:p>
    <w:p>
      <w:pPr>
        <w:autoSpaceDE w:val="0"/>
        <w:autoSpaceDN w:val="0"/>
        <w:adjustRightInd w:val="0"/>
        <w:spacing w:line="360" w:lineRule="auto"/>
        <w:ind w:firstLine="420"/>
        <w:rPr>
          <w:rFonts w:hint="eastAsia" w:ascii="宋体" w:hAnsi="宋体" w:eastAsia="宋体" w:cs="宋体"/>
          <w:kern w:val="0"/>
          <w:sz w:val="21"/>
          <w:szCs w:val="21"/>
        </w:rPr>
      </w:pPr>
      <w:r>
        <w:rPr>
          <w:rFonts w:hint="eastAsia" w:ascii="宋体" w:hAnsi="宋体" w:eastAsia="宋体" w:cs="宋体"/>
          <w:sz w:val="21"/>
          <w:szCs w:val="21"/>
        </w:rPr>
        <w:t>3、</w:t>
      </w:r>
      <w:r>
        <w:rPr>
          <w:rFonts w:hint="eastAsia" w:ascii="宋体" w:hAnsi="宋体" w:eastAsia="宋体" w:cs="宋体"/>
          <w:kern w:val="0"/>
          <w:sz w:val="21"/>
          <w:szCs w:val="21"/>
        </w:rPr>
        <w:t>终止《作业服务合同》的其它情形</w:t>
      </w:r>
    </w:p>
    <w:p>
      <w:pPr>
        <w:autoSpaceDE w:val="0"/>
        <w:autoSpaceDN w:val="0"/>
        <w:adjustRightInd w:val="0"/>
        <w:spacing w:line="360" w:lineRule="auto"/>
        <w:ind w:firstLine="420"/>
        <w:rPr>
          <w:rFonts w:hint="eastAsia" w:ascii="宋体" w:hAnsi="宋体" w:eastAsia="宋体" w:cs="宋体"/>
          <w:kern w:val="0"/>
          <w:sz w:val="21"/>
          <w:szCs w:val="21"/>
        </w:rPr>
      </w:pPr>
      <w:r>
        <w:rPr>
          <w:rFonts w:hint="eastAsia" w:ascii="宋体" w:hAnsi="宋体" w:eastAsia="宋体" w:cs="宋体"/>
          <w:kern w:val="0"/>
          <w:sz w:val="21"/>
          <w:szCs w:val="21"/>
        </w:rPr>
        <w:t>中标单位若出现下列行为之一者，甲方有权责令其限期整改或依法采取有效措施督促其履行义务，逾期不整改的有权终止与中标单位签订的《作业服务合同》：</w:t>
      </w:r>
    </w:p>
    <w:p>
      <w:pPr>
        <w:autoSpaceDE w:val="0"/>
        <w:autoSpaceDN w:val="0"/>
        <w:adjustRightIn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3.1 未按照法律、法规、规章及有关管理规定和合同约定条款内容，情节严重的；</w:t>
      </w:r>
    </w:p>
    <w:p>
      <w:pPr>
        <w:autoSpaceDE w:val="0"/>
        <w:autoSpaceDN w:val="0"/>
        <w:adjustRightIn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3.2 因经营管理不善，发生重大质量、安全生产事故或亏损严重，无法正常运营的；</w:t>
      </w:r>
    </w:p>
    <w:p>
      <w:pPr>
        <w:autoSpaceDE w:val="0"/>
        <w:autoSpaceDN w:val="0"/>
        <w:adjustRightIn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3.3 在服务期内因企业自身资质、车辆及人员情况不能满足本次招标要求的；</w:t>
      </w:r>
    </w:p>
    <w:p>
      <w:pPr>
        <w:autoSpaceDE w:val="0"/>
        <w:autoSpaceDN w:val="0"/>
        <w:adjustRightIn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3.4 违反《上海市生活垃圾管理条例》规定，不执行“不分类、不收运”收运制度。未分类收集、运输的，经责令整改后，仍发现2次以上未分类收集、运输的；餐厨垃圾未破袋收集、满溢的，视同未分类收集；</w:t>
      </w:r>
    </w:p>
    <w:p>
      <w:pPr>
        <w:autoSpaceDE w:val="0"/>
        <w:autoSpaceDN w:val="0"/>
        <w:adjustRightIn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 xml:space="preserve">3.5 作业服务单位有暴力抗法的行为。 </w:t>
      </w:r>
    </w:p>
    <w:p>
      <w:pPr>
        <w:autoSpaceDE w:val="0"/>
        <w:autoSpaceDN w:val="0"/>
        <w:adjustRightIn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3.6 法律禁止的其他行为。</w:t>
      </w:r>
    </w:p>
    <w:p>
      <w:pPr>
        <w:autoSpaceDE w:val="0"/>
        <w:autoSpaceDN w:val="0"/>
        <w:adjustRightInd w:val="0"/>
        <w:spacing w:line="360" w:lineRule="auto"/>
        <w:ind w:firstLine="420"/>
        <w:rPr>
          <w:rFonts w:hint="eastAsia" w:ascii="宋体" w:hAnsi="宋体" w:eastAsia="宋体" w:cs="宋体"/>
          <w:sz w:val="21"/>
          <w:szCs w:val="21"/>
        </w:rPr>
      </w:pPr>
    </w:p>
    <w:p>
      <w:pPr>
        <w:pStyle w:val="8"/>
        <w:spacing w:line="360" w:lineRule="auto"/>
        <w:ind w:left="413" w:firstLine="0" w:firstLineChars="0"/>
        <w:rPr>
          <w:rFonts w:hint="eastAsia" w:ascii="宋体" w:hAnsi="宋体" w:eastAsia="宋体" w:cs="宋体"/>
          <w:b/>
          <w:bCs/>
          <w:sz w:val="21"/>
          <w:szCs w:val="21"/>
        </w:rPr>
      </w:pPr>
      <w:r>
        <w:rPr>
          <w:rFonts w:hint="eastAsia" w:ascii="宋体" w:hAnsi="宋体" w:eastAsia="宋体" w:cs="宋体"/>
          <w:b/>
          <w:bCs/>
          <w:sz w:val="21"/>
          <w:szCs w:val="21"/>
        </w:rPr>
        <w:t>十二、检验和验收要求</w:t>
      </w:r>
    </w:p>
    <w:p>
      <w:pPr>
        <w:autoSpaceDE w:val="0"/>
        <w:autoSpaceDN w:val="0"/>
        <w:adjustRightInd w:val="0"/>
        <w:spacing w:line="360" w:lineRule="auto"/>
        <w:ind w:firstLine="420"/>
        <w:rPr>
          <w:rFonts w:hint="eastAsia" w:ascii="宋体" w:hAnsi="宋体" w:eastAsia="宋体" w:cs="宋体"/>
          <w:kern w:val="0"/>
          <w:sz w:val="21"/>
          <w:szCs w:val="21"/>
          <w:lang w:val="zh-CN"/>
        </w:rPr>
      </w:pPr>
      <w:r>
        <w:rPr>
          <w:rFonts w:hint="eastAsia" w:ascii="宋体" w:hAnsi="宋体" w:eastAsia="宋体" w:cs="宋体"/>
          <w:sz w:val="21"/>
          <w:szCs w:val="21"/>
        </w:rPr>
        <w:t>本项目由采购人自行对中标单位的服务进行考核和验收。</w:t>
      </w:r>
      <w:r>
        <w:rPr>
          <w:rFonts w:hint="eastAsia" w:ascii="宋体" w:hAnsi="宋体" w:eastAsia="宋体" w:cs="宋体"/>
          <w:kern w:val="0"/>
          <w:sz w:val="21"/>
          <w:szCs w:val="21"/>
          <w:lang w:val="zh-CN"/>
        </w:rPr>
        <w:t>考核细则详见“附件1”</w:t>
      </w:r>
    </w:p>
    <w:p>
      <w:pPr>
        <w:autoSpaceDE w:val="0"/>
        <w:autoSpaceDN w:val="0"/>
        <w:adjustRightInd w:val="0"/>
        <w:spacing w:line="360" w:lineRule="auto"/>
        <w:ind w:firstLine="420"/>
        <w:rPr>
          <w:rFonts w:hint="eastAsia" w:ascii="宋体" w:hAnsi="宋体" w:eastAsia="宋体" w:cs="宋体"/>
          <w:b/>
          <w:kern w:val="0"/>
          <w:sz w:val="21"/>
          <w:szCs w:val="21"/>
          <w:lang w:val="zh-CN"/>
        </w:rPr>
      </w:pPr>
      <w:r>
        <w:rPr>
          <w:rFonts w:hint="eastAsia" w:ascii="宋体" w:hAnsi="宋体" w:eastAsia="宋体" w:cs="宋体"/>
          <w:b/>
          <w:kern w:val="0"/>
          <w:sz w:val="21"/>
          <w:szCs w:val="21"/>
          <w:lang w:val="zh-CN"/>
        </w:rPr>
        <w:t>附件1：考核表</w:t>
      </w:r>
    </w:p>
    <w:tbl>
      <w:tblPr>
        <w:tblStyle w:val="6"/>
        <w:tblW w:w="8520" w:type="dxa"/>
        <w:tblInd w:w="93" w:type="dxa"/>
        <w:tblLayout w:type="fixed"/>
        <w:tblCellMar>
          <w:top w:w="0" w:type="dxa"/>
          <w:left w:w="108" w:type="dxa"/>
          <w:bottom w:w="0" w:type="dxa"/>
          <w:right w:w="108" w:type="dxa"/>
        </w:tblCellMar>
      </w:tblPr>
      <w:tblGrid>
        <w:gridCol w:w="636"/>
        <w:gridCol w:w="1141"/>
        <w:gridCol w:w="1422"/>
        <w:gridCol w:w="2511"/>
        <w:gridCol w:w="1616"/>
        <w:gridCol w:w="597"/>
        <w:gridCol w:w="597"/>
      </w:tblGrid>
      <w:tr>
        <w:tblPrEx>
          <w:tblLayout w:type="fixed"/>
          <w:tblCellMar>
            <w:top w:w="0" w:type="dxa"/>
            <w:left w:w="108" w:type="dxa"/>
            <w:bottom w:w="0" w:type="dxa"/>
            <w:right w:w="108" w:type="dxa"/>
          </w:tblCellMar>
        </w:tblPrEx>
        <w:trPr>
          <w:trHeight w:val="824" w:hRule="atLeast"/>
        </w:trPr>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考核 部门</w:t>
            </w:r>
          </w:p>
        </w:tc>
        <w:tc>
          <w:tcPr>
            <w:tcW w:w="1141"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考核项目</w:t>
            </w:r>
          </w:p>
        </w:tc>
        <w:tc>
          <w:tcPr>
            <w:tcW w:w="1422"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工作目标</w:t>
            </w:r>
          </w:p>
        </w:tc>
        <w:tc>
          <w:tcPr>
            <w:tcW w:w="2511"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具体考核办法</w:t>
            </w:r>
          </w:p>
        </w:tc>
        <w:tc>
          <w:tcPr>
            <w:tcW w:w="1616"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扣分标准</w:t>
            </w:r>
          </w:p>
        </w:tc>
        <w:tc>
          <w:tcPr>
            <w:tcW w:w="597"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分值</w:t>
            </w:r>
          </w:p>
        </w:tc>
        <w:tc>
          <w:tcPr>
            <w:tcW w:w="597"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得分</w:t>
            </w:r>
          </w:p>
        </w:tc>
      </w:tr>
      <w:tr>
        <w:tblPrEx>
          <w:tblLayout w:type="fixed"/>
          <w:tblCellMar>
            <w:top w:w="0" w:type="dxa"/>
            <w:left w:w="108" w:type="dxa"/>
            <w:bottom w:w="0" w:type="dxa"/>
            <w:right w:w="108" w:type="dxa"/>
          </w:tblCellMar>
        </w:tblPrEx>
        <w:trPr>
          <w:trHeight w:val="1600" w:hRule="atLeast"/>
        </w:trPr>
        <w:tc>
          <w:tcPr>
            <w:tcW w:w="636" w:type="dxa"/>
            <w:vMerge w:val="restart"/>
            <w:tcBorders>
              <w:top w:val="nil"/>
              <w:left w:val="single" w:color="auto" w:sz="4" w:space="0"/>
              <w:bottom w:val="single" w:color="000000"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废弃物管理所（满分为100分）</w:t>
            </w:r>
          </w:p>
        </w:tc>
        <w:tc>
          <w:tcPr>
            <w:tcW w:w="1141"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工作推进</w:t>
            </w:r>
          </w:p>
        </w:tc>
        <w:tc>
          <w:tcPr>
            <w:tcW w:w="1422"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进一步扩大对餐厨垃圾分类收运的单位范围和数量</w:t>
            </w:r>
          </w:p>
        </w:tc>
        <w:tc>
          <w:tcPr>
            <w:tcW w:w="2511"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对区局环管科要求落实分类收运的单位，收运企业应及时落实相应作业任务，应收尽收（特殊情况除外）。</w:t>
            </w:r>
          </w:p>
        </w:tc>
        <w:tc>
          <w:tcPr>
            <w:tcW w:w="1616"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未能及时落实相关作业量的，有1起扣1分，扣完为止。</w:t>
            </w:r>
          </w:p>
        </w:tc>
        <w:tc>
          <w:tcPr>
            <w:tcW w:w="597"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97"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Layout w:type="fixed"/>
          <w:tblCellMar>
            <w:top w:w="0" w:type="dxa"/>
            <w:left w:w="108" w:type="dxa"/>
            <w:bottom w:w="0" w:type="dxa"/>
            <w:right w:w="108" w:type="dxa"/>
          </w:tblCellMar>
        </w:tblPrEx>
        <w:trPr>
          <w:trHeight w:val="2495" w:hRule="atLeast"/>
        </w:trPr>
        <w:tc>
          <w:tcPr>
            <w:tcW w:w="636" w:type="dxa"/>
            <w:vMerge w:val="continue"/>
            <w:tcBorders>
              <w:top w:val="nil"/>
              <w:left w:val="single" w:color="auto" w:sz="4" w:space="0"/>
              <w:bottom w:val="single" w:color="000000" w:sz="4" w:space="0"/>
              <w:right w:val="single" w:color="auto" w:sz="4" w:space="0"/>
            </w:tcBorders>
            <w:vAlign w:val="center"/>
          </w:tcPr>
          <w:p>
            <w:pPr>
              <w:widowControl/>
              <w:rPr>
                <w:rFonts w:hint="eastAsia" w:ascii="宋体" w:hAnsi="宋体" w:eastAsia="宋体" w:cs="宋体"/>
                <w:kern w:val="0"/>
                <w:sz w:val="21"/>
                <w:szCs w:val="21"/>
              </w:rPr>
            </w:pPr>
          </w:p>
        </w:tc>
        <w:tc>
          <w:tcPr>
            <w:tcW w:w="1141"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接收对第三方作业服务投诉</w:t>
            </w:r>
          </w:p>
        </w:tc>
        <w:tc>
          <w:tcPr>
            <w:tcW w:w="1422"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通过有责投诉，进一步发现问题，督促收运企业加强管理，提高作业服务水平。</w:t>
            </w:r>
          </w:p>
        </w:tc>
        <w:tc>
          <w:tcPr>
            <w:tcW w:w="2511"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管理部门接到相关街镇、物业、市民、单位的餐厨垃圾作业服务投诉（如收运垃圾未按照约定的时间和频率、对已收运单位随意停止收运、收运人员服务态度差等）后，由督察人员上门了解核实情况，落实责任。废管所应对每起有责投诉进行记录，留作扣分依据。</w:t>
            </w:r>
          </w:p>
        </w:tc>
        <w:tc>
          <w:tcPr>
            <w:tcW w:w="1616"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废管所收到相关街镇、物业、市民、单位对收运企业的作业服务投诉经核实后，确定为收运企业过错责任的，有1起扣1分，扣完为止。</w:t>
            </w:r>
          </w:p>
        </w:tc>
        <w:tc>
          <w:tcPr>
            <w:tcW w:w="597"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97"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Layout w:type="fixed"/>
          <w:tblCellMar>
            <w:top w:w="0" w:type="dxa"/>
            <w:left w:w="108" w:type="dxa"/>
            <w:bottom w:w="0" w:type="dxa"/>
            <w:right w:w="108" w:type="dxa"/>
          </w:tblCellMar>
        </w:tblPrEx>
        <w:trPr>
          <w:trHeight w:val="2283" w:hRule="atLeast"/>
        </w:trPr>
        <w:tc>
          <w:tcPr>
            <w:tcW w:w="636" w:type="dxa"/>
            <w:vMerge w:val="continue"/>
            <w:tcBorders>
              <w:top w:val="nil"/>
              <w:left w:val="single" w:color="auto" w:sz="4" w:space="0"/>
              <w:bottom w:val="single" w:color="000000" w:sz="4" w:space="0"/>
              <w:right w:val="single" w:color="auto" w:sz="4" w:space="0"/>
            </w:tcBorders>
            <w:vAlign w:val="center"/>
          </w:tcPr>
          <w:p>
            <w:pPr>
              <w:widowControl/>
              <w:rPr>
                <w:rFonts w:hint="eastAsia" w:ascii="宋体" w:hAnsi="宋体" w:eastAsia="宋体" w:cs="宋体"/>
                <w:kern w:val="0"/>
                <w:sz w:val="21"/>
                <w:szCs w:val="21"/>
              </w:rPr>
            </w:pPr>
          </w:p>
        </w:tc>
        <w:tc>
          <w:tcPr>
            <w:tcW w:w="1141"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收运企业在长宁区田度综合处置中心日常工作生活管理制度；</w:t>
            </w:r>
          </w:p>
        </w:tc>
        <w:tc>
          <w:tcPr>
            <w:tcW w:w="1422"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收运企业工作人员和所属车辆在长宁区田度综合处置中心生活工作期间必须服从上海市长宁区废弃物管理所的统一监管；</w:t>
            </w:r>
          </w:p>
        </w:tc>
        <w:tc>
          <w:tcPr>
            <w:tcW w:w="2511"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详见长宁区田度综合处置中心相关管理规定；</w:t>
            </w:r>
            <w:r>
              <w:rPr>
                <w:rFonts w:hint="eastAsia" w:ascii="宋体" w:hAnsi="宋体" w:eastAsia="宋体" w:cs="宋体"/>
                <w:b/>
                <w:bCs/>
                <w:kern w:val="0"/>
                <w:sz w:val="21"/>
                <w:szCs w:val="21"/>
              </w:rPr>
              <w:t>(扣分：基地内中转设施管理不到位.）</w:t>
            </w:r>
          </w:p>
        </w:tc>
        <w:tc>
          <w:tcPr>
            <w:tcW w:w="1616"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若出现不符合规定情况每次扣除1分，扣完为止。</w:t>
            </w:r>
          </w:p>
        </w:tc>
        <w:tc>
          <w:tcPr>
            <w:tcW w:w="597"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97"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Layout w:type="fixed"/>
          <w:tblCellMar>
            <w:top w:w="0" w:type="dxa"/>
            <w:left w:w="108" w:type="dxa"/>
            <w:bottom w:w="0" w:type="dxa"/>
            <w:right w:w="108" w:type="dxa"/>
          </w:tblCellMar>
        </w:tblPrEx>
        <w:trPr>
          <w:trHeight w:val="2117" w:hRule="atLeast"/>
        </w:trPr>
        <w:tc>
          <w:tcPr>
            <w:tcW w:w="636" w:type="dxa"/>
            <w:vMerge w:val="continue"/>
            <w:tcBorders>
              <w:top w:val="nil"/>
              <w:left w:val="single" w:color="auto" w:sz="4" w:space="0"/>
              <w:bottom w:val="single" w:color="000000" w:sz="4" w:space="0"/>
              <w:right w:val="single" w:color="auto" w:sz="4" w:space="0"/>
            </w:tcBorders>
            <w:vAlign w:val="center"/>
          </w:tcPr>
          <w:p>
            <w:pPr>
              <w:widowControl/>
              <w:rPr>
                <w:rFonts w:hint="eastAsia" w:ascii="宋体" w:hAnsi="宋体" w:eastAsia="宋体" w:cs="宋体"/>
                <w:kern w:val="0"/>
                <w:sz w:val="21"/>
                <w:szCs w:val="21"/>
              </w:rPr>
            </w:pPr>
          </w:p>
        </w:tc>
        <w:tc>
          <w:tcPr>
            <w:tcW w:w="1141"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餐厨垃圾的清运、处置，收运区域要求；</w:t>
            </w:r>
          </w:p>
        </w:tc>
        <w:tc>
          <w:tcPr>
            <w:tcW w:w="1422"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收运企业所属车辆必须在长宁区区域内进行餐厨垃圾的清运、处置，收运车辆不得超越上述区域作业；</w:t>
            </w:r>
          </w:p>
        </w:tc>
        <w:tc>
          <w:tcPr>
            <w:tcW w:w="4127" w:type="dxa"/>
            <w:gridSpan w:val="2"/>
            <w:tcBorders>
              <w:top w:val="single" w:color="auto" w:sz="4" w:space="0"/>
              <w:left w:val="nil"/>
              <w:bottom w:val="single" w:color="auto" w:sz="4" w:space="0"/>
              <w:right w:val="single" w:color="000000"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若出现跨区域收集情况每次扣除5分，扣完为止。</w:t>
            </w:r>
          </w:p>
        </w:tc>
        <w:tc>
          <w:tcPr>
            <w:tcW w:w="597"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97"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Layout w:type="fixed"/>
          <w:tblCellMar>
            <w:top w:w="0" w:type="dxa"/>
            <w:left w:w="108" w:type="dxa"/>
            <w:bottom w:w="0" w:type="dxa"/>
            <w:right w:w="108" w:type="dxa"/>
          </w:tblCellMar>
        </w:tblPrEx>
        <w:trPr>
          <w:trHeight w:val="3146" w:hRule="atLeast"/>
        </w:trPr>
        <w:tc>
          <w:tcPr>
            <w:tcW w:w="636" w:type="dxa"/>
            <w:vMerge w:val="continue"/>
            <w:tcBorders>
              <w:top w:val="nil"/>
              <w:left w:val="single" w:color="auto" w:sz="4" w:space="0"/>
              <w:bottom w:val="single" w:color="000000" w:sz="4" w:space="0"/>
              <w:right w:val="single" w:color="auto" w:sz="4" w:space="0"/>
            </w:tcBorders>
            <w:vAlign w:val="center"/>
          </w:tcPr>
          <w:p>
            <w:pPr>
              <w:widowControl/>
              <w:rPr>
                <w:rFonts w:hint="eastAsia" w:ascii="宋体" w:hAnsi="宋体" w:eastAsia="宋体" w:cs="宋体"/>
                <w:kern w:val="0"/>
                <w:sz w:val="21"/>
                <w:szCs w:val="21"/>
              </w:rPr>
            </w:pPr>
          </w:p>
        </w:tc>
        <w:tc>
          <w:tcPr>
            <w:tcW w:w="1141"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对于收运企业车辆规范称重计量要求；收运车辆要求。</w:t>
            </w:r>
          </w:p>
        </w:tc>
        <w:tc>
          <w:tcPr>
            <w:tcW w:w="1422"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收运企业车辆在餐厨垃圾清运、处置前后必须经由长宁区田度综合处置中心进行规范称量计量后方能进行日常作业；收运车辆必须具有三证，且安装GPS定位系统，运输作业人员须培训具备上岗资格。</w:t>
            </w:r>
          </w:p>
        </w:tc>
        <w:tc>
          <w:tcPr>
            <w:tcW w:w="4127" w:type="dxa"/>
            <w:gridSpan w:val="2"/>
            <w:tcBorders>
              <w:top w:val="single" w:color="auto" w:sz="4" w:space="0"/>
              <w:left w:val="nil"/>
              <w:bottom w:val="single" w:color="auto" w:sz="4" w:space="0"/>
              <w:right w:val="single" w:color="000000"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若出现收运车辆不符合规范称重计量情况每次扣除1分，扣完为止。收运车辆行政证过期、驾驶员驾照过期、收运人员未经培训擅自上岗的，发现一起扣除1分，扣完为止。</w:t>
            </w:r>
          </w:p>
        </w:tc>
        <w:tc>
          <w:tcPr>
            <w:tcW w:w="597"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97"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Layout w:type="fixed"/>
          <w:tblCellMar>
            <w:top w:w="0" w:type="dxa"/>
            <w:left w:w="108" w:type="dxa"/>
            <w:bottom w:w="0" w:type="dxa"/>
            <w:right w:w="108" w:type="dxa"/>
          </w:tblCellMar>
        </w:tblPrEx>
        <w:trPr>
          <w:trHeight w:val="952" w:hRule="atLeast"/>
        </w:trPr>
        <w:tc>
          <w:tcPr>
            <w:tcW w:w="732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合  计</w:t>
            </w:r>
          </w:p>
        </w:tc>
        <w:tc>
          <w:tcPr>
            <w:tcW w:w="597"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97"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　</w:t>
            </w:r>
          </w:p>
        </w:tc>
      </w:tr>
    </w:tbl>
    <w:p>
      <w:pPr>
        <w:autoSpaceDE w:val="0"/>
        <w:autoSpaceDN w:val="0"/>
        <w:adjustRightInd w:val="0"/>
        <w:spacing w:line="360" w:lineRule="auto"/>
        <w:ind w:firstLine="420"/>
        <w:rPr>
          <w:rFonts w:hint="eastAsia" w:ascii="宋体" w:hAnsi="宋体" w:eastAsia="宋体" w:cs="宋体"/>
          <w:sz w:val="21"/>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细黑">
    <w:altName w:val="方正细黑一_GBK"/>
    <w:panose1 w:val="02010600040101010101"/>
    <w:charset w:val="86"/>
    <w:family w:val="auto"/>
    <w:pitch w:val="default"/>
    <w:sig w:usb0="00000000" w:usb1="00000000" w:usb2="00000000" w:usb3="00000000" w:csb0="0004009F" w:csb1="DFD70000"/>
  </w:font>
  <w:font w:name="思源黑体 CN">
    <w:panose1 w:val="020B0600000000000000"/>
    <w:charset w:val="86"/>
    <w:family w:val="auto"/>
    <w:pitch w:val="default"/>
    <w:sig w:usb0="2000000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3912878"/>
      <w:docPartObj>
        <w:docPartGallery w:val="autotext"/>
      </w:docPartObj>
    </w:sdtPr>
    <w:sdtContent>
      <w:p>
        <w:pPr>
          <w:pStyle w:val="3"/>
          <w:jc w:val="right"/>
        </w:pPr>
        <w:r>
          <w:fldChar w:fldCharType="begin"/>
        </w:r>
        <w:r>
          <w:instrText xml:space="preserve">PAGE   \* MERGEFORMAT</w:instrText>
        </w:r>
        <w:r>
          <w:fldChar w:fldCharType="separate"/>
        </w:r>
        <w:r>
          <w:rPr>
            <w:lang w:val="zh-CN"/>
          </w:rPr>
          <w:t>8</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w:rPr>
        <w:rFonts w:hint="eastAsia"/>
        <w:color w:val="auto"/>
      </w:rPr>
      <w:t>ZC20</w:t>
    </w:r>
    <w:r>
      <w:rPr>
        <w:rFonts w:hint="eastAsia"/>
        <w:color w:val="auto"/>
        <w:lang w:val="en-US" w:eastAsia="zh-CN"/>
      </w:rPr>
      <w:t>210027</w:t>
    </w:r>
    <w:r>
      <w:rPr>
        <w:rFonts w:hint="eastAsia"/>
        <w:color w:val="auto"/>
      </w:rPr>
      <w:t xml:space="preserve">   </w:t>
    </w:r>
    <w:r>
      <w:rPr>
        <w:rFonts w:hint="eastAsia" w:ascii="Times New Roman" w:hAnsi="Times New Roman" w:eastAsia="宋体" w:cs="Times New Roman"/>
        <w:color w:val="auto"/>
      </w:rPr>
      <w:t>2</w:t>
    </w:r>
    <w:r>
      <w:rPr>
        <w:rFonts w:hint="eastAsia" w:ascii="Times New Roman" w:hAnsi="Times New Roman" w:eastAsia="宋体" w:cs="Times New Roman"/>
      </w:rPr>
      <w:t>021年长宁区长宁区餐厨垃圾收运服务</w:t>
    </w:r>
    <w:r>
      <w:rPr>
        <w:rFonts w:hint="eastAsia"/>
      </w:rPr>
      <w:t xml:space="preserve">公开招标项目         </w:t>
    </w:r>
    <w:r>
      <w:rPr>
        <w:rFonts w:hint="eastAsia"/>
        <w:lang w:val="en-US" w:eastAsia="zh-CN"/>
      </w:rPr>
      <w:t xml:space="preserve">        </w:t>
    </w:r>
    <w:r>
      <w:rPr>
        <w:rFonts w:hint="eastAsia"/>
      </w:rPr>
      <w:t xml:space="preserve"> </w:t>
    </w:r>
    <w:r>
      <w:rPr>
        <w:rFonts w:hint="eastAsia"/>
        <w:lang w:eastAsia="zh-CN"/>
      </w:rPr>
      <w:t>招标需求</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02A"/>
    <w:rsid w:val="0007568B"/>
    <w:rsid w:val="00120B38"/>
    <w:rsid w:val="001D6CD5"/>
    <w:rsid w:val="001F22E5"/>
    <w:rsid w:val="004055E0"/>
    <w:rsid w:val="004508E3"/>
    <w:rsid w:val="00487057"/>
    <w:rsid w:val="004A1E32"/>
    <w:rsid w:val="005E2922"/>
    <w:rsid w:val="006A5BEA"/>
    <w:rsid w:val="00750052"/>
    <w:rsid w:val="00B412E8"/>
    <w:rsid w:val="00B6313B"/>
    <w:rsid w:val="00B7626A"/>
    <w:rsid w:val="00C830F2"/>
    <w:rsid w:val="00C859DE"/>
    <w:rsid w:val="00D0440D"/>
    <w:rsid w:val="00D3202A"/>
    <w:rsid w:val="00D54715"/>
    <w:rsid w:val="00E802B9"/>
    <w:rsid w:val="049C6C0D"/>
    <w:rsid w:val="4AF27948"/>
    <w:rsid w:val="5C754D9C"/>
    <w:rsid w:val="6B7CF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1"/>
    <w:qFormat/>
    <w:uiPriority w:val="1"/>
    <w:pPr>
      <w:spacing w:after="120"/>
    </w:pPr>
    <w:rPr>
      <w:rFonts w:ascii="Calibri" w:hAnsi="Calibri"/>
      <w:kern w:val="0"/>
      <w:sz w:val="24"/>
      <w:szCs w:val="20"/>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rFonts w:ascii="Times New Roman" w:hAnsi="Times New Roman" w:eastAsia="宋体" w:cs="Times New Roman"/>
      <w:sz w:val="18"/>
      <w:szCs w:val="18"/>
    </w:rPr>
  </w:style>
  <w:style w:type="paragraph" w:customStyle="1" w:styleId="8">
    <w:name w:val="List Paragraph1"/>
    <w:basedOn w:val="1"/>
    <w:qFormat/>
    <w:uiPriority w:val="99"/>
    <w:pPr>
      <w:ind w:firstLine="420" w:firstLineChars="200"/>
    </w:pPr>
    <w:rPr>
      <w:rFonts w:eastAsia="楷体_GB2312"/>
      <w:sz w:val="30"/>
      <w:szCs w:val="30"/>
    </w:rPr>
  </w:style>
  <w:style w:type="paragraph" w:styleId="9">
    <w:name w:val="List Paragraph"/>
    <w:basedOn w:val="1"/>
    <w:qFormat/>
    <w:uiPriority w:val="99"/>
    <w:pPr>
      <w:ind w:firstLine="420" w:firstLineChars="200"/>
    </w:pPr>
  </w:style>
  <w:style w:type="paragraph" w:styleId="10">
    <w:name w:val="No Spacing"/>
    <w:qFormat/>
    <w:uiPriority w:val="99"/>
    <w:pPr>
      <w:adjustRightInd w:val="0"/>
      <w:snapToGrid w:val="0"/>
    </w:pPr>
    <w:rPr>
      <w:rFonts w:ascii="Tahoma" w:hAnsi="Tahoma" w:eastAsia="微软雅黑" w:cs="Tahoma"/>
      <w:kern w:val="0"/>
      <w:sz w:val="22"/>
      <w:szCs w:val="22"/>
      <w:lang w:val="en-US" w:eastAsia="zh-CN" w:bidi="ar-SA"/>
    </w:rPr>
  </w:style>
  <w:style w:type="character" w:customStyle="1" w:styleId="11">
    <w:name w:val="正文文本 Char"/>
    <w:basedOn w:val="5"/>
    <w:link w:val="2"/>
    <w:qFormat/>
    <w:uiPriority w:val="1"/>
    <w:rPr>
      <w:rFonts w:ascii="Calibri" w:hAnsi="Calibri" w:eastAsia="宋体" w:cs="Times New Roman"/>
      <w:kern w:val="0"/>
      <w:sz w:val="24"/>
      <w:szCs w:val="20"/>
    </w:rPr>
  </w:style>
  <w:style w:type="character" w:customStyle="1" w:styleId="12">
    <w:name w:val="页脚 Char"/>
    <w:basedOn w:val="5"/>
    <w:link w:val="3"/>
    <w:qFormat/>
    <w:uiPriority w:val="99"/>
    <w:rPr>
      <w:rFonts w:ascii="Times New Roman" w:hAnsi="Times New Roman" w:eastAsia="宋体" w:cs="Times New Roman"/>
      <w:sz w:val="18"/>
      <w:szCs w:val="18"/>
    </w:rPr>
  </w:style>
  <w:style w:type="paragraph" w:customStyle="1" w:styleId="13">
    <w:name w:val="Char Char"/>
    <w:basedOn w:val="1"/>
    <w:qFormat/>
    <w:uiPriority w:val="0"/>
    <w:rPr>
      <w:rFonts w:ascii="仿宋_GB2312" w:hAnsi="华文细黑"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555</Words>
  <Characters>3170</Characters>
  <Lines>26</Lines>
  <Paragraphs>7</Paragraphs>
  <TotalTime>1</TotalTime>
  <ScaleCrop>false</ScaleCrop>
  <LinksUpToDate>false</LinksUpToDate>
  <CharactersWithSpaces>3718</CharactersWithSpaces>
  <Application>WPS Office_10.1.0.7526_F1E327BC-269C-435d-A152-05C5408002CA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2021-03-11T18:30:00Z</dcterms:created>
  <dc:creator>牛叔叔</dc:creator>
  <cp:lastModifiedBy>user</cp:lastModifiedBy>
  <dcterms:modified xsi:type="dcterms:W3CDTF">2021-03-26T15:54:13Z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2052-10.1.0.7526</vt:lpwstr>
  </property>
  <property fmtid="{D5CDD505-2E9C-101B-9397-08002B2CF9AE}" pid="3" name="ICV">
    <vt:lpwstr>18F546BF326D468DAC259796F0228623</vt:lpwstr>
  </property>
</Properties>
</file>