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312" w:beforeLines="100" w:after="312" w:afterLines="100"/>
        <w:jc w:val="center"/>
        <w:rPr>
          <w:rFonts w:ascii="Times New Roman" w:hAnsi="Times New Roman" w:eastAsia="宋体" w:cs="Times New Roman"/>
          <w:sz w:val="32"/>
          <w:szCs w:val="32"/>
        </w:rPr>
      </w:pPr>
      <w:r>
        <w:rPr>
          <w:rFonts w:ascii="Times New Roman" w:hAnsi="Times New Roman" w:eastAsia="宋体" w:cs="Times New Roman"/>
          <w:sz w:val="32"/>
          <w:szCs w:val="32"/>
        </w:rPr>
        <w:t>2023年静安区地下空洞隐患探测项目需求书</w:t>
      </w:r>
    </w:p>
    <w:p>
      <w:pPr>
        <w:spacing w:before="156" w:beforeLines="50" w:after="156" w:afterLines="50"/>
        <w:ind w:firstLine="420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ascii="黑体" w:hAnsi="黑体" w:eastAsia="黑体" w:cs="Times New Roman"/>
          <w:b/>
          <w:bCs/>
          <w:sz w:val="28"/>
          <w:szCs w:val="28"/>
        </w:rPr>
        <w:t>一、项目概述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1、项目名称：2023年静安区地下空洞隐患探测项目。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2、项目主要内容概述：根据要求对静安区部分道路进行地下空洞隐患探测。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3、项目经费：全年500万元。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4、付款方式：工程开工后支付50%的工程款，完成检测工作后再支付30%的工程款，审价完成后支付剩余工程款。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5、服务期限：合同签订后至2023年12月31日。</w:t>
      </w:r>
    </w:p>
    <w:p>
      <w:pPr>
        <w:spacing w:before="156" w:beforeLines="50" w:after="156" w:afterLines="50"/>
        <w:ind w:firstLine="420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ascii="黑体" w:hAnsi="黑体" w:eastAsia="黑体" w:cs="Times New Roman"/>
          <w:b/>
          <w:bCs/>
          <w:sz w:val="28"/>
          <w:szCs w:val="28"/>
        </w:rPr>
        <w:t>二、内容和范围：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1、项目内容：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完成纳入2023年静安区道路地下空洞隐患探测计划的道路，实施地下空洞隐患探测，定期报送检测计划、进度、检测成果报告和最终评估报告。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2、项目范围：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静安区范围内长度约75.4公里的道路（车道里程为503.78公里）的地下空洞隐患探测。（详见附表）</w:t>
      </w:r>
    </w:p>
    <w:p>
      <w:pPr>
        <w:spacing w:before="156" w:beforeLines="50" w:after="156" w:afterLines="50"/>
        <w:ind w:firstLine="420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ascii="黑体" w:hAnsi="黑体" w:eastAsia="黑体" w:cs="Times New Roman"/>
          <w:b/>
          <w:bCs/>
          <w:sz w:val="28"/>
          <w:szCs w:val="28"/>
        </w:rPr>
        <w:t>三、合格的投标人必须具备以下条件：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1、符合《中华人民共和国政府采购法》第二十二条规定的供应商。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2、根据《上海市政府采购供应商登记及诚信管理（暂行）办法》已登记入库的供应商。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3、提供本单位中国裁判文书网（http://wenshu.court.gov.cn/）法定代表人及单位无行贿犯罪行为的查询结果，依法缴纳税收和社会保障资金、近三年没有重大违法记录的书面声明。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4、未被列入“信用中国”网站（www.creditchina.gov.cn）失信被执行人名单、重大违法案件当事人名单和中国政府采购网（www.ccgp.gov.cn）政府采购严重违法失信行为记录名单的供应商。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5、具有住建部门颁发的工程勘察岩土工程（物探测试监测检测）乙级或以上资质，或者自然资源部门颁发的测绘乙级或以上资质（须包含工程测量专项）。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6、设备要求：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投标人至少为本项目投入1台三维探地雷达、1台二维探地雷达和1台钻孔取芯设备，提供设备购置合同和发票复印件证明材料</w:t>
      </w:r>
      <w:r>
        <w:rPr>
          <w:rFonts w:hint="eastAsia" w:ascii="Times New Roman" w:hAnsi="Times New Roman" w:eastAsia="宋体" w:cs="Times New Roman"/>
          <w:sz w:val="28"/>
          <w:szCs w:val="28"/>
          <w:lang w:eastAsia="zh-CN"/>
        </w:rPr>
        <w:t>，如设备是租赁的，不是自有设备，需提供租赁合同</w:t>
      </w:r>
      <w:bookmarkStart w:id="0" w:name="_GoBack"/>
      <w:bookmarkEnd w:id="0"/>
      <w:r>
        <w:rPr>
          <w:rFonts w:ascii="Times New Roman" w:hAnsi="Times New Roman" w:eastAsia="宋体" w:cs="Times New Roman"/>
          <w:sz w:val="28"/>
          <w:szCs w:val="28"/>
        </w:rPr>
        <w:t>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7、人员要求：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投标人至少投入2名中级或以上职称的技术人员，其中一人为项目负责人，人员须提供职称证复印件。同时，须为投标人</w:t>
      </w:r>
      <w:r>
        <w:rPr>
          <w:rFonts w:hint="eastAsia" w:ascii="Times New Roman" w:hAnsi="Times New Roman" w:eastAsia="宋体" w:cs="Times New Roman"/>
          <w:sz w:val="28"/>
          <w:szCs w:val="28"/>
        </w:rPr>
        <w:t>的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在职</w:t>
      </w:r>
      <w:r>
        <w:rPr>
          <w:rFonts w:ascii="Times New Roman" w:hAnsi="Times New Roman" w:eastAsia="宋体" w:cs="Times New Roman"/>
          <w:sz w:val="28"/>
          <w:szCs w:val="28"/>
        </w:rPr>
        <w:t>人员，提供</w:t>
      </w:r>
      <w:r>
        <w:rPr>
          <w:rFonts w:hint="eastAsia" w:ascii="Times New Roman" w:hAnsi="Times New Roman" w:eastAsia="宋体" w:cs="Times New Roman"/>
          <w:sz w:val="28"/>
          <w:szCs w:val="28"/>
        </w:rPr>
        <w:t>截至</w:t>
      </w:r>
      <w:r>
        <w:rPr>
          <w:rFonts w:ascii="Times New Roman" w:hAnsi="Times New Roman" w:eastAsia="宋体" w:cs="Times New Roman"/>
          <w:sz w:val="28"/>
          <w:szCs w:val="28"/>
        </w:rPr>
        <w:t>开标当月或上</w:t>
      </w:r>
      <w:r>
        <w:rPr>
          <w:rFonts w:hint="eastAsia" w:ascii="Times New Roman" w:hAnsi="Times New Roman" w:eastAsia="宋体" w:cs="Times New Roman"/>
          <w:sz w:val="28"/>
          <w:szCs w:val="28"/>
        </w:rPr>
        <w:t>个</w:t>
      </w:r>
      <w:r>
        <w:rPr>
          <w:rFonts w:ascii="Times New Roman" w:hAnsi="Times New Roman" w:eastAsia="宋体" w:cs="Times New Roman"/>
          <w:sz w:val="28"/>
          <w:szCs w:val="28"/>
        </w:rPr>
        <w:t>月，投标人为其缴纳的连续3个月的社保证明</w:t>
      </w:r>
      <w:r>
        <w:rPr>
          <w:rFonts w:hint="eastAsia" w:ascii="Times New Roman" w:hAnsi="Times New Roman" w:eastAsia="宋体" w:cs="Times New Roman"/>
          <w:sz w:val="28"/>
          <w:szCs w:val="28"/>
        </w:rPr>
        <w:t>材料</w:t>
      </w:r>
      <w:r>
        <w:rPr>
          <w:rFonts w:ascii="Times New Roman" w:hAnsi="Times New Roman" w:eastAsia="宋体" w:cs="Times New Roman"/>
          <w:sz w:val="28"/>
          <w:szCs w:val="28"/>
        </w:rPr>
        <w:t>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8、本项目不允许联合投标。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单位负责人为同一人或者存在直接控股、管理关系的不同供应商，不得参加同一合同项下的政府采购活动（开标后采购人或代理机构通过“国家企业信用信息公示系统”网站查询，以查询结果为准）。9、根据《上海市政府采购促进中小型企业发展实施办法》（沪财发【2022】1号），本项目为预留小微企业项目。</w:t>
      </w:r>
    </w:p>
    <w:p>
      <w:pPr>
        <w:numPr>
          <w:ilvl w:val="0"/>
          <w:numId w:val="1"/>
        </w:numPr>
        <w:ind w:firstLine="420"/>
        <w:rPr>
          <w:rFonts w:ascii="黑体" w:hAnsi="黑体" w:eastAsia="黑体" w:cs="Times New Roman"/>
          <w:b/>
          <w:bCs/>
          <w:sz w:val="28"/>
          <w:szCs w:val="28"/>
        </w:rPr>
      </w:pPr>
      <w:r>
        <w:rPr>
          <w:rFonts w:ascii="黑体" w:hAnsi="黑体" w:eastAsia="黑体" w:cs="Times New Roman"/>
          <w:b/>
          <w:bCs/>
          <w:sz w:val="28"/>
          <w:szCs w:val="28"/>
        </w:rPr>
        <w:t>项目要求</w:t>
      </w:r>
    </w:p>
    <w:p>
      <w:pPr>
        <w:numPr>
          <w:ilvl w:val="0"/>
          <w:numId w:val="0"/>
        </w:numPr>
        <w:ind w:firstLine="562" w:firstLineChars="20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1、检测工作应参照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（1）《上海市城市体检工作实施方案》（沪建综规〔2020〕640号）；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（2）《城市地下病害体综合探测与风险评估技术标准》（JGJ/T 437-2018）；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（3）《道路塌陷隐患雷达检测技术规范》（T/CMEA 2-2018）；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（4）《城市工程地球物理探测标准》（CJJ/T 7-2017）；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（5）《城镇道路养护技术规程》（CJJ 36-2016）。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国家、地方及市建委颁发的相关工程的法令、法规、政策及规定及现行相关规定要求规范实施。</w:t>
      </w:r>
    </w:p>
    <w:p>
      <w:pPr>
        <w:numPr>
          <w:ilvl w:val="0"/>
          <w:numId w:val="2"/>
        </w:num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工作要求</w:t>
      </w:r>
    </w:p>
    <w:p>
      <w:pPr>
        <w:numPr>
          <w:ilvl w:val="0"/>
          <w:numId w:val="3"/>
        </w:num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采用车载三维雷达全覆盖、二维雷达局部详查及面波法相结合的综合物探手段，对采购范围内路段的地下疏松、脱空、空洞等病害体进行检测，及时准确地发现地下病害体，为病害处置和隐患消除提供依据，保障道路安全通行。</w:t>
      </w:r>
    </w:p>
    <w:p>
      <w:pPr>
        <w:numPr>
          <w:ilvl w:val="0"/>
          <w:numId w:val="3"/>
        </w:num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测线布置应覆盖整个检测区域，无盲区、全覆盖，确保不遗漏任何一处风险源。具备行车条件的车道，采用车载三维雷达进行检测；不具备行车条件的，采用便捷式二维雷达进行检测。对轨道交通沿线、过路顶管、拖拉管、深基坑和深埋市政管线等沿线路段或周边区域，当病害体埋深较大时，结合面波法综合探测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通过现场数据采集，内业整理、处理、解译和分析，结合现场钻孔等有效验证手段，查明地下病害体的具体位置、平面分布、几何尺寸（面积、埋深和净高）等详细信息。同时，根据相关标准，结合现场调查和病害体特征等，分析病害体的影响程度，评定其风险等级，并提出相应的处置建议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4）检测过程中，若发现脱空和空洞等风险等级高的病害体，应采用多种频率雷达天线连续测试，必要时结合面波法进行多种方法综合探测，并将验证资料及时上报采购人，配合采购人或相关单位进行现场警示和处置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（5）投标人应具备24小时工作能力，应急检测须在2小时内到达现场，并在2小时内提供检测成果，保证各项资源投入的及时性、检测工作的高效性，以及结果的准确性，有效指导除险工作。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（6）按时提交详实的检测工作报告。报告内容须包含：工程概况、检测技术与工作方法、仪器设备、测线布置、病害体信息、成因分析、处置建议，病害信息卡等。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（7）为本项目配置隐患管理平台，将地下病害体录入管理平台中，达到平台对应功能模块的呈现要求，对地下病害体进行数字化管理。</w:t>
      </w:r>
    </w:p>
    <w:p>
      <w:pPr>
        <w:ind w:firstLine="42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 xml:space="preserve">3、技术要求 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（1）投入的仪器设备应满足性能稳定、检测结果准确、能适应各种工况作业环境的要求。仪器设备应定期进行检查、校准和保养。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（2）相关检测方法应满足国家及行业相关规范要求，同时完成的技术成果应符合行业技术标准。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（3）采用车载地质雷达法检测时，检测系统应配置高精度的实时定位装置，以便异常点的现场定位。对探测到的异常点，应采用多种天线频率（80MHz ~500MHz）的雷达进行详查，必要时叠加面波法等其他方法进行综合探测，验证或核实探测结果。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4）对空洞、脱空等风险等级高的病害体，应全部采用钻探、内窥镜等手段进行验证；疏松病害体的验证数量，不应少于总数的20%，且不应少于3处。验证结果与解译结果不一致时，应对原始数据、现场复测数据进行重新解译、识别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（5）检测实施方案应获得采购人同意后，方可进行现场检测实施。实施方案应详尽描述具体的实施过程，包括检测方法、数据采集、处理分析方法、验证过程及预期成果等。</w:t>
      </w:r>
    </w:p>
    <w:p>
      <w:pPr>
        <w:ind w:firstLine="420"/>
        <w:rPr>
          <w:rFonts w:ascii="Times New Roman" w:hAnsi="Times New Roman" w:eastAsia="宋体" w:cs="Times New Roman"/>
          <w:b/>
          <w:bCs/>
          <w:color w:val="FF000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4、工作成果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投标人最终提供文字报告包括但不限于下列内容：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（1）工作概况：实施周期、检测方法、执行标准、工作成果、分析建议等。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（2）工程概况：探测目的、内容和范围，技术要求、完成的工作量等；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（3）工作依据：采用技术规范、规程及相关文件；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（4）区域场地条件：地理环境、地形地貌、水文特征、区域地层、现场环境情况等；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（5）工作流程与方法：工作流程、检测方法、仪器设备与参数、测线布置、坐标定位、病害复核、验证方法等；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（6）数据处理与解译：信号识别、数据整理、数据处理、分析和解译等；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（7）地下病害体风险评定：评定方法、指标、结果和统计等；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（8）检测成果与分析：病害体验证情况、成因分析等；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（9）病害处置：处置情况与分析等；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（10）结论与建议。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（11）图件成果：检测道路分布示意图、测线布置示意图、地下病害信息统计表、地下病害信息卡、地下病害分布示意图、病害体验证影像资料。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（12）将病害体录入管理平台，以平台方式呈现检测结果。</w:t>
      </w:r>
    </w:p>
    <w:p>
      <w:pPr>
        <w:ind w:firstLine="42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5、安全文明要求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（1）成交人要根据现场特点，按照国家相关规范规定，加强检测现场安全管理、文明施工。造成一切不良后果或人身伤害，由成交人自行承担，并赔偿可能给采购人或其他第三方造成的损失。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（2）在现场检测工作开展前，必须由项目负责人组织检测人员的安全知识培训，并对参加检测人员进行安全技术交底。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（3）车载三维雷达数据采集、现场复核验证过程中，应做好安全警示工作，所有车辆均贴安全反光条、打开车辆示宽灯和LED 箭头灯，进行警示。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（4）提供检测项目组织方案、交通组织方案和安全防护方案。交通组织总体思路和交通组织方式科学合理，与交通管理部门配合协调，投诉的处理、现场施救除障及时。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（5）为本项目配置专职安全管理人员，做好现场安全文明的监督、管理等工作。</w:t>
      </w:r>
    </w:p>
    <w:p>
      <w:pPr>
        <w:ind w:firstLine="42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6</w:t>
      </w:r>
      <w:r>
        <w:rPr>
          <w:rFonts w:hint="eastAsia" w:ascii="Times New Roman" w:hAnsi="Times New Roman" w:eastAsia="宋体" w:cs="Times New Roman"/>
          <w:b/>
          <w:bCs/>
          <w:sz w:val="28"/>
          <w:szCs w:val="28"/>
        </w:rPr>
        <w:t>、检测的时间要求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（1）中标单位应在中标后15天内提交具体的进度计划。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（2）每月15日前将上个月内完成的检测报告书报送业主。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（3）2023年6月前完成所有路段检测工作。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（4）2023年8月提交本次检测的评估报告。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（5）2023年8月底前完成检测报告等资料的归档工作。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8"/>
          <w:szCs w:val="28"/>
        </w:rPr>
        <w:t>（6）2023年10月底前完成项目审价工作。</w:t>
      </w:r>
    </w:p>
    <w:p>
      <w:pPr>
        <w:numPr>
          <w:ilvl w:val="0"/>
          <w:numId w:val="4"/>
        </w:numPr>
        <w:ind w:firstLine="42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服务期要求</w:t>
      </w:r>
    </w:p>
    <w:p>
      <w:pPr>
        <w:numPr>
          <w:ilvl w:val="0"/>
          <w:numId w:val="0"/>
        </w:numPr>
        <w:ind w:firstLine="560" w:firstLineChars="20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 xml:space="preserve">（1）在服务期内，中标供应商发现病害体的风险等级较高，须以电话、书面报告等形式立即通知采购人，并配合采购人完成病害处置。 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（2）中标供应商完成检测工作后，在提交规定的检测成果时，对采购人就检测结果提出的质疑进行解答或复测。</w:t>
      </w:r>
    </w:p>
    <w:p>
      <w:pPr>
        <w:ind w:firstLine="420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8、其他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1、优先选择具有相似业绩的投标单位（近三年），投入的雷达设备应是自有产权的，并提供发票等的证明资料发票。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2、项目负责人如具有勘察、测绘、建设工程、道桥、市政等相关高级专业职称，并具有安全生产知识考核合格证书的优先考虑。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3、投标人如具备质量、职业健康等管理体系认证，认证范围包含“地下病害体检测”；具备检验检测机构认证证书（CMA），认证项目范围覆盖：地下病害体（限制范围含探地雷达法和面波法）、路面脱空；具有行业标准《JGJ/T 437-2018》所述的多种地球物理探测方法的工作能力和相应的工作业绩；具有道路空洞检测相关的发明专利；具有道路塌陷预警、三维雷达数据采集、数据解译、地下病害体识别等方面的软件著作权的均优先考虑。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4、中标供应商须要承诺中标后为参与项目人员购买意外伤害保险。</w:t>
      </w: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附：2023年静安区道路地下空洞隐患探测计划</w:t>
      </w:r>
    </w:p>
    <w:p>
      <w:pPr>
        <w:ind w:right="320" w:firstLine="420" w:firstLineChars="150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静安区市政工程和配套管理中心</w:t>
      </w: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  <w:r>
        <w:rPr>
          <w:rFonts w:ascii="Times New Roman" w:hAnsi="Times New Roman" w:eastAsia="宋体" w:cs="Times New Roman"/>
          <w:sz w:val="28"/>
          <w:szCs w:val="28"/>
        </w:rPr>
        <w:t>2023年3月15日</w:t>
      </w: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0" w:firstLineChars="150"/>
        <w:jc w:val="right"/>
        <w:rPr>
          <w:rFonts w:ascii="Times New Roman" w:hAnsi="Times New Roman" w:eastAsia="宋体" w:cs="Times New Roman"/>
          <w:sz w:val="28"/>
          <w:szCs w:val="28"/>
        </w:rPr>
      </w:pPr>
    </w:p>
    <w:p>
      <w:pPr>
        <w:ind w:right="320" w:firstLine="422" w:firstLineChars="15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ind w:right="320" w:firstLine="422" w:firstLineChars="15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ind w:right="320" w:firstLine="422" w:firstLineChars="15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</w:p>
    <w:p>
      <w:pPr>
        <w:ind w:right="320" w:firstLine="422" w:firstLineChars="150"/>
        <w:jc w:val="center"/>
        <w:rPr>
          <w:rFonts w:ascii="Times New Roman" w:hAnsi="Times New Roman" w:eastAsia="宋体" w:cs="Times New Roman"/>
          <w:b/>
          <w:bCs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sz w:val="28"/>
          <w:szCs w:val="28"/>
        </w:rPr>
        <w:t>2023年静安区道路地下空洞隐患探测计划</w:t>
      </w:r>
    </w:p>
    <w:tbl>
      <w:tblPr>
        <w:tblStyle w:val="5"/>
        <w:tblW w:w="883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"/>
        <w:gridCol w:w="1285"/>
        <w:gridCol w:w="1484"/>
        <w:gridCol w:w="1484"/>
        <w:gridCol w:w="1333"/>
        <w:gridCol w:w="1418"/>
        <w:gridCol w:w="133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tblHeader/>
          <w:jc w:val="center"/>
        </w:trPr>
        <w:tc>
          <w:tcPr>
            <w:tcW w:w="5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12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道路名称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起点</w:t>
            </w:r>
          </w:p>
        </w:tc>
        <w:tc>
          <w:tcPr>
            <w:tcW w:w="14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终点</w:t>
            </w:r>
          </w:p>
        </w:tc>
        <w:tc>
          <w:tcPr>
            <w:tcW w:w="13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道路长度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道路面积</w:t>
            </w:r>
          </w:p>
        </w:tc>
        <w:tc>
          <w:tcPr>
            <w:tcW w:w="133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kern w:val="0"/>
                <w:sz w:val="24"/>
                <w:szCs w:val="24"/>
              </w:rPr>
              <w:t>检测长度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安庆路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河南北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浙江北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575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7155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1725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安业路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保德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临汾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656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12108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3280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安义路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铜仁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常德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251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7830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安泽路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保德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共和新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318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4126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百禄路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天目中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海宁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1288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宝通路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芷江中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虬江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1064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15332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4256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宝源路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东宝兴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宝山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661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6054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北宝兴路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灵石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560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15638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3920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北京西路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成都北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乌鲁木齐北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2695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74187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16170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北苏州路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河南北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西藏北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14828.5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3519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常熟路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华山路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长乐路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309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8493.4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大统路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中山北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光复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2039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44394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10195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凤阳路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成都北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石门二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6382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1744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奉贤路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凤阳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陕西北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983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13146.7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2949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富民路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延安中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长乐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526.5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8892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2106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高平路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走马塘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灵石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2805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81560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22440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光复路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西藏北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长寿路桥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3450.2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26159.3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6900.4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广延路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360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13060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3240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广中路桥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共和新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900.7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58910.5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13510.5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汉中路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华盛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光复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898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19633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5388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和田路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洛川东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中山北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938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16897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4690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河南北路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天目东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北苏州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978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45456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11736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恒丰路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远景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光复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1543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75622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20059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鸿兴路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中华新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宝山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9906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2785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沪太路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大统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6306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288305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75672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江场路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粤秀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平型关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1067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15027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6402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江场路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共和新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平型关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669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9896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4014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胶州路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安远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愚园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1588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33262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7940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康宁路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区界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844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38350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9284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临汾路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江杨南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东茭泾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3111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65277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15555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岭南路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区界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1502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38217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9012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南京西路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成都北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延安西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85287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19985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南苏州路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石门二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成都北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5488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陕西北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铜仁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458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6690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彭江路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平型关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共和新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11886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3300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平顺路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岭南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1678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28054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6712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平型关路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1746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58555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10476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平型关路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走马塘北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617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17085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3702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普善横路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普善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大统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270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2766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青云路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东宝兴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西藏北以西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781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13885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3905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曲阜西路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西藏北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光复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445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11333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2670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曲沃路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保德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973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20497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4865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山海关路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成都北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石门二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485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6438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1455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少年村路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铁路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457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8083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2285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石门二路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南苏州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南京西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851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29159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6808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石门一路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南京西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延安中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794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24579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5558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寿阳路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北郊站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4980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1127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泰兴路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昌平路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吴江路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1231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22072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6155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天目东路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河南北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浙江北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513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18919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4617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天目中路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浙江北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乌镇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797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23698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万航渡路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长寿路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愚园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1814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52819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12698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万荣路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场中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汶水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845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28105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6760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万荣路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广中西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延长中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713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22663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5704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延安西路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华山路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镇宁路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924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48663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12936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延安中路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老成都北路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华山路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2154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135286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34464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延平路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安远路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新闸路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1121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19267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4484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宜川路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万荣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沪太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836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20177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5016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永和路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共和新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沪太支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2661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60737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15966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永兴路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宝山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大统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1864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35214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9320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原平路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铁路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灵石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2345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54274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14070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粤秀路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江场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灵石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1406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18563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4218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泽州路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洛川中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柳营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394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6840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1576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止园路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陈家宅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中兴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1237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16407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3711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12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芷江中路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东宝兴</w:t>
            </w:r>
          </w:p>
        </w:tc>
        <w:tc>
          <w:tcPr>
            <w:tcW w:w="148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西藏北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890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19795</w:t>
            </w: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5340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0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425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133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75386.4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spacing w:line="288" w:lineRule="auto"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503775.9</w:t>
            </w:r>
          </w:p>
        </w:tc>
      </w:tr>
    </w:tbl>
    <w:p>
      <w:pPr>
        <w:ind w:firstLine="420"/>
        <w:rPr>
          <w:rFonts w:ascii="Times New Roman" w:hAnsi="Times New Roman" w:eastAsia="宋体" w:cs="Times New Roman"/>
          <w:sz w:val="28"/>
          <w:szCs w:val="28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rFonts w:hint="default" w:ascii="Times New Roman" w:hAnsi="Times New Roman" w:eastAsia="宋体" w:cs="Times New Roman"/>
        <w:sz w:val="21"/>
        <w:szCs w:val="21"/>
        <w:lang w:val="en-US" w:eastAsia="zh-CN"/>
      </w:rPr>
    </w:pPr>
    <w:sdt>
      <w:sdtPr>
        <w:id w:val="-96174327"/>
        <w:docPartObj>
          <w:docPartGallery w:val="autotext"/>
        </w:docPartObj>
      </w:sdtPr>
      <w:sdtEndPr>
        <w:rPr>
          <w:rFonts w:ascii="Times New Roman" w:hAnsi="Times New Roman" w:eastAsia="宋体" w:cs="Times New Roman"/>
          <w:sz w:val="21"/>
          <w:szCs w:val="21"/>
        </w:rPr>
      </w:sdtEndPr>
      <w:sdtContent>
        <w:r>
          <w:rPr>
            <w:rFonts w:ascii="Times New Roman" w:hAnsi="Times New Roman" w:eastAsia="宋体" w:cs="Times New Roman"/>
            <w:sz w:val="21"/>
            <w:szCs w:val="21"/>
          </w:rPr>
          <w:fldChar w:fldCharType="begin"/>
        </w:r>
        <w:r>
          <w:rPr>
            <w:rFonts w:ascii="Times New Roman" w:hAnsi="Times New Roman" w:eastAsia="宋体" w:cs="Times New Roman"/>
            <w:sz w:val="21"/>
            <w:szCs w:val="21"/>
          </w:rPr>
          <w:instrText xml:space="preserve">PAGE   \* MERGEFORMAT</w:instrText>
        </w:r>
        <w:r>
          <w:rPr>
            <w:rFonts w:ascii="Times New Roman" w:hAnsi="Times New Roman" w:eastAsia="宋体" w:cs="Times New Roman"/>
            <w:sz w:val="21"/>
            <w:szCs w:val="21"/>
          </w:rPr>
          <w:fldChar w:fldCharType="separate"/>
        </w:r>
        <w:r>
          <w:rPr>
            <w:rFonts w:ascii="Times New Roman" w:hAnsi="Times New Roman" w:eastAsia="宋体" w:cs="Times New Roman"/>
            <w:sz w:val="21"/>
            <w:szCs w:val="21"/>
            <w:lang w:val="zh-CN"/>
          </w:rPr>
          <w:t>2</w:t>
        </w:r>
        <w:r>
          <w:rPr>
            <w:rFonts w:ascii="Times New Roman" w:hAnsi="Times New Roman" w:eastAsia="宋体" w:cs="Times New Roman"/>
            <w:sz w:val="21"/>
            <w:szCs w:val="21"/>
          </w:rPr>
          <w:fldChar w:fldCharType="end"/>
        </w:r>
      </w:sdtContent>
    </w:sdt>
    <w:r>
      <w:rPr>
        <w:rFonts w:ascii="Times New Roman" w:hAnsi="Times New Roman" w:eastAsia="宋体" w:cs="Times New Roman"/>
        <w:sz w:val="21"/>
        <w:szCs w:val="21"/>
      </w:rPr>
      <w:t>/</w:t>
    </w:r>
    <w:r>
      <w:rPr>
        <w:rFonts w:hint="eastAsia" w:ascii="Times New Roman" w:hAnsi="Times New Roman" w:eastAsia="宋体" w:cs="Times New Roman"/>
        <w:sz w:val="21"/>
        <w:szCs w:val="21"/>
        <w:lang w:val="en-US" w:eastAsia="zh-CN"/>
      </w:rPr>
      <w:t>10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D2CA3E6"/>
    <w:multiLevelType w:val="singleLevel"/>
    <w:tmpl w:val="AD2CA3E6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0BADC93"/>
    <w:multiLevelType w:val="singleLevel"/>
    <w:tmpl w:val="C0BADC93"/>
    <w:lvl w:ilvl="0" w:tentative="0">
      <w:start w:val="2"/>
      <w:numFmt w:val="decimal"/>
      <w:suff w:val="nothing"/>
      <w:lvlText w:val="%1、"/>
      <w:lvlJc w:val="left"/>
    </w:lvl>
  </w:abstractNum>
  <w:abstractNum w:abstractNumId="2">
    <w:nsid w:val="D265B0C8"/>
    <w:multiLevelType w:val="singleLevel"/>
    <w:tmpl w:val="D265B0C8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6A26F42C"/>
    <w:multiLevelType w:val="singleLevel"/>
    <w:tmpl w:val="6A26F42C"/>
    <w:lvl w:ilvl="0" w:tentative="0">
      <w:start w:val="7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YzZWJhYTU3YmVkN2UyNGI5NjU3OGIxNDc4NWU4ZjAifQ=="/>
  </w:docVars>
  <w:rsids>
    <w:rsidRoot w:val="00E27D7E"/>
    <w:rsid w:val="00062EAB"/>
    <w:rsid w:val="001201AF"/>
    <w:rsid w:val="00140B6C"/>
    <w:rsid w:val="00210499"/>
    <w:rsid w:val="00220216"/>
    <w:rsid w:val="0025192F"/>
    <w:rsid w:val="002E5E84"/>
    <w:rsid w:val="0039008C"/>
    <w:rsid w:val="00461FDD"/>
    <w:rsid w:val="00463E4B"/>
    <w:rsid w:val="0050126F"/>
    <w:rsid w:val="00563795"/>
    <w:rsid w:val="00594430"/>
    <w:rsid w:val="005A21F1"/>
    <w:rsid w:val="006420C4"/>
    <w:rsid w:val="00705374"/>
    <w:rsid w:val="00784F86"/>
    <w:rsid w:val="007A2970"/>
    <w:rsid w:val="008856DD"/>
    <w:rsid w:val="009C00A7"/>
    <w:rsid w:val="00A07DB8"/>
    <w:rsid w:val="00A13196"/>
    <w:rsid w:val="00A35E0A"/>
    <w:rsid w:val="00AE1D48"/>
    <w:rsid w:val="00BD40D7"/>
    <w:rsid w:val="00BF47E5"/>
    <w:rsid w:val="00C77ED3"/>
    <w:rsid w:val="00CA40A8"/>
    <w:rsid w:val="00CE5503"/>
    <w:rsid w:val="00D614A6"/>
    <w:rsid w:val="00E27D7E"/>
    <w:rsid w:val="00E7668B"/>
    <w:rsid w:val="00E84631"/>
    <w:rsid w:val="00E90CBB"/>
    <w:rsid w:val="00ED77AA"/>
    <w:rsid w:val="0BD2017D"/>
    <w:rsid w:val="213309A6"/>
    <w:rsid w:val="49787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Body text|1"/>
    <w:basedOn w:val="1"/>
    <w:qFormat/>
    <w:uiPriority w:val="0"/>
    <w:pPr>
      <w:spacing w:after="40" w:line="382" w:lineRule="auto"/>
      <w:ind w:firstLine="400"/>
    </w:pPr>
    <w:rPr>
      <w:rFonts w:ascii="宋体" w:hAnsi="宋体" w:eastAsia="宋体" w:cs="宋体"/>
      <w:sz w:val="22"/>
      <w:lang w:val="zh-TW" w:eastAsia="zh-TW" w:bidi="zh-TW"/>
    </w:rPr>
  </w:style>
  <w:style w:type="character" w:customStyle="1" w:styleId="9">
    <w:name w:val="页眉 字符"/>
    <w:basedOn w:val="7"/>
    <w:link w:val="4"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uiPriority w:val="99"/>
    <w:rPr>
      <w:sz w:val="18"/>
      <w:szCs w:val="18"/>
    </w:rPr>
  </w:style>
  <w:style w:type="character" w:customStyle="1" w:styleId="11">
    <w:name w:val="日期 字符"/>
    <w:basedOn w:val="7"/>
    <w:link w:val="2"/>
    <w:semiHidden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4362</Words>
  <Characters>5239</Characters>
  <Lines>43</Lines>
  <Paragraphs>12</Paragraphs>
  <TotalTime>21</TotalTime>
  <ScaleCrop>false</ScaleCrop>
  <LinksUpToDate>false</LinksUpToDate>
  <CharactersWithSpaces>5248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2023-02-28T03:44:00Z</dcterms:created>
  <dc:creator>1030961743@qq.com</dc:creator>
  <cp:lastModifiedBy>myf33</cp:lastModifiedBy>
  <cp:lastPrinted>2023-03-01T05:35:00Z</cp:lastPrinted>
  <dcterms:modified xsi:type="dcterms:W3CDTF">2023-03-16T02:03:27Z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B5E5A1B7F7154AEEA0A5E767C98B9D62</vt:lpwstr>
  </property>
</Properties>
</file>