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center"/>
        <w:rPr>
          <w:rFonts w:ascii="宋体" w:hAnsi="宋体" w:eastAsia="宋体"/>
          <w:b/>
          <w:sz w:val="44"/>
          <w:szCs w:val="44"/>
        </w:rPr>
      </w:pPr>
      <w:r>
        <w:rPr>
          <w:rFonts w:hint="eastAsia" w:ascii="宋体" w:hAnsi="宋体" w:eastAsia="宋体"/>
          <w:b/>
          <w:sz w:val="44"/>
          <w:szCs w:val="44"/>
        </w:rPr>
        <w:t>第四章 项目招标需求</w:t>
      </w:r>
    </w:p>
    <w:p>
      <w:pPr>
        <w:widowControl w:val="0"/>
        <w:numPr>
          <w:ilvl w:val="0"/>
          <w:numId w:val="1"/>
        </w:numPr>
        <w:wordWrap w:val="0"/>
        <w:adjustRightInd w:val="0"/>
        <w:snapToGrid w:val="0"/>
        <w:spacing w:beforeLines="50" w:afterLines="50"/>
        <w:ind w:left="0" w:firstLine="420"/>
        <w:jc w:val="left"/>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项目概况</w:t>
      </w:r>
    </w:p>
    <w:p>
      <w:pPr>
        <w:keepNext/>
        <w:keepLines/>
        <w:numPr>
          <w:ilvl w:val="0"/>
          <w:numId w:val="2"/>
        </w:numPr>
        <w:snapToGrid w:val="0"/>
        <w:spacing w:line="360" w:lineRule="auto"/>
        <w:ind w:left="425" w:hanging="425"/>
        <w:jc w:val="left"/>
        <w:rPr>
          <w:rFonts w:ascii="宋体" w:hAnsi="宋体" w:eastAsia="宋体" w:cs="宋体"/>
          <w:b/>
          <w:bCs/>
          <w:sz w:val="21"/>
          <w:szCs w:val="21"/>
        </w:rPr>
      </w:pPr>
      <w:bookmarkStart w:id="0" w:name="_Toc468108610"/>
      <w:r>
        <w:rPr>
          <w:rFonts w:hint="eastAsia" w:ascii="宋体" w:hAnsi="宋体" w:eastAsia="宋体" w:cs="宋体"/>
          <w:b/>
          <w:bCs/>
          <w:sz w:val="21"/>
          <w:szCs w:val="21"/>
        </w:rPr>
        <w:t>项目名称</w:t>
      </w:r>
      <w:bookmarkEnd w:id="0"/>
    </w:p>
    <w:p>
      <w:pPr>
        <w:snapToGrid w:val="0"/>
        <w:spacing w:line="360" w:lineRule="auto"/>
        <w:jc w:val="left"/>
        <w:rPr>
          <w:rFonts w:ascii="宋体" w:hAnsi="宋体" w:eastAsia="宋体" w:cs="宋体"/>
          <w:sz w:val="21"/>
          <w:szCs w:val="21"/>
        </w:rPr>
      </w:pPr>
      <w:r>
        <w:rPr>
          <w:rFonts w:hint="eastAsia" w:ascii="宋体" w:hAnsi="宋体" w:eastAsia="宋体" w:cs="宋体"/>
          <w:sz w:val="21"/>
          <w:szCs w:val="21"/>
        </w:rPr>
        <w:t>本次项目名称为“</w:t>
      </w:r>
      <w:r>
        <w:rPr>
          <w:rFonts w:hint="eastAsia" w:ascii="宋体" w:hAnsi="宋体" w:eastAsia="宋体" w:cs="宋体"/>
          <w:color w:val="0D0D0D"/>
          <w:sz w:val="21"/>
          <w:szCs w:val="21"/>
        </w:rPr>
        <w:t>宝山区校校通网络升级改造</w:t>
      </w:r>
      <w:r>
        <w:rPr>
          <w:rFonts w:hint="eastAsia" w:ascii="宋体" w:hAnsi="宋体" w:eastAsia="宋体" w:cs="宋体"/>
          <w:sz w:val="21"/>
          <w:szCs w:val="21"/>
        </w:rPr>
        <w:t>”，以下简称为“本项目”。</w:t>
      </w:r>
    </w:p>
    <w:p>
      <w:pPr>
        <w:keepNext/>
        <w:keepLines/>
        <w:numPr>
          <w:ilvl w:val="0"/>
          <w:numId w:val="2"/>
        </w:numPr>
        <w:snapToGrid w:val="0"/>
        <w:spacing w:line="360" w:lineRule="auto"/>
        <w:ind w:left="425" w:hanging="425"/>
        <w:jc w:val="left"/>
        <w:rPr>
          <w:rFonts w:ascii="宋体" w:hAnsi="宋体" w:eastAsia="宋体" w:cs="宋体"/>
          <w:b/>
          <w:bCs/>
          <w:sz w:val="21"/>
          <w:szCs w:val="21"/>
        </w:rPr>
      </w:pPr>
      <w:bookmarkStart w:id="1" w:name="_Toc468108611"/>
      <w:r>
        <w:rPr>
          <w:rFonts w:hint="eastAsia" w:ascii="宋体" w:hAnsi="宋体" w:eastAsia="宋体" w:cs="宋体"/>
          <w:b/>
          <w:bCs/>
          <w:sz w:val="21"/>
          <w:szCs w:val="21"/>
        </w:rPr>
        <w:t>建设单位</w:t>
      </w:r>
      <w:bookmarkEnd w:id="1"/>
    </w:p>
    <w:p>
      <w:pPr>
        <w:snapToGrid w:val="0"/>
        <w:spacing w:line="360" w:lineRule="auto"/>
        <w:jc w:val="left"/>
        <w:rPr>
          <w:rFonts w:ascii="宋体" w:hAnsi="宋体" w:eastAsia="宋体" w:cs="宋体"/>
          <w:sz w:val="21"/>
          <w:szCs w:val="21"/>
        </w:rPr>
      </w:pPr>
      <w:r>
        <w:rPr>
          <w:rFonts w:hint="eastAsia" w:ascii="宋体" w:hAnsi="宋体" w:eastAsia="宋体" w:cs="宋体"/>
          <w:sz w:val="21"/>
          <w:szCs w:val="21"/>
        </w:rPr>
        <w:t>上海市宝山区教育学院、上海市宝山区教育基建设备资产管理中心（以下简称“教育学院”、“管理中心”）。</w:t>
      </w:r>
    </w:p>
    <w:p>
      <w:pPr>
        <w:keepNext/>
        <w:keepLines/>
        <w:numPr>
          <w:ilvl w:val="0"/>
          <w:numId w:val="2"/>
        </w:numPr>
        <w:snapToGrid w:val="0"/>
        <w:spacing w:line="360" w:lineRule="auto"/>
        <w:ind w:left="425" w:hanging="425"/>
        <w:jc w:val="left"/>
        <w:rPr>
          <w:rFonts w:ascii="宋体" w:hAnsi="宋体" w:eastAsia="宋体" w:cs="宋体"/>
          <w:b/>
          <w:bCs/>
          <w:sz w:val="21"/>
          <w:szCs w:val="21"/>
        </w:rPr>
      </w:pPr>
      <w:bookmarkStart w:id="2" w:name="_Toc468108613"/>
      <w:r>
        <w:rPr>
          <w:rFonts w:hint="eastAsia" w:ascii="宋体" w:hAnsi="宋体" w:eastAsia="宋体" w:cs="宋体"/>
          <w:b/>
          <w:bCs/>
          <w:sz w:val="21"/>
          <w:szCs w:val="21"/>
        </w:rPr>
        <w:t>项目</w:t>
      </w:r>
      <w:bookmarkEnd w:id="2"/>
      <w:r>
        <w:rPr>
          <w:rFonts w:hint="eastAsia" w:ascii="宋体" w:hAnsi="宋体" w:eastAsia="宋体" w:cs="宋体"/>
          <w:b/>
          <w:bCs/>
          <w:sz w:val="21"/>
          <w:szCs w:val="21"/>
        </w:rPr>
        <w:t>概况</w:t>
      </w:r>
    </w:p>
    <w:p>
      <w:pPr>
        <w:snapToGrid w:val="0"/>
        <w:spacing w:line="360" w:lineRule="auto"/>
        <w:jc w:val="left"/>
        <w:rPr>
          <w:rFonts w:ascii="宋体" w:hAnsi="宋体" w:eastAsia="宋体" w:cs="宋体"/>
          <w:sz w:val="21"/>
          <w:szCs w:val="21"/>
        </w:rPr>
      </w:pPr>
      <w:bookmarkStart w:id="3" w:name="_Toc468108615"/>
      <w:bookmarkStart w:id="4" w:name="_Toc431202316"/>
      <w:bookmarkStart w:id="5" w:name="_Toc447055253"/>
      <w:r>
        <w:rPr>
          <w:rFonts w:hint="eastAsia" w:ascii="宋体" w:hAnsi="宋体" w:eastAsia="宋体" w:cs="宋体"/>
          <w:sz w:val="21"/>
          <w:szCs w:val="21"/>
        </w:rPr>
        <w:t>宝山区教育局“校校通”网络自2002年建成已运行16年，于2011年底网络进行升级改造，随着教育信息化发展，教学应用、教务管理、校园安全等各方面的信息化应用丰富，网络已成为承载日常教学管理开展的基础条件。本次拟采用最新的网络技术对已运行近8年的“校校通”骨干网络汇聚节点设备和部分学校的接入路由设备进行升级替换，以确保网络的正常稳定运行和满足未来8年网络性能要求。</w:t>
      </w:r>
    </w:p>
    <w:p>
      <w:pPr>
        <w:keepNext/>
        <w:keepLines/>
        <w:numPr>
          <w:ilvl w:val="0"/>
          <w:numId w:val="2"/>
        </w:numPr>
        <w:snapToGrid w:val="0"/>
        <w:spacing w:line="360" w:lineRule="auto"/>
        <w:ind w:left="425" w:hanging="425"/>
        <w:jc w:val="left"/>
        <w:rPr>
          <w:rFonts w:ascii="宋体" w:hAnsi="宋体" w:eastAsia="宋体" w:cs="宋体"/>
          <w:b/>
          <w:bCs/>
          <w:sz w:val="21"/>
          <w:szCs w:val="21"/>
        </w:rPr>
      </w:pPr>
      <w:r>
        <w:rPr>
          <w:rFonts w:hint="eastAsia" w:ascii="宋体" w:hAnsi="宋体" w:eastAsia="宋体" w:cs="宋体"/>
          <w:b/>
          <w:bCs/>
          <w:sz w:val="21"/>
          <w:szCs w:val="21"/>
        </w:rPr>
        <w:t>建设内容</w:t>
      </w:r>
      <w:bookmarkEnd w:id="3"/>
      <w:bookmarkEnd w:id="4"/>
      <w:bookmarkEnd w:id="5"/>
    </w:p>
    <w:p>
      <w:pPr>
        <w:snapToGrid w:val="0"/>
        <w:spacing w:line="360" w:lineRule="auto"/>
        <w:jc w:val="left"/>
        <w:rPr>
          <w:rFonts w:ascii="宋体" w:hAnsi="宋体" w:eastAsia="宋体" w:cs="宋体"/>
          <w:sz w:val="21"/>
          <w:szCs w:val="21"/>
        </w:rPr>
      </w:pPr>
      <w:r>
        <w:rPr>
          <w:rFonts w:hint="eastAsia" w:ascii="宋体" w:hAnsi="宋体" w:eastAsia="宋体" w:cs="宋体"/>
          <w:sz w:val="21"/>
          <w:szCs w:val="21"/>
        </w:rPr>
        <w:t>宝山教育局“校校通”网络于2011年底对网络进行了大规模整体升级改造，整个网络构建了2个核心节点、6个汇聚节点，采用光纤传输网络达到骨干万兆、接入千兆，目前接入公办教学单位已达到390所左右。目前网络设备已运行近8年，核心和汇聚设备原生产厂家均已停产，无法提供生产厂家保修服务。本次拟对整体网络设备进行更新替换，确保“校校通”网络后续稳定可靠运行。</w:t>
      </w:r>
    </w:p>
    <w:p>
      <w:pPr>
        <w:snapToGrid w:val="0"/>
        <w:spacing w:line="360" w:lineRule="auto"/>
        <w:jc w:val="left"/>
        <w:rPr>
          <w:rFonts w:ascii="宋体" w:hAnsi="宋体" w:eastAsia="宋体" w:cs="宋体"/>
          <w:sz w:val="21"/>
          <w:szCs w:val="21"/>
        </w:rPr>
      </w:pPr>
      <w:r>
        <w:rPr>
          <w:rFonts w:hint="eastAsia" w:ascii="宋体" w:hAnsi="宋体" w:eastAsia="宋体" w:cs="宋体"/>
          <w:sz w:val="21"/>
          <w:szCs w:val="21"/>
        </w:rPr>
        <w:t>本期建设内容主要包括以下几个方面：</w:t>
      </w:r>
    </w:p>
    <w:p>
      <w:pPr>
        <w:numPr>
          <w:ilvl w:val="0"/>
          <w:numId w:val="3"/>
        </w:numPr>
        <w:snapToGrid w:val="0"/>
        <w:spacing w:line="360" w:lineRule="auto"/>
        <w:ind w:left="425" w:hanging="425"/>
        <w:jc w:val="left"/>
        <w:rPr>
          <w:rFonts w:ascii="宋体" w:hAnsi="宋体" w:eastAsia="宋体" w:cs="宋体"/>
          <w:b/>
          <w:sz w:val="21"/>
          <w:szCs w:val="21"/>
        </w:rPr>
      </w:pPr>
      <w:r>
        <w:rPr>
          <w:rFonts w:hint="eastAsia" w:ascii="宋体" w:hAnsi="宋体" w:eastAsia="宋体" w:cs="宋体"/>
          <w:b/>
          <w:sz w:val="21"/>
          <w:szCs w:val="21"/>
        </w:rPr>
        <w:t>汇聚层网络设备更新升级。</w:t>
      </w:r>
    </w:p>
    <w:p>
      <w:pPr>
        <w:snapToGrid w:val="0"/>
        <w:spacing w:line="360" w:lineRule="auto"/>
        <w:jc w:val="left"/>
        <w:rPr>
          <w:rFonts w:ascii="宋体" w:hAnsi="宋体" w:eastAsia="宋体" w:cs="宋体"/>
          <w:sz w:val="21"/>
          <w:szCs w:val="21"/>
        </w:rPr>
      </w:pPr>
      <w:r>
        <w:rPr>
          <w:rFonts w:hint="eastAsia" w:ascii="宋体" w:hAnsi="宋体" w:eastAsia="宋体" w:cs="宋体"/>
          <w:sz w:val="21"/>
          <w:szCs w:val="21"/>
        </w:rPr>
        <w:t>宝山区“校校通”骨干汇聚层网络设备已运行9年，该型号设备已处于停产阶段，为保证骨干网安全可靠运行拟对6个汇聚设备进行更新升级。升级后今后可通过按需扩充板卡将网络性能骨干网络速率支持由原来10G互联提升到40G互联。 升级后需要和原有有线网络（核心节点及学校接入节点）和无线网络的进行有效融合，包括链路的互通、协议的互通、管理的融合，确保宝山教育有线无线网络的整体和各类教学业务可靠运行。</w:t>
      </w:r>
    </w:p>
    <w:p>
      <w:pPr>
        <w:numPr>
          <w:ilvl w:val="0"/>
          <w:numId w:val="3"/>
        </w:numPr>
        <w:snapToGrid w:val="0"/>
        <w:spacing w:line="360" w:lineRule="auto"/>
        <w:ind w:left="425" w:hanging="425"/>
        <w:jc w:val="left"/>
        <w:rPr>
          <w:rFonts w:ascii="宋体" w:hAnsi="宋体" w:eastAsia="宋体" w:cs="宋体"/>
          <w:b/>
          <w:sz w:val="21"/>
          <w:szCs w:val="21"/>
        </w:rPr>
      </w:pPr>
      <w:r>
        <w:rPr>
          <w:rFonts w:hint="eastAsia" w:ascii="宋体" w:hAnsi="宋体" w:eastAsia="宋体" w:cs="宋体"/>
          <w:b/>
          <w:sz w:val="21"/>
          <w:szCs w:val="21"/>
        </w:rPr>
        <w:t>部分学校接入路由器设备更新升级</w:t>
      </w:r>
    </w:p>
    <w:p>
      <w:pPr>
        <w:snapToGrid w:val="0"/>
        <w:spacing w:line="360" w:lineRule="auto"/>
        <w:jc w:val="left"/>
        <w:rPr>
          <w:rFonts w:ascii="宋体" w:hAnsi="宋体" w:eastAsia="宋体" w:cs="宋体"/>
          <w:sz w:val="21"/>
          <w:szCs w:val="21"/>
        </w:rPr>
      </w:pPr>
      <w:r>
        <w:rPr>
          <w:rFonts w:hint="eastAsia" w:ascii="宋体" w:hAnsi="宋体" w:eastAsia="宋体" w:cs="宋体"/>
          <w:sz w:val="21"/>
          <w:szCs w:val="21"/>
        </w:rPr>
        <w:t>原教育局“校校通”网络使用锐捷路由器，运行近9年后大量设备已出现故障且无法维修，部分设备已在故障后进行更换，本次拟对剩余的160所学校路由器进行统一更换。</w:t>
      </w:r>
    </w:p>
    <w:p>
      <w:pPr>
        <w:numPr>
          <w:ilvl w:val="0"/>
          <w:numId w:val="3"/>
        </w:numPr>
        <w:snapToGrid w:val="0"/>
        <w:spacing w:line="360" w:lineRule="auto"/>
        <w:ind w:left="425" w:hanging="425"/>
        <w:jc w:val="left"/>
        <w:rPr>
          <w:rFonts w:ascii="宋体" w:hAnsi="宋体" w:eastAsia="宋体" w:cs="宋体"/>
          <w:b/>
          <w:sz w:val="21"/>
          <w:szCs w:val="21"/>
        </w:rPr>
      </w:pPr>
      <w:r>
        <w:rPr>
          <w:rFonts w:hint="eastAsia" w:ascii="宋体" w:hAnsi="宋体" w:eastAsia="宋体" w:cs="宋体"/>
          <w:b/>
          <w:sz w:val="21"/>
          <w:szCs w:val="21"/>
        </w:rPr>
        <w:t>为汇聚节点设备提供配套服务与支持</w:t>
      </w:r>
    </w:p>
    <w:p>
      <w:pPr>
        <w:snapToGrid w:val="0"/>
        <w:spacing w:line="360" w:lineRule="auto"/>
        <w:jc w:val="left"/>
        <w:rPr>
          <w:rFonts w:ascii="宋体" w:hAnsi="宋体" w:eastAsia="宋体" w:cs="宋体"/>
          <w:sz w:val="21"/>
          <w:szCs w:val="21"/>
        </w:rPr>
      </w:pPr>
      <w:r>
        <w:rPr>
          <w:rFonts w:hint="eastAsia" w:ascii="宋体" w:hAnsi="宋体" w:eastAsia="宋体" w:cs="宋体"/>
          <w:sz w:val="21"/>
          <w:szCs w:val="21"/>
        </w:rPr>
        <w:t>汇聚设备升级后，提供6个汇聚节点设备安装机柜及配套（包含设备电源供电电路改造、机架调整、光缆割接跳纤综合布线等配套调整作业），并提供汇聚与核心节点间的裸光纤互联。所提供机房环境需具备国家B级机房标准，并为托管汇聚设备提供7*24小时的运维管理服务。同时对设备割接所涉及到需要对近400所学及汇聚同核心间的光缆光纤进行跳纤、熔接等光纤线路割接工作。</w:t>
      </w:r>
    </w:p>
    <w:p>
      <w:pPr>
        <w:widowControl w:val="0"/>
        <w:jc w:val="both"/>
        <w:rPr>
          <w:rFonts w:ascii="宋体" w:hAnsi="Courier New" w:eastAsia="宋体" w:cs="Times New Roman"/>
          <w:kern w:val="2"/>
          <w:sz w:val="21"/>
          <w:lang w:val="en-US" w:eastAsia="zh-CN" w:bidi="ar-SA"/>
        </w:rPr>
      </w:pPr>
    </w:p>
    <w:p>
      <w:pPr>
        <w:widowControl w:val="0"/>
        <w:numPr>
          <w:ilvl w:val="0"/>
          <w:numId w:val="1"/>
        </w:numPr>
        <w:wordWrap w:val="0"/>
        <w:adjustRightInd w:val="0"/>
        <w:snapToGrid w:val="0"/>
        <w:spacing w:beforeLines="50" w:afterLines="50"/>
        <w:ind w:left="0" w:firstLine="420"/>
        <w:jc w:val="left"/>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总体目标</w:t>
      </w:r>
    </w:p>
    <w:p>
      <w:pPr>
        <w:snapToGrid w:val="0"/>
        <w:spacing w:line="360" w:lineRule="auto"/>
        <w:jc w:val="left"/>
        <w:rPr>
          <w:rFonts w:ascii="宋体" w:hAnsi="宋体" w:eastAsia="宋体" w:cs="宋体"/>
          <w:sz w:val="21"/>
          <w:szCs w:val="21"/>
        </w:rPr>
      </w:pPr>
      <w:r>
        <w:rPr>
          <w:rFonts w:hint="eastAsia" w:ascii="宋体" w:hAnsi="宋体" w:eastAsia="宋体" w:cs="宋体"/>
          <w:sz w:val="21"/>
          <w:szCs w:val="21"/>
        </w:rPr>
        <w:t xml:space="preserve"> </w:t>
      </w:r>
      <w:r>
        <w:rPr>
          <w:rFonts w:ascii="宋体" w:hAnsi="宋体" w:eastAsia="宋体" w:cs="宋体"/>
          <w:sz w:val="21"/>
          <w:szCs w:val="21"/>
        </w:rPr>
        <w:t xml:space="preserve">  </w:t>
      </w:r>
      <w:r>
        <w:rPr>
          <w:rFonts w:hint="eastAsia" w:ascii="宋体" w:hAnsi="宋体" w:eastAsia="宋体" w:cs="宋体"/>
          <w:sz w:val="21"/>
          <w:szCs w:val="21"/>
        </w:rPr>
        <w:t>本项目对宝山教育“校校通”汇聚设备及核心设备板卡进行升级，将原来汇聚和核心间网络万兆骨干升级至40G骨干，同时满足教育信息化各类应用对弹性网络的需求：</w:t>
      </w:r>
    </w:p>
    <w:p>
      <w:pPr>
        <w:keepNext/>
        <w:keepLines/>
        <w:numPr>
          <w:ilvl w:val="0"/>
          <w:numId w:val="4"/>
        </w:numPr>
        <w:snapToGrid w:val="0"/>
        <w:spacing w:line="360" w:lineRule="auto"/>
        <w:ind w:left="425" w:hanging="425"/>
        <w:jc w:val="left"/>
        <w:rPr>
          <w:rFonts w:ascii="宋体" w:hAnsi="宋体" w:eastAsia="宋体" w:cs="宋体"/>
          <w:sz w:val="21"/>
          <w:szCs w:val="21"/>
        </w:rPr>
      </w:pPr>
      <w:r>
        <w:rPr>
          <w:rFonts w:hint="eastAsia" w:ascii="宋体" w:hAnsi="宋体" w:eastAsia="宋体" w:cs="宋体"/>
          <w:sz w:val="21"/>
          <w:szCs w:val="21"/>
        </w:rPr>
        <w:t>先进性：以适度的超前意识为指导，设计采用先进的系统设备及系统软件和开发工具，保证系统在技术上领先，成熟稳定，符合Internet信息社会的发展趋势。</w:t>
      </w:r>
    </w:p>
    <w:p>
      <w:pPr>
        <w:keepNext/>
        <w:keepLines/>
        <w:numPr>
          <w:ilvl w:val="0"/>
          <w:numId w:val="4"/>
        </w:numPr>
        <w:snapToGrid w:val="0"/>
        <w:spacing w:line="360" w:lineRule="auto"/>
        <w:ind w:left="425" w:hanging="425"/>
        <w:jc w:val="left"/>
        <w:rPr>
          <w:rFonts w:ascii="宋体" w:hAnsi="宋体" w:eastAsia="宋体" w:cs="宋体"/>
          <w:sz w:val="21"/>
          <w:szCs w:val="21"/>
        </w:rPr>
      </w:pPr>
      <w:r>
        <w:rPr>
          <w:rFonts w:hint="eastAsia" w:ascii="宋体" w:hAnsi="宋体" w:eastAsia="宋体" w:cs="宋体"/>
          <w:sz w:val="21"/>
          <w:szCs w:val="21"/>
        </w:rPr>
        <w:t>开放性：系统应具备开放性和兼容性，可与未来更换扩展的设备具有互连性和互操作性，各子系统之间留有标准通用通信接口，为子系统的扩充、集成留有余地。</w:t>
      </w:r>
    </w:p>
    <w:p>
      <w:pPr>
        <w:keepNext/>
        <w:keepLines/>
        <w:numPr>
          <w:ilvl w:val="0"/>
          <w:numId w:val="4"/>
        </w:numPr>
        <w:snapToGrid w:val="0"/>
        <w:spacing w:line="360" w:lineRule="auto"/>
        <w:ind w:left="425" w:hanging="425"/>
        <w:jc w:val="left"/>
        <w:rPr>
          <w:rFonts w:ascii="宋体" w:hAnsi="宋体" w:eastAsia="宋体" w:cs="宋体"/>
          <w:sz w:val="21"/>
          <w:szCs w:val="21"/>
        </w:rPr>
      </w:pPr>
      <w:r>
        <w:rPr>
          <w:rFonts w:hint="eastAsia" w:ascii="宋体" w:hAnsi="宋体" w:eastAsia="宋体" w:cs="宋体"/>
          <w:sz w:val="21"/>
          <w:szCs w:val="21"/>
        </w:rPr>
        <w:t>适用性：管理功能全面，能充分满足各种业务的管理要求和不同业务应用对网络带宽、延时、保障、安全的需求。</w:t>
      </w:r>
    </w:p>
    <w:p>
      <w:pPr>
        <w:keepNext/>
        <w:keepLines/>
        <w:numPr>
          <w:ilvl w:val="0"/>
          <w:numId w:val="4"/>
        </w:numPr>
        <w:snapToGrid w:val="0"/>
        <w:spacing w:line="360" w:lineRule="auto"/>
        <w:ind w:left="425" w:hanging="425"/>
        <w:jc w:val="left"/>
        <w:rPr>
          <w:rFonts w:ascii="宋体" w:hAnsi="宋体" w:eastAsia="宋体" w:cs="宋体"/>
          <w:sz w:val="21"/>
          <w:szCs w:val="21"/>
        </w:rPr>
      </w:pPr>
      <w:r>
        <w:rPr>
          <w:rFonts w:hint="eastAsia" w:ascii="宋体" w:hAnsi="宋体" w:eastAsia="宋体" w:cs="宋体"/>
          <w:sz w:val="21"/>
          <w:szCs w:val="21"/>
        </w:rPr>
        <w:t>可维护性：具备故障诊断和分析工具，能帮助维护人员迅速判断故障原因，并具备有效的维护工具和系统自恢复工具，能保证及时准确排除故障。系统应具有远程诊断和维护能力。</w:t>
      </w:r>
    </w:p>
    <w:p>
      <w:pPr>
        <w:widowControl w:val="0"/>
        <w:jc w:val="both"/>
        <w:rPr>
          <w:rFonts w:ascii="宋体" w:hAnsi="Courier New" w:eastAsia="宋体" w:cs="Times New Roman"/>
          <w:kern w:val="2"/>
          <w:sz w:val="21"/>
          <w:lang w:val="en-US" w:eastAsia="zh-CN" w:bidi="ar-SA"/>
        </w:rPr>
      </w:pPr>
    </w:p>
    <w:p>
      <w:pPr>
        <w:widowControl w:val="0"/>
        <w:numPr>
          <w:ilvl w:val="0"/>
          <w:numId w:val="1"/>
        </w:numPr>
        <w:wordWrap w:val="0"/>
        <w:adjustRightInd w:val="0"/>
        <w:snapToGrid w:val="0"/>
        <w:spacing w:beforeLines="50" w:afterLines="50"/>
        <w:ind w:left="0" w:firstLine="420"/>
        <w:jc w:val="left"/>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系统技术要求（★指标为实质性条款，不满足的作为无效投标处理）</w:t>
      </w:r>
    </w:p>
    <w:p>
      <w:pPr>
        <w:keepNext/>
        <w:keepLines/>
        <w:numPr>
          <w:ilvl w:val="0"/>
          <w:numId w:val="5"/>
        </w:numPr>
        <w:snapToGrid w:val="0"/>
        <w:spacing w:line="360" w:lineRule="auto"/>
        <w:ind w:left="425" w:hanging="425"/>
        <w:jc w:val="left"/>
        <w:rPr>
          <w:rFonts w:ascii="宋体" w:hAnsi="宋体" w:eastAsia="宋体" w:cs="宋体"/>
          <w:b/>
          <w:bCs/>
          <w:sz w:val="21"/>
          <w:szCs w:val="21"/>
        </w:rPr>
      </w:pPr>
      <w:r>
        <w:rPr>
          <w:rFonts w:hint="eastAsia" w:ascii="宋体" w:hAnsi="宋体" w:eastAsia="宋体" w:cs="宋体"/>
          <w:b/>
          <w:bCs/>
          <w:sz w:val="21"/>
          <w:szCs w:val="21"/>
        </w:rPr>
        <w:t xml:space="preserve"> 网络整体架构介绍</w:t>
      </w:r>
    </w:p>
    <w:p>
      <w:pPr>
        <w:snapToGrid w:val="0"/>
        <w:spacing w:line="360" w:lineRule="auto"/>
        <w:ind w:firstLine="420" w:firstLineChars="200"/>
        <w:jc w:val="left"/>
        <w:rPr>
          <w:rFonts w:ascii="宋体" w:hAnsi="宋体" w:eastAsia="宋体" w:cs="宋体"/>
          <w:sz w:val="21"/>
          <w:szCs w:val="21"/>
        </w:rPr>
      </w:pPr>
      <w:r>
        <w:rPr>
          <w:rFonts w:hint="eastAsia" w:ascii="宋体" w:hAnsi="宋体" w:eastAsia="宋体" w:cs="宋体"/>
          <w:sz w:val="21"/>
          <w:szCs w:val="21"/>
        </w:rPr>
        <w:t>宝山区教育局“校校通”网络是覆盖宝山区内三百多所学校的综合计算机网络教学平台。全网采用核心-汇聚-接入三层架构。采用MPLS-VPN三层配置，核心设备担当P/PE角色，汇聚设备担当PE，接入层设备担当MCE。目前根据业务需求划分了7个不同的VPN，涵盖了管理系统、巡考系统、有线无线上网系统、互联网访问系统等。从安全和应用考虑，一些VPN之间进行了业务隔离，确保它们不能互访；而另一些VPN可以实现可控的业务融合。宝山区教育局“校校通”网络可以针对不同VPN的业务需求，通过在PE、CE侧的配置，来赋予不同的服务质量等级。这样既保证了网络的服务质量，又降低了管理上的复杂程度。各业务系统统计复用骨干网总带宽，也可以根据各业务系统实际的流量分配带宽，从而合理地使用网络资源，提高网络资源利用率。</w:t>
      </w:r>
    </w:p>
    <w:p>
      <w:pPr>
        <w:widowControl w:val="0"/>
        <w:jc w:val="both"/>
        <w:rPr>
          <w:rFonts w:ascii="宋体" w:hAnsi="Courier New" w:eastAsia="宋体" w:cs="Times New Roman"/>
          <w:kern w:val="2"/>
          <w:sz w:val="21"/>
          <w:lang w:val="en-US" w:eastAsia="zh-CN" w:bidi="ar-SA"/>
        </w:rPr>
      </w:pPr>
    </w:p>
    <w:p>
      <w:pPr>
        <w:keepNext/>
        <w:keepLines/>
        <w:numPr>
          <w:ilvl w:val="0"/>
          <w:numId w:val="5"/>
        </w:numPr>
        <w:snapToGrid w:val="0"/>
        <w:spacing w:line="360" w:lineRule="auto"/>
        <w:ind w:left="425" w:hanging="425"/>
        <w:jc w:val="left"/>
        <w:rPr>
          <w:rFonts w:ascii="宋体" w:hAnsi="宋体" w:eastAsia="宋体" w:cs="宋体"/>
          <w:b/>
          <w:bCs/>
          <w:sz w:val="21"/>
          <w:szCs w:val="21"/>
        </w:rPr>
      </w:pPr>
      <w:bookmarkStart w:id="6" w:name="_Toc526833083"/>
      <w:r>
        <w:rPr>
          <w:rFonts w:hint="eastAsia" w:ascii="宋体" w:hAnsi="宋体" w:eastAsia="宋体" w:cs="宋体"/>
          <w:b/>
          <w:bCs/>
          <w:sz w:val="21"/>
          <w:szCs w:val="21"/>
        </w:rPr>
        <w:t>网络骨干设备升级</w:t>
      </w:r>
      <w:bookmarkEnd w:id="6"/>
    </w:p>
    <w:p>
      <w:pPr>
        <w:snapToGrid w:val="0"/>
        <w:spacing w:line="360" w:lineRule="auto"/>
        <w:ind w:firstLine="420" w:firstLineChars="200"/>
        <w:jc w:val="left"/>
        <w:rPr>
          <w:rFonts w:ascii="宋体" w:hAnsi="宋体" w:eastAsia="宋体" w:cs="宋体"/>
          <w:sz w:val="21"/>
          <w:szCs w:val="21"/>
        </w:rPr>
      </w:pPr>
      <w:r>
        <w:rPr>
          <w:rFonts w:hint="eastAsia" w:ascii="宋体" w:hAnsi="宋体" w:eastAsia="宋体" w:cs="宋体"/>
          <w:sz w:val="21"/>
          <w:szCs w:val="21"/>
        </w:rPr>
        <w:t>宝山区“校校通”骨干汇聚层网络设备已运行8年，该型号设备已处于停产阶段，为保证骨干网安全可靠运行拟对6个汇聚设备进行更新升级。升级后今后可通过按需扩充板卡将网络性能骨干网络速率支持由原来10G互联提升到40G互联；网络架构的设计应满足未来数年内网络扩展及虚拟化的需求，并且在能支持SDN（软件定义网络）和教育云VDC（虚拟数据中心）技术，通过软件配置对网络构架进行重定义，方便的进行升级扩容。</w:t>
      </w:r>
    </w:p>
    <w:p>
      <w:pPr>
        <w:snapToGrid w:val="0"/>
        <w:spacing w:line="360" w:lineRule="auto"/>
        <w:ind w:firstLine="420" w:firstLineChars="200"/>
        <w:jc w:val="left"/>
        <w:rPr>
          <w:rFonts w:ascii="宋体" w:hAnsi="宋体" w:eastAsia="宋体" w:cs="宋体"/>
          <w:sz w:val="21"/>
          <w:szCs w:val="21"/>
        </w:rPr>
      </w:pPr>
      <w:r>
        <w:rPr>
          <w:rFonts w:hint="eastAsia" w:ascii="宋体" w:hAnsi="宋体" w:eastAsia="宋体" w:cs="宋体"/>
          <w:sz w:val="21"/>
          <w:szCs w:val="21"/>
        </w:rPr>
        <w:t>为响应2017年底，中共中央办公厅和国务院办公厅发布《推进互联网协议第六版本（IPv6）规模部署行动计划》，包括2018年8月教育部对推进IPv6在教育网内的先行先试也提出了积极倡导，本次宝山教育“校校通”网络升级也将尝试在原有网络基础上部署IPv6试验网，为未来新技术网络在宝山教育信息化实施落地进行实验探索。</w:t>
      </w:r>
    </w:p>
    <w:p>
      <w:pPr>
        <w:snapToGrid w:val="0"/>
        <w:spacing w:line="360" w:lineRule="auto"/>
        <w:ind w:firstLine="420" w:firstLineChars="200"/>
        <w:jc w:val="left"/>
        <w:rPr>
          <w:rFonts w:ascii="宋体" w:hAnsi="宋体" w:eastAsia="宋体" w:cs="宋体"/>
          <w:sz w:val="21"/>
          <w:szCs w:val="21"/>
        </w:rPr>
      </w:pPr>
      <w:r>
        <w:rPr>
          <w:rFonts w:hint="eastAsia" w:ascii="宋体" w:hAnsi="宋体" w:eastAsia="宋体" w:cs="宋体"/>
          <w:sz w:val="21"/>
          <w:szCs w:val="21"/>
        </w:rPr>
        <w:t>区教育局“校校通”骨干网络应具备高可靠性及冗余性，即单个设备或单个节点出现故障时候，其他设备/节点可以立刻接管任务，保证网络整体的业务连续性不低于99.99%。骨干网本次达到40G互联，部分重点接入单位今后通过升级光模块接入可达10G。</w:t>
      </w:r>
    </w:p>
    <w:p>
      <w:pPr>
        <w:snapToGrid w:val="0"/>
        <w:spacing w:line="360" w:lineRule="auto"/>
        <w:ind w:firstLine="420" w:firstLineChars="200"/>
        <w:jc w:val="left"/>
        <w:rPr>
          <w:rFonts w:ascii="宋体" w:hAnsi="宋体" w:eastAsia="宋体" w:cs="宋体"/>
          <w:sz w:val="21"/>
          <w:szCs w:val="21"/>
        </w:rPr>
      </w:pPr>
      <w:r>
        <w:rPr>
          <w:rFonts w:hint="eastAsia" w:ascii="宋体" w:hAnsi="宋体" w:eastAsia="宋体" w:cs="宋体"/>
          <w:sz w:val="21"/>
          <w:szCs w:val="21"/>
        </w:rPr>
        <w:t>需对汇聚点设备的安装运营提供配套的机柜托管服务（含光缆、六类网络、面板、机柜配线架等作业安装）。并对设备更新所产生的电源、布线等配套设施进行作业，对汇聚交换机下联学校及上联核心的光纤进行割接跳纤。在设备上架割接过程中，需对作业过程进行有效组织管理尽量减少避免对学校日常教学活动的影响。</w:t>
      </w:r>
    </w:p>
    <w:p>
      <w:pPr>
        <w:numPr>
          <w:ilvl w:val="0"/>
          <w:numId w:val="6"/>
        </w:numPr>
        <w:snapToGrid w:val="0"/>
        <w:spacing w:line="360" w:lineRule="auto"/>
        <w:ind w:left="425" w:hanging="425"/>
        <w:jc w:val="left"/>
        <w:rPr>
          <w:rFonts w:ascii="宋体" w:hAnsi="宋体" w:eastAsia="宋体" w:cs="宋体"/>
          <w:b/>
          <w:sz w:val="21"/>
          <w:szCs w:val="21"/>
        </w:rPr>
      </w:pPr>
      <w:r>
        <w:rPr>
          <w:rFonts w:hint="eastAsia" w:ascii="宋体" w:hAnsi="宋体" w:eastAsia="宋体" w:cs="宋体"/>
          <w:b/>
          <w:sz w:val="21"/>
          <w:szCs w:val="21"/>
        </w:rPr>
        <w:t>6台汇聚层网络路由器设备技术规格要求：（核心产品）</w:t>
      </w:r>
    </w:p>
    <w:p>
      <w:pPr>
        <w:snapToGrid w:val="0"/>
        <w:spacing w:line="360" w:lineRule="auto"/>
        <w:ind w:firstLine="420" w:firstLineChars="200"/>
        <w:jc w:val="left"/>
      </w:pPr>
      <w:r>
        <w:rPr>
          <w:rFonts w:hint="eastAsia" w:ascii="宋体" w:hAnsi="宋体" w:eastAsia="宋体" w:cs="宋体"/>
          <w:sz w:val="21"/>
          <w:szCs w:val="21"/>
        </w:rPr>
        <w:t>含3年生产厂家保修服务，生产厂家现场</w:t>
      </w:r>
      <w:r>
        <w:rPr>
          <w:rFonts w:ascii="宋体" w:hAnsi="宋体" w:eastAsia="宋体" w:cs="宋体"/>
          <w:sz w:val="21"/>
          <w:szCs w:val="21"/>
        </w:rPr>
        <w:t>调试</w:t>
      </w:r>
      <w:r>
        <w:rPr>
          <w:rFonts w:hint="eastAsia" w:ascii="宋体" w:hAnsi="宋体" w:eastAsia="宋体" w:cs="宋体"/>
          <w:sz w:val="21"/>
          <w:szCs w:val="21"/>
        </w:rPr>
        <w:t>服务；提供关于本项目的生产厂家服务承诺函。</w:t>
      </w:r>
    </w:p>
    <w:tbl>
      <w:tblPr>
        <w:tblStyle w:val="6"/>
        <w:tblW w:w="4998" w:type="pct"/>
        <w:tblInd w:w="0" w:type="dxa"/>
        <w:tblLayout w:type="autofit"/>
        <w:tblCellMar>
          <w:top w:w="0" w:type="dxa"/>
          <w:left w:w="0" w:type="dxa"/>
          <w:bottom w:w="0" w:type="dxa"/>
          <w:right w:w="0" w:type="dxa"/>
        </w:tblCellMar>
      </w:tblPr>
      <w:tblGrid>
        <w:gridCol w:w="1452"/>
        <w:gridCol w:w="6881"/>
      </w:tblGrid>
      <w:tr>
        <w:tblPrEx>
          <w:tblCellMar>
            <w:top w:w="0" w:type="dxa"/>
            <w:left w:w="0" w:type="dxa"/>
            <w:bottom w:w="0" w:type="dxa"/>
            <w:right w:w="0" w:type="dxa"/>
          </w:tblCellMar>
        </w:tblPrEx>
        <w:trPr>
          <w:trHeight w:val="665" w:hRule="atLeast"/>
        </w:trPr>
        <w:tc>
          <w:tcPr>
            <w:tcW w:w="871"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kern w:val="0"/>
                <w:sz w:val="21"/>
                <w:szCs w:val="21"/>
              </w:rPr>
            </w:pPr>
            <w:r>
              <w:rPr>
                <w:rFonts w:hint="eastAsia" w:ascii="宋体" w:hAnsi="宋体" w:eastAsia="宋体" w:cs="宋体"/>
                <w:b/>
                <w:kern w:val="0"/>
                <w:sz w:val="21"/>
                <w:szCs w:val="21"/>
              </w:rPr>
              <w:t>指标项</w:t>
            </w:r>
          </w:p>
        </w:tc>
        <w:tc>
          <w:tcPr>
            <w:tcW w:w="412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kern w:val="0"/>
                <w:sz w:val="21"/>
                <w:szCs w:val="21"/>
              </w:rPr>
            </w:pPr>
            <w:r>
              <w:rPr>
                <w:rFonts w:hint="eastAsia" w:ascii="宋体" w:hAnsi="宋体" w:eastAsia="宋体" w:cs="宋体"/>
                <w:b/>
                <w:kern w:val="0"/>
                <w:sz w:val="21"/>
                <w:szCs w:val="21"/>
              </w:rPr>
              <w:t>技术规格要求</w:t>
            </w:r>
          </w:p>
        </w:tc>
      </w:tr>
      <w:tr>
        <w:tblPrEx>
          <w:tblCellMar>
            <w:top w:w="0" w:type="dxa"/>
            <w:left w:w="0" w:type="dxa"/>
            <w:bottom w:w="0" w:type="dxa"/>
            <w:right w:w="0" w:type="dxa"/>
          </w:tblCellMar>
        </w:tblPrEx>
        <w:trPr>
          <w:trHeight w:val="90"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sz w:val="21"/>
                <w:szCs w:val="21"/>
              </w:rPr>
            </w:pPr>
            <w:r>
              <w:rPr>
                <w:rFonts w:hint="eastAsia" w:ascii="宋体" w:hAnsi="宋体" w:eastAsia="宋体" w:cs="宋体"/>
                <w:kern w:val="0"/>
                <w:sz w:val="21"/>
                <w:szCs w:val="21"/>
              </w:rPr>
              <w:t>路由设备性能</w:t>
            </w:r>
          </w:p>
        </w:tc>
        <w:tc>
          <w:tcPr>
            <w:tcW w:w="4128"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kern w:val="0"/>
                <w:sz w:val="21"/>
                <w:szCs w:val="21"/>
              </w:rPr>
            </w:pPr>
            <w:r>
              <w:rPr>
                <w:rFonts w:hint="eastAsia" w:ascii="宋体" w:hAnsi="宋体" w:eastAsia="宋体" w:cs="宋体"/>
                <w:kern w:val="0"/>
                <w:sz w:val="21"/>
                <w:szCs w:val="21"/>
              </w:rPr>
              <w:t xml:space="preserve">★交换容量≥115Tbps，包转发率≥24000Mpps </w:t>
            </w:r>
          </w:p>
          <w:p>
            <w:pPr>
              <w:widowControl/>
              <w:snapToGrid w:val="0"/>
              <w:jc w:val="left"/>
              <w:textAlignment w:val="center"/>
              <w:rPr>
                <w:rFonts w:ascii="宋体" w:hAnsi="宋体" w:eastAsia="宋体" w:cs="宋体"/>
                <w:sz w:val="21"/>
                <w:szCs w:val="21"/>
              </w:rPr>
            </w:pPr>
            <w:r>
              <w:rPr>
                <w:rFonts w:hint="eastAsia" w:ascii="宋体" w:hAnsi="宋体" w:eastAsia="宋体" w:cs="宋体"/>
                <w:kern w:val="0"/>
                <w:sz w:val="21"/>
                <w:szCs w:val="21"/>
              </w:rPr>
              <w:t>（同时提供产品官网截图及链接、官方彩页材料作为证明材料）</w:t>
            </w:r>
          </w:p>
        </w:tc>
      </w:tr>
      <w:tr>
        <w:tblPrEx>
          <w:tblCellMar>
            <w:top w:w="0" w:type="dxa"/>
            <w:left w:w="0" w:type="dxa"/>
            <w:bottom w:w="0" w:type="dxa"/>
            <w:right w:w="0" w:type="dxa"/>
          </w:tblCellMar>
        </w:tblPrEx>
        <w:trPr>
          <w:trHeight w:val="90" w:hRule="atLeast"/>
        </w:trPr>
        <w:tc>
          <w:tcPr>
            <w:tcW w:w="8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sz w:val="21"/>
                <w:szCs w:val="21"/>
              </w:rPr>
            </w:pPr>
            <w:r>
              <w:rPr>
                <w:rFonts w:hint="eastAsia" w:ascii="宋体" w:hAnsi="宋体" w:eastAsia="宋体" w:cs="宋体"/>
                <w:kern w:val="0"/>
                <w:sz w:val="21"/>
                <w:szCs w:val="21"/>
              </w:rPr>
              <w:t>路由设备架构</w:t>
            </w: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kern w:val="0"/>
                <w:sz w:val="21"/>
                <w:szCs w:val="21"/>
              </w:rPr>
            </w:pPr>
            <w:r>
              <w:rPr>
                <w:rFonts w:hint="eastAsia" w:ascii="宋体" w:hAnsi="宋体" w:eastAsia="宋体" w:cs="宋体"/>
                <w:kern w:val="0"/>
                <w:sz w:val="21"/>
                <w:szCs w:val="21"/>
              </w:rPr>
              <w:t>★设备基于 CLOS 分布式多级交换架构，采用分布式的硬件转发和无阻塞交换技术。支持双主控、独立交换网板,交换网板总数≥4并满配</w:t>
            </w:r>
          </w:p>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（提供官网截图和链接证明）</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kern w:val="0"/>
                <w:sz w:val="21"/>
                <w:szCs w:val="21"/>
              </w:rPr>
            </w:pPr>
            <w:r>
              <w:rPr>
                <w:rFonts w:hint="eastAsia" w:ascii="宋体" w:hAnsi="宋体" w:eastAsia="宋体" w:cs="宋体"/>
                <w:kern w:val="0"/>
                <w:sz w:val="21"/>
                <w:szCs w:val="21"/>
              </w:rPr>
              <w:t>整机支持业务载板插槽≥8个（全尺寸业务卡槽位，非子卡槽位）</w:t>
            </w:r>
          </w:p>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（提供官网截图和链接证明）</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kern w:val="0"/>
                <w:sz w:val="21"/>
                <w:szCs w:val="21"/>
              </w:rPr>
            </w:pPr>
            <w:r>
              <w:rPr>
                <w:rFonts w:hint="eastAsia" w:ascii="宋体" w:hAnsi="宋体" w:eastAsia="宋体" w:cs="宋体"/>
                <w:kern w:val="0"/>
                <w:sz w:val="21"/>
                <w:szCs w:val="21"/>
              </w:rPr>
              <w:t>★支持双风扇槽位冗余，支持热插拔</w:t>
            </w:r>
          </w:p>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（提供官网截图和链接证明或国内权威第三方检测报告）</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设备散热方式采用前后风道散热方式</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★支持电源冗余并满配，支持高压直流供电方式</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kern w:val="0"/>
                <w:sz w:val="21"/>
                <w:szCs w:val="21"/>
              </w:rPr>
            </w:pPr>
            <w:r>
              <w:rPr>
                <w:rFonts w:hint="eastAsia" w:ascii="宋体" w:hAnsi="宋体" w:eastAsia="宋体" w:cs="宋体"/>
                <w:kern w:val="0"/>
                <w:sz w:val="21"/>
                <w:szCs w:val="21"/>
              </w:rPr>
              <w:t>设备实配主控内存≥16G</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kern w:val="0"/>
                <w:sz w:val="21"/>
                <w:szCs w:val="21"/>
              </w:rPr>
            </w:pPr>
            <w:r>
              <w:rPr>
                <w:rFonts w:hint="eastAsia" w:ascii="宋体" w:hAnsi="宋体" w:eastAsia="宋体" w:cs="宋体"/>
                <w:kern w:val="0"/>
                <w:sz w:val="21"/>
                <w:szCs w:val="21"/>
              </w:rPr>
              <w:t>▲设备单槽位端口容量≥1.2T</w:t>
            </w:r>
          </w:p>
          <w:p>
            <w:pPr>
              <w:widowControl/>
              <w:snapToGrid w:val="0"/>
              <w:jc w:val="left"/>
              <w:textAlignment w:val="top"/>
              <w:rPr>
                <w:rFonts w:ascii="宋体" w:hAnsi="宋体" w:eastAsia="宋体" w:cs="宋体"/>
                <w:kern w:val="0"/>
                <w:sz w:val="21"/>
                <w:szCs w:val="21"/>
              </w:rPr>
            </w:pPr>
            <w:r>
              <w:rPr>
                <w:rFonts w:hint="eastAsia" w:ascii="宋体" w:hAnsi="宋体" w:eastAsia="宋体" w:cs="宋体"/>
                <w:kern w:val="0"/>
                <w:sz w:val="21"/>
                <w:szCs w:val="21"/>
              </w:rPr>
              <w:t>（提供官网截图和链接证明）</w:t>
            </w:r>
          </w:p>
        </w:tc>
      </w:tr>
      <w:tr>
        <w:tblPrEx>
          <w:tblCellMar>
            <w:top w:w="0" w:type="dxa"/>
            <w:left w:w="0" w:type="dxa"/>
            <w:bottom w:w="0" w:type="dxa"/>
            <w:right w:w="0" w:type="dxa"/>
          </w:tblCellMar>
        </w:tblPrEx>
        <w:trPr>
          <w:trHeight w:val="681"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kern w:val="0"/>
                <w:sz w:val="21"/>
                <w:szCs w:val="21"/>
              </w:rPr>
            </w:pPr>
            <w:r>
              <w:rPr>
                <w:rFonts w:hint="eastAsia" w:ascii="宋体" w:hAnsi="宋体" w:eastAsia="宋体" w:cs="宋体"/>
                <w:kern w:val="0"/>
                <w:sz w:val="21"/>
                <w:szCs w:val="21"/>
              </w:rPr>
              <w:t>设备交换网采用基于信元交换的负载分担交换技术，</w:t>
            </w:r>
          </w:p>
          <w:p>
            <w:pPr>
              <w:widowControl/>
              <w:snapToGrid w:val="0"/>
              <w:jc w:val="left"/>
              <w:textAlignment w:val="top"/>
              <w:rPr>
                <w:rFonts w:ascii="宋体" w:hAnsi="宋体" w:eastAsia="宋体" w:cs="宋体"/>
                <w:kern w:val="0"/>
                <w:sz w:val="21"/>
                <w:szCs w:val="21"/>
              </w:rPr>
            </w:pPr>
            <w:r>
              <w:rPr>
                <w:rFonts w:hint="eastAsia" w:ascii="宋体" w:hAnsi="宋体" w:eastAsia="宋体" w:cs="宋体"/>
                <w:kern w:val="0"/>
                <w:sz w:val="21"/>
                <w:szCs w:val="21"/>
              </w:rPr>
              <w:t>（提供官网或产品手册等公开的技术描述材料）</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kern w:val="0"/>
                <w:sz w:val="21"/>
                <w:szCs w:val="21"/>
              </w:rPr>
            </w:pPr>
            <w:r>
              <w:rPr>
                <w:rFonts w:hint="eastAsia" w:ascii="宋体" w:hAnsi="宋体" w:eastAsia="宋体" w:cs="宋体"/>
                <w:kern w:val="0"/>
                <w:sz w:val="21"/>
                <w:szCs w:val="21"/>
              </w:rPr>
              <w:t>要求所有关键模块（包括业务板卡、电源及风扇）均可热插拔</w:t>
            </w:r>
          </w:p>
        </w:tc>
      </w:tr>
      <w:tr>
        <w:tblPrEx>
          <w:tblCellMar>
            <w:top w:w="0" w:type="dxa"/>
            <w:left w:w="0" w:type="dxa"/>
            <w:bottom w:w="0" w:type="dxa"/>
            <w:right w:w="0" w:type="dxa"/>
          </w:tblCellMar>
        </w:tblPrEx>
        <w:trPr>
          <w:trHeight w:val="90" w:hRule="atLeast"/>
        </w:trPr>
        <w:tc>
          <w:tcPr>
            <w:tcW w:w="871"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left"/>
              <w:textAlignment w:val="center"/>
              <w:rPr>
                <w:rFonts w:ascii="宋体" w:hAnsi="宋体" w:eastAsia="宋体" w:cs="宋体"/>
                <w:sz w:val="21"/>
                <w:szCs w:val="21"/>
              </w:rPr>
            </w:pPr>
            <w:r>
              <w:rPr>
                <w:rFonts w:hint="eastAsia" w:ascii="宋体" w:hAnsi="宋体" w:eastAsia="宋体" w:cs="宋体"/>
                <w:kern w:val="0"/>
                <w:sz w:val="21"/>
                <w:szCs w:val="21"/>
              </w:rPr>
              <w:t>接口类型</w:t>
            </w: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★设备支持100GE/50GE/40GE/10GE/GE/FE等接口模块</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设备支持100G/50GE自适应端口，支持100GE/40GE自适应端口，支持10GE/GE自适应端口</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支持端口散列技术，可将100GE端口散列成10个10GE口进行使用</w:t>
            </w:r>
          </w:p>
        </w:tc>
      </w:tr>
      <w:tr>
        <w:tblPrEx>
          <w:tblCellMar>
            <w:top w:w="0" w:type="dxa"/>
            <w:left w:w="0" w:type="dxa"/>
            <w:bottom w:w="0" w:type="dxa"/>
            <w:right w:w="0" w:type="dxa"/>
          </w:tblCellMar>
        </w:tblPrEx>
        <w:trPr>
          <w:trHeight w:val="1185" w:hRule="atLeast"/>
        </w:trPr>
        <w:tc>
          <w:tcPr>
            <w:tcW w:w="8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sz w:val="21"/>
                <w:szCs w:val="21"/>
              </w:rPr>
            </w:pPr>
            <w:r>
              <w:rPr>
                <w:rFonts w:hint="eastAsia" w:ascii="宋体" w:hAnsi="宋体" w:eastAsia="宋体" w:cs="宋体"/>
                <w:kern w:val="0"/>
                <w:sz w:val="21"/>
                <w:szCs w:val="21"/>
              </w:rPr>
              <w:t>协议与功能</w:t>
            </w: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bCs/>
                <w:sz w:val="21"/>
                <w:szCs w:val="13"/>
              </w:rPr>
              <w:t>▲</w:t>
            </w:r>
            <w:r>
              <w:rPr>
                <w:rFonts w:hint="eastAsia" w:ascii="宋体" w:hAnsi="宋体" w:eastAsia="宋体" w:cs="宋体"/>
                <w:kern w:val="0"/>
                <w:sz w:val="21"/>
                <w:szCs w:val="21"/>
              </w:rPr>
              <w:t>IPv4、Ipv6路由及转发表容量要求：</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1、IPv4路由表容量≥25M 、IPv6路由表容量≥10M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2、IPv4转发表容量（FIB）≥4M、IPv6转发表容量（FIB）≥2M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（满足以上容量提供国内第三方权威测试报告证明）</w:t>
            </w:r>
          </w:p>
        </w:tc>
      </w:tr>
      <w:tr>
        <w:tblPrEx>
          <w:tblCellMar>
            <w:top w:w="0" w:type="dxa"/>
            <w:left w:w="0" w:type="dxa"/>
            <w:bottom w:w="0" w:type="dxa"/>
            <w:right w:w="0" w:type="dxa"/>
          </w:tblCellMar>
        </w:tblPrEx>
        <w:trPr>
          <w:trHeight w:val="277"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支持RIP、OSPF、IS-IS、BGP等路由协议</w:t>
            </w:r>
          </w:p>
        </w:tc>
      </w:tr>
      <w:tr>
        <w:tblPrEx>
          <w:tblCellMar>
            <w:top w:w="0" w:type="dxa"/>
            <w:left w:w="0" w:type="dxa"/>
            <w:bottom w:w="0" w:type="dxa"/>
            <w:right w:w="0" w:type="dxa"/>
          </w:tblCellMar>
        </w:tblPrEx>
        <w:trPr>
          <w:trHeight w:val="339"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支持L2VPN、L3VPN、EVPN等VPN技术</w:t>
            </w:r>
          </w:p>
        </w:tc>
      </w:tr>
      <w:tr>
        <w:tblPrEx>
          <w:tblCellMar>
            <w:top w:w="0" w:type="dxa"/>
            <w:left w:w="0" w:type="dxa"/>
            <w:bottom w:w="0" w:type="dxa"/>
            <w:right w:w="0" w:type="dxa"/>
          </w:tblCellMar>
        </w:tblPrEx>
        <w:trPr>
          <w:trHeight w:val="245"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支持LDP LSP、RSVP-TE、SR-TE等MPLS技术</w:t>
            </w:r>
          </w:p>
        </w:tc>
      </w:tr>
      <w:tr>
        <w:tblPrEx>
          <w:tblCellMar>
            <w:top w:w="0" w:type="dxa"/>
            <w:left w:w="0" w:type="dxa"/>
            <w:bottom w:w="0" w:type="dxa"/>
            <w:right w:w="0" w:type="dxa"/>
          </w:tblCellMar>
        </w:tblPrEx>
        <w:trPr>
          <w:trHeight w:val="322"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支持VXLAN、GRE等隧道技术</w:t>
            </w:r>
          </w:p>
        </w:tc>
      </w:tr>
      <w:tr>
        <w:tblPrEx>
          <w:tblCellMar>
            <w:top w:w="0" w:type="dxa"/>
            <w:left w:w="0" w:type="dxa"/>
            <w:bottom w:w="0" w:type="dxa"/>
            <w:right w:w="0" w:type="dxa"/>
          </w:tblCellMar>
        </w:tblPrEx>
        <w:trPr>
          <w:trHeight w:val="537"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支持丰富的BGP ADD-Path(BGP Additional Paths)、BMP和BGP Best-external增强功能</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要求设备具备对VPN路由的按需管理和控制能力：</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支持VPN ORF（VPN路由策略），以满足客户对VPN路由的按需控制</w:t>
            </w:r>
          </w:p>
        </w:tc>
      </w:tr>
      <w:tr>
        <w:tblPrEx>
          <w:tblCellMar>
            <w:top w:w="0" w:type="dxa"/>
            <w:left w:w="0" w:type="dxa"/>
            <w:bottom w:w="0" w:type="dxa"/>
            <w:right w:w="0" w:type="dxa"/>
          </w:tblCellMar>
        </w:tblPrEx>
        <w:trPr>
          <w:trHeight w:val="1389"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具备快路由收敛性能，以满足客户网络要求：</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具备快速IGP路由收敛能力，例如ISIS路由收敛时间，正切＜300ms，回切不丢包；</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具备快速BGP收敛能力，正切＜250ms，回切不丢包；</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具备快速IBGP快速收敛能力，正切≤250ms，回切不丢包</w:t>
            </w:r>
          </w:p>
        </w:tc>
      </w:tr>
      <w:tr>
        <w:tblPrEx>
          <w:tblCellMar>
            <w:top w:w="0" w:type="dxa"/>
            <w:left w:w="0" w:type="dxa"/>
            <w:bottom w:w="0" w:type="dxa"/>
            <w:right w:w="0" w:type="dxa"/>
          </w:tblCellMar>
        </w:tblPrEx>
        <w:trPr>
          <w:trHeight w:val="268"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IPV6线速转发不丢包，满足ipv6网络改造要求</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支持按需灵活配置的低时延、低抖动以太场景类SDH的IP硬管道业务保障能力技术，保障业务带宽</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bCs/>
                <w:sz w:val="21"/>
                <w:szCs w:val="13"/>
              </w:rPr>
              <w:t>▲</w:t>
            </w:r>
            <w:r>
              <w:rPr>
                <w:rFonts w:hint="eastAsia" w:ascii="宋体" w:hAnsi="宋体" w:eastAsia="宋体" w:cs="宋体"/>
                <w:kern w:val="0"/>
                <w:sz w:val="21"/>
                <w:szCs w:val="21"/>
              </w:rPr>
              <w:t>支持5级H-QoS调度（提供国内第三方权威机构测试报告或其他证明材料）</w:t>
            </w:r>
          </w:p>
        </w:tc>
      </w:tr>
      <w:tr>
        <w:tblPrEx>
          <w:tblCellMar>
            <w:top w:w="0" w:type="dxa"/>
            <w:left w:w="0" w:type="dxa"/>
            <w:bottom w:w="0" w:type="dxa"/>
            <w:right w:w="0" w:type="dxa"/>
          </w:tblCellMar>
        </w:tblPrEx>
        <w:trPr>
          <w:trHeight w:val="90" w:hRule="atLeast"/>
        </w:trPr>
        <w:tc>
          <w:tcPr>
            <w:tcW w:w="871"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left"/>
              <w:textAlignment w:val="center"/>
              <w:rPr>
                <w:rFonts w:ascii="宋体" w:hAnsi="宋体" w:eastAsia="宋体" w:cs="宋体"/>
                <w:sz w:val="21"/>
                <w:szCs w:val="21"/>
              </w:rPr>
            </w:pPr>
            <w:r>
              <w:rPr>
                <w:rFonts w:hint="eastAsia" w:ascii="宋体" w:hAnsi="宋体" w:eastAsia="宋体" w:cs="宋体"/>
                <w:kern w:val="0"/>
                <w:sz w:val="21"/>
                <w:szCs w:val="21"/>
              </w:rPr>
              <w:t>高可靠性</w:t>
            </w: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支持基于硬件的BFD故障探测技术，支持最小发包间隔5ms、支持单臂BFD</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支持路由协议按优先级收敛，以最大化保障高优先级业务的快速恢复</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kern w:val="0"/>
                <w:sz w:val="21"/>
                <w:szCs w:val="21"/>
              </w:rPr>
            </w:pPr>
            <w:r>
              <w:rPr>
                <w:rFonts w:hint="eastAsia" w:ascii="宋体" w:hAnsi="宋体" w:eastAsia="宋体" w:cs="宋体"/>
                <w:kern w:val="0"/>
                <w:sz w:val="21"/>
                <w:szCs w:val="21"/>
              </w:rPr>
              <w:t>支持误码倒换功能，以解决传统BFD检测技术无法识别由光路抖动、线路老化等原因导致的概率性误码</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kern w:val="0"/>
                <w:sz w:val="21"/>
                <w:szCs w:val="21"/>
              </w:rPr>
            </w:pPr>
            <w:r>
              <w:rPr>
                <w:rFonts w:hint="eastAsia" w:ascii="宋体" w:hAnsi="宋体" w:eastAsia="宋体" w:cs="宋体"/>
                <w:kern w:val="0"/>
                <w:sz w:val="21"/>
                <w:szCs w:val="21"/>
              </w:rPr>
              <w:t>支持全面的快速重路由FRR功能：IP/IPv6/LDP/TE/VPN/VPNv6 FRR</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kern w:val="0"/>
                <w:sz w:val="21"/>
                <w:szCs w:val="21"/>
              </w:rPr>
            </w:pPr>
            <w:r>
              <w:rPr>
                <w:rFonts w:hint="eastAsia" w:ascii="宋体" w:hAnsi="宋体" w:eastAsia="宋体" w:cs="宋体"/>
                <w:kern w:val="0"/>
                <w:sz w:val="21"/>
                <w:szCs w:val="21"/>
              </w:rPr>
              <w:t>支持RLFA（remote-LFA）技术，以解决某些场景LDP FRR无法生效问题</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kern w:val="0"/>
                <w:sz w:val="21"/>
                <w:szCs w:val="21"/>
              </w:rPr>
            </w:pPr>
            <w:r>
              <w:rPr>
                <w:rFonts w:hint="eastAsia" w:ascii="宋体" w:hAnsi="宋体" w:eastAsia="宋体"/>
                <w:bCs/>
                <w:sz w:val="21"/>
                <w:szCs w:val="13"/>
              </w:rPr>
              <w:t>▲</w:t>
            </w:r>
            <w:r>
              <w:rPr>
                <w:rFonts w:hint="eastAsia" w:ascii="宋体" w:hAnsi="宋体" w:eastAsia="宋体" w:cs="宋体"/>
                <w:kern w:val="0"/>
                <w:sz w:val="21"/>
                <w:szCs w:val="21"/>
              </w:rPr>
              <w:t>支持LDP, VRRP, OSPF, ISIS, BGP, VRRP6, OSPFv3, ISIS6, BGP4+,MPLS L3VPN, MPLS TE, PIM SM的NSR（不中断路由技术），主备倒换不丢包。</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kern w:val="0"/>
                <w:sz w:val="21"/>
                <w:szCs w:val="21"/>
              </w:rPr>
            </w:pPr>
            <w:r>
              <w:rPr>
                <w:rFonts w:hint="eastAsia" w:ascii="宋体" w:hAnsi="宋体" w:eastAsia="宋体"/>
                <w:bCs/>
                <w:sz w:val="21"/>
                <w:szCs w:val="13"/>
              </w:rPr>
              <w:t>▲</w:t>
            </w:r>
            <w:r>
              <w:rPr>
                <w:rFonts w:hint="eastAsia" w:ascii="宋体" w:hAnsi="宋体" w:eastAsia="宋体" w:cs="宋体"/>
                <w:kern w:val="0"/>
                <w:sz w:val="21"/>
                <w:szCs w:val="21"/>
              </w:rPr>
              <w:t>支持VRRP、Eth-Trunk、E-Trunk、ECMP、UCMP等可靠性技术</w:t>
            </w:r>
          </w:p>
        </w:tc>
      </w:tr>
      <w:tr>
        <w:tblPrEx>
          <w:tblCellMar>
            <w:top w:w="0" w:type="dxa"/>
            <w:left w:w="0" w:type="dxa"/>
            <w:bottom w:w="0" w:type="dxa"/>
            <w:right w:w="0" w:type="dxa"/>
          </w:tblCellMar>
        </w:tblPrEx>
        <w:trPr>
          <w:trHeight w:val="90" w:hRule="atLeast"/>
        </w:trPr>
        <w:tc>
          <w:tcPr>
            <w:tcW w:w="871"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left"/>
              <w:textAlignment w:val="center"/>
              <w:rPr>
                <w:rFonts w:ascii="宋体" w:hAnsi="宋体" w:eastAsia="宋体" w:cs="宋体"/>
                <w:sz w:val="21"/>
                <w:szCs w:val="21"/>
              </w:rPr>
            </w:pPr>
            <w:r>
              <w:rPr>
                <w:rFonts w:hint="eastAsia" w:ascii="宋体" w:hAnsi="宋体" w:eastAsia="宋体" w:cs="宋体"/>
                <w:kern w:val="0"/>
                <w:sz w:val="21"/>
                <w:szCs w:val="21"/>
              </w:rPr>
              <w:t>SDN</w:t>
            </w: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kern w:val="0"/>
                <w:sz w:val="21"/>
                <w:szCs w:val="21"/>
              </w:rPr>
            </w:pPr>
            <w:r>
              <w:rPr>
                <w:rFonts w:hint="eastAsia" w:ascii="宋体" w:hAnsi="宋体" w:eastAsia="宋体"/>
                <w:bCs/>
                <w:sz w:val="21"/>
                <w:szCs w:val="13"/>
              </w:rPr>
              <w:t>▲</w:t>
            </w:r>
            <w:r>
              <w:rPr>
                <w:rFonts w:hint="eastAsia" w:ascii="宋体" w:hAnsi="宋体" w:eastAsia="宋体" w:cs="宋体"/>
                <w:kern w:val="0"/>
                <w:sz w:val="21"/>
                <w:szCs w:val="21"/>
              </w:rPr>
              <w:t>支持广域网智能调优（提供国内第三方权威机构测试报告或其他证明材料）</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kern w:val="0"/>
                <w:sz w:val="21"/>
                <w:szCs w:val="21"/>
              </w:rPr>
            </w:pPr>
            <w:r>
              <w:rPr>
                <w:rFonts w:hint="eastAsia" w:ascii="宋体" w:hAnsi="宋体" w:eastAsia="宋体" w:cs="宋体"/>
                <w:kern w:val="0"/>
                <w:sz w:val="21"/>
                <w:szCs w:val="21"/>
              </w:rPr>
              <w:t>支持Restful、netconf、SNMP等接口协议</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kern w:val="0"/>
                <w:sz w:val="21"/>
                <w:szCs w:val="21"/>
              </w:rPr>
            </w:pPr>
            <w:r>
              <w:rPr>
                <w:rFonts w:hint="eastAsia" w:ascii="宋体" w:hAnsi="宋体" w:eastAsia="宋体" w:cs="宋体"/>
                <w:kern w:val="0"/>
                <w:sz w:val="21"/>
                <w:szCs w:val="21"/>
              </w:rPr>
              <w:t>支持BGP-LS、PCEP南向协议，支持通过PCEP协议主动托管SR TE tunnel,支持通过PCEP协议，查看设备LSP信息，通过PCEP修改LSP属性</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支持单域及跨域的VPN端到端自动发放</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支持网络资源、隧道路径、业务路径、及业务SLA的可视可管</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支持业务带宽的按需部署和在线调整</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支持在线仿真及全网流量的趋势预测</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支持基于telemtry的大数据分析，实现专线质量全景分析及呈现</w:t>
            </w:r>
          </w:p>
        </w:tc>
      </w:tr>
      <w:tr>
        <w:tblPrEx>
          <w:tblCellMar>
            <w:top w:w="0" w:type="dxa"/>
            <w:left w:w="0" w:type="dxa"/>
            <w:bottom w:w="0" w:type="dxa"/>
            <w:right w:w="0" w:type="dxa"/>
          </w:tblCellMar>
        </w:tblPrEx>
        <w:trPr>
          <w:trHeight w:val="90" w:hRule="atLeast"/>
        </w:trPr>
        <w:tc>
          <w:tcPr>
            <w:tcW w:w="871"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left"/>
              <w:textAlignment w:val="center"/>
              <w:rPr>
                <w:rFonts w:ascii="宋体" w:hAnsi="宋体" w:eastAsia="宋体" w:cs="宋体"/>
                <w:sz w:val="21"/>
                <w:szCs w:val="21"/>
              </w:rPr>
            </w:pPr>
            <w:r>
              <w:rPr>
                <w:rFonts w:hint="eastAsia" w:ascii="宋体" w:hAnsi="宋体" w:eastAsia="宋体" w:cs="宋体"/>
                <w:kern w:val="0"/>
                <w:sz w:val="21"/>
                <w:szCs w:val="21"/>
              </w:rPr>
              <w:t>SR</w:t>
            </w: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bCs/>
                <w:sz w:val="21"/>
                <w:szCs w:val="13"/>
              </w:rPr>
              <w:t>▲</w:t>
            </w:r>
            <w:r>
              <w:rPr>
                <w:rFonts w:hint="eastAsia" w:ascii="宋体" w:hAnsi="宋体" w:eastAsia="宋体" w:cs="宋体"/>
                <w:kern w:val="0"/>
                <w:sz w:val="21"/>
                <w:szCs w:val="21"/>
              </w:rPr>
              <w:t>支持单域及跨BGP域的Segment Routing技术</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支持Segment Routing与LDP混合组网</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支持SR policy技术</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支持10层SR标签栈深度</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支持SRv6，支持SRv6承载VPN业务</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支持SR的TI-LFA FRR技术</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支持BFD for SR、BFD for SRv6</w:t>
            </w:r>
          </w:p>
        </w:tc>
      </w:tr>
      <w:tr>
        <w:tblPrEx>
          <w:tblCellMar>
            <w:top w:w="0" w:type="dxa"/>
            <w:left w:w="0" w:type="dxa"/>
            <w:bottom w:w="0" w:type="dxa"/>
            <w:right w:w="0" w:type="dxa"/>
          </w:tblCellMar>
        </w:tblPrEx>
        <w:trPr>
          <w:trHeight w:val="90" w:hRule="atLeast"/>
        </w:trPr>
        <w:tc>
          <w:tcPr>
            <w:tcW w:w="8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sz w:val="21"/>
                <w:szCs w:val="21"/>
              </w:rPr>
            </w:pPr>
            <w:r>
              <w:rPr>
                <w:rFonts w:hint="eastAsia" w:ascii="宋体" w:hAnsi="宋体" w:eastAsia="宋体" w:cs="宋体"/>
                <w:kern w:val="0"/>
                <w:sz w:val="21"/>
                <w:szCs w:val="21"/>
              </w:rPr>
              <w:t>安全</w:t>
            </w: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支持CPU攻击溯源功能，可记录攻击源的MAC、IP等详细字段</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支持BGP Flow Specification及BGPv6 Flow Specification技术</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支持通过端口镜像方式实现对流量的监控的能力，须支持远程镜像功能</w:t>
            </w:r>
          </w:p>
        </w:tc>
      </w:tr>
      <w:tr>
        <w:tblPrEx>
          <w:tblCellMar>
            <w:top w:w="0" w:type="dxa"/>
            <w:left w:w="0" w:type="dxa"/>
            <w:bottom w:w="0" w:type="dxa"/>
            <w:right w:w="0" w:type="dxa"/>
          </w:tblCellMar>
        </w:tblPrEx>
        <w:trPr>
          <w:trHeight w:val="8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支持BGP监控协议BGP Monitoring Protocol（BMP）（RFC 7854），能够对网络中设备的BGP运行状态进行实时监控，实现针对网络的路由安全追踪，路由事件回溯和网络安全剖析</w:t>
            </w:r>
          </w:p>
        </w:tc>
      </w:tr>
      <w:tr>
        <w:tblPrEx>
          <w:tblCellMar>
            <w:top w:w="0" w:type="dxa"/>
            <w:left w:w="0" w:type="dxa"/>
            <w:bottom w:w="0" w:type="dxa"/>
            <w:right w:w="0" w:type="dxa"/>
          </w:tblCellMar>
        </w:tblPrEx>
        <w:trPr>
          <w:trHeight w:val="9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left"/>
              <w:rPr>
                <w:rFonts w:ascii="宋体" w:hAnsi="宋体" w:eastAsia="宋体" w:cs="宋体"/>
                <w:sz w:val="21"/>
                <w:szCs w:val="21"/>
              </w:rPr>
            </w:pP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napToGrid w:val="0"/>
              <w:jc w:val="left"/>
              <w:textAlignment w:val="top"/>
              <w:rPr>
                <w:rFonts w:ascii="宋体" w:hAnsi="宋体" w:eastAsia="宋体" w:cs="宋体"/>
                <w:sz w:val="21"/>
                <w:szCs w:val="21"/>
              </w:rPr>
            </w:pPr>
            <w:r>
              <w:rPr>
                <w:rFonts w:hint="eastAsia" w:ascii="宋体" w:hAnsi="宋体" w:eastAsia="宋体" w:cs="宋体"/>
                <w:kern w:val="0"/>
                <w:sz w:val="21"/>
                <w:szCs w:val="21"/>
              </w:rPr>
              <w:t>支持IPV6防攻击技术</w:t>
            </w:r>
          </w:p>
        </w:tc>
      </w:tr>
      <w:tr>
        <w:tblPrEx>
          <w:tblCellMar>
            <w:top w:w="0" w:type="dxa"/>
            <w:left w:w="0" w:type="dxa"/>
            <w:bottom w:w="0" w:type="dxa"/>
            <w:right w:w="0" w:type="dxa"/>
          </w:tblCellMar>
        </w:tblPrEx>
        <w:trPr>
          <w:trHeight w:val="172"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sz w:val="21"/>
                <w:szCs w:val="21"/>
              </w:rPr>
            </w:pPr>
            <w:r>
              <w:rPr>
                <w:rFonts w:hint="eastAsia" w:ascii="宋体" w:hAnsi="宋体" w:eastAsia="宋体" w:cs="宋体"/>
                <w:kern w:val="0"/>
                <w:sz w:val="21"/>
                <w:szCs w:val="21"/>
              </w:rPr>
              <w:t>配置要求</w:t>
            </w:r>
          </w:p>
        </w:tc>
        <w:tc>
          <w:tcPr>
            <w:tcW w:w="4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left"/>
              <w:textAlignment w:val="top"/>
              <w:rPr>
                <w:rFonts w:ascii="宋体" w:hAnsi="宋体" w:eastAsia="宋体" w:cs="宋体"/>
                <w:kern w:val="0"/>
                <w:sz w:val="21"/>
                <w:szCs w:val="21"/>
              </w:rPr>
            </w:pPr>
            <w:r>
              <w:rPr>
                <w:rFonts w:ascii="宋体" w:hAnsi="宋体" w:eastAsia="宋体" w:cs="宋体"/>
                <w:kern w:val="0"/>
                <w:sz w:val="21"/>
                <w:szCs w:val="21"/>
              </w:rPr>
              <w:t>双主控，满配独立交换网板，支持电源冗余并满配，支持高压直流供电方式，风扇框≥2个；所配端口要求全线速。</w:t>
            </w:r>
          </w:p>
          <w:p>
            <w:pPr>
              <w:widowControl/>
              <w:snapToGrid w:val="0"/>
              <w:jc w:val="left"/>
              <w:textAlignment w:val="top"/>
              <w:rPr>
                <w:rFonts w:ascii="宋体" w:hAnsi="宋体" w:eastAsia="宋体" w:cs="宋体"/>
                <w:sz w:val="21"/>
                <w:szCs w:val="21"/>
              </w:rPr>
            </w:pPr>
            <w:r>
              <w:rPr>
                <w:rFonts w:ascii="宋体" w:hAnsi="宋体" w:eastAsia="宋体" w:cs="宋体"/>
                <w:kern w:val="0"/>
                <w:sz w:val="21"/>
                <w:szCs w:val="21"/>
              </w:rPr>
              <w:t>100GQSFP28端口数</w:t>
            </w:r>
            <w:bookmarkStart w:id="7" w:name="OLE_LINK24"/>
            <w:bookmarkStart w:id="8" w:name="OLE_LINK26"/>
            <w:r>
              <w:rPr>
                <w:rFonts w:ascii="宋体" w:hAnsi="宋体" w:eastAsia="宋体" w:cs="宋体"/>
                <w:kern w:val="0"/>
                <w:sz w:val="21"/>
                <w:szCs w:val="21"/>
              </w:rPr>
              <w:t>≥</w:t>
            </w:r>
            <w:bookmarkEnd w:id="7"/>
            <w:bookmarkEnd w:id="8"/>
            <w:r>
              <w:rPr>
                <w:rFonts w:ascii="宋体" w:hAnsi="宋体" w:eastAsia="宋体" w:cs="宋体"/>
                <w:kern w:val="0"/>
                <w:sz w:val="21"/>
                <w:szCs w:val="21"/>
              </w:rPr>
              <w:t>3，10G LAN/WAN SFP+端口数≥12，100/1000M SFP端口数≥96</w:t>
            </w:r>
          </w:p>
        </w:tc>
      </w:tr>
    </w:tbl>
    <w:p>
      <w:pPr>
        <w:widowControl w:val="0"/>
        <w:spacing w:after="120"/>
        <w:jc w:val="both"/>
        <w:rPr>
          <w:rFonts w:ascii="Calibri" w:hAnsi="Calibri" w:eastAsia="楷体_GB2312" w:cs="Times New Roman"/>
          <w:kern w:val="2"/>
          <w:sz w:val="30"/>
          <w:lang w:val="en-US" w:eastAsia="zh-CN" w:bidi="ar-SA"/>
        </w:rPr>
      </w:pPr>
    </w:p>
    <w:p>
      <w:pPr>
        <w:keepNext/>
        <w:keepLines/>
        <w:numPr>
          <w:ilvl w:val="0"/>
          <w:numId w:val="5"/>
        </w:numPr>
        <w:snapToGrid w:val="0"/>
        <w:spacing w:line="360" w:lineRule="auto"/>
        <w:ind w:left="425" w:hanging="425"/>
        <w:jc w:val="left"/>
        <w:rPr>
          <w:rFonts w:ascii="宋体" w:hAnsi="宋体" w:eastAsia="宋体" w:cs="宋体"/>
          <w:b/>
          <w:bCs/>
          <w:sz w:val="21"/>
          <w:szCs w:val="21"/>
        </w:rPr>
      </w:pPr>
      <w:r>
        <w:rPr>
          <w:rFonts w:hint="eastAsia" w:ascii="宋体" w:hAnsi="宋体" w:eastAsia="宋体" w:cs="宋体"/>
          <w:b/>
          <w:bCs/>
          <w:sz w:val="21"/>
          <w:szCs w:val="21"/>
        </w:rPr>
        <w:t>汇聚机房托管及光纤割接</w:t>
      </w:r>
    </w:p>
    <w:p>
      <w:pPr>
        <w:snapToGrid w:val="0"/>
        <w:spacing w:line="360" w:lineRule="auto"/>
        <w:jc w:val="left"/>
        <w:rPr>
          <w:rFonts w:ascii="宋体" w:hAnsi="宋体" w:eastAsia="宋体" w:cs="宋体"/>
          <w:sz w:val="21"/>
          <w:szCs w:val="21"/>
        </w:rPr>
      </w:pPr>
      <w:r>
        <w:rPr>
          <w:rFonts w:hint="eastAsia" w:ascii="宋体" w:hAnsi="宋体" w:eastAsia="宋体" w:cs="宋体"/>
          <w:sz w:val="21"/>
          <w:szCs w:val="21"/>
        </w:rPr>
        <w:t>汇聚设备升级后，提供分布在宝山行政区域内的6个汇聚节点设备托管机柜及配套服务，服务期限二年（包含设备电源供电电路改造、机架调整、光缆割接跳纤综合布线等配套调整作业）。同时满足设备割接所涉及近400所接入学校及核心节点间的光缆光纤互联进行跳纤、熔接、测试等线路割接工作。所提供机房环境需具备国家B级机房标准，为托管汇聚设备提供7*24小时的运维管理服务。</w:t>
      </w:r>
    </w:p>
    <w:p>
      <w:pPr>
        <w:widowControl w:val="0"/>
        <w:spacing w:after="120"/>
        <w:jc w:val="both"/>
        <w:rPr>
          <w:rFonts w:ascii="Calibri" w:hAnsi="Calibri" w:eastAsia="楷体_GB2312" w:cs="Times New Roman"/>
          <w:kern w:val="2"/>
          <w:sz w:val="30"/>
          <w:lang w:val="en-US" w:eastAsia="zh-CN" w:bidi="ar-SA"/>
        </w:rPr>
      </w:pPr>
    </w:p>
    <w:p>
      <w:pPr>
        <w:keepNext/>
        <w:keepLines/>
        <w:numPr>
          <w:ilvl w:val="0"/>
          <w:numId w:val="5"/>
        </w:numPr>
        <w:snapToGrid w:val="0"/>
        <w:spacing w:line="360" w:lineRule="auto"/>
        <w:ind w:left="425" w:hanging="425"/>
        <w:jc w:val="left"/>
        <w:rPr>
          <w:rFonts w:ascii="宋体" w:hAnsi="宋体" w:eastAsia="宋体" w:cs="宋体"/>
          <w:b/>
          <w:bCs/>
          <w:sz w:val="21"/>
          <w:szCs w:val="21"/>
        </w:rPr>
      </w:pPr>
      <w:bookmarkStart w:id="9" w:name="_Toc526833084"/>
      <w:r>
        <w:rPr>
          <w:rFonts w:hint="eastAsia" w:ascii="宋体" w:hAnsi="宋体" w:eastAsia="宋体" w:cs="宋体"/>
          <w:b/>
          <w:bCs/>
          <w:sz w:val="21"/>
          <w:szCs w:val="21"/>
        </w:rPr>
        <w:t>部分学校接入设备升级</w:t>
      </w:r>
      <w:bookmarkEnd w:id="9"/>
    </w:p>
    <w:p>
      <w:pPr>
        <w:snapToGrid w:val="0"/>
        <w:spacing w:line="360" w:lineRule="auto"/>
        <w:jc w:val="left"/>
      </w:pPr>
      <w:r>
        <w:rPr>
          <w:rFonts w:hint="eastAsia" w:ascii="宋体" w:hAnsi="宋体" w:eastAsia="宋体" w:cs="宋体"/>
          <w:sz w:val="21"/>
          <w:szCs w:val="21"/>
        </w:rPr>
        <w:t>原教育局“校校通”网络使用锐捷路由器，运行近8年后大量设备已出现故障且无法维修，部分设备已在故障后进行更换，本次拟对剩余的160所学校路由器进行统一更换。投标单位需负责对学校的路由器进行上架、安全、跳纤、调式等服务工作。路由器针对幼儿园和中小学校根据性能和端口需求不同进行分别采购。含3年生产厂家保修服务，生产厂家现场安装服务；提供关于本项目的生产厂家服务承诺函。</w:t>
      </w:r>
    </w:p>
    <w:p>
      <w:pPr>
        <w:widowControl w:val="0"/>
        <w:spacing w:after="120"/>
        <w:jc w:val="both"/>
        <w:rPr>
          <w:rFonts w:ascii="Calibri" w:hAnsi="Calibri" w:eastAsia="楷体_GB2312" w:cs="Times New Roman"/>
          <w:kern w:val="2"/>
          <w:sz w:val="30"/>
          <w:lang w:val="en-US" w:eastAsia="zh-CN" w:bidi="ar-SA"/>
        </w:rPr>
      </w:pPr>
    </w:p>
    <w:p>
      <w:pPr>
        <w:numPr>
          <w:ilvl w:val="0"/>
          <w:numId w:val="7"/>
        </w:numPr>
        <w:snapToGrid w:val="0"/>
        <w:spacing w:line="360" w:lineRule="auto"/>
        <w:ind w:left="425" w:hanging="425"/>
        <w:jc w:val="left"/>
        <w:rPr>
          <w:rFonts w:ascii="宋体" w:hAnsi="宋体" w:eastAsia="宋体" w:cs="宋体"/>
          <w:b/>
          <w:sz w:val="21"/>
          <w:szCs w:val="21"/>
        </w:rPr>
      </w:pPr>
      <w:r>
        <w:rPr>
          <w:rFonts w:hint="eastAsia" w:ascii="宋体" w:hAnsi="宋体" w:eastAsia="宋体" w:cs="宋体"/>
          <w:b/>
          <w:sz w:val="21"/>
          <w:szCs w:val="21"/>
        </w:rPr>
        <w:t>133台幼儿园接入层网络设备技术规格要求：</w:t>
      </w:r>
    </w:p>
    <w:tbl>
      <w:tblPr>
        <w:tblStyle w:val="6"/>
        <w:tblW w:w="4998" w:type="pct"/>
        <w:tblInd w:w="0" w:type="dxa"/>
        <w:tblLayout w:type="autofit"/>
        <w:tblCellMar>
          <w:top w:w="0" w:type="dxa"/>
          <w:left w:w="108" w:type="dxa"/>
          <w:bottom w:w="0" w:type="dxa"/>
          <w:right w:w="108" w:type="dxa"/>
        </w:tblCellMar>
      </w:tblPr>
      <w:tblGrid>
        <w:gridCol w:w="1736"/>
        <w:gridCol w:w="6783"/>
      </w:tblGrid>
      <w:tr>
        <w:tblPrEx>
          <w:tblCellMar>
            <w:top w:w="0" w:type="dxa"/>
            <w:left w:w="108" w:type="dxa"/>
            <w:bottom w:w="0" w:type="dxa"/>
            <w:right w:w="108" w:type="dxa"/>
          </w:tblCellMar>
        </w:tblPrEx>
        <w:trPr>
          <w:trHeight w:val="285" w:hRule="atLeast"/>
        </w:trPr>
        <w:tc>
          <w:tcPr>
            <w:tcW w:w="10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宋体" w:hAnsi="宋体" w:eastAsia="宋体" w:cs="宋体"/>
                <w:b/>
                <w:bCs/>
                <w:kern w:val="0"/>
                <w:sz w:val="21"/>
                <w:szCs w:val="21"/>
              </w:rPr>
            </w:pPr>
            <w:r>
              <w:rPr>
                <w:rFonts w:hint="eastAsia" w:ascii="宋体" w:hAnsi="宋体" w:eastAsia="宋体" w:cs="宋体"/>
                <w:b/>
                <w:bCs/>
                <w:kern w:val="0"/>
                <w:sz w:val="21"/>
                <w:szCs w:val="21"/>
              </w:rPr>
              <w:t>功能及技术指标</w:t>
            </w:r>
          </w:p>
        </w:tc>
        <w:tc>
          <w:tcPr>
            <w:tcW w:w="3980" w:type="pct"/>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b/>
                <w:bCs/>
                <w:kern w:val="0"/>
                <w:sz w:val="21"/>
                <w:szCs w:val="21"/>
              </w:rPr>
            </w:pPr>
            <w:r>
              <w:rPr>
                <w:rFonts w:hint="eastAsia" w:ascii="宋体" w:hAnsi="宋体" w:eastAsia="宋体" w:cs="宋体"/>
                <w:b/>
                <w:bCs/>
                <w:kern w:val="0"/>
                <w:sz w:val="21"/>
                <w:szCs w:val="21"/>
              </w:rPr>
              <w:t>参数要求</w:t>
            </w:r>
          </w:p>
        </w:tc>
      </w:tr>
      <w:tr>
        <w:tblPrEx>
          <w:tblCellMar>
            <w:top w:w="0" w:type="dxa"/>
            <w:left w:w="108" w:type="dxa"/>
            <w:bottom w:w="0" w:type="dxa"/>
            <w:right w:w="108" w:type="dxa"/>
          </w:tblCellMar>
        </w:tblPrEx>
        <w:trPr>
          <w:trHeight w:val="285" w:hRule="atLeast"/>
        </w:trPr>
        <w:tc>
          <w:tcPr>
            <w:tcW w:w="1019" w:type="pct"/>
            <w:tcBorders>
              <w:top w:val="nil"/>
              <w:left w:val="single" w:color="auto" w:sz="4" w:space="0"/>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color w:val="000000"/>
                <w:kern w:val="0"/>
                <w:sz w:val="21"/>
                <w:szCs w:val="21"/>
              </w:rPr>
              <w:t>★</w:t>
            </w:r>
            <w:r>
              <w:rPr>
                <w:rFonts w:hint="eastAsia" w:ascii="宋体" w:hAnsi="宋体" w:eastAsia="宋体" w:cs="宋体"/>
                <w:kern w:val="0"/>
                <w:sz w:val="21"/>
                <w:szCs w:val="21"/>
              </w:rPr>
              <w:t>包转发率</w:t>
            </w:r>
          </w:p>
        </w:tc>
        <w:tc>
          <w:tcPr>
            <w:tcW w:w="3980" w:type="pct"/>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≥9Mpps</w:t>
            </w:r>
          </w:p>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（提供第三方测试报告）</w:t>
            </w:r>
          </w:p>
        </w:tc>
      </w:tr>
      <w:tr>
        <w:tblPrEx>
          <w:tblCellMar>
            <w:top w:w="0" w:type="dxa"/>
            <w:left w:w="108" w:type="dxa"/>
            <w:bottom w:w="0" w:type="dxa"/>
            <w:right w:w="108" w:type="dxa"/>
          </w:tblCellMar>
        </w:tblPrEx>
        <w:trPr>
          <w:trHeight w:val="570" w:hRule="atLeast"/>
        </w:trPr>
        <w:tc>
          <w:tcPr>
            <w:tcW w:w="1019" w:type="pct"/>
            <w:tcBorders>
              <w:top w:val="nil"/>
              <w:left w:val="single" w:color="auto" w:sz="4" w:space="0"/>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color w:val="000000"/>
                <w:kern w:val="0"/>
                <w:sz w:val="21"/>
                <w:szCs w:val="21"/>
              </w:rPr>
              <w:t>★</w:t>
            </w:r>
            <w:r>
              <w:rPr>
                <w:rFonts w:hint="eastAsia" w:ascii="宋体" w:hAnsi="宋体" w:eastAsia="宋体" w:cs="宋体"/>
                <w:kern w:val="0"/>
                <w:sz w:val="21"/>
                <w:szCs w:val="21"/>
              </w:rPr>
              <w:t>接口类型</w:t>
            </w:r>
          </w:p>
        </w:tc>
        <w:tc>
          <w:tcPr>
            <w:tcW w:w="3980" w:type="pct"/>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至少需提供4个千兆电端口以及2个千兆光端口，另外还需提供2个combo端口，便于出口链路灵活接入，总可用WAN端口≥6</w:t>
            </w:r>
          </w:p>
        </w:tc>
      </w:tr>
      <w:tr>
        <w:tblPrEx>
          <w:tblCellMar>
            <w:top w:w="0" w:type="dxa"/>
            <w:left w:w="108" w:type="dxa"/>
            <w:bottom w:w="0" w:type="dxa"/>
            <w:right w:w="108" w:type="dxa"/>
          </w:tblCellMar>
        </w:tblPrEx>
        <w:trPr>
          <w:trHeight w:val="285" w:hRule="atLeast"/>
        </w:trPr>
        <w:tc>
          <w:tcPr>
            <w:tcW w:w="1019" w:type="pct"/>
            <w:tcBorders>
              <w:top w:val="nil"/>
              <w:left w:val="single" w:color="auto" w:sz="4" w:space="0"/>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业务板槽位数</w:t>
            </w:r>
          </w:p>
        </w:tc>
        <w:tc>
          <w:tcPr>
            <w:tcW w:w="3980" w:type="pct"/>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≥4</w:t>
            </w:r>
          </w:p>
        </w:tc>
      </w:tr>
      <w:tr>
        <w:tblPrEx>
          <w:tblCellMar>
            <w:top w:w="0" w:type="dxa"/>
            <w:left w:w="108" w:type="dxa"/>
            <w:bottom w:w="0" w:type="dxa"/>
            <w:right w:w="108" w:type="dxa"/>
          </w:tblCellMar>
        </w:tblPrEx>
        <w:trPr>
          <w:trHeight w:val="570" w:hRule="atLeast"/>
        </w:trPr>
        <w:tc>
          <w:tcPr>
            <w:tcW w:w="101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等线" w:hAnsi="等线" w:eastAsia="等线" w:cs="宋体"/>
                <w:kern w:val="0"/>
                <w:sz w:val="21"/>
                <w:szCs w:val="21"/>
              </w:rPr>
              <w:t>▲</w:t>
            </w:r>
            <w:r>
              <w:rPr>
                <w:rFonts w:hint="eastAsia" w:ascii="宋体" w:hAnsi="宋体" w:eastAsia="宋体" w:cs="宋体"/>
                <w:kern w:val="0"/>
                <w:sz w:val="21"/>
                <w:szCs w:val="21"/>
              </w:rPr>
              <w:t>路由协议</w:t>
            </w:r>
          </w:p>
        </w:tc>
        <w:tc>
          <w:tcPr>
            <w:tcW w:w="3980" w:type="pct"/>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支持IPv4、IPv6路由协议；支持静态路由、RIPv1/v2、OSPFv2、BGP、IS-IS、路由策略、等价多路径、非平衡链路负载均衡</w:t>
            </w:r>
          </w:p>
        </w:tc>
      </w:tr>
      <w:tr>
        <w:tblPrEx>
          <w:tblCellMar>
            <w:top w:w="0" w:type="dxa"/>
            <w:left w:w="108" w:type="dxa"/>
            <w:bottom w:w="0" w:type="dxa"/>
            <w:right w:w="108" w:type="dxa"/>
          </w:tblCellMar>
        </w:tblPrEx>
        <w:trPr>
          <w:trHeight w:val="570" w:hRule="atLeast"/>
        </w:trPr>
        <w:tc>
          <w:tcPr>
            <w:tcW w:w="1019" w:type="pct"/>
            <w:vMerge w:val="continue"/>
            <w:tcBorders>
              <w:top w:val="nil"/>
              <w:left w:val="single" w:color="auto" w:sz="4" w:space="0"/>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p>
        </w:tc>
        <w:tc>
          <w:tcPr>
            <w:tcW w:w="3980" w:type="pct"/>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支持IGMPv1/v2/v3、PIM-DM、PIM-SM、PIM-SSM、MSDP、MBGP、组播静态路由</w:t>
            </w:r>
          </w:p>
        </w:tc>
      </w:tr>
      <w:tr>
        <w:tblPrEx>
          <w:tblCellMar>
            <w:top w:w="0" w:type="dxa"/>
            <w:left w:w="108" w:type="dxa"/>
            <w:bottom w:w="0" w:type="dxa"/>
            <w:right w:w="108" w:type="dxa"/>
          </w:tblCellMar>
        </w:tblPrEx>
        <w:trPr>
          <w:trHeight w:val="570" w:hRule="atLeast"/>
        </w:trPr>
        <w:tc>
          <w:tcPr>
            <w:tcW w:w="101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等线" w:hAnsi="等线" w:eastAsia="等线" w:cs="宋体"/>
                <w:kern w:val="0"/>
                <w:sz w:val="21"/>
                <w:szCs w:val="21"/>
              </w:rPr>
              <w:t>▲</w:t>
            </w:r>
            <w:r>
              <w:rPr>
                <w:rFonts w:hint="eastAsia" w:ascii="宋体" w:hAnsi="宋体" w:eastAsia="宋体" w:cs="宋体"/>
                <w:kern w:val="0"/>
                <w:sz w:val="21"/>
                <w:szCs w:val="21"/>
              </w:rPr>
              <w:t>MPLS</w:t>
            </w:r>
          </w:p>
        </w:tc>
        <w:tc>
          <w:tcPr>
            <w:tcW w:w="3980" w:type="pct"/>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L3VPN：跨域MPLS VPN（Option1/2/3）、嵌套MPLS VPN、分层PE（HoPE）、CE双归属、MCE、多角色主机等</w:t>
            </w:r>
          </w:p>
        </w:tc>
      </w:tr>
      <w:tr>
        <w:tblPrEx>
          <w:tblCellMar>
            <w:top w:w="0" w:type="dxa"/>
            <w:left w:w="108" w:type="dxa"/>
            <w:bottom w:w="0" w:type="dxa"/>
            <w:right w:w="108" w:type="dxa"/>
          </w:tblCellMar>
        </w:tblPrEx>
        <w:trPr>
          <w:trHeight w:val="285" w:hRule="atLeast"/>
        </w:trPr>
        <w:tc>
          <w:tcPr>
            <w:tcW w:w="1019" w:type="pct"/>
            <w:vMerge w:val="continue"/>
            <w:tcBorders>
              <w:top w:val="nil"/>
              <w:left w:val="single" w:color="auto" w:sz="4" w:space="0"/>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p>
        </w:tc>
        <w:tc>
          <w:tcPr>
            <w:tcW w:w="3980" w:type="pct"/>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L2VPN： Martini、Kompella、CCC和SVC方式</w:t>
            </w:r>
          </w:p>
        </w:tc>
      </w:tr>
      <w:tr>
        <w:tblPrEx>
          <w:tblCellMar>
            <w:top w:w="0" w:type="dxa"/>
            <w:left w:w="108" w:type="dxa"/>
            <w:bottom w:w="0" w:type="dxa"/>
            <w:right w:w="108" w:type="dxa"/>
          </w:tblCellMar>
        </w:tblPrEx>
        <w:trPr>
          <w:trHeight w:val="90" w:hRule="atLeast"/>
        </w:trPr>
        <w:tc>
          <w:tcPr>
            <w:tcW w:w="1019" w:type="pct"/>
            <w:tcBorders>
              <w:top w:val="nil"/>
              <w:left w:val="single" w:color="auto" w:sz="4" w:space="0"/>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等线" w:hAnsi="等线" w:eastAsia="等线" w:cs="宋体"/>
                <w:kern w:val="0"/>
                <w:sz w:val="21"/>
                <w:szCs w:val="21"/>
              </w:rPr>
              <w:t>▲</w:t>
            </w:r>
            <w:r>
              <w:rPr>
                <w:rFonts w:hint="eastAsia" w:ascii="宋体" w:hAnsi="宋体" w:eastAsia="宋体" w:cs="宋体"/>
                <w:kern w:val="0"/>
                <w:sz w:val="21"/>
                <w:szCs w:val="21"/>
              </w:rPr>
              <w:t>QOS</w:t>
            </w:r>
          </w:p>
        </w:tc>
        <w:tc>
          <w:tcPr>
            <w:tcW w:w="3980" w:type="pct"/>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支持LR、Port-Based Mirroring 、Port Trust Mode，Port Priority等</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支持CAR（Committed Access Rate）</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支持FIFO、WFQ、CBQ等</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支持GTS（Generic Traffic Shaping）</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支持流量分类</w:t>
            </w:r>
          </w:p>
        </w:tc>
      </w:tr>
      <w:tr>
        <w:tblPrEx>
          <w:tblCellMar>
            <w:top w:w="0" w:type="dxa"/>
            <w:left w:w="108" w:type="dxa"/>
            <w:bottom w:w="0" w:type="dxa"/>
            <w:right w:w="108" w:type="dxa"/>
          </w:tblCellMar>
        </w:tblPrEx>
        <w:trPr>
          <w:trHeight w:val="1425" w:hRule="atLeast"/>
        </w:trPr>
        <w:tc>
          <w:tcPr>
            <w:tcW w:w="1019" w:type="pct"/>
            <w:tcBorders>
              <w:top w:val="nil"/>
              <w:left w:val="single" w:color="auto" w:sz="4" w:space="0"/>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可靠性</w:t>
            </w:r>
          </w:p>
        </w:tc>
        <w:tc>
          <w:tcPr>
            <w:tcW w:w="3980" w:type="pct"/>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支持VRRP、VRRPv3</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支持基于带宽的负载分担与备份</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支持基于用户（IP地址）的负载分担与备份</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支持NQA同路由、VRRP和接口备份的联动功能，实现端到端链路的检测与备份功能</w:t>
            </w:r>
          </w:p>
        </w:tc>
      </w:tr>
      <w:tr>
        <w:tblPrEx>
          <w:tblCellMar>
            <w:top w:w="0" w:type="dxa"/>
            <w:left w:w="108" w:type="dxa"/>
            <w:bottom w:w="0" w:type="dxa"/>
            <w:right w:w="108" w:type="dxa"/>
          </w:tblCellMar>
        </w:tblPrEx>
        <w:trPr>
          <w:trHeight w:val="570" w:hRule="atLeast"/>
        </w:trPr>
        <w:tc>
          <w:tcPr>
            <w:tcW w:w="1019" w:type="pct"/>
            <w:tcBorders>
              <w:top w:val="nil"/>
              <w:left w:val="single" w:color="auto" w:sz="4" w:space="0"/>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管理与维护</w:t>
            </w:r>
          </w:p>
        </w:tc>
        <w:tc>
          <w:tcPr>
            <w:tcW w:w="3980" w:type="pct"/>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支持通过命令行、Console、Telnet、AUX等方式进行配置、远程维护，通过Web浏览器、SNMP（v1/v2c/v3）进行配置和管理</w:t>
            </w:r>
          </w:p>
        </w:tc>
      </w:tr>
      <w:tr>
        <w:tblPrEx>
          <w:tblCellMar>
            <w:top w:w="0" w:type="dxa"/>
            <w:left w:w="108" w:type="dxa"/>
            <w:bottom w:w="0" w:type="dxa"/>
            <w:right w:w="108" w:type="dxa"/>
          </w:tblCellMar>
        </w:tblPrEx>
        <w:trPr>
          <w:trHeight w:val="285" w:hRule="atLeast"/>
        </w:trPr>
        <w:tc>
          <w:tcPr>
            <w:tcW w:w="10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实配</w:t>
            </w:r>
          </w:p>
        </w:tc>
        <w:tc>
          <w:tcPr>
            <w:tcW w:w="39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冗余双电源，提高设备可靠性</w:t>
            </w:r>
          </w:p>
        </w:tc>
      </w:tr>
      <w:tr>
        <w:tblPrEx>
          <w:tblCellMar>
            <w:top w:w="0" w:type="dxa"/>
            <w:left w:w="108" w:type="dxa"/>
            <w:bottom w:w="0" w:type="dxa"/>
            <w:right w:w="108" w:type="dxa"/>
          </w:tblCellMar>
        </w:tblPrEx>
        <w:trPr>
          <w:trHeight w:val="285" w:hRule="atLeast"/>
        </w:trPr>
        <w:tc>
          <w:tcPr>
            <w:tcW w:w="10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p>
        </w:tc>
        <w:tc>
          <w:tcPr>
            <w:tcW w:w="39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2个千兆单模光模块</w:t>
            </w:r>
          </w:p>
        </w:tc>
      </w:tr>
    </w:tbl>
    <w:p>
      <w:pPr>
        <w:snapToGrid w:val="0"/>
        <w:spacing w:line="360" w:lineRule="auto"/>
        <w:jc w:val="left"/>
        <w:rPr>
          <w:rFonts w:ascii="宋体" w:hAnsi="宋体" w:eastAsia="宋体" w:cs="宋体"/>
          <w:b/>
          <w:sz w:val="21"/>
          <w:szCs w:val="21"/>
        </w:rPr>
      </w:pPr>
    </w:p>
    <w:p>
      <w:pPr>
        <w:numPr>
          <w:ilvl w:val="0"/>
          <w:numId w:val="7"/>
        </w:numPr>
        <w:snapToGrid w:val="0"/>
        <w:spacing w:line="360" w:lineRule="auto"/>
        <w:ind w:left="425" w:hanging="425"/>
        <w:jc w:val="left"/>
        <w:rPr>
          <w:rFonts w:ascii="宋体" w:hAnsi="宋体" w:eastAsia="宋体" w:cs="宋体"/>
          <w:b/>
          <w:sz w:val="21"/>
          <w:szCs w:val="21"/>
        </w:rPr>
      </w:pPr>
      <w:r>
        <w:rPr>
          <w:rFonts w:hint="eastAsia" w:ascii="宋体" w:hAnsi="宋体" w:eastAsia="宋体" w:cs="宋体"/>
          <w:b/>
          <w:sz w:val="21"/>
          <w:szCs w:val="21"/>
        </w:rPr>
        <w:t>27台中小学接入层网络设备技术规格要求：</w:t>
      </w:r>
    </w:p>
    <w:tbl>
      <w:tblPr>
        <w:tblStyle w:val="6"/>
        <w:tblW w:w="4998" w:type="pct"/>
        <w:tblInd w:w="0" w:type="dxa"/>
        <w:tblLayout w:type="autofit"/>
        <w:tblCellMar>
          <w:top w:w="0" w:type="dxa"/>
          <w:left w:w="108" w:type="dxa"/>
          <w:bottom w:w="0" w:type="dxa"/>
          <w:right w:w="108" w:type="dxa"/>
        </w:tblCellMar>
      </w:tblPr>
      <w:tblGrid>
        <w:gridCol w:w="1770"/>
        <w:gridCol w:w="6749"/>
      </w:tblGrid>
      <w:tr>
        <w:tblPrEx>
          <w:tblCellMar>
            <w:top w:w="0" w:type="dxa"/>
            <w:left w:w="108" w:type="dxa"/>
            <w:bottom w:w="0" w:type="dxa"/>
            <w:right w:w="108" w:type="dxa"/>
          </w:tblCellMar>
        </w:tblPrEx>
        <w:trPr>
          <w:trHeight w:val="285" w:hRule="atLeast"/>
        </w:trPr>
        <w:tc>
          <w:tcPr>
            <w:tcW w:w="10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宋体" w:hAnsi="宋体" w:eastAsia="宋体" w:cs="宋体"/>
                <w:b/>
                <w:bCs/>
                <w:kern w:val="0"/>
                <w:sz w:val="21"/>
                <w:szCs w:val="21"/>
              </w:rPr>
            </w:pPr>
            <w:r>
              <w:rPr>
                <w:rFonts w:hint="eastAsia" w:ascii="宋体" w:hAnsi="宋体" w:eastAsia="宋体" w:cs="宋体"/>
                <w:b/>
                <w:bCs/>
                <w:kern w:val="0"/>
                <w:sz w:val="21"/>
                <w:szCs w:val="21"/>
              </w:rPr>
              <w:t>功能及技术指标</w:t>
            </w:r>
          </w:p>
        </w:tc>
        <w:tc>
          <w:tcPr>
            <w:tcW w:w="3960" w:type="pct"/>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b/>
                <w:bCs/>
                <w:kern w:val="0"/>
                <w:sz w:val="21"/>
                <w:szCs w:val="21"/>
              </w:rPr>
            </w:pPr>
            <w:r>
              <w:rPr>
                <w:rFonts w:hint="eastAsia" w:ascii="宋体" w:hAnsi="宋体" w:eastAsia="宋体" w:cs="宋体"/>
                <w:b/>
                <w:bCs/>
                <w:kern w:val="0"/>
                <w:sz w:val="21"/>
                <w:szCs w:val="21"/>
              </w:rPr>
              <w:t>参数要求</w:t>
            </w:r>
          </w:p>
        </w:tc>
      </w:tr>
      <w:tr>
        <w:tblPrEx>
          <w:tblCellMar>
            <w:top w:w="0" w:type="dxa"/>
            <w:left w:w="108" w:type="dxa"/>
            <w:bottom w:w="0" w:type="dxa"/>
            <w:right w:w="108" w:type="dxa"/>
          </w:tblCellMar>
        </w:tblPrEx>
        <w:trPr>
          <w:trHeight w:val="285" w:hRule="atLeast"/>
        </w:trPr>
        <w:tc>
          <w:tcPr>
            <w:tcW w:w="1039" w:type="pct"/>
            <w:tcBorders>
              <w:top w:val="nil"/>
              <w:left w:val="single" w:color="auto" w:sz="4" w:space="0"/>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color w:val="000000"/>
                <w:kern w:val="0"/>
                <w:sz w:val="21"/>
                <w:szCs w:val="21"/>
              </w:rPr>
              <w:t>★</w:t>
            </w:r>
            <w:r>
              <w:rPr>
                <w:rFonts w:hint="eastAsia" w:ascii="宋体" w:hAnsi="宋体" w:eastAsia="宋体" w:cs="宋体"/>
                <w:kern w:val="0"/>
                <w:sz w:val="21"/>
                <w:szCs w:val="21"/>
              </w:rPr>
              <w:t>包转发率</w:t>
            </w:r>
          </w:p>
        </w:tc>
        <w:tc>
          <w:tcPr>
            <w:tcW w:w="3960" w:type="pct"/>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≥15Mpps</w:t>
            </w:r>
          </w:p>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（提供第三方测试报告）</w:t>
            </w:r>
          </w:p>
        </w:tc>
      </w:tr>
      <w:tr>
        <w:tblPrEx>
          <w:tblCellMar>
            <w:top w:w="0" w:type="dxa"/>
            <w:left w:w="108" w:type="dxa"/>
            <w:bottom w:w="0" w:type="dxa"/>
            <w:right w:w="108" w:type="dxa"/>
          </w:tblCellMar>
        </w:tblPrEx>
        <w:trPr>
          <w:trHeight w:val="285" w:hRule="atLeast"/>
        </w:trPr>
        <w:tc>
          <w:tcPr>
            <w:tcW w:w="1039" w:type="pct"/>
            <w:tcBorders>
              <w:top w:val="nil"/>
              <w:left w:val="single" w:color="auto" w:sz="4" w:space="0"/>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color w:val="000000"/>
                <w:kern w:val="0"/>
                <w:sz w:val="21"/>
                <w:szCs w:val="21"/>
              </w:rPr>
              <w:t>★</w:t>
            </w:r>
            <w:r>
              <w:rPr>
                <w:rFonts w:hint="eastAsia" w:ascii="宋体" w:hAnsi="宋体" w:eastAsia="宋体" w:cs="宋体"/>
                <w:kern w:val="0"/>
                <w:sz w:val="21"/>
                <w:szCs w:val="21"/>
              </w:rPr>
              <w:t>接口类型</w:t>
            </w:r>
          </w:p>
        </w:tc>
        <w:tc>
          <w:tcPr>
            <w:tcW w:w="3960" w:type="pct"/>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至少需提供6个千兆光口以及8个千兆combo，便于出口链路灵活接入，总可用千兆WAN端口≥14</w:t>
            </w:r>
          </w:p>
        </w:tc>
      </w:tr>
      <w:tr>
        <w:tblPrEx>
          <w:tblCellMar>
            <w:top w:w="0" w:type="dxa"/>
            <w:left w:w="108" w:type="dxa"/>
            <w:bottom w:w="0" w:type="dxa"/>
            <w:right w:w="108" w:type="dxa"/>
          </w:tblCellMar>
        </w:tblPrEx>
        <w:trPr>
          <w:trHeight w:val="285" w:hRule="atLeast"/>
        </w:trPr>
        <w:tc>
          <w:tcPr>
            <w:tcW w:w="1039" w:type="pct"/>
            <w:tcBorders>
              <w:top w:val="nil"/>
              <w:left w:val="single" w:color="auto" w:sz="4" w:space="0"/>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业务板槽位数</w:t>
            </w:r>
          </w:p>
        </w:tc>
        <w:tc>
          <w:tcPr>
            <w:tcW w:w="3960" w:type="pct"/>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≥6</w:t>
            </w:r>
          </w:p>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（提供官网截图和链接证明）</w:t>
            </w:r>
          </w:p>
        </w:tc>
      </w:tr>
      <w:tr>
        <w:tblPrEx>
          <w:tblCellMar>
            <w:top w:w="0" w:type="dxa"/>
            <w:left w:w="108" w:type="dxa"/>
            <w:bottom w:w="0" w:type="dxa"/>
            <w:right w:w="108" w:type="dxa"/>
          </w:tblCellMar>
        </w:tblPrEx>
        <w:trPr>
          <w:trHeight w:val="570" w:hRule="atLeast"/>
        </w:trPr>
        <w:tc>
          <w:tcPr>
            <w:tcW w:w="10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等线" w:hAnsi="等线" w:eastAsia="等线" w:cs="宋体"/>
                <w:kern w:val="0"/>
                <w:sz w:val="21"/>
                <w:szCs w:val="21"/>
              </w:rPr>
              <w:t>▲</w:t>
            </w:r>
            <w:r>
              <w:rPr>
                <w:rFonts w:hint="eastAsia" w:ascii="宋体" w:hAnsi="宋体" w:eastAsia="宋体" w:cs="宋体"/>
                <w:kern w:val="0"/>
                <w:sz w:val="21"/>
                <w:szCs w:val="21"/>
              </w:rPr>
              <w:t>路由协议</w:t>
            </w:r>
          </w:p>
        </w:tc>
        <w:tc>
          <w:tcPr>
            <w:tcW w:w="3960" w:type="pct"/>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支持IPv4、IPv6路由协议；支持静态路由、RIPv1/v2、OSPFv2、BGP、IS-IS、路由策略、等价多路径、非平衡链路负载均衡</w:t>
            </w:r>
          </w:p>
        </w:tc>
      </w:tr>
      <w:tr>
        <w:tblPrEx>
          <w:tblCellMar>
            <w:top w:w="0" w:type="dxa"/>
            <w:left w:w="108" w:type="dxa"/>
            <w:bottom w:w="0" w:type="dxa"/>
            <w:right w:w="108" w:type="dxa"/>
          </w:tblCellMar>
        </w:tblPrEx>
        <w:trPr>
          <w:trHeight w:val="570" w:hRule="atLeast"/>
        </w:trPr>
        <w:tc>
          <w:tcPr>
            <w:tcW w:w="1039" w:type="pct"/>
            <w:vMerge w:val="continue"/>
            <w:tcBorders>
              <w:top w:val="nil"/>
              <w:left w:val="single" w:color="auto" w:sz="4" w:space="0"/>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p>
        </w:tc>
        <w:tc>
          <w:tcPr>
            <w:tcW w:w="3960" w:type="pct"/>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支持IGMPv1/v2/v3、PIM-DM、PIM-SM、PIM-SSM、MSDP、MBGP、组播静态路由</w:t>
            </w:r>
          </w:p>
        </w:tc>
      </w:tr>
      <w:tr>
        <w:tblPrEx>
          <w:tblCellMar>
            <w:top w:w="0" w:type="dxa"/>
            <w:left w:w="108" w:type="dxa"/>
            <w:bottom w:w="0" w:type="dxa"/>
            <w:right w:w="108" w:type="dxa"/>
          </w:tblCellMar>
        </w:tblPrEx>
        <w:trPr>
          <w:trHeight w:val="570" w:hRule="atLeast"/>
        </w:trPr>
        <w:tc>
          <w:tcPr>
            <w:tcW w:w="1039"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等线" w:hAnsi="等线" w:eastAsia="等线" w:cs="宋体"/>
                <w:kern w:val="0"/>
                <w:sz w:val="21"/>
                <w:szCs w:val="21"/>
              </w:rPr>
              <w:t>▲</w:t>
            </w:r>
            <w:r>
              <w:rPr>
                <w:rFonts w:hint="eastAsia" w:ascii="宋体" w:hAnsi="宋体" w:eastAsia="宋体" w:cs="宋体"/>
                <w:kern w:val="0"/>
                <w:sz w:val="21"/>
                <w:szCs w:val="21"/>
              </w:rPr>
              <w:t>MPLS</w:t>
            </w:r>
          </w:p>
        </w:tc>
        <w:tc>
          <w:tcPr>
            <w:tcW w:w="3960" w:type="pct"/>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L3VPN：跨域MPLS VPN（Option1/2/3）、嵌套MPLS VPN、分层PE（HoPE）、CE双归属、MCE、多角色主机等</w:t>
            </w:r>
          </w:p>
        </w:tc>
      </w:tr>
      <w:tr>
        <w:tblPrEx>
          <w:tblCellMar>
            <w:top w:w="0" w:type="dxa"/>
            <w:left w:w="108" w:type="dxa"/>
            <w:bottom w:w="0" w:type="dxa"/>
            <w:right w:w="108" w:type="dxa"/>
          </w:tblCellMar>
        </w:tblPrEx>
        <w:trPr>
          <w:trHeight w:val="1425" w:hRule="atLeast"/>
        </w:trPr>
        <w:tc>
          <w:tcPr>
            <w:tcW w:w="1039" w:type="pct"/>
            <w:tcBorders>
              <w:top w:val="nil"/>
              <w:left w:val="single" w:color="auto" w:sz="4" w:space="0"/>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等线" w:hAnsi="等线" w:eastAsia="等线" w:cs="宋体"/>
                <w:kern w:val="0"/>
                <w:sz w:val="21"/>
                <w:szCs w:val="21"/>
              </w:rPr>
              <w:t>▲</w:t>
            </w:r>
            <w:r>
              <w:rPr>
                <w:rFonts w:hint="eastAsia" w:ascii="宋体" w:hAnsi="宋体" w:eastAsia="宋体" w:cs="宋体"/>
                <w:kern w:val="0"/>
                <w:sz w:val="21"/>
                <w:szCs w:val="21"/>
              </w:rPr>
              <w:t>QOS</w:t>
            </w:r>
          </w:p>
        </w:tc>
        <w:tc>
          <w:tcPr>
            <w:tcW w:w="3960" w:type="pct"/>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支持LR、Port-Based Mirroring 、Port Trust Mode，Port Priority等</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支持CAR（Committed Access Rate）</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支持FIFO、WFQ、CBQ等</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支持GTS（Generic Traffic Shaping）</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支持流量分类</w:t>
            </w:r>
          </w:p>
        </w:tc>
      </w:tr>
      <w:tr>
        <w:tblPrEx>
          <w:tblCellMar>
            <w:top w:w="0" w:type="dxa"/>
            <w:left w:w="108" w:type="dxa"/>
            <w:bottom w:w="0" w:type="dxa"/>
            <w:right w:w="108" w:type="dxa"/>
          </w:tblCellMar>
        </w:tblPrEx>
        <w:trPr>
          <w:trHeight w:val="1425" w:hRule="atLeast"/>
        </w:trPr>
        <w:tc>
          <w:tcPr>
            <w:tcW w:w="1039" w:type="pct"/>
            <w:tcBorders>
              <w:top w:val="nil"/>
              <w:left w:val="single" w:color="auto" w:sz="4" w:space="0"/>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可靠性</w:t>
            </w:r>
          </w:p>
        </w:tc>
        <w:tc>
          <w:tcPr>
            <w:tcW w:w="3960" w:type="pct"/>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支持VRRP、VRRPv3</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支持基于带宽的负载分担与备份</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支持基于用户（IP地址）的负载分担与备份</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支持NQA同路由、VRRP和接口备份的联动功能，实现端到端链路的检测与备份功能</w:t>
            </w:r>
          </w:p>
        </w:tc>
      </w:tr>
      <w:tr>
        <w:tblPrEx>
          <w:tblCellMar>
            <w:top w:w="0" w:type="dxa"/>
            <w:left w:w="108" w:type="dxa"/>
            <w:bottom w:w="0" w:type="dxa"/>
            <w:right w:w="108" w:type="dxa"/>
          </w:tblCellMar>
        </w:tblPrEx>
        <w:trPr>
          <w:trHeight w:val="570" w:hRule="atLeast"/>
        </w:trPr>
        <w:tc>
          <w:tcPr>
            <w:tcW w:w="1039" w:type="pct"/>
            <w:tcBorders>
              <w:top w:val="nil"/>
              <w:left w:val="single" w:color="auto" w:sz="4" w:space="0"/>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管理与维护</w:t>
            </w:r>
          </w:p>
        </w:tc>
        <w:tc>
          <w:tcPr>
            <w:tcW w:w="3960" w:type="pct"/>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支持通过命令行、Console、Telnet、AUX等方式进行配置、远程维护，通过Web浏览器、SNMP（v1/v2c/v3）进行配置和管理</w:t>
            </w:r>
          </w:p>
        </w:tc>
      </w:tr>
      <w:tr>
        <w:tblPrEx>
          <w:tblCellMar>
            <w:top w:w="0" w:type="dxa"/>
            <w:left w:w="108" w:type="dxa"/>
            <w:bottom w:w="0" w:type="dxa"/>
            <w:right w:w="108" w:type="dxa"/>
          </w:tblCellMar>
        </w:tblPrEx>
        <w:trPr>
          <w:trHeight w:val="285" w:hRule="atLeast"/>
        </w:trPr>
        <w:tc>
          <w:tcPr>
            <w:tcW w:w="10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实配</w:t>
            </w:r>
          </w:p>
        </w:tc>
        <w:tc>
          <w:tcPr>
            <w:tcW w:w="39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模块化可插拔冗余双交流电源，提高设备可靠性</w:t>
            </w:r>
          </w:p>
        </w:tc>
      </w:tr>
      <w:tr>
        <w:tblPrEx>
          <w:tblCellMar>
            <w:top w:w="0" w:type="dxa"/>
            <w:left w:w="108" w:type="dxa"/>
            <w:bottom w:w="0" w:type="dxa"/>
            <w:right w:w="108" w:type="dxa"/>
          </w:tblCellMar>
        </w:tblPrEx>
        <w:trPr>
          <w:trHeight w:val="285" w:hRule="atLeast"/>
        </w:trPr>
        <w:tc>
          <w:tcPr>
            <w:tcW w:w="10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p>
        </w:tc>
        <w:tc>
          <w:tcPr>
            <w:tcW w:w="39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2个千兆单模光模块</w:t>
            </w:r>
          </w:p>
        </w:tc>
      </w:tr>
    </w:tbl>
    <w:p>
      <w:pPr>
        <w:snapToGrid w:val="0"/>
        <w:spacing w:line="360" w:lineRule="auto"/>
        <w:jc w:val="left"/>
        <w:rPr>
          <w:rFonts w:ascii="宋体" w:hAnsi="宋体" w:eastAsia="宋体" w:cs="宋体"/>
          <w:b/>
          <w:sz w:val="21"/>
          <w:szCs w:val="21"/>
        </w:rPr>
      </w:pPr>
    </w:p>
    <w:p>
      <w:pPr>
        <w:keepNext/>
        <w:keepLines/>
        <w:numPr>
          <w:ilvl w:val="0"/>
          <w:numId w:val="5"/>
        </w:numPr>
        <w:snapToGrid w:val="0"/>
        <w:spacing w:line="360" w:lineRule="auto"/>
        <w:ind w:left="425" w:hanging="425"/>
        <w:jc w:val="left"/>
        <w:rPr>
          <w:rFonts w:ascii="宋体" w:hAnsi="宋体" w:eastAsia="宋体" w:cs="宋体"/>
          <w:b/>
          <w:bCs/>
          <w:sz w:val="21"/>
          <w:szCs w:val="21"/>
        </w:rPr>
      </w:pPr>
      <w:r>
        <w:rPr>
          <w:rFonts w:hint="eastAsia" w:ascii="宋体" w:hAnsi="宋体" w:eastAsia="宋体" w:cs="宋体"/>
          <w:b/>
          <w:bCs/>
          <w:sz w:val="21"/>
          <w:szCs w:val="21"/>
        </w:rPr>
        <w:t>核心交换机板卡扩展</w:t>
      </w:r>
    </w:p>
    <w:p>
      <w:pPr>
        <w:snapToGrid w:val="0"/>
        <w:spacing w:line="360" w:lineRule="auto"/>
        <w:jc w:val="left"/>
        <w:rPr>
          <w:rFonts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本次升级将骨干网络由10G升级到40G，需要在原有核心交换机上增加相应板卡及光模块，原有2台核心交换机型号为Cisco N7K-C7010。要求新增板卡和模块要和原有Cisco N7K-C7010设备无缝兼容，需要增加的板卡要求数量如下：</w:t>
      </w:r>
      <w:r>
        <w:rPr>
          <w:rFonts w:hint="eastAsia" w:ascii="宋体" w:hAnsi="宋体" w:eastAsia="宋体" w:cs="宋体"/>
          <w:sz w:val="21"/>
          <w:szCs w:val="21"/>
        </w:rPr>
        <w:tab/>
      </w:r>
    </w:p>
    <w:tbl>
      <w:tblPr>
        <w:tblStyle w:val="6"/>
        <w:tblW w:w="4998" w:type="pct"/>
        <w:tblInd w:w="0" w:type="dxa"/>
        <w:tblLayout w:type="fixed"/>
        <w:tblCellMar>
          <w:top w:w="0" w:type="dxa"/>
          <w:left w:w="108" w:type="dxa"/>
          <w:bottom w:w="0" w:type="dxa"/>
          <w:right w:w="108" w:type="dxa"/>
        </w:tblCellMar>
      </w:tblPr>
      <w:tblGrid>
        <w:gridCol w:w="664"/>
        <w:gridCol w:w="2053"/>
        <w:gridCol w:w="4423"/>
        <w:gridCol w:w="663"/>
        <w:gridCol w:w="716"/>
      </w:tblGrid>
      <w:tr>
        <w:tblPrEx>
          <w:tblCellMar>
            <w:top w:w="0" w:type="dxa"/>
            <w:left w:w="108" w:type="dxa"/>
            <w:bottom w:w="0" w:type="dxa"/>
            <w:right w:w="108" w:type="dxa"/>
          </w:tblCellMar>
        </w:tblPrEx>
        <w:trPr>
          <w:trHeight w:val="270" w:hRule="atLeast"/>
        </w:trPr>
        <w:tc>
          <w:tcPr>
            <w:tcW w:w="38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序号</w:t>
            </w:r>
          </w:p>
        </w:tc>
        <w:tc>
          <w:tcPr>
            <w:tcW w:w="1205" w:type="pct"/>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名称</w:t>
            </w:r>
          </w:p>
        </w:tc>
        <w:tc>
          <w:tcPr>
            <w:tcW w:w="2595" w:type="pct"/>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要求</w:t>
            </w:r>
          </w:p>
        </w:tc>
        <w:tc>
          <w:tcPr>
            <w:tcW w:w="389" w:type="pct"/>
            <w:tcBorders>
              <w:top w:val="single" w:color="auto" w:sz="4" w:space="0"/>
              <w:left w:val="nil"/>
              <w:bottom w:val="single" w:color="auto" w:sz="4" w:space="0"/>
              <w:right w:val="single" w:color="auto" w:sz="4" w:space="0"/>
            </w:tcBorders>
            <w:noWrap/>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数量</w:t>
            </w:r>
          </w:p>
        </w:tc>
        <w:tc>
          <w:tcPr>
            <w:tcW w:w="420" w:type="pct"/>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单位</w:t>
            </w:r>
          </w:p>
        </w:tc>
      </w:tr>
      <w:tr>
        <w:tblPrEx>
          <w:tblCellMar>
            <w:top w:w="0" w:type="dxa"/>
            <w:left w:w="108" w:type="dxa"/>
            <w:bottom w:w="0" w:type="dxa"/>
            <w:right w:w="108" w:type="dxa"/>
          </w:tblCellMar>
        </w:tblPrEx>
        <w:trPr>
          <w:trHeight w:val="270" w:hRule="atLeast"/>
        </w:trPr>
        <w:tc>
          <w:tcPr>
            <w:tcW w:w="38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1</w:t>
            </w:r>
          </w:p>
        </w:tc>
        <w:tc>
          <w:tcPr>
            <w:tcW w:w="1205" w:type="pct"/>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核心交换机40G板卡</w:t>
            </w:r>
          </w:p>
        </w:tc>
        <w:tc>
          <w:tcPr>
            <w:tcW w:w="2595" w:type="pct"/>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兼容Cisco N7000 40G光接口板卡12口</w:t>
            </w:r>
          </w:p>
        </w:tc>
        <w:tc>
          <w:tcPr>
            <w:tcW w:w="389" w:type="pct"/>
            <w:tcBorders>
              <w:top w:val="single" w:color="auto" w:sz="4" w:space="0"/>
              <w:left w:val="nil"/>
              <w:bottom w:val="single" w:color="auto" w:sz="4" w:space="0"/>
              <w:right w:val="single" w:color="auto" w:sz="4" w:space="0"/>
            </w:tcBorders>
            <w:noWrap/>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2</w:t>
            </w:r>
          </w:p>
        </w:tc>
        <w:tc>
          <w:tcPr>
            <w:tcW w:w="420" w:type="pct"/>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块</w:t>
            </w:r>
          </w:p>
        </w:tc>
      </w:tr>
      <w:tr>
        <w:tblPrEx>
          <w:tblCellMar>
            <w:top w:w="0" w:type="dxa"/>
            <w:left w:w="108" w:type="dxa"/>
            <w:bottom w:w="0" w:type="dxa"/>
            <w:right w:w="108" w:type="dxa"/>
          </w:tblCellMar>
        </w:tblPrEx>
        <w:trPr>
          <w:trHeight w:val="270" w:hRule="atLeast"/>
        </w:trPr>
        <w:tc>
          <w:tcPr>
            <w:tcW w:w="389" w:type="pct"/>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2</w:t>
            </w:r>
          </w:p>
        </w:tc>
        <w:tc>
          <w:tcPr>
            <w:tcW w:w="1205" w:type="pct"/>
            <w:tcBorders>
              <w:top w:val="nil"/>
              <w:left w:val="nil"/>
              <w:bottom w:val="single" w:color="auto" w:sz="4" w:space="0"/>
              <w:right w:val="single" w:color="auto" w:sz="4" w:space="0"/>
            </w:tcBorders>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40G10km光模块</w:t>
            </w:r>
          </w:p>
        </w:tc>
        <w:tc>
          <w:tcPr>
            <w:tcW w:w="2595" w:type="pct"/>
            <w:tcBorders>
              <w:top w:val="nil"/>
              <w:left w:val="nil"/>
              <w:bottom w:val="single" w:color="auto" w:sz="4" w:space="0"/>
              <w:right w:val="single" w:color="auto" w:sz="4" w:space="0"/>
            </w:tcBorders>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兼容Cisco 40G光模块10km</w:t>
            </w:r>
          </w:p>
        </w:tc>
        <w:tc>
          <w:tcPr>
            <w:tcW w:w="389" w:type="pct"/>
            <w:tcBorders>
              <w:top w:val="nil"/>
              <w:left w:val="nil"/>
              <w:bottom w:val="single" w:color="auto" w:sz="4" w:space="0"/>
              <w:right w:val="single" w:color="auto" w:sz="4" w:space="0"/>
            </w:tcBorders>
            <w:noWrap/>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5</w:t>
            </w:r>
          </w:p>
        </w:tc>
        <w:tc>
          <w:tcPr>
            <w:tcW w:w="420" w:type="pct"/>
            <w:tcBorders>
              <w:top w:val="nil"/>
              <w:left w:val="nil"/>
              <w:bottom w:val="single" w:color="auto" w:sz="4" w:space="0"/>
              <w:right w:val="single" w:color="auto" w:sz="4" w:space="0"/>
            </w:tcBorders>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块</w:t>
            </w:r>
          </w:p>
        </w:tc>
      </w:tr>
      <w:tr>
        <w:tblPrEx>
          <w:tblCellMar>
            <w:top w:w="0" w:type="dxa"/>
            <w:left w:w="108" w:type="dxa"/>
            <w:bottom w:w="0" w:type="dxa"/>
            <w:right w:w="108" w:type="dxa"/>
          </w:tblCellMar>
        </w:tblPrEx>
        <w:trPr>
          <w:trHeight w:val="270" w:hRule="atLeast"/>
        </w:trPr>
        <w:tc>
          <w:tcPr>
            <w:tcW w:w="389" w:type="pct"/>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3</w:t>
            </w:r>
          </w:p>
        </w:tc>
        <w:tc>
          <w:tcPr>
            <w:tcW w:w="1205" w:type="pct"/>
            <w:tcBorders>
              <w:top w:val="nil"/>
              <w:left w:val="nil"/>
              <w:bottom w:val="single" w:color="auto" w:sz="4" w:space="0"/>
              <w:right w:val="single" w:color="auto" w:sz="4" w:space="0"/>
            </w:tcBorders>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40G40km光模块</w:t>
            </w:r>
          </w:p>
        </w:tc>
        <w:tc>
          <w:tcPr>
            <w:tcW w:w="2595" w:type="pct"/>
            <w:tcBorders>
              <w:top w:val="nil"/>
              <w:left w:val="nil"/>
              <w:bottom w:val="single" w:color="auto" w:sz="4" w:space="0"/>
              <w:right w:val="single" w:color="auto" w:sz="4" w:space="0"/>
            </w:tcBorders>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兼容Cisco 40G光模块40km</w:t>
            </w:r>
          </w:p>
        </w:tc>
        <w:tc>
          <w:tcPr>
            <w:tcW w:w="389" w:type="pct"/>
            <w:tcBorders>
              <w:top w:val="nil"/>
              <w:left w:val="nil"/>
              <w:bottom w:val="single" w:color="auto" w:sz="4" w:space="0"/>
              <w:right w:val="single" w:color="auto" w:sz="4" w:space="0"/>
            </w:tcBorders>
            <w:noWrap/>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4</w:t>
            </w:r>
          </w:p>
        </w:tc>
        <w:tc>
          <w:tcPr>
            <w:tcW w:w="420" w:type="pct"/>
            <w:tcBorders>
              <w:top w:val="nil"/>
              <w:left w:val="nil"/>
              <w:bottom w:val="single" w:color="auto" w:sz="4" w:space="0"/>
              <w:right w:val="single" w:color="auto" w:sz="4" w:space="0"/>
            </w:tcBorders>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块</w:t>
            </w:r>
          </w:p>
        </w:tc>
      </w:tr>
      <w:tr>
        <w:tblPrEx>
          <w:tblCellMar>
            <w:top w:w="0" w:type="dxa"/>
            <w:left w:w="108" w:type="dxa"/>
            <w:bottom w:w="0" w:type="dxa"/>
            <w:right w:w="108" w:type="dxa"/>
          </w:tblCellMar>
        </w:tblPrEx>
        <w:trPr>
          <w:trHeight w:val="270" w:hRule="atLeast"/>
        </w:trPr>
        <w:tc>
          <w:tcPr>
            <w:tcW w:w="389" w:type="pct"/>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4</w:t>
            </w:r>
          </w:p>
        </w:tc>
        <w:tc>
          <w:tcPr>
            <w:tcW w:w="1205" w:type="pct"/>
            <w:tcBorders>
              <w:top w:val="nil"/>
              <w:left w:val="nil"/>
              <w:bottom w:val="single" w:color="auto" w:sz="4" w:space="0"/>
              <w:right w:val="single" w:color="auto" w:sz="4" w:space="0"/>
            </w:tcBorders>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多模10km光模块</w:t>
            </w:r>
          </w:p>
        </w:tc>
        <w:tc>
          <w:tcPr>
            <w:tcW w:w="2595" w:type="pct"/>
            <w:tcBorders>
              <w:top w:val="nil"/>
              <w:left w:val="nil"/>
              <w:bottom w:val="single" w:color="auto" w:sz="4" w:space="0"/>
              <w:right w:val="single" w:color="auto" w:sz="4" w:space="0"/>
            </w:tcBorders>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兼容Cisco 多模40G光模块</w:t>
            </w:r>
          </w:p>
        </w:tc>
        <w:tc>
          <w:tcPr>
            <w:tcW w:w="389" w:type="pct"/>
            <w:tcBorders>
              <w:top w:val="nil"/>
              <w:left w:val="nil"/>
              <w:bottom w:val="single" w:color="auto" w:sz="4" w:space="0"/>
              <w:right w:val="single" w:color="auto" w:sz="4" w:space="0"/>
            </w:tcBorders>
            <w:noWrap/>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1</w:t>
            </w:r>
          </w:p>
        </w:tc>
        <w:tc>
          <w:tcPr>
            <w:tcW w:w="420" w:type="pct"/>
            <w:tcBorders>
              <w:top w:val="nil"/>
              <w:left w:val="nil"/>
              <w:bottom w:val="single" w:color="auto" w:sz="4" w:space="0"/>
              <w:right w:val="single" w:color="auto" w:sz="4" w:space="0"/>
            </w:tcBorders>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块</w:t>
            </w:r>
          </w:p>
        </w:tc>
      </w:tr>
    </w:tbl>
    <w:p>
      <w:pPr>
        <w:widowControl w:val="0"/>
        <w:jc w:val="both"/>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含3年生产厂家保修，提供关于本项目的生产厂家服务承诺函。</w:t>
      </w:r>
    </w:p>
    <w:p>
      <w:pPr>
        <w:widowControl w:val="0"/>
        <w:jc w:val="both"/>
        <w:rPr>
          <w:rFonts w:ascii="宋体" w:hAnsi="Courier New" w:eastAsia="宋体" w:cs="Times New Roman"/>
          <w:kern w:val="2"/>
          <w:sz w:val="21"/>
          <w:szCs w:val="21"/>
          <w:lang w:val="en-US" w:eastAsia="zh-CN" w:bidi="ar-SA"/>
        </w:rPr>
      </w:pPr>
      <w:r>
        <w:rPr>
          <w:rFonts w:hint="eastAsia" w:ascii="宋体" w:hAnsi="宋体" w:eastAsia="宋体" w:cs="宋体"/>
          <w:kern w:val="0"/>
          <w:sz w:val="21"/>
          <w:szCs w:val="21"/>
          <w:lang w:val="en-US" w:eastAsia="zh-CN" w:bidi="ar-SA"/>
        </w:rPr>
        <w:t>核心交换机40G板卡技术要求：</w:t>
      </w:r>
    </w:p>
    <w:tbl>
      <w:tblPr>
        <w:tblStyle w:val="6"/>
        <w:tblW w:w="8647" w:type="dxa"/>
        <w:tblInd w:w="-34" w:type="dxa"/>
        <w:tblLayout w:type="autofit"/>
        <w:tblCellMar>
          <w:top w:w="0" w:type="dxa"/>
          <w:left w:w="108" w:type="dxa"/>
          <w:bottom w:w="0" w:type="dxa"/>
          <w:right w:w="108" w:type="dxa"/>
        </w:tblCellMar>
      </w:tblPr>
      <w:tblGrid>
        <w:gridCol w:w="851"/>
        <w:gridCol w:w="1276"/>
        <w:gridCol w:w="1843"/>
        <w:gridCol w:w="4677"/>
      </w:tblGrid>
      <w:tr>
        <w:tblPrEx>
          <w:tblCellMar>
            <w:top w:w="0" w:type="dxa"/>
            <w:left w:w="108" w:type="dxa"/>
            <w:bottom w:w="0" w:type="dxa"/>
            <w:right w:w="108" w:type="dxa"/>
          </w:tblCellMar>
        </w:tblPrEx>
        <w:trPr>
          <w:trHeight w:val="270"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数量</w:t>
            </w:r>
            <w:r>
              <w:rPr>
                <w:rFonts w:hint="eastAsia" w:ascii="宋体" w:hAnsi="宋体" w:eastAsia="宋体" w:cs="宋体"/>
                <w:b/>
                <w:bCs/>
                <w:color w:val="000000"/>
                <w:kern w:val="0"/>
                <w:sz w:val="21"/>
                <w:szCs w:val="21"/>
              </w:rPr>
              <w:br w:type="textWrapping"/>
            </w:r>
            <w:r>
              <w:rPr>
                <w:rFonts w:hint="eastAsia" w:ascii="宋体" w:hAnsi="宋体" w:eastAsia="宋体" w:cs="宋体"/>
                <w:b/>
                <w:bCs/>
                <w:color w:val="000000"/>
                <w:kern w:val="0"/>
                <w:sz w:val="21"/>
                <w:szCs w:val="21"/>
              </w:rPr>
              <w:t>（单位：块）</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参数项目</w:t>
            </w:r>
          </w:p>
        </w:tc>
        <w:tc>
          <w:tcPr>
            <w:tcW w:w="4677"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单台设备参数</w:t>
            </w:r>
          </w:p>
        </w:tc>
      </w:tr>
      <w:tr>
        <w:tblPrEx>
          <w:tblCellMar>
            <w:top w:w="0" w:type="dxa"/>
            <w:left w:w="108" w:type="dxa"/>
            <w:bottom w:w="0" w:type="dxa"/>
            <w:right w:w="108" w:type="dxa"/>
          </w:tblCellMar>
        </w:tblPrEx>
        <w:trPr>
          <w:trHeight w:val="270" w:hRule="atLeast"/>
        </w:trPr>
        <w:tc>
          <w:tcPr>
            <w:tcW w:w="851" w:type="dxa"/>
            <w:vMerge w:val="restart"/>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123</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843" w:type="dxa"/>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端口类型及数量</w:t>
            </w:r>
          </w:p>
        </w:tc>
        <w:tc>
          <w:tcPr>
            <w:tcW w:w="4677" w:type="dxa"/>
            <w:tcBorders>
              <w:top w:val="single" w:color="auto" w:sz="4" w:space="0"/>
              <w:left w:val="nil"/>
              <w:bottom w:val="single" w:color="auto" w:sz="4" w:space="0"/>
              <w:right w:val="single" w:color="auto" w:sz="8"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12个40千兆以太网（QSFP +）端口</w:t>
            </w:r>
          </w:p>
        </w:tc>
      </w:tr>
      <w:tr>
        <w:tblPrEx>
          <w:tblCellMar>
            <w:top w:w="0" w:type="dxa"/>
            <w:left w:w="108" w:type="dxa"/>
            <w:bottom w:w="0" w:type="dxa"/>
            <w:right w:w="108" w:type="dxa"/>
          </w:tblCellMar>
        </w:tblPrEx>
        <w:trPr>
          <w:trHeight w:val="270" w:hRule="atLeast"/>
        </w:trPr>
        <w:tc>
          <w:tcPr>
            <w:tcW w:w="851"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宋体" w:hAnsi="宋体" w:eastAsia="宋体" w:cs="宋体"/>
                <w:kern w:val="0"/>
                <w:sz w:val="21"/>
                <w:szCs w:val="21"/>
              </w:rPr>
            </w:pPr>
            <w:r>
              <w:rPr>
                <w:rFonts w:hint="eastAsia" w:ascii="宋体" w:hAnsi="宋体" w:eastAsia="宋体" w:cs="宋体"/>
                <w:color w:val="000000"/>
                <w:kern w:val="0"/>
                <w:sz w:val="21"/>
                <w:szCs w:val="21"/>
              </w:rPr>
              <w:t>★</w:t>
            </w:r>
            <w:r>
              <w:rPr>
                <w:rFonts w:hint="eastAsia" w:ascii="宋体" w:hAnsi="宋体" w:eastAsia="宋体" w:cs="宋体"/>
                <w:kern w:val="0"/>
                <w:sz w:val="21"/>
                <w:szCs w:val="21"/>
              </w:rPr>
              <w:t>兼容要求</w:t>
            </w:r>
          </w:p>
        </w:tc>
        <w:tc>
          <w:tcPr>
            <w:tcW w:w="4677" w:type="dxa"/>
            <w:tcBorders>
              <w:top w:val="nil"/>
              <w:left w:val="nil"/>
              <w:bottom w:val="single" w:color="auto" w:sz="4" w:space="0"/>
              <w:right w:val="single" w:color="auto" w:sz="8"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Cisco Nexus 7000 4、9-10和18插槽交换机机箱</w:t>
            </w:r>
          </w:p>
        </w:tc>
      </w:tr>
      <w:tr>
        <w:tblPrEx>
          <w:tblCellMar>
            <w:top w:w="0" w:type="dxa"/>
            <w:left w:w="108" w:type="dxa"/>
            <w:bottom w:w="0" w:type="dxa"/>
            <w:right w:w="108" w:type="dxa"/>
          </w:tblCellMar>
        </w:tblPrEx>
        <w:trPr>
          <w:trHeight w:val="270" w:hRule="atLeast"/>
        </w:trPr>
        <w:tc>
          <w:tcPr>
            <w:tcW w:w="851"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宋体" w:hAnsi="宋体" w:eastAsia="宋体" w:cs="宋体"/>
                <w:kern w:val="0"/>
                <w:sz w:val="21"/>
                <w:szCs w:val="21"/>
              </w:rPr>
            </w:pPr>
            <w:r>
              <w:rPr>
                <w:rFonts w:hint="eastAsia" w:ascii="宋体" w:hAnsi="宋体" w:eastAsia="宋体" w:cs="宋体"/>
                <w:color w:val="000000"/>
                <w:kern w:val="0"/>
                <w:sz w:val="21"/>
                <w:szCs w:val="21"/>
              </w:rPr>
              <w:t>★</w:t>
            </w:r>
            <w:r>
              <w:rPr>
                <w:rFonts w:hint="eastAsia" w:ascii="宋体" w:hAnsi="宋体" w:eastAsia="宋体" w:cs="宋体"/>
                <w:kern w:val="0"/>
                <w:sz w:val="21"/>
                <w:szCs w:val="21"/>
              </w:rPr>
              <w:t>吞吐量</w:t>
            </w:r>
          </w:p>
        </w:tc>
        <w:tc>
          <w:tcPr>
            <w:tcW w:w="4677" w:type="dxa"/>
            <w:tcBorders>
              <w:top w:val="nil"/>
              <w:left w:val="nil"/>
              <w:bottom w:val="single" w:color="auto" w:sz="4" w:space="0"/>
              <w:right w:val="single" w:color="auto" w:sz="8"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≥480 Gbps</w:t>
            </w:r>
          </w:p>
        </w:tc>
      </w:tr>
      <w:tr>
        <w:tblPrEx>
          <w:tblCellMar>
            <w:top w:w="0" w:type="dxa"/>
            <w:left w:w="108" w:type="dxa"/>
            <w:bottom w:w="0" w:type="dxa"/>
            <w:right w:w="108" w:type="dxa"/>
          </w:tblCellMar>
        </w:tblPrEx>
        <w:trPr>
          <w:trHeight w:val="270" w:hRule="atLeast"/>
        </w:trPr>
        <w:tc>
          <w:tcPr>
            <w:tcW w:w="851"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宋体" w:hAnsi="宋体" w:eastAsia="宋体" w:cs="宋体"/>
                <w:kern w:val="0"/>
                <w:sz w:val="21"/>
                <w:szCs w:val="21"/>
              </w:rPr>
            </w:pPr>
            <w:r>
              <w:rPr>
                <w:rFonts w:hint="eastAsia" w:ascii="宋体" w:hAnsi="宋体" w:eastAsia="宋体" w:cs="宋体"/>
                <w:color w:val="000000"/>
                <w:kern w:val="0"/>
                <w:sz w:val="21"/>
                <w:szCs w:val="21"/>
              </w:rPr>
              <w:t>★</w:t>
            </w:r>
            <w:r>
              <w:rPr>
                <w:rFonts w:hint="eastAsia" w:ascii="宋体" w:hAnsi="宋体" w:eastAsia="宋体" w:cs="宋体"/>
                <w:kern w:val="0"/>
                <w:sz w:val="21"/>
                <w:szCs w:val="21"/>
              </w:rPr>
              <w:t>交换性能</w:t>
            </w:r>
          </w:p>
        </w:tc>
        <w:tc>
          <w:tcPr>
            <w:tcW w:w="4677" w:type="dxa"/>
            <w:tcBorders>
              <w:top w:val="nil"/>
              <w:left w:val="nil"/>
              <w:bottom w:val="single" w:color="auto" w:sz="4" w:space="0"/>
              <w:right w:val="single" w:color="auto" w:sz="8"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≥10bpps</w:t>
            </w:r>
          </w:p>
        </w:tc>
      </w:tr>
      <w:tr>
        <w:tblPrEx>
          <w:tblCellMar>
            <w:top w:w="0" w:type="dxa"/>
            <w:left w:w="108" w:type="dxa"/>
            <w:bottom w:w="0" w:type="dxa"/>
            <w:right w:w="108" w:type="dxa"/>
          </w:tblCellMar>
        </w:tblPrEx>
        <w:trPr>
          <w:trHeight w:val="270" w:hRule="atLeast"/>
        </w:trPr>
        <w:tc>
          <w:tcPr>
            <w:tcW w:w="851"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MAC地址条目</w:t>
            </w:r>
          </w:p>
        </w:tc>
        <w:tc>
          <w:tcPr>
            <w:tcW w:w="4677" w:type="dxa"/>
            <w:tcBorders>
              <w:top w:val="nil"/>
              <w:left w:val="nil"/>
              <w:bottom w:val="single" w:color="auto" w:sz="4" w:space="0"/>
              <w:right w:val="single" w:color="auto" w:sz="8"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64K</w:t>
            </w:r>
          </w:p>
        </w:tc>
      </w:tr>
      <w:tr>
        <w:tblPrEx>
          <w:tblCellMar>
            <w:top w:w="0" w:type="dxa"/>
            <w:left w:w="108" w:type="dxa"/>
            <w:bottom w:w="0" w:type="dxa"/>
            <w:right w:w="108" w:type="dxa"/>
          </w:tblCellMar>
        </w:tblPrEx>
        <w:trPr>
          <w:trHeight w:val="270" w:hRule="atLeast"/>
        </w:trPr>
        <w:tc>
          <w:tcPr>
            <w:tcW w:w="851"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虚拟局域网（VLAN）</w:t>
            </w:r>
          </w:p>
        </w:tc>
        <w:tc>
          <w:tcPr>
            <w:tcW w:w="4677" w:type="dxa"/>
            <w:tcBorders>
              <w:top w:val="nil"/>
              <w:left w:val="nil"/>
              <w:bottom w:val="single" w:color="auto" w:sz="4" w:space="0"/>
              <w:right w:val="single" w:color="auto" w:sz="8"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4096</w:t>
            </w:r>
          </w:p>
        </w:tc>
      </w:tr>
      <w:tr>
        <w:tblPrEx>
          <w:tblCellMar>
            <w:top w:w="0" w:type="dxa"/>
            <w:left w:w="108" w:type="dxa"/>
            <w:bottom w:w="0" w:type="dxa"/>
            <w:right w:w="108" w:type="dxa"/>
          </w:tblCellMar>
        </w:tblPrEx>
        <w:trPr>
          <w:trHeight w:val="270" w:hRule="atLeast"/>
        </w:trPr>
        <w:tc>
          <w:tcPr>
            <w:tcW w:w="851"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IPv4条目</w:t>
            </w:r>
          </w:p>
        </w:tc>
        <w:tc>
          <w:tcPr>
            <w:tcW w:w="4677" w:type="dxa"/>
            <w:tcBorders>
              <w:top w:val="nil"/>
              <w:left w:val="nil"/>
              <w:bottom w:val="single" w:color="auto" w:sz="4" w:space="0"/>
              <w:right w:val="single" w:color="auto" w:sz="8"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64K</w:t>
            </w:r>
          </w:p>
        </w:tc>
      </w:tr>
      <w:tr>
        <w:tblPrEx>
          <w:tblCellMar>
            <w:top w:w="0" w:type="dxa"/>
            <w:left w:w="108" w:type="dxa"/>
            <w:bottom w:w="0" w:type="dxa"/>
            <w:right w:w="108" w:type="dxa"/>
          </w:tblCellMar>
        </w:tblPrEx>
        <w:trPr>
          <w:trHeight w:val="270" w:hRule="atLeast"/>
        </w:trPr>
        <w:tc>
          <w:tcPr>
            <w:tcW w:w="851"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IPv6条目</w:t>
            </w:r>
          </w:p>
        </w:tc>
        <w:tc>
          <w:tcPr>
            <w:tcW w:w="4677" w:type="dxa"/>
            <w:tcBorders>
              <w:top w:val="nil"/>
              <w:left w:val="nil"/>
              <w:bottom w:val="single" w:color="auto" w:sz="4" w:space="0"/>
              <w:right w:val="single" w:color="auto" w:sz="8"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32K</w:t>
            </w:r>
          </w:p>
        </w:tc>
      </w:tr>
      <w:tr>
        <w:tblPrEx>
          <w:tblCellMar>
            <w:top w:w="0" w:type="dxa"/>
            <w:left w:w="108" w:type="dxa"/>
            <w:bottom w:w="0" w:type="dxa"/>
            <w:right w:w="108" w:type="dxa"/>
          </w:tblCellMar>
        </w:tblPrEx>
        <w:trPr>
          <w:trHeight w:val="270" w:hRule="atLeast"/>
        </w:trPr>
        <w:tc>
          <w:tcPr>
            <w:tcW w:w="851"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邻接条目</w:t>
            </w:r>
          </w:p>
        </w:tc>
        <w:tc>
          <w:tcPr>
            <w:tcW w:w="4677" w:type="dxa"/>
            <w:tcBorders>
              <w:top w:val="nil"/>
              <w:left w:val="nil"/>
              <w:bottom w:val="single" w:color="auto" w:sz="4" w:space="0"/>
              <w:right w:val="single" w:color="auto" w:sz="8"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64K</w:t>
            </w:r>
          </w:p>
        </w:tc>
      </w:tr>
      <w:tr>
        <w:tblPrEx>
          <w:tblCellMar>
            <w:top w:w="0" w:type="dxa"/>
            <w:left w:w="108" w:type="dxa"/>
            <w:bottom w:w="0" w:type="dxa"/>
            <w:right w:w="108" w:type="dxa"/>
          </w:tblCellMar>
        </w:tblPrEx>
        <w:trPr>
          <w:trHeight w:val="270" w:hRule="atLeast"/>
        </w:trPr>
        <w:tc>
          <w:tcPr>
            <w:tcW w:w="851"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访问控制列表</w:t>
            </w:r>
          </w:p>
        </w:tc>
        <w:tc>
          <w:tcPr>
            <w:tcW w:w="4677" w:type="dxa"/>
            <w:tcBorders>
              <w:top w:val="nil"/>
              <w:left w:val="nil"/>
              <w:bottom w:val="single" w:color="auto" w:sz="4" w:space="0"/>
              <w:right w:val="single" w:color="auto" w:sz="8"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16K</w:t>
            </w:r>
          </w:p>
        </w:tc>
      </w:tr>
      <w:tr>
        <w:tblPrEx>
          <w:tblCellMar>
            <w:top w:w="0" w:type="dxa"/>
            <w:left w:w="108" w:type="dxa"/>
            <w:bottom w:w="0" w:type="dxa"/>
            <w:right w:w="108" w:type="dxa"/>
          </w:tblCellMar>
        </w:tblPrEx>
        <w:trPr>
          <w:trHeight w:val="480" w:hRule="atLeast"/>
        </w:trPr>
        <w:tc>
          <w:tcPr>
            <w:tcW w:w="851"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故障监控</w:t>
            </w:r>
          </w:p>
        </w:tc>
        <w:tc>
          <w:tcPr>
            <w:tcW w:w="4677" w:type="dxa"/>
            <w:tcBorders>
              <w:top w:val="nil"/>
              <w:left w:val="nil"/>
              <w:bottom w:val="single" w:color="auto" w:sz="4" w:space="0"/>
              <w:right w:val="single" w:color="auto" w:sz="8"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支持前面板LED（状态：绿色（运行中），红色（有故障）或橙色（模块正在启动））</w:t>
            </w:r>
          </w:p>
        </w:tc>
      </w:tr>
      <w:tr>
        <w:tblPrEx>
          <w:tblCellMar>
            <w:top w:w="0" w:type="dxa"/>
            <w:left w:w="108" w:type="dxa"/>
            <w:bottom w:w="0" w:type="dxa"/>
            <w:right w:w="108" w:type="dxa"/>
          </w:tblCellMar>
        </w:tblPrEx>
        <w:trPr>
          <w:trHeight w:val="960" w:hRule="atLeast"/>
        </w:trPr>
        <w:tc>
          <w:tcPr>
            <w:tcW w:w="851"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可编程性</w:t>
            </w:r>
          </w:p>
        </w:tc>
        <w:tc>
          <w:tcPr>
            <w:tcW w:w="4677" w:type="dxa"/>
            <w:tcBorders>
              <w:top w:val="nil"/>
              <w:left w:val="nil"/>
              <w:bottom w:val="single" w:color="auto" w:sz="4" w:space="0"/>
              <w:right w:val="single" w:color="auto" w:sz="8"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兼容支持编程接口：XML、可编写脚本的命令行界面（CLI）、 思科数据中心网络管理器（DCNM）Web服务、 Python、工具命令语言（TCL）解释器、 思科嵌入式事件管理器（EEM）、思科One平台套件（OnePK）、OpenFlow</w:t>
            </w:r>
          </w:p>
        </w:tc>
      </w:tr>
      <w:tr>
        <w:tblPrEx>
          <w:tblCellMar>
            <w:top w:w="0" w:type="dxa"/>
            <w:left w:w="108" w:type="dxa"/>
            <w:bottom w:w="0" w:type="dxa"/>
            <w:right w:w="108" w:type="dxa"/>
          </w:tblCellMar>
        </w:tblPrEx>
        <w:trPr>
          <w:trHeight w:val="480" w:hRule="atLeast"/>
        </w:trPr>
        <w:tc>
          <w:tcPr>
            <w:tcW w:w="851"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84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安全性</w:t>
            </w:r>
          </w:p>
        </w:tc>
        <w:tc>
          <w:tcPr>
            <w:tcW w:w="4677" w:type="dxa"/>
            <w:tcBorders>
              <w:top w:val="nil"/>
              <w:left w:val="nil"/>
              <w:bottom w:val="single" w:color="auto" w:sz="4" w:space="0"/>
              <w:right w:val="single" w:color="auto" w:sz="8"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可配置的控制平面策略（CoPP），可保护主管CPU免受过多的通信</w:t>
            </w:r>
          </w:p>
        </w:tc>
      </w:tr>
      <w:tr>
        <w:tblPrEx>
          <w:tblCellMar>
            <w:top w:w="0" w:type="dxa"/>
            <w:left w:w="108" w:type="dxa"/>
            <w:bottom w:w="0" w:type="dxa"/>
            <w:right w:w="108" w:type="dxa"/>
          </w:tblCellMar>
        </w:tblPrEx>
        <w:trPr>
          <w:trHeight w:val="480" w:hRule="atLeast"/>
        </w:trPr>
        <w:tc>
          <w:tcPr>
            <w:tcW w:w="851"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84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4677" w:type="dxa"/>
            <w:tcBorders>
              <w:top w:val="nil"/>
              <w:left w:val="nil"/>
              <w:bottom w:val="single" w:color="auto" w:sz="4" w:space="0"/>
              <w:right w:val="single" w:color="auto" w:sz="8"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访问控制列表（ACL）计数器和日志记录功能可提供更深入的数据包可见性</w:t>
            </w:r>
          </w:p>
        </w:tc>
      </w:tr>
      <w:tr>
        <w:tblPrEx>
          <w:tblCellMar>
            <w:top w:w="0" w:type="dxa"/>
            <w:left w:w="108" w:type="dxa"/>
            <w:bottom w:w="0" w:type="dxa"/>
            <w:right w:w="108" w:type="dxa"/>
          </w:tblCellMar>
        </w:tblPrEx>
        <w:trPr>
          <w:trHeight w:val="270" w:hRule="atLeast"/>
        </w:trPr>
        <w:tc>
          <w:tcPr>
            <w:tcW w:w="851"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84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4677" w:type="dxa"/>
            <w:tcBorders>
              <w:top w:val="nil"/>
              <w:left w:val="nil"/>
              <w:bottom w:val="single" w:color="auto" w:sz="4" w:space="0"/>
              <w:right w:val="single" w:color="auto" w:sz="8"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适用于IPv4和IPv6流量的第2层到第4层ACL</w:t>
            </w:r>
          </w:p>
        </w:tc>
      </w:tr>
      <w:tr>
        <w:tblPrEx>
          <w:tblCellMar>
            <w:top w:w="0" w:type="dxa"/>
            <w:left w:w="108" w:type="dxa"/>
            <w:bottom w:w="0" w:type="dxa"/>
            <w:right w:w="108" w:type="dxa"/>
          </w:tblCellMar>
        </w:tblPrEx>
        <w:trPr>
          <w:trHeight w:val="720" w:hRule="atLeast"/>
        </w:trPr>
        <w:tc>
          <w:tcPr>
            <w:tcW w:w="851"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▲虚拟化</w:t>
            </w:r>
          </w:p>
        </w:tc>
        <w:tc>
          <w:tcPr>
            <w:tcW w:w="4677" w:type="dxa"/>
            <w:tcBorders>
              <w:top w:val="nil"/>
              <w:left w:val="nil"/>
              <w:bottom w:val="single" w:color="auto" w:sz="4" w:space="0"/>
              <w:right w:val="single" w:color="auto" w:sz="8"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支持虚拟设备上下文（VDC）功能，有助于启用一个或多个逻辑设备中单个物理设备的虚拟化。每个配置的逻辑设备都像配置为单独的物理设备一样进行配置和管理。</w:t>
            </w:r>
          </w:p>
        </w:tc>
      </w:tr>
      <w:tr>
        <w:tblPrEx>
          <w:tblCellMar>
            <w:top w:w="0" w:type="dxa"/>
            <w:left w:w="108" w:type="dxa"/>
            <w:bottom w:w="0" w:type="dxa"/>
            <w:right w:w="108" w:type="dxa"/>
          </w:tblCellMar>
        </w:tblPrEx>
        <w:trPr>
          <w:trHeight w:val="720" w:hRule="atLeast"/>
        </w:trPr>
        <w:tc>
          <w:tcPr>
            <w:tcW w:w="851"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84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协议</w:t>
            </w:r>
          </w:p>
        </w:tc>
        <w:tc>
          <w:tcPr>
            <w:tcW w:w="4677" w:type="dxa"/>
            <w:tcBorders>
              <w:top w:val="nil"/>
              <w:left w:val="nil"/>
              <w:bottom w:val="single" w:color="auto" w:sz="4" w:space="0"/>
              <w:right w:val="single" w:color="auto" w:sz="8"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兼容支持Cisco LISP，使企业和服务提供商可以简化多宿主路由。</w:t>
            </w:r>
          </w:p>
        </w:tc>
      </w:tr>
      <w:tr>
        <w:tblPrEx>
          <w:tblCellMar>
            <w:top w:w="0" w:type="dxa"/>
            <w:left w:w="108" w:type="dxa"/>
            <w:bottom w:w="0" w:type="dxa"/>
            <w:right w:w="108" w:type="dxa"/>
          </w:tblCellMar>
        </w:tblPrEx>
        <w:trPr>
          <w:trHeight w:val="480" w:hRule="atLeast"/>
        </w:trPr>
        <w:tc>
          <w:tcPr>
            <w:tcW w:w="851"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84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4677" w:type="dxa"/>
            <w:tcBorders>
              <w:top w:val="nil"/>
              <w:left w:val="nil"/>
              <w:bottom w:val="single" w:color="auto" w:sz="4" w:space="0"/>
              <w:right w:val="single" w:color="auto" w:sz="8"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支持高级数据中心互连（DCI）协议，使该模块非常适合帮助客户简化跨地理分布的数据中心站点的应用程序扩展。</w:t>
            </w:r>
          </w:p>
        </w:tc>
      </w:tr>
      <w:tr>
        <w:tblPrEx>
          <w:tblCellMar>
            <w:top w:w="0" w:type="dxa"/>
            <w:left w:w="108" w:type="dxa"/>
            <w:bottom w:w="0" w:type="dxa"/>
            <w:right w:w="108" w:type="dxa"/>
          </w:tblCellMar>
        </w:tblPrEx>
        <w:trPr>
          <w:trHeight w:val="720" w:hRule="atLeast"/>
        </w:trPr>
        <w:tc>
          <w:tcPr>
            <w:tcW w:w="851"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84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4677" w:type="dxa"/>
            <w:tcBorders>
              <w:top w:val="nil"/>
              <w:left w:val="nil"/>
              <w:bottom w:val="single" w:color="auto" w:sz="4" w:space="0"/>
              <w:right w:val="single" w:color="auto" w:sz="8"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支持VXLAN，提供了在不同的2层域中使用可重复的Pod扩展云部署所需的架构灵活性。VXLAN还可以支持跨第3层网络在服务器之间迁移虚拟机。</w:t>
            </w:r>
          </w:p>
        </w:tc>
      </w:tr>
      <w:tr>
        <w:tblPrEx>
          <w:tblCellMar>
            <w:top w:w="0" w:type="dxa"/>
            <w:left w:w="108" w:type="dxa"/>
            <w:bottom w:w="0" w:type="dxa"/>
            <w:right w:w="108" w:type="dxa"/>
          </w:tblCellMar>
        </w:tblPrEx>
        <w:trPr>
          <w:trHeight w:val="720" w:hRule="atLeast"/>
        </w:trPr>
        <w:tc>
          <w:tcPr>
            <w:tcW w:w="851"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84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4677" w:type="dxa"/>
            <w:tcBorders>
              <w:top w:val="nil"/>
              <w:left w:val="nil"/>
              <w:bottom w:val="single" w:color="auto" w:sz="4" w:space="0"/>
              <w:right w:val="single" w:color="auto" w:sz="8"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支持FCoE，通过支持部署统一的数据中心结构以将数据中心流量整合到一个单一的通用高容量中，从而大大简化了网络基础架构并降低了成本。性能高可用性的网络</w:t>
            </w:r>
          </w:p>
        </w:tc>
      </w:tr>
      <w:tr>
        <w:tblPrEx>
          <w:tblCellMar>
            <w:top w:w="0" w:type="dxa"/>
            <w:left w:w="108" w:type="dxa"/>
            <w:bottom w:w="0" w:type="dxa"/>
            <w:right w:w="108" w:type="dxa"/>
          </w:tblCellMar>
        </w:tblPrEx>
        <w:trPr>
          <w:trHeight w:val="480" w:hRule="atLeast"/>
        </w:trPr>
        <w:tc>
          <w:tcPr>
            <w:tcW w:w="851"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84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4677" w:type="dxa"/>
            <w:tcBorders>
              <w:top w:val="nil"/>
              <w:left w:val="nil"/>
              <w:bottom w:val="single" w:color="auto" w:sz="4" w:space="0"/>
              <w:right w:val="single" w:color="auto" w:sz="8"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支持FEX，交换矩阵扩展器旨在通过大大减少管理点的数量来简化数据中心的架构和运营</w:t>
            </w:r>
          </w:p>
        </w:tc>
      </w:tr>
      <w:tr>
        <w:tblPrEx>
          <w:tblCellMar>
            <w:top w:w="0" w:type="dxa"/>
            <w:left w:w="108" w:type="dxa"/>
            <w:bottom w:w="0" w:type="dxa"/>
            <w:right w:w="108" w:type="dxa"/>
          </w:tblCellMar>
        </w:tblPrEx>
        <w:trPr>
          <w:trHeight w:val="270" w:hRule="atLeast"/>
        </w:trPr>
        <w:tc>
          <w:tcPr>
            <w:tcW w:w="851"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软件升级高可靠性</w:t>
            </w:r>
          </w:p>
        </w:tc>
        <w:tc>
          <w:tcPr>
            <w:tcW w:w="4677" w:type="dxa"/>
            <w:tcBorders>
              <w:top w:val="nil"/>
              <w:left w:val="nil"/>
              <w:bottom w:val="single" w:color="auto" w:sz="4" w:space="0"/>
              <w:right w:val="single" w:color="auto" w:sz="8"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硬件支持不间断软件升级</w:t>
            </w:r>
          </w:p>
        </w:tc>
      </w:tr>
    </w:tbl>
    <w:p>
      <w:pPr>
        <w:widowControl w:val="0"/>
        <w:jc w:val="both"/>
        <w:rPr>
          <w:rFonts w:ascii="宋体" w:hAnsi="Courier New" w:eastAsia="宋体" w:cs="Times New Roman"/>
          <w:kern w:val="2"/>
          <w:sz w:val="21"/>
          <w:lang w:val="en-US" w:eastAsia="zh-CN" w:bidi="ar-SA"/>
        </w:rPr>
      </w:pPr>
    </w:p>
    <w:p>
      <w:pPr>
        <w:widowControl w:val="0"/>
        <w:jc w:val="both"/>
        <w:rPr>
          <w:rFonts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以下为原</w:t>
      </w:r>
      <w:r>
        <w:rPr>
          <w:rFonts w:hint="eastAsia" w:ascii="宋体" w:hAnsi="宋体" w:eastAsia="宋体" w:cs="宋体"/>
          <w:kern w:val="2"/>
          <w:sz w:val="21"/>
          <w:szCs w:val="21"/>
          <w:lang w:val="en-US" w:eastAsia="zh-CN" w:bidi="ar-SA"/>
        </w:rPr>
        <w:t>Cisco N7K-C7010核心交换机配置情况：</w:t>
      </w:r>
    </w:p>
    <w:tbl>
      <w:tblPr>
        <w:tblStyle w:val="6"/>
        <w:tblW w:w="8647" w:type="dxa"/>
        <w:tblInd w:w="-34" w:type="dxa"/>
        <w:tblLayout w:type="autofit"/>
        <w:tblCellMar>
          <w:top w:w="0" w:type="dxa"/>
          <w:left w:w="108" w:type="dxa"/>
          <w:bottom w:w="0" w:type="dxa"/>
          <w:right w:w="108" w:type="dxa"/>
        </w:tblCellMar>
      </w:tblPr>
      <w:tblGrid>
        <w:gridCol w:w="851"/>
        <w:gridCol w:w="1960"/>
        <w:gridCol w:w="3692"/>
        <w:gridCol w:w="869"/>
        <w:gridCol w:w="708"/>
        <w:gridCol w:w="567"/>
      </w:tblGrid>
      <w:tr>
        <w:tblPrEx>
          <w:tblCellMar>
            <w:top w:w="0" w:type="dxa"/>
            <w:left w:w="108" w:type="dxa"/>
            <w:bottom w:w="0" w:type="dxa"/>
            <w:right w:w="108" w:type="dxa"/>
          </w:tblCellMar>
        </w:tblPrEx>
        <w:trPr>
          <w:trHeight w:val="405" w:hRule="atLeast"/>
        </w:trPr>
        <w:tc>
          <w:tcPr>
            <w:tcW w:w="85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1</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N7K-C7010</w:t>
            </w:r>
          </w:p>
        </w:tc>
        <w:tc>
          <w:tcPr>
            <w:tcW w:w="3692"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10 Slot Chassis, No Power Supplies, Fans Included</w:t>
            </w:r>
          </w:p>
        </w:tc>
        <w:tc>
          <w:tcPr>
            <w:tcW w:w="86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CISCO</w:t>
            </w:r>
          </w:p>
        </w:tc>
        <w:tc>
          <w:tcPr>
            <w:tcW w:w="70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1</w:t>
            </w:r>
          </w:p>
        </w:tc>
        <w:tc>
          <w:tcPr>
            <w:tcW w:w="56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台</w:t>
            </w:r>
          </w:p>
        </w:tc>
      </w:tr>
      <w:tr>
        <w:tblPrEx>
          <w:tblCellMar>
            <w:top w:w="0" w:type="dxa"/>
            <w:left w:w="108" w:type="dxa"/>
            <w:bottom w:w="0" w:type="dxa"/>
            <w:right w:w="108" w:type="dxa"/>
          </w:tblCellMar>
        </w:tblPrEx>
        <w:trPr>
          <w:trHeight w:val="405"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3692" w:type="dxa"/>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10插槽机框</w:t>
            </w:r>
          </w:p>
        </w:tc>
        <w:tc>
          <w:tcPr>
            <w:tcW w:w="869"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708"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567"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r>
      <w:tr>
        <w:tblPrEx>
          <w:tblCellMar>
            <w:top w:w="0" w:type="dxa"/>
            <w:left w:w="108" w:type="dxa"/>
            <w:bottom w:w="0" w:type="dxa"/>
            <w:right w:w="108" w:type="dxa"/>
          </w:tblCellMar>
        </w:tblPrEx>
        <w:trPr>
          <w:trHeight w:val="744" w:hRule="atLeast"/>
        </w:trPr>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2</w:t>
            </w:r>
          </w:p>
        </w:tc>
        <w:tc>
          <w:tcPr>
            <w:tcW w:w="1960"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N7K-C7010-FAB-2</w:t>
            </w:r>
          </w:p>
        </w:tc>
        <w:tc>
          <w:tcPr>
            <w:tcW w:w="3692" w:type="dxa"/>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Nexus 7000 - 10 Slot Chassis - 110Gbps/Slot Fabric Module</w:t>
            </w:r>
          </w:p>
        </w:tc>
        <w:tc>
          <w:tcPr>
            <w:tcW w:w="869"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CISCO</w:t>
            </w:r>
          </w:p>
        </w:tc>
        <w:tc>
          <w:tcPr>
            <w:tcW w:w="708"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5</w:t>
            </w:r>
          </w:p>
        </w:tc>
        <w:tc>
          <w:tcPr>
            <w:tcW w:w="567"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块</w:t>
            </w:r>
          </w:p>
        </w:tc>
      </w:tr>
      <w:tr>
        <w:tblPrEx>
          <w:tblCellMar>
            <w:top w:w="0" w:type="dxa"/>
            <w:left w:w="108" w:type="dxa"/>
            <w:bottom w:w="0" w:type="dxa"/>
            <w:right w:w="108" w:type="dxa"/>
          </w:tblCellMar>
        </w:tblPrEx>
        <w:trPr>
          <w:trHeight w:val="40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3692" w:type="dxa"/>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110Gbps交换模块</w:t>
            </w:r>
          </w:p>
        </w:tc>
        <w:tc>
          <w:tcPr>
            <w:tcW w:w="8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r>
      <w:tr>
        <w:tblPrEx>
          <w:tblCellMar>
            <w:top w:w="0" w:type="dxa"/>
            <w:left w:w="108" w:type="dxa"/>
            <w:bottom w:w="0" w:type="dxa"/>
            <w:right w:w="108" w:type="dxa"/>
          </w:tblCellMar>
        </w:tblPrEx>
        <w:trPr>
          <w:trHeight w:val="405" w:hRule="atLeast"/>
        </w:trPr>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3</w:t>
            </w:r>
          </w:p>
        </w:tc>
        <w:tc>
          <w:tcPr>
            <w:tcW w:w="1960"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N7K-LAN1K9</w:t>
            </w:r>
          </w:p>
        </w:tc>
        <w:tc>
          <w:tcPr>
            <w:tcW w:w="3692" w:type="dxa"/>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Nexus 7000 LAN Enterprise License (L3 protocols)</w:t>
            </w:r>
          </w:p>
        </w:tc>
        <w:tc>
          <w:tcPr>
            <w:tcW w:w="869"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CISCO</w:t>
            </w:r>
          </w:p>
        </w:tc>
        <w:tc>
          <w:tcPr>
            <w:tcW w:w="708"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1</w:t>
            </w:r>
          </w:p>
        </w:tc>
        <w:tc>
          <w:tcPr>
            <w:tcW w:w="567"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个</w:t>
            </w:r>
          </w:p>
        </w:tc>
      </w:tr>
      <w:tr>
        <w:tblPrEx>
          <w:tblCellMar>
            <w:top w:w="0" w:type="dxa"/>
            <w:left w:w="108" w:type="dxa"/>
            <w:bottom w:w="0" w:type="dxa"/>
            <w:right w:w="108" w:type="dxa"/>
          </w:tblCellMar>
        </w:tblPrEx>
        <w:trPr>
          <w:trHeight w:val="40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3692" w:type="dxa"/>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三层以太网功能许可</w:t>
            </w:r>
          </w:p>
        </w:tc>
        <w:tc>
          <w:tcPr>
            <w:tcW w:w="8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r>
      <w:tr>
        <w:tblPrEx>
          <w:tblCellMar>
            <w:top w:w="0" w:type="dxa"/>
            <w:left w:w="108" w:type="dxa"/>
            <w:bottom w:w="0" w:type="dxa"/>
            <w:right w:w="108" w:type="dxa"/>
          </w:tblCellMar>
        </w:tblPrEx>
        <w:trPr>
          <w:trHeight w:val="405" w:hRule="atLeast"/>
        </w:trPr>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4</w:t>
            </w:r>
          </w:p>
        </w:tc>
        <w:tc>
          <w:tcPr>
            <w:tcW w:w="1960"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N7K-MPLS1K9</w:t>
            </w:r>
          </w:p>
        </w:tc>
        <w:tc>
          <w:tcPr>
            <w:tcW w:w="3692" w:type="dxa"/>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Nexus 7000 MPLS License</w:t>
            </w:r>
          </w:p>
        </w:tc>
        <w:tc>
          <w:tcPr>
            <w:tcW w:w="869"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CISCO</w:t>
            </w:r>
          </w:p>
        </w:tc>
        <w:tc>
          <w:tcPr>
            <w:tcW w:w="708"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1</w:t>
            </w:r>
          </w:p>
        </w:tc>
        <w:tc>
          <w:tcPr>
            <w:tcW w:w="567"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个</w:t>
            </w:r>
          </w:p>
        </w:tc>
      </w:tr>
      <w:tr>
        <w:tblPrEx>
          <w:tblCellMar>
            <w:top w:w="0" w:type="dxa"/>
            <w:left w:w="108" w:type="dxa"/>
            <w:bottom w:w="0" w:type="dxa"/>
            <w:right w:w="108" w:type="dxa"/>
          </w:tblCellMar>
        </w:tblPrEx>
        <w:trPr>
          <w:trHeight w:val="40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3692" w:type="dxa"/>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MPLS功能许可</w:t>
            </w:r>
          </w:p>
        </w:tc>
        <w:tc>
          <w:tcPr>
            <w:tcW w:w="8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r>
      <w:tr>
        <w:tblPrEx>
          <w:tblCellMar>
            <w:top w:w="0" w:type="dxa"/>
            <w:left w:w="108" w:type="dxa"/>
            <w:bottom w:w="0" w:type="dxa"/>
            <w:right w:w="108" w:type="dxa"/>
          </w:tblCellMar>
        </w:tblPrEx>
        <w:trPr>
          <w:trHeight w:val="480" w:hRule="atLeast"/>
        </w:trPr>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5</w:t>
            </w:r>
          </w:p>
        </w:tc>
        <w:tc>
          <w:tcPr>
            <w:tcW w:w="1960"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N7K-SUP2</w:t>
            </w:r>
          </w:p>
        </w:tc>
        <w:tc>
          <w:tcPr>
            <w:tcW w:w="3692" w:type="dxa"/>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Nexus 7000 - Supervisor 2, Includes External 8GB USB Flash</w:t>
            </w:r>
          </w:p>
        </w:tc>
        <w:tc>
          <w:tcPr>
            <w:tcW w:w="869"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CISCO</w:t>
            </w:r>
          </w:p>
        </w:tc>
        <w:tc>
          <w:tcPr>
            <w:tcW w:w="708"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2</w:t>
            </w:r>
          </w:p>
        </w:tc>
        <w:tc>
          <w:tcPr>
            <w:tcW w:w="567"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块</w:t>
            </w:r>
          </w:p>
        </w:tc>
      </w:tr>
      <w:tr>
        <w:tblPrEx>
          <w:tblCellMar>
            <w:top w:w="0" w:type="dxa"/>
            <w:left w:w="108" w:type="dxa"/>
            <w:bottom w:w="0" w:type="dxa"/>
            <w:right w:w="108" w:type="dxa"/>
          </w:tblCellMar>
        </w:tblPrEx>
        <w:trPr>
          <w:trHeight w:val="40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3692" w:type="dxa"/>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Nexus 7000引擎模块</w:t>
            </w:r>
          </w:p>
        </w:tc>
        <w:tc>
          <w:tcPr>
            <w:tcW w:w="8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r>
      <w:tr>
        <w:tblPrEx>
          <w:tblCellMar>
            <w:top w:w="0" w:type="dxa"/>
            <w:left w:w="108" w:type="dxa"/>
            <w:bottom w:w="0" w:type="dxa"/>
            <w:right w:w="108" w:type="dxa"/>
          </w:tblCellMar>
        </w:tblPrEx>
        <w:trPr>
          <w:trHeight w:val="405" w:hRule="atLeast"/>
        </w:trPr>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6</w:t>
            </w:r>
          </w:p>
        </w:tc>
        <w:tc>
          <w:tcPr>
            <w:tcW w:w="1960"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N7K-F348XP-25</w:t>
            </w:r>
          </w:p>
        </w:tc>
        <w:tc>
          <w:tcPr>
            <w:tcW w:w="3692" w:type="dxa"/>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Nexus 7000 F3-Series 48 Port 10GbE (SFP+)</w:t>
            </w:r>
          </w:p>
        </w:tc>
        <w:tc>
          <w:tcPr>
            <w:tcW w:w="869"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CISCO</w:t>
            </w:r>
          </w:p>
        </w:tc>
        <w:tc>
          <w:tcPr>
            <w:tcW w:w="708"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1</w:t>
            </w:r>
          </w:p>
        </w:tc>
        <w:tc>
          <w:tcPr>
            <w:tcW w:w="567"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块</w:t>
            </w:r>
          </w:p>
        </w:tc>
      </w:tr>
      <w:tr>
        <w:tblPrEx>
          <w:tblCellMar>
            <w:top w:w="0" w:type="dxa"/>
            <w:left w:w="108" w:type="dxa"/>
            <w:bottom w:w="0" w:type="dxa"/>
            <w:right w:w="108" w:type="dxa"/>
          </w:tblCellMar>
        </w:tblPrEx>
        <w:trPr>
          <w:trHeight w:val="40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3692" w:type="dxa"/>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48万兆端口模块（SFP+）</w:t>
            </w:r>
          </w:p>
        </w:tc>
        <w:tc>
          <w:tcPr>
            <w:tcW w:w="8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r>
      <w:tr>
        <w:tblPrEx>
          <w:tblCellMar>
            <w:top w:w="0" w:type="dxa"/>
            <w:left w:w="108" w:type="dxa"/>
            <w:bottom w:w="0" w:type="dxa"/>
            <w:right w:w="108" w:type="dxa"/>
          </w:tblCellMar>
        </w:tblPrEx>
        <w:trPr>
          <w:trHeight w:val="40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3692" w:type="dxa"/>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千兆电口模块</w:t>
            </w:r>
          </w:p>
        </w:tc>
        <w:tc>
          <w:tcPr>
            <w:tcW w:w="8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r>
      <w:tr>
        <w:tblPrEx>
          <w:tblCellMar>
            <w:top w:w="0" w:type="dxa"/>
            <w:left w:w="108" w:type="dxa"/>
            <w:bottom w:w="0" w:type="dxa"/>
            <w:right w:w="108" w:type="dxa"/>
          </w:tblCellMar>
        </w:tblPrEx>
        <w:trPr>
          <w:trHeight w:val="480" w:hRule="atLeast"/>
        </w:trPr>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7</w:t>
            </w:r>
          </w:p>
        </w:tc>
        <w:tc>
          <w:tcPr>
            <w:tcW w:w="1960"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N7K-DC-6.0KW</w:t>
            </w:r>
          </w:p>
        </w:tc>
        <w:tc>
          <w:tcPr>
            <w:tcW w:w="3692" w:type="dxa"/>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Nexus 7000 - 6.0KW DC Power Supply Module (Cables Included)</w:t>
            </w:r>
          </w:p>
        </w:tc>
        <w:tc>
          <w:tcPr>
            <w:tcW w:w="869"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CISCO</w:t>
            </w:r>
          </w:p>
        </w:tc>
        <w:tc>
          <w:tcPr>
            <w:tcW w:w="708"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3</w:t>
            </w:r>
          </w:p>
        </w:tc>
        <w:tc>
          <w:tcPr>
            <w:tcW w:w="567"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块</w:t>
            </w:r>
          </w:p>
        </w:tc>
      </w:tr>
      <w:tr>
        <w:tblPrEx>
          <w:tblCellMar>
            <w:top w:w="0" w:type="dxa"/>
            <w:left w:w="108" w:type="dxa"/>
            <w:bottom w:w="0" w:type="dxa"/>
            <w:right w:w="108" w:type="dxa"/>
          </w:tblCellMar>
        </w:tblPrEx>
        <w:trPr>
          <w:trHeight w:val="40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3692" w:type="dxa"/>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直流电源模块</w:t>
            </w:r>
          </w:p>
        </w:tc>
        <w:tc>
          <w:tcPr>
            <w:tcW w:w="8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r>
      <w:tr>
        <w:tblPrEx>
          <w:tblCellMar>
            <w:top w:w="0" w:type="dxa"/>
            <w:left w:w="108" w:type="dxa"/>
            <w:bottom w:w="0" w:type="dxa"/>
            <w:right w:w="108" w:type="dxa"/>
          </w:tblCellMar>
        </w:tblPrEx>
        <w:trPr>
          <w:trHeight w:val="480" w:hRule="atLeast"/>
        </w:trPr>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8</w:t>
            </w:r>
          </w:p>
        </w:tc>
        <w:tc>
          <w:tcPr>
            <w:tcW w:w="1960"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 xml:space="preserve">N7K-SM-NAM-9G-K9   </w:t>
            </w:r>
          </w:p>
        </w:tc>
        <w:tc>
          <w:tcPr>
            <w:tcW w:w="3692" w:type="dxa"/>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Cisco Nexus 7000 Series Network Analysis Module (NAM-NX1)</w:t>
            </w:r>
          </w:p>
        </w:tc>
        <w:tc>
          <w:tcPr>
            <w:tcW w:w="869"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CISCO</w:t>
            </w:r>
          </w:p>
        </w:tc>
        <w:tc>
          <w:tcPr>
            <w:tcW w:w="708"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1</w:t>
            </w:r>
          </w:p>
        </w:tc>
        <w:tc>
          <w:tcPr>
            <w:tcW w:w="567"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块</w:t>
            </w:r>
          </w:p>
        </w:tc>
      </w:tr>
      <w:tr>
        <w:tblPrEx>
          <w:tblCellMar>
            <w:top w:w="0" w:type="dxa"/>
            <w:left w:w="108" w:type="dxa"/>
            <w:bottom w:w="0" w:type="dxa"/>
            <w:right w:w="108" w:type="dxa"/>
          </w:tblCellMar>
        </w:tblPrEx>
        <w:trPr>
          <w:trHeight w:val="40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3692" w:type="dxa"/>
            <w:tcBorders>
              <w:top w:val="nil"/>
              <w:left w:val="nil"/>
              <w:bottom w:val="single" w:color="auto" w:sz="4" w:space="0"/>
              <w:right w:val="single" w:color="auto" w:sz="4" w:space="0"/>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网络分析功能</w:t>
            </w:r>
          </w:p>
        </w:tc>
        <w:tc>
          <w:tcPr>
            <w:tcW w:w="8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eastAsia="宋体" w:cs="宋体"/>
                <w:kern w:val="0"/>
                <w:sz w:val="21"/>
                <w:szCs w:val="21"/>
              </w:rPr>
            </w:pPr>
          </w:p>
        </w:tc>
      </w:tr>
    </w:tbl>
    <w:p>
      <w:pPr>
        <w:widowControl w:val="0"/>
        <w:jc w:val="both"/>
        <w:rPr>
          <w:rFonts w:ascii="宋体" w:hAnsi="Courier New" w:eastAsia="宋体" w:cs="Times New Roman"/>
          <w:kern w:val="2"/>
          <w:sz w:val="21"/>
          <w:lang w:val="en-US" w:eastAsia="zh-CN" w:bidi="ar-SA"/>
        </w:rPr>
      </w:pPr>
    </w:p>
    <w:p>
      <w:pPr>
        <w:keepNext/>
        <w:keepLines/>
        <w:numPr>
          <w:ilvl w:val="0"/>
          <w:numId w:val="5"/>
        </w:numPr>
        <w:snapToGrid w:val="0"/>
        <w:spacing w:line="360" w:lineRule="auto"/>
        <w:ind w:left="425" w:hanging="425"/>
        <w:jc w:val="left"/>
        <w:rPr>
          <w:rFonts w:ascii="宋体" w:hAnsi="宋体" w:eastAsia="宋体" w:cs="宋体"/>
          <w:b/>
          <w:bCs/>
          <w:sz w:val="21"/>
          <w:szCs w:val="21"/>
        </w:rPr>
      </w:pPr>
      <w:bookmarkStart w:id="10" w:name="_Toc526833086"/>
      <w:r>
        <w:rPr>
          <w:rFonts w:hint="eastAsia" w:ascii="宋体" w:hAnsi="宋体" w:eastAsia="宋体" w:cs="宋体"/>
          <w:b/>
          <w:bCs/>
          <w:sz w:val="21"/>
          <w:szCs w:val="21"/>
        </w:rPr>
        <w:t>网络平台运营和运维体系建设</w:t>
      </w:r>
      <w:bookmarkEnd w:id="10"/>
    </w:p>
    <w:p>
      <w:pPr>
        <w:snapToGrid w:val="0"/>
        <w:spacing w:line="360" w:lineRule="auto"/>
        <w:ind w:firstLine="420" w:firstLineChars="200"/>
        <w:jc w:val="left"/>
        <w:rPr>
          <w:rFonts w:ascii="宋体" w:hAnsi="宋体" w:eastAsia="宋体" w:cs="宋体"/>
          <w:sz w:val="21"/>
          <w:szCs w:val="21"/>
        </w:rPr>
      </w:pPr>
      <w:r>
        <w:rPr>
          <w:rFonts w:hint="eastAsia" w:ascii="宋体" w:hAnsi="宋体" w:eastAsia="宋体" w:cs="宋体"/>
          <w:sz w:val="21"/>
          <w:szCs w:val="21"/>
        </w:rPr>
        <w:t>针对改造后的“校校通”网络建立运维体系和流程，对出现的故障及时修复，确保网络长期可靠稳定运行。实施统一网络运营的管理，通过网络运维管理平台对整体网络设备运营状态、链路状态进行统一监控管理，对设备链路运行状态、网络饱和状态进行自动预警，并根据网络的使用情况对带宽资源优化管理。开展统一运维的管理，提供高效的运维管理手段，提升问题处理效率，缩减问题处理时间，提供健康分析功能，能够实时监控并分析数据中心的资源使用状态，评估健康度和风险，提供日常的运维报表，后台运维支持，用户发现问题后应快速分级响应。</w:t>
      </w:r>
    </w:p>
    <w:p>
      <w:pPr>
        <w:snapToGrid w:val="0"/>
        <w:spacing w:line="360" w:lineRule="auto"/>
        <w:ind w:firstLine="420" w:firstLineChars="200"/>
        <w:jc w:val="left"/>
        <w:rPr>
          <w:rFonts w:ascii="宋体" w:hAnsi="宋体" w:eastAsia="宋体" w:cs="宋体"/>
          <w:sz w:val="21"/>
          <w:szCs w:val="21"/>
        </w:rPr>
      </w:pPr>
      <w:r>
        <w:rPr>
          <w:rFonts w:hint="eastAsia" w:ascii="宋体" w:hAnsi="宋体" w:eastAsia="宋体" w:cs="宋体"/>
          <w:sz w:val="21"/>
          <w:szCs w:val="21"/>
        </w:rPr>
        <w:t>投标人需对由于更换6个汇聚节点网络设备及所有160多所学校的路由器设备的网络配置调整提供现场调试，确保整个网络的平滑过渡升级。以上网络的平滑升级需确保各教学单位的日常教学活动开展，因此需确保网络升级不会引起运行中断。</w:t>
      </w:r>
    </w:p>
    <w:p>
      <w:pPr>
        <w:widowControl w:val="0"/>
        <w:jc w:val="both"/>
        <w:rPr>
          <w:rFonts w:ascii="宋体" w:hAnsi="Courier New" w:eastAsia="宋体" w:cs="Times New Roman"/>
          <w:kern w:val="2"/>
          <w:sz w:val="21"/>
          <w:lang w:val="en-US" w:eastAsia="zh-CN" w:bidi="ar-SA"/>
        </w:rPr>
      </w:pPr>
    </w:p>
    <w:p>
      <w:pPr>
        <w:keepNext/>
        <w:keepLines/>
        <w:numPr>
          <w:ilvl w:val="0"/>
          <w:numId w:val="5"/>
        </w:numPr>
        <w:snapToGrid w:val="0"/>
        <w:spacing w:line="360" w:lineRule="auto"/>
        <w:ind w:left="425" w:hanging="425"/>
        <w:jc w:val="left"/>
        <w:rPr>
          <w:rFonts w:ascii="宋体" w:hAnsi="宋体" w:eastAsia="宋体" w:cs="宋体"/>
          <w:b/>
          <w:bCs/>
          <w:sz w:val="21"/>
          <w:szCs w:val="21"/>
        </w:rPr>
      </w:pPr>
      <w:r>
        <w:rPr>
          <w:rFonts w:hint="eastAsia" w:ascii="宋体" w:hAnsi="宋体" w:eastAsia="宋体" w:cs="宋体"/>
          <w:b/>
          <w:bCs/>
          <w:sz w:val="21"/>
          <w:szCs w:val="21"/>
        </w:rPr>
        <w:t xml:space="preserve"> 设备参考配置清单</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749"/>
        <w:gridCol w:w="4610"/>
        <w:gridCol w:w="774"/>
        <w:gridCol w:w="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tcBorders>
              <w:tl2br w:val="nil"/>
              <w:tr2bl w:val="nil"/>
            </w:tcBorders>
            <w:shd w:val="clear" w:color="auto" w:fill="auto"/>
            <w:vAlign w:val="center"/>
          </w:tcPr>
          <w:p>
            <w:pPr>
              <w:widowControl/>
              <w:snapToGrid w:val="0"/>
              <w:jc w:val="left"/>
              <w:rPr>
                <w:rFonts w:ascii="宋体" w:hAnsi="宋体" w:eastAsia="宋体" w:cs="宋体"/>
                <w:b/>
                <w:bCs/>
                <w:kern w:val="0"/>
                <w:sz w:val="21"/>
                <w:szCs w:val="21"/>
              </w:rPr>
            </w:pPr>
            <w:r>
              <w:rPr>
                <w:rFonts w:hint="eastAsia" w:ascii="宋体" w:hAnsi="宋体" w:eastAsia="宋体" w:cs="宋体"/>
                <w:b/>
                <w:bCs/>
                <w:kern w:val="0"/>
                <w:sz w:val="21"/>
                <w:szCs w:val="21"/>
              </w:rPr>
              <w:t>宝山教育局校校通改造项目升级设备参考清单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tcBorders>
              <w:tl2br w:val="nil"/>
              <w:tr2bl w:val="nil"/>
            </w:tcBorders>
            <w:shd w:val="clear" w:color="auto" w:fill="auto"/>
            <w:vAlign w:val="center"/>
          </w:tcPr>
          <w:p>
            <w:pPr>
              <w:widowControl/>
              <w:snapToGrid w:val="0"/>
              <w:jc w:val="left"/>
              <w:rPr>
                <w:rFonts w:ascii="宋体" w:hAnsi="宋体" w:eastAsia="宋体" w:cs="宋体"/>
                <w:b/>
                <w:bCs/>
                <w:kern w:val="0"/>
                <w:sz w:val="21"/>
                <w:szCs w:val="21"/>
              </w:rPr>
            </w:pPr>
            <w:r>
              <w:rPr>
                <w:rFonts w:hint="eastAsia" w:ascii="宋体" w:hAnsi="宋体" w:eastAsia="宋体" w:cs="宋体"/>
                <w:b/>
                <w:bCs/>
                <w:kern w:val="0"/>
                <w:sz w:val="21"/>
                <w:szCs w:val="21"/>
              </w:rPr>
              <w:t>1、宝山区教育局汇聚节点交换机（三年生产厂家质保）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snapToGrid w:val="0"/>
              <w:jc w:val="left"/>
              <w:rPr>
                <w:rFonts w:ascii="宋体" w:hAnsi="宋体" w:eastAsia="宋体" w:cs="宋体"/>
                <w:b/>
                <w:bCs/>
                <w:kern w:val="0"/>
                <w:sz w:val="21"/>
                <w:szCs w:val="21"/>
              </w:rPr>
            </w:pPr>
            <w:r>
              <w:rPr>
                <w:rFonts w:hint="eastAsia" w:ascii="宋体" w:hAnsi="宋体" w:eastAsia="宋体" w:cs="宋体"/>
                <w:b/>
                <w:bCs/>
                <w:kern w:val="0"/>
                <w:sz w:val="21"/>
                <w:szCs w:val="21"/>
              </w:rPr>
              <w:t>序号</w:t>
            </w:r>
          </w:p>
        </w:tc>
        <w:tc>
          <w:tcPr>
            <w:tcW w:w="1026" w:type="pct"/>
            <w:tcBorders>
              <w:tl2br w:val="nil"/>
              <w:tr2bl w:val="nil"/>
            </w:tcBorders>
            <w:shd w:val="clear" w:color="auto" w:fill="auto"/>
            <w:vAlign w:val="center"/>
          </w:tcPr>
          <w:p>
            <w:pPr>
              <w:widowControl/>
              <w:snapToGrid w:val="0"/>
              <w:jc w:val="left"/>
              <w:rPr>
                <w:rFonts w:ascii="宋体" w:hAnsi="宋体" w:eastAsia="宋体" w:cs="宋体"/>
                <w:b/>
                <w:bCs/>
                <w:kern w:val="0"/>
                <w:sz w:val="21"/>
                <w:szCs w:val="21"/>
              </w:rPr>
            </w:pPr>
            <w:r>
              <w:rPr>
                <w:rFonts w:hint="eastAsia" w:ascii="宋体" w:hAnsi="宋体" w:eastAsia="宋体" w:cs="宋体"/>
                <w:b/>
                <w:bCs/>
                <w:kern w:val="0"/>
                <w:sz w:val="21"/>
                <w:szCs w:val="21"/>
              </w:rPr>
              <w:t>产品名称</w:t>
            </w:r>
          </w:p>
        </w:tc>
        <w:tc>
          <w:tcPr>
            <w:tcW w:w="2705" w:type="pct"/>
            <w:tcBorders>
              <w:tl2br w:val="nil"/>
              <w:tr2bl w:val="nil"/>
            </w:tcBorders>
            <w:shd w:val="clear" w:color="auto" w:fill="auto"/>
            <w:vAlign w:val="center"/>
          </w:tcPr>
          <w:p>
            <w:pPr>
              <w:widowControl/>
              <w:snapToGrid w:val="0"/>
              <w:jc w:val="left"/>
              <w:rPr>
                <w:rFonts w:ascii="宋体" w:hAnsi="宋体" w:eastAsia="宋体" w:cs="宋体"/>
                <w:b/>
                <w:bCs/>
                <w:kern w:val="0"/>
                <w:sz w:val="21"/>
                <w:szCs w:val="21"/>
              </w:rPr>
            </w:pPr>
            <w:r>
              <w:rPr>
                <w:rFonts w:hint="eastAsia" w:ascii="宋体" w:hAnsi="宋体" w:eastAsia="宋体" w:cs="宋体"/>
                <w:b/>
                <w:bCs/>
                <w:kern w:val="0"/>
                <w:sz w:val="21"/>
                <w:szCs w:val="21"/>
              </w:rPr>
              <w:t>规格</w:t>
            </w:r>
          </w:p>
        </w:tc>
        <w:tc>
          <w:tcPr>
            <w:tcW w:w="454" w:type="pct"/>
            <w:tcBorders>
              <w:tl2br w:val="nil"/>
              <w:tr2bl w:val="nil"/>
            </w:tcBorders>
            <w:shd w:val="clear" w:color="auto" w:fill="auto"/>
            <w:vAlign w:val="center"/>
          </w:tcPr>
          <w:p>
            <w:pPr>
              <w:widowControl/>
              <w:snapToGrid w:val="0"/>
              <w:jc w:val="left"/>
              <w:rPr>
                <w:rFonts w:ascii="宋体" w:hAnsi="宋体" w:eastAsia="宋体" w:cs="宋体"/>
                <w:b/>
                <w:bCs/>
                <w:kern w:val="0"/>
                <w:sz w:val="21"/>
                <w:szCs w:val="21"/>
              </w:rPr>
            </w:pPr>
            <w:r>
              <w:rPr>
                <w:rFonts w:hint="eastAsia" w:ascii="宋体" w:hAnsi="宋体" w:eastAsia="宋体" w:cs="宋体"/>
                <w:b/>
                <w:bCs/>
                <w:kern w:val="0"/>
                <w:sz w:val="21"/>
                <w:szCs w:val="21"/>
              </w:rPr>
              <w:t>数量</w:t>
            </w:r>
          </w:p>
        </w:tc>
        <w:tc>
          <w:tcPr>
            <w:tcW w:w="383" w:type="pct"/>
            <w:tcBorders>
              <w:tl2br w:val="nil"/>
              <w:tr2bl w:val="nil"/>
            </w:tcBorders>
            <w:shd w:val="clear" w:color="auto" w:fill="auto"/>
            <w:vAlign w:val="center"/>
          </w:tcPr>
          <w:p>
            <w:pPr>
              <w:widowControl/>
              <w:snapToGrid w:val="0"/>
              <w:jc w:val="left"/>
              <w:rPr>
                <w:rFonts w:ascii="宋体" w:hAnsi="宋体" w:eastAsia="宋体" w:cs="宋体"/>
                <w:b/>
                <w:bCs/>
                <w:kern w:val="0"/>
                <w:sz w:val="21"/>
                <w:szCs w:val="21"/>
              </w:rPr>
            </w:pPr>
            <w:r>
              <w:rPr>
                <w:rFonts w:hint="eastAsia" w:ascii="宋体" w:hAnsi="宋体" w:eastAsia="宋体" w:cs="宋体"/>
                <w:b/>
                <w:bCs/>
                <w:kern w:val="0"/>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32" w:type="pct"/>
            <w:tcBorders>
              <w:tl2br w:val="nil"/>
              <w:tr2bl w:val="nil"/>
            </w:tcBorders>
            <w:shd w:val="clear" w:color="auto" w:fill="auto"/>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026"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汇聚路由器</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汇聚路由器，基本软件、MPLS功能、NQA功能、IPV6功能授权</w:t>
            </w:r>
          </w:p>
        </w:tc>
        <w:tc>
          <w:tcPr>
            <w:tcW w:w="454"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 xml:space="preserve">6 </w:t>
            </w:r>
          </w:p>
        </w:tc>
        <w:tc>
          <w:tcPr>
            <w:tcW w:w="383"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026"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路由器主控单位</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路由器主控引擎</w:t>
            </w:r>
          </w:p>
        </w:tc>
        <w:tc>
          <w:tcPr>
            <w:tcW w:w="454"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 xml:space="preserve">12 </w:t>
            </w:r>
          </w:p>
        </w:tc>
        <w:tc>
          <w:tcPr>
            <w:tcW w:w="383"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026"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路由器交换板卡</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480G以上交换板卡</w:t>
            </w:r>
          </w:p>
        </w:tc>
        <w:tc>
          <w:tcPr>
            <w:tcW w:w="454"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 xml:space="preserve">12 </w:t>
            </w:r>
          </w:p>
        </w:tc>
        <w:tc>
          <w:tcPr>
            <w:tcW w:w="383"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026"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240G全业务板卡</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240G全业务板卡</w:t>
            </w:r>
          </w:p>
        </w:tc>
        <w:tc>
          <w:tcPr>
            <w:tcW w:w="454"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ascii="宋体" w:hAnsi="宋体" w:eastAsia="宋体" w:cs="宋体"/>
                <w:kern w:val="0"/>
                <w:sz w:val="21"/>
                <w:szCs w:val="21"/>
              </w:rPr>
              <w:t>6</w:t>
            </w:r>
            <w:r>
              <w:rPr>
                <w:rFonts w:hint="eastAsia" w:ascii="宋体" w:hAnsi="宋体" w:eastAsia="宋体" w:cs="宋体"/>
                <w:kern w:val="0"/>
                <w:sz w:val="21"/>
                <w:szCs w:val="21"/>
              </w:rPr>
              <w:t xml:space="preserve"> </w:t>
            </w:r>
          </w:p>
        </w:tc>
        <w:tc>
          <w:tcPr>
            <w:tcW w:w="383"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026"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ascii="宋体" w:hAnsi="宋体" w:eastAsia="宋体" w:cs="宋体"/>
                <w:color w:val="000000"/>
                <w:kern w:val="0"/>
                <w:sz w:val="21"/>
                <w:szCs w:val="21"/>
              </w:rPr>
              <w:t>48</w:t>
            </w:r>
            <w:r>
              <w:rPr>
                <w:rFonts w:hint="eastAsia" w:ascii="宋体" w:hAnsi="宋体" w:eastAsia="宋体" w:cs="宋体"/>
                <w:color w:val="000000"/>
                <w:kern w:val="0"/>
                <w:sz w:val="21"/>
                <w:szCs w:val="21"/>
              </w:rPr>
              <w:t>0G全业务板卡</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ascii="宋体" w:hAnsi="宋体" w:eastAsia="宋体" w:cs="宋体"/>
                <w:color w:val="000000"/>
                <w:kern w:val="0"/>
                <w:sz w:val="21"/>
                <w:szCs w:val="21"/>
              </w:rPr>
              <w:t>48</w:t>
            </w:r>
            <w:r>
              <w:rPr>
                <w:rFonts w:hint="eastAsia" w:ascii="宋体" w:hAnsi="宋体" w:eastAsia="宋体" w:cs="宋体"/>
                <w:color w:val="000000"/>
                <w:kern w:val="0"/>
                <w:sz w:val="21"/>
                <w:szCs w:val="21"/>
              </w:rPr>
              <w:t>0G全业务板卡</w:t>
            </w:r>
          </w:p>
        </w:tc>
        <w:tc>
          <w:tcPr>
            <w:tcW w:w="454"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6</w:t>
            </w:r>
          </w:p>
        </w:tc>
        <w:tc>
          <w:tcPr>
            <w:tcW w:w="383"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snapToGrid w:val="0"/>
              <w:jc w:val="center"/>
              <w:rPr>
                <w:rFonts w:ascii="宋体" w:hAnsi="宋体" w:eastAsia="宋体" w:cs="宋体"/>
                <w:color w:val="000000"/>
                <w:kern w:val="0"/>
                <w:sz w:val="21"/>
                <w:szCs w:val="21"/>
              </w:rPr>
            </w:pPr>
            <w:r>
              <w:rPr>
                <w:rFonts w:ascii="宋体" w:hAnsi="宋体" w:eastAsia="宋体" w:cs="宋体"/>
                <w:color w:val="000000"/>
                <w:kern w:val="0"/>
                <w:sz w:val="21"/>
                <w:szCs w:val="21"/>
              </w:rPr>
              <w:t>6</w:t>
            </w:r>
          </w:p>
        </w:tc>
        <w:tc>
          <w:tcPr>
            <w:tcW w:w="1026"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万兆端口板卡</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12端口以上10GBase LAN/WAN-SFP板卡</w:t>
            </w:r>
          </w:p>
        </w:tc>
        <w:tc>
          <w:tcPr>
            <w:tcW w:w="454"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 xml:space="preserve">6 </w:t>
            </w:r>
          </w:p>
        </w:tc>
        <w:tc>
          <w:tcPr>
            <w:tcW w:w="383"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snapToGrid w:val="0"/>
              <w:jc w:val="center"/>
              <w:rPr>
                <w:rFonts w:ascii="宋体" w:hAnsi="宋体" w:eastAsia="宋体" w:cs="宋体"/>
                <w:color w:val="000000"/>
                <w:kern w:val="0"/>
                <w:sz w:val="21"/>
                <w:szCs w:val="21"/>
              </w:rPr>
            </w:pPr>
            <w:r>
              <w:rPr>
                <w:rFonts w:ascii="宋体" w:hAnsi="宋体" w:eastAsia="宋体" w:cs="宋体"/>
                <w:color w:val="000000"/>
                <w:kern w:val="0"/>
                <w:sz w:val="21"/>
                <w:szCs w:val="21"/>
              </w:rPr>
              <w:t>7</w:t>
            </w:r>
          </w:p>
        </w:tc>
        <w:tc>
          <w:tcPr>
            <w:tcW w:w="1026"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ascii="宋体" w:hAnsi="宋体" w:eastAsia="宋体" w:cs="宋体"/>
                <w:color w:val="000000"/>
                <w:kern w:val="0"/>
                <w:sz w:val="21"/>
                <w:szCs w:val="21"/>
              </w:rPr>
              <w:t>100</w:t>
            </w:r>
            <w:r>
              <w:rPr>
                <w:rFonts w:hint="eastAsia" w:ascii="宋体" w:hAnsi="宋体" w:eastAsia="宋体" w:cs="宋体"/>
                <w:color w:val="000000"/>
                <w:kern w:val="0"/>
                <w:sz w:val="21"/>
                <w:szCs w:val="21"/>
              </w:rPr>
              <w:t>G端口板卡</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ascii="宋体" w:hAnsi="宋体" w:eastAsia="宋体" w:cs="宋体"/>
                <w:kern w:val="0"/>
                <w:sz w:val="21"/>
                <w:szCs w:val="21"/>
              </w:rPr>
              <w:t>1</w:t>
            </w:r>
            <w:r>
              <w:rPr>
                <w:rFonts w:hint="eastAsia" w:ascii="宋体" w:hAnsi="宋体" w:eastAsia="宋体" w:cs="宋体"/>
                <w:kern w:val="0"/>
                <w:sz w:val="21"/>
                <w:szCs w:val="21"/>
              </w:rPr>
              <w:t>端口及以上1</w:t>
            </w:r>
            <w:r>
              <w:rPr>
                <w:rFonts w:ascii="宋体" w:hAnsi="宋体" w:eastAsia="宋体" w:cs="宋体"/>
                <w:kern w:val="0"/>
                <w:sz w:val="21"/>
                <w:szCs w:val="21"/>
              </w:rPr>
              <w:t>00GBase</w:t>
            </w:r>
            <w:r>
              <w:rPr>
                <w:rFonts w:hint="eastAsia" w:ascii="宋体" w:hAnsi="宋体" w:eastAsia="宋体" w:cs="宋体"/>
                <w:kern w:val="0"/>
                <w:sz w:val="21"/>
                <w:szCs w:val="21"/>
              </w:rPr>
              <w:t>-</w:t>
            </w:r>
            <w:r>
              <w:rPr>
                <w:rFonts w:ascii="宋体" w:hAnsi="宋体" w:eastAsia="宋体" w:cs="宋体"/>
                <w:kern w:val="0"/>
                <w:sz w:val="21"/>
                <w:szCs w:val="21"/>
              </w:rPr>
              <w:t>QSFP28</w:t>
            </w:r>
            <w:r>
              <w:rPr>
                <w:rFonts w:hint="eastAsia" w:ascii="宋体" w:hAnsi="宋体" w:eastAsia="宋体" w:cs="宋体"/>
                <w:kern w:val="0"/>
                <w:sz w:val="21"/>
                <w:szCs w:val="21"/>
              </w:rPr>
              <w:t>板卡</w:t>
            </w:r>
          </w:p>
        </w:tc>
        <w:tc>
          <w:tcPr>
            <w:tcW w:w="454"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ascii="宋体" w:hAnsi="宋体" w:eastAsia="宋体" w:cs="宋体"/>
                <w:kern w:val="0"/>
                <w:sz w:val="21"/>
                <w:szCs w:val="21"/>
              </w:rPr>
              <w:t>12</w:t>
            </w:r>
            <w:r>
              <w:rPr>
                <w:rFonts w:hint="eastAsia" w:ascii="宋体" w:hAnsi="宋体" w:eastAsia="宋体" w:cs="宋体"/>
                <w:kern w:val="0"/>
                <w:sz w:val="21"/>
                <w:szCs w:val="21"/>
              </w:rPr>
              <w:t xml:space="preserve"> </w:t>
            </w:r>
          </w:p>
        </w:tc>
        <w:tc>
          <w:tcPr>
            <w:tcW w:w="383"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snapToGrid w:val="0"/>
              <w:jc w:val="center"/>
              <w:rPr>
                <w:rFonts w:ascii="宋体" w:hAnsi="宋体" w:eastAsia="宋体" w:cs="宋体"/>
                <w:color w:val="000000"/>
                <w:kern w:val="0"/>
                <w:sz w:val="21"/>
                <w:szCs w:val="21"/>
              </w:rPr>
            </w:pPr>
            <w:r>
              <w:rPr>
                <w:rFonts w:ascii="宋体" w:hAnsi="宋体" w:eastAsia="宋体" w:cs="宋体"/>
                <w:color w:val="000000"/>
                <w:kern w:val="0"/>
                <w:sz w:val="21"/>
                <w:szCs w:val="21"/>
              </w:rPr>
              <w:t>8</w:t>
            </w:r>
          </w:p>
        </w:tc>
        <w:tc>
          <w:tcPr>
            <w:tcW w:w="1026"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千兆端口板卡</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48端口以上100/1000Base-X-SFP 板卡</w:t>
            </w:r>
          </w:p>
        </w:tc>
        <w:tc>
          <w:tcPr>
            <w:tcW w:w="454"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 xml:space="preserve">12 </w:t>
            </w:r>
          </w:p>
        </w:tc>
        <w:tc>
          <w:tcPr>
            <w:tcW w:w="383"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snapToGrid w:val="0"/>
              <w:jc w:val="center"/>
              <w:rPr>
                <w:rFonts w:ascii="宋体" w:hAnsi="宋体" w:eastAsia="宋体" w:cs="宋体"/>
                <w:color w:val="000000"/>
                <w:kern w:val="0"/>
                <w:sz w:val="21"/>
                <w:szCs w:val="21"/>
              </w:rPr>
            </w:pPr>
            <w:r>
              <w:rPr>
                <w:rFonts w:ascii="宋体" w:hAnsi="宋体" w:eastAsia="宋体" w:cs="宋体"/>
                <w:color w:val="000000"/>
                <w:kern w:val="0"/>
                <w:sz w:val="21"/>
                <w:szCs w:val="21"/>
              </w:rPr>
              <w:t>9</w:t>
            </w:r>
          </w:p>
        </w:tc>
        <w:tc>
          <w:tcPr>
            <w:tcW w:w="1026"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直流电源模块</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1500W以上直流电源模块</w:t>
            </w:r>
          </w:p>
        </w:tc>
        <w:tc>
          <w:tcPr>
            <w:tcW w:w="454"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满配</w:t>
            </w:r>
          </w:p>
        </w:tc>
        <w:tc>
          <w:tcPr>
            <w:tcW w:w="383"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1026"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千兆10km光模块</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光模块-eSFP-GE-单模模块(1310nm,10km,LC)</w:t>
            </w:r>
          </w:p>
        </w:tc>
        <w:tc>
          <w:tcPr>
            <w:tcW w:w="454"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 xml:space="preserve">280 </w:t>
            </w:r>
          </w:p>
        </w:tc>
        <w:tc>
          <w:tcPr>
            <w:tcW w:w="383"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w:t>
            </w:r>
          </w:p>
        </w:tc>
        <w:tc>
          <w:tcPr>
            <w:tcW w:w="1026"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千兆40km光模块</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光模块-eSFP-GE-单模模块(1310nm,40km,LC)</w:t>
            </w:r>
          </w:p>
        </w:tc>
        <w:tc>
          <w:tcPr>
            <w:tcW w:w="454"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 xml:space="preserve">110 </w:t>
            </w:r>
          </w:p>
        </w:tc>
        <w:tc>
          <w:tcPr>
            <w:tcW w:w="383"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1026"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千兆光转电模块</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千兆光口转电口模块</w:t>
            </w:r>
          </w:p>
        </w:tc>
        <w:tc>
          <w:tcPr>
            <w:tcW w:w="454"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 xml:space="preserve">24 </w:t>
            </w:r>
          </w:p>
        </w:tc>
        <w:tc>
          <w:tcPr>
            <w:tcW w:w="383"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1026"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万兆多模光模块</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光模块-SFP+-10G-多模模块(850nm,0.3km,LC)</w:t>
            </w:r>
          </w:p>
        </w:tc>
        <w:tc>
          <w:tcPr>
            <w:tcW w:w="454"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 xml:space="preserve">24 </w:t>
            </w:r>
          </w:p>
        </w:tc>
        <w:tc>
          <w:tcPr>
            <w:tcW w:w="383"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w:t>
            </w:r>
          </w:p>
        </w:tc>
        <w:tc>
          <w:tcPr>
            <w:tcW w:w="1026"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万兆10km光模块</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光模块-SFP+-10G-单模模块(1310nm,10km,LC)</w:t>
            </w:r>
          </w:p>
        </w:tc>
        <w:tc>
          <w:tcPr>
            <w:tcW w:w="454"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 xml:space="preserve">4 </w:t>
            </w:r>
          </w:p>
        </w:tc>
        <w:tc>
          <w:tcPr>
            <w:tcW w:w="383"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1026"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万兆40km光模块</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光模块-SFP+-10G-单模模块(1310nm,40km,LC)</w:t>
            </w:r>
          </w:p>
        </w:tc>
        <w:tc>
          <w:tcPr>
            <w:tcW w:w="454" w:type="pct"/>
            <w:tcBorders>
              <w:tl2br w:val="nil"/>
              <w:tr2bl w:val="nil"/>
            </w:tcBorders>
            <w:shd w:val="clear" w:color="auto" w:fill="auto"/>
            <w:noWrap/>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4 </w:t>
            </w:r>
          </w:p>
        </w:tc>
        <w:tc>
          <w:tcPr>
            <w:tcW w:w="383"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16</w:t>
            </w:r>
          </w:p>
        </w:tc>
        <w:tc>
          <w:tcPr>
            <w:tcW w:w="1026"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40G多模光模块</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40G多模光模块</w:t>
            </w:r>
          </w:p>
        </w:tc>
        <w:tc>
          <w:tcPr>
            <w:tcW w:w="454"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1</w:t>
            </w:r>
          </w:p>
        </w:tc>
        <w:tc>
          <w:tcPr>
            <w:tcW w:w="383"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17</w:t>
            </w:r>
          </w:p>
        </w:tc>
        <w:tc>
          <w:tcPr>
            <w:tcW w:w="1026"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40G10km光模块</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40G单模光模块-QSFP-10km</w:t>
            </w:r>
          </w:p>
        </w:tc>
        <w:tc>
          <w:tcPr>
            <w:tcW w:w="454"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6</w:t>
            </w:r>
          </w:p>
        </w:tc>
        <w:tc>
          <w:tcPr>
            <w:tcW w:w="383"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2" w:type="pct"/>
            <w:tcBorders>
              <w:tl2br w:val="nil"/>
              <w:tr2bl w:val="nil"/>
            </w:tcBorders>
            <w:shd w:val="clear" w:color="auto" w:fill="auto"/>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w:t>
            </w:r>
          </w:p>
        </w:tc>
        <w:tc>
          <w:tcPr>
            <w:tcW w:w="1026"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40G40km光模块</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40G 40公里单模光模块-QSFP+-40G-单模模块(1310nm,40km,LC)</w:t>
            </w:r>
          </w:p>
        </w:tc>
        <w:tc>
          <w:tcPr>
            <w:tcW w:w="454"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7</w:t>
            </w:r>
          </w:p>
        </w:tc>
        <w:tc>
          <w:tcPr>
            <w:tcW w:w="383"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19</w:t>
            </w:r>
          </w:p>
        </w:tc>
        <w:tc>
          <w:tcPr>
            <w:tcW w:w="1026"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电源线</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 xml:space="preserve">450V/750V IEC 02(RV)-95mm^2-258A-CCC,CE </w:t>
            </w:r>
          </w:p>
        </w:tc>
        <w:tc>
          <w:tcPr>
            <w:tcW w:w="454"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6</w:t>
            </w:r>
          </w:p>
        </w:tc>
        <w:tc>
          <w:tcPr>
            <w:tcW w:w="383"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百米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1026"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电源线</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 xml:space="preserve">450V/750V IEC 02(RV)-95mm^2-258A-CCC,CE </w:t>
            </w:r>
          </w:p>
        </w:tc>
        <w:tc>
          <w:tcPr>
            <w:tcW w:w="454"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6</w:t>
            </w:r>
          </w:p>
        </w:tc>
        <w:tc>
          <w:tcPr>
            <w:tcW w:w="383"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百米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21</w:t>
            </w:r>
          </w:p>
        </w:tc>
        <w:tc>
          <w:tcPr>
            <w:tcW w:w="1026"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电源线</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 xml:space="preserve">450V/750V IEC 02(RV)-35mm^2-138A-CCC,CE </w:t>
            </w:r>
          </w:p>
        </w:tc>
        <w:tc>
          <w:tcPr>
            <w:tcW w:w="454"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2</w:t>
            </w:r>
          </w:p>
        </w:tc>
        <w:tc>
          <w:tcPr>
            <w:tcW w:w="383"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百米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w:t>
            </w:r>
          </w:p>
        </w:tc>
        <w:tc>
          <w:tcPr>
            <w:tcW w:w="1026"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光纤跳线</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万兆单模光纤跳线（420对）</w:t>
            </w:r>
          </w:p>
        </w:tc>
        <w:tc>
          <w:tcPr>
            <w:tcW w:w="454"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 xml:space="preserve">420 </w:t>
            </w:r>
          </w:p>
        </w:tc>
        <w:tc>
          <w:tcPr>
            <w:tcW w:w="383"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23</w:t>
            </w:r>
          </w:p>
        </w:tc>
        <w:tc>
          <w:tcPr>
            <w:tcW w:w="1026"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网管平台软件</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网管平台软件（管理本次采购汇聚接入网络设备）</w:t>
            </w:r>
          </w:p>
        </w:tc>
        <w:tc>
          <w:tcPr>
            <w:tcW w:w="454"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 xml:space="preserve">1 </w:t>
            </w:r>
          </w:p>
        </w:tc>
        <w:tc>
          <w:tcPr>
            <w:tcW w:w="383"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24</w:t>
            </w:r>
          </w:p>
        </w:tc>
        <w:tc>
          <w:tcPr>
            <w:tcW w:w="1026"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汇聚路由器安装调试</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汇聚路由器安装调试及维护、汇聚机柜布线跳纤</w:t>
            </w:r>
          </w:p>
        </w:tc>
        <w:tc>
          <w:tcPr>
            <w:tcW w:w="454"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 xml:space="preserve">1 </w:t>
            </w:r>
          </w:p>
        </w:tc>
        <w:tc>
          <w:tcPr>
            <w:tcW w:w="383"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25</w:t>
            </w:r>
          </w:p>
        </w:tc>
        <w:tc>
          <w:tcPr>
            <w:tcW w:w="1026"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汇聚路由器机柜</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在宝山区域内提供6个汇聚节点汇聚设备托管服务（二年服务）</w:t>
            </w:r>
          </w:p>
        </w:tc>
        <w:tc>
          <w:tcPr>
            <w:tcW w:w="454"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6</w:t>
            </w:r>
          </w:p>
        </w:tc>
        <w:tc>
          <w:tcPr>
            <w:tcW w:w="383"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tcBorders>
              <w:tl2br w:val="nil"/>
              <w:tr2bl w:val="nil"/>
            </w:tcBorders>
            <w:shd w:val="clear" w:color="auto" w:fill="auto"/>
            <w:vAlign w:val="center"/>
          </w:tcPr>
          <w:p>
            <w:pPr>
              <w:widowControl/>
              <w:snapToGrid w:val="0"/>
              <w:jc w:val="left"/>
              <w:rPr>
                <w:rFonts w:ascii="宋体" w:hAnsi="宋体" w:eastAsia="宋体" w:cs="宋体"/>
                <w:b/>
                <w:bCs/>
                <w:kern w:val="0"/>
                <w:sz w:val="21"/>
                <w:szCs w:val="21"/>
              </w:rPr>
            </w:pPr>
            <w:r>
              <w:rPr>
                <w:rFonts w:hint="eastAsia" w:ascii="宋体" w:hAnsi="宋体" w:eastAsia="宋体" w:cs="宋体"/>
                <w:b/>
                <w:bCs/>
                <w:kern w:val="0"/>
                <w:sz w:val="21"/>
                <w:szCs w:val="21"/>
              </w:rPr>
              <w:t>2、宝山区教育局160个学校接入路由器（三年生产厂家质保）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snapToGrid w:val="0"/>
              <w:jc w:val="left"/>
              <w:rPr>
                <w:rFonts w:ascii="宋体" w:hAnsi="宋体" w:eastAsia="宋体" w:cs="宋体"/>
                <w:b/>
                <w:bCs/>
                <w:kern w:val="0"/>
                <w:sz w:val="21"/>
                <w:szCs w:val="21"/>
              </w:rPr>
            </w:pPr>
            <w:r>
              <w:rPr>
                <w:rFonts w:hint="eastAsia" w:ascii="宋体" w:hAnsi="宋体" w:eastAsia="宋体" w:cs="宋体"/>
                <w:b/>
                <w:bCs/>
                <w:kern w:val="0"/>
                <w:sz w:val="21"/>
                <w:szCs w:val="21"/>
              </w:rPr>
              <w:t>序号</w:t>
            </w:r>
          </w:p>
        </w:tc>
        <w:tc>
          <w:tcPr>
            <w:tcW w:w="1026" w:type="pct"/>
            <w:tcBorders>
              <w:tl2br w:val="nil"/>
              <w:tr2bl w:val="nil"/>
            </w:tcBorders>
            <w:shd w:val="clear" w:color="auto" w:fill="auto"/>
            <w:vAlign w:val="center"/>
          </w:tcPr>
          <w:p>
            <w:pPr>
              <w:widowControl/>
              <w:snapToGrid w:val="0"/>
              <w:jc w:val="left"/>
              <w:rPr>
                <w:rFonts w:ascii="宋体" w:hAnsi="宋体" w:eastAsia="宋体" w:cs="宋体"/>
                <w:b/>
                <w:bCs/>
                <w:kern w:val="0"/>
                <w:sz w:val="21"/>
                <w:szCs w:val="21"/>
              </w:rPr>
            </w:pPr>
            <w:r>
              <w:rPr>
                <w:rFonts w:hint="eastAsia" w:ascii="宋体" w:hAnsi="宋体" w:eastAsia="宋体" w:cs="宋体"/>
                <w:b/>
                <w:bCs/>
                <w:kern w:val="0"/>
                <w:sz w:val="21"/>
                <w:szCs w:val="21"/>
              </w:rPr>
              <w:t>产品名称</w:t>
            </w:r>
          </w:p>
        </w:tc>
        <w:tc>
          <w:tcPr>
            <w:tcW w:w="2705" w:type="pct"/>
            <w:tcBorders>
              <w:tl2br w:val="nil"/>
              <w:tr2bl w:val="nil"/>
            </w:tcBorders>
            <w:shd w:val="clear" w:color="auto" w:fill="auto"/>
            <w:vAlign w:val="center"/>
          </w:tcPr>
          <w:p>
            <w:pPr>
              <w:widowControl/>
              <w:snapToGrid w:val="0"/>
              <w:jc w:val="left"/>
              <w:rPr>
                <w:rFonts w:ascii="宋体" w:hAnsi="宋体" w:eastAsia="宋体" w:cs="宋体"/>
                <w:b/>
                <w:bCs/>
                <w:kern w:val="0"/>
                <w:sz w:val="21"/>
                <w:szCs w:val="21"/>
              </w:rPr>
            </w:pPr>
            <w:r>
              <w:rPr>
                <w:rFonts w:hint="eastAsia" w:ascii="宋体" w:hAnsi="宋体" w:eastAsia="宋体" w:cs="宋体"/>
                <w:b/>
                <w:bCs/>
                <w:kern w:val="0"/>
                <w:sz w:val="21"/>
                <w:szCs w:val="21"/>
              </w:rPr>
              <w:t>规格</w:t>
            </w:r>
          </w:p>
        </w:tc>
        <w:tc>
          <w:tcPr>
            <w:tcW w:w="454" w:type="pct"/>
            <w:tcBorders>
              <w:tl2br w:val="nil"/>
              <w:tr2bl w:val="nil"/>
            </w:tcBorders>
            <w:shd w:val="clear" w:color="auto" w:fill="auto"/>
            <w:vAlign w:val="center"/>
          </w:tcPr>
          <w:p>
            <w:pPr>
              <w:widowControl/>
              <w:snapToGrid w:val="0"/>
              <w:jc w:val="left"/>
              <w:rPr>
                <w:rFonts w:ascii="宋体" w:hAnsi="宋体" w:eastAsia="宋体" w:cs="宋体"/>
                <w:b/>
                <w:bCs/>
                <w:kern w:val="0"/>
                <w:sz w:val="21"/>
                <w:szCs w:val="21"/>
              </w:rPr>
            </w:pPr>
            <w:r>
              <w:rPr>
                <w:rFonts w:hint="eastAsia" w:ascii="宋体" w:hAnsi="宋体" w:eastAsia="宋体" w:cs="宋体"/>
                <w:b/>
                <w:bCs/>
                <w:kern w:val="0"/>
                <w:sz w:val="21"/>
                <w:szCs w:val="21"/>
              </w:rPr>
              <w:t>数量</w:t>
            </w:r>
          </w:p>
        </w:tc>
        <w:tc>
          <w:tcPr>
            <w:tcW w:w="383" w:type="pct"/>
            <w:tcBorders>
              <w:tl2br w:val="nil"/>
              <w:tr2bl w:val="nil"/>
            </w:tcBorders>
            <w:shd w:val="clear" w:color="auto" w:fill="auto"/>
            <w:vAlign w:val="center"/>
          </w:tcPr>
          <w:p>
            <w:pPr>
              <w:widowControl/>
              <w:snapToGrid w:val="0"/>
              <w:jc w:val="left"/>
              <w:rPr>
                <w:rFonts w:ascii="宋体" w:hAnsi="宋体" w:eastAsia="宋体" w:cs="宋体"/>
                <w:b/>
                <w:bCs/>
                <w:kern w:val="0"/>
                <w:sz w:val="21"/>
                <w:szCs w:val="21"/>
              </w:rPr>
            </w:pPr>
            <w:r>
              <w:rPr>
                <w:rFonts w:hint="eastAsia" w:ascii="宋体" w:hAnsi="宋体" w:eastAsia="宋体" w:cs="宋体"/>
                <w:b/>
                <w:bCs/>
                <w:kern w:val="0"/>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noWrap/>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1</w:t>
            </w:r>
          </w:p>
        </w:tc>
        <w:tc>
          <w:tcPr>
            <w:tcW w:w="1026"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学校接入路由1</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千兆综合业务网关(4GE以上+2SFP以上,支持HD,双交流电源)</w:t>
            </w:r>
          </w:p>
        </w:tc>
        <w:tc>
          <w:tcPr>
            <w:tcW w:w="454"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 xml:space="preserve">133 </w:t>
            </w:r>
          </w:p>
        </w:tc>
        <w:tc>
          <w:tcPr>
            <w:tcW w:w="383"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32" w:type="pct"/>
            <w:tcBorders>
              <w:tl2br w:val="nil"/>
              <w:tr2bl w:val="nil"/>
            </w:tcBorders>
            <w:shd w:val="clear" w:color="auto" w:fill="auto"/>
            <w:noWrap/>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2</w:t>
            </w:r>
          </w:p>
        </w:tc>
        <w:tc>
          <w:tcPr>
            <w:tcW w:w="1026"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学校接入路由2</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千兆综合业务网关(4GE以上+2SFP以上,双交流电源)，含8端口百/千兆以太网(4光 + 4光/电 Combo) L2/L3 以上模块</w:t>
            </w:r>
          </w:p>
        </w:tc>
        <w:tc>
          <w:tcPr>
            <w:tcW w:w="454"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 xml:space="preserve">27 </w:t>
            </w:r>
          </w:p>
        </w:tc>
        <w:tc>
          <w:tcPr>
            <w:tcW w:w="383"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noWrap/>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3</w:t>
            </w:r>
          </w:p>
        </w:tc>
        <w:tc>
          <w:tcPr>
            <w:tcW w:w="1026"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万兆多模光模块</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万兆多模光模块</w:t>
            </w:r>
          </w:p>
        </w:tc>
        <w:tc>
          <w:tcPr>
            <w:tcW w:w="454"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 xml:space="preserve">80 </w:t>
            </w:r>
          </w:p>
        </w:tc>
        <w:tc>
          <w:tcPr>
            <w:tcW w:w="383"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noWrap/>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4</w:t>
            </w:r>
          </w:p>
        </w:tc>
        <w:tc>
          <w:tcPr>
            <w:tcW w:w="1026"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上联光模块（10公里）</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10KM千兆单模光模块</w:t>
            </w:r>
          </w:p>
        </w:tc>
        <w:tc>
          <w:tcPr>
            <w:tcW w:w="454"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 xml:space="preserve">130 </w:t>
            </w:r>
          </w:p>
        </w:tc>
        <w:tc>
          <w:tcPr>
            <w:tcW w:w="383"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noWrap/>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2</w:t>
            </w:r>
          </w:p>
        </w:tc>
        <w:tc>
          <w:tcPr>
            <w:tcW w:w="1026"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上联光模块（40公里）</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40km千兆单模光模块</w:t>
            </w:r>
          </w:p>
        </w:tc>
        <w:tc>
          <w:tcPr>
            <w:tcW w:w="454"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 xml:space="preserve">30 </w:t>
            </w:r>
          </w:p>
        </w:tc>
        <w:tc>
          <w:tcPr>
            <w:tcW w:w="383"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noWrap/>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5</w:t>
            </w:r>
          </w:p>
        </w:tc>
        <w:tc>
          <w:tcPr>
            <w:tcW w:w="1026"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光纤跳线</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千兆单模光纤跳线</w:t>
            </w:r>
          </w:p>
        </w:tc>
        <w:tc>
          <w:tcPr>
            <w:tcW w:w="454"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 xml:space="preserve">160 </w:t>
            </w:r>
          </w:p>
        </w:tc>
        <w:tc>
          <w:tcPr>
            <w:tcW w:w="383"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noWrap/>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6</w:t>
            </w:r>
          </w:p>
        </w:tc>
        <w:tc>
          <w:tcPr>
            <w:tcW w:w="1026"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光纤跳线</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万兆多模光纤跳线</w:t>
            </w:r>
          </w:p>
        </w:tc>
        <w:tc>
          <w:tcPr>
            <w:tcW w:w="454"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 xml:space="preserve">80 </w:t>
            </w:r>
          </w:p>
        </w:tc>
        <w:tc>
          <w:tcPr>
            <w:tcW w:w="383"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noWrap/>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7</w:t>
            </w:r>
          </w:p>
        </w:tc>
        <w:tc>
          <w:tcPr>
            <w:tcW w:w="1026"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路由器安装调试</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路由器设备上门安装调试及维护</w:t>
            </w:r>
          </w:p>
        </w:tc>
        <w:tc>
          <w:tcPr>
            <w:tcW w:w="454"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 xml:space="preserve">160 </w:t>
            </w:r>
          </w:p>
        </w:tc>
        <w:tc>
          <w:tcPr>
            <w:tcW w:w="383"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tcBorders>
              <w:tl2br w:val="nil"/>
              <w:tr2bl w:val="nil"/>
            </w:tcBorders>
            <w:shd w:val="clear" w:color="auto" w:fill="auto"/>
            <w:noWrap/>
            <w:vAlign w:val="center"/>
          </w:tcPr>
          <w:p>
            <w:pPr>
              <w:widowControl/>
              <w:snapToGrid w:val="0"/>
              <w:jc w:val="left"/>
              <w:rPr>
                <w:rFonts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63" w:type="pct"/>
            <w:gridSpan w:val="3"/>
            <w:tcBorders>
              <w:tl2br w:val="nil"/>
              <w:tr2bl w:val="nil"/>
            </w:tcBorders>
            <w:shd w:val="clear" w:color="auto" w:fill="auto"/>
            <w:vAlign w:val="center"/>
          </w:tcPr>
          <w:p>
            <w:pPr>
              <w:widowControl/>
              <w:snapToGrid w:val="0"/>
              <w:jc w:val="left"/>
              <w:rPr>
                <w:rFonts w:ascii="宋体" w:hAnsi="宋体" w:eastAsia="宋体" w:cs="宋体"/>
                <w:b/>
                <w:bCs/>
                <w:kern w:val="0"/>
                <w:sz w:val="21"/>
                <w:szCs w:val="21"/>
              </w:rPr>
            </w:pPr>
            <w:r>
              <w:rPr>
                <w:rFonts w:hint="eastAsia" w:ascii="宋体" w:hAnsi="宋体" w:eastAsia="宋体" w:cs="宋体"/>
                <w:b/>
                <w:bCs/>
                <w:kern w:val="0"/>
                <w:sz w:val="21"/>
                <w:szCs w:val="21"/>
              </w:rPr>
              <w:t>3、宝山区教育局2个核心节点新增板卡（三年生产厂家质保）</w:t>
            </w:r>
          </w:p>
        </w:tc>
        <w:tc>
          <w:tcPr>
            <w:tcW w:w="837" w:type="pct"/>
            <w:gridSpan w:val="2"/>
            <w:tcBorders>
              <w:tl2br w:val="nil"/>
              <w:tr2bl w:val="nil"/>
            </w:tcBorders>
            <w:shd w:val="clear" w:color="auto" w:fill="auto"/>
            <w:vAlign w:val="center"/>
          </w:tcPr>
          <w:p>
            <w:pPr>
              <w:widowControl/>
              <w:snapToGrid w:val="0"/>
              <w:jc w:val="left"/>
              <w:rPr>
                <w:rFonts w:ascii="宋体" w:hAnsi="宋体" w:eastAsia="宋体" w:cs="宋体"/>
                <w:b/>
                <w:bCs/>
                <w:kern w:val="0"/>
                <w:sz w:val="21"/>
                <w:szCs w:val="21"/>
              </w:rPr>
            </w:pPr>
            <w:r>
              <w:rPr>
                <w:rFonts w:hint="eastAsia" w:ascii="宋体" w:hAnsi="宋体" w:eastAsia="宋体" w:cs="宋体"/>
                <w:b/>
                <w:bCs/>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snapToGrid w:val="0"/>
              <w:jc w:val="left"/>
              <w:rPr>
                <w:rFonts w:ascii="宋体" w:hAnsi="宋体" w:eastAsia="宋体" w:cs="宋体"/>
                <w:b/>
                <w:bCs/>
                <w:kern w:val="0"/>
                <w:sz w:val="21"/>
                <w:szCs w:val="21"/>
              </w:rPr>
            </w:pPr>
            <w:r>
              <w:rPr>
                <w:rFonts w:hint="eastAsia" w:ascii="宋体" w:hAnsi="宋体" w:eastAsia="宋体" w:cs="宋体"/>
                <w:b/>
                <w:bCs/>
                <w:kern w:val="0"/>
                <w:sz w:val="21"/>
                <w:szCs w:val="21"/>
              </w:rPr>
              <w:t>序号</w:t>
            </w:r>
          </w:p>
        </w:tc>
        <w:tc>
          <w:tcPr>
            <w:tcW w:w="1026" w:type="pct"/>
            <w:tcBorders>
              <w:tl2br w:val="nil"/>
              <w:tr2bl w:val="nil"/>
            </w:tcBorders>
            <w:shd w:val="clear" w:color="auto" w:fill="auto"/>
            <w:vAlign w:val="center"/>
          </w:tcPr>
          <w:p>
            <w:pPr>
              <w:widowControl/>
              <w:snapToGrid w:val="0"/>
              <w:jc w:val="left"/>
              <w:rPr>
                <w:rFonts w:ascii="宋体" w:hAnsi="宋体" w:eastAsia="宋体" w:cs="宋体"/>
                <w:b/>
                <w:bCs/>
                <w:kern w:val="0"/>
                <w:sz w:val="21"/>
                <w:szCs w:val="21"/>
              </w:rPr>
            </w:pPr>
            <w:r>
              <w:rPr>
                <w:rFonts w:hint="eastAsia" w:ascii="宋体" w:hAnsi="宋体" w:eastAsia="宋体" w:cs="宋体"/>
                <w:b/>
                <w:bCs/>
                <w:kern w:val="0"/>
                <w:sz w:val="21"/>
                <w:szCs w:val="21"/>
              </w:rPr>
              <w:t>产品名称</w:t>
            </w:r>
          </w:p>
        </w:tc>
        <w:tc>
          <w:tcPr>
            <w:tcW w:w="2705" w:type="pct"/>
            <w:tcBorders>
              <w:tl2br w:val="nil"/>
              <w:tr2bl w:val="nil"/>
            </w:tcBorders>
            <w:shd w:val="clear" w:color="auto" w:fill="auto"/>
            <w:vAlign w:val="center"/>
          </w:tcPr>
          <w:p>
            <w:pPr>
              <w:widowControl/>
              <w:snapToGrid w:val="0"/>
              <w:jc w:val="left"/>
              <w:rPr>
                <w:rFonts w:ascii="宋体" w:hAnsi="宋体" w:eastAsia="宋体" w:cs="宋体"/>
                <w:b/>
                <w:bCs/>
                <w:kern w:val="0"/>
                <w:sz w:val="21"/>
                <w:szCs w:val="21"/>
              </w:rPr>
            </w:pPr>
            <w:r>
              <w:rPr>
                <w:rFonts w:hint="eastAsia" w:ascii="宋体" w:hAnsi="宋体" w:eastAsia="宋体" w:cs="宋体"/>
                <w:b/>
                <w:bCs/>
                <w:kern w:val="0"/>
                <w:sz w:val="21"/>
                <w:szCs w:val="21"/>
              </w:rPr>
              <w:t>规格</w:t>
            </w:r>
          </w:p>
        </w:tc>
        <w:tc>
          <w:tcPr>
            <w:tcW w:w="454" w:type="pct"/>
            <w:tcBorders>
              <w:tl2br w:val="nil"/>
              <w:tr2bl w:val="nil"/>
            </w:tcBorders>
            <w:shd w:val="clear" w:color="auto" w:fill="auto"/>
            <w:vAlign w:val="center"/>
          </w:tcPr>
          <w:p>
            <w:pPr>
              <w:widowControl/>
              <w:snapToGrid w:val="0"/>
              <w:jc w:val="left"/>
              <w:rPr>
                <w:rFonts w:ascii="宋体" w:hAnsi="宋体" w:eastAsia="宋体" w:cs="宋体"/>
                <w:b/>
                <w:bCs/>
                <w:kern w:val="0"/>
                <w:sz w:val="21"/>
                <w:szCs w:val="21"/>
              </w:rPr>
            </w:pPr>
            <w:r>
              <w:rPr>
                <w:rFonts w:hint="eastAsia" w:ascii="宋体" w:hAnsi="宋体" w:eastAsia="宋体" w:cs="宋体"/>
                <w:b/>
                <w:bCs/>
                <w:kern w:val="0"/>
                <w:sz w:val="21"/>
                <w:szCs w:val="21"/>
              </w:rPr>
              <w:t>数量</w:t>
            </w:r>
          </w:p>
        </w:tc>
        <w:tc>
          <w:tcPr>
            <w:tcW w:w="383" w:type="pct"/>
            <w:tcBorders>
              <w:tl2br w:val="nil"/>
              <w:tr2bl w:val="nil"/>
            </w:tcBorders>
            <w:shd w:val="clear" w:color="auto" w:fill="auto"/>
            <w:vAlign w:val="center"/>
          </w:tcPr>
          <w:p>
            <w:pPr>
              <w:widowControl/>
              <w:snapToGrid w:val="0"/>
              <w:jc w:val="left"/>
              <w:rPr>
                <w:rFonts w:ascii="宋体" w:hAnsi="宋体" w:eastAsia="宋体" w:cs="宋体"/>
                <w:b/>
                <w:bCs/>
                <w:kern w:val="0"/>
                <w:sz w:val="21"/>
                <w:szCs w:val="21"/>
              </w:rPr>
            </w:pPr>
            <w:r>
              <w:rPr>
                <w:rFonts w:hint="eastAsia" w:ascii="宋体" w:hAnsi="宋体" w:eastAsia="宋体" w:cs="宋体"/>
                <w:b/>
                <w:bCs/>
                <w:kern w:val="0"/>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026"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核心交换机40G板卡</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Cisco N7000 40G光模块板卡</w:t>
            </w:r>
          </w:p>
        </w:tc>
        <w:tc>
          <w:tcPr>
            <w:tcW w:w="454"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2</w:t>
            </w:r>
          </w:p>
        </w:tc>
        <w:tc>
          <w:tcPr>
            <w:tcW w:w="383"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026"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40G10km光模块</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Cisco 40G光模块10km</w:t>
            </w:r>
          </w:p>
        </w:tc>
        <w:tc>
          <w:tcPr>
            <w:tcW w:w="454"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5</w:t>
            </w:r>
          </w:p>
        </w:tc>
        <w:tc>
          <w:tcPr>
            <w:tcW w:w="383"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026"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40G40km光模块</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Cisco 40G光模块40km</w:t>
            </w:r>
          </w:p>
        </w:tc>
        <w:tc>
          <w:tcPr>
            <w:tcW w:w="454"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4</w:t>
            </w:r>
          </w:p>
        </w:tc>
        <w:tc>
          <w:tcPr>
            <w:tcW w:w="383"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026"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多模10km光模块</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Cisco 多模40G光模块</w:t>
            </w:r>
          </w:p>
        </w:tc>
        <w:tc>
          <w:tcPr>
            <w:tcW w:w="454"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1</w:t>
            </w:r>
          </w:p>
        </w:tc>
        <w:tc>
          <w:tcPr>
            <w:tcW w:w="383"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noWrap/>
            <w:vAlign w:val="center"/>
          </w:tcPr>
          <w:p>
            <w:pPr>
              <w:widowControl/>
              <w:snapToGrid w:val="0"/>
              <w:jc w:val="center"/>
              <w:rPr>
                <w:rFonts w:ascii="宋体" w:hAnsi="宋体" w:eastAsia="宋体" w:cs="宋体"/>
                <w:kern w:val="0"/>
                <w:sz w:val="21"/>
                <w:szCs w:val="21"/>
              </w:rPr>
            </w:pPr>
            <w:r>
              <w:rPr>
                <w:rFonts w:hint="eastAsia" w:ascii="宋体" w:hAnsi="宋体" w:eastAsia="宋体" w:cs="宋体"/>
                <w:kern w:val="0"/>
                <w:sz w:val="21"/>
                <w:szCs w:val="21"/>
              </w:rPr>
              <w:t>5</w:t>
            </w:r>
          </w:p>
        </w:tc>
        <w:tc>
          <w:tcPr>
            <w:tcW w:w="1026"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核心交换机</w:t>
            </w:r>
          </w:p>
        </w:tc>
        <w:tc>
          <w:tcPr>
            <w:tcW w:w="2705" w:type="pct"/>
            <w:tcBorders>
              <w:tl2br w:val="nil"/>
              <w:tr2bl w:val="nil"/>
            </w:tcBorders>
            <w:shd w:val="clear" w:color="auto" w:fill="auto"/>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核心交换机板卡安装调试，路由调整</w:t>
            </w:r>
          </w:p>
        </w:tc>
        <w:tc>
          <w:tcPr>
            <w:tcW w:w="454" w:type="pct"/>
            <w:tcBorders>
              <w:tl2br w:val="nil"/>
              <w:tr2bl w:val="nil"/>
            </w:tcBorders>
            <w:shd w:val="clear" w:color="auto" w:fill="auto"/>
            <w:noWrap/>
            <w:vAlign w:val="center"/>
          </w:tcPr>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1</w:t>
            </w:r>
          </w:p>
        </w:tc>
        <w:tc>
          <w:tcPr>
            <w:tcW w:w="383" w:type="pct"/>
            <w:tcBorders>
              <w:tl2br w:val="nil"/>
              <w:tr2bl w:val="nil"/>
            </w:tcBorders>
            <w:shd w:val="clear" w:color="auto" w:fill="auto"/>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r>
    </w:tbl>
    <w:p>
      <w:pPr>
        <w:widowControl w:val="0"/>
        <w:jc w:val="both"/>
        <w:rPr>
          <w:rFonts w:ascii="宋体" w:hAnsi="Courier New" w:eastAsia="宋体" w:cs="Times New Roman"/>
          <w:kern w:val="2"/>
          <w:sz w:val="21"/>
          <w:lang w:val="en-US" w:eastAsia="zh-CN" w:bidi="ar-SA"/>
        </w:rPr>
      </w:pPr>
    </w:p>
    <w:p>
      <w:pPr>
        <w:keepNext/>
        <w:keepLines/>
        <w:numPr>
          <w:ilvl w:val="0"/>
          <w:numId w:val="5"/>
        </w:numPr>
        <w:snapToGrid w:val="0"/>
        <w:spacing w:line="360" w:lineRule="auto"/>
        <w:ind w:left="425" w:hanging="425"/>
        <w:jc w:val="left"/>
        <w:rPr>
          <w:rFonts w:ascii="宋体" w:hAnsi="宋体" w:eastAsia="宋体" w:cs="宋体"/>
          <w:b/>
          <w:bCs/>
          <w:sz w:val="21"/>
          <w:szCs w:val="21"/>
        </w:rPr>
      </w:pPr>
      <w:r>
        <w:rPr>
          <w:rFonts w:hint="eastAsia" w:ascii="宋体" w:hAnsi="宋体" w:eastAsia="宋体" w:cs="宋体"/>
          <w:b/>
          <w:bCs/>
          <w:sz w:val="21"/>
          <w:szCs w:val="21"/>
        </w:rPr>
        <w:t>需提供的产品证明文件（★指标为实质性条款，不满足的作为无效投标处理）</w:t>
      </w:r>
    </w:p>
    <w:tbl>
      <w:tblPr>
        <w:tblStyle w:val="6"/>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33"/>
        <w:gridCol w:w="1718"/>
        <w:gridCol w:w="626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12" w:type="pct"/>
            <w:shd w:val="clear" w:color="auto" w:fill="auto"/>
            <w:noWrap/>
            <w:vAlign w:val="center"/>
          </w:tcPr>
          <w:p>
            <w:pPr>
              <w:widowControl/>
              <w:adjustRightInd w:val="0"/>
              <w:snapToGrid w:val="0"/>
              <w:spacing w:line="240" w:lineRule="auto"/>
              <w:ind w:firstLine="0"/>
              <w:jc w:val="center"/>
              <w:textAlignment w:val="baseline"/>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008" w:type="pct"/>
            <w:shd w:val="clear" w:color="auto" w:fill="auto"/>
            <w:noWrap/>
            <w:vAlign w:val="center"/>
          </w:tcPr>
          <w:p>
            <w:pPr>
              <w:widowControl/>
              <w:adjustRightInd w:val="0"/>
              <w:snapToGrid w:val="0"/>
              <w:spacing w:line="240" w:lineRule="auto"/>
              <w:ind w:firstLine="0"/>
              <w:jc w:val="both"/>
              <w:textAlignment w:val="baseline"/>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汇聚层网络路由器</w:t>
            </w:r>
          </w:p>
        </w:tc>
        <w:tc>
          <w:tcPr>
            <w:tcW w:w="3678" w:type="pct"/>
            <w:shd w:val="clear" w:color="auto" w:fill="auto"/>
            <w:vAlign w:val="center"/>
          </w:tcPr>
          <w:p>
            <w:pPr>
              <w:widowControl/>
              <w:adjustRightInd w:val="0"/>
              <w:snapToGrid w:val="0"/>
              <w:spacing w:line="240" w:lineRule="auto"/>
              <w:ind w:firstLine="0"/>
              <w:jc w:val="both"/>
              <w:textAlignment w:val="baseline"/>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★中华人民共和国工业和信息化部颁发的“电信设备进网许可证”。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12" w:type="pct"/>
            <w:shd w:val="clear" w:color="auto" w:fill="auto"/>
            <w:noWrap/>
            <w:vAlign w:val="center"/>
          </w:tcPr>
          <w:p>
            <w:pPr>
              <w:widowControl/>
              <w:adjustRightInd w:val="0"/>
              <w:snapToGrid w:val="0"/>
              <w:spacing w:line="240" w:lineRule="auto"/>
              <w:ind w:firstLine="0"/>
              <w:jc w:val="center"/>
              <w:textAlignment w:val="baseline"/>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1008" w:type="pct"/>
            <w:shd w:val="clear" w:color="auto" w:fill="auto"/>
            <w:noWrap/>
            <w:vAlign w:val="center"/>
          </w:tcPr>
          <w:p>
            <w:pPr>
              <w:widowControl/>
              <w:adjustRightInd w:val="0"/>
              <w:snapToGrid w:val="0"/>
              <w:spacing w:line="240" w:lineRule="auto"/>
              <w:ind w:firstLine="0"/>
              <w:jc w:val="both"/>
              <w:textAlignment w:val="baseline"/>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幼儿园接入层网络设备</w:t>
            </w:r>
          </w:p>
        </w:tc>
        <w:tc>
          <w:tcPr>
            <w:tcW w:w="3678" w:type="pct"/>
            <w:shd w:val="clear" w:color="auto" w:fill="auto"/>
            <w:vAlign w:val="center"/>
          </w:tcPr>
          <w:p>
            <w:pPr>
              <w:widowControl/>
              <w:adjustRightInd w:val="0"/>
              <w:snapToGrid w:val="0"/>
              <w:spacing w:line="240" w:lineRule="auto"/>
              <w:ind w:firstLine="0"/>
              <w:jc w:val="both"/>
              <w:textAlignment w:val="baseline"/>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★中华人民共和国工业和信息化部颁发的“电信设备进网许可证”。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12" w:type="pct"/>
            <w:shd w:val="clear" w:color="auto" w:fill="auto"/>
            <w:noWrap/>
            <w:vAlign w:val="center"/>
          </w:tcPr>
          <w:p>
            <w:pPr>
              <w:widowControl/>
              <w:adjustRightInd w:val="0"/>
              <w:snapToGrid w:val="0"/>
              <w:spacing w:line="240" w:lineRule="auto"/>
              <w:ind w:firstLine="0"/>
              <w:jc w:val="center"/>
              <w:textAlignment w:val="baseline"/>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w:t>
            </w:r>
          </w:p>
        </w:tc>
        <w:tc>
          <w:tcPr>
            <w:tcW w:w="1008" w:type="pct"/>
            <w:shd w:val="clear" w:color="auto" w:fill="auto"/>
            <w:noWrap/>
            <w:vAlign w:val="center"/>
          </w:tcPr>
          <w:p>
            <w:pPr>
              <w:widowControl/>
              <w:adjustRightInd w:val="0"/>
              <w:snapToGrid w:val="0"/>
              <w:spacing w:line="240" w:lineRule="auto"/>
              <w:ind w:firstLine="0"/>
              <w:jc w:val="left"/>
              <w:textAlignment w:val="baseline"/>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中小学接入层网络设备</w:t>
            </w:r>
          </w:p>
        </w:tc>
        <w:tc>
          <w:tcPr>
            <w:tcW w:w="3678" w:type="pct"/>
            <w:shd w:val="clear" w:color="auto" w:fill="auto"/>
            <w:vAlign w:val="center"/>
          </w:tcPr>
          <w:p>
            <w:pPr>
              <w:widowControl/>
              <w:adjustRightInd w:val="0"/>
              <w:snapToGrid w:val="0"/>
              <w:spacing w:line="240" w:lineRule="auto"/>
              <w:ind w:firstLine="0"/>
              <w:jc w:val="center"/>
              <w:textAlignment w:val="baseline"/>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★中华人民共和国工业和信息化部颁发的“电信设备进网许可证”。</w:t>
            </w:r>
          </w:p>
        </w:tc>
      </w:tr>
    </w:tbl>
    <w:p>
      <w:pPr>
        <w:widowControl w:val="0"/>
        <w:wordWrap w:val="0"/>
        <w:spacing w:after="120"/>
        <w:jc w:val="both"/>
        <w:rPr>
          <w:rFonts w:ascii="Calibri" w:hAnsi="Calibri" w:eastAsia="楷体_GB2312" w:cs="Times New Roman"/>
          <w:kern w:val="2"/>
          <w:sz w:val="30"/>
          <w:lang w:val="en-US" w:eastAsia="zh-CN" w:bidi="ar-SA"/>
        </w:rPr>
      </w:pPr>
    </w:p>
    <w:p>
      <w:pPr>
        <w:widowControl w:val="0"/>
        <w:numPr>
          <w:ilvl w:val="0"/>
          <w:numId w:val="1"/>
        </w:numPr>
        <w:wordWrap w:val="0"/>
        <w:adjustRightInd w:val="0"/>
        <w:snapToGrid w:val="0"/>
        <w:spacing w:beforeLines="50" w:afterLines="50"/>
        <w:ind w:left="0" w:firstLine="420"/>
        <w:jc w:val="left"/>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其他要求</w:t>
      </w:r>
    </w:p>
    <w:p>
      <w:pPr>
        <w:numPr>
          <w:ilvl w:val="0"/>
          <w:numId w:val="8"/>
        </w:numPr>
        <w:tabs>
          <w:tab w:val="left" w:pos="0"/>
        </w:tabs>
        <w:wordWrap w:val="0"/>
        <w:adjustRightInd w:val="0"/>
        <w:snapToGrid w:val="0"/>
        <w:spacing w:line="360" w:lineRule="auto"/>
        <w:ind w:left="0" w:firstLine="420" w:firstLineChars="200"/>
        <w:jc w:val="left"/>
        <w:rPr>
          <w:rFonts w:ascii="宋体" w:hAnsi="宋体" w:eastAsia="宋体" w:cs="宋体"/>
          <w:sz w:val="21"/>
          <w:szCs w:val="21"/>
        </w:rPr>
      </w:pPr>
      <w:r>
        <w:rPr>
          <w:rFonts w:hint="eastAsia" w:ascii="宋体" w:hAnsi="宋体" w:eastAsia="宋体" w:cs="宋体"/>
          <w:sz w:val="21"/>
          <w:szCs w:val="21"/>
        </w:rPr>
        <w:t>报价要求：报价应包含国家规定的用工人员的开支和成本、补贴、加班费、住宿费、交通费、保险费、利润、设备使用费、风险费、设备租赁费等。采购人不再支付采购确定后其他任何的费用。</w:t>
      </w:r>
    </w:p>
    <w:p>
      <w:pPr>
        <w:numPr>
          <w:ilvl w:val="0"/>
          <w:numId w:val="8"/>
        </w:numPr>
        <w:tabs>
          <w:tab w:val="left" w:pos="0"/>
        </w:tabs>
        <w:wordWrap w:val="0"/>
        <w:adjustRightInd w:val="0"/>
        <w:snapToGrid w:val="0"/>
        <w:spacing w:line="360" w:lineRule="auto"/>
        <w:ind w:left="0" w:firstLine="420" w:firstLineChars="200"/>
        <w:jc w:val="left"/>
        <w:rPr>
          <w:rFonts w:ascii="宋体" w:hAnsi="宋体" w:eastAsia="宋体" w:cs="宋体"/>
          <w:sz w:val="21"/>
          <w:szCs w:val="21"/>
        </w:rPr>
      </w:pPr>
      <w:r>
        <w:rPr>
          <w:rFonts w:hint="eastAsia" w:ascii="宋体" w:hAnsi="宋体" w:eastAsia="宋体" w:cs="宋体"/>
          <w:sz w:val="21"/>
          <w:szCs w:val="21"/>
        </w:rPr>
        <w:t>项目交付期：自合同签订之日起30个日历日内。</w:t>
      </w:r>
    </w:p>
    <w:p>
      <w:pPr>
        <w:numPr>
          <w:ilvl w:val="0"/>
          <w:numId w:val="8"/>
        </w:numPr>
        <w:tabs>
          <w:tab w:val="left" w:pos="0"/>
        </w:tabs>
        <w:wordWrap w:val="0"/>
        <w:adjustRightInd w:val="0"/>
        <w:snapToGrid w:val="0"/>
        <w:spacing w:line="360" w:lineRule="auto"/>
        <w:ind w:left="0" w:firstLine="420" w:firstLineChars="200"/>
        <w:jc w:val="left"/>
        <w:rPr>
          <w:rFonts w:ascii="宋体" w:hAnsi="宋体" w:eastAsia="宋体" w:cs="宋体"/>
          <w:sz w:val="21"/>
          <w:szCs w:val="21"/>
        </w:rPr>
      </w:pPr>
      <w:r>
        <w:rPr>
          <w:rFonts w:hint="eastAsia" w:ascii="宋体" w:hAnsi="宋体" w:eastAsia="宋体" w:cs="宋体"/>
          <w:sz w:val="21"/>
          <w:szCs w:val="21"/>
        </w:rPr>
        <w:t>质保期：提供3年生产厂家质保服务，提供生产厂家质保服务承诺函。质保期内，提供现场维护和远程维护服务，原生产厂家提供定时的巡检和维护服务，及时向采购人报告设备的运行情况，提供合适的处理建议。质保期内例行维护每年不少于4次。</w:t>
      </w:r>
    </w:p>
    <w:p>
      <w:pPr>
        <w:numPr>
          <w:ilvl w:val="0"/>
          <w:numId w:val="8"/>
        </w:numPr>
        <w:tabs>
          <w:tab w:val="left" w:pos="0"/>
        </w:tabs>
        <w:wordWrap w:val="0"/>
        <w:adjustRightInd w:val="0"/>
        <w:snapToGrid w:val="0"/>
        <w:spacing w:line="360" w:lineRule="auto"/>
        <w:ind w:left="0" w:firstLine="420" w:firstLineChars="200"/>
        <w:jc w:val="left"/>
        <w:rPr>
          <w:rFonts w:ascii="宋体" w:hAnsi="宋体" w:eastAsia="宋体" w:cs="宋体"/>
          <w:sz w:val="21"/>
          <w:szCs w:val="21"/>
        </w:rPr>
      </w:pPr>
      <w:r>
        <w:rPr>
          <w:rFonts w:hint="eastAsia" w:ascii="宋体" w:hAnsi="宋体" w:eastAsia="宋体" w:cs="宋体"/>
          <w:sz w:val="21"/>
          <w:szCs w:val="21"/>
        </w:rPr>
        <w:t>培训：由生产厂家工程师提供培训服务，使采购人工作人员能熟练掌握使用方法。</w:t>
      </w:r>
    </w:p>
    <w:p>
      <w:pPr>
        <w:numPr>
          <w:ilvl w:val="0"/>
          <w:numId w:val="8"/>
        </w:numPr>
        <w:tabs>
          <w:tab w:val="left" w:pos="0"/>
        </w:tabs>
        <w:wordWrap w:val="0"/>
        <w:adjustRightInd w:val="0"/>
        <w:snapToGrid w:val="0"/>
        <w:spacing w:line="360" w:lineRule="auto"/>
        <w:ind w:left="0" w:firstLine="420" w:firstLineChars="200"/>
        <w:jc w:val="left"/>
        <w:rPr>
          <w:rFonts w:ascii="宋体" w:hAnsi="宋体" w:eastAsia="宋体" w:cs="宋体"/>
          <w:sz w:val="21"/>
          <w:szCs w:val="21"/>
        </w:rPr>
      </w:pPr>
      <w:r>
        <w:rPr>
          <w:rFonts w:hint="eastAsia" w:ascii="宋体" w:hAnsi="宋体" w:eastAsia="宋体" w:cs="宋体"/>
          <w:sz w:val="21"/>
          <w:szCs w:val="21"/>
        </w:rPr>
        <w:t>需求理解：投标人对本项目综合情况以及重点、难点有所剖析，能理解和把握采购人内在需求。</w:t>
      </w:r>
    </w:p>
    <w:p>
      <w:pPr>
        <w:numPr>
          <w:ilvl w:val="0"/>
          <w:numId w:val="8"/>
        </w:numPr>
        <w:tabs>
          <w:tab w:val="left" w:pos="0"/>
        </w:tabs>
        <w:wordWrap w:val="0"/>
        <w:adjustRightInd w:val="0"/>
        <w:snapToGrid w:val="0"/>
        <w:spacing w:line="360" w:lineRule="auto"/>
        <w:ind w:left="0" w:firstLine="420" w:firstLineChars="200"/>
        <w:jc w:val="left"/>
        <w:rPr>
          <w:rFonts w:ascii="宋体" w:hAnsi="宋体" w:eastAsia="宋体" w:cs="宋体"/>
          <w:sz w:val="21"/>
          <w:szCs w:val="21"/>
        </w:rPr>
      </w:pPr>
      <w:r>
        <w:rPr>
          <w:rFonts w:hint="eastAsia" w:ascii="宋体" w:hAnsi="宋体" w:eastAsia="宋体" w:cs="宋体"/>
          <w:sz w:val="21"/>
          <w:szCs w:val="21"/>
        </w:rPr>
        <w:t>服务方案要求：</w:t>
      </w:r>
    </w:p>
    <w:p>
      <w:pPr>
        <w:numPr>
          <w:ilvl w:val="0"/>
          <w:numId w:val="9"/>
        </w:numPr>
        <w:wordWrap w:val="0"/>
        <w:snapToGrid w:val="0"/>
        <w:spacing w:line="360" w:lineRule="auto"/>
        <w:ind w:left="0" w:firstLine="420" w:firstLineChars="200"/>
        <w:jc w:val="left"/>
        <w:rPr>
          <w:rFonts w:ascii="宋体" w:hAnsi="宋体" w:eastAsia="宋体" w:cs="宋体"/>
          <w:sz w:val="21"/>
          <w:szCs w:val="21"/>
        </w:rPr>
      </w:pPr>
      <w:r>
        <w:rPr>
          <w:rFonts w:hint="eastAsia" w:ascii="宋体" w:hAnsi="宋体" w:eastAsia="宋体" w:cs="宋体"/>
          <w:sz w:val="21"/>
          <w:szCs w:val="21"/>
        </w:rPr>
        <w:t>涉及本项目的作业标准、规范等按照</w:t>
      </w:r>
      <w:r>
        <w:rPr>
          <w:rFonts w:hint="eastAsia" w:ascii="宋体" w:hAnsi="宋体" w:eastAsia="宋体" w:cs="宋体"/>
          <w:sz w:val="21"/>
          <w:szCs w:val="24"/>
        </w:rPr>
        <w:t>最新版本执行。</w:t>
      </w:r>
    </w:p>
    <w:p>
      <w:pPr>
        <w:numPr>
          <w:ilvl w:val="0"/>
          <w:numId w:val="9"/>
        </w:numPr>
        <w:wordWrap w:val="0"/>
        <w:snapToGrid w:val="0"/>
        <w:spacing w:line="360" w:lineRule="auto"/>
        <w:ind w:left="0" w:firstLine="420" w:firstLineChars="200"/>
        <w:jc w:val="left"/>
        <w:rPr>
          <w:rFonts w:ascii="宋体" w:hAnsi="宋体" w:eastAsia="宋体" w:cs="宋体"/>
          <w:sz w:val="21"/>
          <w:szCs w:val="24"/>
        </w:rPr>
      </w:pPr>
      <w:r>
        <w:rPr>
          <w:rFonts w:hint="eastAsia" w:ascii="宋体" w:hAnsi="宋体" w:eastAsia="宋体" w:cs="宋体"/>
          <w:sz w:val="21"/>
          <w:szCs w:val="24"/>
        </w:rPr>
        <w:t>投标人根据服务内容制定具有针对性的服务方案，包括但不限于</w:t>
      </w:r>
      <w:r>
        <w:rPr>
          <w:rFonts w:hint="eastAsia" w:ascii="宋体" w:hAnsi="宋体" w:eastAsia="宋体" w:cs="宋体"/>
          <w:sz w:val="21"/>
          <w:szCs w:val="21"/>
        </w:rPr>
        <w:t>进度安排、各步骤节点、项目组织机构、人力物力配置、职能分工、信息安全保障体系、信息安全培训、项目管理措施、质量承诺等</w:t>
      </w:r>
      <w:r>
        <w:rPr>
          <w:rFonts w:hint="eastAsia" w:ascii="宋体" w:hAnsi="宋体" w:eastAsia="宋体" w:cs="宋体"/>
          <w:sz w:val="21"/>
          <w:szCs w:val="24"/>
        </w:rPr>
        <w:t>。</w:t>
      </w:r>
    </w:p>
    <w:p>
      <w:pPr>
        <w:numPr>
          <w:ilvl w:val="0"/>
          <w:numId w:val="8"/>
        </w:numPr>
        <w:tabs>
          <w:tab w:val="left" w:pos="0"/>
        </w:tabs>
        <w:wordWrap w:val="0"/>
        <w:adjustRightInd w:val="0"/>
        <w:snapToGrid w:val="0"/>
        <w:spacing w:line="360" w:lineRule="auto"/>
        <w:ind w:left="0" w:firstLine="420" w:firstLineChars="200"/>
        <w:jc w:val="left"/>
        <w:rPr>
          <w:rFonts w:ascii="宋体" w:hAnsi="宋体" w:eastAsia="宋体" w:cs="宋体"/>
          <w:sz w:val="21"/>
          <w:szCs w:val="21"/>
        </w:rPr>
      </w:pPr>
      <w:r>
        <w:rPr>
          <w:rFonts w:hint="eastAsia" w:ascii="宋体" w:hAnsi="宋体" w:eastAsia="宋体" w:cs="宋体"/>
          <w:sz w:val="21"/>
          <w:szCs w:val="21"/>
        </w:rPr>
        <w:t>项目服务团队：不少于5人，人员具有相关的专业技术证书、工作经验。落实不少于1名项目主要负责人，人员需固定未得采购人书面允许不得调换。负责人需保持通讯畅通，采购人可随时沟通项目事项。</w:t>
      </w:r>
    </w:p>
    <w:p>
      <w:pPr>
        <w:numPr>
          <w:ilvl w:val="0"/>
          <w:numId w:val="8"/>
        </w:numPr>
        <w:tabs>
          <w:tab w:val="left" w:pos="0"/>
        </w:tabs>
        <w:wordWrap w:val="0"/>
        <w:adjustRightInd w:val="0"/>
        <w:snapToGrid w:val="0"/>
        <w:spacing w:line="360" w:lineRule="auto"/>
        <w:ind w:left="0" w:firstLine="420" w:firstLineChars="200"/>
        <w:jc w:val="left"/>
        <w:rPr>
          <w:rFonts w:ascii="宋体" w:hAnsi="宋体" w:eastAsia="宋体" w:cs="宋体"/>
          <w:sz w:val="21"/>
          <w:szCs w:val="21"/>
        </w:rPr>
      </w:pPr>
      <w:r>
        <w:rPr>
          <w:rFonts w:hint="eastAsia" w:ascii="宋体" w:hAnsi="宋体" w:eastAsia="宋体" w:cs="宋体"/>
          <w:sz w:val="21"/>
          <w:szCs w:val="21"/>
        </w:rPr>
        <w:t>安全文明要求：</w:t>
      </w:r>
    </w:p>
    <w:p>
      <w:pPr>
        <w:numPr>
          <w:ilvl w:val="0"/>
          <w:numId w:val="10"/>
        </w:numPr>
        <w:wordWrap w:val="0"/>
        <w:snapToGrid w:val="0"/>
        <w:spacing w:line="360" w:lineRule="auto"/>
        <w:ind w:left="0" w:firstLine="420" w:firstLineChars="200"/>
        <w:jc w:val="left"/>
        <w:rPr>
          <w:rFonts w:ascii="宋体" w:hAnsi="宋体" w:eastAsia="宋体" w:cs="宋体"/>
          <w:sz w:val="21"/>
          <w:szCs w:val="24"/>
        </w:rPr>
      </w:pPr>
      <w:r>
        <w:rPr>
          <w:rFonts w:hint="eastAsia" w:ascii="宋体" w:hAnsi="宋体" w:eastAsia="宋体" w:cs="宋体"/>
          <w:sz w:val="21"/>
          <w:szCs w:val="24"/>
        </w:rPr>
        <w:t>投标人服从采购人的统一协调，根据有关规范标准，做到安全文明服务。</w:t>
      </w:r>
    </w:p>
    <w:p>
      <w:pPr>
        <w:numPr>
          <w:ilvl w:val="0"/>
          <w:numId w:val="10"/>
        </w:numPr>
        <w:wordWrap w:val="0"/>
        <w:snapToGrid w:val="0"/>
        <w:spacing w:line="360" w:lineRule="auto"/>
        <w:ind w:left="0" w:firstLine="420" w:firstLineChars="200"/>
        <w:jc w:val="left"/>
        <w:rPr>
          <w:rFonts w:ascii="宋体" w:hAnsi="宋体" w:eastAsia="宋体" w:cs="宋体"/>
          <w:sz w:val="21"/>
          <w:szCs w:val="24"/>
        </w:rPr>
      </w:pPr>
      <w:r>
        <w:rPr>
          <w:rFonts w:hint="eastAsia" w:ascii="宋体" w:hAnsi="宋体" w:eastAsia="宋体" w:cs="宋体"/>
          <w:sz w:val="21"/>
          <w:szCs w:val="24"/>
        </w:rPr>
        <w:t>投标人在组织项目实施时必须遵守采购人的规章制度并提供项目服务团队名单。</w:t>
      </w:r>
    </w:p>
    <w:p>
      <w:pPr>
        <w:numPr>
          <w:ilvl w:val="0"/>
          <w:numId w:val="8"/>
        </w:numPr>
        <w:tabs>
          <w:tab w:val="left" w:pos="0"/>
        </w:tabs>
        <w:wordWrap w:val="0"/>
        <w:adjustRightInd w:val="0"/>
        <w:snapToGrid w:val="0"/>
        <w:spacing w:line="360" w:lineRule="auto"/>
        <w:ind w:left="0" w:firstLine="420" w:firstLineChars="200"/>
        <w:jc w:val="left"/>
        <w:rPr>
          <w:rFonts w:ascii="宋体" w:hAnsi="宋体" w:eastAsia="宋体" w:cs="宋体"/>
          <w:sz w:val="21"/>
          <w:szCs w:val="21"/>
        </w:rPr>
      </w:pPr>
      <w:r>
        <w:rPr>
          <w:rFonts w:hint="eastAsia" w:ascii="宋体" w:hAnsi="宋体" w:eastAsia="宋体" w:cs="宋体"/>
          <w:sz w:val="21"/>
          <w:szCs w:val="21"/>
        </w:rPr>
        <w:t>廉洁要求：投标人提供内部廉洁制度，确保在服务期间严格遵守相关国家、上海市、行业以及内部廉洁制度和要求。</w:t>
      </w:r>
    </w:p>
    <w:p>
      <w:pPr>
        <w:numPr>
          <w:ilvl w:val="0"/>
          <w:numId w:val="8"/>
        </w:numPr>
        <w:tabs>
          <w:tab w:val="left" w:pos="0"/>
        </w:tabs>
        <w:wordWrap w:val="0"/>
        <w:adjustRightInd w:val="0"/>
        <w:snapToGrid w:val="0"/>
        <w:spacing w:line="360" w:lineRule="auto"/>
        <w:ind w:left="0" w:firstLine="420" w:firstLineChars="200"/>
        <w:jc w:val="left"/>
        <w:rPr>
          <w:rFonts w:ascii="宋体" w:hAnsi="宋体" w:eastAsia="宋体" w:cs="宋体"/>
          <w:sz w:val="21"/>
          <w:szCs w:val="24"/>
        </w:rPr>
      </w:pPr>
      <w:r>
        <w:rPr>
          <w:rFonts w:hint="eastAsia" w:ascii="宋体" w:hAnsi="宋体" w:eastAsia="宋体" w:cs="宋体"/>
          <w:sz w:val="21"/>
          <w:szCs w:val="21"/>
        </w:rPr>
        <w:t>档案要求：建立健全服务档案资料，及时向采购人报告；当采购人需要时，投标人须无条件地及时提供。</w:t>
      </w:r>
    </w:p>
    <w:p>
      <w:pPr>
        <w:numPr>
          <w:ilvl w:val="0"/>
          <w:numId w:val="8"/>
        </w:numPr>
        <w:tabs>
          <w:tab w:val="left" w:pos="0"/>
        </w:tabs>
        <w:wordWrap w:val="0"/>
        <w:adjustRightInd w:val="0"/>
        <w:snapToGrid w:val="0"/>
        <w:spacing w:line="360" w:lineRule="auto"/>
        <w:ind w:left="0" w:firstLine="420" w:firstLineChars="200"/>
        <w:jc w:val="left"/>
        <w:rPr>
          <w:rFonts w:ascii="宋体" w:hAnsi="宋体" w:eastAsia="宋体" w:cs="宋体"/>
          <w:sz w:val="21"/>
          <w:szCs w:val="21"/>
        </w:rPr>
      </w:pPr>
      <w:r>
        <w:rPr>
          <w:rFonts w:hint="eastAsia" w:ascii="宋体" w:hAnsi="宋体" w:eastAsia="宋体" w:cs="宋体"/>
          <w:sz w:val="21"/>
          <w:szCs w:val="21"/>
        </w:rPr>
        <w:t>应急响应方案：投标人提供生产厂家7×24小时专人热线支持响应服务。如遇紧急情况，要求生产厂家工程师2小时到场。若无法解决的，应提供备选方案，保障系统正常运行。</w:t>
      </w:r>
    </w:p>
    <w:p>
      <w:pPr>
        <w:numPr>
          <w:ilvl w:val="0"/>
          <w:numId w:val="8"/>
        </w:numPr>
        <w:tabs>
          <w:tab w:val="left" w:pos="0"/>
        </w:tabs>
        <w:wordWrap w:val="0"/>
        <w:adjustRightInd w:val="0"/>
        <w:snapToGrid w:val="0"/>
        <w:spacing w:line="360" w:lineRule="auto"/>
        <w:ind w:left="0" w:firstLine="420" w:firstLineChars="200"/>
        <w:jc w:val="left"/>
        <w:rPr>
          <w:rFonts w:ascii="宋体" w:hAnsi="宋体" w:eastAsia="宋体" w:cs="宋体"/>
          <w:sz w:val="21"/>
          <w:szCs w:val="21"/>
        </w:rPr>
      </w:pPr>
      <w:r>
        <w:rPr>
          <w:rFonts w:hint="eastAsia" w:ascii="宋体" w:hAnsi="宋体" w:eastAsia="宋体" w:cs="宋体"/>
          <w:sz w:val="21"/>
          <w:szCs w:val="21"/>
        </w:rPr>
        <w:t>应对疫情措施：需根据国家相关疫情管理要求，做好项目实施过程中的防疫应对工作。须有健全完善的疫情防治配套管理工作机制，积极稳妥地开展项目实施，保障所有项目相关人员的健康安全。</w:t>
      </w:r>
    </w:p>
    <w:p>
      <w:pPr>
        <w:numPr>
          <w:ilvl w:val="0"/>
          <w:numId w:val="8"/>
        </w:numPr>
        <w:tabs>
          <w:tab w:val="left" w:pos="0"/>
        </w:tabs>
        <w:wordWrap w:val="0"/>
        <w:adjustRightInd w:val="0"/>
        <w:snapToGrid w:val="0"/>
        <w:spacing w:line="360" w:lineRule="auto"/>
        <w:ind w:left="0" w:firstLine="420" w:firstLineChars="200"/>
        <w:jc w:val="left"/>
        <w:rPr>
          <w:rFonts w:ascii="宋体" w:hAnsi="宋体" w:eastAsia="宋体" w:cs="宋体"/>
          <w:sz w:val="21"/>
          <w:szCs w:val="21"/>
        </w:rPr>
      </w:pPr>
      <w:r>
        <w:rPr>
          <w:rFonts w:hint="eastAsia" w:ascii="宋体" w:hAnsi="宋体" w:eastAsia="宋体" w:cs="宋体"/>
          <w:sz w:val="21"/>
          <w:szCs w:val="21"/>
        </w:rPr>
        <w:t>验收要求：采购人可以自行验收，也可以委托第三方验收。</w:t>
      </w:r>
    </w:p>
    <w:p>
      <w:pPr>
        <w:widowControl w:val="0"/>
        <w:jc w:val="both"/>
        <w:rPr>
          <w:rFonts w:ascii="宋体" w:hAnsi="Courier New" w:eastAsia="宋体" w:cs="Times New Roman"/>
          <w:kern w:val="2"/>
          <w:sz w:val="21"/>
          <w:lang w:val="en-US" w:eastAsia="zh-CN" w:bidi="ar-SA"/>
        </w:rPr>
      </w:pPr>
    </w:p>
    <w:p>
      <w:pPr>
        <w:widowControl w:val="0"/>
        <w:numPr>
          <w:ilvl w:val="0"/>
          <w:numId w:val="1"/>
        </w:numPr>
        <w:wordWrap w:val="0"/>
        <w:adjustRightInd w:val="0"/>
        <w:snapToGrid w:val="0"/>
        <w:spacing w:beforeLines="50" w:afterLines="50"/>
        <w:ind w:left="0" w:firstLine="420"/>
        <w:jc w:val="left"/>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付款要求</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6645"/>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4" w:type="pct"/>
            <w:noWrap/>
            <w:vAlign w:val="center"/>
          </w:tcPr>
          <w:p>
            <w:pPr>
              <w:jc w:val="center"/>
              <w:rPr>
                <w:rFonts w:ascii="宋体" w:hAnsi="宋体" w:eastAsia="宋体" w:cs="宋体"/>
                <w:b/>
                <w:sz w:val="21"/>
                <w:szCs w:val="21"/>
              </w:rPr>
            </w:pPr>
            <w:r>
              <w:rPr>
                <w:rFonts w:hint="eastAsia" w:ascii="宋体" w:hAnsi="宋体" w:eastAsia="宋体" w:cs="宋体"/>
                <w:b/>
                <w:sz w:val="21"/>
                <w:szCs w:val="21"/>
              </w:rPr>
              <w:t>期次</w:t>
            </w:r>
          </w:p>
        </w:tc>
        <w:tc>
          <w:tcPr>
            <w:tcW w:w="3898" w:type="pct"/>
            <w:noWrap/>
            <w:vAlign w:val="center"/>
          </w:tcPr>
          <w:p>
            <w:pPr>
              <w:jc w:val="center"/>
              <w:rPr>
                <w:rFonts w:ascii="宋体" w:hAnsi="宋体" w:eastAsia="宋体" w:cs="宋体"/>
                <w:b/>
                <w:sz w:val="21"/>
                <w:szCs w:val="21"/>
              </w:rPr>
            </w:pPr>
            <w:r>
              <w:rPr>
                <w:rFonts w:hint="eastAsia" w:ascii="宋体" w:hAnsi="宋体" w:eastAsia="宋体" w:cs="宋体"/>
                <w:b/>
                <w:sz w:val="21"/>
                <w:szCs w:val="21"/>
              </w:rPr>
              <w:t>支付条件</w:t>
            </w:r>
          </w:p>
        </w:tc>
        <w:tc>
          <w:tcPr>
            <w:tcW w:w="677" w:type="pct"/>
            <w:noWrap/>
            <w:vAlign w:val="center"/>
          </w:tcPr>
          <w:p>
            <w:pPr>
              <w:jc w:val="center"/>
              <w:rPr>
                <w:rFonts w:ascii="宋体" w:hAnsi="宋体" w:eastAsia="宋体" w:cs="宋体"/>
                <w:b/>
                <w:sz w:val="21"/>
                <w:szCs w:val="21"/>
              </w:rPr>
            </w:pPr>
            <w:r>
              <w:rPr>
                <w:rFonts w:hint="eastAsia" w:ascii="宋体" w:hAnsi="宋体" w:eastAsia="宋体" w:cs="宋体"/>
                <w:b/>
                <w:sz w:val="21"/>
                <w:szCs w:val="21"/>
              </w:rPr>
              <w:t>支付比例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4" w:type="pct"/>
            <w:noWrap/>
            <w:vAlign w:val="center"/>
          </w:tcPr>
          <w:p>
            <w:pPr>
              <w:jc w:val="center"/>
              <w:rPr>
                <w:rFonts w:ascii="宋体" w:hAnsi="宋体" w:eastAsia="宋体" w:cs="宋体"/>
                <w:b/>
                <w:sz w:val="21"/>
                <w:szCs w:val="21"/>
              </w:rPr>
            </w:pPr>
            <w:r>
              <w:rPr>
                <w:rFonts w:hint="eastAsia" w:ascii="宋体" w:hAnsi="宋体" w:eastAsia="宋体" w:cs="宋体"/>
                <w:b/>
                <w:sz w:val="21"/>
                <w:szCs w:val="21"/>
              </w:rPr>
              <w:t>1</w:t>
            </w:r>
          </w:p>
        </w:tc>
        <w:tc>
          <w:tcPr>
            <w:tcW w:w="3898" w:type="pct"/>
            <w:noWrap/>
            <w:vAlign w:val="center"/>
          </w:tcPr>
          <w:p>
            <w:pPr>
              <w:jc w:val="center"/>
              <w:rPr>
                <w:rFonts w:ascii="宋体" w:hAnsi="宋体" w:eastAsia="宋体" w:cs="宋体"/>
                <w:b/>
                <w:sz w:val="21"/>
                <w:szCs w:val="21"/>
              </w:rPr>
            </w:pPr>
            <w:r>
              <w:rPr>
                <w:rFonts w:hint="eastAsia" w:ascii="宋体" w:hAnsi="宋体" w:eastAsia="宋体" w:cs="宋体"/>
                <w:b/>
                <w:sz w:val="21"/>
                <w:szCs w:val="21"/>
              </w:rPr>
              <w:t>设备到货且采购人收到有效发票后，根据投资监理审核意见支付</w:t>
            </w:r>
          </w:p>
        </w:tc>
        <w:tc>
          <w:tcPr>
            <w:tcW w:w="677" w:type="pct"/>
            <w:noWrap/>
            <w:vAlign w:val="center"/>
          </w:tcPr>
          <w:p>
            <w:pPr>
              <w:jc w:val="center"/>
              <w:rPr>
                <w:rFonts w:ascii="宋体" w:hAnsi="宋体" w:eastAsia="宋体" w:cs="宋体"/>
                <w:b/>
                <w:sz w:val="21"/>
                <w:szCs w:val="21"/>
              </w:rPr>
            </w:pPr>
            <w:r>
              <w:rPr>
                <w:rFonts w:hint="eastAsia" w:ascii="宋体" w:hAnsi="宋体" w:eastAsia="宋体" w:cs="宋体"/>
                <w:b/>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4" w:type="pct"/>
            <w:noWrap/>
            <w:vAlign w:val="center"/>
          </w:tcPr>
          <w:p>
            <w:pPr>
              <w:jc w:val="center"/>
              <w:rPr>
                <w:rFonts w:ascii="宋体" w:hAnsi="宋体" w:eastAsia="宋体" w:cs="宋体"/>
                <w:b/>
                <w:sz w:val="21"/>
                <w:szCs w:val="21"/>
              </w:rPr>
            </w:pPr>
            <w:r>
              <w:rPr>
                <w:rFonts w:hint="eastAsia" w:ascii="宋体" w:hAnsi="宋体" w:eastAsia="宋体" w:cs="宋体"/>
                <w:b/>
                <w:sz w:val="21"/>
                <w:szCs w:val="21"/>
              </w:rPr>
              <w:t>2</w:t>
            </w:r>
          </w:p>
        </w:tc>
        <w:tc>
          <w:tcPr>
            <w:tcW w:w="3898" w:type="pct"/>
            <w:noWrap/>
            <w:vAlign w:val="center"/>
          </w:tcPr>
          <w:p>
            <w:pPr>
              <w:jc w:val="center"/>
              <w:rPr>
                <w:rFonts w:ascii="宋体" w:hAnsi="宋体" w:eastAsia="宋体" w:cs="宋体"/>
                <w:b/>
                <w:sz w:val="21"/>
                <w:szCs w:val="21"/>
              </w:rPr>
            </w:pPr>
            <w:r>
              <w:rPr>
                <w:rFonts w:hint="eastAsia" w:ascii="宋体" w:hAnsi="宋体" w:eastAsia="宋体" w:cs="宋体"/>
                <w:b/>
                <w:sz w:val="21"/>
                <w:szCs w:val="21"/>
              </w:rPr>
              <w:t>验收合格且采购人收到有效发票后，根据投资监理审核意见支付</w:t>
            </w:r>
          </w:p>
        </w:tc>
        <w:tc>
          <w:tcPr>
            <w:tcW w:w="677" w:type="pct"/>
            <w:noWrap/>
            <w:vAlign w:val="center"/>
          </w:tcPr>
          <w:p>
            <w:pPr>
              <w:jc w:val="center"/>
              <w:rPr>
                <w:rFonts w:ascii="宋体" w:hAnsi="宋体" w:eastAsia="宋体" w:cs="宋体"/>
                <w:b/>
                <w:sz w:val="21"/>
                <w:szCs w:val="21"/>
              </w:rPr>
            </w:pPr>
            <w:r>
              <w:rPr>
                <w:rFonts w:hint="eastAsia" w:ascii="宋体" w:hAnsi="宋体" w:eastAsia="宋体" w:cs="宋体"/>
                <w:b/>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4" w:type="pct"/>
            <w:noWrap/>
            <w:vAlign w:val="center"/>
          </w:tcPr>
          <w:p>
            <w:pPr>
              <w:jc w:val="center"/>
              <w:rPr>
                <w:rFonts w:ascii="宋体" w:hAnsi="宋体" w:eastAsia="宋体" w:cs="宋体"/>
                <w:b/>
                <w:sz w:val="21"/>
                <w:szCs w:val="21"/>
              </w:rPr>
            </w:pPr>
            <w:r>
              <w:rPr>
                <w:rFonts w:hint="eastAsia" w:ascii="宋体" w:hAnsi="宋体" w:eastAsia="宋体" w:cs="宋体"/>
                <w:b/>
                <w:sz w:val="21"/>
                <w:szCs w:val="21"/>
              </w:rPr>
              <w:t>3</w:t>
            </w:r>
          </w:p>
        </w:tc>
        <w:tc>
          <w:tcPr>
            <w:tcW w:w="3898" w:type="pct"/>
            <w:noWrap/>
            <w:vAlign w:val="center"/>
          </w:tcPr>
          <w:p>
            <w:pPr>
              <w:jc w:val="center"/>
              <w:rPr>
                <w:rFonts w:ascii="宋体" w:hAnsi="宋体" w:eastAsia="宋体" w:cs="宋体"/>
                <w:b/>
                <w:sz w:val="21"/>
                <w:szCs w:val="21"/>
              </w:rPr>
            </w:pPr>
            <w:r>
              <w:rPr>
                <w:rFonts w:hint="eastAsia" w:ascii="宋体" w:hAnsi="宋体" w:eastAsia="宋体" w:cs="宋体"/>
                <w:b/>
                <w:sz w:val="21"/>
                <w:szCs w:val="21"/>
              </w:rPr>
              <w:t>质保期结束采购人收到有效发票后，根据投资监理审核意见支付</w:t>
            </w:r>
          </w:p>
        </w:tc>
        <w:tc>
          <w:tcPr>
            <w:tcW w:w="677" w:type="pct"/>
            <w:noWrap/>
            <w:vAlign w:val="center"/>
          </w:tcPr>
          <w:p>
            <w:pPr>
              <w:jc w:val="center"/>
              <w:rPr>
                <w:rFonts w:ascii="宋体" w:hAnsi="宋体" w:eastAsia="宋体" w:cs="宋体"/>
                <w:b/>
                <w:sz w:val="21"/>
                <w:szCs w:val="21"/>
              </w:rPr>
            </w:pPr>
            <w:r>
              <w:rPr>
                <w:rFonts w:hint="eastAsia" w:ascii="宋体" w:hAnsi="宋体" w:eastAsia="宋体" w:cs="宋体"/>
                <w:b/>
                <w:sz w:val="21"/>
                <w:szCs w:val="21"/>
              </w:rPr>
              <w:t>5%</w:t>
            </w:r>
          </w:p>
        </w:tc>
      </w:tr>
    </w:tbl>
    <w:p>
      <w:pPr>
        <w:widowControl w:val="0"/>
        <w:jc w:val="both"/>
        <w:rPr>
          <w:rFonts w:ascii="宋体" w:hAnsi="Courier New" w:eastAsia="宋体" w:cs="Times New Roman"/>
          <w:kern w:val="2"/>
          <w:sz w:val="21"/>
          <w:lang w:val="en-US" w:eastAsia="zh-CN" w:bidi="ar-SA"/>
        </w:rPr>
      </w:pPr>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3B89D"/>
    <w:multiLevelType w:val="singleLevel"/>
    <w:tmpl w:val="83A3B89D"/>
    <w:lvl w:ilvl="0" w:tentative="0">
      <w:start w:val="1"/>
      <w:numFmt w:val="decimal"/>
      <w:lvlText w:val="%1."/>
      <w:lvlJc w:val="left"/>
      <w:pPr>
        <w:ind w:left="425" w:hanging="425"/>
      </w:pPr>
      <w:rPr>
        <w:rFonts w:hint="default"/>
      </w:rPr>
    </w:lvl>
  </w:abstractNum>
  <w:abstractNum w:abstractNumId="1">
    <w:nsid w:val="8520AFFE"/>
    <w:multiLevelType w:val="singleLevel"/>
    <w:tmpl w:val="8520AFFE"/>
    <w:lvl w:ilvl="0" w:tentative="0">
      <w:start w:val="1"/>
      <w:numFmt w:val="decimal"/>
      <w:lvlText w:val="(%1)"/>
      <w:lvlJc w:val="left"/>
      <w:pPr>
        <w:ind w:left="425" w:hanging="425"/>
      </w:pPr>
      <w:rPr>
        <w:rFonts w:hint="default"/>
      </w:rPr>
    </w:lvl>
  </w:abstractNum>
  <w:abstractNum w:abstractNumId="2">
    <w:nsid w:val="9ACB9B6D"/>
    <w:multiLevelType w:val="singleLevel"/>
    <w:tmpl w:val="9ACB9B6D"/>
    <w:lvl w:ilvl="0" w:tentative="0">
      <w:start w:val="1"/>
      <w:numFmt w:val="decimal"/>
      <w:lvlText w:val="(%1)"/>
      <w:lvlJc w:val="left"/>
      <w:pPr>
        <w:ind w:left="425" w:hanging="425"/>
      </w:pPr>
      <w:rPr>
        <w:rFonts w:hint="default"/>
      </w:rPr>
    </w:lvl>
  </w:abstractNum>
  <w:abstractNum w:abstractNumId="3">
    <w:nsid w:val="B76B7F5C"/>
    <w:multiLevelType w:val="singleLevel"/>
    <w:tmpl w:val="B76B7F5C"/>
    <w:lvl w:ilvl="0" w:tentative="0">
      <w:start w:val="1"/>
      <w:numFmt w:val="chineseCounting"/>
      <w:suff w:val="nothing"/>
      <w:lvlText w:val="%1、"/>
      <w:lvlJc w:val="left"/>
      <w:pPr>
        <w:ind w:left="0" w:firstLine="420"/>
      </w:pPr>
      <w:rPr>
        <w:rFonts w:hint="eastAsia"/>
      </w:rPr>
    </w:lvl>
  </w:abstractNum>
  <w:abstractNum w:abstractNumId="4">
    <w:nsid w:val="B9A76FF7"/>
    <w:multiLevelType w:val="singleLevel"/>
    <w:tmpl w:val="B9A76FF7"/>
    <w:lvl w:ilvl="0" w:tentative="0">
      <w:start w:val="1"/>
      <w:numFmt w:val="decimal"/>
      <w:lvlText w:val="(%1)"/>
      <w:lvlJc w:val="left"/>
      <w:pPr>
        <w:ind w:left="425" w:hanging="425"/>
      </w:pPr>
      <w:rPr>
        <w:rFonts w:hint="default"/>
      </w:rPr>
    </w:lvl>
  </w:abstractNum>
  <w:abstractNum w:abstractNumId="5">
    <w:nsid w:val="C70CF0CF"/>
    <w:multiLevelType w:val="singleLevel"/>
    <w:tmpl w:val="C70CF0CF"/>
    <w:lvl w:ilvl="0" w:tentative="0">
      <w:start w:val="1"/>
      <w:numFmt w:val="decimal"/>
      <w:lvlText w:val="(%1)"/>
      <w:lvlJc w:val="left"/>
      <w:pPr>
        <w:ind w:left="425" w:hanging="425"/>
      </w:pPr>
      <w:rPr>
        <w:rFonts w:hint="default"/>
      </w:rPr>
    </w:lvl>
  </w:abstractNum>
  <w:abstractNum w:abstractNumId="6">
    <w:nsid w:val="EE856ED9"/>
    <w:multiLevelType w:val="singleLevel"/>
    <w:tmpl w:val="EE856ED9"/>
    <w:lvl w:ilvl="0" w:tentative="0">
      <w:start w:val="1"/>
      <w:numFmt w:val="decimal"/>
      <w:lvlText w:val="%1."/>
      <w:lvlJc w:val="left"/>
      <w:pPr>
        <w:ind w:left="425" w:hanging="425"/>
      </w:pPr>
      <w:rPr>
        <w:rFonts w:hint="default"/>
      </w:rPr>
    </w:lvl>
  </w:abstractNum>
  <w:abstractNum w:abstractNumId="7">
    <w:nsid w:val="F324FE97"/>
    <w:multiLevelType w:val="singleLevel"/>
    <w:tmpl w:val="F324FE97"/>
    <w:lvl w:ilvl="0" w:tentative="0">
      <w:start w:val="1"/>
      <w:numFmt w:val="decimal"/>
      <w:lvlText w:val="%1."/>
      <w:lvlJc w:val="left"/>
      <w:pPr>
        <w:ind w:left="425" w:hanging="425"/>
      </w:pPr>
      <w:rPr>
        <w:rFonts w:hint="default"/>
      </w:rPr>
    </w:lvl>
  </w:abstractNum>
  <w:abstractNum w:abstractNumId="8">
    <w:nsid w:val="0DAE5EAE"/>
    <w:multiLevelType w:val="singleLevel"/>
    <w:tmpl w:val="0DAE5EAE"/>
    <w:lvl w:ilvl="0" w:tentative="0">
      <w:start w:val="1"/>
      <w:numFmt w:val="decimal"/>
      <w:lvlText w:val="(%1)"/>
      <w:lvlJc w:val="left"/>
      <w:pPr>
        <w:ind w:left="425" w:hanging="425"/>
      </w:pPr>
      <w:rPr>
        <w:rFonts w:hint="default"/>
      </w:rPr>
    </w:lvl>
  </w:abstractNum>
  <w:abstractNum w:abstractNumId="9">
    <w:nsid w:val="42E9DF63"/>
    <w:multiLevelType w:val="singleLevel"/>
    <w:tmpl w:val="42E9DF63"/>
    <w:lvl w:ilvl="0" w:tentative="0">
      <w:start w:val="1"/>
      <w:numFmt w:val="decimal"/>
      <w:lvlText w:val="%1."/>
      <w:lvlJc w:val="left"/>
      <w:pPr>
        <w:ind w:left="425" w:hanging="425"/>
      </w:pPr>
      <w:rPr>
        <w:rFonts w:hint="default"/>
      </w:rPr>
    </w:lvl>
  </w:abstractNum>
  <w:num w:numId="1">
    <w:abstractNumId w:val="3"/>
  </w:num>
  <w:num w:numId="2">
    <w:abstractNumId w:val="7"/>
  </w:num>
  <w:num w:numId="3">
    <w:abstractNumId w:val="2"/>
  </w:num>
  <w:num w:numId="4">
    <w:abstractNumId w:val="0"/>
  </w:num>
  <w:num w:numId="5">
    <w:abstractNumId w:val="6"/>
  </w:num>
  <w:num w:numId="6">
    <w:abstractNumId w:val="1"/>
  </w:num>
  <w:num w:numId="7">
    <w:abstractNumId w:val="4"/>
  </w:num>
  <w:num w:numId="8">
    <w:abstractNumId w:val="9"/>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2C3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楷体_GB2312" w:cs="Times New Roman"/>
      <w:kern w:val="2"/>
      <w:sz w:val="30"/>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Indent"/>
    <w:basedOn w:val="1"/>
    <w:qFormat/>
    <w:uiPriority w:val="0"/>
    <w:pPr>
      <w:adjustRightInd w:val="0"/>
      <w:spacing w:line="360" w:lineRule="atLeast"/>
      <w:ind w:firstLine="482"/>
      <w:textAlignment w:val="baseline"/>
    </w:pPr>
    <w:rPr>
      <w:rFonts w:eastAsia="宋体"/>
      <w:kern w:val="0"/>
      <w:sz w:val="24"/>
    </w:rPr>
  </w:style>
  <w:style w:type="paragraph" w:styleId="4">
    <w:name w:val="Plain Text"/>
    <w:basedOn w:val="1"/>
    <w:qFormat/>
    <w:uiPriority w:val="0"/>
    <w:rPr>
      <w:rFonts w:ascii="宋体" w:hAnsi="Courier New" w:eastAsia="宋体"/>
      <w:sz w:val="21"/>
    </w:rPr>
  </w:style>
  <w:style w:type="paragraph" w:styleId="5">
    <w:name w:val="Date"/>
    <w:basedOn w:val="1"/>
    <w:next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lfc726464</cp:lastModifiedBy>
  <dcterms:modified xsi:type="dcterms:W3CDTF">2021-06-03T07:07:18Z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99A408A2B6CA4F8FA9E5B022D47FFEA9</vt:lpwstr>
  </property>
</Properties>
</file>