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5F6" w:rsidRPr="00EC75F6" w:rsidRDefault="00EC75F6" w:rsidP="00EC75F6">
      <w:pPr>
        <w:spacing w:line="500" w:lineRule="exact"/>
        <w:jc w:val="left"/>
        <w:rPr>
          <w:rFonts w:ascii="宋体" w:hAnsi="宋体" w:hint="eastAsia"/>
          <w:b/>
          <w:sz w:val="32"/>
          <w:szCs w:val="32"/>
        </w:rPr>
      </w:pPr>
      <w:bookmarkStart w:id="0" w:name="_Toc118884541"/>
      <w:bookmarkStart w:id="1" w:name="_Toc49330207"/>
      <w:bookmarkStart w:id="2" w:name="_Toc49333637"/>
      <w:bookmarkStart w:id="3" w:name="_GoBack"/>
      <w:r w:rsidRPr="00EC75F6">
        <w:rPr>
          <w:rFonts w:ascii="宋体" w:hAnsi="宋体" w:hint="eastAsia"/>
          <w:b/>
          <w:sz w:val="32"/>
          <w:szCs w:val="32"/>
        </w:rPr>
        <w:t>2023-014采购</w:t>
      </w:r>
      <w:r w:rsidRPr="00EC75F6">
        <w:rPr>
          <w:rFonts w:ascii="宋体" w:hAnsi="宋体"/>
          <w:b/>
          <w:sz w:val="32"/>
          <w:szCs w:val="32"/>
        </w:rPr>
        <w:t>需求</w:t>
      </w:r>
      <w:r w:rsidRPr="00EC75F6">
        <w:rPr>
          <w:rFonts w:ascii="宋体" w:hAnsi="宋体" w:hint="eastAsia"/>
          <w:b/>
          <w:sz w:val="32"/>
          <w:szCs w:val="32"/>
        </w:rPr>
        <w:t>（公告）</w:t>
      </w:r>
    </w:p>
    <w:bookmarkEnd w:id="3"/>
    <w:p w:rsidR="00EC75F6" w:rsidRPr="008A221C" w:rsidRDefault="00EC75F6" w:rsidP="00EC75F6">
      <w:pPr>
        <w:spacing w:line="500" w:lineRule="exact"/>
        <w:jc w:val="center"/>
        <w:rPr>
          <w:rFonts w:ascii="宋体" w:hAnsi="宋体"/>
          <w:sz w:val="44"/>
          <w:szCs w:val="44"/>
        </w:rPr>
      </w:pPr>
      <w:r w:rsidRPr="008A221C">
        <w:rPr>
          <w:rFonts w:ascii="宋体" w:hAnsi="宋体"/>
          <w:sz w:val="44"/>
          <w:szCs w:val="44"/>
        </w:rPr>
        <w:t>2023年</w:t>
      </w:r>
      <w:r w:rsidRPr="008A221C">
        <w:rPr>
          <w:rFonts w:ascii="宋体" w:hAnsi="宋体" w:hint="eastAsia"/>
          <w:sz w:val="44"/>
          <w:szCs w:val="44"/>
        </w:rPr>
        <w:t>青浦城区景观照明设施维护项目</w:t>
      </w:r>
    </w:p>
    <w:p w:rsidR="00EC75F6" w:rsidRPr="008A221C" w:rsidRDefault="00EC75F6" w:rsidP="00EC75F6">
      <w:pPr>
        <w:pStyle w:val="a8"/>
        <w:snapToGrid w:val="0"/>
        <w:spacing w:afterLines="50" w:after="156" w:line="360" w:lineRule="atLeast"/>
        <w:jc w:val="center"/>
        <w:outlineLvl w:val="0"/>
        <w:rPr>
          <w:rFonts w:hAnsi="宋体"/>
          <w:sz w:val="44"/>
          <w:szCs w:val="44"/>
        </w:rPr>
      </w:pPr>
      <w:r w:rsidRPr="008A221C">
        <w:rPr>
          <w:rFonts w:hAnsi="宋体" w:hint="eastAsia"/>
          <w:sz w:val="44"/>
          <w:szCs w:val="44"/>
        </w:rPr>
        <w:t>采购需求和技术要求</w:t>
      </w:r>
    </w:p>
    <w:p w:rsidR="00EC75F6" w:rsidRPr="008A221C" w:rsidRDefault="00EC75F6" w:rsidP="00EC75F6">
      <w:pPr>
        <w:spacing w:line="500" w:lineRule="exact"/>
        <w:jc w:val="center"/>
        <w:rPr>
          <w:rFonts w:ascii="宋体" w:hAnsi="宋体"/>
          <w:b/>
          <w:sz w:val="28"/>
          <w:szCs w:val="28"/>
        </w:rPr>
      </w:pP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一、项目名称</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2023年青浦城区景观照明设施维护项目。</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二、项目概况</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为保障青浦城区景观灯光正常运行，美化城市夜景，青浦区绿化和市容管理</w:t>
      </w:r>
      <w:r>
        <w:rPr>
          <w:rFonts w:ascii="宋体" w:hAnsi="宋体" w:hint="eastAsia"/>
          <w:sz w:val="24"/>
        </w:rPr>
        <w:t>局委托社会第三</w:t>
      </w:r>
      <w:proofErr w:type="gramStart"/>
      <w:r>
        <w:rPr>
          <w:rFonts w:ascii="宋体" w:hAnsi="宋体" w:hint="eastAsia"/>
          <w:sz w:val="24"/>
        </w:rPr>
        <w:t>方专业</w:t>
      </w:r>
      <w:proofErr w:type="gramEnd"/>
      <w:r>
        <w:rPr>
          <w:rFonts w:ascii="宋体" w:hAnsi="宋体" w:hint="eastAsia"/>
          <w:sz w:val="24"/>
        </w:rPr>
        <w:t>力量，对</w:t>
      </w:r>
      <w:r w:rsidRPr="008A221C">
        <w:rPr>
          <w:rFonts w:ascii="宋体" w:hAnsi="宋体" w:hint="eastAsia"/>
          <w:sz w:val="24"/>
        </w:rPr>
        <w:t>城区景观照明设施开展日常维护，通过对灯具、固定支架、控制箱设施、供配电管线等相关电气设备的外观检查、仪表检测等方式，及时发现、排除、修复、更换各类电器设备存在的技术问题和安全问题，确保景观照明设施正常运转。</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三、项目期限</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自合同签订之日起1年内有效。</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四、采购预算</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人民币：218.67万元。大写：贰佰壹拾捌万陆仟柒佰元整。</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五、投标</w:t>
      </w:r>
      <w:proofErr w:type="gramStart"/>
      <w:r w:rsidRPr="008A221C">
        <w:rPr>
          <w:rFonts w:ascii="宋体" w:hAnsi="宋体" w:hint="eastAsia"/>
          <w:b/>
          <w:sz w:val="24"/>
        </w:rPr>
        <w:t>价组成</w:t>
      </w:r>
      <w:proofErr w:type="gramEnd"/>
      <w:r w:rsidRPr="008A221C">
        <w:rPr>
          <w:rFonts w:ascii="宋体" w:hAnsi="宋体" w:hint="eastAsia"/>
          <w:b/>
          <w:sz w:val="24"/>
        </w:rPr>
        <w:t>及要求</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 xml:space="preserve">1、投标价不得高于采购预算； </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2、项目投标总价由“工程量”表内22个区域的各类景观灯、配电箱、控制箱、管线等相关设施的投标单价组成；</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3、投标人须根据景观灯不同类型、样式、设置场所等的差异，自行判断并确定维护单价；</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4、投标报价要求包含：</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4.1日常人工费、加班费、节假日值班费；</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4.2施工费（维修、安装）；</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4.3耗材费（维修工具、耗材、电器配件等）；</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4.4各种施工车辆等设备费；</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4.5其他与</w:t>
      </w:r>
      <w:r w:rsidRPr="008A221C">
        <w:rPr>
          <w:rFonts w:ascii="宋体" w:hAnsi="宋体"/>
          <w:sz w:val="24"/>
        </w:rPr>
        <w:t>本项目相关的</w:t>
      </w:r>
      <w:r w:rsidRPr="008A221C">
        <w:rPr>
          <w:rFonts w:ascii="宋体" w:hAnsi="宋体" w:hint="eastAsia"/>
          <w:sz w:val="24"/>
        </w:rPr>
        <w:t xml:space="preserve">费用。 </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5、根据采购方实际情况，如维护工程量（景观照明设施数量）缩减，并且</w:t>
      </w:r>
      <w:r w:rsidRPr="008A221C">
        <w:rPr>
          <w:rFonts w:ascii="宋体" w:hAnsi="宋体" w:hint="eastAsia"/>
          <w:sz w:val="24"/>
        </w:rPr>
        <w:lastRenderedPageBreak/>
        <w:t>这类情况延续一个月以上的未得到改变的，采购方无须经中标单位同意，扣除相应缩减景观照明设施、设备的维护费，直至这部分缩减工程</w:t>
      </w:r>
      <w:proofErr w:type="gramStart"/>
      <w:r w:rsidRPr="008A221C">
        <w:rPr>
          <w:rFonts w:ascii="宋体" w:hAnsi="宋体" w:hint="eastAsia"/>
          <w:sz w:val="24"/>
        </w:rPr>
        <w:t>量恢复</w:t>
      </w:r>
      <w:proofErr w:type="gramEnd"/>
      <w:r w:rsidRPr="008A221C">
        <w:rPr>
          <w:rFonts w:ascii="宋体" w:hAnsi="宋体" w:hint="eastAsia"/>
          <w:sz w:val="24"/>
        </w:rPr>
        <w:t>原状，扣除金额以养护单价为准</w:t>
      </w:r>
      <w:r w:rsidRPr="008A221C">
        <w:rPr>
          <w:rFonts w:ascii="宋体" w:hAnsi="宋体"/>
          <w:sz w:val="24"/>
        </w:rPr>
        <w:t>,</w:t>
      </w:r>
      <w:r w:rsidRPr="008A221C">
        <w:rPr>
          <w:rFonts w:ascii="宋体" w:hAnsi="宋体" w:hint="eastAsia"/>
          <w:sz w:val="24"/>
        </w:rPr>
        <w:t>并根据数量、天数按实计算；</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6、投标人须确认维护工作正常有序开展的所有费用都纳入维护单价内，采购方不再承担其他任何有利于开展此项目的费用；</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7、中标价并非最终结算价，采购人</w:t>
      </w:r>
      <w:r w:rsidRPr="008A221C">
        <w:rPr>
          <w:rFonts w:ascii="宋体" w:hAnsi="宋体"/>
          <w:sz w:val="24"/>
        </w:rPr>
        <w:t>将结合考核结果支付相应的</w:t>
      </w:r>
      <w:r w:rsidRPr="008A221C">
        <w:rPr>
          <w:rFonts w:ascii="宋体" w:hAnsi="宋体" w:hint="eastAsia"/>
          <w:sz w:val="24"/>
        </w:rPr>
        <w:t>费用</w:t>
      </w:r>
      <w:r w:rsidRPr="008A221C">
        <w:rPr>
          <w:rFonts w:ascii="宋体" w:hAnsi="宋体"/>
          <w:sz w:val="24"/>
        </w:rPr>
        <w:t>。</w:t>
      </w:r>
      <w:r w:rsidRPr="008A221C">
        <w:rPr>
          <w:rFonts w:ascii="宋体" w:hAnsi="宋体" w:hint="eastAsia"/>
          <w:sz w:val="24"/>
        </w:rPr>
        <w:t>如遇</w:t>
      </w:r>
      <w:r w:rsidRPr="008A221C">
        <w:rPr>
          <w:rFonts w:ascii="宋体" w:hAnsi="宋体"/>
          <w:sz w:val="24"/>
        </w:rPr>
        <w:t>上述工程量缩减情况，则按照投标</w:t>
      </w:r>
      <w:r w:rsidRPr="008A221C">
        <w:rPr>
          <w:rFonts w:ascii="宋体" w:hAnsi="宋体" w:hint="eastAsia"/>
          <w:sz w:val="24"/>
        </w:rPr>
        <w:t>单价</w:t>
      </w:r>
      <w:r w:rsidRPr="008A221C">
        <w:rPr>
          <w:rFonts w:ascii="宋体" w:hAnsi="宋体"/>
          <w:sz w:val="24"/>
        </w:rPr>
        <w:t>做相应扣除。</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六、付款方式</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1、结合</w:t>
      </w:r>
      <w:r w:rsidRPr="008A221C">
        <w:rPr>
          <w:rFonts w:ascii="宋体" w:hAnsi="宋体"/>
          <w:sz w:val="24"/>
        </w:rPr>
        <w:t>考核</w:t>
      </w:r>
      <w:r w:rsidRPr="008A221C">
        <w:rPr>
          <w:rFonts w:ascii="宋体" w:hAnsi="宋体" w:hint="eastAsia"/>
          <w:sz w:val="24"/>
        </w:rPr>
        <w:t>结果</w:t>
      </w:r>
      <w:r w:rsidRPr="008A221C">
        <w:rPr>
          <w:rFonts w:ascii="宋体" w:hAnsi="宋体"/>
          <w:sz w:val="24"/>
        </w:rPr>
        <w:t>，</w:t>
      </w:r>
      <w:r w:rsidRPr="008A221C">
        <w:rPr>
          <w:rFonts w:ascii="宋体" w:hAnsi="宋体" w:hint="eastAsia"/>
          <w:sz w:val="24"/>
        </w:rPr>
        <w:t>分四个周期支付，每三个月为一个周期；</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2、每周期内，由采购方组织考核评价活动，以考评得分为依据，支付相应维护费用；</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3、因采购</w:t>
      </w:r>
      <w:proofErr w:type="gramStart"/>
      <w:r w:rsidRPr="008A221C">
        <w:rPr>
          <w:rFonts w:ascii="宋体" w:hAnsi="宋体" w:hint="eastAsia"/>
          <w:sz w:val="24"/>
        </w:rPr>
        <w:t>方相关</w:t>
      </w:r>
      <w:proofErr w:type="gramEnd"/>
      <w:r w:rsidRPr="008A221C">
        <w:rPr>
          <w:rFonts w:ascii="宋体" w:hAnsi="宋体" w:hint="eastAsia"/>
          <w:sz w:val="24"/>
        </w:rPr>
        <w:t>财务制度要求需延后支付经费的，采购方无需经中标单位同意。</w:t>
      </w:r>
    </w:p>
    <w:p w:rsidR="00EC75F6" w:rsidRPr="008A221C" w:rsidRDefault="00EC75F6" w:rsidP="00EC75F6">
      <w:pPr>
        <w:spacing w:line="360" w:lineRule="auto"/>
        <w:ind w:firstLineChars="200" w:firstLine="482"/>
        <w:rPr>
          <w:rFonts w:ascii="宋体" w:hAnsi="宋体"/>
          <w:sz w:val="24"/>
        </w:rPr>
      </w:pPr>
      <w:r w:rsidRPr="008A221C">
        <w:rPr>
          <w:rFonts w:ascii="宋体" w:hAnsi="宋体" w:hint="eastAsia"/>
          <w:b/>
          <w:sz w:val="24"/>
        </w:rPr>
        <w:t>七、相关团队及人员要求</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1、熟悉上海景观照明设施的维修、养护工作，熟悉青浦城区景观灯光基本状况，熟悉行业发展趋势和特点，具有相应城市景观照明设施或系统的维修、养护工作业绩；</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2、项目团队负责人及项目实施团队工作人员必须为投标人本单位在职人员，有承担过相应的景观照明设施维修、养护工作的实践经历和经验的为佳；</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3、项目实施团队成员不得少于6人，其中，持有国家及相关行业颁发的高压电工操作证、低压电工操作证、高空作业操作证书、安全员证书的专业人员不得低于5</w:t>
      </w:r>
      <w:r w:rsidRPr="008A221C">
        <w:rPr>
          <w:rFonts w:ascii="宋体" w:hAnsi="宋体"/>
          <w:sz w:val="24"/>
        </w:rPr>
        <w:t>人</w:t>
      </w:r>
      <w:r w:rsidRPr="008A221C">
        <w:rPr>
          <w:rFonts w:ascii="宋体" w:hAnsi="宋体" w:hint="eastAsia"/>
          <w:sz w:val="24"/>
        </w:rPr>
        <w:t>，且</w:t>
      </w:r>
      <w:proofErr w:type="gramStart"/>
      <w:r w:rsidRPr="008A221C">
        <w:rPr>
          <w:rFonts w:ascii="宋体" w:hAnsi="宋体" w:hint="eastAsia"/>
          <w:sz w:val="24"/>
        </w:rPr>
        <w:t>须以上</w:t>
      </w:r>
      <w:proofErr w:type="gramEnd"/>
      <w:r w:rsidRPr="008A221C">
        <w:rPr>
          <w:rFonts w:ascii="宋体" w:hAnsi="宋体" w:hint="eastAsia"/>
          <w:sz w:val="24"/>
        </w:rPr>
        <w:t>四证缺一不可，团队负责人需具备电工职业技能高级证书；</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4、投标人需提供承装（修、试）电力设施许可证五级或五级以上；</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5、投标人应根据维护工作服务范围及要求自行配备相应人员，若不能满足本项目的实际工作需求，一旦中标须无条件增加人员力量直至满足本项目实际工作需要；</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6、项目实施团队人员组成在中标后不得随意调换，如确实有客观原因需调整的，必须经采购方书面认可，否则一旦发现，将立即终止本项目继续实施，由</w:t>
      </w:r>
      <w:r w:rsidRPr="008A221C">
        <w:rPr>
          <w:rFonts w:ascii="宋体" w:hAnsi="宋体" w:hint="eastAsia"/>
          <w:sz w:val="24"/>
        </w:rPr>
        <w:lastRenderedPageBreak/>
        <w:t>此给采购</w:t>
      </w:r>
      <w:proofErr w:type="gramStart"/>
      <w:r w:rsidRPr="008A221C">
        <w:rPr>
          <w:rFonts w:ascii="宋体" w:hAnsi="宋体" w:hint="eastAsia"/>
          <w:sz w:val="24"/>
        </w:rPr>
        <w:t>方带来</w:t>
      </w:r>
      <w:proofErr w:type="gramEnd"/>
      <w:r w:rsidRPr="008A221C">
        <w:rPr>
          <w:rFonts w:ascii="宋体" w:hAnsi="宋体" w:hint="eastAsia"/>
          <w:sz w:val="24"/>
        </w:rPr>
        <w:t>的一切损失由中标单位负责；</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7、项目实施团队须具有良好的职业道德和严谨的工作作风；</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8、中标单位须在项目合同签订日起，立即开展维护工作；</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9、本采购事项一律不得转包、分包，否则采购方有权立即终止合同。</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八、投标条件</w:t>
      </w:r>
    </w:p>
    <w:p w:rsidR="00EC75F6" w:rsidRPr="008A221C" w:rsidRDefault="00EC75F6" w:rsidP="00EC75F6">
      <w:pPr>
        <w:spacing w:line="360" w:lineRule="auto"/>
        <w:ind w:firstLineChars="200" w:firstLine="480"/>
        <w:rPr>
          <w:rFonts w:ascii="宋体" w:hAnsi="宋体"/>
          <w:sz w:val="24"/>
        </w:rPr>
      </w:pPr>
      <w:r w:rsidRPr="008A221C">
        <w:rPr>
          <w:rFonts w:ascii="宋体" w:hAnsi="宋体"/>
          <w:sz w:val="24"/>
        </w:rPr>
        <w:t>根据《中华人民共和国政府采购法》及有关法律法规和规章规定，特邀请合格投标人前来投标</w:t>
      </w:r>
      <w:r w:rsidRPr="008A221C">
        <w:rPr>
          <w:rFonts w:ascii="宋体" w:hAnsi="宋体" w:hint="eastAsia"/>
          <w:sz w:val="24"/>
        </w:rPr>
        <w:t>，合格投标人必须具备以下条件：</w:t>
      </w:r>
    </w:p>
    <w:p w:rsidR="00EC75F6" w:rsidRPr="008A221C" w:rsidRDefault="00EC75F6" w:rsidP="00EC75F6">
      <w:pPr>
        <w:spacing w:line="360" w:lineRule="auto"/>
        <w:ind w:firstLineChars="200" w:firstLine="480"/>
        <w:rPr>
          <w:rFonts w:ascii="宋体" w:hAnsi="宋体"/>
          <w:sz w:val="24"/>
        </w:rPr>
      </w:pPr>
      <w:r w:rsidRPr="008A221C">
        <w:rPr>
          <w:rFonts w:ascii="宋体" w:hAnsi="宋体"/>
          <w:sz w:val="24"/>
        </w:rPr>
        <w:t>1</w:t>
      </w:r>
      <w:r w:rsidRPr="008A221C">
        <w:rPr>
          <w:rFonts w:ascii="宋体" w:hAnsi="宋体" w:hint="eastAsia"/>
          <w:sz w:val="24"/>
        </w:rPr>
        <w:t>、符合《中华人民共和国政府采购法》第二十二条规定的供应商；</w:t>
      </w:r>
    </w:p>
    <w:p w:rsidR="00EC75F6" w:rsidRPr="008A221C" w:rsidRDefault="00EC75F6" w:rsidP="00EC75F6">
      <w:pPr>
        <w:spacing w:line="360" w:lineRule="auto"/>
        <w:ind w:firstLineChars="200" w:firstLine="480"/>
        <w:rPr>
          <w:rFonts w:ascii="宋体" w:hAnsi="宋体"/>
          <w:sz w:val="24"/>
        </w:rPr>
      </w:pPr>
      <w:r w:rsidRPr="008A221C">
        <w:rPr>
          <w:rFonts w:ascii="宋体" w:hAnsi="宋体"/>
          <w:sz w:val="24"/>
        </w:rPr>
        <w:t>2</w:t>
      </w:r>
      <w:r w:rsidRPr="008A221C">
        <w:rPr>
          <w:rFonts w:ascii="宋体" w:hAnsi="宋体" w:hint="eastAsia"/>
          <w:sz w:val="24"/>
        </w:rPr>
        <w:t>、根据《上海市政府采购供应商登记及诚信管理办法》已登记入库的供应商；</w:t>
      </w:r>
    </w:p>
    <w:p w:rsidR="00EC75F6" w:rsidRPr="008A221C" w:rsidRDefault="00EC75F6" w:rsidP="00EC75F6">
      <w:pPr>
        <w:spacing w:line="360" w:lineRule="auto"/>
        <w:ind w:firstLineChars="200" w:firstLine="480"/>
        <w:rPr>
          <w:rFonts w:ascii="宋体" w:hAnsi="宋体"/>
          <w:sz w:val="24"/>
        </w:rPr>
      </w:pPr>
      <w:r w:rsidRPr="008A221C">
        <w:rPr>
          <w:rFonts w:ascii="宋体" w:hAnsi="宋体"/>
          <w:sz w:val="24"/>
        </w:rPr>
        <w:t>3</w:t>
      </w:r>
      <w:r w:rsidRPr="008A221C">
        <w:rPr>
          <w:rFonts w:ascii="宋体" w:hAnsi="宋体" w:hint="eastAsia"/>
          <w:sz w:val="24"/>
        </w:rPr>
        <w:t>、其他资格要求：</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3.1 未被列入“信用中国”网站(</w:t>
      </w:r>
      <w:hyperlink r:id="rId5" w:history="1">
        <w:r w:rsidRPr="008A221C">
          <w:rPr>
            <w:rStyle w:val="ab"/>
            <w:rFonts w:hint="default"/>
            <w:color w:val="auto"/>
            <w:sz w:val="24"/>
          </w:rPr>
          <w:t>www.creditchina.gov.cn</w:t>
        </w:r>
      </w:hyperlink>
      <w:r w:rsidRPr="008A221C">
        <w:rPr>
          <w:rFonts w:ascii="宋体" w:hAnsi="宋体" w:hint="eastAsia"/>
          <w:sz w:val="24"/>
        </w:rPr>
        <w:t>)失信被执行人名单、重大税收违法案件当事人名单和中国政府采购网(www.ccgp.gov.cn)政府采购严重违法失信行为记录名单；</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3.2 本项目采购预算</w:t>
      </w:r>
      <w:r w:rsidRPr="008A221C">
        <w:rPr>
          <w:rFonts w:ascii="宋体" w:hAnsi="宋体"/>
          <w:sz w:val="24"/>
        </w:rPr>
        <w:t>2186</w:t>
      </w:r>
      <w:r w:rsidRPr="008A221C">
        <w:rPr>
          <w:rFonts w:ascii="宋体" w:hAnsi="宋体" w:hint="eastAsia"/>
          <w:sz w:val="24"/>
        </w:rPr>
        <w:t>700元人民币，超过采购预算的投标不予接受；</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3.3</w:t>
      </w:r>
      <w:r w:rsidRPr="008A221C">
        <w:rPr>
          <w:rFonts w:ascii="宋体" w:hAnsi="宋体" w:cs="Arial" w:hint="eastAsia"/>
          <w:kern w:val="0"/>
          <w:szCs w:val="21"/>
        </w:rPr>
        <w:t>本项目专门面向中小企业采购。参加投标的中小企业应当符合《政府采购促进中小企业发展管理办法》的规定。中小企业应当按照规定在投标标书中提供《中小企业声明函》。</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3.4本项目不接受联合体投标；</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3.5投标人需具备城市及道路照明工程专业承包三级及以上资质。</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九、响应要求</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1、投标截止日前3个月未发生因施工原因造成的一般质量事故、6个月内未发生因施工原因造成的重大质量事故、一年内未发生因施工原因造成的特大质量事故；</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2、中标单位需确保维护人员24小时联系畅通，接到采购方指令，30分钟内到达采购方指定现场、1小时内落实相应处置措施。</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十、维护要求和内容</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1、按照</w:t>
      </w:r>
      <w:proofErr w:type="gramStart"/>
      <w:r w:rsidRPr="008A221C">
        <w:rPr>
          <w:rFonts w:ascii="宋体" w:hAnsi="宋体" w:hint="eastAsia"/>
          <w:sz w:val="24"/>
        </w:rPr>
        <w:t>沪绿容</w:t>
      </w:r>
      <w:proofErr w:type="gramEnd"/>
      <w:r w:rsidRPr="008A221C">
        <w:rPr>
          <w:rFonts w:ascii="宋体" w:hAnsi="宋体" w:hint="eastAsia"/>
          <w:sz w:val="24"/>
        </w:rPr>
        <w:t>〔2022〕310号文、上海市绿化和市容管理局关于印发《上海市景观照明技术规范》的通知要求，做好日常维护工作；</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2、按照</w:t>
      </w:r>
      <w:proofErr w:type="gramStart"/>
      <w:r w:rsidRPr="008A221C">
        <w:rPr>
          <w:rFonts w:ascii="宋体" w:hAnsi="宋体" w:hint="eastAsia"/>
          <w:sz w:val="24"/>
        </w:rPr>
        <w:t>沪绿容</w:t>
      </w:r>
      <w:proofErr w:type="gramEnd"/>
      <w:r w:rsidRPr="008A221C">
        <w:rPr>
          <w:rFonts w:ascii="宋体" w:hAnsi="宋体" w:hint="eastAsia"/>
          <w:sz w:val="24"/>
        </w:rPr>
        <w:t>〔2020〕293号文、上海市绿化和市容管理局关于印发《关于</w:t>
      </w:r>
      <w:r w:rsidRPr="008A221C">
        <w:rPr>
          <w:rFonts w:ascii="宋体" w:hAnsi="宋体" w:hint="eastAsia"/>
          <w:sz w:val="24"/>
        </w:rPr>
        <w:lastRenderedPageBreak/>
        <w:t>加强本市景观照明集中控制工作的指导意见（试行）》和《上海市景观照明设施运行维护工作指导意见（试行）》的通知及附件2《关于上海市景观照明设施运行维护工作指导意见》的一系列相关规定，做好日常维护工作；</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3、按照</w:t>
      </w:r>
      <w:proofErr w:type="gramStart"/>
      <w:r w:rsidRPr="008A221C">
        <w:rPr>
          <w:rFonts w:ascii="宋体" w:hAnsi="宋体" w:hint="eastAsia"/>
          <w:sz w:val="24"/>
        </w:rPr>
        <w:t>沪绿容</w:t>
      </w:r>
      <w:proofErr w:type="gramEnd"/>
      <w:r w:rsidRPr="008A221C">
        <w:rPr>
          <w:rFonts w:ascii="宋体" w:hAnsi="宋体" w:hint="eastAsia"/>
          <w:sz w:val="24"/>
        </w:rPr>
        <w:t>〔2017〕389号文、上海市绿化和市容管理局关于印发《景观照明设施维护规范（试行）》的通知及附件，做好日常维护工作；</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4、按照采购方指令，中标单位须无条件的做好在日常、节假日、重大公共活动举办期内的景观照明维护工作，确保维护对象正常、平稳、准点、安全的开闭灯，保障城区夜景效果；</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5、按照采购方要求和相关规定，加强日常巡检、及时消除安全隐患工作，确保景观照明设施不发生安全事故，因偷盗、破坏等人为因素，造成维护对象缺失、损坏的，由中标单位负责恢复原样；</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6、在日常维护工作中，每天必须安排项目团队人员巡检，如</w:t>
      </w:r>
      <w:proofErr w:type="gramStart"/>
      <w:r w:rsidRPr="008A221C">
        <w:rPr>
          <w:rFonts w:ascii="宋体" w:hAnsi="宋体" w:hint="eastAsia"/>
          <w:sz w:val="24"/>
        </w:rPr>
        <w:t>遇维护</w:t>
      </w:r>
      <w:proofErr w:type="gramEnd"/>
      <w:r w:rsidRPr="008A221C">
        <w:rPr>
          <w:rFonts w:ascii="宋体" w:hAnsi="宋体" w:hint="eastAsia"/>
          <w:sz w:val="24"/>
        </w:rPr>
        <w:t>对象有拆除、破坏等情况，或者附近有其他施工情况，有可能会涉及到本项目维护对象的，要第一时间向采购方汇报，并配合采购方开展相应调查；</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7、投标人应制定严密的安全文明施工方案，尽全力保障维护过程安全文明，避免发生安全责任事故。如发生安全责任事故造成人员伤亡和财产损失的，由中标人全权承担一切责任；</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8、中标单位因维修工作面的需求，无法避免对临近设施，如人行道、绿化带、绿地等临近设施造成损坏的，此等情况下必须在施工前书面请示采购方，经同意后方可实施，如有违反并造成后果的，由中标单位承担一切责任；</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9、各类投诉案件的及时处理、回复工作；</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10、做好采购方交办的其他临时工作。</w:t>
      </w: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十一、工作指标</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1、景观照明设施运行时间：</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1.1每年5月1日至09月30日：18:30亮灯，22:30关灯；</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1.2每年10月1日至次年4月30日：18:00亮灯，22:00关灯；</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1.3主管部门另行安排的以通知为准。</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2、景观照明设施维护指标：</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2.1亮灯率达到98%或以上；</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lastRenderedPageBreak/>
        <w:t>2.2设施清洁率95%或以上；</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2.3设施完好率98%或以上；</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2.4故障处置及时率100%。</w:t>
      </w:r>
    </w:p>
    <w:p w:rsidR="00EC75F6" w:rsidRPr="008A221C" w:rsidRDefault="00EC75F6" w:rsidP="00EC75F6">
      <w:pPr>
        <w:spacing w:line="360" w:lineRule="auto"/>
        <w:rPr>
          <w:rFonts w:ascii="宋体" w:hAnsi="宋体"/>
          <w:b/>
          <w:sz w:val="24"/>
        </w:rPr>
      </w:pPr>
      <w:r w:rsidRPr="008A221C">
        <w:rPr>
          <w:rFonts w:ascii="宋体" w:hAnsi="宋体" w:hint="eastAsia"/>
        </w:rPr>
        <w:t xml:space="preserve">   </w:t>
      </w:r>
      <w:r w:rsidRPr="008A221C">
        <w:rPr>
          <w:rFonts w:ascii="宋体" w:hAnsi="宋体" w:hint="eastAsia"/>
          <w:b/>
          <w:sz w:val="24"/>
        </w:rPr>
        <w:t>十二、养护</w:t>
      </w:r>
      <w:r w:rsidRPr="008A221C">
        <w:rPr>
          <w:rFonts w:ascii="宋体" w:hAnsi="宋体"/>
          <w:b/>
          <w:sz w:val="24"/>
        </w:rPr>
        <w:t>工程量清单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553"/>
        <w:gridCol w:w="3118"/>
        <w:gridCol w:w="933"/>
        <w:gridCol w:w="1058"/>
      </w:tblGrid>
      <w:tr w:rsidR="00EC75F6" w:rsidRPr="008A221C" w:rsidTr="00381D85">
        <w:trPr>
          <w:trHeight w:hRule="exact" w:val="676"/>
          <w:tblHeader/>
          <w:jc w:val="center"/>
        </w:trPr>
        <w:tc>
          <w:tcPr>
            <w:tcW w:w="644"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lastRenderedPageBreak/>
              <w:t>序号</w:t>
            </w:r>
          </w:p>
        </w:tc>
        <w:tc>
          <w:tcPr>
            <w:tcW w:w="2643"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范围（地址）</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名称</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单位</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工程量</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夏阳湖区域</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387</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280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春晓桥立柱洞灯（桥面）</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海鸥庭院灯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180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水晶球形灯（水中）</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411</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星光灯（水面木栈道外侧）</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256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灯带</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370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地坪小射灯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LED七彩投光灯（水中）</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226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RGB</w:t>
            </w:r>
            <w:proofErr w:type="gramStart"/>
            <w:r w:rsidRPr="008A221C">
              <w:rPr>
                <w:rFonts w:ascii="宋体" w:hAnsi="宋体" w:hint="eastAsia"/>
                <w:szCs w:val="21"/>
              </w:rPr>
              <w:t>贴片灯</w:t>
            </w:r>
            <w:proofErr w:type="gramEnd"/>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119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187.6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16</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c>
          <w:tcPr>
            <w:tcW w:w="2643" w:type="dxa"/>
            <w:vMerge w:val="restart"/>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崧泽广场</w:t>
            </w:r>
            <w:proofErr w:type="gramEnd"/>
            <w:r w:rsidRPr="008A221C">
              <w:rPr>
                <w:rFonts w:ascii="宋体" w:hAnsi="宋体" w:hint="eastAsia"/>
                <w:szCs w:val="21"/>
              </w:rPr>
              <w:t>区域</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158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52</w:t>
            </w:r>
          </w:p>
        </w:tc>
      </w:tr>
      <w:tr w:rsidR="00EC75F6" w:rsidRPr="008A221C" w:rsidTr="00381D85">
        <w:trPr>
          <w:trHeight w:hRule="exact" w:val="767"/>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“奥立八方”广场大型不锈钢高立柱庭院灯（10X5）</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50</w:t>
            </w:r>
          </w:p>
        </w:tc>
      </w:tr>
      <w:tr w:rsidR="00EC75F6" w:rsidRPr="008A221C" w:rsidTr="00381D85">
        <w:trPr>
          <w:trHeight w:hRule="exact" w:val="690"/>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LED彩色投光灯（奥立八方顶灯）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投光灯（博物馆）</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广场喷泉水下灯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2860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253.04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曲水园区域</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廊桥</w:t>
            </w:r>
            <w:proofErr w:type="gramStart"/>
            <w:r w:rsidRPr="008A221C">
              <w:rPr>
                <w:rFonts w:ascii="宋体" w:hAnsi="宋体" w:hint="eastAsia"/>
                <w:szCs w:val="21"/>
              </w:rPr>
              <w:t>宫庭</w:t>
            </w:r>
            <w:proofErr w:type="gramEnd"/>
            <w:r w:rsidRPr="008A221C">
              <w:rPr>
                <w:rFonts w:ascii="宋体" w:hAnsi="宋体" w:hint="eastAsia"/>
                <w:szCs w:val="21"/>
              </w:rPr>
              <w:t>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57</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3W小射灯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38</w:t>
            </w:r>
          </w:p>
        </w:tc>
      </w:tr>
      <w:tr w:rsidR="00EC75F6" w:rsidRPr="008A221C" w:rsidTr="00381D85">
        <w:trPr>
          <w:trHeight w:hRule="exact" w:val="840"/>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50W LED瓦楞灯（河边廊道屋顶）</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1300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黄</w:t>
            </w:r>
            <w:proofErr w:type="gramStart"/>
            <w:r w:rsidRPr="008A221C">
              <w:rPr>
                <w:rFonts w:ascii="宋体" w:hAnsi="宋体" w:hint="eastAsia"/>
                <w:szCs w:val="21"/>
              </w:rPr>
              <w:t>光贴片灯</w:t>
            </w:r>
            <w:proofErr w:type="gramEnd"/>
            <w:r w:rsidRPr="008A221C">
              <w:rPr>
                <w:rFonts w:ascii="宋体" w:hAnsi="宋体" w:hint="eastAsia"/>
                <w:szCs w:val="21"/>
              </w:rPr>
              <w:t>10W</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蓝光贴片灯</w:t>
            </w:r>
            <w:proofErr w:type="gramEnd"/>
            <w:r w:rsidRPr="008A221C">
              <w:rPr>
                <w:rFonts w:ascii="宋体" w:hAnsi="宋体" w:hint="eastAsia"/>
                <w:szCs w:val="21"/>
              </w:rPr>
              <w:t>10W</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白光</w:t>
            </w:r>
            <w:proofErr w:type="gramStart"/>
            <w:r w:rsidRPr="008A221C">
              <w:rPr>
                <w:rFonts w:ascii="宋体" w:hAnsi="宋体" w:hint="eastAsia"/>
                <w:szCs w:val="21"/>
              </w:rPr>
              <w:t>贴片灯</w:t>
            </w:r>
            <w:proofErr w:type="gramEnd"/>
            <w:r w:rsidRPr="008A221C">
              <w:rPr>
                <w:rFonts w:ascii="宋体" w:hAnsi="宋体" w:hint="eastAsia"/>
                <w:szCs w:val="21"/>
              </w:rPr>
              <w:t>10W</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72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24W洗墙灯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131.6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 xml:space="preserve"> 公园路区域（欧洲街-外青松公路）</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129</w:t>
            </w:r>
          </w:p>
        </w:tc>
      </w:tr>
      <w:tr w:rsidR="00EC75F6" w:rsidRPr="008A221C" w:rsidTr="00381D85">
        <w:trPr>
          <w:trHeight w:hRule="exact" w:val="456"/>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24v(9-18w)洗墙灯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28</w:t>
            </w:r>
          </w:p>
        </w:tc>
      </w:tr>
      <w:tr w:rsidR="00EC75F6" w:rsidRPr="008A221C" w:rsidTr="00381D85">
        <w:trPr>
          <w:trHeight w:hRule="exact" w:val="708"/>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LED36w黄光投光灯</w:t>
            </w:r>
          </w:p>
          <w:p w:rsidR="00EC75F6" w:rsidRPr="008A221C" w:rsidRDefault="00EC75F6" w:rsidP="00381D85">
            <w:pPr>
              <w:rPr>
                <w:rFonts w:ascii="宋体" w:hAnsi="宋体"/>
                <w:szCs w:val="21"/>
              </w:rPr>
            </w:pPr>
            <w:r w:rsidRPr="008A221C">
              <w:rPr>
                <w:rFonts w:ascii="宋体" w:hAnsi="宋体" w:hint="eastAsia"/>
                <w:szCs w:val="21"/>
              </w:rPr>
              <w:t>（五层大楼外立面）</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11</w:t>
            </w:r>
          </w:p>
        </w:tc>
      </w:tr>
      <w:tr w:rsidR="00EC75F6" w:rsidRPr="008A221C" w:rsidTr="00381D85">
        <w:trPr>
          <w:trHeight w:hRule="exact" w:val="718"/>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28wT5LED洗墙灯</w:t>
            </w:r>
          </w:p>
          <w:p w:rsidR="00EC75F6" w:rsidRPr="008A221C" w:rsidRDefault="00EC75F6" w:rsidP="00381D85">
            <w:pPr>
              <w:rPr>
                <w:rFonts w:ascii="宋体" w:hAnsi="宋体"/>
                <w:szCs w:val="21"/>
              </w:rPr>
            </w:pPr>
            <w:r w:rsidRPr="008A221C">
              <w:rPr>
                <w:rFonts w:ascii="宋体" w:hAnsi="宋体" w:hint="eastAsia"/>
                <w:szCs w:val="21"/>
              </w:rPr>
              <w:t>（五层大楼外立面）</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239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电子屏（五层大楼天台）</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套</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灯带</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87</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地埋灯</w:t>
            </w:r>
            <w:proofErr w:type="gramEnd"/>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LED白光</w:t>
            </w:r>
            <w:proofErr w:type="gramStart"/>
            <w:r w:rsidRPr="008A221C">
              <w:rPr>
                <w:rFonts w:ascii="宋体" w:hAnsi="宋体" w:hint="eastAsia"/>
                <w:szCs w:val="21"/>
              </w:rPr>
              <w:t>贴片灯</w:t>
            </w:r>
            <w:proofErr w:type="gramEnd"/>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24W洗墙灯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54.08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外青松公路（北段）</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859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134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LED座椅灯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82.72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外青松路沿线(南段）</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147</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400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LED36w投光灯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LED洗墙灯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549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94.4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11</w:t>
            </w:r>
          </w:p>
        </w:tc>
      </w:tr>
      <w:tr w:rsidR="00EC75F6" w:rsidRPr="008A221C" w:rsidTr="00381D85">
        <w:trPr>
          <w:trHeight w:hRule="exact" w:val="90"/>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7</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环城河（</w:t>
            </w:r>
            <w:proofErr w:type="gramStart"/>
            <w:r w:rsidRPr="008A221C">
              <w:rPr>
                <w:rFonts w:ascii="宋体" w:hAnsi="宋体" w:hint="eastAsia"/>
                <w:szCs w:val="21"/>
              </w:rPr>
              <w:t>观宁桥</w:t>
            </w:r>
            <w:proofErr w:type="gramEnd"/>
            <w:r w:rsidRPr="008A221C">
              <w:rPr>
                <w:rFonts w:ascii="宋体" w:hAnsi="宋体" w:hint="eastAsia"/>
                <w:szCs w:val="21"/>
              </w:rPr>
              <w:t>-新海路）</w:t>
            </w:r>
          </w:p>
        </w:tc>
        <w:tc>
          <w:tcPr>
            <w:tcW w:w="3215" w:type="dxa"/>
            <w:vMerge w:val="restart"/>
            <w:shd w:val="clear" w:color="auto" w:fill="auto"/>
            <w:vAlign w:val="center"/>
          </w:tcPr>
          <w:p w:rsidR="00EC75F6" w:rsidRPr="008A221C" w:rsidRDefault="00EC75F6" w:rsidP="00381D85">
            <w:pPr>
              <w:rPr>
                <w:rFonts w:ascii="宋体" w:hAnsi="宋体"/>
                <w:szCs w:val="21"/>
              </w:rPr>
            </w:pPr>
            <w:r w:rsidRPr="008A221C">
              <w:rPr>
                <w:rFonts w:ascii="宋体" w:hAnsi="宋体" w:hint="eastAsia"/>
                <w:szCs w:val="21"/>
              </w:rPr>
              <w:t>水晶砖灯（桥外侧）</w:t>
            </w:r>
          </w:p>
        </w:tc>
        <w:tc>
          <w:tcPr>
            <w:tcW w:w="952" w:type="dxa"/>
            <w:vMerge w:val="restart"/>
            <w:shd w:val="clear" w:color="auto" w:fill="auto"/>
            <w:vAlign w:val="center"/>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tcPr>
          <w:p w:rsidR="00EC75F6" w:rsidRPr="008A221C" w:rsidRDefault="00EC75F6" w:rsidP="00381D85">
            <w:pPr>
              <w:rPr>
                <w:rFonts w:ascii="宋体" w:hAnsi="宋体"/>
                <w:szCs w:val="21"/>
              </w:rPr>
            </w:pP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vMerge/>
            <w:shd w:val="clear" w:color="auto" w:fill="auto"/>
            <w:vAlign w:val="center"/>
            <w:hideMark/>
          </w:tcPr>
          <w:p w:rsidR="00EC75F6" w:rsidRPr="008A221C" w:rsidRDefault="00EC75F6" w:rsidP="00381D85">
            <w:pPr>
              <w:rPr>
                <w:rFonts w:ascii="宋体" w:hAnsi="宋体"/>
                <w:szCs w:val="21"/>
              </w:rPr>
            </w:pPr>
          </w:p>
        </w:tc>
        <w:tc>
          <w:tcPr>
            <w:tcW w:w="952" w:type="dxa"/>
            <w:vMerge/>
            <w:shd w:val="clear" w:color="auto" w:fill="auto"/>
            <w:vAlign w:val="center"/>
            <w:hideMark/>
          </w:tcPr>
          <w:p w:rsidR="00EC75F6" w:rsidRPr="008A221C" w:rsidRDefault="00EC75F6" w:rsidP="00381D85">
            <w:pPr>
              <w:rPr>
                <w:rFonts w:ascii="宋体" w:hAnsi="宋体"/>
                <w:szCs w:val="21"/>
              </w:rPr>
            </w:pP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520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LED射灯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143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125.04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青浦</w:t>
            </w:r>
            <w:proofErr w:type="gramStart"/>
            <w:r w:rsidRPr="008A221C">
              <w:rPr>
                <w:rFonts w:ascii="宋体" w:hAnsi="宋体" w:hint="eastAsia"/>
                <w:szCs w:val="21"/>
              </w:rPr>
              <w:t>桥区域</w:t>
            </w:r>
            <w:proofErr w:type="gramEnd"/>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洗墙灯（桥外沿）</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水下投光灯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LED灯带（桥外沿）</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300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墙壁灯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36.16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北</w:t>
            </w:r>
            <w:proofErr w:type="gramStart"/>
            <w:r w:rsidRPr="008A221C">
              <w:rPr>
                <w:rFonts w:ascii="宋体" w:hAnsi="宋体" w:hint="eastAsia"/>
                <w:szCs w:val="21"/>
              </w:rPr>
              <w:t>淀</w:t>
            </w:r>
            <w:proofErr w:type="gramEnd"/>
            <w:r w:rsidRPr="008A221C">
              <w:rPr>
                <w:rFonts w:ascii="宋体" w:hAnsi="宋体" w:hint="eastAsia"/>
                <w:szCs w:val="21"/>
              </w:rPr>
              <w:t>浦河路、环城西路健身步道景观灯光</w:t>
            </w:r>
          </w:p>
        </w:tc>
        <w:tc>
          <w:tcPr>
            <w:tcW w:w="3215"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地埋灯</w:t>
            </w:r>
            <w:proofErr w:type="gramEnd"/>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780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62.4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G50青浦城区出口景观灯光</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w:t>
            </w:r>
            <w:proofErr w:type="gramStart"/>
            <w:r w:rsidRPr="008A221C">
              <w:rPr>
                <w:rFonts w:ascii="宋体" w:hAnsi="宋体" w:hint="eastAsia"/>
                <w:szCs w:val="21"/>
              </w:rPr>
              <w:t>射树灯</w:t>
            </w:r>
            <w:proofErr w:type="gramEnd"/>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78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150W造型射灯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6.72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11</w:t>
            </w:r>
          </w:p>
        </w:tc>
        <w:tc>
          <w:tcPr>
            <w:tcW w:w="2643" w:type="dxa"/>
            <w:vMerge w:val="restart"/>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浦仓路</w:t>
            </w:r>
            <w:proofErr w:type="gramEnd"/>
            <w:r w:rsidRPr="008A221C">
              <w:rPr>
                <w:rFonts w:ascii="宋体" w:hAnsi="宋体" w:hint="eastAsia"/>
                <w:szCs w:val="21"/>
              </w:rPr>
              <w:t>人行桥及周围绿地</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LED小射灯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168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21</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LED小方灯（侨外侧）</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84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LED线条灯（桥外侧）</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400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60.48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12</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公园路（同三国道至外青松公路）</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244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368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48.96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13</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新</w:t>
            </w:r>
            <w:proofErr w:type="gramStart"/>
            <w:r w:rsidRPr="008A221C">
              <w:rPr>
                <w:rFonts w:ascii="宋体" w:hAnsi="宋体" w:hint="eastAsia"/>
                <w:szCs w:val="21"/>
              </w:rPr>
              <w:t>泾</w:t>
            </w:r>
            <w:proofErr w:type="gramEnd"/>
            <w:r w:rsidRPr="008A221C">
              <w:rPr>
                <w:rFonts w:ascii="宋体" w:hAnsi="宋体" w:hint="eastAsia"/>
                <w:szCs w:val="21"/>
              </w:rPr>
              <w:t>路（医院路至新海路）</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2.24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14</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 xml:space="preserve"> 保安路绿地</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7</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33</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15</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城中东路加油站绿地</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投光灯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37</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庭院灯（灯柱）</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4.56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3</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16</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城北大桥区域</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七彩投光灯（跨线桥外侧）</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190</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15.2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w:t>
            </w:r>
          </w:p>
        </w:tc>
      </w:tr>
      <w:tr w:rsidR="00EC75F6" w:rsidRPr="008A221C" w:rsidTr="00381D85">
        <w:trPr>
          <w:trHeight w:hRule="exact" w:val="736"/>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17</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三元河绿地（城中西路、</w:t>
            </w:r>
            <w:proofErr w:type="gramStart"/>
            <w:r w:rsidRPr="008A221C">
              <w:rPr>
                <w:rFonts w:ascii="宋体" w:hAnsi="宋体" w:hint="eastAsia"/>
                <w:szCs w:val="21"/>
              </w:rPr>
              <w:t>海盈路</w:t>
            </w:r>
            <w:proofErr w:type="gramEnd"/>
            <w:r w:rsidRPr="008A221C">
              <w:rPr>
                <w:rFonts w:ascii="宋体" w:hAnsi="宋体" w:hint="eastAsia"/>
                <w:szCs w:val="21"/>
              </w:rPr>
              <w:t>交叉口）</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58</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11</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5.52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18</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环城路永乐绿地</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草坪灯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高杆</w:t>
            </w:r>
            <w:proofErr w:type="gramEnd"/>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1.84</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454"/>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19</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万寿绿地</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12</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0.96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553"/>
          <w:tblHeader/>
          <w:jc w:val="center"/>
        </w:trPr>
        <w:tc>
          <w:tcPr>
            <w:tcW w:w="644"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20</w:t>
            </w:r>
          </w:p>
        </w:tc>
        <w:tc>
          <w:tcPr>
            <w:tcW w:w="2643" w:type="dxa"/>
            <w:vMerge w:val="restart"/>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G50青浦出口北侧绿地</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LED投光灯150W</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w:t>
            </w:r>
          </w:p>
        </w:tc>
      </w:tr>
      <w:tr w:rsidR="00EC75F6" w:rsidRPr="008A221C" w:rsidTr="00381D85">
        <w:trPr>
          <w:trHeight w:hRule="exact" w:val="626"/>
          <w:tblHeader/>
          <w:jc w:val="center"/>
        </w:trPr>
        <w:tc>
          <w:tcPr>
            <w:tcW w:w="644" w:type="dxa"/>
            <w:vMerge/>
            <w:shd w:val="clear" w:color="auto" w:fill="auto"/>
            <w:vAlign w:val="center"/>
            <w:hideMark/>
          </w:tcPr>
          <w:p w:rsidR="00EC75F6" w:rsidRPr="008A221C" w:rsidRDefault="00EC75F6" w:rsidP="00381D85">
            <w:pPr>
              <w:rPr>
                <w:rFonts w:ascii="宋体" w:hAnsi="宋体"/>
                <w:szCs w:val="21"/>
              </w:rPr>
            </w:pPr>
          </w:p>
        </w:tc>
        <w:tc>
          <w:tcPr>
            <w:tcW w:w="2643" w:type="dxa"/>
            <w:vMerge/>
            <w:shd w:val="clear" w:color="auto" w:fill="auto"/>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LED投光灯100W</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60</w:t>
            </w:r>
          </w:p>
        </w:tc>
      </w:tr>
      <w:tr w:rsidR="00EC75F6" w:rsidRPr="008A221C" w:rsidTr="00381D85">
        <w:trPr>
          <w:trHeight w:hRule="exact" w:val="517"/>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LED平板小射灯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12</w:t>
            </w:r>
          </w:p>
        </w:tc>
      </w:tr>
      <w:tr w:rsidR="00EC75F6" w:rsidRPr="008A221C" w:rsidTr="00381D85">
        <w:trPr>
          <w:trHeight w:hRule="exact" w:val="549"/>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照明供电线缆</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100米</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9.72</w:t>
            </w:r>
          </w:p>
        </w:tc>
      </w:tr>
      <w:tr w:rsidR="00EC75F6" w:rsidRPr="008A221C" w:rsidTr="00381D85">
        <w:trPr>
          <w:trHeight w:hRule="exact" w:val="571"/>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配电箱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6</w:t>
            </w:r>
          </w:p>
        </w:tc>
      </w:tr>
      <w:tr w:rsidR="00EC75F6" w:rsidRPr="008A221C" w:rsidTr="00381D85">
        <w:trPr>
          <w:trHeight w:hRule="exact" w:val="454"/>
          <w:tblHeader/>
          <w:jc w:val="center"/>
        </w:trPr>
        <w:tc>
          <w:tcPr>
            <w:tcW w:w="644" w:type="dxa"/>
            <w:vMerge/>
            <w:vAlign w:val="center"/>
            <w:hideMark/>
          </w:tcPr>
          <w:p w:rsidR="00EC75F6" w:rsidRPr="008A221C" w:rsidRDefault="00EC75F6" w:rsidP="00381D85">
            <w:pPr>
              <w:rPr>
                <w:rFonts w:ascii="宋体" w:hAnsi="宋体"/>
                <w:szCs w:val="21"/>
              </w:rPr>
            </w:pPr>
          </w:p>
        </w:tc>
        <w:tc>
          <w:tcPr>
            <w:tcW w:w="2643" w:type="dxa"/>
            <w:vMerge/>
            <w:vAlign w:val="center"/>
            <w:hideMark/>
          </w:tcPr>
          <w:p w:rsidR="00EC75F6" w:rsidRPr="008A221C" w:rsidRDefault="00EC75F6" w:rsidP="00381D85">
            <w:pPr>
              <w:rPr>
                <w:rFonts w:ascii="宋体" w:hAnsi="宋体"/>
                <w:szCs w:val="21"/>
              </w:rPr>
            </w:pP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控制箱</w:t>
            </w:r>
          </w:p>
        </w:tc>
        <w:tc>
          <w:tcPr>
            <w:tcW w:w="952"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台</w:t>
            </w:r>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w:t>
            </w:r>
          </w:p>
        </w:tc>
      </w:tr>
      <w:tr w:rsidR="00EC75F6" w:rsidRPr="008A221C" w:rsidTr="00381D85">
        <w:trPr>
          <w:trHeight w:hRule="exact" w:val="905"/>
          <w:tblHeader/>
          <w:jc w:val="center"/>
        </w:trPr>
        <w:tc>
          <w:tcPr>
            <w:tcW w:w="644"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21</w:t>
            </w:r>
          </w:p>
        </w:tc>
        <w:tc>
          <w:tcPr>
            <w:tcW w:w="2643"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汇金路（秀</w:t>
            </w:r>
            <w:proofErr w:type="gramStart"/>
            <w:r w:rsidRPr="008A221C">
              <w:rPr>
                <w:rFonts w:ascii="宋体" w:hAnsi="宋体" w:hint="eastAsia"/>
                <w:szCs w:val="21"/>
              </w:rPr>
              <w:t>泾</w:t>
            </w:r>
            <w:proofErr w:type="gramEnd"/>
            <w:r w:rsidRPr="008A221C">
              <w:rPr>
                <w:rFonts w:ascii="宋体" w:hAnsi="宋体" w:hint="eastAsia"/>
                <w:szCs w:val="21"/>
              </w:rPr>
              <w:t>路-秀泉路）两侧绿地</w:t>
            </w:r>
          </w:p>
        </w:tc>
        <w:tc>
          <w:tcPr>
            <w:tcW w:w="3215"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高杆</w:t>
            </w:r>
            <w:proofErr w:type="gramEnd"/>
            <w:r w:rsidRPr="008A221C">
              <w:rPr>
                <w:rFonts w:ascii="宋体" w:hAnsi="宋体" w:hint="eastAsia"/>
                <w:szCs w:val="21"/>
              </w:rPr>
              <w:t>（5米）太阳能照明灯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137</w:t>
            </w:r>
          </w:p>
        </w:tc>
      </w:tr>
      <w:tr w:rsidR="00EC75F6" w:rsidRPr="008A221C" w:rsidTr="00381D85">
        <w:trPr>
          <w:trHeight w:hRule="exact" w:val="862"/>
          <w:tblHeader/>
          <w:jc w:val="center"/>
        </w:trPr>
        <w:tc>
          <w:tcPr>
            <w:tcW w:w="644"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22</w:t>
            </w:r>
          </w:p>
        </w:tc>
        <w:tc>
          <w:tcPr>
            <w:tcW w:w="2643"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新城大居08、09地块（</w:t>
            </w:r>
            <w:proofErr w:type="gramStart"/>
            <w:r w:rsidRPr="008A221C">
              <w:rPr>
                <w:rFonts w:ascii="宋体" w:hAnsi="宋体" w:hint="eastAsia"/>
                <w:szCs w:val="21"/>
              </w:rPr>
              <w:t>秀禾路</w:t>
            </w:r>
            <w:proofErr w:type="gramEnd"/>
            <w:r w:rsidRPr="008A221C">
              <w:rPr>
                <w:rFonts w:ascii="宋体" w:hAnsi="宋体" w:hint="eastAsia"/>
                <w:szCs w:val="21"/>
              </w:rPr>
              <w:t>、古安路口）</w:t>
            </w:r>
          </w:p>
        </w:tc>
        <w:tc>
          <w:tcPr>
            <w:tcW w:w="3215"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太阳能庭院灯</w:t>
            </w:r>
          </w:p>
        </w:tc>
        <w:tc>
          <w:tcPr>
            <w:tcW w:w="952" w:type="dxa"/>
            <w:shd w:val="clear" w:color="auto" w:fill="auto"/>
            <w:vAlign w:val="center"/>
            <w:hideMark/>
          </w:tcPr>
          <w:p w:rsidR="00EC75F6" w:rsidRPr="008A221C" w:rsidRDefault="00EC75F6" w:rsidP="00381D85">
            <w:pPr>
              <w:rPr>
                <w:rFonts w:ascii="宋体" w:hAnsi="宋体"/>
                <w:szCs w:val="21"/>
              </w:rPr>
            </w:pPr>
            <w:proofErr w:type="gramStart"/>
            <w:r w:rsidRPr="008A221C">
              <w:rPr>
                <w:rFonts w:ascii="宋体" w:hAnsi="宋体" w:hint="eastAsia"/>
                <w:szCs w:val="21"/>
              </w:rPr>
              <w:t>盏</w:t>
            </w:r>
            <w:proofErr w:type="gramEnd"/>
          </w:p>
        </w:tc>
        <w:tc>
          <w:tcPr>
            <w:tcW w:w="1068" w:type="dxa"/>
            <w:shd w:val="clear" w:color="auto" w:fill="auto"/>
            <w:vAlign w:val="center"/>
            <w:hideMark/>
          </w:tcPr>
          <w:p w:rsidR="00EC75F6" w:rsidRPr="008A221C" w:rsidRDefault="00EC75F6" w:rsidP="00381D85">
            <w:pPr>
              <w:rPr>
                <w:rFonts w:ascii="宋体" w:hAnsi="宋体"/>
                <w:szCs w:val="21"/>
              </w:rPr>
            </w:pPr>
            <w:r w:rsidRPr="008A221C">
              <w:rPr>
                <w:rFonts w:ascii="宋体" w:hAnsi="宋体" w:hint="eastAsia"/>
                <w:szCs w:val="21"/>
              </w:rPr>
              <w:t>23</w:t>
            </w:r>
          </w:p>
        </w:tc>
      </w:tr>
    </w:tbl>
    <w:p w:rsidR="00EC75F6" w:rsidRPr="0017416B" w:rsidRDefault="00EC75F6" w:rsidP="00EC75F6">
      <w:pPr>
        <w:spacing w:line="360" w:lineRule="auto"/>
        <w:rPr>
          <w:rFonts w:hint="eastAsia"/>
        </w:rPr>
      </w:pPr>
      <w:r w:rsidRPr="008A221C">
        <w:rPr>
          <w:rFonts w:hint="eastAsia"/>
        </w:rPr>
        <w:t>★</w:t>
      </w:r>
      <w:r w:rsidRPr="0017416B">
        <w:rPr>
          <w:rFonts w:ascii="宋体" w:hAnsi="宋体" w:hint="eastAsia"/>
          <w:b/>
          <w:szCs w:val="21"/>
        </w:rPr>
        <w:t>1、投标人不得对采购人提供的《</w:t>
      </w:r>
      <w:r w:rsidRPr="0017416B">
        <w:rPr>
          <w:rFonts w:ascii="宋体" w:hAnsi="宋体"/>
          <w:b/>
          <w:szCs w:val="21"/>
        </w:rPr>
        <w:t>养护</w:t>
      </w:r>
      <w:r w:rsidRPr="0017416B">
        <w:rPr>
          <w:rFonts w:ascii="宋体" w:hAnsi="宋体" w:hint="eastAsia"/>
          <w:b/>
          <w:szCs w:val="21"/>
        </w:rPr>
        <w:t>工程量</w:t>
      </w:r>
      <w:r w:rsidRPr="0017416B">
        <w:rPr>
          <w:rFonts w:ascii="宋体" w:hAnsi="宋体"/>
          <w:b/>
          <w:szCs w:val="21"/>
        </w:rPr>
        <w:t>清单</w:t>
      </w:r>
      <w:r w:rsidRPr="0017416B">
        <w:rPr>
          <w:rFonts w:ascii="宋体" w:hAnsi="宋体" w:hint="eastAsia"/>
          <w:b/>
          <w:szCs w:val="21"/>
        </w:rPr>
        <w:t>》内工作量进行缩减，否则视为投标不响应。2、未提供或提供不全</w:t>
      </w:r>
      <w:r w:rsidRPr="0017416B">
        <w:rPr>
          <w:rFonts w:ascii="宋体" w:hAnsi="宋体"/>
          <w:b/>
          <w:szCs w:val="21"/>
        </w:rPr>
        <w:t>养护</w:t>
      </w:r>
      <w:r w:rsidRPr="0017416B">
        <w:rPr>
          <w:rFonts w:ascii="宋体" w:hAnsi="宋体" w:hint="eastAsia"/>
          <w:b/>
          <w:szCs w:val="21"/>
        </w:rPr>
        <w:t>工程量</w:t>
      </w:r>
      <w:r w:rsidRPr="0017416B">
        <w:rPr>
          <w:rFonts w:ascii="宋体" w:hAnsi="宋体"/>
          <w:b/>
          <w:szCs w:val="21"/>
        </w:rPr>
        <w:t>清单</w:t>
      </w:r>
      <w:r w:rsidRPr="0017416B">
        <w:rPr>
          <w:rFonts w:ascii="宋体" w:hAnsi="宋体" w:hint="eastAsia"/>
          <w:b/>
          <w:szCs w:val="21"/>
        </w:rPr>
        <w:t>报价表的投标文件作废标处理。</w:t>
      </w:r>
    </w:p>
    <w:p w:rsidR="00EC75F6" w:rsidRPr="008A221C" w:rsidRDefault="00EC75F6" w:rsidP="00EC75F6">
      <w:pPr>
        <w:spacing w:line="360" w:lineRule="auto"/>
        <w:ind w:firstLineChars="200" w:firstLine="480"/>
        <w:rPr>
          <w:rFonts w:ascii="宋体" w:hAnsi="宋体"/>
          <w:sz w:val="24"/>
        </w:rPr>
      </w:pP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十三、考评验收标准</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采购方有权委托</w:t>
      </w:r>
      <w:proofErr w:type="gramStart"/>
      <w:r w:rsidRPr="008A221C">
        <w:rPr>
          <w:rFonts w:ascii="宋体" w:hAnsi="宋体" w:hint="eastAsia"/>
          <w:sz w:val="24"/>
        </w:rPr>
        <w:t>其他第三</w:t>
      </w:r>
      <w:proofErr w:type="gramEnd"/>
      <w:r w:rsidRPr="008A221C">
        <w:rPr>
          <w:rFonts w:ascii="宋体" w:hAnsi="宋体" w:hint="eastAsia"/>
          <w:sz w:val="24"/>
        </w:rPr>
        <w:t>方机构根据国家、行业标准或有关规范（规定），独立实施或参与采购方组织的评定、考核、检测、验收中标单位维护工作质量的活动，中标单位必须无条件配合采购方开展相关工作</w:t>
      </w:r>
      <w:bookmarkStart w:id="4" w:name="_Toc49333641"/>
      <w:bookmarkStart w:id="5" w:name="_Toc49330211"/>
      <w:bookmarkStart w:id="6" w:name="_Toc118884546"/>
      <w:bookmarkEnd w:id="0"/>
      <w:bookmarkEnd w:id="1"/>
      <w:bookmarkEnd w:id="2"/>
      <w:r w:rsidRPr="008A221C">
        <w:rPr>
          <w:rFonts w:ascii="宋体" w:hAnsi="宋体" w:hint="eastAsia"/>
          <w:sz w:val="24"/>
        </w:rPr>
        <w:t>：</w:t>
      </w:r>
    </w:p>
    <w:tbl>
      <w:tblPr>
        <w:tblW w:w="9750" w:type="dxa"/>
        <w:jc w:val="center"/>
        <w:tblLayout w:type="fixed"/>
        <w:tblLook w:val="0000" w:firstRow="0" w:lastRow="0" w:firstColumn="0" w:lastColumn="0" w:noHBand="0" w:noVBand="0"/>
      </w:tblPr>
      <w:tblGrid>
        <w:gridCol w:w="482"/>
        <w:gridCol w:w="1275"/>
        <w:gridCol w:w="3577"/>
        <w:gridCol w:w="666"/>
        <w:gridCol w:w="3128"/>
        <w:gridCol w:w="622"/>
      </w:tblGrid>
      <w:tr w:rsidR="00EC75F6" w:rsidRPr="008A221C" w:rsidTr="00381D85">
        <w:trPr>
          <w:trHeight w:val="994"/>
          <w:tblHeader/>
          <w:jc w:val="center"/>
        </w:trPr>
        <w:tc>
          <w:tcPr>
            <w:tcW w:w="482" w:type="dxa"/>
            <w:tcBorders>
              <w:top w:val="single" w:sz="4" w:space="0" w:color="auto"/>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序号</w:t>
            </w:r>
          </w:p>
        </w:tc>
        <w:tc>
          <w:tcPr>
            <w:tcW w:w="1275" w:type="dxa"/>
            <w:tcBorders>
              <w:top w:val="single" w:sz="4" w:space="0" w:color="auto"/>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考核项目</w:t>
            </w:r>
          </w:p>
        </w:tc>
        <w:tc>
          <w:tcPr>
            <w:tcW w:w="3577" w:type="dxa"/>
            <w:tcBorders>
              <w:top w:val="single" w:sz="4" w:space="0" w:color="auto"/>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考核内容</w:t>
            </w:r>
          </w:p>
        </w:tc>
        <w:tc>
          <w:tcPr>
            <w:tcW w:w="666" w:type="dxa"/>
            <w:tcBorders>
              <w:top w:val="single" w:sz="4" w:space="0" w:color="auto"/>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分值</w:t>
            </w:r>
          </w:p>
        </w:tc>
        <w:tc>
          <w:tcPr>
            <w:tcW w:w="3128" w:type="dxa"/>
            <w:tcBorders>
              <w:top w:val="single" w:sz="4" w:space="0" w:color="auto"/>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扣分标准</w:t>
            </w:r>
          </w:p>
        </w:tc>
        <w:tc>
          <w:tcPr>
            <w:tcW w:w="622" w:type="dxa"/>
            <w:tcBorders>
              <w:top w:val="single" w:sz="4" w:space="0" w:color="auto"/>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得分</w:t>
            </w:r>
          </w:p>
        </w:tc>
      </w:tr>
      <w:tr w:rsidR="00EC75F6" w:rsidRPr="008A221C" w:rsidTr="00381D85">
        <w:trPr>
          <w:trHeight w:val="1418"/>
          <w:jc w:val="center"/>
        </w:trPr>
        <w:tc>
          <w:tcPr>
            <w:tcW w:w="48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1</w:t>
            </w:r>
          </w:p>
        </w:tc>
        <w:tc>
          <w:tcPr>
            <w:tcW w:w="1275"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制度建设和维护记录</w:t>
            </w:r>
          </w:p>
        </w:tc>
        <w:tc>
          <w:tcPr>
            <w:tcW w:w="3577"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各项制度、措施的建立和完善；巡查日志、维修日志及其他台账的建立和完善</w:t>
            </w:r>
          </w:p>
        </w:tc>
        <w:tc>
          <w:tcPr>
            <w:tcW w:w="666"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5</w:t>
            </w:r>
          </w:p>
        </w:tc>
        <w:tc>
          <w:tcPr>
            <w:tcW w:w="3128"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制度不完善、责任不明确、</w:t>
            </w:r>
            <w:proofErr w:type="gramStart"/>
            <w:r w:rsidRPr="008A221C">
              <w:rPr>
                <w:rFonts w:ascii="宋体" w:hAnsi="宋体" w:hint="eastAsia"/>
                <w:szCs w:val="21"/>
              </w:rPr>
              <w:t>各类台账</w:t>
            </w:r>
            <w:proofErr w:type="gramEnd"/>
            <w:r w:rsidRPr="008A221C">
              <w:rPr>
                <w:rFonts w:ascii="宋体" w:hAnsi="宋体" w:hint="eastAsia"/>
                <w:szCs w:val="21"/>
              </w:rPr>
              <w:t>模糊不清，整改不到位的，每发现一起、扣1分。</w:t>
            </w:r>
          </w:p>
        </w:tc>
        <w:tc>
          <w:tcPr>
            <w:tcW w:w="622"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958"/>
          <w:jc w:val="center"/>
        </w:trPr>
        <w:tc>
          <w:tcPr>
            <w:tcW w:w="48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lastRenderedPageBreak/>
              <w:t>2</w:t>
            </w:r>
          </w:p>
        </w:tc>
        <w:tc>
          <w:tcPr>
            <w:tcW w:w="1275" w:type="dxa"/>
            <w:vMerge w:val="restart"/>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维护指标</w:t>
            </w:r>
          </w:p>
        </w:tc>
        <w:tc>
          <w:tcPr>
            <w:tcW w:w="3577"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亮灯率达到98%以上；</w:t>
            </w:r>
          </w:p>
        </w:tc>
        <w:tc>
          <w:tcPr>
            <w:tcW w:w="666"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25</w:t>
            </w:r>
          </w:p>
        </w:tc>
        <w:tc>
          <w:tcPr>
            <w:tcW w:w="3128"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检查景观灯亮灯情况，每下降一个百分点、扣1分。</w:t>
            </w:r>
          </w:p>
        </w:tc>
        <w:tc>
          <w:tcPr>
            <w:tcW w:w="622"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630"/>
          <w:jc w:val="center"/>
        </w:trPr>
        <w:tc>
          <w:tcPr>
            <w:tcW w:w="48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3</w:t>
            </w:r>
          </w:p>
        </w:tc>
        <w:tc>
          <w:tcPr>
            <w:tcW w:w="1275" w:type="dxa"/>
            <w:vMerge/>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p>
        </w:tc>
        <w:tc>
          <w:tcPr>
            <w:tcW w:w="3577"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设施整洁率95%以上；</w:t>
            </w:r>
          </w:p>
        </w:tc>
        <w:tc>
          <w:tcPr>
            <w:tcW w:w="666"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25</w:t>
            </w:r>
          </w:p>
        </w:tc>
        <w:tc>
          <w:tcPr>
            <w:tcW w:w="3128"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检查设施外观是否整洁，每下降一个百分点、扣0.5分。</w:t>
            </w:r>
          </w:p>
        </w:tc>
        <w:tc>
          <w:tcPr>
            <w:tcW w:w="622"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1183"/>
          <w:jc w:val="center"/>
        </w:trPr>
        <w:tc>
          <w:tcPr>
            <w:tcW w:w="48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4</w:t>
            </w:r>
          </w:p>
        </w:tc>
        <w:tc>
          <w:tcPr>
            <w:tcW w:w="1275" w:type="dxa"/>
            <w:vMerge/>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p>
        </w:tc>
        <w:tc>
          <w:tcPr>
            <w:tcW w:w="3577"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设施完好率98%以上；</w:t>
            </w:r>
          </w:p>
        </w:tc>
        <w:tc>
          <w:tcPr>
            <w:tcW w:w="666"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25</w:t>
            </w:r>
          </w:p>
        </w:tc>
        <w:tc>
          <w:tcPr>
            <w:tcW w:w="3128"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检查有无破损、坠落、松动、裸露等现象，每下降一个百分点、扣0.5分</w:t>
            </w:r>
          </w:p>
        </w:tc>
        <w:tc>
          <w:tcPr>
            <w:tcW w:w="622"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1038"/>
          <w:jc w:val="center"/>
        </w:trPr>
        <w:tc>
          <w:tcPr>
            <w:tcW w:w="48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5</w:t>
            </w:r>
          </w:p>
        </w:tc>
        <w:tc>
          <w:tcPr>
            <w:tcW w:w="1275" w:type="dxa"/>
            <w:vMerge w:val="restart"/>
            <w:tcBorders>
              <w:top w:val="nil"/>
              <w:left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故障处置</w:t>
            </w:r>
          </w:p>
        </w:tc>
        <w:tc>
          <w:tcPr>
            <w:tcW w:w="3577"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需白天开灯检修，必须提前报甲方同意后实施。</w:t>
            </w:r>
          </w:p>
        </w:tc>
        <w:tc>
          <w:tcPr>
            <w:tcW w:w="666"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5</w:t>
            </w:r>
          </w:p>
        </w:tc>
        <w:tc>
          <w:tcPr>
            <w:tcW w:w="3128"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每发现一次未达要求扣0.5分</w:t>
            </w:r>
          </w:p>
        </w:tc>
        <w:tc>
          <w:tcPr>
            <w:tcW w:w="62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274"/>
          <w:jc w:val="center"/>
        </w:trPr>
        <w:tc>
          <w:tcPr>
            <w:tcW w:w="482" w:type="dxa"/>
            <w:tcBorders>
              <w:top w:val="single" w:sz="4" w:space="0" w:color="auto"/>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6</w:t>
            </w:r>
          </w:p>
        </w:tc>
        <w:tc>
          <w:tcPr>
            <w:tcW w:w="1275" w:type="dxa"/>
            <w:vMerge/>
            <w:tcBorders>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p>
        </w:tc>
        <w:tc>
          <w:tcPr>
            <w:tcW w:w="3577" w:type="dxa"/>
            <w:tcBorders>
              <w:top w:val="single" w:sz="4" w:space="0" w:color="auto"/>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接到甲方指令30分钟内到达指定现场、简易故障3小时内修复、一般故障48小时内修复、重大故障5日内修复。</w:t>
            </w:r>
          </w:p>
        </w:tc>
        <w:tc>
          <w:tcPr>
            <w:tcW w:w="666" w:type="dxa"/>
            <w:tcBorders>
              <w:top w:val="single" w:sz="4" w:space="0" w:color="auto"/>
              <w:left w:val="single" w:sz="4" w:space="0" w:color="auto"/>
              <w:bottom w:val="single" w:sz="4" w:space="0" w:color="000000"/>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5</w:t>
            </w:r>
          </w:p>
        </w:tc>
        <w:tc>
          <w:tcPr>
            <w:tcW w:w="3128" w:type="dxa"/>
            <w:tcBorders>
              <w:top w:val="single" w:sz="4" w:space="0" w:color="auto"/>
              <w:left w:val="single" w:sz="4" w:space="0" w:color="auto"/>
              <w:bottom w:val="single" w:sz="4" w:space="0" w:color="000000"/>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每发现一次未达要求扣0.5分</w:t>
            </w:r>
          </w:p>
        </w:tc>
        <w:tc>
          <w:tcPr>
            <w:tcW w:w="622" w:type="dxa"/>
            <w:tcBorders>
              <w:top w:val="single" w:sz="4" w:space="0" w:color="auto"/>
              <w:left w:val="single" w:sz="4" w:space="0" w:color="auto"/>
              <w:bottom w:val="single" w:sz="4" w:space="0" w:color="000000"/>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1141"/>
          <w:jc w:val="center"/>
        </w:trPr>
        <w:tc>
          <w:tcPr>
            <w:tcW w:w="48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7</w:t>
            </w:r>
          </w:p>
        </w:tc>
        <w:tc>
          <w:tcPr>
            <w:tcW w:w="1275" w:type="dxa"/>
            <w:vMerge w:val="restart"/>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安全维护工作</w:t>
            </w:r>
          </w:p>
        </w:tc>
        <w:tc>
          <w:tcPr>
            <w:tcW w:w="3577" w:type="dxa"/>
            <w:tcBorders>
              <w:top w:val="nil"/>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维护作业必须设置安全隔离标识、要求2人及以上操作、佩戴安全防护装备并持证上岗。</w:t>
            </w:r>
          </w:p>
        </w:tc>
        <w:tc>
          <w:tcPr>
            <w:tcW w:w="666"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5</w:t>
            </w:r>
          </w:p>
        </w:tc>
        <w:tc>
          <w:tcPr>
            <w:tcW w:w="3128" w:type="dxa"/>
            <w:vMerge w:val="restart"/>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每发现一次未达要求扣1分</w:t>
            </w:r>
          </w:p>
        </w:tc>
        <w:tc>
          <w:tcPr>
            <w:tcW w:w="622" w:type="dxa"/>
            <w:vMerge w:val="restart"/>
            <w:tcBorders>
              <w:top w:val="nil"/>
              <w:left w:val="single" w:sz="4" w:space="0" w:color="auto"/>
              <w:bottom w:val="single" w:sz="4" w:space="0" w:color="000000"/>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1184"/>
          <w:jc w:val="center"/>
        </w:trPr>
        <w:tc>
          <w:tcPr>
            <w:tcW w:w="482" w:type="dxa"/>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8</w:t>
            </w:r>
          </w:p>
        </w:tc>
        <w:tc>
          <w:tcPr>
            <w:tcW w:w="1275" w:type="dxa"/>
            <w:vMerge/>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p>
        </w:tc>
        <w:tc>
          <w:tcPr>
            <w:tcW w:w="3577" w:type="dxa"/>
            <w:tcBorders>
              <w:top w:val="single" w:sz="4" w:space="0" w:color="auto"/>
              <w:left w:val="nil"/>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更换的各类配件需经国家、行业相关质量、安全认证。</w:t>
            </w:r>
          </w:p>
        </w:tc>
        <w:tc>
          <w:tcPr>
            <w:tcW w:w="666" w:type="dxa"/>
            <w:tcBorders>
              <w:top w:val="single" w:sz="4" w:space="0" w:color="auto"/>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5</w:t>
            </w:r>
          </w:p>
        </w:tc>
        <w:tc>
          <w:tcPr>
            <w:tcW w:w="3128" w:type="dxa"/>
            <w:vMerge/>
            <w:tcBorders>
              <w:top w:val="nil"/>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p>
        </w:tc>
        <w:tc>
          <w:tcPr>
            <w:tcW w:w="622" w:type="dxa"/>
            <w:vMerge/>
            <w:tcBorders>
              <w:top w:val="nil"/>
              <w:left w:val="single" w:sz="4" w:space="0" w:color="auto"/>
              <w:bottom w:val="single" w:sz="4" w:space="0" w:color="000000"/>
              <w:right w:val="single" w:sz="4" w:space="0" w:color="auto"/>
            </w:tcBorders>
            <w:vAlign w:val="center"/>
          </w:tcPr>
          <w:p w:rsidR="00EC75F6" w:rsidRPr="008A221C" w:rsidRDefault="00EC75F6" w:rsidP="00381D85">
            <w:pPr>
              <w:rPr>
                <w:rFonts w:ascii="宋体" w:hAnsi="宋体"/>
                <w:szCs w:val="21"/>
              </w:rPr>
            </w:pPr>
          </w:p>
        </w:tc>
      </w:tr>
      <w:tr w:rsidR="00EC75F6" w:rsidRPr="008A221C" w:rsidTr="00381D85">
        <w:trPr>
          <w:trHeight w:val="1346"/>
          <w:jc w:val="center"/>
        </w:trPr>
        <w:tc>
          <w:tcPr>
            <w:tcW w:w="9750" w:type="dxa"/>
            <w:gridSpan w:val="6"/>
            <w:tcBorders>
              <w:top w:val="single" w:sz="4" w:space="0" w:color="auto"/>
              <w:left w:val="single" w:sz="4" w:space="0" w:color="auto"/>
              <w:bottom w:val="single" w:sz="4" w:space="0" w:color="auto"/>
              <w:right w:val="single" w:sz="4" w:space="0" w:color="auto"/>
            </w:tcBorders>
            <w:vAlign w:val="center"/>
          </w:tcPr>
          <w:p w:rsidR="00EC75F6" w:rsidRPr="008A221C" w:rsidRDefault="00EC75F6" w:rsidP="00381D85">
            <w:pPr>
              <w:rPr>
                <w:rFonts w:ascii="宋体" w:hAnsi="宋体"/>
                <w:szCs w:val="21"/>
              </w:rPr>
            </w:pPr>
            <w:r w:rsidRPr="008A221C">
              <w:rPr>
                <w:rFonts w:ascii="宋体" w:hAnsi="宋体" w:hint="eastAsia"/>
                <w:szCs w:val="21"/>
              </w:rPr>
              <w:t xml:space="preserve">    维护经费支付标准：每阶段考核评分在90分以上、全额支</w:t>
            </w:r>
            <w:proofErr w:type="gramStart"/>
            <w:r w:rsidRPr="008A221C">
              <w:rPr>
                <w:rFonts w:ascii="宋体" w:hAnsi="宋体" w:hint="eastAsia"/>
                <w:szCs w:val="21"/>
              </w:rPr>
              <w:t>付本</w:t>
            </w:r>
            <w:proofErr w:type="gramEnd"/>
            <w:r w:rsidRPr="008A221C">
              <w:rPr>
                <w:rFonts w:ascii="宋体" w:hAnsi="宋体" w:hint="eastAsia"/>
                <w:szCs w:val="21"/>
              </w:rPr>
              <w:t>阶段考核经费；评分在89分—85分之间、扣除5%经费；评分在84分—80分之间、扣除10%经费；评分在79分—75分之间、扣除15%经费；每阶段考核评分在74分以下，直接扣除本阶段50%经费。</w:t>
            </w:r>
          </w:p>
        </w:tc>
      </w:tr>
    </w:tbl>
    <w:p w:rsidR="00EC75F6" w:rsidRPr="008A221C" w:rsidRDefault="00EC75F6" w:rsidP="00EC75F6">
      <w:pPr>
        <w:rPr>
          <w:rFonts w:ascii="宋体" w:hAnsi="宋体"/>
        </w:rPr>
      </w:pPr>
    </w:p>
    <w:p w:rsidR="00EC75F6" w:rsidRPr="008A221C" w:rsidRDefault="00EC75F6" w:rsidP="00EC75F6">
      <w:pPr>
        <w:rPr>
          <w:rFonts w:ascii="宋体" w:hAnsi="宋体"/>
        </w:rPr>
      </w:pPr>
    </w:p>
    <w:p w:rsidR="00EC75F6" w:rsidRPr="008A221C" w:rsidRDefault="00EC75F6" w:rsidP="00EC75F6">
      <w:pPr>
        <w:spacing w:line="360" w:lineRule="auto"/>
        <w:ind w:firstLineChars="200" w:firstLine="482"/>
        <w:rPr>
          <w:rFonts w:ascii="宋体" w:hAnsi="宋体"/>
          <w:b/>
          <w:sz w:val="24"/>
        </w:rPr>
      </w:pPr>
      <w:r w:rsidRPr="008A221C">
        <w:rPr>
          <w:rFonts w:ascii="宋体" w:hAnsi="宋体" w:hint="eastAsia"/>
          <w:b/>
          <w:sz w:val="24"/>
        </w:rPr>
        <w:t>十四、</w:t>
      </w:r>
      <w:r w:rsidRPr="008A221C">
        <w:rPr>
          <w:rFonts w:ascii="宋体" w:hAnsi="宋体"/>
          <w:b/>
          <w:sz w:val="24"/>
        </w:rPr>
        <w:t>安全、文明施工</w:t>
      </w:r>
      <w:bookmarkEnd w:id="4"/>
      <w:bookmarkEnd w:id="5"/>
      <w:r w:rsidRPr="008A221C">
        <w:rPr>
          <w:rFonts w:ascii="宋体" w:hAnsi="宋体"/>
          <w:b/>
          <w:sz w:val="24"/>
        </w:rPr>
        <w:t>、环境保护</w:t>
      </w:r>
      <w:bookmarkEnd w:id="6"/>
    </w:p>
    <w:p w:rsidR="00EC75F6" w:rsidRPr="008A221C" w:rsidRDefault="00EC75F6" w:rsidP="00EC75F6">
      <w:pPr>
        <w:spacing w:line="360" w:lineRule="auto"/>
        <w:ind w:firstLineChars="200" w:firstLine="480"/>
        <w:rPr>
          <w:rFonts w:ascii="宋体" w:hAnsi="宋体"/>
          <w:sz w:val="24"/>
        </w:rPr>
      </w:pPr>
      <w:bookmarkStart w:id="7" w:name="_Toc49330212"/>
      <w:bookmarkStart w:id="8" w:name="_Toc118884547"/>
      <w:bookmarkStart w:id="9" w:name="_Toc49333642"/>
      <w:r w:rsidRPr="008A221C">
        <w:rPr>
          <w:rFonts w:ascii="宋体" w:hAnsi="宋体" w:hint="eastAsia"/>
          <w:sz w:val="24"/>
        </w:rPr>
        <w:t>1、中标单位项目实施期间须确保作业区域周围环境的整洁和交通正常进行，投标人必须按照上海市人民政府和上海市交通委员会有关规定结合本项目的特点，在投标书中明确安全生产具体措施，在施工过程中必须严格执行国家与地方政府的环境保护政策、法规和法律，严格遵守上海市有关建设工程文明施工管理的规定，积极主动落实安全文明及环境保护施工的管理和考核等有关工作，严格履行采购人关于现场临时设施及施工区域企业标识要求，承担文明施工措施的费</w:t>
      </w:r>
      <w:r w:rsidRPr="008A221C">
        <w:rPr>
          <w:rFonts w:ascii="宋体" w:hAnsi="宋体" w:hint="eastAsia"/>
          <w:sz w:val="24"/>
        </w:rPr>
        <w:lastRenderedPageBreak/>
        <w:t>用；</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2、中标单位应遵循国家和上海市人民政府有关安全生产和安全文明施工的要求，加强和做好安全文明养护、维修施工管理工作，并按规定承担相应的费用。</w:t>
      </w:r>
      <w:r w:rsidRPr="008A221C">
        <w:rPr>
          <w:rFonts w:ascii="宋体" w:hAnsi="宋体"/>
          <w:sz w:val="24"/>
        </w:rPr>
        <w:t xml:space="preserve"> </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3、中标单位应根据有关规范标准，严密组织，精心施工，做到：</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3.1满足自身和周边交通组织的需要；</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3.2无管线事故、无重大伤亡事故，施工现场道路平整无积水；</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3.3环境影响要确保最小化；</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3.4现场材料堆放整齐，生活设施清洁，周边环境文明；</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3.5清洁运输；</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3.6减少对沿线单位、市民的工作、生活和出行的影响；</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3.7服从采购方的统一协调，做到文明施工、安全管理；</w:t>
      </w:r>
      <w:r w:rsidRPr="008A221C">
        <w:rPr>
          <w:rFonts w:ascii="宋体" w:hAnsi="宋体"/>
          <w:sz w:val="24"/>
        </w:rPr>
        <w:t xml:space="preserve"> </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4、中标单位在项目实施期间，必须配备专职安全员，建立安全养护、维修和动用明火申请批准制度，配备必要的安全设施和消防器材，经单位安全部门批准后，送采购单位备案；</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5、中标单位在项目实施期间，必须建立安全用电制度，确保施工用电设备的完好，并设置好漏电保护装置等，杜绝施工用电事故的发生；</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6、中标单位在与采购方签订项目合同的同时要签订安全管理协议、治安消防协议、廉政协议，中标单位若违反规定，实施野蛮施工、违章作业等，采购单位有权限令停工整改，一切损失由中标单位承担；</w:t>
      </w:r>
    </w:p>
    <w:p w:rsidR="00EC75F6" w:rsidRPr="008A221C" w:rsidRDefault="00EC75F6" w:rsidP="00EC75F6">
      <w:pPr>
        <w:spacing w:line="360" w:lineRule="auto"/>
        <w:ind w:firstLineChars="200" w:firstLine="480"/>
        <w:rPr>
          <w:rFonts w:ascii="宋体" w:hAnsi="宋体"/>
          <w:sz w:val="24"/>
        </w:rPr>
      </w:pPr>
      <w:r w:rsidRPr="008A221C">
        <w:rPr>
          <w:rFonts w:ascii="宋体" w:hAnsi="宋体" w:hint="eastAsia"/>
          <w:sz w:val="24"/>
        </w:rPr>
        <w:t>7、各投标人在投标文件中要结合本项目在道路上实施的特点和采购单位上述的具体要求，制定相应的文明施工和安全生产管理措施，一旦中标须购买项目实施人员人身意外保险。</w:t>
      </w:r>
      <w:bookmarkEnd w:id="7"/>
      <w:bookmarkEnd w:id="8"/>
      <w:bookmarkEnd w:id="9"/>
    </w:p>
    <w:p w:rsidR="00EA506D" w:rsidRPr="00EC75F6" w:rsidRDefault="00EA506D"/>
    <w:sectPr w:rsidR="00EA506D" w:rsidRPr="00EC7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0E28"/>
    <w:multiLevelType w:val="hybridMultilevel"/>
    <w:tmpl w:val="80B401BA"/>
    <w:lvl w:ilvl="0" w:tplc="FFFFFFFF">
      <w:start w:val="1"/>
      <w:numFmt w:val="japaneseCounting"/>
      <w:lvlText w:val="%1、"/>
      <w:lvlJc w:val="left"/>
      <w:pPr>
        <w:ind w:left="870" w:hanging="450"/>
      </w:pPr>
      <w:rPr>
        <w:rFonts w:hAnsi="宋体"/>
      </w:rPr>
    </w:lvl>
    <w:lvl w:ilvl="1" w:tplc="FFFFFFFF">
      <w:start w:val="1"/>
      <w:numFmt w:val="decimal"/>
      <w:lvlText w:val="%2."/>
      <w:lvlJc w:val="left"/>
      <w:pPr>
        <w:tabs>
          <w:tab w:val="num" w:pos="1860"/>
        </w:tabs>
        <w:ind w:left="1860" w:hanging="360"/>
      </w:pPr>
    </w:lvl>
    <w:lvl w:ilvl="2" w:tplc="FFFFFFFF">
      <w:start w:val="1"/>
      <w:numFmt w:val="decimal"/>
      <w:lvlText w:val="%3."/>
      <w:lvlJc w:val="left"/>
      <w:pPr>
        <w:tabs>
          <w:tab w:val="num" w:pos="2580"/>
        </w:tabs>
        <w:ind w:left="2580" w:hanging="360"/>
      </w:pPr>
    </w:lvl>
    <w:lvl w:ilvl="3" w:tplc="FFFFFFFF">
      <w:start w:val="1"/>
      <w:numFmt w:val="decimal"/>
      <w:lvlText w:val="%4."/>
      <w:lvlJc w:val="left"/>
      <w:pPr>
        <w:tabs>
          <w:tab w:val="num" w:pos="3300"/>
        </w:tabs>
        <w:ind w:left="3300" w:hanging="360"/>
      </w:pPr>
    </w:lvl>
    <w:lvl w:ilvl="4" w:tplc="FFFFFFFF">
      <w:start w:val="1"/>
      <w:numFmt w:val="decimal"/>
      <w:lvlText w:val="%5."/>
      <w:lvlJc w:val="left"/>
      <w:pPr>
        <w:tabs>
          <w:tab w:val="num" w:pos="4020"/>
        </w:tabs>
        <w:ind w:left="4020" w:hanging="360"/>
      </w:pPr>
    </w:lvl>
    <w:lvl w:ilvl="5" w:tplc="FFFFFFFF">
      <w:start w:val="1"/>
      <w:numFmt w:val="decimal"/>
      <w:lvlText w:val="%6."/>
      <w:lvlJc w:val="left"/>
      <w:pPr>
        <w:tabs>
          <w:tab w:val="num" w:pos="4740"/>
        </w:tabs>
        <w:ind w:left="4740" w:hanging="360"/>
      </w:pPr>
    </w:lvl>
    <w:lvl w:ilvl="6" w:tplc="FFFFFFFF">
      <w:start w:val="1"/>
      <w:numFmt w:val="decimal"/>
      <w:lvlText w:val="%7."/>
      <w:lvlJc w:val="left"/>
      <w:pPr>
        <w:tabs>
          <w:tab w:val="num" w:pos="5460"/>
        </w:tabs>
        <w:ind w:left="5460" w:hanging="360"/>
      </w:pPr>
    </w:lvl>
    <w:lvl w:ilvl="7" w:tplc="FFFFFFFF">
      <w:start w:val="1"/>
      <w:numFmt w:val="decimal"/>
      <w:lvlText w:val="%8."/>
      <w:lvlJc w:val="left"/>
      <w:pPr>
        <w:tabs>
          <w:tab w:val="num" w:pos="6180"/>
        </w:tabs>
        <w:ind w:left="6180" w:hanging="360"/>
      </w:pPr>
    </w:lvl>
    <w:lvl w:ilvl="8" w:tplc="FFFFFFFF">
      <w:start w:val="1"/>
      <w:numFmt w:val="decimal"/>
      <w:lvlText w:val="%9."/>
      <w:lvlJc w:val="left"/>
      <w:pPr>
        <w:tabs>
          <w:tab w:val="num" w:pos="6900"/>
        </w:tabs>
        <w:ind w:left="6900" w:hanging="360"/>
      </w:pPr>
    </w:lvl>
  </w:abstractNum>
  <w:abstractNum w:abstractNumId="1" w15:restartNumberingAfterBreak="0">
    <w:nsid w:val="2F5F1C38"/>
    <w:multiLevelType w:val="multilevel"/>
    <w:tmpl w:val="2F5F1C38"/>
    <w:lvl w:ilvl="0">
      <w:start w:val="1"/>
      <w:numFmt w:val="decimal"/>
      <w:lvlText w:val="%1、"/>
      <w:lvlJc w:val="left"/>
      <w:pPr>
        <w:ind w:left="2056" w:hanging="7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5F6"/>
    <w:rsid w:val="00EA506D"/>
    <w:rsid w:val="00EC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46A5"/>
  <w15:chartTrackingRefBased/>
  <w15:docId w15:val="{99A99ECD-7677-4190-88C7-FE0CAACD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C75F6"/>
    <w:pPr>
      <w:widowControl w:val="0"/>
      <w:jc w:val="both"/>
    </w:pPr>
    <w:rPr>
      <w:rFonts w:ascii="Times New Roman" w:eastAsia="宋体" w:hAnsi="Times New Roman" w:cs="Times New Roman"/>
      <w:szCs w:val="24"/>
    </w:rPr>
  </w:style>
  <w:style w:type="paragraph" w:styleId="2">
    <w:name w:val="heading 2"/>
    <w:basedOn w:val="a"/>
    <w:next w:val="a1"/>
    <w:link w:val="20"/>
    <w:qFormat/>
    <w:rsid w:val="00EC75F6"/>
    <w:pPr>
      <w:keepNext/>
      <w:keepLines/>
      <w:spacing w:before="260" w:after="260" w:line="416" w:lineRule="auto"/>
      <w:outlineLvl w:val="1"/>
    </w:pPr>
    <w:rPr>
      <w:b/>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标题 2 字符"/>
    <w:basedOn w:val="a2"/>
    <w:link w:val="2"/>
    <w:rsid w:val="00EC75F6"/>
    <w:rPr>
      <w:rFonts w:ascii="Times New Roman" w:eastAsia="宋体" w:hAnsi="Times New Roman" w:cs="Times New Roman"/>
      <w:b/>
      <w:sz w:val="32"/>
      <w:szCs w:val="20"/>
    </w:rPr>
  </w:style>
  <w:style w:type="paragraph" w:customStyle="1" w:styleId="a0">
    <w:name w:val="表格文字"/>
    <w:next w:val="a5"/>
    <w:link w:val="Char"/>
    <w:qFormat/>
    <w:rsid w:val="00EC75F6"/>
    <w:pPr>
      <w:widowControl w:val="0"/>
      <w:adjustRightInd w:val="0"/>
      <w:spacing w:line="420" w:lineRule="atLeast"/>
      <w:textAlignment w:val="baseline"/>
    </w:pPr>
    <w:rPr>
      <w:rFonts w:ascii="Times New Roman" w:eastAsia="宋体" w:hAnsi="Times New Roman" w:cs="Times New Roman"/>
      <w:kern w:val="0"/>
      <w:szCs w:val="20"/>
    </w:rPr>
  </w:style>
  <w:style w:type="paragraph" w:styleId="a5">
    <w:name w:val="Body Text"/>
    <w:basedOn w:val="a"/>
    <w:link w:val="a6"/>
    <w:qFormat/>
    <w:rsid w:val="00EC75F6"/>
    <w:pPr>
      <w:widowControl/>
      <w:spacing w:line="320" w:lineRule="atLeast"/>
    </w:pPr>
    <w:rPr>
      <w:rFonts w:eastAsia="隶书"/>
      <w:b/>
      <w:kern w:val="0"/>
      <w:sz w:val="44"/>
      <w:szCs w:val="20"/>
    </w:rPr>
  </w:style>
  <w:style w:type="character" w:customStyle="1" w:styleId="a6">
    <w:name w:val="正文文本 字符"/>
    <w:basedOn w:val="a2"/>
    <w:link w:val="a5"/>
    <w:qFormat/>
    <w:rsid w:val="00EC75F6"/>
    <w:rPr>
      <w:rFonts w:ascii="Times New Roman" w:eastAsia="隶书" w:hAnsi="Times New Roman" w:cs="Times New Roman"/>
      <w:b/>
      <w:kern w:val="0"/>
      <w:sz w:val="44"/>
      <w:szCs w:val="20"/>
    </w:rPr>
  </w:style>
  <w:style w:type="character" w:customStyle="1" w:styleId="Char">
    <w:name w:val="表格文字 Char"/>
    <w:link w:val="a0"/>
    <w:rsid w:val="00EC75F6"/>
    <w:rPr>
      <w:rFonts w:ascii="Times New Roman" w:eastAsia="宋体" w:hAnsi="Times New Roman" w:cs="Times New Roman"/>
      <w:kern w:val="0"/>
      <w:szCs w:val="20"/>
    </w:rPr>
  </w:style>
  <w:style w:type="paragraph" w:styleId="a1">
    <w:name w:val="Normal Indent"/>
    <w:basedOn w:val="a"/>
    <w:link w:val="a7"/>
    <w:qFormat/>
    <w:rsid w:val="00EC75F6"/>
    <w:pPr>
      <w:ind w:firstLine="425"/>
    </w:pPr>
    <w:rPr>
      <w:szCs w:val="20"/>
    </w:rPr>
  </w:style>
  <w:style w:type="character" w:customStyle="1" w:styleId="a7">
    <w:name w:val="正文缩进 字符"/>
    <w:link w:val="a1"/>
    <w:rsid w:val="00EC75F6"/>
    <w:rPr>
      <w:rFonts w:ascii="Times New Roman" w:eastAsia="宋体" w:hAnsi="Times New Roman" w:cs="Times New Roman"/>
      <w:szCs w:val="20"/>
    </w:rPr>
  </w:style>
  <w:style w:type="paragraph" w:styleId="a8">
    <w:name w:val="Plain Text"/>
    <w:aliases w:val="普通文字 Char,纯文本 Char Char,普通文字 Char Char,普通文字,普通文字 Char Char Char Char,纯文本 Char Char Char Char Char,纯文本 Char Char Char Char,纯文本 Char Char Char Char Char Char Char,纯文本 Char Char Char Char Char Char Char Char Char Char Char Char,正 文 1"/>
    <w:basedOn w:val="a"/>
    <w:link w:val="1"/>
    <w:uiPriority w:val="99"/>
    <w:qFormat/>
    <w:rsid w:val="00EC75F6"/>
    <w:rPr>
      <w:rFonts w:ascii="宋体" w:hAnsi="Courier New"/>
      <w:szCs w:val="20"/>
    </w:rPr>
  </w:style>
  <w:style w:type="character" w:customStyle="1" w:styleId="a9">
    <w:name w:val="纯文本 字符"/>
    <w:basedOn w:val="a2"/>
    <w:uiPriority w:val="99"/>
    <w:qFormat/>
    <w:rsid w:val="00EC75F6"/>
    <w:rPr>
      <w:rFonts w:asciiTheme="minorEastAsia" w:hAnsi="Courier New" w:cs="Courier New"/>
      <w:szCs w:val="24"/>
    </w:rPr>
  </w:style>
  <w:style w:type="character" w:customStyle="1" w:styleId="1">
    <w:name w:val="纯文本 字符1"/>
    <w:aliases w:val="普通文字 Char 字符,纯文本 Char Char 字符,普通文字 Char Char 字符,普通文字 字符,普通文字 Char Char Char Char 字符,纯文本 Char Char Char Char Char 字符,纯文本 Char Char Char Char 字符,纯文本 Char Char Char Char Char Char Char 字符,正 文 1 字符"/>
    <w:link w:val="a8"/>
    <w:uiPriority w:val="99"/>
    <w:qFormat/>
    <w:rsid w:val="00EC75F6"/>
    <w:rPr>
      <w:rFonts w:ascii="宋体" w:eastAsia="宋体" w:hAnsi="Courier New" w:cs="Times New Roman"/>
      <w:szCs w:val="20"/>
    </w:rPr>
  </w:style>
  <w:style w:type="paragraph" w:styleId="aa">
    <w:name w:val="Normal (Web)"/>
    <w:basedOn w:val="a"/>
    <w:qFormat/>
    <w:rsid w:val="00EC75F6"/>
    <w:pPr>
      <w:widowControl/>
      <w:spacing w:before="100" w:beforeAutospacing="1" w:after="100" w:afterAutospacing="1"/>
      <w:jc w:val="left"/>
    </w:pPr>
    <w:rPr>
      <w:rFonts w:ascii="宋体" w:hAnsi="宋体" w:cs="宋体"/>
      <w:kern w:val="0"/>
      <w:sz w:val="24"/>
    </w:rPr>
  </w:style>
  <w:style w:type="character" w:styleId="ab">
    <w:name w:val="Hyperlink"/>
    <w:basedOn w:val="a2"/>
    <w:uiPriority w:val="99"/>
    <w:qFormat/>
    <w:rsid w:val="00EC75F6"/>
    <w:rPr>
      <w:rFonts w:ascii="宋体" w:eastAsia="宋体" w:hAnsi="宋体" w:cs="宋体" w:hint="eastAsia"/>
      <w:color w:val="0033CC"/>
      <w:sz w:val="18"/>
      <w:szCs w:val="18"/>
      <w:u w:val="none"/>
    </w:rPr>
  </w:style>
  <w:style w:type="paragraph" w:styleId="ac">
    <w:name w:val="List Paragraph"/>
    <w:basedOn w:val="a"/>
    <w:link w:val="ad"/>
    <w:uiPriority w:val="1"/>
    <w:qFormat/>
    <w:rsid w:val="00EC75F6"/>
    <w:pPr>
      <w:ind w:firstLineChars="200" w:firstLine="420"/>
    </w:pPr>
    <w:rPr>
      <w:rFonts w:ascii="Calibri" w:hAnsi="Calibri"/>
      <w:szCs w:val="22"/>
    </w:rPr>
  </w:style>
  <w:style w:type="character" w:customStyle="1" w:styleId="ad">
    <w:name w:val="列出段落 字符"/>
    <w:link w:val="ac"/>
    <w:uiPriority w:val="1"/>
    <w:qFormat/>
    <w:locked/>
    <w:rsid w:val="00EC75F6"/>
    <w:rPr>
      <w:rFonts w:ascii="Calibri" w:eastAsia="宋体" w:hAnsi="Calibri" w:cs="Times New Roman"/>
    </w:rPr>
  </w:style>
  <w:style w:type="character" w:customStyle="1" w:styleId="ae">
    <w:name w:val="样式 (西文) 宋体 小四 黑色"/>
    <w:qFormat/>
    <w:rsid w:val="00EC75F6"/>
    <w:rPr>
      <w:rFonts w:ascii="宋体" w:eastAsia="宋体" w:hAnsi="宋体" w:hint="eastAsia"/>
      <w:color w:val="000000"/>
      <w:sz w:val="21"/>
    </w:rPr>
  </w:style>
  <w:style w:type="character" w:customStyle="1" w:styleId="Char1">
    <w:name w:val="标题 Char1"/>
    <w:rsid w:val="00EC75F6"/>
    <w:rPr>
      <w:rFonts w:ascii="Cambria" w:hAnsi="Cambria" w:cs="Times New Roman"/>
      <w:b/>
      <w:bCs/>
      <w:kern w:val="2"/>
      <w:sz w:val="32"/>
      <w:szCs w:val="32"/>
    </w:rPr>
  </w:style>
  <w:style w:type="character" w:customStyle="1" w:styleId="Char0">
    <w:name w:val="纯文本 Char"/>
    <w:uiPriority w:val="99"/>
    <w:qFormat/>
    <w:rsid w:val="00EC75F6"/>
    <w:rPr>
      <w:rFonts w:ascii="宋体" w:hAnsi="Courier New"/>
      <w:kern w:val="2"/>
      <w:sz w:val="21"/>
    </w:rPr>
  </w:style>
  <w:style w:type="character" w:customStyle="1" w:styleId="10">
    <w:name w:val="正文首行缩进 字符1"/>
    <w:basedOn w:val="a2"/>
    <w:link w:val="af"/>
    <w:rsid w:val="00EC75F6"/>
    <w:rPr>
      <w:rFonts w:eastAsia="隶书"/>
      <w:b/>
      <w:sz w:val="44"/>
    </w:rPr>
  </w:style>
  <w:style w:type="paragraph" w:styleId="af">
    <w:name w:val="Body Text First Indent"/>
    <w:basedOn w:val="a5"/>
    <w:link w:val="10"/>
    <w:rsid w:val="00EC75F6"/>
    <w:pPr>
      <w:widowControl w:val="0"/>
      <w:spacing w:after="120" w:line="240" w:lineRule="auto"/>
      <w:ind w:firstLineChars="100" w:firstLine="420"/>
    </w:pPr>
    <w:rPr>
      <w:rFonts w:asciiTheme="minorHAnsi" w:hAnsiTheme="minorHAnsi" w:cstheme="minorBidi"/>
      <w:kern w:val="2"/>
      <w:szCs w:val="22"/>
    </w:rPr>
  </w:style>
  <w:style w:type="character" w:customStyle="1" w:styleId="af0">
    <w:name w:val="正文首行缩进 字符"/>
    <w:basedOn w:val="a6"/>
    <w:uiPriority w:val="99"/>
    <w:semiHidden/>
    <w:rsid w:val="00EC75F6"/>
    <w:rPr>
      <w:rFonts w:ascii="Times New Roman" w:eastAsia="隶书" w:hAnsi="Times New Roman" w:cs="Times New Roman"/>
      <w:b/>
      <w:kern w:val="0"/>
      <w:sz w:val="44"/>
      <w:szCs w:val="20"/>
    </w:rPr>
  </w:style>
  <w:style w:type="paragraph" w:styleId="af1">
    <w:name w:val="header"/>
    <w:basedOn w:val="a"/>
    <w:link w:val="af2"/>
    <w:uiPriority w:val="99"/>
    <w:unhideWhenUsed/>
    <w:rsid w:val="00EC75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2">
    <w:name w:val="页眉 字符"/>
    <w:basedOn w:val="a2"/>
    <w:link w:val="af1"/>
    <w:uiPriority w:val="99"/>
    <w:rsid w:val="00EC75F6"/>
    <w:rPr>
      <w:sz w:val="18"/>
      <w:szCs w:val="18"/>
    </w:rPr>
  </w:style>
  <w:style w:type="paragraph" w:styleId="af3">
    <w:name w:val="footer"/>
    <w:basedOn w:val="a"/>
    <w:link w:val="af4"/>
    <w:uiPriority w:val="99"/>
    <w:unhideWhenUsed/>
    <w:rsid w:val="00EC75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4">
    <w:name w:val="页脚 字符"/>
    <w:basedOn w:val="a2"/>
    <w:link w:val="af3"/>
    <w:uiPriority w:val="99"/>
    <w:rsid w:val="00EC75F6"/>
    <w:rPr>
      <w:sz w:val="18"/>
      <w:szCs w:val="18"/>
    </w:rPr>
  </w:style>
  <w:style w:type="character" w:customStyle="1" w:styleId="Char10">
    <w:name w:val="正文文本 Char1"/>
    <w:basedOn w:val="a2"/>
    <w:uiPriority w:val="99"/>
    <w:semiHidden/>
    <w:rsid w:val="00EC75F6"/>
    <w:rPr>
      <w:rFonts w:ascii="Times New Roman" w:eastAsia="宋体" w:hAnsi="Times New Roman" w:cs="Times New Roman"/>
      <w:szCs w:val="24"/>
    </w:rPr>
  </w:style>
  <w:style w:type="character" w:customStyle="1" w:styleId="Char11">
    <w:name w:val="纯文本 Char1"/>
    <w:basedOn w:val="a2"/>
    <w:uiPriority w:val="99"/>
    <w:semiHidden/>
    <w:rsid w:val="00EC75F6"/>
    <w:rPr>
      <w:rFonts w:ascii="宋体" w:eastAsia="宋体" w:hAnsi="Courier New" w:cs="Courier New"/>
      <w:szCs w:val="21"/>
    </w:rPr>
  </w:style>
  <w:style w:type="paragraph" w:styleId="af5">
    <w:name w:val="Body Text Indent"/>
    <w:basedOn w:val="a"/>
    <w:link w:val="af6"/>
    <w:uiPriority w:val="99"/>
    <w:semiHidden/>
    <w:unhideWhenUsed/>
    <w:rsid w:val="00EC75F6"/>
    <w:pPr>
      <w:spacing w:after="120"/>
      <w:ind w:leftChars="200" w:left="420"/>
    </w:pPr>
  </w:style>
  <w:style w:type="character" w:customStyle="1" w:styleId="af6">
    <w:name w:val="正文文本缩进 字符"/>
    <w:basedOn w:val="a2"/>
    <w:link w:val="af5"/>
    <w:uiPriority w:val="99"/>
    <w:semiHidden/>
    <w:rsid w:val="00EC75F6"/>
    <w:rPr>
      <w:rFonts w:ascii="Times New Roman" w:eastAsia="宋体" w:hAnsi="Times New Roman" w:cs="Times New Roman"/>
      <w:szCs w:val="24"/>
    </w:rPr>
  </w:style>
  <w:style w:type="paragraph" w:styleId="af7">
    <w:name w:val="Balloon Text"/>
    <w:basedOn w:val="a"/>
    <w:link w:val="af8"/>
    <w:uiPriority w:val="99"/>
    <w:semiHidden/>
    <w:unhideWhenUsed/>
    <w:rsid w:val="00EC75F6"/>
    <w:rPr>
      <w:sz w:val="18"/>
      <w:szCs w:val="18"/>
    </w:rPr>
  </w:style>
  <w:style w:type="character" w:customStyle="1" w:styleId="af8">
    <w:name w:val="批注框文本 字符"/>
    <w:basedOn w:val="a2"/>
    <w:link w:val="af7"/>
    <w:uiPriority w:val="99"/>
    <w:semiHidden/>
    <w:rsid w:val="00EC75F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editchina.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2023-02-13T01:32:00Z</dcterms:created>
  <dcterms:modified xsi:type="dcterms:W3CDTF">2023-02-13T01:33:00Z</dcterms:modified>
</cp:coreProperties>
</file>