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D10" w:rsidRDefault="00F54F90">
      <w:pPr>
        <w:snapToGrid w:val="0"/>
        <w:spacing w:beforeLines="50" w:before="156" w:afterLines="50" w:after="156" w:line="360" w:lineRule="auto"/>
        <w:jc w:val="center"/>
        <w:rPr>
          <w:rFonts w:ascii="宋体" w:hAnsi="宋体"/>
          <w:b/>
          <w:color w:val="FF0000"/>
          <w:szCs w:val="21"/>
        </w:rPr>
      </w:pPr>
      <w:r>
        <w:rPr>
          <w:rFonts w:ascii="宋体" w:hAnsi="宋体" w:hint="eastAsia"/>
          <w:b/>
          <w:szCs w:val="21"/>
        </w:rPr>
        <w:t>招标需求</w:t>
      </w:r>
    </w:p>
    <w:p w:rsidR="00F66D10" w:rsidRDefault="00F54F90">
      <w:pPr>
        <w:adjustRightInd w:val="0"/>
        <w:snapToGrid w:val="0"/>
        <w:spacing w:line="500" w:lineRule="exact"/>
        <w:ind w:firstLineChars="200" w:firstLine="422"/>
        <w:rPr>
          <w:rFonts w:ascii="宋体" w:hAnsi="宋体"/>
          <w:b/>
          <w:szCs w:val="21"/>
        </w:rPr>
      </w:pPr>
      <w:r>
        <w:rPr>
          <w:rFonts w:ascii="宋体" w:hAnsi="宋体" w:hint="eastAsia"/>
          <w:b/>
          <w:szCs w:val="21"/>
        </w:rPr>
        <w:t>一、基本情况</w:t>
      </w:r>
    </w:p>
    <w:p w:rsidR="00F66D10" w:rsidRDefault="00F54F90">
      <w:pPr>
        <w:widowControl/>
        <w:spacing w:line="360" w:lineRule="auto"/>
        <w:ind w:firstLineChars="200" w:firstLine="420"/>
        <w:jc w:val="left"/>
        <w:rPr>
          <w:rFonts w:ascii="宋体" w:hAnsi="宋体" w:cs="Arial"/>
          <w:kern w:val="0"/>
          <w:szCs w:val="21"/>
        </w:rPr>
      </w:pPr>
      <w:r>
        <w:rPr>
          <w:rFonts w:ascii="宋体" w:hAnsi="宋体" w:hint="eastAsia"/>
          <w:color w:val="000000"/>
          <w:szCs w:val="21"/>
        </w:rPr>
        <w:t>1、项目名称：</w:t>
      </w:r>
      <w:r>
        <w:rPr>
          <w:rFonts w:ascii="宋体" w:hAnsi="宋体" w:hint="eastAsia"/>
        </w:rPr>
        <w:t>青浦区非重大政府性投资项目工程审计服务采购项目</w:t>
      </w:r>
    </w:p>
    <w:p w:rsidR="00F66D10" w:rsidRDefault="00F54F90">
      <w:pPr>
        <w:adjustRightInd w:val="0"/>
        <w:snapToGrid w:val="0"/>
        <w:spacing w:line="500" w:lineRule="exact"/>
        <w:ind w:firstLineChars="200" w:firstLine="420"/>
        <w:rPr>
          <w:rFonts w:ascii="宋体" w:hAnsi="宋体"/>
        </w:rPr>
      </w:pPr>
      <w:r>
        <w:rPr>
          <w:rFonts w:ascii="宋体" w:hAnsi="宋体" w:hint="eastAsia"/>
          <w:color w:val="000000"/>
          <w:szCs w:val="21"/>
        </w:rPr>
        <w:t>2、采购单位：</w:t>
      </w:r>
      <w:r>
        <w:rPr>
          <w:rFonts w:ascii="宋体" w:hAnsi="宋体" w:hint="eastAsia"/>
        </w:rPr>
        <w:t>上海市青浦区建设和管理委员会</w:t>
      </w:r>
    </w:p>
    <w:p w:rsidR="00F66D10" w:rsidRDefault="00F54F90">
      <w:pPr>
        <w:adjustRightInd w:val="0"/>
        <w:snapToGrid w:val="0"/>
        <w:spacing w:line="500" w:lineRule="exact"/>
        <w:ind w:firstLineChars="200" w:firstLine="420"/>
        <w:rPr>
          <w:rFonts w:ascii="宋体" w:hAnsi="宋体"/>
          <w:color w:val="000000"/>
          <w:szCs w:val="21"/>
        </w:rPr>
      </w:pPr>
      <w:r>
        <w:rPr>
          <w:rFonts w:ascii="宋体" w:hAnsi="宋体" w:hint="eastAsia"/>
          <w:color w:val="000000"/>
          <w:szCs w:val="21"/>
        </w:rPr>
        <w:t>3、采购范围：通过公开招标方式，确定11家</w:t>
      </w:r>
      <w:r>
        <w:rPr>
          <w:rFonts w:ascii="宋体" w:hAnsi="宋体" w:hint="eastAsia"/>
        </w:rPr>
        <w:t>青浦区非重大政府性投资项目工程审计服务</w:t>
      </w:r>
      <w:r>
        <w:rPr>
          <w:rFonts w:ascii="宋体" w:hAnsi="宋体" w:hint="eastAsia"/>
          <w:color w:val="000000"/>
          <w:szCs w:val="21"/>
        </w:rPr>
        <w:t>。本项目涵盖房屋建筑、公路、水利水电、市政公用、园林、绿化等类型。</w:t>
      </w:r>
    </w:p>
    <w:p w:rsidR="00F66D10" w:rsidRDefault="00F54F90">
      <w:pPr>
        <w:adjustRightInd w:val="0"/>
        <w:snapToGrid w:val="0"/>
        <w:spacing w:line="500" w:lineRule="exact"/>
        <w:ind w:firstLineChars="200" w:firstLine="420"/>
        <w:rPr>
          <w:rFonts w:ascii="宋体" w:hAnsi="宋体"/>
          <w:color w:val="000000"/>
          <w:szCs w:val="21"/>
        </w:rPr>
      </w:pPr>
      <w:r>
        <w:rPr>
          <w:rFonts w:ascii="宋体" w:hAnsi="宋体" w:hint="eastAsia"/>
          <w:color w:val="000000"/>
          <w:szCs w:val="21"/>
        </w:rPr>
        <w:t>4、服务</w:t>
      </w:r>
      <w:r>
        <w:rPr>
          <w:rFonts w:ascii="宋体" w:hAnsi="宋体"/>
          <w:color w:val="000000"/>
          <w:szCs w:val="21"/>
        </w:rPr>
        <w:t>期限：</w:t>
      </w:r>
      <w:r>
        <w:rPr>
          <w:rFonts w:ascii="宋体" w:hAnsi="宋体" w:hint="eastAsia"/>
          <w:color w:val="000000"/>
          <w:szCs w:val="21"/>
        </w:rPr>
        <w:t>自合同签订之日</w:t>
      </w:r>
      <w:r>
        <w:rPr>
          <w:rFonts w:ascii="宋体" w:hAnsi="宋体"/>
          <w:color w:val="000000"/>
          <w:szCs w:val="21"/>
        </w:rPr>
        <w:t>起一年</w:t>
      </w:r>
      <w:r>
        <w:rPr>
          <w:rFonts w:ascii="宋体" w:hAnsi="宋体" w:hint="eastAsia"/>
          <w:color w:val="000000"/>
          <w:szCs w:val="21"/>
        </w:rPr>
        <w:t>。</w:t>
      </w:r>
    </w:p>
    <w:p w:rsidR="00F66D10" w:rsidRDefault="00F54F90">
      <w:pPr>
        <w:adjustRightInd w:val="0"/>
        <w:snapToGrid w:val="0"/>
        <w:spacing w:line="500" w:lineRule="exact"/>
        <w:ind w:firstLineChars="200" w:firstLine="420"/>
        <w:rPr>
          <w:rFonts w:ascii="宋体" w:hAnsi="宋体"/>
          <w:color w:val="000000"/>
          <w:szCs w:val="21"/>
        </w:rPr>
      </w:pPr>
      <w:r>
        <w:rPr>
          <w:rFonts w:ascii="宋体" w:hAnsi="宋体"/>
          <w:color w:val="000000"/>
          <w:szCs w:val="21"/>
        </w:rPr>
        <w:t>5</w:t>
      </w:r>
      <w:r>
        <w:rPr>
          <w:rFonts w:ascii="宋体" w:hAnsi="宋体" w:hint="eastAsia"/>
          <w:color w:val="000000"/>
          <w:szCs w:val="21"/>
        </w:rPr>
        <w:t>、项目概况：</w:t>
      </w:r>
    </w:p>
    <w:p w:rsidR="00F66D10" w:rsidRDefault="00F54F90">
      <w:pPr>
        <w:widowControl/>
        <w:spacing w:line="360" w:lineRule="auto"/>
        <w:ind w:firstLineChars="200" w:firstLine="420"/>
        <w:jc w:val="left"/>
        <w:rPr>
          <w:rFonts w:ascii="宋体" w:hAnsi="宋体"/>
          <w:color w:val="000000"/>
          <w:szCs w:val="21"/>
        </w:rPr>
      </w:pPr>
      <w:r>
        <w:rPr>
          <w:rFonts w:ascii="宋体" w:hAnsi="宋体"/>
          <w:color w:val="000000"/>
          <w:szCs w:val="21"/>
        </w:rPr>
        <w:t>5</w:t>
      </w:r>
      <w:r>
        <w:rPr>
          <w:rFonts w:ascii="宋体" w:hAnsi="宋体" w:hint="eastAsia"/>
          <w:color w:val="000000"/>
          <w:szCs w:val="21"/>
        </w:rPr>
        <w:t>.1本项目分为</w:t>
      </w:r>
      <w:r>
        <w:rPr>
          <w:rFonts w:ascii="宋体" w:hAnsi="宋体"/>
          <w:color w:val="000000"/>
          <w:szCs w:val="21"/>
        </w:rPr>
        <w:t>11</w:t>
      </w:r>
      <w:r>
        <w:rPr>
          <w:rFonts w:ascii="宋体" w:hAnsi="宋体" w:hint="eastAsia"/>
          <w:color w:val="000000"/>
          <w:szCs w:val="21"/>
        </w:rPr>
        <w:t>个包件，各包件之间互相独立。</w:t>
      </w:r>
    </w:p>
    <w:p w:rsidR="001D4805" w:rsidRDefault="001D4805" w:rsidP="001D4805">
      <w:pPr>
        <w:widowControl/>
        <w:spacing w:line="360" w:lineRule="auto"/>
        <w:ind w:firstLineChars="200" w:firstLine="420"/>
        <w:jc w:val="left"/>
        <w:rPr>
          <w:rFonts w:ascii="宋体" w:hAnsi="宋体" w:cs="Arial"/>
          <w:kern w:val="0"/>
          <w:szCs w:val="21"/>
        </w:rPr>
      </w:pPr>
      <w:r>
        <w:rPr>
          <w:rFonts w:ascii="宋体" w:hAnsi="宋体" w:cs="Arial" w:hint="eastAsia"/>
          <w:kern w:val="0"/>
          <w:szCs w:val="21"/>
        </w:rPr>
        <w:t>第一包青浦区非重大政府性投资项目审计服务采购项目一，预算金额</w:t>
      </w:r>
      <w:r>
        <w:rPr>
          <w:rFonts w:ascii="宋体" w:hAnsi="宋体" w:cs="Arial"/>
          <w:kern w:val="0"/>
          <w:szCs w:val="21"/>
        </w:rPr>
        <w:t>805000</w:t>
      </w:r>
      <w:r>
        <w:rPr>
          <w:rFonts w:ascii="宋体" w:hAnsi="宋体" w:cs="Arial" w:hint="eastAsia"/>
          <w:kern w:val="0"/>
          <w:szCs w:val="21"/>
        </w:rPr>
        <w:t>元；</w:t>
      </w:r>
    </w:p>
    <w:p w:rsidR="001D4805" w:rsidRDefault="001D4805" w:rsidP="001D4805">
      <w:pPr>
        <w:widowControl/>
        <w:spacing w:line="360" w:lineRule="auto"/>
        <w:ind w:firstLineChars="200" w:firstLine="420"/>
        <w:jc w:val="left"/>
        <w:rPr>
          <w:rFonts w:ascii="宋体" w:hAnsi="宋体" w:cs="Arial"/>
          <w:kern w:val="0"/>
          <w:szCs w:val="21"/>
        </w:rPr>
      </w:pPr>
      <w:r>
        <w:rPr>
          <w:rFonts w:ascii="宋体" w:hAnsi="宋体" w:cs="Arial" w:hint="eastAsia"/>
          <w:kern w:val="0"/>
          <w:szCs w:val="21"/>
        </w:rPr>
        <w:t>第二包青浦区非重大政府性投资项目审计服务采购项目二，预算金额</w:t>
      </w:r>
      <w:r>
        <w:rPr>
          <w:rFonts w:ascii="宋体" w:hAnsi="宋体" w:cs="Arial"/>
          <w:kern w:val="0"/>
          <w:szCs w:val="21"/>
        </w:rPr>
        <w:t>805000</w:t>
      </w:r>
      <w:r>
        <w:rPr>
          <w:rFonts w:ascii="宋体" w:hAnsi="宋体" w:cs="Arial" w:hint="eastAsia"/>
          <w:kern w:val="0"/>
          <w:szCs w:val="21"/>
        </w:rPr>
        <w:t>元；</w:t>
      </w:r>
    </w:p>
    <w:p w:rsidR="001D4805" w:rsidRDefault="001D4805" w:rsidP="001D4805">
      <w:pPr>
        <w:widowControl/>
        <w:spacing w:line="360" w:lineRule="auto"/>
        <w:ind w:firstLineChars="200" w:firstLine="420"/>
        <w:jc w:val="left"/>
        <w:rPr>
          <w:rFonts w:ascii="宋体" w:hAnsi="宋体" w:cs="Arial"/>
          <w:kern w:val="0"/>
          <w:szCs w:val="21"/>
        </w:rPr>
      </w:pPr>
      <w:r>
        <w:rPr>
          <w:rFonts w:ascii="宋体" w:hAnsi="宋体" w:cs="Arial" w:hint="eastAsia"/>
          <w:kern w:val="0"/>
          <w:szCs w:val="21"/>
        </w:rPr>
        <w:t>第三包青浦区非重大政府性投资项目审计服务采购项目三，预算金额</w:t>
      </w:r>
      <w:r>
        <w:rPr>
          <w:rFonts w:ascii="宋体" w:hAnsi="宋体" w:cs="Arial"/>
          <w:kern w:val="0"/>
          <w:szCs w:val="21"/>
        </w:rPr>
        <w:t>805000</w:t>
      </w:r>
      <w:r>
        <w:rPr>
          <w:rFonts w:ascii="宋体" w:hAnsi="宋体" w:cs="Arial" w:hint="eastAsia"/>
          <w:kern w:val="0"/>
          <w:szCs w:val="21"/>
        </w:rPr>
        <w:t>元；</w:t>
      </w:r>
    </w:p>
    <w:p w:rsidR="001D4805" w:rsidRDefault="001D4805" w:rsidP="001D4805">
      <w:pPr>
        <w:widowControl/>
        <w:spacing w:line="360" w:lineRule="auto"/>
        <w:ind w:firstLineChars="200" w:firstLine="420"/>
        <w:jc w:val="left"/>
        <w:rPr>
          <w:rFonts w:ascii="宋体" w:hAnsi="宋体" w:cs="Arial"/>
          <w:kern w:val="0"/>
          <w:szCs w:val="21"/>
        </w:rPr>
      </w:pPr>
      <w:r>
        <w:rPr>
          <w:rFonts w:ascii="宋体" w:hAnsi="宋体" w:cs="Arial" w:hint="eastAsia"/>
          <w:kern w:val="0"/>
          <w:szCs w:val="21"/>
        </w:rPr>
        <w:t>第四包青浦区非重大政府性投资项目审计服务采购项目四，预算金额</w:t>
      </w:r>
      <w:r>
        <w:rPr>
          <w:rFonts w:ascii="宋体" w:hAnsi="宋体" w:cs="Arial"/>
          <w:kern w:val="0"/>
          <w:szCs w:val="21"/>
        </w:rPr>
        <w:t>805000</w:t>
      </w:r>
      <w:r>
        <w:rPr>
          <w:rFonts w:ascii="宋体" w:hAnsi="宋体" w:cs="Arial" w:hint="eastAsia"/>
          <w:kern w:val="0"/>
          <w:szCs w:val="21"/>
        </w:rPr>
        <w:t>元；</w:t>
      </w:r>
    </w:p>
    <w:p w:rsidR="001D4805" w:rsidRDefault="001D4805" w:rsidP="001D4805">
      <w:pPr>
        <w:widowControl/>
        <w:spacing w:line="360" w:lineRule="auto"/>
        <w:ind w:firstLineChars="200" w:firstLine="420"/>
        <w:jc w:val="left"/>
        <w:rPr>
          <w:rFonts w:ascii="宋体" w:hAnsi="宋体" w:cs="Arial"/>
          <w:kern w:val="0"/>
          <w:szCs w:val="21"/>
        </w:rPr>
      </w:pPr>
      <w:r>
        <w:rPr>
          <w:rFonts w:ascii="宋体" w:hAnsi="宋体" w:cs="Arial" w:hint="eastAsia"/>
          <w:kern w:val="0"/>
          <w:szCs w:val="21"/>
        </w:rPr>
        <w:t>第五包青浦区非重大政府性投资项目审计服务采购项目五，预算金额</w:t>
      </w:r>
      <w:r>
        <w:rPr>
          <w:rFonts w:ascii="宋体" w:hAnsi="宋体" w:cs="Arial"/>
          <w:kern w:val="0"/>
          <w:szCs w:val="21"/>
        </w:rPr>
        <w:t>805000</w:t>
      </w:r>
      <w:r>
        <w:rPr>
          <w:rFonts w:ascii="宋体" w:hAnsi="宋体" w:cs="Arial" w:hint="eastAsia"/>
          <w:kern w:val="0"/>
          <w:szCs w:val="21"/>
        </w:rPr>
        <w:t>元；</w:t>
      </w:r>
    </w:p>
    <w:p w:rsidR="001D4805" w:rsidRDefault="001D4805" w:rsidP="001D4805">
      <w:pPr>
        <w:widowControl/>
        <w:spacing w:line="360" w:lineRule="auto"/>
        <w:ind w:firstLineChars="200" w:firstLine="420"/>
        <w:jc w:val="left"/>
        <w:rPr>
          <w:rFonts w:ascii="宋体" w:hAnsi="宋体" w:cs="Arial"/>
          <w:kern w:val="0"/>
          <w:szCs w:val="21"/>
        </w:rPr>
      </w:pPr>
      <w:r>
        <w:rPr>
          <w:rFonts w:ascii="宋体" w:hAnsi="宋体" w:cs="Arial" w:hint="eastAsia"/>
          <w:kern w:val="0"/>
          <w:szCs w:val="21"/>
        </w:rPr>
        <w:t>第六包青浦区非重大政府性投资项目审计服务采购项目六，预算金额</w:t>
      </w:r>
      <w:r>
        <w:rPr>
          <w:rFonts w:ascii="宋体" w:hAnsi="宋体" w:cs="Arial"/>
          <w:kern w:val="0"/>
          <w:szCs w:val="21"/>
        </w:rPr>
        <w:t>805000</w:t>
      </w:r>
      <w:r>
        <w:rPr>
          <w:rFonts w:ascii="宋体" w:hAnsi="宋体" w:cs="Arial" w:hint="eastAsia"/>
          <w:kern w:val="0"/>
          <w:szCs w:val="21"/>
        </w:rPr>
        <w:t>元；</w:t>
      </w:r>
    </w:p>
    <w:p w:rsidR="001D4805" w:rsidRDefault="001D4805" w:rsidP="001D4805">
      <w:pPr>
        <w:widowControl/>
        <w:spacing w:line="360" w:lineRule="auto"/>
        <w:ind w:firstLineChars="200" w:firstLine="420"/>
        <w:jc w:val="left"/>
        <w:rPr>
          <w:rFonts w:ascii="宋体" w:hAnsi="宋体" w:cs="Arial"/>
          <w:kern w:val="0"/>
          <w:szCs w:val="21"/>
        </w:rPr>
      </w:pPr>
      <w:r>
        <w:rPr>
          <w:rFonts w:ascii="宋体" w:hAnsi="宋体" w:cs="Arial" w:hint="eastAsia"/>
          <w:kern w:val="0"/>
          <w:szCs w:val="21"/>
        </w:rPr>
        <w:t>第七包青浦区非重大政府性投资项目审计服务采购项目七，预算金额</w:t>
      </w:r>
      <w:r>
        <w:rPr>
          <w:rFonts w:ascii="宋体" w:hAnsi="宋体" w:cs="Arial"/>
          <w:kern w:val="0"/>
          <w:szCs w:val="21"/>
        </w:rPr>
        <w:t>805000</w:t>
      </w:r>
      <w:r>
        <w:rPr>
          <w:rFonts w:ascii="宋体" w:hAnsi="宋体" w:cs="Arial" w:hint="eastAsia"/>
          <w:kern w:val="0"/>
          <w:szCs w:val="21"/>
        </w:rPr>
        <w:t>元；</w:t>
      </w:r>
    </w:p>
    <w:p w:rsidR="001D4805" w:rsidRDefault="001D4805" w:rsidP="001D4805">
      <w:pPr>
        <w:widowControl/>
        <w:spacing w:line="360" w:lineRule="auto"/>
        <w:ind w:firstLineChars="200" w:firstLine="420"/>
        <w:jc w:val="left"/>
        <w:rPr>
          <w:rFonts w:ascii="宋体" w:hAnsi="宋体" w:cs="Arial"/>
          <w:kern w:val="0"/>
          <w:szCs w:val="21"/>
        </w:rPr>
      </w:pPr>
      <w:r>
        <w:rPr>
          <w:rFonts w:ascii="宋体" w:hAnsi="宋体" w:cs="Arial" w:hint="eastAsia"/>
          <w:kern w:val="0"/>
          <w:szCs w:val="21"/>
        </w:rPr>
        <w:t>第八包青浦区非重大政府性投资项目审计服务采购项目八，预算金额</w:t>
      </w:r>
      <w:r>
        <w:rPr>
          <w:rFonts w:ascii="宋体" w:hAnsi="宋体" w:cs="Arial"/>
          <w:kern w:val="0"/>
          <w:szCs w:val="21"/>
        </w:rPr>
        <w:t>805000</w:t>
      </w:r>
      <w:r>
        <w:rPr>
          <w:rFonts w:ascii="宋体" w:hAnsi="宋体" w:cs="Arial" w:hint="eastAsia"/>
          <w:kern w:val="0"/>
          <w:szCs w:val="21"/>
        </w:rPr>
        <w:t>元；</w:t>
      </w:r>
    </w:p>
    <w:p w:rsidR="001D4805" w:rsidRDefault="001D4805" w:rsidP="001D4805">
      <w:pPr>
        <w:widowControl/>
        <w:spacing w:line="360" w:lineRule="auto"/>
        <w:ind w:firstLineChars="200" w:firstLine="420"/>
        <w:jc w:val="left"/>
        <w:rPr>
          <w:rFonts w:ascii="宋体" w:hAnsi="宋体" w:cs="Arial"/>
          <w:kern w:val="0"/>
          <w:szCs w:val="21"/>
        </w:rPr>
      </w:pPr>
      <w:r>
        <w:rPr>
          <w:rFonts w:ascii="宋体" w:hAnsi="宋体" w:cs="Arial" w:hint="eastAsia"/>
          <w:kern w:val="0"/>
          <w:szCs w:val="21"/>
        </w:rPr>
        <w:t>第九包青浦区非重大政府性投资项目审计服务采购项目九，预算金额</w:t>
      </w:r>
      <w:r>
        <w:rPr>
          <w:rFonts w:ascii="宋体" w:hAnsi="宋体" w:cs="Arial"/>
          <w:kern w:val="0"/>
          <w:szCs w:val="21"/>
        </w:rPr>
        <w:t>805000</w:t>
      </w:r>
      <w:r>
        <w:rPr>
          <w:rFonts w:ascii="宋体" w:hAnsi="宋体" w:cs="Arial" w:hint="eastAsia"/>
          <w:kern w:val="0"/>
          <w:szCs w:val="21"/>
        </w:rPr>
        <w:t>元；</w:t>
      </w:r>
    </w:p>
    <w:p w:rsidR="001D4805" w:rsidRDefault="001D4805" w:rsidP="001D4805">
      <w:pPr>
        <w:widowControl/>
        <w:spacing w:line="360" w:lineRule="auto"/>
        <w:ind w:firstLineChars="200" w:firstLine="420"/>
        <w:jc w:val="left"/>
        <w:rPr>
          <w:rFonts w:ascii="宋体" w:hAnsi="宋体" w:cs="Arial"/>
          <w:kern w:val="0"/>
          <w:szCs w:val="21"/>
        </w:rPr>
      </w:pPr>
      <w:r>
        <w:rPr>
          <w:rFonts w:ascii="宋体" w:hAnsi="宋体" w:cs="Arial" w:hint="eastAsia"/>
          <w:kern w:val="0"/>
          <w:szCs w:val="21"/>
        </w:rPr>
        <w:t>第十包青浦区非重大政府性投资项目审计服务采购项目十，预算金额</w:t>
      </w:r>
      <w:r>
        <w:rPr>
          <w:rFonts w:ascii="宋体" w:hAnsi="宋体" w:cs="Arial"/>
          <w:kern w:val="0"/>
          <w:szCs w:val="21"/>
        </w:rPr>
        <w:t>805000</w:t>
      </w:r>
      <w:r>
        <w:rPr>
          <w:rFonts w:ascii="宋体" w:hAnsi="宋体" w:cs="Arial" w:hint="eastAsia"/>
          <w:kern w:val="0"/>
          <w:szCs w:val="21"/>
        </w:rPr>
        <w:t>元；</w:t>
      </w:r>
    </w:p>
    <w:p w:rsidR="001D4805" w:rsidRDefault="001D4805" w:rsidP="001D4805">
      <w:pPr>
        <w:widowControl/>
        <w:spacing w:line="360" w:lineRule="auto"/>
        <w:ind w:firstLineChars="200" w:firstLine="420"/>
        <w:jc w:val="left"/>
        <w:rPr>
          <w:rFonts w:ascii="宋体" w:hAnsi="宋体" w:cs="Arial"/>
          <w:kern w:val="0"/>
          <w:szCs w:val="21"/>
        </w:rPr>
      </w:pPr>
      <w:r>
        <w:rPr>
          <w:rFonts w:ascii="宋体" w:hAnsi="宋体" w:cs="Arial" w:hint="eastAsia"/>
          <w:kern w:val="0"/>
          <w:szCs w:val="21"/>
        </w:rPr>
        <w:t>第十一包青浦区非重大政府性投资项目审计服务采购项目十一，预算金额</w:t>
      </w:r>
      <w:r>
        <w:rPr>
          <w:rFonts w:ascii="宋体" w:hAnsi="宋体" w:cs="Arial"/>
          <w:kern w:val="0"/>
          <w:szCs w:val="21"/>
        </w:rPr>
        <w:t>805000</w:t>
      </w:r>
      <w:r>
        <w:rPr>
          <w:rFonts w:ascii="宋体" w:hAnsi="宋体" w:cs="Arial" w:hint="eastAsia"/>
          <w:kern w:val="0"/>
          <w:szCs w:val="21"/>
        </w:rPr>
        <w:t>元。</w:t>
      </w:r>
    </w:p>
    <w:p w:rsidR="00F66D10" w:rsidRDefault="00F54F90">
      <w:pPr>
        <w:adjustRightInd w:val="0"/>
        <w:snapToGrid w:val="0"/>
        <w:spacing w:line="500" w:lineRule="exact"/>
        <w:ind w:firstLineChars="200" w:firstLine="420"/>
        <w:rPr>
          <w:rFonts w:ascii="宋体" w:hAnsi="宋体"/>
          <w:color w:val="000000"/>
          <w:szCs w:val="21"/>
        </w:rPr>
      </w:pPr>
      <w:r>
        <w:rPr>
          <w:rFonts w:ascii="宋体" w:hAnsi="宋体"/>
          <w:szCs w:val="21"/>
        </w:rPr>
        <w:t>5</w:t>
      </w:r>
      <w:r>
        <w:rPr>
          <w:rFonts w:ascii="宋体" w:hAnsi="宋体" w:hint="eastAsia"/>
          <w:szCs w:val="21"/>
        </w:rPr>
        <w:t>.2关于报价。</w:t>
      </w:r>
      <w:r>
        <w:rPr>
          <w:rFonts w:ascii="宋体" w:hAnsi="宋体" w:hint="eastAsia"/>
          <w:color w:val="000000"/>
          <w:szCs w:val="21"/>
        </w:rPr>
        <w:t>按照</w:t>
      </w:r>
      <w:r>
        <w:rPr>
          <w:rFonts w:ascii="宋体" w:hAnsi="宋体"/>
          <w:color w:val="000000"/>
          <w:szCs w:val="21"/>
        </w:rPr>
        <w:t>本招标文件明确的</w:t>
      </w:r>
      <w:r>
        <w:rPr>
          <w:rFonts w:ascii="宋体" w:hAnsi="宋体" w:hint="eastAsia"/>
          <w:color w:val="000000"/>
          <w:szCs w:val="21"/>
        </w:rPr>
        <w:t>审计</w:t>
      </w:r>
      <w:r>
        <w:rPr>
          <w:rFonts w:ascii="宋体" w:hAnsi="宋体"/>
          <w:color w:val="000000"/>
          <w:szCs w:val="21"/>
        </w:rPr>
        <w:t>工作内容和要求，</w:t>
      </w:r>
      <w:r>
        <w:rPr>
          <w:rFonts w:ascii="宋体" w:hAnsi="宋体" w:hint="eastAsia"/>
          <w:color w:val="000000"/>
          <w:szCs w:val="21"/>
        </w:rPr>
        <w:t>参考《上海市市级建设财力项目部分专业服务费用支出标准管理规定》（沪发改投【2016】70号）的收费标准为委托费用的计算基础标准，各</w:t>
      </w:r>
      <w:r>
        <w:rPr>
          <w:rFonts w:ascii="宋体" w:hAnsi="宋体"/>
          <w:color w:val="000000"/>
          <w:szCs w:val="21"/>
        </w:rPr>
        <w:t>投标单位</w:t>
      </w:r>
      <w:r>
        <w:rPr>
          <w:rFonts w:ascii="宋体" w:hAnsi="宋体" w:hint="eastAsia"/>
          <w:color w:val="000000"/>
          <w:szCs w:val="21"/>
        </w:rPr>
        <w:t>所报报建</w:t>
      </w:r>
      <w:r>
        <w:rPr>
          <w:rFonts w:ascii="宋体" w:hAnsi="宋体"/>
          <w:color w:val="000000"/>
          <w:szCs w:val="21"/>
        </w:rPr>
        <w:t>的服务费在以上收费标准基础上，</w:t>
      </w:r>
      <w:r>
        <w:rPr>
          <w:rFonts w:ascii="宋体" w:hAnsi="宋体" w:hint="eastAsia"/>
          <w:color w:val="000000"/>
          <w:szCs w:val="21"/>
        </w:rPr>
        <w:t>结合</w:t>
      </w:r>
      <w:r>
        <w:rPr>
          <w:rFonts w:ascii="宋体" w:hAnsi="宋体"/>
          <w:color w:val="000000"/>
          <w:szCs w:val="21"/>
        </w:rPr>
        <w:t>自身情况，自报折扣率</w:t>
      </w:r>
      <w:r>
        <w:rPr>
          <w:rFonts w:ascii="宋体" w:hAnsi="宋体" w:hint="eastAsia"/>
          <w:color w:val="000000"/>
          <w:szCs w:val="21"/>
        </w:rPr>
        <w:t>。投标</w:t>
      </w:r>
      <w:r>
        <w:rPr>
          <w:rFonts w:ascii="宋体" w:hAnsi="宋体"/>
          <w:color w:val="000000"/>
          <w:szCs w:val="21"/>
        </w:rPr>
        <w:t>人</w:t>
      </w:r>
      <w:r>
        <w:rPr>
          <w:rFonts w:ascii="宋体" w:hAnsi="宋体" w:hint="eastAsia"/>
          <w:color w:val="000000"/>
          <w:szCs w:val="21"/>
        </w:rPr>
        <w:t>须</w:t>
      </w:r>
      <w:r>
        <w:rPr>
          <w:rFonts w:ascii="宋体" w:hAnsi="宋体"/>
          <w:color w:val="000000"/>
          <w:szCs w:val="21"/>
        </w:rPr>
        <w:t>在投标文件中的投标报价格式中</w:t>
      </w:r>
      <w:r>
        <w:rPr>
          <w:rFonts w:ascii="宋体" w:hAnsi="宋体" w:hint="eastAsia"/>
          <w:color w:val="000000"/>
          <w:szCs w:val="21"/>
        </w:rPr>
        <w:t>注明</w:t>
      </w:r>
      <w:r>
        <w:rPr>
          <w:rFonts w:ascii="宋体" w:hAnsi="宋体"/>
          <w:color w:val="000000"/>
          <w:szCs w:val="21"/>
        </w:rPr>
        <w:t>折扣率（</w:t>
      </w:r>
      <w:r>
        <w:rPr>
          <w:rFonts w:ascii="宋体" w:hAnsi="宋体" w:hint="eastAsia"/>
          <w:color w:val="000000"/>
          <w:szCs w:val="21"/>
        </w:rPr>
        <w:t>详见“开标</w:t>
      </w:r>
      <w:r>
        <w:rPr>
          <w:rFonts w:ascii="宋体" w:hAnsi="宋体"/>
          <w:color w:val="000000"/>
          <w:szCs w:val="21"/>
        </w:rPr>
        <w:t>一览表</w:t>
      </w:r>
      <w:r>
        <w:rPr>
          <w:rFonts w:ascii="宋体" w:hAnsi="宋体" w:hint="eastAsia"/>
          <w:color w:val="000000"/>
          <w:szCs w:val="21"/>
        </w:rPr>
        <w:t>”</w:t>
      </w:r>
      <w:r>
        <w:rPr>
          <w:rFonts w:ascii="宋体" w:hAnsi="宋体"/>
          <w:color w:val="000000"/>
          <w:szCs w:val="21"/>
        </w:rPr>
        <w:t>）</w:t>
      </w:r>
      <w:r>
        <w:rPr>
          <w:rFonts w:ascii="宋体" w:hAnsi="宋体" w:hint="eastAsia"/>
          <w:color w:val="000000"/>
          <w:szCs w:val="21"/>
        </w:rPr>
        <w:t>。</w:t>
      </w:r>
      <w:r>
        <w:rPr>
          <w:rFonts w:ascii="宋体" w:hAnsi="宋体"/>
          <w:color w:val="000000"/>
          <w:szCs w:val="21"/>
        </w:rPr>
        <w:t>如</w:t>
      </w:r>
      <w:r>
        <w:rPr>
          <w:rFonts w:ascii="宋体" w:hAnsi="宋体" w:hint="eastAsia"/>
          <w:color w:val="000000"/>
          <w:szCs w:val="21"/>
        </w:rPr>
        <w:t>投标</w:t>
      </w:r>
      <w:r>
        <w:rPr>
          <w:rFonts w:ascii="宋体" w:hAnsi="宋体"/>
          <w:color w:val="000000"/>
          <w:szCs w:val="21"/>
        </w:rPr>
        <w:t>人不按</w:t>
      </w:r>
      <w:r>
        <w:rPr>
          <w:rFonts w:ascii="宋体" w:hAnsi="宋体" w:hint="eastAsia"/>
          <w:color w:val="000000"/>
          <w:szCs w:val="21"/>
        </w:rPr>
        <w:t>照</w:t>
      </w:r>
      <w:r>
        <w:rPr>
          <w:rFonts w:ascii="宋体" w:hAnsi="宋体"/>
          <w:color w:val="000000"/>
          <w:szCs w:val="21"/>
        </w:rPr>
        <w:t>招标要求</w:t>
      </w:r>
      <w:r>
        <w:rPr>
          <w:rFonts w:ascii="宋体" w:hAnsi="宋体" w:hint="eastAsia"/>
          <w:color w:val="000000"/>
          <w:szCs w:val="21"/>
        </w:rPr>
        <w:t>填报</w:t>
      </w:r>
      <w:r>
        <w:rPr>
          <w:rFonts w:ascii="宋体" w:hAnsi="宋体"/>
          <w:color w:val="000000"/>
          <w:szCs w:val="21"/>
        </w:rPr>
        <w:t>折扣率的，其投标文件将视为无效标，不进入后续详细评审</w:t>
      </w:r>
      <w:r>
        <w:rPr>
          <w:rFonts w:ascii="宋体" w:hAnsi="宋体" w:hint="eastAsia"/>
          <w:color w:val="000000"/>
          <w:szCs w:val="21"/>
        </w:rPr>
        <w:t>。</w:t>
      </w:r>
      <w:r>
        <w:rPr>
          <w:rFonts w:ascii="宋体" w:hAnsi="宋体"/>
          <w:color w:val="000000"/>
          <w:szCs w:val="21"/>
        </w:rPr>
        <w:t>同时</w:t>
      </w:r>
      <w:r>
        <w:rPr>
          <w:rFonts w:ascii="宋体" w:hAnsi="宋体" w:hint="eastAsia"/>
          <w:color w:val="000000"/>
          <w:szCs w:val="21"/>
        </w:rPr>
        <w:t>，</w:t>
      </w:r>
      <w:r>
        <w:rPr>
          <w:rFonts w:ascii="宋体" w:hAnsi="宋体"/>
          <w:color w:val="000000"/>
          <w:szCs w:val="21"/>
        </w:rPr>
        <w:t>在后续</w:t>
      </w:r>
      <w:r>
        <w:rPr>
          <w:rFonts w:ascii="宋体" w:hAnsi="宋体" w:hint="eastAsia"/>
          <w:color w:val="000000"/>
          <w:szCs w:val="21"/>
        </w:rPr>
        <w:t>合同</w:t>
      </w:r>
      <w:r>
        <w:rPr>
          <w:rFonts w:ascii="宋体" w:hAnsi="宋体"/>
          <w:color w:val="000000"/>
          <w:szCs w:val="21"/>
        </w:rPr>
        <w:t>执行中，投标人</w:t>
      </w:r>
      <w:r>
        <w:rPr>
          <w:rFonts w:ascii="宋体" w:hAnsi="宋体" w:hint="eastAsia"/>
          <w:color w:val="000000"/>
          <w:szCs w:val="21"/>
        </w:rPr>
        <w:t>自报并</w:t>
      </w:r>
      <w:r>
        <w:rPr>
          <w:rFonts w:ascii="宋体" w:hAnsi="宋体"/>
          <w:color w:val="000000"/>
          <w:szCs w:val="21"/>
        </w:rPr>
        <w:t>承诺的折扣率</w:t>
      </w:r>
      <w:r>
        <w:rPr>
          <w:rFonts w:ascii="宋体" w:hAnsi="宋体" w:hint="eastAsia"/>
          <w:color w:val="000000"/>
          <w:szCs w:val="21"/>
        </w:rPr>
        <w:t>不得</w:t>
      </w:r>
      <w:r>
        <w:rPr>
          <w:rFonts w:ascii="宋体" w:hAnsi="宋体"/>
          <w:color w:val="000000"/>
          <w:szCs w:val="21"/>
        </w:rPr>
        <w:t>调整。</w:t>
      </w:r>
    </w:p>
    <w:p w:rsidR="00F66D10" w:rsidRDefault="00F54F90">
      <w:pPr>
        <w:adjustRightInd w:val="0"/>
        <w:snapToGrid w:val="0"/>
        <w:spacing w:line="500" w:lineRule="exact"/>
        <w:ind w:firstLineChars="200" w:firstLine="420"/>
        <w:rPr>
          <w:rFonts w:ascii="宋体" w:hAnsi="宋体"/>
          <w:color w:val="000000"/>
          <w:szCs w:val="21"/>
        </w:rPr>
      </w:pPr>
      <w:r>
        <w:rPr>
          <w:rFonts w:ascii="宋体" w:hAnsi="宋体" w:hint="eastAsia"/>
          <w:color w:val="000000"/>
          <w:szCs w:val="21"/>
        </w:rPr>
        <w:t>收费标准</w:t>
      </w:r>
      <w:r>
        <w:rPr>
          <w:rFonts w:ascii="宋体" w:hAnsi="宋体"/>
          <w:color w:val="000000"/>
          <w:szCs w:val="21"/>
        </w:rPr>
        <w:t>如下表</w:t>
      </w:r>
      <w:r>
        <w:rPr>
          <w:rFonts w:ascii="宋体" w:hAnsi="宋体" w:hint="eastAsia"/>
          <w:color w:val="000000"/>
          <w:szCs w:val="21"/>
        </w:rPr>
        <w:t>：</w:t>
      </w:r>
    </w:p>
    <w:tbl>
      <w:tblPr>
        <w:tblW w:w="9390" w:type="dxa"/>
        <w:tblInd w:w="93" w:type="dxa"/>
        <w:tblLayout w:type="fixed"/>
        <w:tblCellMar>
          <w:top w:w="15" w:type="dxa"/>
          <w:bottom w:w="15" w:type="dxa"/>
        </w:tblCellMar>
        <w:tblLook w:val="04A0" w:firstRow="1" w:lastRow="0" w:firstColumn="1" w:lastColumn="0" w:noHBand="0" w:noVBand="1"/>
      </w:tblPr>
      <w:tblGrid>
        <w:gridCol w:w="1956"/>
        <w:gridCol w:w="1155"/>
        <w:gridCol w:w="1271"/>
        <w:gridCol w:w="5008"/>
      </w:tblGrid>
      <w:tr w:rsidR="00F66D10">
        <w:trPr>
          <w:trHeight w:val="475"/>
        </w:trPr>
        <w:tc>
          <w:tcPr>
            <w:tcW w:w="1956" w:type="dxa"/>
            <w:tcBorders>
              <w:top w:val="single" w:sz="12" w:space="0" w:color="000000"/>
              <w:left w:val="single" w:sz="12" w:space="0" w:color="000000"/>
              <w:bottom w:val="single" w:sz="4" w:space="0" w:color="000000"/>
              <w:right w:val="single" w:sz="4" w:space="0" w:color="000000"/>
            </w:tcBorders>
            <w:vAlign w:val="center"/>
          </w:tcPr>
          <w:p w:rsidR="00F66D10" w:rsidRDefault="00F54F90">
            <w:pPr>
              <w:widowControl/>
              <w:jc w:val="center"/>
              <w:rPr>
                <w:rFonts w:ascii="宋体" w:hAnsi="宋体" w:cs="宋体"/>
                <w:b/>
                <w:color w:val="000000"/>
                <w:kern w:val="0"/>
                <w:szCs w:val="21"/>
              </w:rPr>
            </w:pPr>
            <w:r>
              <w:rPr>
                <w:rFonts w:ascii="宋体" w:hAnsi="宋体" w:cs="宋体" w:hint="eastAsia"/>
                <w:b/>
                <w:color w:val="000000"/>
                <w:kern w:val="0"/>
                <w:szCs w:val="21"/>
              </w:rPr>
              <w:lastRenderedPageBreak/>
              <w:t>送审金额</w:t>
            </w:r>
          </w:p>
        </w:tc>
        <w:tc>
          <w:tcPr>
            <w:tcW w:w="1155" w:type="dxa"/>
            <w:tcBorders>
              <w:top w:val="single" w:sz="12" w:space="0" w:color="000000"/>
              <w:left w:val="single" w:sz="4" w:space="0" w:color="000000"/>
              <w:bottom w:val="single" w:sz="4" w:space="0" w:color="000000"/>
              <w:right w:val="single" w:sz="4" w:space="0" w:color="000000"/>
            </w:tcBorders>
            <w:vAlign w:val="center"/>
          </w:tcPr>
          <w:p w:rsidR="00F66D10" w:rsidRDefault="00F54F90">
            <w:pPr>
              <w:widowControl/>
              <w:jc w:val="center"/>
              <w:rPr>
                <w:rFonts w:ascii="宋体" w:hAnsi="宋体" w:cs="宋体"/>
                <w:b/>
                <w:color w:val="000000"/>
                <w:kern w:val="0"/>
                <w:szCs w:val="21"/>
              </w:rPr>
            </w:pPr>
            <w:r>
              <w:rPr>
                <w:rFonts w:ascii="宋体" w:hAnsi="宋体" w:cs="宋体" w:hint="eastAsia"/>
                <w:b/>
                <w:color w:val="000000"/>
                <w:kern w:val="0"/>
                <w:szCs w:val="21"/>
              </w:rPr>
              <w:t>费率（%）</w:t>
            </w:r>
          </w:p>
        </w:tc>
        <w:tc>
          <w:tcPr>
            <w:tcW w:w="1271" w:type="dxa"/>
            <w:tcBorders>
              <w:top w:val="single" w:sz="12" w:space="0" w:color="000000"/>
              <w:left w:val="single" w:sz="4" w:space="0" w:color="000000"/>
              <w:bottom w:val="single" w:sz="4" w:space="0" w:color="000000"/>
              <w:right w:val="single" w:sz="4" w:space="0" w:color="000000"/>
            </w:tcBorders>
            <w:vAlign w:val="center"/>
          </w:tcPr>
          <w:p w:rsidR="00F66D10" w:rsidRDefault="00F54F90">
            <w:pPr>
              <w:widowControl/>
              <w:jc w:val="center"/>
              <w:rPr>
                <w:rFonts w:ascii="宋体" w:hAnsi="宋体" w:cs="宋体"/>
                <w:b/>
                <w:color w:val="000000"/>
                <w:kern w:val="0"/>
                <w:szCs w:val="21"/>
              </w:rPr>
            </w:pPr>
            <w:r>
              <w:rPr>
                <w:rFonts w:ascii="宋体" w:hAnsi="宋体" w:cs="宋体" w:hint="eastAsia"/>
                <w:b/>
                <w:color w:val="000000"/>
                <w:kern w:val="0"/>
                <w:szCs w:val="21"/>
              </w:rPr>
              <w:t>计费基数</w:t>
            </w:r>
          </w:p>
        </w:tc>
        <w:tc>
          <w:tcPr>
            <w:tcW w:w="5008" w:type="dxa"/>
            <w:tcBorders>
              <w:top w:val="single" w:sz="12" w:space="0" w:color="000000"/>
              <w:left w:val="single" w:sz="4" w:space="0" w:color="000000"/>
              <w:bottom w:val="single" w:sz="4" w:space="0" w:color="000000"/>
              <w:right w:val="single" w:sz="12" w:space="0" w:color="000000"/>
            </w:tcBorders>
            <w:vAlign w:val="center"/>
          </w:tcPr>
          <w:p w:rsidR="00F66D10" w:rsidRDefault="00F54F90">
            <w:pPr>
              <w:widowControl/>
              <w:jc w:val="center"/>
              <w:rPr>
                <w:rFonts w:ascii="宋体" w:hAnsi="宋体" w:cs="宋体"/>
                <w:b/>
                <w:color w:val="000000"/>
                <w:kern w:val="0"/>
                <w:szCs w:val="21"/>
              </w:rPr>
            </w:pPr>
            <w:r>
              <w:rPr>
                <w:rFonts w:ascii="宋体" w:hAnsi="宋体" w:cs="宋体" w:hint="eastAsia"/>
                <w:b/>
                <w:color w:val="000000"/>
                <w:kern w:val="0"/>
                <w:szCs w:val="21"/>
              </w:rPr>
              <w:t>审计费用</w:t>
            </w:r>
          </w:p>
        </w:tc>
      </w:tr>
      <w:tr w:rsidR="00F66D10">
        <w:trPr>
          <w:trHeight w:val="520"/>
        </w:trPr>
        <w:tc>
          <w:tcPr>
            <w:tcW w:w="1956" w:type="dxa"/>
            <w:tcBorders>
              <w:top w:val="single" w:sz="4" w:space="0" w:color="000000"/>
              <w:left w:val="single" w:sz="12" w:space="0" w:color="000000"/>
              <w:bottom w:val="single" w:sz="4" w:space="0" w:color="000000"/>
              <w:right w:val="single" w:sz="4" w:space="0" w:color="000000"/>
            </w:tcBorders>
            <w:vAlign w:val="center"/>
          </w:tcPr>
          <w:p w:rsidR="00F66D10" w:rsidRDefault="00F54F90">
            <w:pPr>
              <w:widowControl/>
              <w:jc w:val="center"/>
              <w:rPr>
                <w:rFonts w:ascii="宋体" w:hAnsi="宋体" w:cs="宋体"/>
                <w:color w:val="000000"/>
                <w:kern w:val="0"/>
                <w:szCs w:val="21"/>
              </w:rPr>
            </w:pPr>
            <w:r>
              <w:rPr>
                <w:rFonts w:ascii="宋体" w:hAnsi="宋体" w:cs="宋体" w:hint="eastAsia"/>
                <w:color w:val="000000"/>
                <w:kern w:val="0"/>
                <w:szCs w:val="21"/>
              </w:rPr>
              <w:t>1000以下</w:t>
            </w:r>
          </w:p>
        </w:tc>
        <w:tc>
          <w:tcPr>
            <w:tcW w:w="1155" w:type="dxa"/>
            <w:tcBorders>
              <w:top w:val="single" w:sz="4" w:space="0" w:color="000000"/>
              <w:left w:val="single" w:sz="4" w:space="0" w:color="000000"/>
              <w:bottom w:val="single" w:sz="4" w:space="0" w:color="000000"/>
              <w:right w:val="single" w:sz="4" w:space="0" w:color="000000"/>
            </w:tcBorders>
            <w:vAlign w:val="center"/>
          </w:tcPr>
          <w:p w:rsidR="00F66D10" w:rsidRDefault="00F54F90">
            <w:pPr>
              <w:widowControl/>
              <w:jc w:val="center"/>
              <w:rPr>
                <w:rFonts w:ascii="宋体" w:hAnsi="宋体" w:cs="宋体"/>
                <w:color w:val="000000"/>
                <w:kern w:val="0"/>
                <w:szCs w:val="21"/>
              </w:rPr>
            </w:pPr>
            <w:r>
              <w:rPr>
                <w:rFonts w:ascii="宋体" w:hAnsi="宋体" w:cs="宋体" w:hint="eastAsia"/>
                <w:color w:val="000000"/>
                <w:kern w:val="0"/>
                <w:szCs w:val="21"/>
              </w:rPr>
              <w:t>0.272</w:t>
            </w:r>
          </w:p>
        </w:tc>
        <w:tc>
          <w:tcPr>
            <w:tcW w:w="1271" w:type="dxa"/>
            <w:tcBorders>
              <w:top w:val="single" w:sz="4" w:space="0" w:color="000000"/>
              <w:left w:val="single" w:sz="4" w:space="0" w:color="000000"/>
              <w:bottom w:val="single" w:sz="4" w:space="0" w:color="000000"/>
              <w:right w:val="single" w:sz="4" w:space="0" w:color="000000"/>
            </w:tcBorders>
            <w:vAlign w:val="center"/>
          </w:tcPr>
          <w:p w:rsidR="00F66D10" w:rsidRDefault="00F54F90">
            <w:pPr>
              <w:widowControl/>
              <w:jc w:val="center"/>
              <w:rPr>
                <w:rFonts w:ascii="宋体" w:hAnsi="宋体" w:cs="宋体"/>
                <w:color w:val="000000"/>
                <w:kern w:val="0"/>
                <w:szCs w:val="21"/>
              </w:rPr>
            </w:pPr>
            <w:r>
              <w:rPr>
                <w:rFonts w:ascii="宋体" w:hAnsi="宋体" w:cs="宋体" w:hint="eastAsia"/>
                <w:color w:val="000000"/>
                <w:kern w:val="0"/>
                <w:szCs w:val="21"/>
              </w:rPr>
              <w:t>1000</w:t>
            </w:r>
          </w:p>
        </w:tc>
        <w:tc>
          <w:tcPr>
            <w:tcW w:w="5008" w:type="dxa"/>
            <w:tcBorders>
              <w:top w:val="single" w:sz="4" w:space="0" w:color="000000"/>
              <w:left w:val="single" w:sz="4" w:space="0" w:color="000000"/>
              <w:bottom w:val="single" w:sz="4" w:space="0" w:color="000000"/>
              <w:right w:val="single" w:sz="12" w:space="0" w:color="000000"/>
            </w:tcBorders>
            <w:vAlign w:val="center"/>
          </w:tcPr>
          <w:p w:rsidR="00F66D10" w:rsidRDefault="00F54F90">
            <w:pPr>
              <w:widowControl/>
              <w:jc w:val="left"/>
              <w:rPr>
                <w:rFonts w:ascii="宋体" w:hAnsi="宋体" w:cs="宋体"/>
                <w:color w:val="000000"/>
                <w:kern w:val="0"/>
                <w:szCs w:val="21"/>
              </w:rPr>
            </w:pPr>
            <w:r>
              <w:rPr>
                <w:rFonts w:ascii="宋体" w:hAnsi="宋体" w:cs="宋体" w:hint="eastAsia"/>
                <w:color w:val="000000"/>
                <w:kern w:val="0"/>
                <w:szCs w:val="21"/>
              </w:rPr>
              <w:t>1000×0.272%=2.72</w:t>
            </w:r>
          </w:p>
        </w:tc>
      </w:tr>
      <w:tr w:rsidR="00F66D10">
        <w:trPr>
          <w:trHeight w:val="541"/>
        </w:trPr>
        <w:tc>
          <w:tcPr>
            <w:tcW w:w="1956" w:type="dxa"/>
            <w:tcBorders>
              <w:top w:val="single" w:sz="4" w:space="0" w:color="000000"/>
              <w:left w:val="single" w:sz="12" w:space="0" w:color="000000"/>
              <w:bottom w:val="single" w:sz="4" w:space="0" w:color="000000"/>
              <w:right w:val="single" w:sz="4" w:space="0" w:color="000000"/>
            </w:tcBorders>
            <w:vAlign w:val="center"/>
          </w:tcPr>
          <w:p w:rsidR="00F66D10" w:rsidRDefault="00F54F90">
            <w:pPr>
              <w:widowControl/>
              <w:jc w:val="center"/>
              <w:rPr>
                <w:rFonts w:ascii="宋体" w:hAnsi="宋体" w:cs="宋体"/>
                <w:color w:val="000000"/>
                <w:kern w:val="0"/>
                <w:szCs w:val="21"/>
              </w:rPr>
            </w:pPr>
            <w:r>
              <w:rPr>
                <w:rFonts w:ascii="宋体" w:hAnsi="宋体" w:cs="宋体" w:hint="eastAsia"/>
                <w:color w:val="000000"/>
                <w:kern w:val="0"/>
                <w:szCs w:val="21"/>
              </w:rPr>
              <w:t>1001-5000</w:t>
            </w:r>
          </w:p>
        </w:tc>
        <w:tc>
          <w:tcPr>
            <w:tcW w:w="1155" w:type="dxa"/>
            <w:tcBorders>
              <w:top w:val="single" w:sz="4" w:space="0" w:color="000000"/>
              <w:left w:val="single" w:sz="4" w:space="0" w:color="000000"/>
              <w:bottom w:val="single" w:sz="4" w:space="0" w:color="000000"/>
              <w:right w:val="single" w:sz="4" w:space="0" w:color="000000"/>
            </w:tcBorders>
            <w:vAlign w:val="center"/>
          </w:tcPr>
          <w:p w:rsidR="00F66D10" w:rsidRDefault="00F54F90">
            <w:pPr>
              <w:widowControl/>
              <w:jc w:val="center"/>
              <w:rPr>
                <w:rFonts w:ascii="宋体" w:hAnsi="宋体" w:cs="宋体"/>
                <w:color w:val="000000"/>
                <w:kern w:val="0"/>
                <w:szCs w:val="21"/>
              </w:rPr>
            </w:pPr>
            <w:r>
              <w:rPr>
                <w:rFonts w:ascii="宋体" w:hAnsi="宋体" w:cs="宋体" w:hint="eastAsia"/>
                <w:color w:val="000000"/>
                <w:kern w:val="0"/>
                <w:szCs w:val="21"/>
              </w:rPr>
              <w:t xml:space="preserve">0.140 </w:t>
            </w:r>
          </w:p>
        </w:tc>
        <w:tc>
          <w:tcPr>
            <w:tcW w:w="1271" w:type="dxa"/>
            <w:tcBorders>
              <w:top w:val="single" w:sz="4" w:space="0" w:color="000000"/>
              <w:left w:val="single" w:sz="4" w:space="0" w:color="000000"/>
              <w:bottom w:val="single" w:sz="4" w:space="0" w:color="000000"/>
              <w:right w:val="single" w:sz="4" w:space="0" w:color="000000"/>
            </w:tcBorders>
            <w:vAlign w:val="center"/>
          </w:tcPr>
          <w:p w:rsidR="00F66D10" w:rsidRDefault="00F54F90">
            <w:pPr>
              <w:widowControl/>
              <w:jc w:val="center"/>
              <w:rPr>
                <w:rFonts w:ascii="宋体" w:hAnsi="宋体" w:cs="宋体"/>
                <w:color w:val="000000"/>
                <w:kern w:val="0"/>
                <w:szCs w:val="21"/>
              </w:rPr>
            </w:pPr>
            <w:r>
              <w:rPr>
                <w:rFonts w:ascii="宋体" w:hAnsi="宋体" w:cs="宋体" w:hint="eastAsia"/>
                <w:color w:val="000000"/>
                <w:kern w:val="0"/>
                <w:szCs w:val="21"/>
              </w:rPr>
              <w:t>5000</w:t>
            </w:r>
          </w:p>
        </w:tc>
        <w:tc>
          <w:tcPr>
            <w:tcW w:w="5008" w:type="dxa"/>
            <w:tcBorders>
              <w:top w:val="single" w:sz="4" w:space="0" w:color="000000"/>
              <w:left w:val="single" w:sz="4" w:space="0" w:color="000000"/>
              <w:bottom w:val="single" w:sz="4" w:space="0" w:color="000000"/>
              <w:right w:val="single" w:sz="12" w:space="0" w:color="000000"/>
            </w:tcBorders>
            <w:vAlign w:val="center"/>
          </w:tcPr>
          <w:p w:rsidR="00F66D10" w:rsidRDefault="00F54F90">
            <w:pPr>
              <w:widowControl/>
              <w:jc w:val="left"/>
              <w:rPr>
                <w:rFonts w:ascii="宋体" w:hAnsi="宋体" w:cs="宋体"/>
                <w:color w:val="000000"/>
                <w:kern w:val="0"/>
                <w:szCs w:val="21"/>
              </w:rPr>
            </w:pPr>
            <w:r>
              <w:rPr>
                <w:rFonts w:ascii="宋体" w:hAnsi="宋体" w:cs="宋体" w:hint="eastAsia"/>
                <w:color w:val="000000"/>
                <w:kern w:val="0"/>
                <w:szCs w:val="21"/>
              </w:rPr>
              <w:t>2.72+（5000-1000）×0.140%=8.32</w:t>
            </w:r>
          </w:p>
        </w:tc>
      </w:tr>
      <w:tr w:rsidR="00F66D10">
        <w:trPr>
          <w:trHeight w:val="508"/>
        </w:trPr>
        <w:tc>
          <w:tcPr>
            <w:tcW w:w="1956" w:type="dxa"/>
            <w:tcBorders>
              <w:top w:val="single" w:sz="4" w:space="0" w:color="000000"/>
              <w:left w:val="single" w:sz="12" w:space="0" w:color="000000"/>
              <w:bottom w:val="single" w:sz="4" w:space="0" w:color="000000"/>
              <w:right w:val="single" w:sz="4" w:space="0" w:color="000000"/>
            </w:tcBorders>
            <w:vAlign w:val="center"/>
          </w:tcPr>
          <w:p w:rsidR="00F66D10" w:rsidRDefault="00F54F90">
            <w:pPr>
              <w:widowControl/>
              <w:jc w:val="center"/>
              <w:rPr>
                <w:rFonts w:ascii="宋体" w:hAnsi="宋体" w:cs="宋体"/>
                <w:color w:val="000000"/>
                <w:kern w:val="0"/>
                <w:szCs w:val="21"/>
              </w:rPr>
            </w:pPr>
            <w:r>
              <w:rPr>
                <w:rFonts w:ascii="宋体" w:hAnsi="宋体" w:cs="宋体" w:hint="eastAsia"/>
                <w:color w:val="000000"/>
                <w:kern w:val="0"/>
                <w:szCs w:val="21"/>
              </w:rPr>
              <w:t>5001-10000</w:t>
            </w:r>
          </w:p>
        </w:tc>
        <w:tc>
          <w:tcPr>
            <w:tcW w:w="1155" w:type="dxa"/>
            <w:tcBorders>
              <w:top w:val="single" w:sz="4" w:space="0" w:color="000000"/>
              <w:left w:val="single" w:sz="4" w:space="0" w:color="000000"/>
              <w:bottom w:val="single" w:sz="4" w:space="0" w:color="000000"/>
              <w:right w:val="single" w:sz="4" w:space="0" w:color="000000"/>
            </w:tcBorders>
            <w:vAlign w:val="center"/>
          </w:tcPr>
          <w:p w:rsidR="00F66D10" w:rsidRDefault="00F54F90">
            <w:pPr>
              <w:widowControl/>
              <w:jc w:val="center"/>
              <w:rPr>
                <w:rFonts w:ascii="宋体" w:hAnsi="宋体" w:cs="宋体"/>
                <w:color w:val="000000"/>
                <w:kern w:val="0"/>
                <w:szCs w:val="21"/>
              </w:rPr>
            </w:pPr>
            <w:r>
              <w:rPr>
                <w:rFonts w:ascii="宋体" w:hAnsi="宋体" w:cs="宋体" w:hint="eastAsia"/>
                <w:color w:val="000000"/>
                <w:kern w:val="0"/>
                <w:szCs w:val="21"/>
              </w:rPr>
              <w:t xml:space="preserve">0.140 </w:t>
            </w:r>
          </w:p>
        </w:tc>
        <w:tc>
          <w:tcPr>
            <w:tcW w:w="1271" w:type="dxa"/>
            <w:tcBorders>
              <w:top w:val="single" w:sz="4" w:space="0" w:color="000000"/>
              <w:left w:val="single" w:sz="4" w:space="0" w:color="000000"/>
              <w:bottom w:val="single" w:sz="4" w:space="0" w:color="000000"/>
              <w:right w:val="single" w:sz="4" w:space="0" w:color="000000"/>
            </w:tcBorders>
            <w:vAlign w:val="center"/>
          </w:tcPr>
          <w:p w:rsidR="00F66D10" w:rsidRDefault="00F54F90">
            <w:pPr>
              <w:widowControl/>
              <w:jc w:val="center"/>
              <w:rPr>
                <w:rFonts w:ascii="宋体" w:hAnsi="宋体" w:cs="宋体"/>
                <w:color w:val="000000"/>
                <w:kern w:val="0"/>
                <w:szCs w:val="21"/>
              </w:rPr>
            </w:pPr>
            <w:r>
              <w:rPr>
                <w:rFonts w:ascii="宋体" w:hAnsi="宋体" w:cs="宋体" w:hint="eastAsia"/>
                <w:color w:val="000000"/>
                <w:kern w:val="0"/>
                <w:szCs w:val="21"/>
              </w:rPr>
              <w:t>10000</w:t>
            </w:r>
          </w:p>
        </w:tc>
        <w:tc>
          <w:tcPr>
            <w:tcW w:w="5008" w:type="dxa"/>
            <w:tcBorders>
              <w:top w:val="single" w:sz="4" w:space="0" w:color="000000"/>
              <w:left w:val="single" w:sz="4" w:space="0" w:color="000000"/>
              <w:bottom w:val="single" w:sz="4" w:space="0" w:color="000000"/>
              <w:right w:val="single" w:sz="12" w:space="0" w:color="000000"/>
            </w:tcBorders>
            <w:vAlign w:val="center"/>
          </w:tcPr>
          <w:p w:rsidR="00F66D10" w:rsidRDefault="00F54F90">
            <w:pPr>
              <w:widowControl/>
              <w:jc w:val="left"/>
              <w:rPr>
                <w:rFonts w:ascii="宋体" w:hAnsi="宋体" w:cs="宋体"/>
                <w:color w:val="000000"/>
                <w:kern w:val="0"/>
                <w:szCs w:val="21"/>
              </w:rPr>
            </w:pPr>
            <w:r>
              <w:rPr>
                <w:rFonts w:ascii="宋体" w:hAnsi="宋体" w:cs="宋体" w:hint="eastAsia"/>
                <w:color w:val="000000"/>
                <w:kern w:val="0"/>
                <w:szCs w:val="21"/>
              </w:rPr>
              <w:t>8.32+（10000-5000）×0.140%=15.32</w:t>
            </w:r>
          </w:p>
        </w:tc>
      </w:tr>
      <w:tr w:rsidR="00F66D10">
        <w:trPr>
          <w:trHeight w:val="529"/>
        </w:trPr>
        <w:tc>
          <w:tcPr>
            <w:tcW w:w="1956" w:type="dxa"/>
            <w:tcBorders>
              <w:top w:val="single" w:sz="4" w:space="0" w:color="000000"/>
              <w:left w:val="single" w:sz="12" w:space="0" w:color="000000"/>
              <w:bottom w:val="single" w:sz="4" w:space="0" w:color="000000"/>
              <w:right w:val="single" w:sz="4" w:space="0" w:color="000000"/>
            </w:tcBorders>
            <w:vAlign w:val="center"/>
          </w:tcPr>
          <w:p w:rsidR="00F66D10" w:rsidRDefault="00F54F90">
            <w:pPr>
              <w:widowControl/>
              <w:jc w:val="center"/>
              <w:rPr>
                <w:rFonts w:ascii="宋体" w:hAnsi="宋体" w:cs="宋体"/>
                <w:color w:val="000000"/>
                <w:kern w:val="0"/>
                <w:szCs w:val="21"/>
              </w:rPr>
            </w:pPr>
            <w:r>
              <w:rPr>
                <w:rFonts w:ascii="宋体" w:hAnsi="宋体" w:cs="宋体" w:hint="eastAsia"/>
                <w:color w:val="000000"/>
                <w:kern w:val="0"/>
                <w:szCs w:val="21"/>
              </w:rPr>
              <w:t>10001-50000</w:t>
            </w:r>
          </w:p>
        </w:tc>
        <w:tc>
          <w:tcPr>
            <w:tcW w:w="1155" w:type="dxa"/>
            <w:tcBorders>
              <w:top w:val="single" w:sz="4" w:space="0" w:color="000000"/>
              <w:left w:val="single" w:sz="4" w:space="0" w:color="000000"/>
              <w:bottom w:val="single" w:sz="4" w:space="0" w:color="000000"/>
              <w:right w:val="single" w:sz="4" w:space="0" w:color="000000"/>
            </w:tcBorders>
            <w:vAlign w:val="center"/>
          </w:tcPr>
          <w:p w:rsidR="00F66D10" w:rsidRDefault="00F54F90">
            <w:pPr>
              <w:widowControl/>
              <w:jc w:val="center"/>
              <w:rPr>
                <w:rFonts w:ascii="宋体" w:hAnsi="宋体" w:cs="宋体"/>
                <w:color w:val="000000"/>
                <w:kern w:val="0"/>
                <w:szCs w:val="21"/>
              </w:rPr>
            </w:pPr>
            <w:r>
              <w:rPr>
                <w:rFonts w:ascii="宋体" w:hAnsi="宋体" w:cs="宋体" w:hint="eastAsia"/>
                <w:color w:val="000000"/>
                <w:kern w:val="0"/>
                <w:szCs w:val="21"/>
              </w:rPr>
              <w:t xml:space="preserve">0.081 </w:t>
            </w:r>
          </w:p>
        </w:tc>
        <w:tc>
          <w:tcPr>
            <w:tcW w:w="1271" w:type="dxa"/>
            <w:tcBorders>
              <w:top w:val="single" w:sz="4" w:space="0" w:color="000000"/>
              <w:left w:val="single" w:sz="4" w:space="0" w:color="000000"/>
              <w:bottom w:val="single" w:sz="4" w:space="0" w:color="000000"/>
              <w:right w:val="single" w:sz="4" w:space="0" w:color="000000"/>
            </w:tcBorders>
            <w:vAlign w:val="center"/>
          </w:tcPr>
          <w:p w:rsidR="00F66D10" w:rsidRDefault="00F54F90">
            <w:pPr>
              <w:widowControl/>
              <w:jc w:val="center"/>
              <w:rPr>
                <w:rFonts w:ascii="宋体" w:hAnsi="宋体" w:cs="宋体"/>
                <w:color w:val="000000"/>
                <w:kern w:val="0"/>
                <w:szCs w:val="21"/>
              </w:rPr>
            </w:pPr>
            <w:r>
              <w:rPr>
                <w:rFonts w:ascii="宋体" w:hAnsi="宋体" w:cs="宋体" w:hint="eastAsia"/>
                <w:color w:val="000000"/>
                <w:kern w:val="0"/>
                <w:szCs w:val="21"/>
              </w:rPr>
              <w:t>50000</w:t>
            </w:r>
          </w:p>
        </w:tc>
        <w:tc>
          <w:tcPr>
            <w:tcW w:w="5008" w:type="dxa"/>
            <w:tcBorders>
              <w:top w:val="single" w:sz="4" w:space="0" w:color="000000"/>
              <w:left w:val="single" w:sz="4" w:space="0" w:color="000000"/>
              <w:bottom w:val="single" w:sz="4" w:space="0" w:color="000000"/>
              <w:right w:val="single" w:sz="12" w:space="0" w:color="000000"/>
            </w:tcBorders>
            <w:vAlign w:val="center"/>
          </w:tcPr>
          <w:p w:rsidR="00F66D10" w:rsidRDefault="00F54F90">
            <w:pPr>
              <w:widowControl/>
              <w:jc w:val="left"/>
              <w:rPr>
                <w:rFonts w:ascii="宋体" w:hAnsi="宋体" w:cs="宋体"/>
                <w:color w:val="000000"/>
                <w:kern w:val="0"/>
                <w:szCs w:val="21"/>
              </w:rPr>
            </w:pPr>
            <w:r>
              <w:rPr>
                <w:rFonts w:ascii="宋体" w:hAnsi="宋体" w:cs="宋体" w:hint="eastAsia"/>
                <w:color w:val="000000"/>
                <w:kern w:val="0"/>
                <w:szCs w:val="21"/>
              </w:rPr>
              <w:t>15.32+（50000-10000）×0.081%=47.72</w:t>
            </w:r>
          </w:p>
        </w:tc>
      </w:tr>
      <w:tr w:rsidR="00F66D10">
        <w:trPr>
          <w:trHeight w:val="537"/>
        </w:trPr>
        <w:tc>
          <w:tcPr>
            <w:tcW w:w="1956" w:type="dxa"/>
            <w:tcBorders>
              <w:top w:val="single" w:sz="4" w:space="0" w:color="000000"/>
              <w:left w:val="single" w:sz="12" w:space="0" w:color="000000"/>
              <w:bottom w:val="single" w:sz="4" w:space="0" w:color="000000"/>
              <w:right w:val="single" w:sz="4" w:space="0" w:color="000000"/>
            </w:tcBorders>
            <w:vAlign w:val="center"/>
          </w:tcPr>
          <w:p w:rsidR="00F66D10" w:rsidRDefault="00F54F90">
            <w:pPr>
              <w:widowControl/>
              <w:jc w:val="center"/>
              <w:rPr>
                <w:rFonts w:ascii="宋体" w:hAnsi="宋体" w:cs="宋体"/>
                <w:color w:val="000000"/>
                <w:kern w:val="0"/>
                <w:szCs w:val="21"/>
              </w:rPr>
            </w:pPr>
            <w:r>
              <w:rPr>
                <w:rFonts w:ascii="宋体" w:hAnsi="宋体" w:cs="宋体" w:hint="eastAsia"/>
                <w:color w:val="000000"/>
                <w:kern w:val="0"/>
                <w:szCs w:val="21"/>
              </w:rPr>
              <w:t>50001-100000</w:t>
            </w:r>
          </w:p>
        </w:tc>
        <w:tc>
          <w:tcPr>
            <w:tcW w:w="1155" w:type="dxa"/>
            <w:tcBorders>
              <w:top w:val="single" w:sz="4" w:space="0" w:color="000000"/>
              <w:left w:val="single" w:sz="4" w:space="0" w:color="000000"/>
              <w:bottom w:val="single" w:sz="4" w:space="0" w:color="000000"/>
              <w:right w:val="single" w:sz="4" w:space="0" w:color="000000"/>
            </w:tcBorders>
            <w:vAlign w:val="center"/>
          </w:tcPr>
          <w:p w:rsidR="00F66D10" w:rsidRDefault="00F54F90">
            <w:pPr>
              <w:widowControl/>
              <w:jc w:val="center"/>
              <w:rPr>
                <w:rFonts w:ascii="宋体" w:hAnsi="宋体" w:cs="宋体"/>
                <w:color w:val="000000"/>
                <w:kern w:val="0"/>
                <w:szCs w:val="21"/>
              </w:rPr>
            </w:pPr>
            <w:r>
              <w:rPr>
                <w:rFonts w:ascii="宋体" w:hAnsi="宋体" w:cs="宋体" w:hint="eastAsia"/>
                <w:color w:val="000000"/>
                <w:kern w:val="0"/>
                <w:szCs w:val="21"/>
              </w:rPr>
              <w:t>0.076</w:t>
            </w:r>
          </w:p>
        </w:tc>
        <w:tc>
          <w:tcPr>
            <w:tcW w:w="1271" w:type="dxa"/>
            <w:tcBorders>
              <w:top w:val="single" w:sz="4" w:space="0" w:color="000000"/>
              <w:left w:val="single" w:sz="4" w:space="0" w:color="000000"/>
              <w:bottom w:val="single" w:sz="4" w:space="0" w:color="000000"/>
              <w:right w:val="single" w:sz="4" w:space="0" w:color="000000"/>
            </w:tcBorders>
            <w:vAlign w:val="center"/>
          </w:tcPr>
          <w:p w:rsidR="00F66D10" w:rsidRDefault="00F54F90">
            <w:pPr>
              <w:widowControl/>
              <w:jc w:val="center"/>
              <w:rPr>
                <w:rFonts w:ascii="宋体" w:hAnsi="宋体" w:cs="宋体"/>
                <w:color w:val="000000"/>
                <w:kern w:val="0"/>
                <w:szCs w:val="21"/>
              </w:rPr>
            </w:pPr>
            <w:r>
              <w:rPr>
                <w:rFonts w:ascii="宋体" w:hAnsi="宋体" w:cs="宋体" w:hint="eastAsia"/>
                <w:color w:val="000000"/>
                <w:kern w:val="0"/>
                <w:szCs w:val="21"/>
              </w:rPr>
              <w:t>100000</w:t>
            </w:r>
          </w:p>
        </w:tc>
        <w:tc>
          <w:tcPr>
            <w:tcW w:w="5008" w:type="dxa"/>
            <w:tcBorders>
              <w:top w:val="single" w:sz="4" w:space="0" w:color="000000"/>
              <w:left w:val="single" w:sz="4" w:space="0" w:color="000000"/>
              <w:bottom w:val="single" w:sz="4" w:space="0" w:color="000000"/>
              <w:right w:val="single" w:sz="12" w:space="0" w:color="000000"/>
            </w:tcBorders>
            <w:vAlign w:val="center"/>
          </w:tcPr>
          <w:p w:rsidR="00F66D10" w:rsidRDefault="00F54F90">
            <w:pPr>
              <w:widowControl/>
              <w:jc w:val="left"/>
              <w:rPr>
                <w:rFonts w:ascii="宋体" w:hAnsi="宋体" w:cs="宋体"/>
                <w:color w:val="000000"/>
                <w:kern w:val="0"/>
                <w:szCs w:val="21"/>
              </w:rPr>
            </w:pPr>
            <w:r>
              <w:rPr>
                <w:rFonts w:ascii="宋体" w:hAnsi="宋体" w:cs="宋体" w:hint="eastAsia"/>
                <w:color w:val="000000"/>
                <w:kern w:val="0"/>
                <w:szCs w:val="21"/>
              </w:rPr>
              <w:t>47.72+（100000-50000）×0.076%=85.72</w:t>
            </w:r>
          </w:p>
        </w:tc>
      </w:tr>
      <w:tr w:rsidR="00F66D10">
        <w:trPr>
          <w:trHeight w:val="517"/>
        </w:trPr>
        <w:tc>
          <w:tcPr>
            <w:tcW w:w="1956" w:type="dxa"/>
            <w:tcBorders>
              <w:top w:val="single" w:sz="4" w:space="0" w:color="000000"/>
              <w:left w:val="single" w:sz="12" w:space="0" w:color="000000"/>
              <w:bottom w:val="single" w:sz="4" w:space="0" w:color="000000"/>
              <w:right w:val="single" w:sz="4" w:space="0" w:color="000000"/>
            </w:tcBorders>
            <w:vAlign w:val="center"/>
          </w:tcPr>
          <w:p w:rsidR="00F66D10" w:rsidRDefault="00F54F90">
            <w:pPr>
              <w:widowControl/>
              <w:jc w:val="center"/>
              <w:rPr>
                <w:rFonts w:ascii="宋体" w:hAnsi="宋体" w:cs="宋体"/>
                <w:color w:val="000000"/>
                <w:kern w:val="0"/>
                <w:szCs w:val="21"/>
              </w:rPr>
            </w:pPr>
            <w:r>
              <w:rPr>
                <w:rFonts w:ascii="宋体" w:hAnsi="宋体" w:cs="宋体" w:hint="eastAsia"/>
                <w:color w:val="000000"/>
                <w:kern w:val="0"/>
                <w:szCs w:val="21"/>
              </w:rPr>
              <w:t>100001-200000</w:t>
            </w:r>
          </w:p>
        </w:tc>
        <w:tc>
          <w:tcPr>
            <w:tcW w:w="1155" w:type="dxa"/>
            <w:tcBorders>
              <w:top w:val="single" w:sz="4" w:space="0" w:color="000000"/>
              <w:left w:val="single" w:sz="4" w:space="0" w:color="000000"/>
              <w:bottom w:val="single" w:sz="4" w:space="0" w:color="000000"/>
              <w:right w:val="single" w:sz="4" w:space="0" w:color="000000"/>
            </w:tcBorders>
            <w:vAlign w:val="center"/>
          </w:tcPr>
          <w:p w:rsidR="00F66D10" w:rsidRDefault="00F54F90">
            <w:pPr>
              <w:widowControl/>
              <w:jc w:val="center"/>
              <w:rPr>
                <w:rFonts w:ascii="宋体" w:hAnsi="宋体" w:cs="宋体"/>
                <w:color w:val="000000"/>
                <w:kern w:val="0"/>
                <w:szCs w:val="21"/>
              </w:rPr>
            </w:pPr>
            <w:r>
              <w:rPr>
                <w:rFonts w:ascii="宋体" w:hAnsi="宋体" w:cs="宋体" w:hint="eastAsia"/>
                <w:color w:val="000000"/>
                <w:kern w:val="0"/>
                <w:szCs w:val="21"/>
              </w:rPr>
              <w:t>0.033</w:t>
            </w:r>
          </w:p>
        </w:tc>
        <w:tc>
          <w:tcPr>
            <w:tcW w:w="1271" w:type="dxa"/>
            <w:tcBorders>
              <w:top w:val="single" w:sz="4" w:space="0" w:color="000000"/>
              <w:left w:val="single" w:sz="4" w:space="0" w:color="000000"/>
              <w:bottom w:val="single" w:sz="4" w:space="0" w:color="000000"/>
              <w:right w:val="single" w:sz="4" w:space="0" w:color="000000"/>
            </w:tcBorders>
            <w:vAlign w:val="center"/>
          </w:tcPr>
          <w:p w:rsidR="00F66D10" w:rsidRDefault="00F54F90">
            <w:pPr>
              <w:widowControl/>
              <w:jc w:val="center"/>
              <w:rPr>
                <w:rFonts w:ascii="宋体" w:hAnsi="宋体" w:cs="宋体"/>
                <w:color w:val="000000"/>
                <w:kern w:val="0"/>
                <w:szCs w:val="21"/>
              </w:rPr>
            </w:pPr>
            <w:r>
              <w:rPr>
                <w:rFonts w:ascii="宋体" w:hAnsi="宋体" w:cs="宋体" w:hint="eastAsia"/>
                <w:color w:val="000000"/>
                <w:kern w:val="0"/>
                <w:szCs w:val="21"/>
              </w:rPr>
              <w:t>200000</w:t>
            </w:r>
          </w:p>
        </w:tc>
        <w:tc>
          <w:tcPr>
            <w:tcW w:w="5008" w:type="dxa"/>
            <w:tcBorders>
              <w:top w:val="single" w:sz="4" w:space="0" w:color="000000"/>
              <w:left w:val="single" w:sz="4" w:space="0" w:color="000000"/>
              <w:bottom w:val="single" w:sz="4" w:space="0" w:color="000000"/>
              <w:right w:val="single" w:sz="12" w:space="0" w:color="000000"/>
            </w:tcBorders>
            <w:vAlign w:val="center"/>
          </w:tcPr>
          <w:p w:rsidR="00F66D10" w:rsidRDefault="00F54F90">
            <w:pPr>
              <w:widowControl/>
              <w:jc w:val="left"/>
              <w:rPr>
                <w:rFonts w:ascii="宋体" w:hAnsi="宋体" w:cs="宋体"/>
                <w:color w:val="000000"/>
                <w:kern w:val="0"/>
                <w:szCs w:val="21"/>
              </w:rPr>
            </w:pPr>
            <w:r>
              <w:rPr>
                <w:rFonts w:ascii="宋体" w:hAnsi="宋体" w:cs="宋体" w:hint="eastAsia"/>
                <w:color w:val="000000"/>
                <w:kern w:val="0"/>
                <w:szCs w:val="21"/>
              </w:rPr>
              <w:t>85.72+（200000-100000）×0.033%=118.72</w:t>
            </w:r>
          </w:p>
        </w:tc>
      </w:tr>
      <w:tr w:rsidR="00F66D10">
        <w:trPr>
          <w:trHeight w:val="525"/>
        </w:trPr>
        <w:tc>
          <w:tcPr>
            <w:tcW w:w="1956" w:type="dxa"/>
            <w:tcBorders>
              <w:top w:val="single" w:sz="4" w:space="0" w:color="000000"/>
              <w:left w:val="single" w:sz="12" w:space="0" w:color="000000"/>
              <w:bottom w:val="single" w:sz="12" w:space="0" w:color="000000"/>
              <w:right w:val="single" w:sz="4" w:space="0" w:color="000000"/>
            </w:tcBorders>
            <w:vAlign w:val="center"/>
          </w:tcPr>
          <w:p w:rsidR="00F66D10" w:rsidRDefault="00F54F90">
            <w:pPr>
              <w:widowControl/>
              <w:jc w:val="center"/>
              <w:rPr>
                <w:rFonts w:ascii="宋体" w:hAnsi="宋体" w:cs="宋体"/>
                <w:color w:val="000000"/>
                <w:kern w:val="0"/>
                <w:szCs w:val="21"/>
              </w:rPr>
            </w:pPr>
            <w:r>
              <w:rPr>
                <w:rFonts w:ascii="宋体" w:hAnsi="宋体" w:cs="宋体" w:hint="eastAsia"/>
                <w:color w:val="000000"/>
                <w:kern w:val="0"/>
                <w:szCs w:val="21"/>
              </w:rPr>
              <w:t>200000以上</w:t>
            </w:r>
          </w:p>
        </w:tc>
        <w:tc>
          <w:tcPr>
            <w:tcW w:w="1155" w:type="dxa"/>
            <w:tcBorders>
              <w:top w:val="single" w:sz="4" w:space="0" w:color="000000"/>
              <w:left w:val="single" w:sz="4" w:space="0" w:color="000000"/>
              <w:bottom w:val="single" w:sz="12" w:space="0" w:color="000000"/>
              <w:right w:val="single" w:sz="4" w:space="0" w:color="000000"/>
            </w:tcBorders>
            <w:vAlign w:val="center"/>
          </w:tcPr>
          <w:p w:rsidR="00F66D10" w:rsidRDefault="00F54F90">
            <w:pPr>
              <w:widowControl/>
              <w:jc w:val="center"/>
              <w:rPr>
                <w:rFonts w:ascii="宋体" w:hAnsi="宋体" w:cs="宋体"/>
                <w:color w:val="000000"/>
                <w:kern w:val="0"/>
                <w:szCs w:val="21"/>
              </w:rPr>
            </w:pPr>
            <w:r>
              <w:rPr>
                <w:rFonts w:ascii="宋体" w:hAnsi="宋体" w:cs="宋体" w:hint="eastAsia"/>
                <w:color w:val="000000"/>
                <w:kern w:val="0"/>
                <w:szCs w:val="21"/>
              </w:rPr>
              <w:t xml:space="preserve">0.017 </w:t>
            </w:r>
          </w:p>
        </w:tc>
        <w:tc>
          <w:tcPr>
            <w:tcW w:w="1271" w:type="dxa"/>
            <w:tcBorders>
              <w:top w:val="single" w:sz="4" w:space="0" w:color="000000"/>
              <w:left w:val="single" w:sz="4" w:space="0" w:color="000000"/>
              <w:bottom w:val="single" w:sz="12" w:space="0" w:color="000000"/>
              <w:right w:val="single" w:sz="4" w:space="0" w:color="000000"/>
            </w:tcBorders>
            <w:vAlign w:val="center"/>
          </w:tcPr>
          <w:p w:rsidR="00F66D10" w:rsidRDefault="00F54F90">
            <w:pPr>
              <w:widowControl/>
              <w:jc w:val="center"/>
              <w:rPr>
                <w:rFonts w:ascii="宋体" w:hAnsi="宋体" w:cs="宋体"/>
                <w:color w:val="000000"/>
                <w:kern w:val="0"/>
                <w:szCs w:val="21"/>
              </w:rPr>
            </w:pPr>
            <w:r>
              <w:rPr>
                <w:rFonts w:ascii="宋体" w:hAnsi="宋体" w:cs="宋体" w:hint="eastAsia"/>
                <w:color w:val="000000"/>
                <w:kern w:val="0"/>
                <w:szCs w:val="21"/>
              </w:rPr>
              <w:t>280000</w:t>
            </w:r>
          </w:p>
        </w:tc>
        <w:tc>
          <w:tcPr>
            <w:tcW w:w="5008" w:type="dxa"/>
            <w:tcBorders>
              <w:top w:val="single" w:sz="4" w:space="0" w:color="000000"/>
              <w:left w:val="single" w:sz="4" w:space="0" w:color="000000"/>
              <w:bottom w:val="single" w:sz="12" w:space="0" w:color="000000"/>
              <w:right w:val="single" w:sz="12" w:space="0" w:color="000000"/>
            </w:tcBorders>
            <w:vAlign w:val="center"/>
          </w:tcPr>
          <w:p w:rsidR="00F66D10" w:rsidRDefault="00F54F90">
            <w:pPr>
              <w:widowControl/>
              <w:jc w:val="left"/>
              <w:rPr>
                <w:rFonts w:ascii="宋体" w:hAnsi="宋体" w:cs="宋体"/>
                <w:color w:val="000000"/>
                <w:kern w:val="0"/>
                <w:szCs w:val="21"/>
              </w:rPr>
            </w:pPr>
            <w:r>
              <w:rPr>
                <w:rFonts w:ascii="宋体" w:hAnsi="宋体" w:cs="宋体" w:hint="eastAsia"/>
                <w:color w:val="000000"/>
                <w:kern w:val="0"/>
                <w:szCs w:val="21"/>
              </w:rPr>
              <w:t>118.72+（280000-200000）×0.017%=132.32</w:t>
            </w:r>
          </w:p>
        </w:tc>
      </w:tr>
    </w:tbl>
    <w:p w:rsidR="00F66D10" w:rsidRDefault="00F66D10">
      <w:pPr>
        <w:adjustRightInd w:val="0"/>
        <w:snapToGrid w:val="0"/>
        <w:spacing w:line="500" w:lineRule="exact"/>
        <w:ind w:firstLineChars="200" w:firstLine="420"/>
        <w:rPr>
          <w:rFonts w:ascii="宋体" w:hAnsi="宋体"/>
          <w:color w:val="000000"/>
          <w:szCs w:val="21"/>
        </w:rPr>
      </w:pPr>
    </w:p>
    <w:p w:rsidR="00F66D10" w:rsidRDefault="00F54F90">
      <w:pPr>
        <w:adjustRightInd w:val="0"/>
        <w:snapToGrid w:val="0"/>
        <w:spacing w:line="500" w:lineRule="exact"/>
        <w:ind w:firstLineChars="200" w:firstLine="420"/>
        <w:rPr>
          <w:rFonts w:ascii="宋体" w:hAnsi="宋体"/>
          <w:szCs w:val="21"/>
        </w:rPr>
      </w:pPr>
      <w:r>
        <w:rPr>
          <w:rFonts w:ascii="宋体" w:hAnsi="宋体"/>
          <w:szCs w:val="21"/>
        </w:rPr>
        <w:t>5</w:t>
      </w:r>
      <w:r>
        <w:rPr>
          <w:rFonts w:ascii="宋体" w:hAnsi="宋体" w:hint="eastAsia"/>
          <w:szCs w:val="21"/>
        </w:rPr>
        <w:t>.3为增加本项目各包件参与投标的竞争力，同时考虑到各包件都能顺利开展招标工作，本次招标项目鼓励投标人对所有包件都进行投标。</w:t>
      </w:r>
    </w:p>
    <w:p w:rsidR="00F66D10" w:rsidRDefault="00F54F90">
      <w:pPr>
        <w:adjustRightInd w:val="0"/>
        <w:snapToGrid w:val="0"/>
        <w:spacing w:line="500" w:lineRule="exact"/>
        <w:ind w:firstLineChars="200" w:firstLine="420"/>
        <w:rPr>
          <w:rFonts w:ascii="宋体" w:hAnsi="宋体"/>
          <w:szCs w:val="21"/>
        </w:rPr>
      </w:pPr>
      <w:r>
        <w:rPr>
          <w:rFonts w:ascii="宋体" w:hAnsi="宋体"/>
          <w:szCs w:val="21"/>
        </w:rPr>
        <w:t>5</w:t>
      </w:r>
      <w:r>
        <w:rPr>
          <w:rFonts w:ascii="宋体" w:hAnsi="宋体" w:hint="eastAsia"/>
          <w:szCs w:val="21"/>
        </w:rPr>
        <w:t>.4评标委员会根据各投标人最终得分，由高到低，确定投标人最终排名，排名第一的投标人为该包件的中标侯选人。若排名第一的中标人已确定为其他包件的中标人，则由排名第二的投标人为该包件的中标候选人。若排名第二的中标人也已确定为其他包件的中标人，则由排名第三的投标人为该包件的中标候选人。按顺序依次替补。</w:t>
      </w:r>
    </w:p>
    <w:p w:rsidR="00F66D10" w:rsidRDefault="00F54F90">
      <w:pPr>
        <w:adjustRightInd w:val="0"/>
        <w:snapToGrid w:val="0"/>
        <w:spacing w:line="500" w:lineRule="exact"/>
        <w:ind w:firstLineChars="200" w:firstLine="420"/>
        <w:rPr>
          <w:rFonts w:ascii="宋体" w:hAnsi="宋体"/>
          <w:szCs w:val="21"/>
        </w:rPr>
      </w:pPr>
      <w:r>
        <w:rPr>
          <w:rFonts w:ascii="宋体" w:hAnsi="宋体"/>
          <w:szCs w:val="21"/>
        </w:rPr>
        <w:t>5</w:t>
      </w:r>
      <w:r>
        <w:rPr>
          <w:rFonts w:ascii="宋体" w:hAnsi="宋体" w:hint="eastAsia"/>
          <w:szCs w:val="21"/>
        </w:rPr>
        <w:t>.</w:t>
      </w:r>
      <w:r>
        <w:rPr>
          <w:rFonts w:ascii="宋体" w:hAnsi="宋体"/>
          <w:szCs w:val="21"/>
        </w:rPr>
        <w:t>5</w:t>
      </w:r>
      <w:r>
        <w:rPr>
          <w:rFonts w:ascii="宋体" w:hAnsi="宋体" w:hint="eastAsia"/>
          <w:szCs w:val="21"/>
        </w:rPr>
        <w:t>如果投标人最终得分相同，则按报价由低到高确定排名顺序，如果报价仍相同，则由评标委员会按照少数服从多数原则投票表决。</w:t>
      </w:r>
    </w:p>
    <w:p w:rsidR="00F66D10" w:rsidRDefault="00F54F90">
      <w:pPr>
        <w:adjustRightInd w:val="0"/>
        <w:snapToGrid w:val="0"/>
        <w:spacing w:line="500" w:lineRule="exact"/>
        <w:ind w:firstLineChars="200" w:firstLine="420"/>
        <w:rPr>
          <w:rFonts w:ascii="宋体" w:hAnsi="宋体"/>
          <w:szCs w:val="21"/>
        </w:rPr>
      </w:pPr>
      <w:r>
        <w:rPr>
          <w:rFonts w:ascii="宋体" w:hAnsi="宋体" w:hint="eastAsia"/>
          <w:szCs w:val="21"/>
        </w:rPr>
        <w:t>5.</w:t>
      </w:r>
      <w:bookmarkStart w:id="0" w:name="OLE_LINK1"/>
      <w:r>
        <w:rPr>
          <w:rFonts w:ascii="宋体" w:hAnsi="宋体" w:hint="eastAsia"/>
          <w:szCs w:val="21"/>
        </w:rPr>
        <w:t>6同一投标人不得兼中两个或两个以上包件。如同一中标人在多个包件中排名均为第一的，由电子采购平台按包件号顺序确定中标包件。</w:t>
      </w:r>
    </w:p>
    <w:bookmarkEnd w:id="0"/>
    <w:p w:rsidR="00F66D10" w:rsidRDefault="00F54F90">
      <w:pPr>
        <w:adjustRightInd w:val="0"/>
        <w:snapToGrid w:val="0"/>
        <w:spacing w:line="500" w:lineRule="exact"/>
        <w:ind w:firstLineChars="200" w:firstLine="422"/>
        <w:rPr>
          <w:rFonts w:ascii="宋体" w:hAnsi="宋体"/>
          <w:color w:val="000000"/>
          <w:szCs w:val="21"/>
        </w:rPr>
      </w:pPr>
      <w:r>
        <w:rPr>
          <w:rFonts w:ascii="宋体" w:hAnsi="宋体" w:hint="eastAsia"/>
          <w:b/>
          <w:bCs/>
          <w:color w:val="000000"/>
          <w:szCs w:val="21"/>
        </w:rPr>
        <w:t>二、工作内容</w:t>
      </w:r>
    </w:p>
    <w:p w:rsidR="00F66D10" w:rsidRDefault="00F54F90">
      <w:pPr>
        <w:adjustRightInd w:val="0"/>
        <w:snapToGrid w:val="0"/>
        <w:spacing w:line="500" w:lineRule="exact"/>
        <w:ind w:firstLineChars="200" w:firstLine="420"/>
        <w:rPr>
          <w:rFonts w:ascii="宋体" w:hAnsi="宋体"/>
          <w:color w:val="000000"/>
          <w:szCs w:val="21"/>
        </w:rPr>
      </w:pPr>
      <w:r>
        <w:rPr>
          <w:rFonts w:ascii="宋体" w:hAnsi="宋体" w:hint="eastAsia"/>
          <w:color w:val="000000"/>
          <w:szCs w:val="21"/>
        </w:rPr>
        <w:t>（一）各包件主要工作内容包括（不限于）：</w:t>
      </w:r>
    </w:p>
    <w:p w:rsidR="00F66D10" w:rsidRDefault="00F54F90">
      <w:pPr>
        <w:spacing w:line="360" w:lineRule="auto"/>
        <w:ind w:firstLineChars="200" w:firstLine="420"/>
        <w:rPr>
          <w:rFonts w:ascii="宋体" w:hAnsi="宋体"/>
          <w:color w:val="000000"/>
          <w:szCs w:val="21"/>
        </w:rPr>
      </w:pPr>
      <w:r>
        <w:rPr>
          <w:rFonts w:ascii="宋体" w:hAnsi="宋体" w:hint="eastAsia"/>
          <w:color w:val="000000"/>
          <w:szCs w:val="21"/>
        </w:rPr>
        <w:t>1、建设项目建议书、可行性研究投资估算的审核，项目经济评价，工程概、预、结算、竣工结（决）算的审核；</w:t>
      </w:r>
    </w:p>
    <w:p w:rsidR="00F66D10" w:rsidRDefault="00F54F90">
      <w:pPr>
        <w:spacing w:line="360" w:lineRule="auto"/>
        <w:ind w:firstLineChars="200" w:firstLine="420"/>
        <w:rPr>
          <w:rFonts w:ascii="宋体" w:hAnsi="宋体"/>
          <w:color w:val="000000"/>
          <w:szCs w:val="21"/>
        </w:rPr>
      </w:pPr>
      <w:r>
        <w:rPr>
          <w:rFonts w:ascii="宋体" w:hAnsi="宋体" w:hint="eastAsia"/>
          <w:color w:val="000000"/>
          <w:szCs w:val="21"/>
        </w:rPr>
        <w:t>2、工程量清单、标底（或者控制价）、投标报价的审核，工程合同价款的签订及变更、调整、工程款支付与工程索赔费用的计算；</w:t>
      </w:r>
    </w:p>
    <w:p w:rsidR="00F66D10" w:rsidRDefault="00F54F90">
      <w:pPr>
        <w:spacing w:line="360" w:lineRule="auto"/>
        <w:ind w:firstLineChars="200" w:firstLine="420"/>
        <w:rPr>
          <w:rFonts w:ascii="宋体" w:hAnsi="宋体"/>
          <w:color w:val="000000"/>
          <w:szCs w:val="21"/>
        </w:rPr>
      </w:pPr>
      <w:r>
        <w:rPr>
          <w:rFonts w:ascii="宋体" w:hAnsi="宋体" w:hint="eastAsia"/>
          <w:color w:val="000000"/>
          <w:szCs w:val="21"/>
        </w:rPr>
        <w:t>3、建设项目管理过程中设计方案的优化、限额设计等工程造价分析与控制，工程保险理赔的核查；</w:t>
      </w:r>
    </w:p>
    <w:p w:rsidR="00F66D10" w:rsidRDefault="00F54F90">
      <w:pPr>
        <w:spacing w:line="360" w:lineRule="auto"/>
        <w:ind w:firstLineChars="200" w:firstLine="420"/>
        <w:rPr>
          <w:rFonts w:ascii="宋体" w:hAnsi="宋体"/>
          <w:color w:val="000000"/>
          <w:szCs w:val="21"/>
        </w:rPr>
      </w:pPr>
      <w:r>
        <w:rPr>
          <w:rFonts w:ascii="宋体" w:hAnsi="宋体" w:hint="eastAsia"/>
          <w:color w:val="000000"/>
          <w:szCs w:val="21"/>
        </w:rPr>
        <w:lastRenderedPageBreak/>
        <w:t>4、根据《青浦区政府性投资项目管理办法及其配套办法》等相关规定，协助建管委对有财力投入且具备审计条件的非重大政府性投资项目完成相关审查工作；</w:t>
      </w:r>
    </w:p>
    <w:p w:rsidR="00F66D10" w:rsidRDefault="00F54F90">
      <w:pPr>
        <w:spacing w:line="360" w:lineRule="auto"/>
        <w:ind w:firstLineChars="200" w:firstLine="420"/>
        <w:rPr>
          <w:rFonts w:ascii="宋体" w:hAnsi="宋体"/>
          <w:color w:val="000000"/>
          <w:szCs w:val="21"/>
        </w:rPr>
      </w:pPr>
      <w:r>
        <w:rPr>
          <w:rFonts w:ascii="宋体" w:hAnsi="宋体" w:hint="eastAsia"/>
          <w:color w:val="000000"/>
          <w:szCs w:val="21"/>
        </w:rPr>
        <w:t>5、委托方委托符合法律法规及造价工程师行业规范规定的其他内容；</w:t>
      </w:r>
    </w:p>
    <w:p w:rsidR="00F66D10" w:rsidRDefault="00F54F90">
      <w:pPr>
        <w:spacing w:line="360" w:lineRule="auto"/>
        <w:ind w:firstLineChars="200" w:firstLine="420"/>
        <w:rPr>
          <w:rFonts w:ascii="宋体" w:hAnsi="宋体"/>
          <w:color w:val="000000"/>
          <w:szCs w:val="21"/>
        </w:rPr>
      </w:pPr>
      <w:r>
        <w:rPr>
          <w:rFonts w:ascii="宋体" w:hAnsi="宋体" w:hint="eastAsia"/>
          <w:color w:val="000000"/>
          <w:szCs w:val="21"/>
        </w:rPr>
        <w:t>6、委托方可根据实际项目送审</w:t>
      </w:r>
      <w:r>
        <w:rPr>
          <w:rFonts w:ascii="宋体" w:hAnsi="宋体"/>
          <w:color w:val="000000"/>
          <w:szCs w:val="21"/>
        </w:rPr>
        <w:t>情</w:t>
      </w:r>
      <w:r>
        <w:rPr>
          <w:rFonts w:ascii="宋体" w:hAnsi="宋体" w:hint="eastAsia"/>
          <w:color w:val="000000"/>
          <w:szCs w:val="21"/>
        </w:rPr>
        <w:t>况</w:t>
      </w:r>
      <w:r>
        <w:rPr>
          <w:rFonts w:ascii="宋体" w:hAnsi="宋体"/>
          <w:color w:val="000000"/>
          <w:szCs w:val="21"/>
        </w:rPr>
        <w:t>及</w:t>
      </w:r>
      <w:r>
        <w:rPr>
          <w:rFonts w:ascii="宋体" w:hAnsi="宋体" w:hint="eastAsia"/>
          <w:color w:val="000000"/>
          <w:szCs w:val="21"/>
        </w:rPr>
        <w:t>时效</w:t>
      </w:r>
      <w:r>
        <w:rPr>
          <w:rFonts w:ascii="宋体" w:hAnsi="宋体"/>
          <w:color w:val="000000"/>
          <w:szCs w:val="21"/>
        </w:rPr>
        <w:t>情况，</w:t>
      </w:r>
      <w:r>
        <w:rPr>
          <w:rFonts w:ascii="宋体" w:hAnsi="宋体" w:hint="eastAsia"/>
          <w:color w:val="000000"/>
          <w:szCs w:val="21"/>
        </w:rPr>
        <w:t>对具体项目进行</w:t>
      </w:r>
      <w:r>
        <w:rPr>
          <w:rFonts w:ascii="宋体" w:hAnsi="宋体"/>
          <w:color w:val="000000"/>
          <w:szCs w:val="21"/>
        </w:rPr>
        <w:t>内部</w:t>
      </w:r>
      <w:r>
        <w:rPr>
          <w:rFonts w:ascii="宋体" w:hAnsi="宋体" w:hint="eastAsia"/>
          <w:color w:val="000000"/>
          <w:szCs w:val="21"/>
        </w:rPr>
        <w:t>调整。</w:t>
      </w:r>
    </w:p>
    <w:p w:rsidR="00F66D10" w:rsidRDefault="00F54F90">
      <w:pPr>
        <w:spacing w:line="360" w:lineRule="auto"/>
        <w:ind w:firstLineChars="200" w:firstLine="420"/>
        <w:rPr>
          <w:rFonts w:ascii="宋体" w:hAnsi="宋体" w:hint="eastAsia"/>
          <w:color w:val="000000"/>
          <w:szCs w:val="21"/>
        </w:rPr>
      </w:pPr>
      <w:r>
        <w:rPr>
          <w:rFonts w:ascii="宋体" w:hAnsi="宋体" w:hint="eastAsia"/>
          <w:color w:val="000000"/>
          <w:szCs w:val="21"/>
        </w:rPr>
        <w:t>注：</w:t>
      </w:r>
      <w:r>
        <w:rPr>
          <w:rFonts w:ascii="宋体" w:hAnsi="宋体"/>
          <w:color w:val="000000"/>
          <w:szCs w:val="21"/>
        </w:rPr>
        <w:t>为增加本项目各包件参与投标的竞争力，同时考虑到各包件都能顺利开展招标工作，本次招标项目鼓励投标人对</w:t>
      </w:r>
      <w:r>
        <w:rPr>
          <w:rFonts w:ascii="宋体" w:hAnsi="宋体" w:hint="eastAsia"/>
          <w:color w:val="000000"/>
          <w:szCs w:val="21"/>
        </w:rPr>
        <w:t>同类</w:t>
      </w:r>
      <w:r>
        <w:rPr>
          <w:rFonts w:ascii="宋体" w:hAnsi="宋体"/>
          <w:color w:val="000000"/>
          <w:szCs w:val="21"/>
        </w:rPr>
        <w:t>包件都进行投标</w:t>
      </w:r>
      <w:r w:rsidR="00A85C7C">
        <w:rPr>
          <w:rFonts w:ascii="宋体" w:hAnsi="宋体" w:hint="eastAsia"/>
          <w:color w:val="000000"/>
          <w:szCs w:val="21"/>
        </w:rPr>
        <w:t>。</w:t>
      </w:r>
    </w:p>
    <w:p w:rsidR="00F66D10" w:rsidRDefault="00F54F90">
      <w:pPr>
        <w:spacing w:line="360" w:lineRule="auto"/>
        <w:ind w:firstLineChars="200" w:firstLine="420"/>
        <w:rPr>
          <w:rFonts w:ascii="宋体" w:hAnsi="宋体"/>
          <w:color w:val="000000"/>
          <w:szCs w:val="21"/>
        </w:rPr>
      </w:pPr>
      <w:r>
        <w:rPr>
          <w:rFonts w:ascii="宋体" w:hAnsi="宋体"/>
          <w:color w:val="000000"/>
          <w:szCs w:val="21"/>
        </w:rPr>
        <w:t>上表中所述总投资为</w:t>
      </w:r>
      <w:r>
        <w:rPr>
          <w:rFonts w:ascii="宋体" w:hAnsi="宋体" w:hint="eastAsia"/>
          <w:color w:val="000000"/>
          <w:szCs w:val="21"/>
        </w:rPr>
        <w:t>各单位本年度</w:t>
      </w:r>
      <w:r>
        <w:rPr>
          <w:rFonts w:ascii="宋体" w:hAnsi="宋体"/>
          <w:color w:val="000000"/>
          <w:szCs w:val="21"/>
        </w:rPr>
        <w:t>拟送审计所列预估</w:t>
      </w:r>
      <w:r>
        <w:rPr>
          <w:rFonts w:ascii="宋体" w:hAnsi="宋体" w:hint="eastAsia"/>
          <w:color w:val="000000"/>
          <w:szCs w:val="21"/>
        </w:rPr>
        <w:t>合同额</w:t>
      </w:r>
      <w:r>
        <w:rPr>
          <w:rFonts w:ascii="宋体" w:hAnsi="宋体"/>
          <w:color w:val="000000"/>
          <w:szCs w:val="21"/>
        </w:rPr>
        <w:t>，最终金额以</w:t>
      </w:r>
      <w:r>
        <w:rPr>
          <w:rFonts w:ascii="宋体" w:hAnsi="宋体" w:hint="eastAsia"/>
          <w:color w:val="000000"/>
          <w:szCs w:val="21"/>
        </w:rPr>
        <w:t>委托单</w:t>
      </w:r>
      <w:r>
        <w:rPr>
          <w:rFonts w:ascii="宋体" w:hAnsi="宋体"/>
          <w:color w:val="000000"/>
          <w:szCs w:val="21"/>
        </w:rPr>
        <w:t>为准。若包件中所含项目因不可抗力等因素取消的，后期不再作任何补偿。</w:t>
      </w:r>
    </w:p>
    <w:p w:rsidR="00F66D10" w:rsidRDefault="00F54F90">
      <w:pPr>
        <w:spacing w:line="360" w:lineRule="auto"/>
        <w:ind w:firstLineChars="200" w:firstLine="420"/>
        <w:rPr>
          <w:rFonts w:ascii="宋体" w:hAnsi="宋体"/>
          <w:color w:val="000000"/>
          <w:szCs w:val="21"/>
        </w:rPr>
      </w:pPr>
      <w:r>
        <w:rPr>
          <w:rFonts w:ascii="宋体" w:hAnsi="宋体"/>
          <w:color w:val="000000"/>
          <w:szCs w:val="21"/>
        </w:rPr>
        <w:t>每个包件中均包含各专业</w:t>
      </w:r>
      <w:r>
        <w:rPr>
          <w:rFonts w:ascii="宋体" w:hAnsi="宋体" w:hint="eastAsia"/>
          <w:color w:val="000000"/>
          <w:szCs w:val="21"/>
        </w:rPr>
        <w:t>不同</w:t>
      </w:r>
      <w:r>
        <w:rPr>
          <w:rFonts w:ascii="宋体" w:hAnsi="宋体"/>
          <w:color w:val="000000"/>
          <w:szCs w:val="21"/>
        </w:rPr>
        <w:t>类型项目</w:t>
      </w:r>
      <w:r>
        <w:rPr>
          <w:rFonts w:ascii="宋体" w:hAnsi="宋体" w:hint="eastAsia"/>
          <w:color w:val="000000"/>
          <w:szCs w:val="21"/>
        </w:rPr>
        <w:t>。</w:t>
      </w:r>
    </w:p>
    <w:p w:rsidR="00F66D10" w:rsidRDefault="00F66D10">
      <w:pPr>
        <w:adjustRightInd w:val="0"/>
        <w:snapToGrid w:val="0"/>
        <w:spacing w:line="500" w:lineRule="exact"/>
        <w:ind w:firstLineChars="200" w:firstLine="420"/>
        <w:rPr>
          <w:rFonts w:ascii="宋体" w:hAnsi="宋体"/>
          <w:color w:val="000000"/>
          <w:szCs w:val="21"/>
        </w:rPr>
      </w:pPr>
    </w:p>
    <w:p w:rsidR="00F66D10" w:rsidRDefault="00F54F90">
      <w:pPr>
        <w:adjustRightInd w:val="0"/>
        <w:snapToGrid w:val="0"/>
        <w:spacing w:line="360" w:lineRule="auto"/>
        <w:ind w:firstLineChars="200" w:firstLine="422"/>
        <w:rPr>
          <w:rFonts w:ascii="宋体" w:hAnsi="宋体"/>
          <w:b/>
          <w:szCs w:val="21"/>
        </w:rPr>
      </w:pPr>
      <w:r>
        <w:rPr>
          <w:rFonts w:ascii="宋体" w:hAnsi="宋体" w:hint="eastAsia"/>
          <w:b/>
          <w:szCs w:val="21"/>
        </w:rPr>
        <w:t>五、工作分配机制</w:t>
      </w:r>
    </w:p>
    <w:p w:rsidR="00F66D10" w:rsidRDefault="00F54F90">
      <w:pPr>
        <w:spacing w:line="500" w:lineRule="exact"/>
        <w:ind w:firstLine="570"/>
        <w:rPr>
          <w:rFonts w:ascii="宋体" w:hAnsi="宋体"/>
          <w:color w:val="000000"/>
          <w:szCs w:val="21"/>
        </w:rPr>
      </w:pPr>
      <w:r>
        <w:rPr>
          <w:rFonts w:ascii="宋体" w:hAnsi="宋体" w:hint="eastAsia"/>
          <w:color w:val="000000"/>
          <w:szCs w:val="21"/>
        </w:rPr>
        <w:t>本项目按照2</w:t>
      </w:r>
      <w:r>
        <w:rPr>
          <w:rFonts w:ascii="宋体" w:hAnsi="宋体"/>
          <w:color w:val="000000"/>
          <w:szCs w:val="21"/>
        </w:rPr>
        <w:t>021</w:t>
      </w:r>
      <w:r>
        <w:rPr>
          <w:rFonts w:ascii="宋体" w:hAnsi="宋体" w:hint="eastAsia"/>
          <w:color w:val="000000"/>
          <w:szCs w:val="21"/>
        </w:rPr>
        <w:t>年</w:t>
      </w:r>
      <w:r>
        <w:rPr>
          <w:rFonts w:ascii="宋体" w:hAnsi="宋体" w:hint="eastAsia"/>
        </w:rPr>
        <w:t>青浦区非重大政府性投资项目工程审计服务</w:t>
      </w:r>
      <w:r>
        <w:rPr>
          <w:rFonts w:ascii="宋体" w:hAnsi="宋体" w:hint="eastAsia"/>
          <w:color w:val="000000"/>
          <w:szCs w:val="21"/>
        </w:rPr>
        <w:t>拟</w:t>
      </w:r>
      <w:r>
        <w:rPr>
          <w:rFonts w:ascii="宋体" w:hAnsi="宋体"/>
          <w:color w:val="000000"/>
          <w:szCs w:val="21"/>
        </w:rPr>
        <w:t>报</w:t>
      </w:r>
      <w:r>
        <w:rPr>
          <w:rFonts w:ascii="宋体" w:hAnsi="宋体" w:hint="eastAsia"/>
          <w:color w:val="000000"/>
          <w:szCs w:val="21"/>
        </w:rPr>
        <w:t>数量，分为1</w:t>
      </w:r>
      <w:r>
        <w:rPr>
          <w:rFonts w:ascii="宋体" w:hAnsi="宋体"/>
          <w:color w:val="000000"/>
          <w:szCs w:val="21"/>
        </w:rPr>
        <w:t>1</w:t>
      </w:r>
      <w:r>
        <w:rPr>
          <w:rFonts w:ascii="宋体" w:hAnsi="宋体" w:hint="eastAsia"/>
          <w:color w:val="000000"/>
          <w:szCs w:val="21"/>
        </w:rPr>
        <w:t>个包件，采购人根据投标</w:t>
      </w:r>
      <w:r>
        <w:rPr>
          <w:rFonts w:ascii="宋体" w:hAnsi="宋体"/>
          <w:color w:val="000000"/>
          <w:szCs w:val="21"/>
        </w:rPr>
        <w:t>人</w:t>
      </w:r>
      <w:r>
        <w:rPr>
          <w:rFonts w:ascii="宋体" w:hAnsi="宋体" w:hint="eastAsia"/>
          <w:color w:val="000000"/>
          <w:szCs w:val="21"/>
        </w:rPr>
        <w:t>综合实力及审计时效</w:t>
      </w:r>
      <w:r w:rsidR="00A85C7C">
        <w:rPr>
          <w:rFonts w:ascii="宋体" w:hAnsi="宋体" w:hint="eastAsia"/>
          <w:color w:val="000000"/>
          <w:szCs w:val="21"/>
        </w:rPr>
        <w:t>平均</w:t>
      </w:r>
      <w:r>
        <w:rPr>
          <w:rFonts w:ascii="宋体" w:hAnsi="宋体" w:hint="eastAsia"/>
          <w:color w:val="000000"/>
          <w:szCs w:val="21"/>
        </w:rPr>
        <w:t>安排相应包件委托审计工作。</w:t>
      </w:r>
    </w:p>
    <w:p w:rsidR="00F66D10" w:rsidRDefault="00F66D10">
      <w:pPr>
        <w:spacing w:line="500" w:lineRule="exact"/>
        <w:ind w:firstLine="570"/>
        <w:rPr>
          <w:rFonts w:ascii="宋体" w:hAnsi="宋体"/>
          <w:color w:val="000000"/>
          <w:szCs w:val="21"/>
        </w:rPr>
      </w:pPr>
    </w:p>
    <w:p w:rsidR="00F66D10" w:rsidRDefault="00F54F90">
      <w:pPr>
        <w:adjustRightInd w:val="0"/>
        <w:snapToGrid w:val="0"/>
        <w:spacing w:line="360" w:lineRule="auto"/>
        <w:ind w:firstLineChars="200" w:firstLine="422"/>
        <w:rPr>
          <w:rFonts w:ascii="宋体" w:hAnsi="宋体"/>
          <w:b/>
          <w:szCs w:val="21"/>
        </w:rPr>
      </w:pPr>
      <w:r>
        <w:rPr>
          <w:rFonts w:ascii="宋体" w:hAnsi="宋体" w:hint="eastAsia"/>
          <w:b/>
          <w:szCs w:val="21"/>
        </w:rPr>
        <w:t>六、服务费用</w:t>
      </w:r>
    </w:p>
    <w:p w:rsidR="00F66D10" w:rsidRDefault="00F54F90">
      <w:pPr>
        <w:spacing w:line="360" w:lineRule="auto"/>
        <w:ind w:firstLineChars="200" w:firstLine="420"/>
        <w:rPr>
          <w:rFonts w:ascii="宋体" w:hAnsi="宋体"/>
          <w:color w:val="000000"/>
          <w:szCs w:val="21"/>
        </w:rPr>
      </w:pPr>
      <w:r>
        <w:rPr>
          <w:rFonts w:ascii="宋体" w:hAnsi="宋体" w:hint="eastAsia"/>
          <w:color w:val="000000"/>
          <w:szCs w:val="21"/>
        </w:rPr>
        <w:t>（一）甲方支付由其委托的青浦区非重大政府投资项目所发生的全部审计费用，乙方不得以任何名义向建设单位、施工单位收取任何费用。</w:t>
      </w:r>
    </w:p>
    <w:p w:rsidR="00F66D10" w:rsidRDefault="00F54F90">
      <w:pPr>
        <w:spacing w:line="360" w:lineRule="auto"/>
        <w:ind w:firstLineChars="200" w:firstLine="420"/>
      </w:pPr>
      <w:r>
        <w:rPr>
          <w:rFonts w:ascii="宋体" w:hAnsi="宋体" w:hint="eastAsia"/>
          <w:color w:val="000000"/>
          <w:szCs w:val="21"/>
        </w:rPr>
        <w:t>（二）审计服务费用根据双方合同以及考核结果，按照项目进度情</w:t>
      </w:r>
      <w:r>
        <w:rPr>
          <w:rFonts w:hint="eastAsia"/>
        </w:rPr>
        <w:t>况支付费用。</w:t>
      </w:r>
    </w:p>
    <w:p w:rsidR="00F66D10" w:rsidRDefault="00F66D10">
      <w:pPr>
        <w:spacing w:line="360" w:lineRule="auto"/>
        <w:ind w:firstLineChars="200" w:firstLine="420"/>
      </w:pPr>
    </w:p>
    <w:p w:rsidR="00F66D10" w:rsidRDefault="00F54F90">
      <w:pPr>
        <w:adjustRightInd w:val="0"/>
        <w:snapToGrid w:val="0"/>
        <w:spacing w:line="360" w:lineRule="auto"/>
        <w:ind w:firstLineChars="200" w:firstLine="422"/>
        <w:rPr>
          <w:rFonts w:ascii="宋体" w:hAnsi="宋体"/>
          <w:b/>
          <w:szCs w:val="21"/>
        </w:rPr>
      </w:pPr>
      <w:r>
        <w:rPr>
          <w:rFonts w:ascii="宋体" w:hAnsi="宋体" w:hint="eastAsia"/>
          <w:b/>
          <w:szCs w:val="21"/>
        </w:rPr>
        <w:t>七、工作要求</w:t>
      </w:r>
    </w:p>
    <w:p w:rsidR="00F66D10" w:rsidRDefault="00F54F90">
      <w:pPr>
        <w:pStyle w:val="a3"/>
        <w:spacing w:line="360" w:lineRule="auto"/>
        <w:rPr>
          <w:rFonts w:ascii="宋体" w:hAnsi="宋体"/>
          <w:color w:val="000000"/>
          <w:szCs w:val="21"/>
        </w:rPr>
      </w:pPr>
      <w:r>
        <w:rPr>
          <w:rFonts w:ascii="宋体" w:hAnsi="宋体" w:hint="eastAsia"/>
          <w:color w:val="000000"/>
          <w:szCs w:val="21"/>
        </w:rPr>
        <w:t>1.投标人应本着“独立、科学、真实、守法”的原则，为青浦区非</w:t>
      </w:r>
      <w:r>
        <w:rPr>
          <w:rFonts w:ascii="宋体" w:hAnsi="宋体"/>
          <w:color w:val="000000"/>
          <w:szCs w:val="21"/>
        </w:rPr>
        <w:t>重大</w:t>
      </w:r>
      <w:r>
        <w:rPr>
          <w:rFonts w:ascii="宋体" w:hAnsi="宋体" w:hint="eastAsia"/>
          <w:color w:val="000000"/>
          <w:szCs w:val="21"/>
        </w:rPr>
        <w:t>政府性投资项目审计提供服务，服务期内如发生违反法律、法规、青浦区有关规定、招标要求及投标承诺的行为，按照国家相关法律、法规及青浦区相关规定执行。</w:t>
      </w:r>
    </w:p>
    <w:p w:rsidR="00F66D10" w:rsidRDefault="00F54F90">
      <w:pPr>
        <w:pStyle w:val="a3"/>
        <w:spacing w:line="360" w:lineRule="auto"/>
        <w:rPr>
          <w:rFonts w:ascii="宋体" w:hAnsi="宋体"/>
          <w:color w:val="000000"/>
          <w:szCs w:val="21"/>
        </w:rPr>
      </w:pPr>
      <w:r>
        <w:rPr>
          <w:rFonts w:ascii="宋体" w:hAnsi="宋体" w:hint="eastAsia"/>
          <w:color w:val="000000"/>
          <w:szCs w:val="21"/>
        </w:rPr>
        <w:t>2.投标人的委派人员应保持必要的职业谨慎，在项目审计中如发现异常情况或重大问题应当及时向招标方汇报。</w:t>
      </w:r>
    </w:p>
    <w:p w:rsidR="00F66D10" w:rsidRDefault="00F54F90">
      <w:pPr>
        <w:pStyle w:val="a3"/>
        <w:spacing w:line="360" w:lineRule="auto"/>
        <w:rPr>
          <w:rFonts w:ascii="宋体" w:hAnsi="宋体"/>
          <w:color w:val="000000"/>
          <w:szCs w:val="21"/>
        </w:rPr>
      </w:pPr>
      <w:r>
        <w:rPr>
          <w:rFonts w:ascii="宋体" w:hAnsi="宋体" w:hint="eastAsia"/>
          <w:color w:val="000000"/>
          <w:szCs w:val="21"/>
        </w:rPr>
        <w:t>3.投标人委派人员未取得注册造价工程师证书和职业印章的，不得以注册造价师的名义从事工程造价委托服务。请根据投标人自身情况配备一定数量的其他相关专业人员。</w:t>
      </w:r>
    </w:p>
    <w:p w:rsidR="00F66D10" w:rsidRDefault="00F54F90">
      <w:pPr>
        <w:pStyle w:val="a3"/>
        <w:spacing w:line="360" w:lineRule="auto"/>
        <w:rPr>
          <w:rFonts w:ascii="宋体" w:hAnsi="宋体"/>
          <w:color w:val="000000"/>
          <w:szCs w:val="21"/>
        </w:rPr>
      </w:pPr>
      <w:r>
        <w:rPr>
          <w:rFonts w:ascii="宋体" w:hAnsi="宋体" w:hint="eastAsia"/>
          <w:color w:val="000000"/>
          <w:szCs w:val="21"/>
        </w:rPr>
        <w:t>4.投标人必须按照招标方的要求，在规定时限内完成审计任务，并将所承接业务进度情况，每月按时报招标方。因特殊情况，致使无法在上述规定时间内完成的，投标人应书面报告招标方，并合理提出和确定完成时间。</w:t>
      </w:r>
    </w:p>
    <w:p w:rsidR="00F66D10" w:rsidRDefault="00F54F90">
      <w:pPr>
        <w:pStyle w:val="a3"/>
        <w:spacing w:line="360" w:lineRule="auto"/>
        <w:rPr>
          <w:rFonts w:ascii="宋体" w:hAnsi="宋体"/>
          <w:color w:val="000000"/>
          <w:szCs w:val="21"/>
        </w:rPr>
      </w:pPr>
      <w:r>
        <w:rPr>
          <w:rFonts w:ascii="宋体" w:hAnsi="宋体" w:hint="eastAsia"/>
          <w:color w:val="000000"/>
          <w:szCs w:val="21"/>
        </w:rPr>
        <w:lastRenderedPageBreak/>
        <w:t>5.投标人委派人员与审计项目的相关单位和个人有利害关系的，应当主动回避；投标人主要负责人与审计项目的相关单位和个人有利害关系的，投标人应主动回避。</w:t>
      </w:r>
    </w:p>
    <w:p w:rsidR="00F66D10" w:rsidRDefault="00F54F90">
      <w:pPr>
        <w:pStyle w:val="a3"/>
        <w:spacing w:line="360" w:lineRule="auto"/>
        <w:rPr>
          <w:rFonts w:ascii="宋体" w:hAnsi="宋体"/>
          <w:color w:val="000000"/>
          <w:szCs w:val="21"/>
        </w:rPr>
      </w:pPr>
      <w:r>
        <w:rPr>
          <w:rFonts w:ascii="宋体" w:hAnsi="宋体" w:hint="eastAsia"/>
          <w:color w:val="000000"/>
          <w:szCs w:val="21"/>
        </w:rPr>
        <w:t>6.投标人无故延期审计时限，相应扣减该项目审计服务费。当年无故延期审计项目累计达到3个以上的，减少审计委托项目数量。</w:t>
      </w:r>
    </w:p>
    <w:p w:rsidR="00F66D10" w:rsidRDefault="00F54F90">
      <w:pPr>
        <w:pStyle w:val="a3"/>
        <w:spacing w:line="360" w:lineRule="auto"/>
        <w:rPr>
          <w:rFonts w:ascii="宋体" w:hAnsi="宋体"/>
          <w:color w:val="000000"/>
          <w:szCs w:val="21"/>
        </w:rPr>
      </w:pPr>
      <w:r>
        <w:rPr>
          <w:rFonts w:ascii="宋体" w:hAnsi="宋体" w:hint="eastAsia"/>
          <w:color w:val="000000"/>
          <w:szCs w:val="21"/>
        </w:rPr>
        <w:t>7.投标人应加强对委派人员的管理和监督。有下列情况之一的，一经发现，招标方将立即中止、取消投标人的定点资格，并在3年内不接受该单位对青浦区政府性投资项目的审计服务；构成犯罪的，移送司法机关处理：</w:t>
      </w:r>
    </w:p>
    <w:p w:rsidR="00F66D10" w:rsidRDefault="00F54F90">
      <w:pPr>
        <w:pStyle w:val="a3"/>
        <w:spacing w:line="360" w:lineRule="auto"/>
        <w:rPr>
          <w:rFonts w:ascii="宋体" w:hAnsi="宋体"/>
          <w:color w:val="000000"/>
          <w:szCs w:val="21"/>
        </w:rPr>
      </w:pPr>
      <w:r>
        <w:rPr>
          <w:rFonts w:ascii="宋体" w:hAnsi="宋体" w:hint="eastAsia"/>
          <w:color w:val="000000"/>
          <w:szCs w:val="21"/>
        </w:rPr>
        <w:t>（1）严重失职、业务水平低劣或故意出具含有虚假、高估冒算、带有偏见、误导性的审计报告，造成重大经济损失的；</w:t>
      </w:r>
      <w:r>
        <w:rPr>
          <w:rFonts w:ascii="宋体" w:hAnsi="宋体"/>
          <w:color w:val="000000"/>
          <w:szCs w:val="21"/>
        </w:rPr>
        <w:t xml:space="preserve"> </w:t>
      </w:r>
    </w:p>
    <w:p w:rsidR="00F66D10" w:rsidRDefault="00F54F90">
      <w:pPr>
        <w:pStyle w:val="a3"/>
        <w:spacing w:line="360" w:lineRule="auto"/>
        <w:rPr>
          <w:rFonts w:ascii="宋体" w:hAnsi="宋体"/>
          <w:color w:val="000000"/>
          <w:szCs w:val="21"/>
        </w:rPr>
      </w:pPr>
      <w:r>
        <w:rPr>
          <w:rFonts w:ascii="宋体" w:hAnsi="宋体" w:hint="eastAsia"/>
          <w:color w:val="000000"/>
          <w:szCs w:val="21"/>
        </w:rPr>
        <w:t>（2）徇私舞弊、滥用职权及违反回避制度造成审计结果严重失实的；</w:t>
      </w:r>
      <w:r>
        <w:rPr>
          <w:rFonts w:ascii="宋体" w:hAnsi="宋体"/>
          <w:color w:val="000000"/>
          <w:szCs w:val="21"/>
        </w:rPr>
        <w:t xml:space="preserve"> </w:t>
      </w:r>
    </w:p>
    <w:p w:rsidR="00F66D10" w:rsidRDefault="00F54F90">
      <w:pPr>
        <w:pStyle w:val="a3"/>
        <w:spacing w:line="360" w:lineRule="auto"/>
        <w:rPr>
          <w:rFonts w:ascii="宋体" w:hAnsi="宋体"/>
          <w:color w:val="000000"/>
          <w:szCs w:val="21"/>
        </w:rPr>
      </w:pPr>
      <w:r>
        <w:rPr>
          <w:rFonts w:ascii="宋体" w:hAnsi="宋体" w:hint="eastAsia"/>
          <w:color w:val="000000"/>
          <w:szCs w:val="21"/>
        </w:rPr>
        <w:t>（3）索贿、受贿及发生其他重大过失等情况的；</w:t>
      </w:r>
      <w:r>
        <w:rPr>
          <w:rFonts w:ascii="宋体" w:hAnsi="宋体"/>
          <w:color w:val="000000"/>
          <w:szCs w:val="21"/>
        </w:rPr>
        <w:t xml:space="preserve"> </w:t>
      </w:r>
    </w:p>
    <w:p w:rsidR="00F66D10" w:rsidRDefault="00F54F90">
      <w:pPr>
        <w:pStyle w:val="a3"/>
        <w:spacing w:line="360" w:lineRule="auto"/>
        <w:rPr>
          <w:rFonts w:ascii="宋体" w:hAnsi="宋体"/>
          <w:color w:val="000000"/>
          <w:szCs w:val="21"/>
        </w:rPr>
      </w:pPr>
      <w:r>
        <w:rPr>
          <w:rFonts w:ascii="宋体" w:hAnsi="宋体" w:hint="eastAsia"/>
          <w:color w:val="000000"/>
          <w:szCs w:val="21"/>
        </w:rPr>
        <w:t>（4）违反审计纪律和区审计机关“八不准”规定，造成不良影响的。</w:t>
      </w:r>
    </w:p>
    <w:p w:rsidR="00F66D10" w:rsidRDefault="00F54F90">
      <w:pPr>
        <w:pStyle w:val="a3"/>
        <w:spacing w:line="360" w:lineRule="auto"/>
        <w:rPr>
          <w:rFonts w:ascii="宋体" w:hAnsi="宋体"/>
          <w:color w:val="000000"/>
          <w:szCs w:val="21"/>
        </w:rPr>
      </w:pPr>
      <w:r>
        <w:rPr>
          <w:rFonts w:ascii="宋体" w:hAnsi="宋体" w:hint="eastAsia"/>
          <w:color w:val="000000"/>
          <w:szCs w:val="21"/>
        </w:rPr>
        <w:t>8.投标人接受项目委托后须保持委派人员通讯畅通，做到及时响应；</w:t>
      </w:r>
    </w:p>
    <w:p w:rsidR="00F66D10" w:rsidRDefault="00F54F90">
      <w:pPr>
        <w:pStyle w:val="a3"/>
        <w:spacing w:line="360" w:lineRule="auto"/>
        <w:rPr>
          <w:rFonts w:ascii="宋体" w:hAnsi="宋体"/>
          <w:color w:val="000000"/>
          <w:szCs w:val="21"/>
        </w:rPr>
      </w:pPr>
      <w:r>
        <w:rPr>
          <w:rFonts w:ascii="宋体" w:hAnsi="宋体" w:hint="eastAsia"/>
          <w:color w:val="000000"/>
          <w:szCs w:val="21"/>
        </w:rPr>
        <w:t>9.投标人提供的服务，必须符合国家标准，并对质量负全部责任；</w:t>
      </w:r>
    </w:p>
    <w:p w:rsidR="00F66D10" w:rsidRDefault="00F54F90">
      <w:pPr>
        <w:pStyle w:val="a3"/>
        <w:spacing w:line="360" w:lineRule="auto"/>
        <w:rPr>
          <w:rFonts w:ascii="宋体" w:hAnsi="宋体"/>
          <w:color w:val="000000"/>
          <w:szCs w:val="21"/>
        </w:rPr>
      </w:pPr>
      <w:r>
        <w:rPr>
          <w:rFonts w:ascii="宋体" w:hAnsi="宋体" w:hint="eastAsia"/>
          <w:color w:val="000000"/>
          <w:szCs w:val="21"/>
        </w:rPr>
        <w:t>10.投标人如遇特殊因素导致服务不能正常提供，必须提前一个月以书面形式发函报招标方批准；</w:t>
      </w:r>
    </w:p>
    <w:p w:rsidR="00F66D10" w:rsidRDefault="00F54F90">
      <w:pPr>
        <w:pStyle w:val="a3"/>
        <w:spacing w:line="360" w:lineRule="auto"/>
        <w:rPr>
          <w:rFonts w:ascii="宋体" w:hAnsi="宋体"/>
          <w:color w:val="000000"/>
          <w:szCs w:val="21"/>
        </w:rPr>
      </w:pPr>
      <w:r>
        <w:rPr>
          <w:rFonts w:ascii="宋体" w:hAnsi="宋体" w:hint="eastAsia"/>
          <w:color w:val="000000"/>
          <w:szCs w:val="21"/>
        </w:rPr>
        <w:t>11.招标方将定期对投标人服务质量进行考核，如发现不合格或服务质量较差者将在本轮定点有效期内不安排或少安排项目；</w:t>
      </w:r>
    </w:p>
    <w:p w:rsidR="00F66D10" w:rsidRDefault="00F54F90">
      <w:pPr>
        <w:pStyle w:val="a3"/>
        <w:spacing w:line="360" w:lineRule="auto"/>
        <w:rPr>
          <w:rFonts w:ascii="宋体" w:hAnsi="宋体"/>
          <w:color w:val="000000"/>
          <w:szCs w:val="21"/>
        </w:rPr>
      </w:pPr>
      <w:r>
        <w:rPr>
          <w:rFonts w:ascii="宋体" w:hAnsi="宋体" w:hint="eastAsia"/>
          <w:color w:val="000000"/>
          <w:szCs w:val="21"/>
        </w:rPr>
        <w:t>12.本要求未及事宜，均以上海市建设工程主管部门及建管委的规定为准。</w:t>
      </w:r>
      <w:bookmarkStart w:id="1" w:name="_GoBack"/>
      <w:bookmarkEnd w:id="1"/>
    </w:p>
    <w:p w:rsidR="00F66D10" w:rsidRDefault="00F66D10">
      <w:pPr>
        <w:adjustRightInd w:val="0"/>
        <w:snapToGrid w:val="0"/>
        <w:spacing w:line="500" w:lineRule="exact"/>
        <w:ind w:firstLineChars="200" w:firstLine="420"/>
        <w:rPr>
          <w:rFonts w:ascii="宋体" w:hAnsi="宋体"/>
          <w:color w:val="000000"/>
          <w:szCs w:val="21"/>
        </w:rPr>
      </w:pPr>
    </w:p>
    <w:p w:rsidR="00F66D10" w:rsidRDefault="00F54F90">
      <w:pPr>
        <w:adjustRightInd w:val="0"/>
        <w:snapToGrid w:val="0"/>
        <w:spacing w:line="360" w:lineRule="auto"/>
        <w:ind w:firstLineChars="200" w:firstLine="422"/>
        <w:rPr>
          <w:rFonts w:ascii="宋体" w:hAnsi="宋体"/>
          <w:b/>
          <w:szCs w:val="21"/>
        </w:rPr>
      </w:pPr>
      <w:r>
        <w:rPr>
          <w:rFonts w:ascii="宋体" w:hAnsi="宋体" w:hint="eastAsia"/>
          <w:b/>
          <w:szCs w:val="21"/>
        </w:rPr>
        <w:t>八、服务质量考核</w:t>
      </w:r>
    </w:p>
    <w:p w:rsidR="00F66D10" w:rsidRDefault="00F54F90">
      <w:pPr>
        <w:pStyle w:val="a3"/>
        <w:spacing w:line="360" w:lineRule="auto"/>
        <w:rPr>
          <w:rFonts w:ascii="宋体" w:hAnsi="宋体"/>
          <w:color w:val="000000"/>
          <w:szCs w:val="21"/>
        </w:rPr>
      </w:pPr>
      <w:r>
        <w:rPr>
          <w:rFonts w:ascii="宋体" w:hAnsi="宋体" w:hint="eastAsia"/>
          <w:color w:val="000000"/>
          <w:szCs w:val="21"/>
        </w:rPr>
        <w:t>根据《青浦区建管委定点社会中介机构考核办法》</w:t>
      </w:r>
      <w:r>
        <w:rPr>
          <w:rFonts w:ascii="宋体" w:hAnsi="宋体"/>
          <w:color w:val="000000"/>
          <w:szCs w:val="21"/>
        </w:rPr>
        <w:t>。</w:t>
      </w:r>
    </w:p>
    <w:p w:rsidR="00F66D10" w:rsidRDefault="00F66D10"/>
    <w:sectPr w:rsidR="00F66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E72" w:rsidRDefault="00141E72" w:rsidP="00F4412F">
      <w:r>
        <w:separator/>
      </w:r>
    </w:p>
  </w:endnote>
  <w:endnote w:type="continuationSeparator" w:id="0">
    <w:p w:rsidR="00141E72" w:rsidRDefault="00141E72" w:rsidP="00F44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E72" w:rsidRDefault="00141E72" w:rsidP="00F4412F">
      <w:r>
        <w:separator/>
      </w:r>
    </w:p>
  </w:footnote>
  <w:footnote w:type="continuationSeparator" w:id="0">
    <w:p w:rsidR="00141E72" w:rsidRDefault="00141E72" w:rsidP="00F441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0A779D"/>
    <w:rsid w:val="00141E72"/>
    <w:rsid w:val="001D4805"/>
    <w:rsid w:val="0053643F"/>
    <w:rsid w:val="00794CDF"/>
    <w:rsid w:val="00A85C7C"/>
    <w:rsid w:val="00ED5163"/>
    <w:rsid w:val="00F4412F"/>
    <w:rsid w:val="00F54F90"/>
    <w:rsid w:val="00F66D10"/>
    <w:rsid w:val="250A779D"/>
    <w:rsid w:val="78AC7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E9C0B"/>
  <w15:docId w15:val="{7592A6B9-0DF8-440E-A4BD-60A452EB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5"/>
    </w:pPr>
    <w:rPr>
      <w:szCs w:val="20"/>
    </w:rPr>
  </w:style>
  <w:style w:type="paragraph" w:styleId="a4">
    <w:name w:val="Plain Text"/>
    <w:basedOn w:val="a"/>
    <w:qFormat/>
    <w:rPr>
      <w:rFonts w:ascii="宋体" w:hAnsi="Courier New"/>
      <w:kern w:val="0"/>
      <w:sz w:val="20"/>
      <w:szCs w:val="20"/>
    </w:rPr>
  </w:style>
  <w:style w:type="paragraph" w:styleId="a5">
    <w:name w:val="header"/>
    <w:basedOn w:val="a"/>
    <w:link w:val="a6"/>
    <w:rsid w:val="00F4412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F4412F"/>
    <w:rPr>
      <w:rFonts w:ascii="Times New Roman" w:hAnsi="Times New Roman"/>
      <w:kern w:val="2"/>
      <w:sz w:val="18"/>
      <w:szCs w:val="18"/>
    </w:rPr>
  </w:style>
  <w:style w:type="paragraph" w:styleId="a7">
    <w:name w:val="footer"/>
    <w:basedOn w:val="a"/>
    <w:link w:val="a8"/>
    <w:rsid w:val="00F4412F"/>
    <w:pPr>
      <w:tabs>
        <w:tab w:val="center" w:pos="4153"/>
        <w:tab w:val="right" w:pos="8306"/>
      </w:tabs>
      <w:snapToGrid w:val="0"/>
      <w:jc w:val="left"/>
    </w:pPr>
    <w:rPr>
      <w:sz w:val="18"/>
      <w:szCs w:val="18"/>
    </w:rPr>
  </w:style>
  <w:style w:type="character" w:customStyle="1" w:styleId="a8">
    <w:name w:val="页脚 字符"/>
    <w:basedOn w:val="a0"/>
    <w:link w:val="a7"/>
    <w:rsid w:val="00F4412F"/>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481</Words>
  <Characters>2743</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还没名儿</dc:creator>
  <cp:lastModifiedBy>Administrator</cp:lastModifiedBy>
  <cp:revision>5</cp:revision>
  <dcterms:created xsi:type="dcterms:W3CDTF">2020-12-18T01:37:00Z</dcterms:created>
  <dcterms:modified xsi:type="dcterms:W3CDTF">2020-12-29T08:53:00Z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