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A63" w:rsidRPr="007179BC" w:rsidRDefault="00BC3A63" w:rsidP="00BC3A63">
      <w:pPr>
        <w:jc w:val="center"/>
        <w:rPr>
          <w:rFonts w:ascii="方正小标宋简体" w:eastAsia="方正小标宋简体"/>
          <w:sz w:val="44"/>
          <w:szCs w:val="44"/>
        </w:rPr>
      </w:pPr>
      <w:r w:rsidRPr="007179BC">
        <w:rPr>
          <w:rFonts w:ascii="方正小标宋简体" w:eastAsia="方正小标宋简体" w:hint="eastAsia"/>
          <w:sz w:val="44"/>
          <w:szCs w:val="44"/>
        </w:rPr>
        <w:t>2023年夏阳街道辖区内建筑装潢垃圾清运项目招标需求</w:t>
      </w:r>
    </w:p>
    <w:p w:rsidR="00BC3A63" w:rsidRPr="007179BC" w:rsidRDefault="00BC3A63" w:rsidP="00BC3A63">
      <w:pPr>
        <w:spacing w:line="360" w:lineRule="auto"/>
        <w:rPr>
          <w:rFonts w:ascii="仿宋" w:eastAsia="仿宋" w:hAnsi="仿宋"/>
          <w:b/>
          <w:sz w:val="28"/>
          <w:szCs w:val="28"/>
        </w:rPr>
      </w:pPr>
      <w:r w:rsidRPr="007179BC">
        <w:rPr>
          <w:rFonts w:ascii="仿宋" w:eastAsia="仿宋" w:hAnsi="仿宋" w:hint="eastAsia"/>
          <w:b/>
          <w:sz w:val="28"/>
          <w:szCs w:val="28"/>
        </w:rPr>
        <w:t>一、项目基本概况</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1、项目地址：青浦区夏阳街道办事处管辖区域。</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2、服务内容：</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（1）青浦区夏阳街道办事处委托的管辖区域内（24个社区居委会，8个行政村、青东农场区域）产生的建筑装潢垃圾清运至区建材再生利用中心。</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本项目建筑装潢垃圾指：村、居民家庭装潢垃圾及大件垃圾、枯枝落叶等建筑装潢垃圾。</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3）本次招标招服务单价，即建筑装潢垃圾（包括大件垃圾、枯枝落叶）的清运单价（控制价506元/车(4.65吨)），预估量：6.218万吨，清运同时满足实际装载量全年平均不低于2.7吨/车，如实际装载量不足，则按2.7吨/车折算车次结。</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（4）本项目应就每车清运费报价，报价区间为0～506元/</w:t>
      </w:r>
      <w:r w:rsidR="00F35032">
        <w:rPr>
          <w:rFonts w:ascii="仿宋" w:eastAsia="仿宋" w:hAnsi="仿宋" w:hint="eastAsia"/>
          <w:sz w:val="28"/>
          <w:szCs w:val="28"/>
        </w:rPr>
        <w:t>车。</w:t>
      </w:r>
      <w:r w:rsidR="00F35032" w:rsidRPr="00156106">
        <w:rPr>
          <w:rFonts w:ascii="仿宋" w:eastAsia="仿宋" w:hAnsi="仿宋" w:hint="eastAsia"/>
          <w:sz w:val="28"/>
          <w:szCs w:val="28"/>
        </w:rPr>
        <w:t>★</w:t>
      </w:r>
      <w:bookmarkStart w:id="0" w:name="_GoBack"/>
      <w:r w:rsidR="00F35032" w:rsidRPr="00F35032">
        <w:rPr>
          <w:rFonts w:ascii="仿宋" w:eastAsia="仿宋" w:hAnsi="仿宋" w:hint="eastAsia"/>
          <w:sz w:val="28"/>
          <w:szCs w:val="28"/>
        </w:rPr>
        <w:t>开标一览表中“单价”一栏应填报清运单价，报价区间为0～506元/车，未按要求填报的，作无效标处理。</w:t>
      </w:r>
      <w:bookmarkEnd w:id="0"/>
      <w:r w:rsidR="00F35032" w:rsidRPr="00156106">
        <w:rPr>
          <w:rFonts w:ascii="仿宋" w:eastAsia="仿宋" w:hAnsi="仿宋"/>
          <w:sz w:val="28"/>
          <w:szCs w:val="28"/>
        </w:rPr>
        <w:t xml:space="preserve"> </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（5）若实际产生垃圾超出预估量，超出部分可按实以中标单价另行结算。</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3、服务要求：</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（1）生产点建筑装潢垃圾2天（48小时）内清运处置完毕。按</w:t>
      </w:r>
      <w:r w:rsidRPr="00156106">
        <w:rPr>
          <w:rFonts w:ascii="仿宋" w:eastAsia="仿宋" w:hAnsi="仿宋" w:hint="eastAsia"/>
          <w:sz w:val="28"/>
          <w:szCs w:val="28"/>
        </w:rPr>
        <w:lastRenderedPageBreak/>
        <w:t>照平箱平盖的要求并根据车辆实际负载能力进行清运，不得超载，不得少装。未在规定时间内清运的，按照1000元/车扣除</w:t>
      </w:r>
      <w:r w:rsidRPr="00156106">
        <w:rPr>
          <w:rFonts w:ascii="仿宋" w:eastAsia="仿宋" w:hAnsi="仿宋"/>
          <w:sz w:val="28"/>
          <w:szCs w:val="28"/>
        </w:rPr>
        <w:t>服务费</w:t>
      </w:r>
      <w:r w:rsidRPr="00156106">
        <w:rPr>
          <w:rFonts w:ascii="仿宋" w:eastAsia="仿宋" w:hAnsi="仿宋" w:hint="eastAsia"/>
          <w:sz w:val="28"/>
          <w:szCs w:val="28"/>
        </w:rPr>
        <w:t>。</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（2）投标单位须具备中华人民共和国道路运输经营许可证且★须</w:t>
      </w:r>
      <w:r w:rsidRPr="00156106">
        <w:rPr>
          <w:rFonts w:ascii="仿宋" w:eastAsia="仿宋" w:hAnsi="仿宋"/>
          <w:sz w:val="28"/>
          <w:szCs w:val="28"/>
        </w:rPr>
        <w:t>承诺并履行能够办理青浦区</w:t>
      </w:r>
      <w:r w:rsidRPr="00156106">
        <w:rPr>
          <w:rFonts w:ascii="仿宋" w:eastAsia="仿宋" w:hAnsi="仿宋" w:hint="eastAsia"/>
          <w:sz w:val="28"/>
          <w:szCs w:val="28"/>
        </w:rPr>
        <w:t>建材</w:t>
      </w:r>
      <w:r w:rsidRPr="00156106">
        <w:rPr>
          <w:rFonts w:ascii="仿宋" w:eastAsia="仿宋" w:hAnsi="仿宋"/>
          <w:sz w:val="28"/>
          <w:szCs w:val="28"/>
        </w:rPr>
        <w:t>再生利用中心处置装潢垃圾IC卡</w:t>
      </w:r>
      <w:r w:rsidR="008323E4" w:rsidRPr="00156106">
        <w:rPr>
          <w:rFonts w:ascii="仿宋" w:eastAsia="仿宋" w:hAnsi="仿宋" w:hint="eastAsia"/>
          <w:sz w:val="28"/>
          <w:szCs w:val="28"/>
        </w:rPr>
        <w:t>，</w:t>
      </w:r>
      <w:r w:rsidRPr="00156106">
        <w:rPr>
          <w:rFonts w:ascii="仿宋" w:eastAsia="仿宋" w:hAnsi="仿宋"/>
          <w:sz w:val="28"/>
          <w:szCs w:val="28"/>
        </w:rPr>
        <w:t>如中标人无法办理IC卡则视为自动放弃中标资格</w:t>
      </w:r>
      <w:r w:rsidR="008323E4" w:rsidRPr="00156106">
        <w:rPr>
          <w:rFonts w:ascii="仿宋" w:eastAsia="仿宋" w:hAnsi="仿宋" w:hint="eastAsia"/>
          <w:sz w:val="28"/>
          <w:szCs w:val="28"/>
        </w:rPr>
        <w:t>（承诺函格式自拟）</w:t>
      </w:r>
      <w:r w:rsidRPr="00156106">
        <w:rPr>
          <w:rFonts w:ascii="仿宋" w:eastAsia="仿宋" w:hAnsi="仿宋"/>
          <w:sz w:val="28"/>
          <w:szCs w:val="28"/>
        </w:rPr>
        <w:t>。</w:t>
      </w:r>
      <w:r w:rsidRPr="00156106">
        <w:rPr>
          <w:rFonts w:ascii="仿宋" w:eastAsia="仿宋" w:hAnsi="仿宋" w:hint="eastAsia"/>
          <w:sz w:val="28"/>
          <w:szCs w:val="28"/>
        </w:rPr>
        <w:t xml:space="preserve">投标单位需提供清运车队，装修垃圾自卸车不少于20辆，保障作业现场环境清扫车、道路冲洗车、三轮保洁车等若干，车辆须自有并提供产权证及行驶证。    </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（3）投标单位应严格遵守上海市人民政府颁发的上海市建筑垃圾处理管理规定57号令中的相关规定。如擅自违法清运垃圾，造成的一切后果由中标方承担，并立即终止服务合同。</w:t>
      </w:r>
    </w:p>
    <w:p w:rsidR="00BC3A63" w:rsidRPr="007179BC" w:rsidRDefault="00BC3A63" w:rsidP="00156106">
      <w:pPr>
        <w:spacing w:line="360" w:lineRule="auto"/>
        <w:ind w:firstLineChars="200" w:firstLine="560"/>
        <w:rPr>
          <w:rFonts w:ascii="仿宋" w:eastAsia="仿宋" w:hAnsi="仿宋"/>
          <w:sz w:val="28"/>
          <w:szCs w:val="28"/>
        </w:rPr>
      </w:pPr>
      <w:r w:rsidRPr="007179BC">
        <w:rPr>
          <w:rFonts w:ascii="仿宋" w:eastAsia="仿宋" w:hAnsi="仿宋" w:hint="eastAsia"/>
          <w:sz w:val="28"/>
          <w:szCs w:val="28"/>
        </w:rPr>
        <w:t>（4）投标单位应配备相应的专业管理人员和操作人员，并做好相关操作培训及安全管理工作，在工作中产生的一切安全责任事故由中标单位承担。</w:t>
      </w:r>
    </w:p>
    <w:p w:rsidR="00BC3A63" w:rsidRPr="007179BC" w:rsidRDefault="00BC3A63" w:rsidP="00156106">
      <w:pPr>
        <w:spacing w:line="360" w:lineRule="auto"/>
        <w:ind w:firstLineChars="200" w:firstLine="560"/>
        <w:rPr>
          <w:rFonts w:ascii="仿宋" w:eastAsia="仿宋" w:hAnsi="仿宋"/>
          <w:sz w:val="28"/>
          <w:szCs w:val="28"/>
        </w:rPr>
      </w:pPr>
      <w:r w:rsidRPr="007179BC">
        <w:rPr>
          <w:rFonts w:ascii="仿宋" w:eastAsia="仿宋" w:hAnsi="仿宋" w:hint="eastAsia"/>
          <w:sz w:val="28"/>
          <w:szCs w:val="28"/>
        </w:rPr>
        <w:t>（5）投标单位应有车辆固定停放场所，并且做好车辆的清洗工作。</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（6）投标单位在清运期间必须做好路面保洁、养护工作。</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（7）投标单位在清运过程中要采取必要的控制扬尘的技术手段避免洒落，杜绝作业期间的扬尘污染，同时在一定程度上要控制好噪音的污染。</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（8）投标单位应严格按照已确认的工作方案和工作流程提供服务，无条件地接受采购方对其工作质量的监督检查。</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lastRenderedPageBreak/>
        <w:t>（9）投标单位对街道有关工作安排要有及时响应处置机制。</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（10）投标单位应及时清运，不得无故拖延，否则采购方有权终止承包合同。</w:t>
      </w:r>
    </w:p>
    <w:p w:rsidR="00BC3A63" w:rsidRPr="00156106" w:rsidRDefault="00BC3A63" w:rsidP="00156106">
      <w:pPr>
        <w:spacing w:line="360" w:lineRule="auto"/>
        <w:ind w:firstLineChars="200" w:firstLine="560"/>
        <w:rPr>
          <w:rFonts w:ascii="仿宋" w:eastAsia="仿宋" w:hAnsi="仿宋"/>
          <w:sz w:val="28"/>
          <w:szCs w:val="28"/>
        </w:rPr>
      </w:pPr>
      <w:r w:rsidRPr="00156106">
        <w:rPr>
          <w:rFonts w:ascii="仿宋" w:eastAsia="仿宋" w:hAnsi="仿宋" w:hint="eastAsia"/>
          <w:sz w:val="28"/>
          <w:szCs w:val="28"/>
        </w:rPr>
        <w:t>（11）投标单位应严格按照已确认的工作方案和工作流程提供服务，无条件地接受采购方对其工作质量的监督检查。</w:t>
      </w:r>
    </w:p>
    <w:p w:rsidR="00BC3A63" w:rsidRPr="007179BC" w:rsidRDefault="00BC3A63" w:rsidP="00BC3A63">
      <w:pPr>
        <w:jc w:val="center"/>
        <w:rPr>
          <w:rFonts w:ascii="仿宋" w:eastAsia="仿宋" w:hAnsi="仿宋"/>
          <w:sz w:val="28"/>
          <w:szCs w:val="28"/>
        </w:rPr>
      </w:pPr>
    </w:p>
    <w:p w:rsidR="00BC3A63" w:rsidRPr="007179BC" w:rsidRDefault="00BC3A63" w:rsidP="00BC3A63">
      <w:pPr>
        <w:spacing w:line="360" w:lineRule="auto"/>
        <w:rPr>
          <w:rFonts w:ascii="仿宋" w:eastAsia="仿宋" w:hAnsi="仿宋"/>
          <w:b/>
          <w:sz w:val="28"/>
          <w:szCs w:val="28"/>
        </w:rPr>
      </w:pPr>
      <w:r w:rsidRPr="007179BC">
        <w:rPr>
          <w:rFonts w:ascii="仿宋" w:eastAsia="仿宋" w:hAnsi="仿宋" w:hint="eastAsia"/>
          <w:b/>
          <w:sz w:val="28"/>
          <w:szCs w:val="28"/>
        </w:rPr>
        <w:t>二、商务要求</w:t>
      </w:r>
    </w:p>
    <w:p w:rsidR="00BC3A63" w:rsidRPr="007179BC" w:rsidRDefault="00BC3A63" w:rsidP="00BC3A63">
      <w:pPr>
        <w:spacing w:line="360" w:lineRule="auto"/>
        <w:ind w:firstLineChars="200" w:firstLine="560"/>
        <w:rPr>
          <w:rFonts w:ascii="仿宋" w:eastAsia="仿宋" w:hAnsi="仿宋"/>
          <w:sz w:val="28"/>
          <w:szCs w:val="28"/>
        </w:rPr>
      </w:pPr>
      <w:r w:rsidRPr="007179BC">
        <w:rPr>
          <w:rFonts w:ascii="仿宋" w:eastAsia="仿宋" w:hAnsi="仿宋" w:hint="eastAsia"/>
          <w:sz w:val="28"/>
          <w:szCs w:val="28"/>
        </w:rPr>
        <w:t>1、服务期限：自合同签订之日起1年。</w:t>
      </w:r>
    </w:p>
    <w:p w:rsidR="00BC3A63" w:rsidRPr="007179BC" w:rsidRDefault="00BC3A63" w:rsidP="00BC3A63">
      <w:pPr>
        <w:spacing w:line="360" w:lineRule="auto"/>
        <w:ind w:firstLineChars="200" w:firstLine="560"/>
        <w:rPr>
          <w:rFonts w:ascii="仿宋" w:eastAsia="仿宋" w:hAnsi="仿宋"/>
          <w:sz w:val="28"/>
          <w:szCs w:val="28"/>
        </w:rPr>
      </w:pPr>
      <w:r w:rsidRPr="007179BC">
        <w:rPr>
          <w:rFonts w:ascii="仿宋" w:eastAsia="仿宋" w:hAnsi="仿宋" w:hint="eastAsia"/>
          <w:sz w:val="28"/>
          <w:szCs w:val="28"/>
        </w:rPr>
        <w:t>2、结算方式：按季度实际发生量与季度考核结果实行同比例挂钩进行结算拨付。考核分数低于90分，扣除当季度经费的5%；考核分数低于80分，扣除当季度经费的10%；考核分数80分以下，除扣除相应经费以外，并约谈作业公司负责人；连续二次以上考核分数80分以下的，直接终止服务协议。同时满足实际装载量全年平均不低于2.7吨/车，如实际装载量不足，则按2.7吨/车折算车次结算。</w:t>
      </w:r>
    </w:p>
    <w:p w:rsidR="00BC3A63" w:rsidRPr="007179BC" w:rsidRDefault="00BC3A63" w:rsidP="00BC3A63">
      <w:pPr>
        <w:spacing w:line="360" w:lineRule="auto"/>
        <w:ind w:firstLineChars="200" w:firstLine="560"/>
        <w:rPr>
          <w:rFonts w:ascii="仿宋" w:eastAsia="仿宋" w:hAnsi="仿宋"/>
          <w:sz w:val="28"/>
          <w:szCs w:val="28"/>
        </w:rPr>
      </w:pPr>
      <w:r w:rsidRPr="007179BC">
        <w:rPr>
          <w:rFonts w:ascii="仿宋" w:eastAsia="仿宋" w:hAnsi="仿宋" w:hint="eastAsia"/>
          <w:sz w:val="28"/>
          <w:szCs w:val="28"/>
        </w:rPr>
        <w:t>3、付款方式：每季度考核和结算出来后，乙方开具相应金额的发票给甲方、甲方通过转账形式支付服务费。</w:t>
      </w:r>
    </w:p>
    <w:p w:rsidR="00BC3A63" w:rsidRPr="007179BC" w:rsidRDefault="00BC3A63" w:rsidP="00BC3A63">
      <w:pPr>
        <w:spacing w:line="360" w:lineRule="auto"/>
        <w:ind w:firstLineChars="200" w:firstLine="560"/>
        <w:rPr>
          <w:rFonts w:ascii="仿宋" w:eastAsia="仿宋" w:hAnsi="仿宋"/>
          <w:sz w:val="28"/>
          <w:szCs w:val="28"/>
        </w:rPr>
      </w:pPr>
      <w:r w:rsidRPr="007179BC">
        <w:rPr>
          <w:rFonts w:ascii="仿宋" w:eastAsia="仿宋" w:hAnsi="仿宋" w:hint="eastAsia"/>
          <w:sz w:val="28"/>
          <w:szCs w:val="28"/>
        </w:rPr>
        <w:t>4、供应商在工作中产生的一切安全责任事故与采购方无关。</w:t>
      </w:r>
    </w:p>
    <w:p w:rsidR="00BC3A63" w:rsidRPr="007179BC" w:rsidRDefault="00BC3A63" w:rsidP="00BC3A63">
      <w:pPr>
        <w:spacing w:line="360" w:lineRule="auto"/>
        <w:ind w:firstLineChars="200" w:firstLine="560"/>
        <w:rPr>
          <w:rFonts w:ascii="仿宋" w:eastAsia="仿宋" w:hAnsi="仿宋"/>
          <w:sz w:val="28"/>
          <w:szCs w:val="28"/>
        </w:rPr>
      </w:pPr>
      <w:r w:rsidRPr="007179BC">
        <w:rPr>
          <w:rFonts w:ascii="仿宋" w:eastAsia="仿宋" w:hAnsi="仿宋" w:hint="eastAsia"/>
          <w:sz w:val="28"/>
          <w:szCs w:val="28"/>
        </w:rPr>
        <w:t>5、转让与分包：</w:t>
      </w:r>
    </w:p>
    <w:p w:rsidR="00BC3A63" w:rsidRPr="007179BC" w:rsidRDefault="00BC3A63" w:rsidP="00BC3A63">
      <w:pPr>
        <w:spacing w:line="360" w:lineRule="auto"/>
        <w:ind w:firstLineChars="200" w:firstLine="560"/>
        <w:rPr>
          <w:rFonts w:ascii="仿宋" w:eastAsia="仿宋" w:hAnsi="仿宋"/>
          <w:sz w:val="28"/>
          <w:szCs w:val="28"/>
        </w:rPr>
      </w:pPr>
      <w:r w:rsidRPr="007179BC">
        <w:rPr>
          <w:rFonts w:ascii="仿宋" w:eastAsia="仿宋" w:hAnsi="仿宋" w:hint="eastAsia"/>
          <w:sz w:val="28"/>
          <w:szCs w:val="28"/>
        </w:rPr>
        <w:t>⑴本项目合同不得整体转让。</w:t>
      </w:r>
    </w:p>
    <w:p w:rsidR="00BC3A63" w:rsidRPr="007179BC" w:rsidRDefault="00BC3A63" w:rsidP="00BC3A63">
      <w:pPr>
        <w:spacing w:line="360" w:lineRule="auto"/>
        <w:ind w:firstLineChars="200" w:firstLine="560"/>
        <w:rPr>
          <w:rFonts w:ascii="仿宋" w:eastAsia="仿宋" w:hAnsi="仿宋"/>
          <w:sz w:val="28"/>
          <w:szCs w:val="28"/>
        </w:rPr>
      </w:pPr>
      <w:r w:rsidRPr="007179BC">
        <w:rPr>
          <w:rFonts w:ascii="仿宋" w:eastAsia="仿宋" w:hAnsi="仿宋" w:hint="eastAsia"/>
          <w:sz w:val="28"/>
          <w:szCs w:val="28"/>
        </w:rPr>
        <w:t>⑵合同非主体部分需要分包的，投标人应当在投标文件中说明；投标文件中未说明的，分包须经过采购人书面同意。</w:t>
      </w:r>
    </w:p>
    <w:p w:rsidR="00BC3A63" w:rsidRPr="007179BC" w:rsidRDefault="00BC3A63" w:rsidP="00BC3A63">
      <w:pPr>
        <w:spacing w:line="560" w:lineRule="exact"/>
        <w:outlineLvl w:val="0"/>
        <w:rPr>
          <w:rFonts w:ascii="仿宋" w:eastAsia="仿宋" w:hAnsi="仿宋"/>
          <w:b/>
          <w:sz w:val="28"/>
          <w:szCs w:val="28"/>
        </w:rPr>
      </w:pPr>
      <w:r w:rsidRPr="007179BC">
        <w:rPr>
          <w:rFonts w:ascii="仿宋" w:eastAsia="仿宋" w:hAnsi="仿宋" w:hint="eastAsia"/>
          <w:b/>
          <w:sz w:val="28"/>
          <w:szCs w:val="28"/>
        </w:rPr>
        <w:t>三、考核细则</w:t>
      </w:r>
    </w:p>
    <w:p w:rsidR="00BC3A63" w:rsidRPr="007179BC" w:rsidRDefault="00BC3A63" w:rsidP="00156106">
      <w:pPr>
        <w:spacing w:line="360" w:lineRule="auto"/>
        <w:ind w:firstLineChars="200" w:firstLine="560"/>
        <w:rPr>
          <w:rFonts w:ascii="仿宋" w:eastAsia="仿宋" w:hAnsi="仿宋"/>
          <w:sz w:val="28"/>
          <w:szCs w:val="28"/>
        </w:rPr>
      </w:pPr>
      <w:r w:rsidRPr="007179BC">
        <w:rPr>
          <w:rFonts w:ascii="仿宋" w:eastAsia="仿宋" w:hAnsi="仿宋"/>
          <w:sz w:val="28"/>
          <w:szCs w:val="28"/>
        </w:rPr>
        <w:lastRenderedPageBreak/>
        <w:t>1、由街道</w:t>
      </w:r>
      <w:r w:rsidRPr="007179BC">
        <w:rPr>
          <w:rFonts w:ascii="仿宋" w:eastAsia="仿宋" w:hAnsi="仿宋" w:hint="eastAsia"/>
          <w:sz w:val="28"/>
          <w:szCs w:val="28"/>
        </w:rPr>
        <w:t>管理办</w:t>
      </w:r>
      <w:r w:rsidRPr="007179BC">
        <w:rPr>
          <w:rFonts w:ascii="仿宋" w:eastAsia="仿宋" w:hAnsi="仿宋"/>
          <w:sz w:val="28"/>
          <w:szCs w:val="28"/>
        </w:rPr>
        <w:t>牵头组成考核小组，负责对中标单位的工作进行日常考核；</w:t>
      </w:r>
    </w:p>
    <w:p w:rsidR="00BC3A63" w:rsidRPr="007179BC" w:rsidRDefault="00BC3A63" w:rsidP="00156106">
      <w:pPr>
        <w:spacing w:line="360" w:lineRule="auto"/>
        <w:ind w:firstLineChars="200" w:firstLine="560"/>
        <w:rPr>
          <w:rFonts w:ascii="仿宋" w:eastAsia="仿宋" w:hAnsi="仿宋"/>
          <w:sz w:val="28"/>
          <w:szCs w:val="28"/>
        </w:rPr>
      </w:pPr>
      <w:r w:rsidRPr="007179BC">
        <w:rPr>
          <w:rFonts w:ascii="仿宋" w:eastAsia="仿宋" w:hAnsi="仿宋"/>
          <w:sz w:val="28"/>
          <w:szCs w:val="28"/>
        </w:rPr>
        <w:t>2、由街道</w:t>
      </w:r>
      <w:r w:rsidRPr="007179BC">
        <w:rPr>
          <w:rFonts w:ascii="仿宋" w:eastAsia="仿宋" w:hAnsi="仿宋" w:hint="eastAsia"/>
          <w:sz w:val="28"/>
          <w:szCs w:val="28"/>
        </w:rPr>
        <w:t>管理</w:t>
      </w:r>
      <w:r w:rsidRPr="007179BC">
        <w:rPr>
          <w:rFonts w:ascii="仿宋" w:eastAsia="仿宋" w:hAnsi="仿宋"/>
          <w:sz w:val="28"/>
          <w:szCs w:val="28"/>
        </w:rPr>
        <w:t>办制定考核实施细则，并组织实施</w:t>
      </w:r>
      <w:r w:rsidRPr="007179BC">
        <w:rPr>
          <w:rFonts w:ascii="仿宋" w:eastAsia="仿宋" w:hAnsi="仿宋" w:hint="eastAsia"/>
          <w:sz w:val="28"/>
          <w:szCs w:val="28"/>
        </w:rPr>
        <w:t>（附件1）</w:t>
      </w:r>
      <w:r w:rsidRPr="007179BC">
        <w:rPr>
          <w:rFonts w:ascii="仿宋" w:eastAsia="仿宋" w:hAnsi="仿宋"/>
          <w:sz w:val="28"/>
          <w:szCs w:val="28"/>
        </w:rPr>
        <w:t>；</w:t>
      </w:r>
    </w:p>
    <w:p w:rsidR="00BC3A63" w:rsidRPr="007179BC" w:rsidRDefault="00BC3A63" w:rsidP="00156106">
      <w:pPr>
        <w:spacing w:line="360" w:lineRule="auto"/>
        <w:ind w:firstLineChars="200" w:firstLine="560"/>
        <w:rPr>
          <w:rFonts w:ascii="仿宋" w:eastAsia="仿宋" w:hAnsi="仿宋"/>
          <w:sz w:val="28"/>
          <w:szCs w:val="28"/>
        </w:rPr>
      </w:pPr>
      <w:r w:rsidRPr="007179BC">
        <w:rPr>
          <w:rFonts w:ascii="仿宋" w:eastAsia="仿宋" w:hAnsi="仿宋"/>
          <w:sz w:val="28"/>
          <w:szCs w:val="28"/>
        </w:rPr>
        <w:t>3、街道</w:t>
      </w:r>
      <w:r w:rsidRPr="007179BC">
        <w:rPr>
          <w:rFonts w:ascii="仿宋" w:eastAsia="仿宋" w:hAnsi="仿宋" w:hint="eastAsia"/>
          <w:sz w:val="28"/>
          <w:szCs w:val="28"/>
        </w:rPr>
        <w:t>管理</w:t>
      </w:r>
      <w:r w:rsidRPr="007179BC">
        <w:rPr>
          <w:rFonts w:ascii="仿宋" w:eastAsia="仿宋" w:hAnsi="仿宋"/>
          <w:sz w:val="28"/>
          <w:szCs w:val="28"/>
        </w:rPr>
        <w:t>办根据检查考核的情况，确定经费支付金额。</w:t>
      </w:r>
    </w:p>
    <w:tbl>
      <w:tblPr>
        <w:tblW w:w="0" w:type="auto"/>
        <w:tblLook w:val="0000" w:firstRow="0" w:lastRow="0" w:firstColumn="0" w:lastColumn="0" w:noHBand="0" w:noVBand="0"/>
      </w:tblPr>
      <w:tblGrid>
        <w:gridCol w:w="2966"/>
        <w:gridCol w:w="4724"/>
        <w:gridCol w:w="616"/>
      </w:tblGrid>
      <w:tr w:rsidR="00BC3A63" w:rsidRPr="007179BC" w:rsidTr="00285227">
        <w:trPr>
          <w:trHeight w:val="540"/>
        </w:trPr>
        <w:tc>
          <w:tcPr>
            <w:tcW w:w="0" w:type="auto"/>
            <w:gridSpan w:val="3"/>
            <w:tcBorders>
              <w:top w:val="nil"/>
              <w:left w:val="nil"/>
              <w:bottom w:val="nil"/>
              <w:right w:val="nil"/>
            </w:tcBorders>
            <w:noWrap/>
            <w:vAlign w:val="center"/>
          </w:tcPr>
          <w:p w:rsidR="00BC3A63" w:rsidRPr="007179BC" w:rsidRDefault="00BC3A63" w:rsidP="00285227">
            <w:pPr>
              <w:rPr>
                <w:rFonts w:ascii="仿宋" w:eastAsia="仿宋" w:hAnsi="仿宋"/>
                <w:b/>
                <w:bCs/>
                <w:sz w:val="28"/>
                <w:szCs w:val="28"/>
              </w:rPr>
            </w:pPr>
            <w:r w:rsidRPr="007179BC">
              <w:rPr>
                <w:rFonts w:eastAsia="仿宋_GB2312" w:hint="eastAsia"/>
                <w:sz w:val="28"/>
                <w:szCs w:val="28"/>
              </w:rPr>
              <w:t>附件一</w:t>
            </w:r>
          </w:p>
          <w:p w:rsidR="00BC3A63" w:rsidRPr="007179BC" w:rsidRDefault="00BC3A63" w:rsidP="00285227">
            <w:pPr>
              <w:jc w:val="center"/>
              <w:rPr>
                <w:rFonts w:ascii="仿宋" w:eastAsia="仿宋" w:hAnsi="仿宋"/>
                <w:b/>
                <w:bCs/>
                <w:sz w:val="28"/>
                <w:szCs w:val="28"/>
              </w:rPr>
            </w:pPr>
            <w:r w:rsidRPr="007179BC">
              <w:rPr>
                <w:rFonts w:ascii="仿宋" w:eastAsia="仿宋" w:hAnsi="仿宋" w:hint="eastAsia"/>
                <w:b/>
                <w:bCs/>
                <w:sz w:val="28"/>
                <w:szCs w:val="28"/>
              </w:rPr>
              <w:t>夏阳街道建筑垃圾清运考评明细表</w:t>
            </w:r>
          </w:p>
        </w:tc>
      </w:tr>
      <w:tr w:rsidR="00BC3A63" w:rsidRPr="007179BC" w:rsidTr="00285227">
        <w:trPr>
          <w:trHeight w:val="600"/>
        </w:trPr>
        <w:tc>
          <w:tcPr>
            <w:tcW w:w="0" w:type="auto"/>
            <w:tcBorders>
              <w:top w:val="nil"/>
              <w:left w:val="nil"/>
              <w:bottom w:val="single" w:sz="8" w:space="0" w:color="auto"/>
              <w:right w:val="nil"/>
            </w:tcBorders>
            <w:noWrap/>
            <w:vAlign w:val="center"/>
          </w:tcPr>
          <w:p w:rsidR="00BC3A63" w:rsidRPr="007179BC" w:rsidRDefault="00BC3A63" w:rsidP="00285227">
            <w:pPr>
              <w:jc w:val="center"/>
              <w:rPr>
                <w:rFonts w:ascii="仿宋" w:eastAsia="仿宋" w:hAnsi="仿宋"/>
                <w:sz w:val="28"/>
                <w:szCs w:val="28"/>
              </w:rPr>
            </w:pPr>
            <w:r w:rsidRPr="007179BC">
              <w:rPr>
                <w:rFonts w:ascii="仿宋" w:eastAsia="仿宋" w:hAnsi="仿宋" w:hint="eastAsia"/>
                <w:sz w:val="28"/>
                <w:szCs w:val="28"/>
              </w:rPr>
              <w:t xml:space="preserve">　</w:t>
            </w:r>
          </w:p>
        </w:tc>
        <w:tc>
          <w:tcPr>
            <w:tcW w:w="0" w:type="auto"/>
            <w:tcBorders>
              <w:top w:val="nil"/>
              <w:left w:val="nil"/>
              <w:bottom w:val="single" w:sz="8" w:space="0" w:color="auto"/>
              <w:right w:val="nil"/>
            </w:tcBorders>
            <w:noWrap/>
            <w:vAlign w:val="center"/>
          </w:tcPr>
          <w:p w:rsidR="00BC3A63" w:rsidRPr="007179BC" w:rsidRDefault="00BC3A63" w:rsidP="00285227">
            <w:pPr>
              <w:jc w:val="center"/>
              <w:rPr>
                <w:rFonts w:ascii="仿宋" w:eastAsia="仿宋" w:hAnsi="仿宋"/>
                <w:sz w:val="28"/>
                <w:szCs w:val="28"/>
              </w:rPr>
            </w:pPr>
            <w:r w:rsidRPr="007179BC">
              <w:rPr>
                <w:rFonts w:ascii="仿宋" w:eastAsia="仿宋" w:hAnsi="仿宋" w:hint="eastAsia"/>
                <w:sz w:val="28"/>
                <w:szCs w:val="28"/>
              </w:rPr>
              <w:t>考评单位：</w:t>
            </w:r>
          </w:p>
        </w:tc>
        <w:tc>
          <w:tcPr>
            <w:tcW w:w="0" w:type="auto"/>
            <w:tcBorders>
              <w:top w:val="nil"/>
              <w:left w:val="nil"/>
              <w:bottom w:val="single" w:sz="8" w:space="0" w:color="auto"/>
              <w:right w:val="nil"/>
            </w:tcBorders>
            <w:noWrap/>
            <w:vAlign w:val="center"/>
          </w:tcPr>
          <w:p w:rsidR="00BC3A63" w:rsidRPr="007179BC" w:rsidRDefault="00BC3A63" w:rsidP="00285227">
            <w:pPr>
              <w:jc w:val="center"/>
              <w:rPr>
                <w:rFonts w:ascii="仿宋" w:eastAsia="仿宋" w:hAnsi="仿宋"/>
                <w:sz w:val="28"/>
                <w:szCs w:val="28"/>
              </w:rPr>
            </w:pPr>
            <w:r w:rsidRPr="007179BC">
              <w:rPr>
                <w:rFonts w:ascii="仿宋" w:eastAsia="仿宋" w:hAnsi="仿宋" w:hint="eastAsia"/>
                <w:sz w:val="28"/>
                <w:szCs w:val="28"/>
              </w:rPr>
              <w:t xml:space="preserve">　</w:t>
            </w:r>
          </w:p>
        </w:tc>
      </w:tr>
      <w:tr w:rsidR="00BC3A63" w:rsidRPr="007179BC" w:rsidTr="00285227">
        <w:trPr>
          <w:trHeight w:val="285"/>
        </w:trPr>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考评项目</w:t>
            </w:r>
          </w:p>
        </w:tc>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评分标准</w:t>
            </w:r>
          </w:p>
        </w:tc>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评分</w:t>
            </w:r>
          </w:p>
        </w:tc>
      </w:tr>
      <w:tr w:rsidR="00BC3A63" w:rsidRPr="007179BC" w:rsidTr="00285227">
        <w:trPr>
          <w:trHeight w:val="702"/>
        </w:trPr>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有完善的工作制度15分</w:t>
            </w:r>
          </w:p>
        </w:tc>
        <w:tc>
          <w:tcPr>
            <w:tcW w:w="0" w:type="auto"/>
            <w:tcBorders>
              <w:top w:val="nil"/>
              <w:left w:val="nil"/>
              <w:bottom w:val="single" w:sz="8" w:space="0" w:color="auto"/>
              <w:right w:val="single" w:sz="8" w:space="0" w:color="auto"/>
            </w:tcBorders>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是否有清运管理制度、员工管理制度制度、车辆管理制度、应急机制等</w:t>
            </w:r>
          </w:p>
        </w:tc>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 xml:space="preserve">　</w:t>
            </w:r>
          </w:p>
        </w:tc>
      </w:tr>
      <w:tr w:rsidR="00BC3A63" w:rsidRPr="007179BC" w:rsidTr="00285227">
        <w:trPr>
          <w:trHeight w:val="825"/>
        </w:trPr>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有完善的备案机制15分</w:t>
            </w:r>
          </w:p>
        </w:tc>
        <w:tc>
          <w:tcPr>
            <w:tcW w:w="0" w:type="auto"/>
            <w:tcBorders>
              <w:top w:val="nil"/>
              <w:left w:val="nil"/>
              <w:bottom w:val="single" w:sz="8" w:space="0" w:color="auto"/>
              <w:right w:val="single" w:sz="8" w:space="0" w:color="auto"/>
            </w:tcBorders>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做好清运车辆的管理工作，需要向上海绿化和市容管理局等部门进行备案，同时车辆应全部安装</w:t>
            </w:r>
            <w:r w:rsidRPr="007179BC">
              <w:rPr>
                <w:rFonts w:eastAsia="仿宋"/>
                <w:sz w:val="20"/>
                <w:szCs w:val="20"/>
              </w:rPr>
              <w:t>GPS</w:t>
            </w:r>
            <w:r w:rsidRPr="007179BC">
              <w:rPr>
                <w:rFonts w:ascii="仿宋_GB2312" w:eastAsia="仿宋_GB2312" w:hAnsi="仿宋" w:hint="eastAsia"/>
                <w:sz w:val="20"/>
                <w:szCs w:val="20"/>
              </w:rPr>
              <w:t>定位系统，并与环卫部门进行联网，以便实时管控</w:t>
            </w:r>
          </w:p>
        </w:tc>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 xml:space="preserve">　</w:t>
            </w:r>
          </w:p>
        </w:tc>
      </w:tr>
      <w:tr w:rsidR="00BC3A63" w:rsidRPr="007179BC" w:rsidTr="00285227">
        <w:trPr>
          <w:trHeight w:val="825"/>
        </w:trPr>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有完善的收运台账 15分</w:t>
            </w:r>
          </w:p>
        </w:tc>
        <w:tc>
          <w:tcPr>
            <w:tcW w:w="0" w:type="auto"/>
            <w:tcBorders>
              <w:top w:val="nil"/>
              <w:left w:val="nil"/>
              <w:bottom w:val="single" w:sz="8" w:space="0" w:color="auto"/>
              <w:right w:val="single" w:sz="8" w:space="0" w:color="auto"/>
            </w:tcBorders>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对居村每日上报的清运量的联单进行汇总，根据出车次数对应联单进行称重汇总</w:t>
            </w:r>
          </w:p>
        </w:tc>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 xml:space="preserve">　</w:t>
            </w:r>
          </w:p>
        </w:tc>
      </w:tr>
      <w:tr w:rsidR="00BC3A63" w:rsidRPr="007179BC" w:rsidTr="00285227">
        <w:trPr>
          <w:trHeight w:val="702"/>
        </w:trPr>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对点位及时清运20分</w:t>
            </w:r>
          </w:p>
        </w:tc>
        <w:tc>
          <w:tcPr>
            <w:tcW w:w="0" w:type="auto"/>
            <w:tcBorders>
              <w:top w:val="nil"/>
              <w:left w:val="nil"/>
              <w:bottom w:val="single" w:sz="8" w:space="0" w:color="auto"/>
              <w:right w:val="single" w:sz="8" w:space="0" w:color="auto"/>
            </w:tcBorders>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对于整治垃圾、小区装潢垃圾是否能够按照街道管理办要求及时清运，生产点垃圾2天（48小时）内处置完毕</w:t>
            </w:r>
          </w:p>
        </w:tc>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 xml:space="preserve">　</w:t>
            </w:r>
          </w:p>
        </w:tc>
      </w:tr>
      <w:tr w:rsidR="00BC3A63" w:rsidRPr="007179BC" w:rsidTr="00285227">
        <w:trPr>
          <w:trHeight w:val="702"/>
        </w:trPr>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服务质量15分</w:t>
            </w:r>
          </w:p>
        </w:tc>
        <w:tc>
          <w:tcPr>
            <w:tcW w:w="0" w:type="auto"/>
            <w:tcBorders>
              <w:top w:val="nil"/>
              <w:left w:val="nil"/>
              <w:bottom w:val="single" w:sz="8" w:space="0" w:color="auto"/>
              <w:right w:val="single" w:sz="8" w:space="0" w:color="auto"/>
            </w:tcBorders>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车辆驾驶员是否能够做到文明作业，有无损坏小区基础设施，有无居民投诉</w:t>
            </w:r>
          </w:p>
        </w:tc>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 xml:space="preserve">　</w:t>
            </w:r>
          </w:p>
        </w:tc>
      </w:tr>
      <w:tr w:rsidR="00BC3A63" w:rsidRPr="007179BC" w:rsidTr="00285227">
        <w:trPr>
          <w:trHeight w:val="702"/>
        </w:trPr>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车辆装运量是否符合规范 20分</w:t>
            </w:r>
          </w:p>
        </w:tc>
        <w:tc>
          <w:tcPr>
            <w:tcW w:w="0" w:type="auto"/>
            <w:tcBorders>
              <w:top w:val="nil"/>
              <w:left w:val="nil"/>
              <w:bottom w:val="single" w:sz="8" w:space="0" w:color="auto"/>
              <w:right w:val="single" w:sz="8" w:space="0" w:color="auto"/>
            </w:tcBorders>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车辆按照载量进行装运，各类垃圾是否存在混装混运</w:t>
            </w:r>
          </w:p>
        </w:tc>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 xml:space="preserve">　</w:t>
            </w:r>
          </w:p>
        </w:tc>
      </w:tr>
      <w:tr w:rsidR="00BC3A63" w:rsidRPr="007179BC" w:rsidTr="00285227">
        <w:trPr>
          <w:trHeight w:val="705"/>
        </w:trPr>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合计</w:t>
            </w:r>
          </w:p>
        </w:tc>
        <w:tc>
          <w:tcPr>
            <w:tcW w:w="0" w:type="auto"/>
            <w:tcBorders>
              <w:top w:val="nil"/>
              <w:left w:val="nil"/>
              <w:bottom w:val="single" w:sz="8" w:space="0" w:color="auto"/>
              <w:right w:val="single" w:sz="8" w:space="0" w:color="auto"/>
            </w:tcBorders>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 xml:space="preserve">　</w:t>
            </w:r>
          </w:p>
        </w:tc>
        <w:tc>
          <w:tcPr>
            <w:tcW w:w="0" w:type="auto"/>
            <w:tcBorders>
              <w:top w:val="nil"/>
              <w:left w:val="nil"/>
              <w:bottom w:val="single" w:sz="8" w:space="0" w:color="auto"/>
              <w:right w:val="single" w:sz="8" w:space="0" w:color="auto"/>
            </w:tcBorders>
            <w:noWrap/>
            <w:vAlign w:val="center"/>
          </w:tcPr>
          <w:p w:rsidR="00BC3A63" w:rsidRPr="007179BC" w:rsidRDefault="00BC3A63" w:rsidP="00285227">
            <w:pPr>
              <w:jc w:val="center"/>
              <w:rPr>
                <w:rFonts w:ascii="仿宋" w:eastAsia="仿宋" w:hAnsi="仿宋"/>
                <w:sz w:val="20"/>
                <w:szCs w:val="20"/>
              </w:rPr>
            </w:pPr>
            <w:r w:rsidRPr="007179BC">
              <w:rPr>
                <w:rFonts w:ascii="仿宋" w:eastAsia="仿宋" w:hAnsi="仿宋" w:hint="eastAsia"/>
                <w:sz w:val="20"/>
                <w:szCs w:val="20"/>
              </w:rPr>
              <w:t xml:space="preserve">　</w:t>
            </w:r>
          </w:p>
        </w:tc>
      </w:tr>
      <w:tr w:rsidR="00BC3A63" w:rsidRPr="007179BC" w:rsidTr="00285227">
        <w:trPr>
          <w:trHeight w:val="390"/>
        </w:trPr>
        <w:tc>
          <w:tcPr>
            <w:tcW w:w="0" w:type="auto"/>
            <w:tcBorders>
              <w:top w:val="nil"/>
              <w:left w:val="nil"/>
              <w:bottom w:val="nil"/>
              <w:right w:val="nil"/>
            </w:tcBorders>
            <w:noWrap/>
            <w:vAlign w:val="center"/>
          </w:tcPr>
          <w:p w:rsidR="00BC3A63" w:rsidRPr="007179BC" w:rsidRDefault="00BC3A63" w:rsidP="00285227">
            <w:pPr>
              <w:rPr>
                <w:sz w:val="28"/>
                <w:szCs w:val="28"/>
              </w:rPr>
            </w:pPr>
          </w:p>
        </w:tc>
        <w:tc>
          <w:tcPr>
            <w:tcW w:w="0" w:type="auto"/>
            <w:tcBorders>
              <w:top w:val="nil"/>
              <w:left w:val="nil"/>
              <w:bottom w:val="nil"/>
              <w:right w:val="nil"/>
            </w:tcBorders>
            <w:noWrap/>
            <w:vAlign w:val="center"/>
          </w:tcPr>
          <w:p w:rsidR="00BC3A63" w:rsidRPr="007179BC" w:rsidRDefault="00BC3A63" w:rsidP="00285227">
            <w:pPr>
              <w:rPr>
                <w:sz w:val="28"/>
                <w:szCs w:val="28"/>
              </w:rPr>
            </w:pPr>
          </w:p>
        </w:tc>
        <w:tc>
          <w:tcPr>
            <w:tcW w:w="0" w:type="auto"/>
            <w:tcBorders>
              <w:top w:val="nil"/>
              <w:left w:val="nil"/>
              <w:bottom w:val="nil"/>
              <w:right w:val="nil"/>
            </w:tcBorders>
            <w:noWrap/>
            <w:vAlign w:val="center"/>
          </w:tcPr>
          <w:p w:rsidR="00BC3A63" w:rsidRPr="007179BC" w:rsidRDefault="00BC3A63" w:rsidP="00285227">
            <w:pPr>
              <w:rPr>
                <w:sz w:val="28"/>
                <w:szCs w:val="28"/>
              </w:rPr>
            </w:pPr>
          </w:p>
        </w:tc>
      </w:tr>
    </w:tbl>
    <w:p w:rsidR="00BC3A63" w:rsidRPr="007179BC" w:rsidRDefault="00BC3A63" w:rsidP="00BC3A63">
      <w:pPr>
        <w:spacing w:line="560" w:lineRule="exact"/>
        <w:ind w:firstLineChars="200" w:firstLine="560"/>
        <w:outlineLvl w:val="0"/>
        <w:rPr>
          <w:rFonts w:ascii="仿宋" w:eastAsia="仿宋" w:hAnsi="仿宋"/>
          <w:sz w:val="28"/>
          <w:szCs w:val="28"/>
        </w:rPr>
      </w:pPr>
    </w:p>
    <w:p w:rsidR="004437AE" w:rsidRDefault="004437AE"/>
    <w:sectPr w:rsidR="004437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A63" w:rsidRDefault="00BC3A63" w:rsidP="00BC3A63">
      <w:r>
        <w:separator/>
      </w:r>
    </w:p>
  </w:endnote>
  <w:endnote w:type="continuationSeparator" w:id="0">
    <w:p w:rsidR="00BC3A63" w:rsidRDefault="00BC3A63" w:rsidP="00BC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A63" w:rsidRDefault="00BC3A63" w:rsidP="00BC3A63">
      <w:r>
        <w:separator/>
      </w:r>
    </w:p>
  </w:footnote>
  <w:footnote w:type="continuationSeparator" w:id="0">
    <w:p w:rsidR="00BC3A63" w:rsidRDefault="00BC3A63" w:rsidP="00BC3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2B"/>
    <w:rsid w:val="00156106"/>
    <w:rsid w:val="0028322B"/>
    <w:rsid w:val="004437AE"/>
    <w:rsid w:val="007A00AF"/>
    <w:rsid w:val="007C0764"/>
    <w:rsid w:val="008323E4"/>
    <w:rsid w:val="00BC3A63"/>
    <w:rsid w:val="00F3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C209A"/>
  <w15:chartTrackingRefBased/>
  <w15:docId w15:val="{C35084C3-2E51-4FDB-805D-F071E8DA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A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3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C3A63"/>
    <w:rPr>
      <w:sz w:val="18"/>
      <w:szCs w:val="18"/>
    </w:rPr>
  </w:style>
  <w:style w:type="paragraph" w:styleId="a5">
    <w:name w:val="footer"/>
    <w:basedOn w:val="a"/>
    <w:link w:val="a6"/>
    <w:uiPriority w:val="99"/>
    <w:unhideWhenUsed/>
    <w:rsid w:val="00BC3A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C3A63"/>
    <w:rPr>
      <w:sz w:val="18"/>
      <w:szCs w:val="18"/>
    </w:rPr>
  </w:style>
  <w:style w:type="paragraph" w:styleId="a7">
    <w:name w:val="Body Text Indent"/>
    <w:basedOn w:val="a"/>
    <w:link w:val="a8"/>
    <w:qFormat/>
    <w:rsid w:val="00BC3A63"/>
    <w:pPr>
      <w:ind w:firstLine="570"/>
    </w:pPr>
    <w:rPr>
      <w:rFonts w:ascii="宋体"/>
      <w:sz w:val="28"/>
      <w:szCs w:val="20"/>
    </w:rPr>
  </w:style>
  <w:style w:type="character" w:customStyle="1" w:styleId="a8">
    <w:name w:val="正文文本缩进 字符"/>
    <w:basedOn w:val="a0"/>
    <w:link w:val="a7"/>
    <w:qFormat/>
    <w:rsid w:val="00BC3A63"/>
    <w:rPr>
      <w:rFonts w:ascii="宋体"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962</Words>
  <Characters>1002</Characters>
  <Application>Microsoft Office Word</Application>
  <DocSecurity>0</DocSecurity>
  <Lines>66</Lines>
  <Paragraphs>54</Paragraphs>
  <ScaleCrop>false</ScaleCrop>
  <Company>MS</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2023-03-06T07:41:00Z</dcterms:created>
  <dcterms:modified xsi:type="dcterms:W3CDTF">2023-03-07T02:41:00Z</dcterms:modified>
</cp:coreProperties>
</file>