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4E" w:rsidRPr="001C6027" w:rsidRDefault="00E0514E" w:rsidP="00E0514E">
      <w:pPr>
        <w:jc w:val="center"/>
        <w:rPr>
          <w:rFonts w:ascii="黑体" w:eastAsia="黑体" w:hAnsi="黑体"/>
          <w:bCs/>
          <w:sz w:val="36"/>
          <w:szCs w:val="36"/>
        </w:rPr>
      </w:pPr>
      <w:r w:rsidRPr="001C6027">
        <w:rPr>
          <w:rFonts w:ascii="黑体" w:eastAsia="黑体" w:hAnsi="黑体" w:hint="eastAsia"/>
          <w:bCs/>
          <w:sz w:val="36"/>
          <w:szCs w:val="36"/>
        </w:rPr>
        <w:t>重固镇整区域非生活垃圾清运处置招标需求</w:t>
      </w:r>
    </w:p>
    <w:p w:rsidR="00E0514E" w:rsidRPr="001C6027" w:rsidRDefault="00E0514E" w:rsidP="00E0514E">
      <w:pPr>
        <w:autoSpaceDE w:val="0"/>
        <w:autoSpaceDN w:val="0"/>
        <w:adjustRightInd w:val="0"/>
        <w:spacing w:line="600" w:lineRule="exact"/>
        <w:jc w:val="left"/>
        <w:rPr>
          <w:rFonts w:ascii="宋体" w:hAnsi="宋体"/>
          <w:b/>
          <w:sz w:val="30"/>
          <w:szCs w:val="30"/>
        </w:rPr>
      </w:pPr>
      <w:r w:rsidRPr="001C6027">
        <w:rPr>
          <w:rFonts w:ascii="黑体" w:eastAsia="黑体" w:hAnsi="黑体" w:hint="eastAsia"/>
          <w:bCs/>
          <w:sz w:val="32"/>
          <w:szCs w:val="32"/>
        </w:rPr>
        <w:t>一、</w:t>
      </w:r>
      <w:r w:rsidRPr="001C6027">
        <w:rPr>
          <w:rFonts w:ascii="宋体" w:hAnsi="宋体" w:hint="eastAsia"/>
          <w:b/>
          <w:sz w:val="30"/>
          <w:szCs w:val="30"/>
        </w:rPr>
        <w:t>清运服务范围及内容</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（一）免费收运范围和内容</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 xml:space="preserve">1、集镇区整区域（包括通波塘东、西老街及104地块）；南至崧泽大道；北至华重公路；西至回龙支二路；东至崧建路（包括福贸路往东延伸段），以及环境卫生应急整治作业产生的装修垃圾、大件垃圾、枯枝落叶。                                             </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 xml:space="preserve">2、集镇区域14个封闭式居住区——泉山居委：陈华港小区、逸皓华庭、夏阳金城一期、夏阳金城二期；泉华居委：现代华庭一期、现代华庭二期；福泉居委：福泉新区、福泉一村、福泉二村、万事发小区；福定居委：康博小区、康浦景庭、江南城小区、中心小区，日常产生的装修垃圾、大件垃圾、枯枝落叶。  </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 xml:space="preserve">3、集镇区域7个封闭式居住区——福定居委：万科一期、万科二期；泉祥居委：康汇雅苑、绿地波洛克；福兆居委：佳兆业、摩登蜂巢；泉山居委：锦绣雅苑，日常产生的大件垃圾、枯枝落叶。  </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4、农村地区9个村（郏店、毛家角、新联、中新、回龙、新丰、章堰、徐姚、福泉山，含福泉居委水产组）日常产出的装修垃圾、大件垃圾、枯枝落叶。不包括单位施工产出的各类垃圾。</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5、各村、居日常产生的农业废弃物清运处置（废弃农作物类，不包含农膜、药剂瓶类）</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（二）收费服务范围和内容</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1、集镇区域7个封闭式居住区——福定居委：万科一期、万科二期；泉祥居委：康汇雅苑、绿地波洛克；福兆居委：佳兆业、摩</w:t>
      </w:r>
      <w:r w:rsidRPr="001C6027">
        <w:rPr>
          <w:rFonts w:ascii="宋体" w:hAnsi="宋体" w:hint="eastAsia"/>
          <w:sz w:val="28"/>
          <w:szCs w:val="28"/>
        </w:rPr>
        <w:lastRenderedPageBreak/>
        <w:t>登蜂巢；泉山居委：锦绣雅苑，日常产生的装修垃圾如需清运处置的，由福泉保洁公司代收处置费用，纳入镇财政专户。</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2、建设施工单位产生的工程垃圾、装修垃圾以及单位、门店商铺产生的装修垃圾按照“谁产出、谁负责、谁付费”原则，开工前至城管中队进行产出备案，由城管中队、福泉保洁公司现场查看产出量，开具现场确认单，并由福泉保洁公司代收处置费用，纳入镇财政专户。</w:t>
      </w:r>
    </w:p>
    <w:p w:rsidR="00E0514E" w:rsidRPr="001C6027" w:rsidRDefault="00E0514E" w:rsidP="00E0514E">
      <w:pPr>
        <w:autoSpaceDE w:val="0"/>
        <w:autoSpaceDN w:val="0"/>
        <w:adjustRightInd w:val="0"/>
        <w:spacing w:line="600" w:lineRule="exact"/>
        <w:jc w:val="left"/>
        <w:rPr>
          <w:rFonts w:ascii="黑体" w:eastAsia="黑体" w:hAnsi="黑体"/>
          <w:bCs/>
          <w:sz w:val="32"/>
          <w:szCs w:val="32"/>
        </w:rPr>
      </w:pPr>
      <w:r w:rsidRPr="001C6027">
        <w:rPr>
          <w:rFonts w:ascii="黑体" w:eastAsia="黑体" w:hAnsi="黑体" w:hint="eastAsia"/>
          <w:bCs/>
          <w:sz w:val="32"/>
          <w:szCs w:val="32"/>
        </w:rPr>
        <w:t>二、非生活垃圾清运工作要求</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1、中标企业作业车辆必须经我镇书面盖章确认后，至区绿化市容局办理车辆</w:t>
      </w:r>
      <w:r w:rsidRPr="001C6027">
        <w:rPr>
          <w:rFonts w:ascii="宋体" w:hAnsi="宋体"/>
          <w:sz w:val="28"/>
          <w:szCs w:val="28"/>
        </w:rPr>
        <w:t>IC</w:t>
      </w:r>
      <w:r w:rsidRPr="001C6027">
        <w:rPr>
          <w:rFonts w:ascii="宋体" w:hAnsi="宋体" w:hint="eastAsia"/>
          <w:sz w:val="28"/>
          <w:szCs w:val="28"/>
        </w:rPr>
        <w:t>卡后方可进入区建材再生利用中心末端处置设施实行集中处置。企业具备分类装运自卸车辆不少于3辆（吨位不小于5吨），铲斗车不少于2辆（前述</w:t>
      </w:r>
      <w:r w:rsidRPr="001C6027">
        <w:rPr>
          <w:rFonts w:ascii="宋体" w:hAnsi="宋体"/>
          <w:sz w:val="28"/>
          <w:szCs w:val="28"/>
        </w:rPr>
        <w:t>车辆</w:t>
      </w:r>
      <w:r w:rsidRPr="001C6027">
        <w:rPr>
          <w:rFonts w:ascii="宋体" w:hAnsi="宋体" w:hint="eastAsia"/>
          <w:sz w:val="28"/>
          <w:szCs w:val="28"/>
        </w:rPr>
        <w:t>均</w:t>
      </w:r>
      <w:r w:rsidR="00FC0063">
        <w:rPr>
          <w:rFonts w:ascii="宋体" w:hAnsi="宋体" w:hint="eastAsia"/>
          <w:sz w:val="28"/>
          <w:szCs w:val="28"/>
        </w:rPr>
        <w:t>为自有</w:t>
      </w:r>
      <w:r w:rsidR="00FC0063">
        <w:rPr>
          <w:rFonts w:ascii="宋体" w:hAnsi="宋体"/>
          <w:sz w:val="28"/>
          <w:szCs w:val="28"/>
        </w:rPr>
        <w:t>并</w:t>
      </w:r>
      <w:r w:rsidRPr="001C6027">
        <w:rPr>
          <w:rFonts w:ascii="宋体" w:hAnsi="宋体" w:hint="eastAsia"/>
          <w:sz w:val="28"/>
          <w:szCs w:val="28"/>
        </w:rPr>
        <w:t>提供所有权证书），每辆车配置驾驶员1名。</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2、严格</w:t>
      </w:r>
      <w:r w:rsidRPr="001C6027">
        <w:rPr>
          <w:rFonts w:ascii="宋体" w:hAnsi="宋体"/>
          <w:sz w:val="28"/>
          <w:szCs w:val="28"/>
        </w:rPr>
        <w:t>实行末端单独称重计量</w:t>
      </w:r>
      <w:r w:rsidRPr="001C6027">
        <w:rPr>
          <w:rFonts w:ascii="宋体" w:hAnsi="宋体" w:hint="eastAsia"/>
          <w:sz w:val="28"/>
          <w:szCs w:val="28"/>
        </w:rPr>
        <w:t>(清运车辆需安装单独称重系统）</w:t>
      </w:r>
      <w:r w:rsidRPr="001C6027">
        <w:rPr>
          <w:rFonts w:ascii="宋体" w:hAnsi="宋体"/>
          <w:sz w:val="28"/>
          <w:szCs w:val="28"/>
        </w:rPr>
        <w:t>，不允许发生车辆跨街镇清运作业，</w:t>
      </w:r>
      <w:r w:rsidRPr="001C6027">
        <w:rPr>
          <w:rFonts w:ascii="宋体" w:hAnsi="宋体" w:hint="eastAsia"/>
          <w:sz w:val="28"/>
          <w:szCs w:val="28"/>
        </w:rPr>
        <w:t>不得</w:t>
      </w:r>
      <w:r w:rsidRPr="001C6027">
        <w:rPr>
          <w:rFonts w:ascii="宋体" w:hAnsi="宋体"/>
          <w:sz w:val="28"/>
          <w:szCs w:val="28"/>
        </w:rPr>
        <w:t>交叉收运作业</w:t>
      </w:r>
      <w:r w:rsidRPr="001C6027">
        <w:rPr>
          <w:rFonts w:ascii="宋体" w:hAnsi="宋体" w:hint="eastAsia"/>
          <w:sz w:val="28"/>
          <w:szCs w:val="28"/>
        </w:rPr>
        <w:t>，</w:t>
      </w:r>
      <w:r w:rsidRPr="001C6027">
        <w:rPr>
          <w:rFonts w:ascii="宋体" w:hAnsi="宋体"/>
          <w:sz w:val="28"/>
          <w:szCs w:val="28"/>
        </w:rPr>
        <w:t>实行专车专运</w:t>
      </w:r>
      <w:r w:rsidRPr="001C6027">
        <w:rPr>
          <w:rFonts w:ascii="宋体" w:hAnsi="宋体" w:hint="eastAsia"/>
          <w:sz w:val="28"/>
          <w:szCs w:val="28"/>
        </w:rPr>
        <w:t>。</w:t>
      </w:r>
      <w:r w:rsidRPr="001C6027">
        <w:rPr>
          <w:rFonts w:ascii="宋体" w:hAnsi="宋体"/>
          <w:sz w:val="28"/>
          <w:szCs w:val="28"/>
        </w:rPr>
        <w:t>严格落实分类</w:t>
      </w:r>
      <w:r w:rsidRPr="001C6027">
        <w:rPr>
          <w:rFonts w:ascii="宋体" w:hAnsi="宋体" w:hint="eastAsia"/>
          <w:sz w:val="28"/>
          <w:szCs w:val="28"/>
        </w:rPr>
        <w:t>运输</w:t>
      </w:r>
      <w:r w:rsidRPr="001C6027">
        <w:rPr>
          <w:rFonts w:ascii="宋体" w:hAnsi="宋体"/>
          <w:sz w:val="28"/>
          <w:szCs w:val="28"/>
        </w:rPr>
        <w:t>管理，确保</w:t>
      </w:r>
      <w:r w:rsidRPr="001C6027">
        <w:rPr>
          <w:rFonts w:ascii="宋体" w:hAnsi="宋体" w:hint="eastAsia"/>
          <w:sz w:val="28"/>
          <w:szCs w:val="28"/>
        </w:rPr>
        <w:t>进区建材再生利用中心消纳处置</w:t>
      </w:r>
      <w:r w:rsidRPr="001C6027">
        <w:rPr>
          <w:rFonts w:ascii="宋体" w:hAnsi="宋体"/>
          <w:sz w:val="28"/>
          <w:szCs w:val="28"/>
        </w:rPr>
        <w:t>纯净度不低于90%</w:t>
      </w:r>
      <w:r w:rsidRPr="001C6027">
        <w:rPr>
          <w:rFonts w:ascii="宋体" w:hAnsi="宋体" w:hint="eastAsia"/>
          <w:sz w:val="28"/>
          <w:szCs w:val="28"/>
        </w:rPr>
        <w:t>。</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3、服务企业应派遣作业人员、车辆、机具对服务范围内进行每日巡查，各类非生活垃圾应按照暴露垃圾48小时处理机制实行清理，同时做好清理前后拍照取证工作。</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4、具备突击整治作业能力，能够及时配合上级部门相关检查、整治工作要求。</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5、服务企业应建立每日收运作业台帐，注明产出点位、装运车</w:t>
      </w:r>
      <w:r w:rsidRPr="001C6027">
        <w:rPr>
          <w:rFonts w:ascii="宋体" w:hAnsi="宋体" w:hint="eastAsia"/>
          <w:sz w:val="28"/>
          <w:szCs w:val="28"/>
        </w:rPr>
        <w:lastRenderedPageBreak/>
        <w:t>辆、吨位及处置去向，并形成帐册，各类信息应与镇相关职能部门形成共享。</w:t>
      </w:r>
    </w:p>
    <w:p w:rsidR="00E0514E" w:rsidRPr="001C6027" w:rsidRDefault="00E0514E" w:rsidP="00E0514E">
      <w:pPr>
        <w:autoSpaceDE w:val="0"/>
        <w:autoSpaceDN w:val="0"/>
        <w:adjustRightInd w:val="0"/>
        <w:spacing w:line="600" w:lineRule="exact"/>
        <w:ind w:firstLineChars="200" w:firstLine="560"/>
        <w:jc w:val="left"/>
        <w:rPr>
          <w:rFonts w:ascii="宋体" w:hAnsi="宋体"/>
          <w:sz w:val="28"/>
          <w:szCs w:val="28"/>
        </w:rPr>
      </w:pPr>
      <w:r w:rsidRPr="001C6027">
        <w:rPr>
          <w:rFonts w:ascii="宋体" w:hAnsi="宋体" w:hint="eastAsia"/>
          <w:sz w:val="28"/>
          <w:szCs w:val="28"/>
        </w:rPr>
        <w:t>6、进入区建材利用中心的装修垃圾、大件垃圾、枯枝落叶，因纯净度不达标造成退返的，或处置单价超出原定价格的，由第三方服务单位承担相应责任。</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7、发现专用车辆擅自装运实施范围以外的（本镇域外）装修垃圾进入区建材再生利用中心处置的，一经确认，立即终止服务合同并追究其法律责任。</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8、发现专用车辆擅自装运未缴纳处置费的建设施工单位、企业、门店商铺产生的装修垃圾进入区建材再生利用中心处置的，一经确认，除扣除装运量处置费以外，每发现一次扣除当季度服务费的0.5%，发现两次扣除当季度服务费的1%，发现三次及以上的扣除当季度服务费的10%，并终止服务合同。</w:t>
      </w:r>
    </w:p>
    <w:p w:rsidR="00E0514E" w:rsidRDefault="00E0514E" w:rsidP="00E0514E">
      <w:pPr>
        <w:spacing w:line="360" w:lineRule="auto"/>
        <w:ind w:firstLineChars="200" w:firstLine="560"/>
        <w:rPr>
          <w:rFonts w:ascii="宋体" w:hAnsi="宋体"/>
          <w:sz w:val="28"/>
          <w:szCs w:val="28"/>
        </w:rPr>
      </w:pPr>
      <w:r w:rsidRPr="001C6027">
        <w:rPr>
          <w:rFonts w:ascii="宋体" w:hAnsi="宋体" w:hint="eastAsia"/>
          <w:sz w:val="28"/>
          <w:szCs w:val="28"/>
        </w:rPr>
        <w:t>9、本项目按装修垃圾、大件垃圾、绿化枯枝等总量测算，约为59949吨，清运费单价以5吨车计算：472.97元/车（含分拣），农业废弃物清运处置总量测算为16750吨，清运处置单价：229.76元/吨，半年度</w:t>
      </w:r>
      <w:r w:rsidRPr="001C6027">
        <w:rPr>
          <w:rFonts w:ascii="宋体" w:hAnsi="宋体"/>
          <w:sz w:val="28"/>
          <w:szCs w:val="28"/>
        </w:rPr>
        <w:t>按实际清运量结算，</w:t>
      </w:r>
      <w:r w:rsidRPr="001C6027">
        <w:rPr>
          <w:rFonts w:ascii="宋体" w:hAnsi="宋体" w:hint="eastAsia"/>
          <w:sz w:val="28"/>
          <w:szCs w:val="28"/>
        </w:rPr>
        <w:t>超出总价不予另行支付。</w:t>
      </w:r>
    </w:p>
    <w:p w:rsidR="00AC64FD" w:rsidRPr="001C6027" w:rsidRDefault="00AC64FD" w:rsidP="00E0514E">
      <w:pPr>
        <w:spacing w:line="360" w:lineRule="auto"/>
        <w:ind w:firstLineChars="200" w:firstLine="560"/>
        <w:rPr>
          <w:rFonts w:ascii="宋体" w:hAnsi="宋体"/>
          <w:sz w:val="28"/>
          <w:szCs w:val="28"/>
        </w:rPr>
      </w:pPr>
      <w:r w:rsidRPr="00AC64FD">
        <w:rPr>
          <w:rFonts w:ascii="宋体" w:hAnsi="宋体" w:hint="eastAsia"/>
          <w:sz w:val="28"/>
          <w:szCs w:val="28"/>
        </w:rPr>
        <w:t>★装修垃圾、大件垃圾、绿化枯枝等的清运单价填报范围为0~472.97元；农业废弃物清运处置单价填报范围为0~229.76元。供应商在报价分类明细表中填报的单价超出填报范围的，做无效标处理</w:t>
      </w:r>
    </w:p>
    <w:p w:rsidR="00E0514E" w:rsidRPr="001C6027" w:rsidRDefault="00E0514E" w:rsidP="00E0514E">
      <w:pPr>
        <w:spacing w:line="360" w:lineRule="auto"/>
        <w:ind w:firstLineChars="200" w:firstLine="560"/>
        <w:rPr>
          <w:rFonts w:ascii="宋体" w:hAnsi="宋体"/>
          <w:sz w:val="28"/>
          <w:szCs w:val="28"/>
        </w:rPr>
      </w:pPr>
      <w:r w:rsidRPr="001C6027">
        <w:rPr>
          <w:rFonts w:ascii="宋体" w:hAnsi="宋体" w:hint="eastAsia"/>
          <w:sz w:val="28"/>
          <w:szCs w:val="28"/>
        </w:rPr>
        <w:t>10、采购预算为9519336元人民币，投标总报价不得超出限价9519336，否则该投标文件作为废标处理；</w:t>
      </w:r>
    </w:p>
    <w:p w:rsidR="00E0514E" w:rsidRPr="001C6027" w:rsidRDefault="00E0514E" w:rsidP="00E0514E">
      <w:pPr>
        <w:spacing w:line="360" w:lineRule="auto"/>
        <w:ind w:firstLineChars="200" w:firstLine="560"/>
        <w:rPr>
          <w:rFonts w:ascii="宋体" w:hAnsi="宋体"/>
          <w:sz w:val="28"/>
          <w:szCs w:val="28"/>
        </w:rPr>
      </w:pPr>
      <w:r w:rsidRPr="001C6027">
        <w:rPr>
          <w:rFonts w:ascii="宋体" w:hAnsi="宋体" w:hint="eastAsia"/>
          <w:sz w:val="28"/>
          <w:szCs w:val="28"/>
        </w:rPr>
        <w:t>11、中标单位在垃圾清运全过程中的安全管理由中标单位自行负</w:t>
      </w:r>
      <w:r w:rsidRPr="001C6027">
        <w:rPr>
          <w:rFonts w:ascii="宋体" w:hAnsi="宋体" w:hint="eastAsia"/>
          <w:sz w:val="28"/>
          <w:szCs w:val="28"/>
        </w:rPr>
        <w:lastRenderedPageBreak/>
        <w:t>责，制订相应的安全管理制度，期间所发生的一切安全事故由中标方自行承担，与采购方无关。</w:t>
      </w:r>
    </w:p>
    <w:p w:rsidR="00E0514E" w:rsidRPr="001C6027" w:rsidRDefault="00E0514E" w:rsidP="00E0514E">
      <w:pPr>
        <w:spacing w:line="360" w:lineRule="auto"/>
        <w:ind w:firstLineChars="200" w:firstLine="560"/>
        <w:rPr>
          <w:rFonts w:ascii="宋体" w:hAnsi="宋体"/>
          <w:sz w:val="28"/>
          <w:szCs w:val="28"/>
        </w:rPr>
      </w:pPr>
      <w:r w:rsidRPr="001C6027">
        <w:rPr>
          <w:rFonts w:ascii="宋体" w:hAnsi="宋体" w:hint="eastAsia"/>
          <w:sz w:val="28"/>
          <w:szCs w:val="28"/>
        </w:rPr>
        <w:t>12、中标单位清运至采购人指定地点，并进行检查。建筑垃圾、大件垃圾、绿化枯枝、农业废弃物等垃圾体积重量不等，按照5吨卡车平箱平盖装满一车经甲方确认后计1车次。</w:t>
      </w:r>
    </w:p>
    <w:p w:rsidR="00E0514E" w:rsidRPr="001C6027" w:rsidRDefault="00E0514E" w:rsidP="00E0514E">
      <w:pPr>
        <w:spacing w:line="600" w:lineRule="exact"/>
        <w:rPr>
          <w:rFonts w:ascii="黑体" w:eastAsia="黑体" w:hAnsi="黑体"/>
          <w:bCs/>
          <w:sz w:val="32"/>
          <w:szCs w:val="32"/>
        </w:rPr>
      </w:pPr>
      <w:r w:rsidRPr="001C6027">
        <w:rPr>
          <w:rFonts w:ascii="黑体" w:eastAsia="黑体" w:hAnsi="黑体" w:hint="eastAsia"/>
          <w:bCs/>
          <w:sz w:val="32"/>
          <w:szCs w:val="32"/>
        </w:rPr>
        <w:t>三、其它要求</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sz w:val="28"/>
          <w:szCs w:val="28"/>
        </w:rPr>
        <w:t>1</w:t>
      </w:r>
      <w:r w:rsidRPr="001C6027">
        <w:rPr>
          <w:rFonts w:ascii="宋体" w:hAnsi="宋体" w:hint="eastAsia"/>
          <w:sz w:val="28"/>
          <w:szCs w:val="28"/>
        </w:rPr>
        <w:t>、合同服务期限：自合同签订</w:t>
      </w:r>
      <w:r w:rsidR="00192FCB">
        <w:rPr>
          <w:rFonts w:ascii="宋体" w:hAnsi="宋体" w:hint="eastAsia"/>
          <w:sz w:val="28"/>
          <w:szCs w:val="28"/>
        </w:rPr>
        <w:t>之日</w:t>
      </w:r>
      <w:bookmarkStart w:id="0" w:name="_GoBack"/>
      <w:bookmarkEnd w:id="0"/>
      <w:r w:rsidRPr="001C6027">
        <w:rPr>
          <w:rFonts w:ascii="宋体" w:hAnsi="宋体" w:hint="eastAsia"/>
          <w:sz w:val="28"/>
          <w:szCs w:val="28"/>
        </w:rPr>
        <w:t>起1年。</w:t>
      </w:r>
      <w:r w:rsidR="00B667CD" w:rsidRPr="00B667CD">
        <w:rPr>
          <w:rFonts w:ascii="宋体" w:hAnsi="宋体" w:hint="eastAsia"/>
          <w:sz w:val="28"/>
          <w:szCs w:val="28"/>
        </w:rPr>
        <w:t>本项目采取一次采购三年享用，分年签订合同。</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2、付款方式：按半年度实际清运量与半年两</w:t>
      </w:r>
      <w:r w:rsidR="006D2ADE">
        <w:rPr>
          <w:rFonts w:ascii="宋体" w:hAnsi="宋体" w:hint="eastAsia"/>
          <w:sz w:val="28"/>
          <w:szCs w:val="28"/>
        </w:rPr>
        <w:t>次</w:t>
      </w:r>
      <w:r w:rsidRPr="001C6027">
        <w:rPr>
          <w:rFonts w:ascii="宋体" w:hAnsi="宋体"/>
          <w:sz w:val="28"/>
          <w:szCs w:val="28"/>
        </w:rPr>
        <w:t>季度的</w:t>
      </w:r>
      <w:r w:rsidRPr="001C6027">
        <w:rPr>
          <w:rFonts w:ascii="宋体" w:hAnsi="宋体" w:hint="eastAsia"/>
          <w:sz w:val="28"/>
          <w:szCs w:val="28"/>
        </w:rPr>
        <w:t>考核结果进行结算拨付。</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3、需要设置项目负责人和管理团队，项目负责人和管理团队需是本企业在职员工。</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4、★供应商须承诺并履行能够办理青浦区建材再生利用中心处置装潢垃圾IC卡，如中标人无法办理IC卡则视为自动放弃中标资格。（承诺函</w:t>
      </w:r>
      <w:r w:rsidRPr="001C6027">
        <w:rPr>
          <w:rFonts w:ascii="宋体" w:hAnsi="宋体"/>
          <w:sz w:val="28"/>
          <w:szCs w:val="28"/>
        </w:rPr>
        <w:t>格式自拟</w:t>
      </w:r>
      <w:r w:rsidRPr="001C6027">
        <w:rPr>
          <w:rFonts w:ascii="宋体" w:hAnsi="宋体" w:hint="eastAsia"/>
          <w:sz w:val="28"/>
          <w:szCs w:val="28"/>
        </w:rPr>
        <w:t>）</w:t>
      </w:r>
    </w:p>
    <w:p w:rsidR="00E0514E" w:rsidRPr="001C6027" w:rsidRDefault="00E0514E" w:rsidP="00E0514E">
      <w:pPr>
        <w:spacing w:line="600" w:lineRule="exact"/>
        <w:rPr>
          <w:rFonts w:ascii="黑体" w:eastAsia="黑体" w:hAnsi="黑体"/>
          <w:bCs/>
          <w:sz w:val="32"/>
          <w:szCs w:val="32"/>
        </w:rPr>
      </w:pPr>
      <w:r w:rsidRPr="001C6027">
        <w:rPr>
          <w:rFonts w:ascii="黑体" w:eastAsia="黑体" w:hAnsi="黑体" w:hint="eastAsia"/>
          <w:bCs/>
          <w:sz w:val="32"/>
          <w:szCs w:val="32"/>
        </w:rPr>
        <w:t>四、监督考核</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1、镇社会事业发展办公室牵头村居、城管、保洁公司对第三方服务单位进行管理和业务指导，每季度开展专业检查评估，评估结果与作业经费挂钩，作为费用支付的重要依据。</w:t>
      </w:r>
    </w:p>
    <w:p w:rsidR="00E0514E" w:rsidRPr="001C6027" w:rsidRDefault="00E0514E" w:rsidP="00E0514E">
      <w:pPr>
        <w:spacing w:line="600" w:lineRule="exact"/>
        <w:ind w:firstLineChars="200" w:firstLine="560"/>
        <w:rPr>
          <w:rFonts w:ascii="宋体" w:hAnsi="宋体"/>
          <w:sz w:val="28"/>
          <w:szCs w:val="28"/>
        </w:rPr>
      </w:pPr>
      <w:r w:rsidRPr="001C6027">
        <w:rPr>
          <w:rFonts w:ascii="宋体" w:hAnsi="宋体" w:hint="eastAsia"/>
          <w:sz w:val="28"/>
          <w:szCs w:val="28"/>
        </w:rPr>
        <w:t>2、原则上每</w:t>
      </w:r>
      <w:r w:rsidRPr="001C6027">
        <w:rPr>
          <w:rFonts w:ascii="宋体" w:hAnsi="宋体"/>
          <w:sz w:val="28"/>
          <w:szCs w:val="28"/>
        </w:rPr>
        <w:t>半年的两</w:t>
      </w:r>
      <w:r w:rsidR="006D2ADE">
        <w:rPr>
          <w:rFonts w:ascii="宋体" w:hAnsi="宋体" w:hint="eastAsia"/>
          <w:sz w:val="28"/>
          <w:szCs w:val="28"/>
        </w:rPr>
        <w:t>次</w:t>
      </w:r>
      <w:r w:rsidRPr="001C6027">
        <w:rPr>
          <w:rFonts w:ascii="宋体" w:hAnsi="宋体"/>
          <w:sz w:val="28"/>
          <w:szCs w:val="28"/>
        </w:rPr>
        <w:t>季度</w:t>
      </w:r>
      <w:r w:rsidRPr="001C6027">
        <w:rPr>
          <w:rFonts w:ascii="宋体" w:hAnsi="宋体" w:hint="eastAsia"/>
          <w:sz w:val="28"/>
          <w:szCs w:val="28"/>
        </w:rPr>
        <w:t>考核成绩</w:t>
      </w:r>
      <w:r w:rsidRPr="001C6027">
        <w:rPr>
          <w:rFonts w:ascii="宋体" w:hAnsi="宋体"/>
          <w:sz w:val="28"/>
          <w:szCs w:val="28"/>
        </w:rPr>
        <w:t>90</w:t>
      </w:r>
      <w:r w:rsidRPr="001C6027">
        <w:rPr>
          <w:rFonts w:ascii="宋体" w:hAnsi="宋体" w:hint="eastAsia"/>
          <w:sz w:val="28"/>
          <w:szCs w:val="28"/>
        </w:rPr>
        <w:t>分以上，支付半年度全额费用；得分</w:t>
      </w:r>
      <w:r w:rsidRPr="001C6027">
        <w:rPr>
          <w:rFonts w:ascii="宋体" w:hAnsi="宋体"/>
          <w:sz w:val="28"/>
          <w:szCs w:val="28"/>
        </w:rPr>
        <w:t>85-89</w:t>
      </w:r>
      <w:r w:rsidRPr="001C6027">
        <w:rPr>
          <w:rFonts w:ascii="宋体" w:hAnsi="宋体" w:hint="eastAsia"/>
          <w:sz w:val="28"/>
          <w:szCs w:val="28"/>
        </w:rPr>
        <w:t>分，视情节扣除</w:t>
      </w:r>
      <w:r w:rsidRPr="001C6027">
        <w:rPr>
          <w:rFonts w:ascii="宋体" w:hAnsi="宋体"/>
          <w:sz w:val="28"/>
          <w:szCs w:val="28"/>
        </w:rPr>
        <w:t>1%-5%</w:t>
      </w:r>
      <w:r w:rsidRPr="001C6027">
        <w:rPr>
          <w:rFonts w:ascii="宋体" w:hAnsi="宋体" w:hint="eastAsia"/>
          <w:sz w:val="28"/>
          <w:szCs w:val="28"/>
        </w:rPr>
        <w:t>半年度作业经费；得分</w:t>
      </w:r>
      <w:r w:rsidRPr="001C6027">
        <w:rPr>
          <w:rFonts w:ascii="宋体" w:hAnsi="宋体"/>
          <w:sz w:val="28"/>
          <w:szCs w:val="28"/>
        </w:rPr>
        <w:t>80-84</w:t>
      </w:r>
      <w:r w:rsidRPr="001C6027">
        <w:rPr>
          <w:rFonts w:ascii="宋体" w:hAnsi="宋体" w:hint="eastAsia"/>
          <w:sz w:val="28"/>
          <w:szCs w:val="28"/>
        </w:rPr>
        <w:t>分，视情节扣除</w:t>
      </w:r>
      <w:r w:rsidRPr="001C6027">
        <w:rPr>
          <w:rFonts w:ascii="宋体" w:hAnsi="宋体"/>
          <w:sz w:val="28"/>
          <w:szCs w:val="28"/>
        </w:rPr>
        <w:t>6%-10%</w:t>
      </w:r>
      <w:r w:rsidRPr="001C6027">
        <w:rPr>
          <w:rFonts w:ascii="宋体" w:hAnsi="宋体" w:hint="eastAsia"/>
          <w:sz w:val="28"/>
          <w:szCs w:val="28"/>
        </w:rPr>
        <w:t>半年度作业经费；得分</w:t>
      </w:r>
      <w:r w:rsidRPr="001C6027">
        <w:rPr>
          <w:rFonts w:ascii="宋体" w:hAnsi="宋体"/>
          <w:sz w:val="28"/>
          <w:szCs w:val="28"/>
        </w:rPr>
        <w:t>80</w:t>
      </w:r>
      <w:r w:rsidRPr="001C6027">
        <w:rPr>
          <w:rFonts w:ascii="宋体" w:hAnsi="宋体" w:hint="eastAsia"/>
          <w:sz w:val="28"/>
          <w:szCs w:val="28"/>
        </w:rPr>
        <w:t>分以下的，一次约谈中标单位负责人，并视情节扣除</w:t>
      </w:r>
      <w:r w:rsidRPr="001C6027">
        <w:rPr>
          <w:rFonts w:ascii="宋体" w:hAnsi="宋体"/>
          <w:sz w:val="28"/>
          <w:szCs w:val="28"/>
        </w:rPr>
        <w:t>10%-20%</w:t>
      </w:r>
      <w:r w:rsidRPr="001C6027">
        <w:rPr>
          <w:rFonts w:ascii="宋体" w:hAnsi="宋体" w:hint="eastAsia"/>
          <w:sz w:val="28"/>
          <w:szCs w:val="28"/>
        </w:rPr>
        <w:t>半年度作业经费。连续</w:t>
      </w:r>
      <w:r w:rsidRPr="001C6027">
        <w:rPr>
          <w:rFonts w:ascii="宋体" w:hAnsi="宋体" w:hint="eastAsia"/>
          <w:sz w:val="28"/>
          <w:szCs w:val="28"/>
        </w:rPr>
        <w:lastRenderedPageBreak/>
        <w:t>两次考核低于</w:t>
      </w:r>
      <w:r w:rsidRPr="001C6027">
        <w:rPr>
          <w:rFonts w:ascii="宋体" w:hAnsi="宋体"/>
          <w:sz w:val="28"/>
          <w:szCs w:val="28"/>
        </w:rPr>
        <w:t>80</w:t>
      </w:r>
      <w:r w:rsidRPr="001C6027">
        <w:rPr>
          <w:rFonts w:ascii="宋体" w:hAnsi="宋体" w:hint="eastAsia"/>
          <w:sz w:val="28"/>
          <w:szCs w:val="28"/>
        </w:rPr>
        <w:t>分的，直接终止服务协议。</w:t>
      </w:r>
    </w:p>
    <w:p w:rsidR="00E0514E" w:rsidRPr="001C6027" w:rsidRDefault="00E0514E" w:rsidP="00E0514E">
      <w:pPr>
        <w:jc w:val="center"/>
        <w:rPr>
          <w:rFonts w:ascii="宋体" w:hAnsi="宋体" w:cs="宋体"/>
          <w:kern w:val="0"/>
          <w:szCs w:val="21"/>
        </w:rPr>
      </w:pPr>
    </w:p>
    <w:p w:rsidR="00E0514E" w:rsidRPr="001C6027" w:rsidRDefault="00E0514E" w:rsidP="00E0514E">
      <w:pPr>
        <w:jc w:val="center"/>
        <w:rPr>
          <w:rFonts w:ascii="宋体" w:hAnsi="宋体" w:cs="宋体"/>
          <w:kern w:val="0"/>
          <w:szCs w:val="21"/>
        </w:rPr>
      </w:pPr>
    </w:p>
    <w:p w:rsidR="00E0514E" w:rsidRPr="001C6027" w:rsidRDefault="00E0514E" w:rsidP="00E0514E">
      <w:pPr>
        <w:jc w:val="center"/>
        <w:rPr>
          <w:rFonts w:ascii="宋体" w:hAnsi="宋体" w:cs="仿宋_GB2312"/>
          <w:b/>
          <w:sz w:val="28"/>
          <w:szCs w:val="28"/>
        </w:rPr>
      </w:pPr>
      <w:r w:rsidRPr="001C6027">
        <w:rPr>
          <w:rFonts w:ascii="宋体" w:hAnsi="宋体" w:cs="宋体"/>
          <w:kern w:val="0"/>
          <w:sz w:val="28"/>
          <w:szCs w:val="28"/>
        </w:rPr>
        <w:t>《</w:t>
      </w:r>
      <w:r w:rsidRPr="001C6027">
        <w:rPr>
          <w:rFonts w:ascii="宋体" w:hAnsi="宋体" w:cs="宋体" w:hint="eastAsia"/>
          <w:kern w:val="0"/>
          <w:sz w:val="28"/>
          <w:szCs w:val="28"/>
        </w:rPr>
        <w:t>重固镇</w:t>
      </w:r>
      <w:r w:rsidRPr="001C6027">
        <w:rPr>
          <w:rFonts w:ascii="宋体" w:hAnsi="宋体" w:cs="宋体"/>
          <w:kern w:val="0"/>
          <w:sz w:val="28"/>
          <w:szCs w:val="28"/>
        </w:rPr>
        <w:t>政府购买</w:t>
      </w:r>
      <w:r w:rsidRPr="001C6027">
        <w:rPr>
          <w:rFonts w:ascii="宋体" w:hAnsi="宋体" w:cs="宋体" w:hint="eastAsia"/>
          <w:kern w:val="0"/>
          <w:sz w:val="28"/>
          <w:szCs w:val="28"/>
        </w:rPr>
        <w:t>非生活垃圾清运管理</w:t>
      </w:r>
      <w:r w:rsidRPr="001C6027">
        <w:rPr>
          <w:rFonts w:ascii="宋体" w:hAnsi="宋体" w:cs="宋体"/>
          <w:kern w:val="0"/>
          <w:sz w:val="28"/>
          <w:szCs w:val="28"/>
        </w:rPr>
        <w:t>服务考核标准评分表》</w:t>
      </w:r>
    </w:p>
    <w:tbl>
      <w:tblPr>
        <w:tblW w:w="0" w:type="auto"/>
        <w:jc w:val="center"/>
        <w:tblLayout w:type="fixed"/>
        <w:tblLook w:val="0000" w:firstRow="0" w:lastRow="0" w:firstColumn="0" w:lastColumn="0" w:noHBand="0" w:noVBand="0"/>
      </w:tblPr>
      <w:tblGrid>
        <w:gridCol w:w="720"/>
        <w:gridCol w:w="3960"/>
        <w:gridCol w:w="3420"/>
        <w:gridCol w:w="1080"/>
        <w:gridCol w:w="1260"/>
      </w:tblGrid>
      <w:tr w:rsidR="00E0514E" w:rsidRPr="001C6027" w:rsidTr="00A65FCB">
        <w:trPr>
          <w:trHeight w:val="645"/>
          <w:jc w:val="center"/>
        </w:trPr>
        <w:tc>
          <w:tcPr>
            <w:tcW w:w="720" w:type="dxa"/>
            <w:tcBorders>
              <w:top w:val="single" w:sz="4" w:space="0" w:color="auto"/>
              <w:left w:val="single" w:sz="4"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序号</w:t>
            </w:r>
          </w:p>
        </w:tc>
        <w:tc>
          <w:tcPr>
            <w:tcW w:w="3960" w:type="dxa"/>
            <w:tcBorders>
              <w:top w:val="single" w:sz="4"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考 核 内 容</w:t>
            </w:r>
          </w:p>
        </w:tc>
        <w:tc>
          <w:tcPr>
            <w:tcW w:w="3420" w:type="dxa"/>
            <w:tcBorders>
              <w:top w:val="single" w:sz="4"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评 分 标 准</w:t>
            </w:r>
          </w:p>
        </w:tc>
        <w:tc>
          <w:tcPr>
            <w:tcW w:w="1080" w:type="dxa"/>
            <w:tcBorders>
              <w:top w:val="single" w:sz="4"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标准分</w:t>
            </w:r>
          </w:p>
        </w:tc>
        <w:tc>
          <w:tcPr>
            <w:tcW w:w="1260" w:type="dxa"/>
            <w:tcBorders>
              <w:top w:val="single" w:sz="4" w:space="0" w:color="auto"/>
              <w:left w:val="single" w:sz="6" w:space="0" w:color="auto"/>
              <w:bottom w:val="single" w:sz="6" w:space="0" w:color="auto"/>
              <w:right w:val="single" w:sz="4"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考核得分</w:t>
            </w:r>
          </w:p>
        </w:tc>
      </w:tr>
      <w:tr w:rsidR="00E0514E" w:rsidRPr="001C6027" w:rsidTr="00A65FCB">
        <w:trPr>
          <w:trHeight w:val="1275"/>
          <w:jc w:val="center"/>
        </w:trPr>
        <w:tc>
          <w:tcPr>
            <w:tcW w:w="720" w:type="dxa"/>
            <w:tcBorders>
              <w:top w:val="single" w:sz="6" w:space="0" w:color="auto"/>
              <w:left w:val="single" w:sz="4"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1</w:t>
            </w:r>
          </w:p>
        </w:tc>
        <w:tc>
          <w:tcPr>
            <w:tcW w:w="396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作业</w:t>
            </w:r>
            <w:r w:rsidRPr="001C6027">
              <w:rPr>
                <w:rFonts w:ascii="宋体" w:hAnsi="宋体" w:cs="宋体"/>
                <w:kern w:val="0"/>
                <w:szCs w:val="21"/>
              </w:rPr>
              <w:t>人员须穿着统一</w:t>
            </w:r>
            <w:r w:rsidRPr="001C6027">
              <w:rPr>
                <w:rFonts w:ascii="宋体" w:hAnsi="宋体" w:cs="宋体" w:hint="eastAsia"/>
                <w:kern w:val="0"/>
                <w:szCs w:val="21"/>
              </w:rPr>
              <w:t>制服，文明作业，无扰民现象发生。</w:t>
            </w:r>
          </w:p>
        </w:tc>
        <w:tc>
          <w:tcPr>
            <w:tcW w:w="342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spacing w:line="300" w:lineRule="exact"/>
              <w:jc w:val="left"/>
              <w:rPr>
                <w:rFonts w:ascii="宋体" w:hAnsi="宋体" w:cs="宋体"/>
                <w:kern w:val="0"/>
                <w:szCs w:val="21"/>
              </w:rPr>
            </w:pPr>
            <w:r w:rsidRPr="001C6027">
              <w:rPr>
                <w:rFonts w:ascii="宋体" w:hAnsi="宋体" w:cs="宋体" w:hint="eastAsia"/>
                <w:kern w:val="0"/>
                <w:szCs w:val="21"/>
              </w:rPr>
              <w:t>作业</w:t>
            </w:r>
            <w:r w:rsidRPr="001C6027">
              <w:rPr>
                <w:rFonts w:ascii="宋体" w:hAnsi="宋体" w:cs="宋体"/>
                <w:kern w:val="0"/>
                <w:szCs w:val="21"/>
              </w:rPr>
              <w:t>人员</w:t>
            </w:r>
            <w:r w:rsidRPr="001C6027">
              <w:rPr>
                <w:rFonts w:ascii="宋体" w:hAnsi="宋体" w:cs="宋体" w:hint="eastAsia"/>
                <w:kern w:val="0"/>
                <w:szCs w:val="21"/>
              </w:rPr>
              <w:t>着装异常、存在作业扰民现象</w:t>
            </w:r>
            <w:r w:rsidRPr="001C6027">
              <w:rPr>
                <w:rFonts w:ascii="宋体" w:hAnsi="宋体" w:cs="宋体"/>
                <w:kern w:val="0"/>
                <w:szCs w:val="21"/>
              </w:rPr>
              <w:t>任何一种扣2分。</w:t>
            </w:r>
          </w:p>
        </w:tc>
        <w:tc>
          <w:tcPr>
            <w:tcW w:w="108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10</w:t>
            </w:r>
          </w:p>
        </w:tc>
        <w:tc>
          <w:tcPr>
            <w:tcW w:w="1260" w:type="dxa"/>
            <w:tcBorders>
              <w:top w:val="single" w:sz="6" w:space="0" w:color="auto"/>
              <w:left w:val="single" w:sz="6" w:space="0" w:color="auto"/>
              <w:bottom w:val="single" w:sz="6" w:space="0" w:color="auto"/>
              <w:right w:val="single" w:sz="4"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 xml:space="preserve">　</w:t>
            </w:r>
          </w:p>
        </w:tc>
      </w:tr>
      <w:tr w:rsidR="00E0514E" w:rsidRPr="001C6027" w:rsidTr="00A65FCB">
        <w:trPr>
          <w:trHeight w:val="1590"/>
          <w:jc w:val="center"/>
        </w:trPr>
        <w:tc>
          <w:tcPr>
            <w:tcW w:w="720" w:type="dxa"/>
            <w:tcBorders>
              <w:top w:val="single" w:sz="6" w:space="0" w:color="auto"/>
              <w:left w:val="single" w:sz="4"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2</w:t>
            </w:r>
          </w:p>
        </w:tc>
        <w:tc>
          <w:tcPr>
            <w:tcW w:w="396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道路两侧及重点区域非生活垃圾清运及时；日常巡查人员、车辆到位。</w:t>
            </w:r>
          </w:p>
        </w:tc>
        <w:tc>
          <w:tcPr>
            <w:tcW w:w="342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spacing w:line="300" w:lineRule="exact"/>
              <w:jc w:val="left"/>
              <w:rPr>
                <w:rFonts w:ascii="宋体" w:hAnsi="宋体" w:cs="宋体"/>
                <w:kern w:val="0"/>
                <w:szCs w:val="21"/>
              </w:rPr>
            </w:pPr>
            <w:r w:rsidRPr="001C6027">
              <w:rPr>
                <w:rFonts w:ascii="宋体" w:hAnsi="宋体" w:cs="宋体" w:hint="eastAsia"/>
                <w:kern w:val="0"/>
                <w:szCs w:val="21"/>
              </w:rPr>
              <w:t>清运处置拖沓（48小时内未清理完毕）每证实一次扣5分。巡查不及时造成清运滞后，每证实一次扣3分。</w:t>
            </w:r>
          </w:p>
        </w:tc>
        <w:tc>
          <w:tcPr>
            <w:tcW w:w="108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20</w:t>
            </w:r>
          </w:p>
        </w:tc>
        <w:tc>
          <w:tcPr>
            <w:tcW w:w="1260" w:type="dxa"/>
            <w:tcBorders>
              <w:top w:val="single" w:sz="6" w:space="0" w:color="auto"/>
              <w:left w:val="single" w:sz="6" w:space="0" w:color="auto"/>
              <w:bottom w:val="single" w:sz="6" w:space="0" w:color="auto"/>
              <w:right w:val="single" w:sz="4"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 xml:space="preserve">　</w:t>
            </w:r>
          </w:p>
        </w:tc>
      </w:tr>
      <w:tr w:rsidR="00E0514E" w:rsidRPr="001C6027" w:rsidTr="00A65FCB">
        <w:trPr>
          <w:trHeight w:val="2001"/>
          <w:jc w:val="center"/>
        </w:trPr>
        <w:tc>
          <w:tcPr>
            <w:tcW w:w="720" w:type="dxa"/>
            <w:tcBorders>
              <w:top w:val="single" w:sz="6" w:space="0" w:color="auto"/>
              <w:left w:val="single" w:sz="4"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3</w:t>
            </w:r>
          </w:p>
        </w:tc>
        <w:tc>
          <w:tcPr>
            <w:tcW w:w="396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清运车辆纳入市级监管平台；运输途中严禁拖挂滴漏、保持车容车貌整洁；清运的非生活垃圾进入指定消纳场处置，严禁跨街镇清运作业。</w:t>
            </w:r>
          </w:p>
        </w:tc>
        <w:tc>
          <w:tcPr>
            <w:tcW w:w="342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spacing w:line="300" w:lineRule="exact"/>
              <w:jc w:val="left"/>
              <w:rPr>
                <w:rFonts w:ascii="宋体" w:hAnsi="宋体" w:cs="宋体"/>
                <w:kern w:val="0"/>
                <w:szCs w:val="21"/>
              </w:rPr>
            </w:pPr>
            <w:r w:rsidRPr="001C6027">
              <w:rPr>
                <w:rFonts w:ascii="宋体" w:hAnsi="宋体" w:cs="宋体" w:hint="eastAsia"/>
                <w:kern w:val="0"/>
                <w:szCs w:val="21"/>
              </w:rPr>
              <w:t>运输车辆未纳入市级监管平台扣5分；车体不洁、有拖挂现象扣2分；发现擅自处置或跨街镇收集清运，一经证实扣30分。</w:t>
            </w:r>
          </w:p>
        </w:tc>
        <w:tc>
          <w:tcPr>
            <w:tcW w:w="108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30</w:t>
            </w:r>
          </w:p>
        </w:tc>
        <w:tc>
          <w:tcPr>
            <w:tcW w:w="1260" w:type="dxa"/>
            <w:tcBorders>
              <w:top w:val="single" w:sz="6" w:space="0" w:color="auto"/>
              <w:left w:val="single" w:sz="6" w:space="0" w:color="auto"/>
              <w:bottom w:val="single" w:sz="6" w:space="0" w:color="auto"/>
              <w:right w:val="single" w:sz="4" w:space="0" w:color="auto"/>
            </w:tcBorders>
            <w:vAlign w:val="center"/>
          </w:tcPr>
          <w:p w:rsidR="00E0514E" w:rsidRPr="001C6027" w:rsidRDefault="00E0514E" w:rsidP="00A65FCB">
            <w:pPr>
              <w:widowControl/>
              <w:ind w:leftChars="192" w:left="403"/>
              <w:jc w:val="left"/>
              <w:rPr>
                <w:rFonts w:ascii="宋体" w:hAnsi="宋体" w:cs="宋体"/>
                <w:kern w:val="0"/>
                <w:szCs w:val="21"/>
              </w:rPr>
            </w:pPr>
            <w:r w:rsidRPr="001C6027">
              <w:rPr>
                <w:rFonts w:ascii="宋体" w:hAnsi="宋体" w:cs="宋体" w:hint="eastAsia"/>
                <w:kern w:val="0"/>
                <w:szCs w:val="21"/>
              </w:rPr>
              <w:t xml:space="preserve">　</w:t>
            </w:r>
          </w:p>
        </w:tc>
      </w:tr>
      <w:tr w:rsidR="00E0514E" w:rsidRPr="001C6027" w:rsidTr="00A65FCB">
        <w:trPr>
          <w:trHeight w:val="1695"/>
          <w:jc w:val="center"/>
        </w:trPr>
        <w:tc>
          <w:tcPr>
            <w:tcW w:w="720" w:type="dxa"/>
            <w:tcBorders>
              <w:top w:val="single" w:sz="6" w:space="0" w:color="auto"/>
              <w:left w:val="single" w:sz="4"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4</w:t>
            </w:r>
          </w:p>
        </w:tc>
        <w:tc>
          <w:tcPr>
            <w:tcW w:w="396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服务管理机制齐全，制定管理方案、人员信息、排班明细、作业规章制度、清运处置流程、去向。</w:t>
            </w:r>
          </w:p>
        </w:tc>
        <w:tc>
          <w:tcPr>
            <w:tcW w:w="342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企业管理材料明细每缺失一项扣2分。</w:t>
            </w:r>
          </w:p>
        </w:tc>
        <w:tc>
          <w:tcPr>
            <w:tcW w:w="108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10</w:t>
            </w:r>
          </w:p>
        </w:tc>
        <w:tc>
          <w:tcPr>
            <w:tcW w:w="1260" w:type="dxa"/>
            <w:tcBorders>
              <w:top w:val="single" w:sz="6" w:space="0" w:color="auto"/>
              <w:left w:val="single" w:sz="6" w:space="0" w:color="auto"/>
              <w:bottom w:val="single" w:sz="6" w:space="0" w:color="auto"/>
              <w:right w:val="single" w:sz="4"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 xml:space="preserve">　</w:t>
            </w:r>
          </w:p>
        </w:tc>
      </w:tr>
      <w:tr w:rsidR="00E0514E" w:rsidRPr="001C6027" w:rsidTr="00A65FCB">
        <w:trPr>
          <w:trHeight w:val="1695"/>
          <w:jc w:val="center"/>
        </w:trPr>
        <w:tc>
          <w:tcPr>
            <w:tcW w:w="720" w:type="dxa"/>
            <w:tcBorders>
              <w:top w:val="single" w:sz="6" w:space="0" w:color="auto"/>
              <w:left w:val="single" w:sz="4"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5</w:t>
            </w:r>
          </w:p>
        </w:tc>
        <w:tc>
          <w:tcPr>
            <w:tcW w:w="396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台帐资料齐全，每日处置台帐、清运前后照片、文字材料记录、按时上报每月报表。</w:t>
            </w:r>
          </w:p>
        </w:tc>
        <w:tc>
          <w:tcPr>
            <w:tcW w:w="342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spacing w:line="300" w:lineRule="exact"/>
              <w:jc w:val="left"/>
              <w:rPr>
                <w:rFonts w:ascii="宋体" w:hAnsi="宋体" w:cs="宋体"/>
                <w:kern w:val="0"/>
                <w:szCs w:val="21"/>
              </w:rPr>
            </w:pPr>
            <w:r w:rsidRPr="001C6027">
              <w:rPr>
                <w:rFonts w:ascii="宋体" w:hAnsi="宋体" w:cs="宋体" w:hint="eastAsia"/>
                <w:kern w:val="0"/>
                <w:szCs w:val="21"/>
              </w:rPr>
              <w:t>台帐资料每缺失一项扣2分，未按时上报信息扣2分。</w:t>
            </w:r>
          </w:p>
        </w:tc>
        <w:tc>
          <w:tcPr>
            <w:tcW w:w="108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10</w:t>
            </w:r>
          </w:p>
        </w:tc>
        <w:tc>
          <w:tcPr>
            <w:tcW w:w="1260" w:type="dxa"/>
            <w:tcBorders>
              <w:top w:val="single" w:sz="6" w:space="0" w:color="auto"/>
              <w:left w:val="single" w:sz="6" w:space="0" w:color="auto"/>
              <w:bottom w:val="single" w:sz="6" w:space="0" w:color="auto"/>
              <w:right w:val="single" w:sz="4"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 xml:space="preserve">　</w:t>
            </w:r>
          </w:p>
        </w:tc>
      </w:tr>
      <w:tr w:rsidR="00E0514E" w:rsidRPr="001C6027" w:rsidTr="00A65FCB">
        <w:trPr>
          <w:trHeight w:val="1635"/>
          <w:jc w:val="center"/>
        </w:trPr>
        <w:tc>
          <w:tcPr>
            <w:tcW w:w="720" w:type="dxa"/>
            <w:tcBorders>
              <w:top w:val="single" w:sz="6" w:space="0" w:color="auto"/>
              <w:left w:val="single" w:sz="4"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kern w:val="0"/>
                <w:szCs w:val="21"/>
              </w:rPr>
              <w:t>6</w:t>
            </w:r>
          </w:p>
        </w:tc>
        <w:tc>
          <w:tcPr>
            <w:tcW w:w="396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曝光投诉、通报批评事件</w:t>
            </w:r>
          </w:p>
        </w:tc>
        <w:tc>
          <w:tcPr>
            <w:tcW w:w="342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spacing w:line="300" w:lineRule="exact"/>
              <w:jc w:val="left"/>
              <w:rPr>
                <w:rFonts w:ascii="宋体" w:hAnsi="宋体" w:cs="宋体"/>
                <w:kern w:val="0"/>
                <w:szCs w:val="21"/>
              </w:rPr>
            </w:pPr>
            <w:r w:rsidRPr="001C6027">
              <w:rPr>
                <w:rFonts w:ascii="宋体" w:hAnsi="宋体" w:cs="宋体" w:hint="eastAsia"/>
                <w:kern w:val="0"/>
                <w:szCs w:val="21"/>
              </w:rPr>
              <w:t>被证实</w:t>
            </w:r>
            <w:r w:rsidRPr="001C6027">
              <w:rPr>
                <w:rFonts w:ascii="宋体" w:hAnsi="宋体" w:cs="宋体"/>
                <w:kern w:val="0"/>
                <w:szCs w:val="21"/>
              </w:rPr>
              <w:t>市级</w:t>
            </w:r>
            <w:r w:rsidRPr="001C6027">
              <w:rPr>
                <w:rFonts w:ascii="宋体" w:hAnsi="宋体" w:cs="宋体" w:hint="eastAsia"/>
                <w:kern w:val="0"/>
                <w:szCs w:val="21"/>
              </w:rPr>
              <w:t>督查通报、媒体曝光</w:t>
            </w:r>
            <w:r w:rsidRPr="001C6027">
              <w:rPr>
                <w:rFonts w:ascii="宋体" w:hAnsi="宋体" w:cs="宋体"/>
                <w:kern w:val="0"/>
                <w:szCs w:val="21"/>
              </w:rPr>
              <w:t>1次扣</w:t>
            </w:r>
            <w:r w:rsidRPr="001C6027">
              <w:rPr>
                <w:rFonts w:ascii="宋体" w:hAnsi="宋体" w:cs="宋体" w:hint="eastAsia"/>
                <w:kern w:val="0"/>
                <w:szCs w:val="21"/>
              </w:rPr>
              <w:t>10</w:t>
            </w:r>
            <w:r w:rsidRPr="001C6027">
              <w:rPr>
                <w:rFonts w:ascii="宋体" w:hAnsi="宋体" w:cs="宋体"/>
                <w:kern w:val="0"/>
                <w:szCs w:val="21"/>
              </w:rPr>
              <w:t>分</w:t>
            </w:r>
            <w:r w:rsidRPr="001C6027">
              <w:rPr>
                <w:rFonts w:ascii="宋体" w:hAnsi="宋体" w:cs="宋体" w:hint="eastAsia"/>
                <w:kern w:val="0"/>
                <w:szCs w:val="21"/>
              </w:rPr>
              <w:t>；</w:t>
            </w:r>
            <w:r w:rsidRPr="001C6027">
              <w:rPr>
                <w:rFonts w:ascii="宋体" w:hAnsi="宋体" w:cs="宋体"/>
                <w:kern w:val="0"/>
                <w:szCs w:val="21"/>
              </w:rPr>
              <w:t>区级1次扣</w:t>
            </w:r>
            <w:r w:rsidRPr="001C6027">
              <w:rPr>
                <w:rFonts w:ascii="宋体" w:hAnsi="宋体" w:cs="宋体" w:hint="eastAsia"/>
                <w:kern w:val="0"/>
                <w:szCs w:val="21"/>
              </w:rPr>
              <w:t>5</w:t>
            </w:r>
            <w:r w:rsidRPr="001C6027">
              <w:rPr>
                <w:rFonts w:ascii="宋体" w:hAnsi="宋体" w:cs="宋体"/>
                <w:kern w:val="0"/>
                <w:szCs w:val="21"/>
              </w:rPr>
              <w:t>分</w:t>
            </w:r>
            <w:r w:rsidRPr="001C6027">
              <w:rPr>
                <w:rFonts w:ascii="宋体" w:hAnsi="宋体" w:cs="宋体" w:hint="eastAsia"/>
                <w:kern w:val="0"/>
                <w:szCs w:val="21"/>
              </w:rPr>
              <w:t>；群众投诉</w:t>
            </w:r>
            <w:r w:rsidRPr="001C6027">
              <w:rPr>
                <w:rFonts w:ascii="宋体" w:hAnsi="宋体" w:cs="宋体"/>
                <w:kern w:val="0"/>
                <w:szCs w:val="21"/>
              </w:rPr>
              <w:t>1次扣</w:t>
            </w:r>
            <w:r w:rsidRPr="001C6027">
              <w:rPr>
                <w:rFonts w:ascii="宋体" w:hAnsi="宋体" w:cs="宋体" w:hint="eastAsia"/>
                <w:kern w:val="0"/>
                <w:szCs w:val="21"/>
              </w:rPr>
              <w:t>2</w:t>
            </w:r>
            <w:r w:rsidRPr="001C6027">
              <w:rPr>
                <w:rFonts w:ascii="宋体" w:hAnsi="宋体" w:cs="宋体"/>
                <w:kern w:val="0"/>
                <w:szCs w:val="21"/>
              </w:rPr>
              <w:t>分</w:t>
            </w:r>
            <w:r w:rsidRPr="001C6027">
              <w:rPr>
                <w:rFonts w:ascii="宋体" w:hAnsi="宋体" w:cs="宋体" w:hint="eastAsia"/>
                <w:kern w:val="0"/>
                <w:szCs w:val="21"/>
              </w:rPr>
              <w:t>。</w:t>
            </w:r>
          </w:p>
        </w:tc>
        <w:tc>
          <w:tcPr>
            <w:tcW w:w="1080" w:type="dxa"/>
            <w:tcBorders>
              <w:top w:val="single" w:sz="6" w:space="0" w:color="auto"/>
              <w:left w:val="single" w:sz="6" w:space="0" w:color="auto"/>
              <w:bottom w:val="single" w:sz="6"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20</w:t>
            </w:r>
          </w:p>
        </w:tc>
        <w:tc>
          <w:tcPr>
            <w:tcW w:w="1260" w:type="dxa"/>
            <w:tcBorders>
              <w:top w:val="single" w:sz="6" w:space="0" w:color="auto"/>
              <w:left w:val="single" w:sz="6" w:space="0" w:color="auto"/>
              <w:bottom w:val="single" w:sz="6" w:space="0" w:color="auto"/>
              <w:right w:val="single" w:sz="4"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 xml:space="preserve">　</w:t>
            </w:r>
          </w:p>
        </w:tc>
      </w:tr>
      <w:tr w:rsidR="00E0514E" w:rsidRPr="001C6027" w:rsidTr="00A65FCB">
        <w:trPr>
          <w:trHeight w:val="615"/>
          <w:jc w:val="center"/>
        </w:trPr>
        <w:tc>
          <w:tcPr>
            <w:tcW w:w="720" w:type="dxa"/>
            <w:tcBorders>
              <w:top w:val="single" w:sz="6" w:space="0" w:color="auto"/>
              <w:left w:val="single" w:sz="4" w:space="0" w:color="auto"/>
              <w:bottom w:val="single" w:sz="4" w:space="0" w:color="auto"/>
              <w:right w:val="single" w:sz="6"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合计</w:t>
            </w:r>
          </w:p>
        </w:tc>
        <w:tc>
          <w:tcPr>
            <w:tcW w:w="7380" w:type="dxa"/>
            <w:gridSpan w:val="2"/>
            <w:tcBorders>
              <w:top w:val="single" w:sz="6" w:space="0" w:color="auto"/>
              <w:left w:val="single" w:sz="6" w:space="0" w:color="auto"/>
              <w:bottom w:val="single" w:sz="4"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 xml:space="preserve">　</w:t>
            </w:r>
          </w:p>
        </w:tc>
        <w:tc>
          <w:tcPr>
            <w:tcW w:w="1080" w:type="dxa"/>
            <w:tcBorders>
              <w:top w:val="single" w:sz="6" w:space="0" w:color="auto"/>
              <w:left w:val="single" w:sz="6" w:space="0" w:color="auto"/>
              <w:bottom w:val="single" w:sz="4" w:space="0" w:color="auto"/>
              <w:right w:val="single" w:sz="6" w:space="0" w:color="auto"/>
            </w:tcBorders>
            <w:vAlign w:val="center"/>
          </w:tcPr>
          <w:p w:rsidR="00E0514E" w:rsidRPr="001C6027" w:rsidRDefault="00E0514E" w:rsidP="00A65FCB">
            <w:pPr>
              <w:widowControl/>
              <w:jc w:val="center"/>
              <w:rPr>
                <w:rFonts w:ascii="宋体" w:hAnsi="宋体" w:cs="宋体"/>
                <w:kern w:val="0"/>
                <w:szCs w:val="21"/>
              </w:rPr>
            </w:pPr>
            <w:r w:rsidRPr="001C6027">
              <w:rPr>
                <w:rFonts w:ascii="宋体" w:hAnsi="宋体" w:cs="宋体" w:hint="eastAsia"/>
                <w:kern w:val="0"/>
                <w:szCs w:val="21"/>
              </w:rPr>
              <w:t>100</w:t>
            </w:r>
          </w:p>
        </w:tc>
        <w:tc>
          <w:tcPr>
            <w:tcW w:w="1260" w:type="dxa"/>
            <w:tcBorders>
              <w:top w:val="single" w:sz="6" w:space="0" w:color="auto"/>
              <w:left w:val="single" w:sz="6" w:space="0" w:color="auto"/>
              <w:bottom w:val="single" w:sz="4" w:space="0" w:color="auto"/>
              <w:right w:val="single" w:sz="4" w:space="0" w:color="auto"/>
            </w:tcBorders>
            <w:vAlign w:val="center"/>
          </w:tcPr>
          <w:p w:rsidR="00E0514E" w:rsidRPr="001C6027" w:rsidRDefault="00E0514E" w:rsidP="00A65FCB">
            <w:pPr>
              <w:widowControl/>
              <w:jc w:val="left"/>
              <w:rPr>
                <w:rFonts w:ascii="宋体" w:hAnsi="宋体" w:cs="宋体"/>
                <w:kern w:val="0"/>
                <w:szCs w:val="21"/>
              </w:rPr>
            </w:pPr>
            <w:r w:rsidRPr="001C6027">
              <w:rPr>
                <w:rFonts w:ascii="宋体" w:hAnsi="宋体" w:cs="宋体" w:hint="eastAsia"/>
                <w:kern w:val="0"/>
                <w:szCs w:val="21"/>
              </w:rPr>
              <w:t xml:space="preserve">　</w:t>
            </w:r>
          </w:p>
        </w:tc>
      </w:tr>
    </w:tbl>
    <w:p w:rsidR="00E0514E" w:rsidRPr="001C6027" w:rsidRDefault="00E0514E" w:rsidP="00E0514E">
      <w:pPr>
        <w:tabs>
          <w:tab w:val="left" w:pos="5535"/>
        </w:tabs>
        <w:ind w:right="525"/>
        <w:jc w:val="right"/>
        <w:rPr>
          <w:rFonts w:ascii="宋体" w:hAnsi="宋体"/>
          <w:sz w:val="28"/>
          <w:szCs w:val="28"/>
        </w:rPr>
      </w:pPr>
      <w:r w:rsidRPr="001C6027">
        <w:rPr>
          <w:rFonts w:ascii="宋体" w:hAnsi="宋体" w:hint="eastAsia"/>
          <w:szCs w:val="21"/>
        </w:rPr>
        <w:t>考核时间     年   月   日</w:t>
      </w:r>
    </w:p>
    <w:p w:rsidR="00E0514E" w:rsidRPr="001C6027" w:rsidRDefault="00E0514E" w:rsidP="00E0514E">
      <w:pPr>
        <w:ind w:firstLineChars="200" w:firstLine="560"/>
        <w:jc w:val="right"/>
        <w:rPr>
          <w:rFonts w:ascii="宋体" w:hAnsi="宋体"/>
          <w:sz w:val="28"/>
          <w:szCs w:val="28"/>
        </w:rPr>
      </w:pPr>
    </w:p>
    <w:p w:rsidR="00E0514E" w:rsidRPr="001C6027" w:rsidRDefault="00E0514E" w:rsidP="00E0514E">
      <w:pPr>
        <w:ind w:firstLineChars="200" w:firstLine="560"/>
        <w:jc w:val="right"/>
        <w:rPr>
          <w:rFonts w:ascii="宋体" w:hAnsi="宋体"/>
          <w:sz w:val="28"/>
          <w:szCs w:val="28"/>
        </w:rPr>
      </w:pPr>
    </w:p>
    <w:p w:rsidR="00E0514E" w:rsidRPr="001C6027" w:rsidRDefault="00E0514E" w:rsidP="00E0514E">
      <w:pPr>
        <w:ind w:firstLineChars="200" w:firstLine="560"/>
        <w:jc w:val="right"/>
        <w:rPr>
          <w:rFonts w:ascii="宋体" w:hAnsi="宋体"/>
          <w:sz w:val="28"/>
          <w:szCs w:val="28"/>
        </w:rPr>
      </w:pPr>
      <w:r w:rsidRPr="001C6027">
        <w:rPr>
          <w:rFonts w:ascii="宋体" w:hAnsi="宋体" w:hint="eastAsia"/>
          <w:sz w:val="28"/>
          <w:szCs w:val="28"/>
        </w:rPr>
        <w:t>重固镇社会事业发展办公室</w:t>
      </w:r>
    </w:p>
    <w:p w:rsidR="008425D3" w:rsidRPr="00E0514E" w:rsidRDefault="008425D3" w:rsidP="00E0514E"/>
    <w:sectPr w:rsidR="008425D3" w:rsidRPr="00E051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14E" w:rsidRDefault="00E0514E" w:rsidP="00E0514E">
      <w:r>
        <w:separator/>
      </w:r>
    </w:p>
  </w:endnote>
  <w:endnote w:type="continuationSeparator" w:id="0">
    <w:p w:rsidR="00E0514E" w:rsidRDefault="00E0514E" w:rsidP="00E0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14E" w:rsidRDefault="00E0514E" w:rsidP="00E0514E">
      <w:r>
        <w:separator/>
      </w:r>
    </w:p>
  </w:footnote>
  <w:footnote w:type="continuationSeparator" w:id="0">
    <w:p w:rsidR="00E0514E" w:rsidRDefault="00E0514E" w:rsidP="00E05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B4"/>
    <w:rsid w:val="00192FCB"/>
    <w:rsid w:val="006D2ADE"/>
    <w:rsid w:val="008425D3"/>
    <w:rsid w:val="00AC64FD"/>
    <w:rsid w:val="00B667CD"/>
    <w:rsid w:val="00E0514E"/>
    <w:rsid w:val="00E108B4"/>
    <w:rsid w:val="00FC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D62A"/>
  <w15:chartTrackingRefBased/>
  <w15:docId w15:val="{B221069E-3C18-4D12-A9B1-5C92CECE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1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514E"/>
    <w:rPr>
      <w:sz w:val="18"/>
      <w:szCs w:val="18"/>
    </w:rPr>
  </w:style>
  <w:style w:type="paragraph" w:styleId="a5">
    <w:name w:val="footer"/>
    <w:basedOn w:val="a"/>
    <w:link w:val="a6"/>
    <w:uiPriority w:val="99"/>
    <w:unhideWhenUsed/>
    <w:rsid w:val="00E051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051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1428</Words>
  <Characters>1487</Characters>
  <Application>Microsoft Office Word</Application>
  <DocSecurity>0</DocSecurity>
  <Lines>99</Lines>
  <Paragraphs>83</Paragraphs>
  <ScaleCrop>false</ScaleCrop>
  <Company>MS</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2023-03-10T07:58:00Z</dcterms:created>
  <dcterms:modified xsi:type="dcterms:W3CDTF">2023-03-13T02:09:00Z</dcterms:modified>
</cp:coreProperties>
</file>