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440" w:lineRule="exact"/>
        <w:rPr>
          <w:rFonts w:ascii="宋体" w:hAnsi="宋体" w:cs="等线"/>
          <w:b/>
          <w:szCs w:val="21"/>
        </w:rPr>
      </w:pPr>
      <w:r>
        <w:rPr>
          <w:rFonts w:hint="eastAsia" w:ascii="宋体" w:hAnsi="宋体" w:cs="等线"/>
          <w:b/>
          <w:szCs w:val="21"/>
        </w:rPr>
        <w:t>项目背景</w:t>
      </w:r>
    </w:p>
    <w:p>
      <w:pPr>
        <w:spacing w:line="440" w:lineRule="exact"/>
        <w:ind w:firstLine="420" w:firstLineChars="200"/>
        <w:rPr>
          <w:rFonts w:ascii="宋体" w:hAnsi="宋体" w:cs="等线"/>
          <w:bCs/>
          <w:szCs w:val="21"/>
        </w:rPr>
      </w:pPr>
      <w:r>
        <w:rPr>
          <w:rFonts w:hint="eastAsia" w:ascii="宋体" w:hAnsi="宋体" w:cs="等线"/>
          <w:bCs/>
          <w:szCs w:val="21"/>
        </w:rPr>
        <w:t>本项目由青浦区教育局综合管理中心（以下简称“我中心”）为贯彻国务院办公厅关于加强中小学幼儿园安全风险防控体系建设的意见国发（2017）35号和上海市人民政府办公厅、上海市消防局、上海市教委沪教委的要求，于2021年完成青浦全区学校（公办）电动自行车</w:t>
      </w:r>
      <w:r>
        <w:rPr>
          <w:rFonts w:hint="eastAsia" w:ascii="宋体" w:hAnsi="宋体" w:cs="等线"/>
          <w:bCs/>
          <w:szCs w:val="21"/>
          <w:lang w:eastAsia="zh-CN"/>
        </w:rPr>
        <w:t>智能充电桩</w:t>
      </w:r>
      <w:r>
        <w:rPr>
          <w:rFonts w:hint="eastAsia" w:ascii="宋体" w:hAnsi="宋体" w:cs="等线"/>
          <w:bCs/>
          <w:szCs w:val="21"/>
        </w:rPr>
        <w:t>安装的目标任务。主要内容是委托有资质的建设单位对青浦全区公办中小学幼儿园提供安装符合要求的电动自行车</w:t>
      </w:r>
      <w:r>
        <w:rPr>
          <w:rFonts w:hint="eastAsia" w:ascii="宋体" w:hAnsi="宋体" w:cs="等线"/>
          <w:bCs/>
          <w:szCs w:val="21"/>
          <w:lang w:eastAsia="zh-CN"/>
        </w:rPr>
        <w:t>智能充电桩</w:t>
      </w:r>
      <w:r>
        <w:rPr>
          <w:rFonts w:hint="eastAsia" w:ascii="宋体" w:hAnsi="宋体" w:cs="等线"/>
          <w:bCs/>
          <w:szCs w:val="21"/>
        </w:rPr>
        <w:t>设备。</w:t>
      </w:r>
    </w:p>
    <w:p>
      <w:pPr>
        <w:spacing w:line="440" w:lineRule="exact"/>
        <w:rPr>
          <w:rFonts w:ascii="宋体" w:hAnsi="宋体" w:cs="等线"/>
          <w:bCs/>
          <w:color w:val="000000"/>
          <w:szCs w:val="21"/>
        </w:rPr>
      </w:pPr>
      <w:r>
        <w:rPr>
          <w:rFonts w:hint="eastAsia" w:ascii="宋体" w:hAnsi="宋体" w:cs="等线"/>
          <w:bCs/>
          <w:szCs w:val="21"/>
        </w:rPr>
        <w:t>建设目标为有效</w:t>
      </w:r>
      <w:r>
        <w:rPr>
          <w:rFonts w:hint="eastAsia" w:ascii="宋体" w:hAnsi="宋体" w:cs="等线"/>
          <w:bCs/>
          <w:color w:val="000000"/>
          <w:szCs w:val="21"/>
        </w:rPr>
        <w:t>的杜绝学校目前充电管理不规范、存在充电安全隐患的情况，可以有效的杜绝由充电导致的不安全因素，保障学校师生及工作人员的人身安全。</w:t>
      </w:r>
    </w:p>
    <w:p>
      <w:pPr>
        <w:spacing w:line="440" w:lineRule="exact"/>
        <w:ind w:firstLine="420" w:firstLineChars="200"/>
        <w:rPr>
          <w:rFonts w:ascii="宋体" w:hAnsi="宋体" w:cs="等线"/>
          <w:bCs/>
          <w:color w:val="000000"/>
          <w:szCs w:val="21"/>
        </w:rPr>
      </w:pPr>
      <w:r>
        <w:rPr>
          <w:rFonts w:hint="eastAsia" w:ascii="宋体" w:hAnsi="宋体" w:cs="等线"/>
          <w:bCs/>
          <w:color w:val="000000"/>
          <w:szCs w:val="21"/>
        </w:rPr>
        <w:t>本项目涉及教育局下属中心和全区公办中小学、幼儿园共128所单位。经过我中心调研，下属中心和公办中小学幼儿园共127所单位需要安装至少144个以上电动自行车</w:t>
      </w:r>
      <w:r>
        <w:rPr>
          <w:rFonts w:hint="eastAsia" w:ascii="宋体" w:hAnsi="宋体" w:cs="等线"/>
          <w:bCs/>
          <w:color w:val="000000"/>
          <w:szCs w:val="21"/>
          <w:lang w:eastAsia="zh-CN"/>
        </w:rPr>
        <w:t>智能充电桩</w:t>
      </w:r>
      <w:r>
        <w:rPr>
          <w:rFonts w:hint="eastAsia" w:ascii="宋体" w:hAnsi="宋体" w:cs="等线"/>
          <w:bCs/>
          <w:color w:val="000000"/>
          <w:szCs w:val="21"/>
        </w:rPr>
        <w:t>设备（10路）。做好</w:t>
      </w:r>
      <w:r>
        <w:rPr>
          <w:rFonts w:hint="eastAsia" w:ascii="宋体" w:hAnsi="宋体" w:cs="等线"/>
          <w:bCs/>
          <w:color w:val="000000"/>
          <w:szCs w:val="21"/>
          <w:lang w:eastAsia="zh-CN"/>
        </w:rPr>
        <w:t>智能充电桩</w:t>
      </w:r>
      <w:r>
        <w:rPr>
          <w:rFonts w:hint="eastAsia" w:ascii="宋体" w:hAnsi="宋体" w:cs="等线"/>
          <w:bCs/>
          <w:color w:val="000000"/>
          <w:szCs w:val="21"/>
        </w:rPr>
        <w:t>的防护工作对学校教学安全、师生人身安全、学校财产安全运行有着至关重要的作用。</w:t>
      </w:r>
    </w:p>
    <w:p>
      <w:pPr>
        <w:numPr>
          <w:ilvl w:val="0"/>
          <w:numId w:val="2"/>
        </w:numPr>
        <w:spacing w:line="440" w:lineRule="exact"/>
        <w:rPr>
          <w:rFonts w:ascii="宋体" w:hAnsi="宋体" w:cs="等线"/>
          <w:b/>
          <w:szCs w:val="21"/>
        </w:rPr>
      </w:pPr>
      <w:r>
        <w:rPr>
          <w:rFonts w:hint="eastAsia" w:ascii="宋体" w:hAnsi="宋体" w:cs="等线"/>
          <w:b/>
          <w:szCs w:val="21"/>
        </w:rPr>
        <w:t xml:space="preserve">采购标的需执行的国家相关标准、行业标准、地方标准或者其他标准、规范： </w:t>
      </w:r>
    </w:p>
    <w:p>
      <w:pPr>
        <w:numPr>
          <w:ilvl w:val="0"/>
          <w:numId w:val="3"/>
        </w:numPr>
        <w:snapToGrid w:val="0"/>
        <w:spacing w:line="360" w:lineRule="auto"/>
        <w:rPr>
          <w:rFonts w:ascii="宋体" w:hAnsi="宋体" w:cs="Arial"/>
          <w:szCs w:val="21"/>
        </w:rPr>
      </w:pPr>
      <w:r>
        <w:rPr>
          <w:rFonts w:hint="eastAsia" w:ascii="宋体" w:hAnsi="宋体" w:cs="Arial"/>
          <w:szCs w:val="21"/>
        </w:rPr>
        <w:t>《民用建筑电气设计规范》（JGJ/T16-92）</w:t>
      </w:r>
    </w:p>
    <w:p>
      <w:pPr>
        <w:numPr>
          <w:ilvl w:val="0"/>
          <w:numId w:val="3"/>
        </w:numPr>
        <w:snapToGrid w:val="0"/>
        <w:spacing w:line="360" w:lineRule="auto"/>
        <w:rPr>
          <w:rFonts w:ascii="宋体" w:hAnsi="宋体" w:cs="Arial"/>
          <w:szCs w:val="21"/>
        </w:rPr>
      </w:pPr>
      <w:r>
        <w:rPr>
          <w:rFonts w:hint="eastAsia" w:ascii="宋体" w:hAnsi="宋体" w:cs="Arial"/>
          <w:szCs w:val="21"/>
        </w:rPr>
        <w:t>《电气装置安装工程电缆线路施工及验收规范》（GB50168-92）</w:t>
      </w:r>
    </w:p>
    <w:p>
      <w:pPr>
        <w:numPr>
          <w:ilvl w:val="0"/>
          <w:numId w:val="3"/>
        </w:numPr>
        <w:snapToGrid w:val="0"/>
        <w:spacing w:line="360" w:lineRule="auto"/>
        <w:rPr>
          <w:rFonts w:ascii="宋体" w:hAnsi="宋体" w:cs="Arial"/>
          <w:szCs w:val="21"/>
        </w:rPr>
      </w:pPr>
      <w:r>
        <w:rPr>
          <w:rFonts w:hint="eastAsia" w:ascii="宋体" w:hAnsi="宋体" w:cs="Arial"/>
          <w:szCs w:val="21"/>
        </w:rPr>
        <w:t>《安全防范工程程序与要求》（GA/T75-94）</w:t>
      </w:r>
    </w:p>
    <w:p>
      <w:pPr>
        <w:numPr>
          <w:ilvl w:val="0"/>
          <w:numId w:val="3"/>
        </w:numPr>
        <w:snapToGrid w:val="0"/>
        <w:spacing w:line="360" w:lineRule="auto"/>
        <w:rPr>
          <w:rFonts w:ascii="宋体" w:hAnsi="宋体" w:cs="Arial"/>
          <w:szCs w:val="21"/>
        </w:rPr>
      </w:pPr>
      <w:r>
        <w:rPr>
          <w:rFonts w:hint="eastAsia" w:ascii="宋体" w:hAnsi="宋体" w:cs="Arial"/>
          <w:szCs w:val="21"/>
        </w:rPr>
        <w:t>《安全防范工程技术规范》（GB50348-2004）</w:t>
      </w:r>
    </w:p>
    <w:p>
      <w:pPr>
        <w:numPr>
          <w:ilvl w:val="0"/>
          <w:numId w:val="3"/>
        </w:numPr>
        <w:snapToGrid w:val="0"/>
        <w:spacing w:line="360" w:lineRule="auto"/>
        <w:rPr>
          <w:rFonts w:ascii="宋体" w:hAnsi="宋体" w:cs="Arial"/>
          <w:szCs w:val="21"/>
        </w:rPr>
      </w:pPr>
      <w:r>
        <w:rPr>
          <w:rFonts w:hint="eastAsia" w:ascii="宋体" w:hAnsi="宋体" w:cs="Arial"/>
          <w:szCs w:val="21"/>
        </w:rPr>
        <w:t>《安全防范系统验收规则》（GA308-2001）</w:t>
      </w:r>
    </w:p>
    <w:p>
      <w:pPr>
        <w:numPr>
          <w:ilvl w:val="0"/>
          <w:numId w:val="3"/>
        </w:numPr>
        <w:snapToGrid w:val="0"/>
        <w:spacing w:line="360" w:lineRule="auto"/>
        <w:rPr>
          <w:rFonts w:ascii="宋体" w:hAnsi="宋体" w:cs="Arial"/>
          <w:szCs w:val="21"/>
        </w:rPr>
      </w:pPr>
      <w:r>
        <w:rPr>
          <w:rFonts w:hint="eastAsia" w:ascii="宋体" w:hAnsi="宋体" w:cs="Arial"/>
          <w:szCs w:val="21"/>
        </w:rPr>
        <w:t>《安全防范系统通用图形符号》（GA/T74-2000）</w:t>
      </w:r>
    </w:p>
    <w:p>
      <w:pPr>
        <w:numPr>
          <w:ilvl w:val="0"/>
          <w:numId w:val="3"/>
        </w:numPr>
        <w:snapToGrid w:val="0"/>
        <w:spacing w:line="360" w:lineRule="auto"/>
        <w:rPr>
          <w:rFonts w:ascii="宋体" w:hAnsi="宋体" w:cs="Arial"/>
          <w:szCs w:val="21"/>
        </w:rPr>
      </w:pPr>
      <w:r>
        <w:rPr>
          <w:rFonts w:hint="eastAsia" w:ascii="宋体" w:hAnsi="宋体" w:cs="Arial"/>
          <w:szCs w:val="21"/>
        </w:rPr>
        <w:t>《安全防范系统雷电浪涌防护技术要求》</w:t>
      </w:r>
      <w:r>
        <w:rPr>
          <w:rFonts w:ascii="宋体" w:hAnsi="宋体" w:cs="Arial"/>
          <w:szCs w:val="21"/>
        </w:rPr>
        <w:t>(GA/T670-2006)</w:t>
      </w:r>
    </w:p>
    <w:p>
      <w:pPr>
        <w:numPr>
          <w:ilvl w:val="0"/>
          <w:numId w:val="3"/>
        </w:numPr>
        <w:snapToGrid w:val="0"/>
        <w:spacing w:line="360" w:lineRule="auto"/>
        <w:rPr>
          <w:rFonts w:ascii="宋体" w:hAnsi="宋体" w:cs="Arial"/>
          <w:szCs w:val="21"/>
        </w:rPr>
      </w:pPr>
      <w:r>
        <w:rPr>
          <w:rFonts w:hint="eastAsia" w:ascii="宋体" w:hAnsi="宋体" w:cs="Arial"/>
          <w:szCs w:val="21"/>
        </w:rPr>
        <w:t>《计算机信息系统安全保护等级划分准则》（GB17859）</w:t>
      </w:r>
    </w:p>
    <w:p>
      <w:pPr>
        <w:numPr>
          <w:ilvl w:val="0"/>
          <w:numId w:val="3"/>
        </w:numPr>
        <w:snapToGrid w:val="0"/>
        <w:spacing w:line="360" w:lineRule="auto"/>
        <w:rPr>
          <w:rFonts w:ascii="宋体" w:hAnsi="宋体" w:cs="Arial"/>
          <w:szCs w:val="21"/>
        </w:rPr>
      </w:pPr>
      <w:r>
        <w:rPr>
          <w:rFonts w:hint="eastAsia" w:ascii="宋体" w:hAnsi="宋体" w:cs="Arial"/>
          <w:szCs w:val="21"/>
        </w:rPr>
        <w:t>《数字电视液晶显示器通用规范》SJ/T11343-2006</w:t>
      </w:r>
    </w:p>
    <w:p>
      <w:pPr>
        <w:numPr>
          <w:ilvl w:val="0"/>
          <w:numId w:val="3"/>
        </w:numPr>
        <w:snapToGrid w:val="0"/>
        <w:spacing w:line="360" w:lineRule="auto"/>
        <w:rPr>
          <w:rFonts w:ascii="宋体" w:hAnsi="宋体" w:cs="Arial"/>
          <w:szCs w:val="21"/>
        </w:rPr>
      </w:pPr>
      <w:r>
        <w:rPr>
          <w:rFonts w:hint="eastAsia" w:ascii="宋体" w:hAnsi="宋体" w:cs="Arial"/>
          <w:szCs w:val="21"/>
        </w:rPr>
        <w:t>《数字电视平板显示器测量方法》SJ/T11348-2006</w:t>
      </w:r>
    </w:p>
    <w:p>
      <w:pPr>
        <w:numPr>
          <w:ilvl w:val="0"/>
          <w:numId w:val="3"/>
        </w:numPr>
        <w:snapToGrid w:val="0"/>
        <w:spacing w:line="360" w:lineRule="auto"/>
        <w:rPr>
          <w:rFonts w:ascii="宋体" w:hAnsi="宋体" w:cs="Arial"/>
          <w:szCs w:val="21"/>
        </w:rPr>
      </w:pPr>
      <w:r>
        <w:rPr>
          <w:rFonts w:hint="eastAsia" w:ascii="宋体" w:hAnsi="宋体" w:cs="Arial"/>
          <w:szCs w:val="21"/>
        </w:rPr>
        <w:t>《电力子操作工作站机房设计规范》GB50174-93</w:t>
      </w:r>
    </w:p>
    <w:p>
      <w:pPr>
        <w:numPr>
          <w:ilvl w:val="0"/>
          <w:numId w:val="3"/>
        </w:numPr>
        <w:snapToGrid w:val="0"/>
        <w:spacing w:line="360" w:lineRule="auto"/>
        <w:rPr>
          <w:rFonts w:ascii="宋体" w:hAnsi="宋体" w:cs="Arial"/>
          <w:szCs w:val="21"/>
        </w:rPr>
      </w:pPr>
      <w:r>
        <w:rPr>
          <w:rFonts w:hint="eastAsia" w:ascii="宋体" w:hAnsi="宋体" w:cs="Arial"/>
          <w:szCs w:val="21"/>
        </w:rPr>
        <w:t>《计算机信息系统安全保护等级划分准则》GB17859-1999</w:t>
      </w:r>
    </w:p>
    <w:p>
      <w:pPr>
        <w:numPr>
          <w:ilvl w:val="0"/>
          <w:numId w:val="3"/>
        </w:numPr>
        <w:snapToGrid w:val="0"/>
        <w:spacing w:line="360" w:lineRule="auto"/>
        <w:rPr>
          <w:rFonts w:ascii="宋体" w:hAnsi="宋体" w:cs="Arial"/>
          <w:szCs w:val="21"/>
        </w:rPr>
      </w:pPr>
      <w:r>
        <w:rPr>
          <w:rFonts w:hint="eastAsia" w:ascii="宋体" w:hAnsi="宋体" w:cs="Arial"/>
          <w:szCs w:val="21"/>
        </w:rPr>
        <w:t>《计算机信息系统防雷保安器》GB173-1998</w:t>
      </w:r>
    </w:p>
    <w:p>
      <w:pPr>
        <w:numPr>
          <w:ilvl w:val="0"/>
          <w:numId w:val="3"/>
        </w:numPr>
        <w:snapToGrid w:val="0"/>
        <w:spacing w:line="360" w:lineRule="auto"/>
        <w:rPr>
          <w:rFonts w:ascii="宋体" w:hAnsi="宋体" w:cs="Arial"/>
          <w:szCs w:val="21"/>
        </w:rPr>
      </w:pPr>
      <w:r>
        <w:rPr>
          <w:rFonts w:hint="eastAsia" w:ascii="宋体" w:hAnsi="宋体" w:cs="Arial"/>
          <w:szCs w:val="21"/>
        </w:rPr>
        <w:t>《建筑电气设计技术规程》JDJ16-83</w:t>
      </w:r>
    </w:p>
    <w:p>
      <w:pPr>
        <w:numPr>
          <w:ilvl w:val="0"/>
          <w:numId w:val="3"/>
        </w:numPr>
        <w:snapToGrid w:val="0"/>
        <w:spacing w:line="360" w:lineRule="auto"/>
        <w:rPr>
          <w:rFonts w:ascii="宋体" w:hAnsi="宋体" w:cs="Arial"/>
          <w:szCs w:val="21"/>
        </w:rPr>
      </w:pPr>
      <w:r>
        <w:rPr>
          <w:rFonts w:hint="eastAsia" w:ascii="宋体" w:hAnsi="宋体" w:cs="Arial"/>
          <w:szCs w:val="21"/>
        </w:rPr>
        <w:t>《民用建筑电气设计规范》JGJ/T16-92</w:t>
      </w:r>
    </w:p>
    <w:p>
      <w:pPr>
        <w:numPr>
          <w:ilvl w:val="0"/>
          <w:numId w:val="3"/>
        </w:numPr>
        <w:snapToGrid w:val="0"/>
        <w:spacing w:line="360" w:lineRule="auto"/>
        <w:rPr>
          <w:rFonts w:ascii="宋体" w:hAnsi="宋体" w:cs="Arial"/>
          <w:szCs w:val="21"/>
        </w:rPr>
      </w:pPr>
      <w:r>
        <w:rPr>
          <w:rFonts w:hint="eastAsia" w:ascii="宋体" w:hAnsi="宋体" w:cs="Arial"/>
          <w:szCs w:val="21"/>
        </w:rPr>
        <w:t>《建筑设计防火规范》GBJ16-87</w:t>
      </w:r>
    </w:p>
    <w:p>
      <w:pPr>
        <w:numPr>
          <w:ilvl w:val="0"/>
          <w:numId w:val="3"/>
        </w:numPr>
        <w:snapToGrid w:val="0"/>
        <w:spacing w:line="360" w:lineRule="auto"/>
        <w:rPr>
          <w:rFonts w:ascii="宋体" w:hAnsi="宋体" w:cs="Arial"/>
          <w:szCs w:val="21"/>
        </w:rPr>
      </w:pPr>
      <w:r>
        <w:rPr>
          <w:rFonts w:hint="eastAsia" w:ascii="宋体" w:hAnsi="宋体" w:cs="Arial"/>
          <w:szCs w:val="21"/>
        </w:rPr>
        <w:t>《电气装置安装工程施工及验收规范》GBJ232-82</w:t>
      </w:r>
    </w:p>
    <w:p>
      <w:pPr>
        <w:numPr>
          <w:ilvl w:val="0"/>
          <w:numId w:val="3"/>
        </w:numPr>
        <w:snapToGrid w:val="0"/>
        <w:spacing w:line="360" w:lineRule="auto"/>
        <w:rPr>
          <w:rFonts w:ascii="宋体" w:hAnsi="宋体" w:cs="Arial"/>
          <w:szCs w:val="21"/>
        </w:rPr>
      </w:pPr>
      <w:r>
        <w:rPr>
          <w:rFonts w:hint="eastAsia" w:ascii="宋体" w:hAnsi="宋体" w:cs="Arial"/>
          <w:szCs w:val="21"/>
        </w:rPr>
        <w:t>《电气装置件暗装用、调整板和接线盒》GB1245-87</w:t>
      </w:r>
    </w:p>
    <w:p>
      <w:pPr>
        <w:numPr>
          <w:ilvl w:val="0"/>
          <w:numId w:val="3"/>
        </w:numPr>
        <w:snapToGrid w:val="0"/>
        <w:spacing w:line="360" w:lineRule="auto"/>
        <w:rPr>
          <w:rFonts w:ascii="宋体" w:hAnsi="宋体" w:cs="Arial"/>
          <w:szCs w:val="21"/>
        </w:rPr>
      </w:pPr>
      <w:r>
        <w:rPr>
          <w:rFonts w:hint="eastAsia" w:ascii="宋体" w:hAnsi="宋体" w:cs="Arial"/>
          <w:szCs w:val="21"/>
        </w:rPr>
        <w:t>《电气装置安装工程接地装置施工及验收规范》GB50169-92</w:t>
      </w:r>
    </w:p>
    <w:p>
      <w:pPr>
        <w:numPr>
          <w:ilvl w:val="0"/>
          <w:numId w:val="3"/>
        </w:numPr>
        <w:snapToGrid w:val="0"/>
        <w:spacing w:line="360" w:lineRule="auto"/>
        <w:rPr>
          <w:rFonts w:ascii="宋体" w:hAnsi="宋体" w:cs="Arial"/>
          <w:szCs w:val="21"/>
        </w:rPr>
      </w:pPr>
      <w:r>
        <w:rPr>
          <w:rFonts w:hint="eastAsia" w:ascii="宋体" w:hAnsi="宋体" w:cs="Arial"/>
          <w:szCs w:val="21"/>
        </w:rPr>
        <w:t>《计算机机房设计规范》GB50174-93</w:t>
      </w:r>
    </w:p>
    <w:p>
      <w:pPr>
        <w:numPr>
          <w:ilvl w:val="0"/>
          <w:numId w:val="3"/>
        </w:numPr>
        <w:snapToGrid w:val="0"/>
        <w:spacing w:line="360" w:lineRule="auto"/>
        <w:rPr>
          <w:rFonts w:ascii="宋体" w:hAnsi="宋体" w:cs="Arial"/>
          <w:szCs w:val="21"/>
        </w:rPr>
      </w:pPr>
      <w:r>
        <w:rPr>
          <w:rFonts w:hint="eastAsia" w:ascii="宋体" w:hAnsi="宋体" w:cs="Arial"/>
          <w:szCs w:val="21"/>
        </w:rPr>
        <w:t>《低压配电设计规范》GB50054-95</w:t>
      </w:r>
    </w:p>
    <w:p>
      <w:pPr>
        <w:numPr>
          <w:ilvl w:val="0"/>
          <w:numId w:val="3"/>
        </w:numPr>
        <w:snapToGrid w:val="0"/>
        <w:spacing w:line="360" w:lineRule="auto"/>
        <w:rPr>
          <w:rFonts w:ascii="宋体" w:hAnsi="宋体" w:cs="Arial"/>
          <w:szCs w:val="21"/>
        </w:rPr>
      </w:pPr>
      <w:r>
        <w:rPr>
          <w:rFonts w:hint="eastAsia" w:ascii="宋体" w:hAnsi="宋体" w:cs="Arial"/>
          <w:szCs w:val="21"/>
        </w:rPr>
        <w:t>《工业企业照明设计规范》GB50034-95</w:t>
      </w:r>
    </w:p>
    <w:p>
      <w:pPr>
        <w:numPr>
          <w:ilvl w:val="0"/>
          <w:numId w:val="3"/>
        </w:numPr>
        <w:snapToGrid w:val="0"/>
        <w:spacing w:line="360" w:lineRule="auto"/>
        <w:rPr>
          <w:rFonts w:ascii="宋体" w:hAnsi="宋体" w:cs="Arial"/>
          <w:szCs w:val="21"/>
        </w:rPr>
      </w:pPr>
      <w:r>
        <w:rPr>
          <w:rFonts w:hint="eastAsia" w:ascii="宋体" w:hAnsi="宋体" w:cs="Arial"/>
          <w:szCs w:val="21"/>
        </w:rPr>
        <w:t>《建筑与建筑群综合布线系统工程设计规范》CECS72：97 </w:t>
      </w:r>
    </w:p>
    <w:p>
      <w:pPr>
        <w:numPr>
          <w:ilvl w:val="0"/>
          <w:numId w:val="3"/>
        </w:numPr>
        <w:spacing w:line="440" w:lineRule="exact"/>
        <w:rPr>
          <w:rFonts w:ascii="宋体" w:hAnsi="宋体"/>
          <w:szCs w:val="21"/>
        </w:rPr>
      </w:pPr>
      <w:r>
        <w:rPr>
          <w:rFonts w:hint="eastAsia" w:ascii="宋体" w:hAnsi="宋体" w:cs="Arial"/>
          <w:szCs w:val="21"/>
        </w:rPr>
        <w:t>其他国家或行业现行标准。</w:t>
      </w:r>
    </w:p>
    <w:p>
      <w:pPr>
        <w:numPr>
          <w:ilvl w:val="0"/>
          <w:numId w:val="2"/>
        </w:numPr>
        <w:spacing w:line="440" w:lineRule="exact"/>
        <w:rPr>
          <w:rFonts w:ascii="宋体" w:hAnsi="宋体" w:cs="等线"/>
          <w:b/>
          <w:szCs w:val="21"/>
        </w:rPr>
      </w:pPr>
      <w:r>
        <w:rPr>
          <w:rFonts w:hint="eastAsia" w:ascii="宋体" w:hAnsi="宋体" w:cs="等线"/>
          <w:b/>
          <w:szCs w:val="21"/>
        </w:rPr>
        <w:t>采购设备清单：</w:t>
      </w:r>
    </w:p>
    <w:p>
      <w:pPr>
        <w:pStyle w:val="2"/>
        <w:rPr>
          <w:sz w:val="10"/>
          <w:szCs w:val="10"/>
        </w:rPr>
      </w:pPr>
    </w:p>
    <w:tbl>
      <w:tblPr>
        <w:tblStyle w:val="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83"/>
        <w:gridCol w:w="2768"/>
        <w:gridCol w:w="2062"/>
        <w:gridCol w:w="110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797"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83"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设备名称</w:t>
            </w:r>
          </w:p>
        </w:tc>
        <w:tc>
          <w:tcPr>
            <w:tcW w:w="2768"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规格要求</w:t>
            </w:r>
          </w:p>
        </w:tc>
        <w:tc>
          <w:tcPr>
            <w:tcW w:w="2062" w:type="dxa"/>
            <w:noWrap w:val="0"/>
            <w:vAlign w:val="center"/>
          </w:tcPr>
          <w:p>
            <w:pPr>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数量</w:t>
            </w:r>
          </w:p>
        </w:tc>
        <w:tc>
          <w:tcPr>
            <w:tcW w:w="1105"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c>
          <w:tcPr>
            <w:tcW w:w="845"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7"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83"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购买运营平台服务</w:t>
            </w:r>
          </w:p>
        </w:tc>
        <w:tc>
          <w:tcPr>
            <w:tcW w:w="2768"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062" w:type="dxa"/>
            <w:noWrap w:val="0"/>
            <w:vAlign w:val="center"/>
          </w:tcPr>
          <w:p>
            <w:pPr>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3年</w:t>
            </w:r>
          </w:p>
        </w:tc>
        <w:tc>
          <w:tcPr>
            <w:tcW w:w="1105" w:type="dxa"/>
            <w:vMerge w:val="restar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、技术要求”</w:t>
            </w:r>
          </w:p>
        </w:tc>
        <w:tc>
          <w:tcPr>
            <w:tcW w:w="845" w:type="dxa"/>
            <w:vMerge w:val="restart"/>
            <w:noWrap w:val="0"/>
            <w:vAlign w:val="center"/>
          </w:tcPr>
          <w:p>
            <w:pPr>
              <w:spacing w:line="240" w:lineRule="auto"/>
              <w:jc w:val="center"/>
              <w:rPr>
                <w:rFonts w:hint="eastAsia" w:ascii="宋体" w:hAnsi="宋体" w:cs="宋体"/>
                <w:color w:val="auto"/>
                <w:kern w:val="0"/>
                <w:szCs w:val="21"/>
                <w:highlight w:val="none"/>
              </w:rPr>
            </w:pPr>
            <w:r>
              <w:rPr>
                <w:rFonts w:hint="eastAsia" w:ascii="宋体" w:hAnsi="宋体" w:cs="宋体"/>
                <w:bCs/>
                <w:color w:val="auto"/>
                <w:szCs w:val="21"/>
                <w:highlight w:val="none"/>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restart"/>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p>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二选一即可</w:t>
            </w:r>
            <w:r>
              <w:rPr>
                <w:rFonts w:hint="eastAsia" w:ascii="宋体" w:hAnsi="宋体" w:cs="宋体"/>
                <w:color w:val="auto"/>
                <w:szCs w:val="21"/>
                <w:highlight w:val="none"/>
                <w:lang w:eastAsia="zh-CN"/>
              </w:rPr>
              <w:t>）</w:t>
            </w:r>
          </w:p>
        </w:tc>
        <w:tc>
          <w:tcPr>
            <w:tcW w:w="1583"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电动自行车</w:t>
            </w:r>
            <w:r>
              <w:rPr>
                <w:rFonts w:hint="eastAsia" w:ascii="宋体" w:hAnsi="宋体" w:cs="宋体"/>
                <w:color w:val="auto"/>
                <w:szCs w:val="21"/>
                <w:highlight w:val="none"/>
                <w:lang w:eastAsia="zh-CN"/>
              </w:rPr>
              <w:t>智能充电桩</w:t>
            </w:r>
            <w:r>
              <w:rPr>
                <w:rFonts w:hint="eastAsia" w:ascii="宋体" w:hAnsi="宋体" w:cs="宋体"/>
                <w:color w:val="auto"/>
                <w:szCs w:val="21"/>
                <w:highlight w:val="none"/>
              </w:rPr>
              <w:t>(含插座)</w:t>
            </w:r>
          </w:p>
        </w:tc>
        <w:tc>
          <w:tcPr>
            <w:tcW w:w="2768" w:type="dxa"/>
            <w:noWrap w:val="0"/>
            <w:vAlign w:val="center"/>
          </w:tcPr>
          <w:p>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10路</w:t>
            </w:r>
          </w:p>
        </w:tc>
        <w:tc>
          <w:tcPr>
            <w:tcW w:w="2062" w:type="dxa"/>
            <w:noWrap w:val="0"/>
            <w:vAlign w:val="center"/>
          </w:tcPr>
          <w:p>
            <w:pPr>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144个</w:t>
            </w:r>
          </w:p>
        </w:tc>
        <w:tc>
          <w:tcPr>
            <w:tcW w:w="1105" w:type="dxa"/>
            <w:vMerge w:val="continue"/>
            <w:noWrap w:val="0"/>
            <w:vAlign w:val="center"/>
          </w:tcPr>
          <w:p>
            <w:pPr>
              <w:spacing w:line="240" w:lineRule="auto"/>
              <w:jc w:val="center"/>
              <w:rPr>
                <w:rFonts w:hint="eastAsia" w:ascii="宋体" w:hAnsi="宋体" w:cs="宋体"/>
                <w:color w:val="auto"/>
                <w:szCs w:val="21"/>
                <w:highlight w:val="none"/>
              </w:rPr>
            </w:pPr>
          </w:p>
        </w:tc>
        <w:tc>
          <w:tcPr>
            <w:tcW w:w="845" w:type="dxa"/>
            <w:vMerge w:val="continue"/>
            <w:noWrap w:val="0"/>
            <w:vAlign w:val="center"/>
          </w:tcPr>
          <w:p>
            <w:pPr>
              <w:spacing w:line="240" w:lineRule="auto"/>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continue"/>
            <w:noWrap w:val="0"/>
            <w:vAlign w:val="center"/>
          </w:tcPr>
          <w:p>
            <w:pPr>
              <w:spacing w:line="240" w:lineRule="auto"/>
              <w:jc w:val="center"/>
              <w:rPr>
                <w:rFonts w:hint="eastAsia" w:ascii="宋体" w:hAnsi="宋体" w:cs="宋体"/>
                <w:color w:val="auto"/>
                <w:szCs w:val="21"/>
                <w:highlight w:val="none"/>
              </w:rPr>
            </w:pPr>
          </w:p>
        </w:tc>
        <w:tc>
          <w:tcPr>
            <w:tcW w:w="1583"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电动自行车</w:t>
            </w:r>
            <w:r>
              <w:rPr>
                <w:rFonts w:hint="eastAsia" w:ascii="宋体" w:hAnsi="宋体" w:cs="宋体"/>
                <w:color w:val="auto"/>
                <w:szCs w:val="21"/>
                <w:highlight w:val="none"/>
                <w:lang w:eastAsia="zh-CN"/>
              </w:rPr>
              <w:t>智能充电桩</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插座</w:t>
            </w:r>
          </w:p>
        </w:tc>
        <w:tc>
          <w:tcPr>
            <w:tcW w:w="2768" w:type="dxa"/>
            <w:noWrap w:val="0"/>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10路</w:t>
            </w:r>
            <w:r>
              <w:rPr>
                <w:rFonts w:hint="eastAsia" w:ascii="宋体" w:hAnsi="宋体" w:eastAsia="宋体" w:cs="宋体"/>
                <w:color w:val="auto"/>
                <w:szCs w:val="21"/>
                <w:highlight w:val="none"/>
              </w:rPr>
              <w:t>电动自行车</w:t>
            </w:r>
            <w:r>
              <w:rPr>
                <w:rFonts w:hint="eastAsia" w:ascii="宋体" w:hAnsi="宋体" w:eastAsia="宋体" w:cs="宋体"/>
                <w:color w:val="auto"/>
                <w:szCs w:val="21"/>
                <w:highlight w:val="none"/>
                <w:lang w:eastAsia="zh-CN"/>
              </w:rPr>
              <w:t>智能充电桩</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五孔</w:t>
            </w:r>
            <w:r>
              <w:rPr>
                <w:rFonts w:hint="eastAsia" w:ascii="宋体" w:hAnsi="宋体" w:eastAsia="宋体" w:cs="宋体"/>
                <w:color w:val="auto"/>
                <w:szCs w:val="21"/>
                <w:highlight w:val="none"/>
                <w:lang w:val="en-US" w:eastAsia="zh-CN"/>
              </w:rPr>
              <w:t>插座，需提供插座</w:t>
            </w:r>
            <w:r>
              <w:rPr>
                <w:rFonts w:hint="eastAsia" w:ascii="宋体" w:hAnsi="宋体" w:eastAsia="宋体" w:cs="宋体"/>
                <w:color w:val="auto"/>
                <w:szCs w:val="21"/>
                <w:highlight w:val="none"/>
              </w:rPr>
              <w:t>第三方权威检测机构出具的加盖CNAS或CMA章的检测报告</w:t>
            </w:r>
            <w:r>
              <w:rPr>
                <w:rFonts w:hint="eastAsia" w:ascii="宋体" w:hAnsi="宋体" w:eastAsia="宋体" w:cs="宋体"/>
                <w:color w:val="auto"/>
                <w:szCs w:val="21"/>
                <w:highlight w:val="none"/>
                <w:lang w:eastAsia="zh-CN"/>
              </w:rPr>
              <w:t>。</w:t>
            </w:r>
          </w:p>
        </w:tc>
        <w:tc>
          <w:tcPr>
            <w:tcW w:w="2062" w:type="dxa"/>
            <w:noWrap w:val="0"/>
            <w:vAlign w:val="center"/>
          </w:tcPr>
          <w:p>
            <w:pPr>
              <w:spacing w:line="240" w:lineRule="auto"/>
              <w:jc w:val="center"/>
              <w:rPr>
                <w:rFonts w:hint="eastAsia" w:ascii="宋体" w:hAnsi="宋体" w:cs="宋体"/>
                <w:color w:val="auto"/>
                <w:szCs w:val="21"/>
                <w:highlight w:val="none"/>
                <w:lang w:val="en-US" w:eastAsia="zh-CN"/>
              </w:rPr>
            </w:pPr>
            <w:r>
              <w:rPr>
                <w:rFonts w:hint="eastAsia" w:ascii="宋体" w:hAnsi="宋体" w:cs="宋体"/>
                <w:color w:val="auto"/>
                <w:kern w:val="0"/>
                <w:szCs w:val="21"/>
                <w:highlight w:val="none"/>
                <w:lang w:val="en-US" w:eastAsia="zh-CN"/>
              </w:rPr>
              <w:t>10路</w:t>
            </w:r>
            <w:r>
              <w:rPr>
                <w:rFonts w:hint="eastAsia" w:ascii="宋体" w:hAnsi="宋体" w:cs="宋体"/>
                <w:color w:val="auto"/>
                <w:szCs w:val="21"/>
                <w:highlight w:val="none"/>
              </w:rPr>
              <w:t>电动自行车</w:t>
            </w:r>
            <w:r>
              <w:rPr>
                <w:rFonts w:hint="eastAsia" w:ascii="宋体" w:hAnsi="宋体" w:cs="宋体"/>
                <w:color w:val="auto"/>
                <w:szCs w:val="21"/>
                <w:highlight w:val="none"/>
                <w:lang w:eastAsia="zh-CN"/>
              </w:rPr>
              <w:t>智能充电桩</w:t>
            </w:r>
            <w:r>
              <w:rPr>
                <w:rFonts w:hint="eastAsia" w:ascii="宋体" w:hAnsi="宋体" w:cs="宋体"/>
                <w:color w:val="auto"/>
                <w:szCs w:val="21"/>
                <w:highlight w:val="none"/>
                <w:lang w:val="en-US" w:eastAsia="zh-CN"/>
              </w:rPr>
              <w:t>144个；</w:t>
            </w:r>
          </w:p>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五孔插座</w:t>
            </w:r>
            <w:r>
              <w:rPr>
                <w:rFonts w:hint="eastAsia" w:ascii="宋体" w:hAnsi="宋体" w:cs="宋体"/>
                <w:color w:val="auto"/>
                <w:szCs w:val="21"/>
                <w:highlight w:val="none"/>
              </w:rPr>
              <w:t>1440个</w:t>
            </w:r>
            <w:r>
              <w:rPr>
                <w:rFonts w:hint="eastAsia" w:ascii="宋体" w:hAnsi="宋体" w:cs="宋体"/>
                <w:color w:val="auto"/>
                <w:szCs w:val="21"/>
                <w:highlight w:val="none"/>
                <w:lang w:eastAsia="zh-CN"/>
              </w:rPr>
              <w:t>。</w:t>
            </w:r>
          </w:p>
        </w:tc>
        <w:tc>
          <w:tcPr>
            <w:tcW w:w="1105" w:type="dxa"/>
            <w:vMerge w:val="continue"/>
            <w:noWrap w:val="0"/>
            <w:vAlign w:val="center"/>
          </w:tcPr>
          <w:p>
            <w:pPr>
              <w:spacing w:line="240" w:lineRule="auto"/>
              <w:jc w:val="center"/>
              <w:rPr>
                <w:rFonts w:hint="eastAsia" w:ascii="宋体" w:hAnsi="宋体" w:cs="宋体"/>
                <w:color w:val="auto"/>
                <w:szCs w:val="21"/>
                <w:highlight w:val="none"/>
              </w:rPr>
            </w:pPr>
          </w:p>
        </w:tc>
        <w:tc>
          <w:tcPr>
            <w:tcW w:w="845" w:type="dxa"/>
            <w:vMerge w:val="continue"/>
            <w:noWrap w:val="0"/>
            <w:vAlign w:val="center"/>
          </w:tcPr>
          <w:p>
            <w:pPr>
              <w:spacing w:line="240" w:lineRule="auto"/>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583" w:type="dxa"/>
            <w:noWrap w:val="0"/>
            <w:vAlign w:val="center"/>
          </w:tcPr>
          <w:p>
            <w:pPr>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悬挂式干粉灭火装置</w:t>
            </w:r>
          </w:p>
        </w:tc>
        <w:tc>
          <w:tcPr>
            <w:tcW w:w="2768" w:type="dxa"/>
            <w:noWrap w:val="0"/>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6kg</w:t>
            </w:r>
          </w:p>
        </w:tc>
        <w:tc>
          <w:tcPr>
            <w:tcW w:w="2062" w:type="dxa"/>
            <w:noWrap w:val="0"/>
            <w:vAlign w:val="center"/>
          </w:tcPr>
          <w:p>
            <w:pPr>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432</w:t>
            </w:r>
            <w:r>
              <w:rPr>
                <w:rFonts w:hint="eastAsia" w:ascii="宋体" w:hAnsi="宋体" w:cs="宋体"/>
                <w:color w:val="auto"/>
                <w:szCs w:val="21"/>
                <w:highlight w:val="none"/>
              </w:rPr>
              <w:t>个</w:t>
            </w:r>
          </w:p>
        </w:tc>
        <w:tc>
          <w:tcPr>
            <w:tcW w:w="1105" w:type="dxa"/>
            <w:vMerge w:val="continue"/>
            <w:noWrap w:val="0"/>
            <w:vAlign w:val="center"/>
          </w:tcPr>
          <w:p>
            <w:pPr>
              <w:spacing w:line="240" w:lineRule="auto"/>
              <w:jc w:val="center"/>
              <w:rPr>
                <w:rFonts w:hint="eastAsia" w:ascii="宋体" w:hAnsi="宋体" w:cs="宋体"/>
                <w:color w:val="auto"/>
                <w:szCs w:val="21"/>
                <w:highlight w:val="none"/>
              </w:rPr>
            </w:pPr>
          </w:p>
        </w:tc>
        <w:tc>
          <w:tcPr>
            <w:tcW w:w="845" w:type="dxa"/>
            <w:vMerge w:val="continue"/>
            <w:noWrap w:val="0"/>
            <w:vAlign w:val="center"/>
          </w:tcPr>
          <w:p>
            <w:pPr>
              <w:spacing w:line="24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noWrap w:val="0"/>
            <w:vAlign w:val="center"/>
          </w:tcPr>
          <w:p>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583" w:type="dxa"/>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安装辅材</w:t>
            </w:r>
          </w:p>
        </w:tc>
        <w:tc>
          <w:tcPr>
            <w:tcW w:w="2768" w:type="dxa"/>
            <w:noWrap w:val="0"/>
            <w:vAlign w:val="center"/>
          </w:tcPr>
          <w:p>
            <w:pPr>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根据所投报</w:t>
            </w:r>
            <w:r>
              <w:rPr>
                <w:rFonts w:hint="eastAsia" w:ascii="宋体" w:hAnsi="宋体" w:cs="宋体"/>
                <w:color w:val="auto"/>
                <w:szCs w:val="21"/>
                <w:highlight w:val="none"/>
              </w:rPr>
              <w:t>电动自行车</w:t>
            </w:r>
            <w:r>
              <w:rPr>
                <w:rFonts w:hint="eastAsia" w:ascii="宋体" w:hAnsi="宋体" w:cs="宋体"/>
                <w:color w:val="auto"/>
                <w:szCs w:val="21"/>
                <w:highlight w:val="none"/>
                <w:lang w:eastAsia="zh-CN"/>
              </w:rPr>
              <w:t>智能充电桩</w:t>
            </w:r>
            <w:r>
              <w:rPr>
                <w:rFonts w:hint="eastAsia" w:ascii="宋体" w:hAnsi="宋体" w:cs="宋体"/>
                <w:color w:val="auto"/>
                <w:szCs w:val="21"/>
                <w:highlight w:val="none"/>
                <w:lang w:val="en-US" w:eastAsia="zh-CN"/>
              </w:rPr>
              <w:t>设备的供货安装方式进行报价，本项目为交钥匙工程。</w:t>
            </w:r>
          </w:p>
        </w:tc>
        <w:tc>
          <w:tcPr>
            <w:tcW w:w="2062" w:type="dxa"/>
            <w:noWrap w:val="0"/>
            <w:vAlign w:val="center"/>
          </w:tcPr>
          <w:p>
            <w:pPr>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一批</w:t>
            </w:r>
          </w:p>
        </w:tc>
        <w:tc>
          <w:tcPr>
            <w:tcW w:w="1105" w:type="dxa"/>
            <w:vMerge w:val="continue"/>
            <w:noWrap w:val="0"/>
            <w:vAlign w:val="center"/>
          </w:tcPr>
          <w:p>
            <w:pPr>
              <w:spacing w:line="240" w:lineRule="auto"/>
              <w:jc w:val="center"/>
              <w:rPr>
                <w:rFonts w:hint="eastAsia" w:ascii="宋体" w:hAnsi="宋体" w:cs="宋体"/>
                <w:color w:val="auto"/>
                <w:szCs w:val="21"/>
                <w:highlight w:val="none"/>
              </w:rPr>
            </w:pPr>
          </w:p>
        </w:tc>
        <w:tc>
          <w:tcPr>
            <w:tcW w:w="845" w:type="dxa"/>
            <w:vMerge w:val="continue"/>
            <w:noWrap w:val="0"/>
            <w:vAlign w:val="center"/>
          </w:tcPr>
          <w:p>
            <w:pPr>
              <w:spacing w:line="240" w:lineRule="auto"/>
              <w:jc w:val="center"/>
              <w:rPr>
                <w:rFonts w:hint="eastAsia" w:ascii="宋体" w:hAnsi="宋体" w:cs="宋体"/>
                <w:bCs/>
                <w:color w:val="auto"/>
                <w:szCs w:val="21"/>
                <w:highlight w:val="none"/>
              </w:rPr>
            </w:pPr>
          </w:p>
        </w:tc>
      </w:tr>
    </w:tbl>
    <w:p>
      <w:pPr>
        <w:numPr>
          <w:ilvl w:val="0"/>
          <w:numId w:val="0"/>
        </w:numPr>
        <w:spacing w:line="440" w:lineRule="exact"/>
        <w:ind w:left="420" w:leftChars="0"/>
        <w:rPr>
          <w:rFonts w:hint="eastAsia" w:ascii="宋体" w:hAnsi="宋体" w:eastAsia="宋体" w:cs="等线"/>
          <w:b/>
          <w:color w:val="auto"/>
          <w:szCs w:val="21"/>
          <w:highlight w:val="yellow"/>
          <w:lang w:val="en-US" w:eastAsia="zh-CN"/>
        </w:rPr>
      </w:pPr>
      <w:r>
        <w:rPr>
          <w:rFonts w:hint="eastAsia" w:ascii="宋体" w:hAnsi="宋体" w:cs="等线"/>
          <w:b/>
          <w:color w:val="auto"/>
          <w:szCs w:val="21"/>
          <w:highlight w:val="none"/>
          <w:lang w:val="en-US" w:eastAsia="zh-CN"/>
        </w:rPr>
        <w:t>备注：本项目根据采购项目技术构成等确定电动自行车智能充电桩为核心产品。</w:t>
      </w:r>
    </w:p>
    <w:p>
      <w:pPr>
        <w:numPr>
          <w:ilvl w:val="0"/>
          <w:numId w:val="2"/>
        </w:numPr>
        <w:spacing w:line="440" w:lineRule="exact"/>
        <w:rPr>
          <w:rFonts w:ascii="宋体" w:hAnsi="宋体" w:cs="等线"/>
          <w:b/>
          <w:szCs w:val="21"/>
        </w:rPr>
      </w:pPr>
      <w:r>
        <w:rPr>
          <w:rFonts w:hint="eastAsia" w:ascii="宋体" w:hAnsi="宋体" w:cs="等线"/>
          <w:b/>
          <w:szCs w:val="21"/>
        </w:rPr>
        <w:t>安装环境：</w:t>
      </w:r>
    </w:p>
    <w:p>
      <w:pPr>
        <w:spacing w:line="360" w:lineRule="auto"/>
        <w:ind w:left="420" w:firstLine="420" w:firstLineChars="200"/>
        <w:rPr>
          <w:rFonts w:ascii="宋体" w:hAnsi="宋体" w:cs="等线"/>
          <w:bCs/>
          <w:szCs w:val="21"/>
        </w:rPr>
      </w:pPr>
      <w:r>
        <w:rPr>
          <w:rFonts w:hint="eastAsia" w:ascii="宋体" w:hAnsi="宋体" w:cs="等线"/>
          <w:bCs/>
          <w:szCs w:val="21"/>
        </w:rPr>
        <w:t>中标单位须在学校指定有顶棚的电动车停放区域安装所投设备，并对地面硬化；总电源应由学校配电中心接入</w:t>
      </w:r>
      <w:r>
        <w:rPr>
          <w:rFonts w:hint="eastAsia" w:ascii="宋体" w:hAnsi="宋体" w:cs="等线"/>
          <w:bCs/>
          <w:szCs w:val="21"/>
          <w:lang w:eastAsia="zh-CN"/>
        </w:rPr>
        <w:t>，</w:t>
      </w:r>
      <w:r>
        <w:rPr>
          <w:rFonts w:hint="eastAsia" w:ascii="宋体" w:hAnsi="宋体" w:cs="等线"/>
          <w:bCs/>
          <w:szCs w:val="21"/>
        </w:rPr>
        <w:t>电源出来的位置</w:t>
      </w:r>
      <w:r>
        <w:rPr>
          <w:rFonts w:hint="eastAsia" w:ascii="宋体" w:hAnsi="宋体" w:cs="等线"/>
          <w:bCs/>
          <w:szCs w:val="21"/>
          <w:lang w:val="en-US" w:eastAsia="zh-CN"/>
        </w:rPr>
        <w:t>距离安装区域</w:t>
      </w:r>
      <w:r>
        <w:rPr>
          <w:rFonts w:hint="eastAsia" w:ascii="宋体" w:hAnsi="宋体" w:cs="等线"/>
          <w:bCs/>
          <w:szCs w:val="21"/>
        </w:rPr>
        <w:t>大约设定为50米。</w:t>
      </w:r>
    </w:p>
    <w:p>
      <w:pPr>
        <w:numPr>
          <w:ilvl w:val="0"/>
          <w:numId w:val="2"/>
        </w:numPr>
        <w:spacing w:line="360" w:lineRule="auto"/>
        <w:rPr>
          <w:rFonts w:ascii="宋体" w:hAnsi="宋体" w:cs="等线"/>
          <w:b/>
          <w:szCs w:val="21"/>
          <w:highlight w:val="none"/>
        </w:rPr>
      </w:pPr>
      <w:r>
        <w:rPr>
          <w:rFonts w:hint="eastAsia" w:ascii="宋体" w:hAnsi="宋体" w:cs="等线"/>
          <w:b/>
          <w:szCs w:val="21"/>
          <w:highlight w:val="none"/>
        </w:rPr>
        <w:t>技术要求：</w:t>
      </w:r>
    </w:p>
    <w:p>
      <w:pPr>
        <w:numPr>
          <w:ilvl w:val="0"/>
          <w:numId w:val="4"/>
        </w:numPr>
        <w:spacing w:line="360" w:lineRule="auto"/>
        <w:rPr>
          <w:rFonts w:ascii="宋体" w:hAnsi="宋体"/>
          <w:b/>
          <w:szCs w:val="21"/>
        </w:rPr>
      </w:pPr>
      <w:r>
        <w:rPr>
          <w:rFonts w:hint="eastAsia" w:ascii="宋体" w:hAnsi="宋体"/>
          <w:b/>
          <w:szCs w:val="21"/>
        </w:rPr>
        <w:t>购买独立运营平台服务技术及功能要求</w:t>
      </w:r>
    </w:p>
    <w:p>
      <w:pPr>
        <w:numPr>
          <w:ilvl w:val="0"/>
          <w:numId w:val="5"/>
        </w:numPr>
        <w:spacing w:line="360" w:lineRule="auto"/>
        <w:ind w:left="1265"/>
        <w:rPr>
          <w:rFonts w:ascii="宋体" w:hAnsi="宋体"/>
          <w:szCs w:val="21"/>
        </w:rPr>
      </w:pPr>
      <w:r>
        <w:rPr>
          <w:rFonts w:hint="eastAsia" w:ascii="宋体" w:hAnsi="宋体"/>
          <w:szCs w:val="21"/>
          <w:lang w:eastAsia="zh-CN"/>
        </w:rPr>
        <w:t>智能充电桩</w:t>
      </w:r>
      <w:r>
        <w:rPr>
          <w:rFonts w:hint="eastAsia" w:ascii="宋体" w:hAnsi="宋体"/>
          <w:szCs w:val="21"/>
        </w:rPr>
        <w:t>必须是以平台化管理的大数据架构系统，系统内硬件逻辑架构可以分为站点、充电桩、回路三级；</w:t>
      </w:r>
    </w:p>
    <w:p>
      <w:pPr>
        <w:numPr>
          <w:ilvl w:val="0"/>
          <w:numId w:val="5"/>
        </w:numPr>
        <w:spacing w:line="360" w:lineRule="auto"/>
        <w:ind w:left="1265"/>
        <w:rPr>
          <w:rFonts w:ascii="宋体" w:hAnsi="宋体"/>
          <w:color w:val="000000"/>
          <w:szCs w:val="21"/>
          <w:highlight w:val="none"/>
        </w:rPr>
      </w:pPr>
      <w:r>
        <w:rPr>
          <w:rFonts w:hint="eastAsia" w:ascii="宋体" w:hAnsi="宋体"/>
          <w:color w:val="000000"/>
          <w:szCs w:val="21"/>
        </w:rPr>
        <w:t>平台可以实时监控每个站点</w:t>
      </w:r>
      <w:r>
        <w:rPr>
          <w:rFonts w:hint="eastAsia" w:ascii="宋体" w:hAnsi="宋体"/>
          <w:color w:val="000000"/>
          <w:szCs w:val="21"/>
          <w:highlight w:val="none"/>
        </w:rPr>
        <w:t>的状态（例如</w:t>
      </w:r>
      <w:r>
        <w:rPr>
          <w:rFonts w:hint="eastAsia" w:ascii="宋体" w:hAnsi="宋体"/>
          <w:color w:val="000000"/>
          <w:szCs w:val="21"/>
          <w:highlight w:val="none"/>
          <w:lang w:eastAsia="zh-CN"/>
        </w:rPr>
        <w:t>智能充电桩</w:t>
      </w:r>
      <w:r>
        <w:rPr>
          <w:rFonts w:hint="eastAsia" w:ascii="宋体" w:hAnsi="宋体"/>
          <w:color w:val="000000"/>
          <w:szCs w:val="21"/>
          <w:highlight w:val="none"/>
        </w:rPr>
        <w:t>数量、在线数量、离线数量）及每个</w:t>
      </w:r>
      <w:r>
        <w:rPr>
          <w:rFonts w:hint="eastAsia" w:ascii="宋体" w:hAnsi="宋体"/>
          <w:color w:val="000000"/>
          <w:szCs w:val="21"/>
          <w:highlight w:val="none"/>
          <w:lang w:eastAsia="zh-CN"/>
        </w:rPr>
        <w:t>智能充电桩</w:t>
      </w:r>
      <w:r>
        <w:rPr>
          <w:rFonts w:hint="eastAsia" w:ascii="宋体" w:hAnsi="宋体"/>
          <w:color w:val="000000"/>
          <w:szCs w:val="21"/>
          <w:highlight w:val="none"/>
        </w:rPr>
        <w:t>的状态（在线离线情况、空闲的回路、充电中的回路、故障的回路、位置）；</w:t>
      </w:r>
      <w:r>
        <w:rPr>
          <w:rFonts w:hint="eastAsia" w:ascii="宋体" w:hAnsi="宋体"/>
          <w:b/>
          <w:bCs/>
          <w:szCs w:val="21"/>
          <w:highlight w:val="none"/>
          <w:lang w:eastAsia="zh-CN"/>
        </w:rPr>
        <w:t>（</w:t>
      </w:r>
      <w:r>
        <w:rPr>
          <w:rFonts w:hint="eastAsia" w:ascii="宋体" w:hAnsi="宋体"/>
          <w:b/>
          <w:bCs/>
          <w:szCs w:val="21"/>
          <w:highlight w:val="none"/>
          <w:lang w:val="en-US" w:eastAsia="zh-CN"/>
        </w:rPr>
        <w:t>该项需现场演示</w:t>
      </w:r>
      <w:r>
        <w:rPr>
          <w:rFonts w:hint="eastAsia" w:ascii="宋体" w:hAnsi="宋体"/>
          <w:b/>
          <w:bCs/>
          <w:szCs w:val="21"/>
          <w:highlight w:val="none"/>
          <w:lang w:eastAsia="zh-CN"/>
        </w:rPr>
        <w:t>）</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平台可以实时监控每个回路的电流、电压，并可以从平台直接远程终止正在充电的回路；</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平台可以以地图的形式展示每个站点的位置；</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支持用户移动端查看</w:t>
      </w:r>
      <w:r>
        <w:rPr>
          <w:rFonts w:hint="eastAsia" w:ascii="宋体" w:hAnsi="宋体"/>
          <w:szCs w:val="21"/>
          <w:highlight w:val="none"/>
          <w:lang w:eastAsia="zh-CN"/>
        </w:rPr>
        <w:t>智能充电桩</w:t>
      </w:r>
      <w:r>
        <w:rPr>
          <w:rFonts w:hint="eastAsia" w:ascii="宋体" w:hAnsi="宋体"/>
          <w:szCs w:val="21"/>
          <w:highlight w:val="none"/>
        </w:rPr>
        <w:t>实时状态，控制电瓶车充电，如远程开启充电、续充、结束充电等；实时搜索</w:t>
      </w:r>
      <w:r>
        <w:rPr>
          <w:rFonts w:hint="eastAsia" w:ascii="宋体" w:hAnsi="宋体"/>
          <w:szCs w:val="21"/>
          <w:highlight w:val="none"/>
          <w:lang w:eastAsia="zh-CN"/>
        </w:rPr>
        <w:t>智能充电桩</w:t>
      </w:r>
      <w:r>
        <w:rPr>
          <w:rFonts w:hint="eastAsia" w:ascii="宋体" w:hAnsi="宋体"/>
          <w:szCs w:val="21"/>
          <w:highlight w:val="none"/>
        </w:rPr>
        <w:t>位置，具备导航和支持历史充电记录查询；</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该项需现场演示</w:t>
      </w:r>
      <w:r>
        <w:rPr>
          <w:rFonts w:hint="eastAsia" w:ascii="宋体" w:hAnsi="宋体" w:cs="宋体"/>
          <w:b/>
          <w:bCs/>
          <w:szCs w:val="21"/>
          <w:highlight w:val="none"/>
          <w:lang w:eastAsia="zh-CN"/>
        </w:rPr>
        <w:t>）</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支持管理员移动端查看</w:t>
      </w:r>
      <w:r>
        <w:rPr>
          <w:rFonts w:hint="eastAsia" w:ascii="宋体" w:hAnsi="宋体"/>
          <w:szCs w:val="21"/>
          <w:highlight w:val="none"/>
          <w:lang w:eastAsia="zh-CN"/>
        </w:rPr>
        <w:t>智能充电桩</w:t>
      </w:r>
      <w:r>
        <w:rPr>
          <w:rFonts w:hint="eastAsia" w:ascii="宋体" w:hAnsi="宋体"/>
          <w:szCs w:val="21"/>
          <w:highlight w:val="none"/>
        </w:rPr>
        <w:t>实时状态；</w:t>
      </w:r>
      <w:r>
        <w:rPr>
          <w:rFonts w:hint="eastAsia" w:ascii="宋体" w:hAnsi="宋体"/>
          <w:b/>
          <w:bCs/>
          <w:szCs w:val="21"/>
          <w:highlight w:val="none"/>
          <w:lang w:eastAsia="zh-CN"/>
        </w:rPr>
        <w:t>（</w:t>
      </w:r>
      <w:r>
        <w:rPr>
          <w:rFonts w:hint="eastAsia" w:ascii="宋体" w:hAnsi="宋体"/>
          <w:b/>
          <w:bCs/>
          <w:szCs w:val="21"/>
          <w:highlight w:val="none"/>
          <w:lang w:val="en-US" w:eastAsia="zh-CN"/>
        </w:rPr>
        <w:t>该项需现场演示</w:t>
      </w:r>
      <w:r>
        <w:rPr>
          <w:rFonts w:hint="eastAsia" w:ascii="宋体" w:hAnsi="宋体"/>
          <w:b/>
          <w:bCs/>
          <w:szCs w:val="21"/>
          <w:highlight w:val="none"/>
          <w:lang w:eastAsia="zh-CN"/>
        </w:rPr>
        <w:t>）</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当用户开始充电，若出现功率过载、插头被拔出、线路欠压、线路过压、漏电，充电站智能软件平台会有信息推送，提醒用户或管理人员；</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当用户开始充电，若出现箱体温度异常、回路温度异常，</w:t>
      </w:r>
      <w:r>
        <w:rPr>
          <w:rFonts w:hint="eastAsia" w:ascii="宋体" w:hAnsi="宋体"/>
          <w:szCs w:val="21"/>
          <w:highlight w:val="none"/>
          <w:lang w:eastAsia="zh-CN"/>
        </w:rPr>
        <w:t>智能充电桩</w:t>
      </w:r>
      <w:r>
        <w:rPr>
          <w:rFonts w:hint="eastAsia" w:ascii="宋体" w:hAnsi="宋体"/>
          <w:szCs w:val="21"/>
          <w:highlight w:val="none"/>
        </w:rPr>
        <w:t>能通过软件平台立即电话通知管理人员；</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平台可建立多级管理账户；</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平台各个功能模块的权限可以任意分配；</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平台的站点可由管理员账户分配给对应的各学校管理账户，子账户之间数据不能共通；</w:t>
      </w:r>
    </w:p>
    <w:p>
      <w:pPr>
        <w:numPr>
          <w:ilvl w:val="0"/>
          <w:numId w:val="5"/>
        </w:numPr>
        <w:spacing w:line="360" w:lineRule="auto"/>
        <w:ind w:left="1265"/>
        <w:rPr>
          <w:rFonts w:ascii="宋体" w:hAnsi="宋体"/>
          <w:szCs w:val="21"/>
          <w:highlight w:val="none"/>
        </w:rPr>
      </w:pPr>
      <w:r>
        <w:rPr>
          <w:rFonts w:hint="eastAsia" w:ascii="宋体" w:hAnsi="宋体"/>
          <w:szCs w:val="21"/>
          <w:highlight w:val="none"/>
        </w:rPr>
        <w:t>平台对接后消息推送（异常报警）从采购方的APP去推送。</w:t>
      </w:r>
    </w:p>
    <w:p>
      <w:pPr>
        <w:numPr>
          <w:ilvl w:val="0"/>
          <w:numId w:val="4"/>
        </w:numPr>
        <w:spacing w:line="360" w:lineRule="auto"/>
        <w:rPr>
          <w:rFonts w:ascii="宋体" w:hAnsi="宋体"/>
          <w:b/>
          <w:szCs w:val="21"/>
        </w:rPr>
      </w:pPr>
      <w:r>
        <w:rPr>
          <w:rFonts w:hint="eastAsia" w:ascii="宋体" w:hAnsi="宋体"/>
          <w:b/>
          <w:szCs w:val="21"/>
        </w:rPr>
        <w:t>单个电动自行车</w:t>
      </w:r>
      <w:r>
        <w:rPr>
          <w:rFonts w:hint="eastAsia" w:ascii="宋体" w:hAnsi="宋体"/>
          <w:b/>
          <w:szCs w:val="21"/>
          <w:lang w:eastAsia="zh-CN"/>
        </w:rPr>
        <w:t>智能充电桩</w:t>
      </w:r>
      <w:r>
        <w:rPr>
          <w:rFonts w:hint="eastAsia" w:ascii="宋体" w:hAnsi="宋体"/>
          <w:b/>
          <w:szCs w:val="21"/>
        </w:rPr>
        <w:t>技术要求：</w:t>
      </w:r>
    </w:p>
    <w:p>
      <w:pPr>
        <w:numPr>
          <w:ilvl w:val="0"/>
          <w:numId w:val="6"/>
        </w:numPr>
        <w:spacing w:line="360" w:lineRule="auto"/>
        <w:ind w:left="1265"/>
        <w:rPr>
          <w:rFonts w:ascii="宋体" w:hAnsi="宋体" w:cs="等线"/>
          <w:szCs w:val="21"/>
        </w:rPr>
      </w:pPr>
      <w:r>
        <w:rPr>
          <w:rFonts w:hint="eastAsia" w:ascii="宋体" w:hAnsi="宋体" w:cs="等线"/>
          <w:szCs w:val="21"/>
        </w:rPr>
        <w:t>输入/输出电压：AC</w:t>
      </w:r>
      <w:r>
        <w:rPr>
          <w:rFonts w:ascii="宋体" w:hAnsi="宋体" w:cs="等线"/>
          <w:szCs w:val="21"/>
        </w:rPr>
        <w:t>22</w:t>
      </w:r>
      <w:r>
        <w:rPr>
          <w:rFonts w:hint="eastAsia" w:ascii="宋体" w:hAnsi="宋体" w:cs="等线"/>
          <w:szCs w:val="21"/>
        </w:rPr>
        <w:t>0V/50Hz</w:t>
      </w:r>
    </w:p>
    <w:p>
      <w:pPr>
        <w:numPr>
          <w:ilvl w:val="0"/>
          <w:numId w:val="6"/>
        </w:numPr>
        <w:spacing w:line="360" w:lineRule="auto"/>
        <w:ind w:left="1265"/>
        <w:rPr>
          <w:rFonts w:ascii="宋体" w:hAnsi="宋体" w:cs="等线"/>
          <w:szCs w:val="21"/>
        </w:rPr>
      </w:pPr>
      <w:r>
        <w:rPr>
          <w:rFonts w:ascii="宋体" w:hAnsi="宋体" w:cs="等线"/>
          <w:szCs w:val="21"/>
        </w:rPr>
        <w:t>最大</w:t>
      </w:r>
      <w:r>
        <w:rPr>
          <w:rFonts w:hint="eastAsia" w:ascii="宋体" w:hAnsi="宋体" w:cs="等线"/>
          <w:szCs w:val="21"/>
        </w:rPr>
        <w:t>总输入功率/</w:t>
      </w:r>
      <w:r>
        <w:rPr>
          <w:rFonts w:ascii="宋体" w:hAnsi="宋体" w:cs="等线"/>
          <w:szCs w:val="21"/>
        </w:rPr>
        <w:t>电流：</w:t>
      </w:r>
      <w:r>
        <w:rPr>
          <w:rFonts w:hint="eastAsia" w:ascii="宋体" w:hAnsi="宋体" w:cs="等线"/>
          <w:szCs w:val="21"/>
        </w:rPr>
        <w:t>4400W/40A</w:t>
      </w:r>
      <w:bookmarkStart w:id="0" w:name="_GoBack"/>
      <w:bookmarkEnd w:id="0"/>
    </w:p>
    <w:p>
      <w:pPr>
        <w:numPr>
          <w:ilvl w:val="0"/>
          <w:numId w:val="6"/>
        </w:numPr>
        <w:spacing w:line="360" w:lineRule="auto"/>
        <w:ind w:left="1265"/>
        <w:rPr>
          <w:rFonts w:ascii="宋体" w:hAnsi="宋体" w:cs="等线"/>
          <w:szCs w:val="21"/>
        </w:rPr>
      </w:pPr>
      <w:r>
        <w:rPr>
          <w:rFonts w:hint="eastAsia" w:ascii="宋体" w:hAnsi="宋体" w:cs="等线"/>
          <w:szCs w:val="21"/>
        </w:rPr>
        <w:t>单路输出功率/</w:t>
      </w:r>
      <w:r>
        <w:rPr>
          <w:rFonts w:ascii="宋体" w:hAnsi="宋体" w:cs="等线"/>
          <w:szCs w:val="21"/>
        </w:rPr>
        <w:t>电流：</w:t>
      </w:r>
      <w:r>
        <w:rPr>
          <w:rFonts w:hint="eastAsia" w:ascii="宋体" w:hAnsi="宋体" w:cs="等线"/>
          <w:szCs w:val="21"/>
        </w:rPr>
        <w:t>0-440W/0-4A</w:t>
      </w:r>
    </w:p>
    <w:p>
      <w:pPr>
        <w:numPr>
          <w:ilvl w:val="0"/>
          <w:numId w:val="6"/>
        </w:numPr>
        <w:spacing w:line="360" w:lineRule="auto"/>
        <w:ind w:left="1265"/>
        <w:rPr>
          <w:rFonts w:ascii="宋体" w:hAnsi="宋体" w:cs="等线"/>
          <w:szCs w:val="21"/>
        </w:rPr>
      </w:pPr>
      <w:r>
        <w:rPr>
          <w:rFonts w:ascii="宋体" w:hAnsi="宋体" w:cs="等线"/>
          <w:szCs w:val="21"/>
        </w:rPr>
        <w:t>待机功率：</w:t>
      </w:r>
      <w:r>
        <w:rPr>
          <w:rFonts w:hint="eastAsia" w:ascii="宋体" w:hAnsi="宋体" w:cs="等线"/>
          <w:szCs w:val="21"/>
        </w:rPr>
        <w:t>＜3W</w:t>
      </w:r>
    </w:p>
    <w:p>
      <w:pPr>
        <w:numPr>
          <w:ilvl w:val="0"/>
          <w:numId w:val="6"/>
        </w:numPr>
        <w:spacing w:line="360" w:lineRule="auto"/>
        <w:ind w:left="1265"/>
        <w:rPr>
          <w:rFonts w:ascii="宋体" w:hAnsi="宋体" w:cs="等线"/>
          <w:szCs w:val="21"/>
        </w:rPr>
      </w:pPr>
      <w:r>
        <w:rPr>
          <w:rFonts w:hint="eastAsia" w:ascii="宋体" w:hAnsi="宋体" w:cs="等线"/>
          <w:szCs w:val="21"/>
        </w:rPr>
        <w:t>工作温度：-10℃-50℃</w:t>
      </w:r>
    </w:p>
    <w:p>
      <w:pPr>
        <w:widowControl/>
        <w:numPr>
          <w:ilvl w:val="0"/>
          <w:numId w:val="6"/>
        </w:numPr>
        <w:snapToGrid w:val="0"/>
        <w:spacing w:line="360" w:lineRule="auto"/>
        <w:ind w:left="1265"/>
        <w:jc w:val="left"/>
        <w:rPr>
          <w:rFonts w:ascii="宋体" w:hAnsi="宋体" w:cs="等线"/>
          <w:szCs w:val="21"/>
        </w:rPr>
      </w:pPr>
      <w:r>
        <w:rPr>
          <w:rFonts w:hint="eastAsia" w:ascii="宋体" w:hAnsi="宋体" w:cs="等线"/>
          <w:szCs w:val="21"/>
        </w:rPr>
        <w:t>防护</w:t>
      </w:r>
      <w:r>
        <w:rPr>
          <w:rFonts w:ascii="宋体" w:hAnsi="宋体" w:cs="等线"/>
          <w:szCs w:val="21"/>
        </w:rPr>
        <w:t>等级：</w:t>
      </w:r>
      <w:r>
        <w:rPr>
          <w:rFonts w:hint="eastAsia" w:ascii="宋体" w:hAnsi="宋体"/>
          <w:szCs w:val="21"/>
        </w:rPr>
        <w:t>不低于</w:t>
      </w:r>
      <w:r>
        <w:rPr>
          <w:rFonts w:hint="eastAsia" w:ascii="宋体" w:hAnsi="宋体" w:cs="等线"/>
          <w:szCs w:val="21"/>
        </w:rPr>
        <w:t>IPX4；</w:t>
      </w:r>
    </w:p>
    <w:p>
      <w:pPr>
        <w:widowControl/>
        <w:numPr>
          <w:ilvl w:val="0"/>
          <w:numId w:val="6"/>
        </w:numPr>
        <w:snapToGrid w:val="0"/>
        <w:spacing w:line="360" w:lineRule="auto"/>
        <w:ind w:left="1265"/>
        <w:jc w:val="left"/>
        <w:rPr>
          <w:rFonts w:ascii="宋体" w:hAnsi="宋体" w:cs="宋体"/>
          <w:szCs w:val="21"/>
        </w:rPr>
      </w:pPr>
      <w:r>
        <w:rPr>
          <w:rFonts w:hint="eastAsia" w:ascii="宋体" w:hAnsi="宋体" w:cs="等线"/>
          <w:szCs w:val="21"/>
        </w:rPr>
        <w:t>接地：</w:t>
      </w:r>
      <w:r>
        <w:rPr>
          <w:rFonts w:hint="eastAsia" w:ascii="宋体" w:hAnsi="宋体" w:cs="等线"/>
          <w:szCs w:val="21"/>
          <w:lang w:eastAsia="zh-CN"/>
        </w:rPr>
        <w:t>智能充电桩</w:t>
      </w:r>
      <w:r>
        <w:rPr>
          <w:rFonts w:hint="eastAsia" w:ascii="宋体" w:hAnsi="宋体" w:cs="等线"/>
          <w:szCs w:val="21"/>
        </w:rPr>
        <w:t>应内置接地装置；</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szCs w:val="21"/>
        </w:rPr>
        <w:t>支持路数:最大可外接10路插座；</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充电方式要求：支持定时充电、远程续充、按功率计时；</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充电模式:扫码（微信）充电、刷卡充电、投币充电；</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该项需现场演示</w:t>
      </w:r>
      <w:r>
        <w:rPr>
          <w:rFonts w:hint="eastAsia" w:ascii="宋体" w:hAnsi="宋体" w:cs="宋体"/>
          <w:b/>
          <w:bCs/>
          <w:szCs w:val="21"/>
          <w:highlight w:val="none"/>
          <w:lang w:eastAsia="zh-CN"/>
        </w:rPr>
        <w:t>）</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远程控制:手机随时可以查看消费消息充电状态、远程控制；</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断电要求：当用户开始充电出现过载、过压、欠压、高温、漏电，</w:t>
      </w:r>
      <w:r>
        <w:rPr>
          <w:rFonts w:hint="eastAsia" w:ascii="宋体" w:hAnsi="宋体" w:cs="宋体"/>
          <w:szCs w:val="21"/>
          <w:highlight w:val="none"/>
          <w:lang w:eastAsia="zh-CN"/>
        </w:rPr>
        <w:t>智能充电桩</w:t>
      </w:r>
      <w:r>
        <w:rPr>
          <w:rFonts w:hint="eastAsia" w:ascii="宋体" w:hAnsi="宋体" w:cs="宋体"/>
          <w:szCs w:val="21"/>
          <w:highlight w:val="none"/>
        </w:rPr>
        <w:t>具备检测功能，启动充电保护并执行自动断电程序，系统并推送账单信息至客户端；</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收费计量要求：内置独立的电能计量装置，能计量单次和累计的充电电能，用户充电完成按照实际用电量收取费用；</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设备必须防雷，必须用阻燃材质材料；</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语音功能:具备语音播报功能；</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功率识别:具备检测大功率负载功能，可以设定功率报警值，达到报警值时会断开对应充电回路，防止用户私接插线板给多台电瓶车充电或大功率设备进行充电。充电功率控制范围0-440W；</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故障报警:可判断充电回路的工作及故障状态，并通过平台显示该回路故障信息；</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来电续充:当出现电网停电时，来电恢复后可继续使用剩余的时间充电；</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空载保护:用户拔掉充电器或充电器插头未插紧，若还有剩余时间或电量，则会发出报警，同时在已设定的一定时间内关闭该回路供电；</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充满自停:电瓶车充满电量后，若还有剩余时间或电量，则会发出报警，同时在已设定的一定时间内关闭该回路供电；</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短路保护:每个出线回路均设置有熔断器保护，在发生短路意外时，会使熔断器熔断；</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过温保护:用于监测出线回路导线温度；</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rPr>
        <w:t>漏电保护:加装进线漏电互感器，可以监测漏电情况，同时根据设定值进行断电保护；</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cs="宋体"/>
          <w:szCs w:val="21"/>
          <w:highlight w:val="none"/>
          <w:lang w:eastAsia="zh-CN"/>
        </w:rPr>
        <w:t>智能充电桩</w:t>
      </w:r>
      <w:r>
        <w:rPr>
          <w:rFonts w:hint="eastAsia" w:ascii="宋体" w:hAnsi="宋体" w:cs="宋体"/>
          <w:szCs w:val="21"/>
          <w:highlight w:val="none"/>
        </w:rPr>
        <w:t>在平时不充电及待机情况下，插座处于断电绝缘状态；</w:t>
      </w:r>
    </w:p>
    <w:p>
      <w:pPr>
        <w:widowControl/>
        <w:numPr>
          <w:ilvl w:val="0"/>
          <w:numId w:val="6"/>
        </w:numPr>
        <w:snapToGrid w:val="0"/>
        <w:spacing w:line="360" w:lineRule="auto"/>
        <w:ind w:left="1265"/>
        <w:jc w:val="left"/>
        <w:rPr>
          <w:rFonts w:ascii="宋体" w:hAnsi="宋体" w:cs="宋体"/>
          <w:szCs w:val="21"/>
          <w:highlight w:val="none"/>
        </w:rPr>
      </w:pPr>
      <w:r>
        <w:rPr>
          <w:rFonts w:hint="eastAsia" w:ascii="宋体" w:hAnsi="宋体"/>
          <w:szCs w:val="21"/>
          <w:highlight w:val="none"/>
        </w:rPr>
        <w:t>抗电强度：设备中使用的固体绝缘应当</w:t>
      </w:r>
      <w:r>
        <w:rPr>
          <w:rFonts w:hint="eastAsia" w:ascii="宋体" w:hAnsi="宋体" w:cs="宋体"/>
          <w:szCs w:val="21"/>
          <w:highlight w:val="none"/>
        </w:rPr>
        <w:t>符合国家标准</w:t>
      </w:r>
      <w:r>
        <w:rPr>
          <w:rFonts w:hint="eastAsia" w:ascii="宋体" w:hAnsi="宋体" w:cs="等线"/>
          <w:szCs w:val="21"/>
          <w:highlight w:val="none"/>
        </w:rPr>
        <w:t>G</w:t>
      </w:r>
      <w:r>
        <w:rPr>
          <w:rFonts w:ascii="宋体" w:hAnsi="宋体" w:cs="等线"/>
          <w:szCs w:val="21"/>
          <w:highlight w:val="none"/>
        </w:rPr>
        <w:t>B4943.1-2011</w:t>
      </w:r>
      <w:r>
        <w:rPr>
          <w:rFonts w:hint="eastAsia" w:ascii="宋体" w:hAnsi="宋体"/>
          <w:szCs w:val="21"/>
          <w:highlight w:val="none"/>
        </w:rPr>
        <w:t>中的抗电强度；</w:t>
      </w:r>
    </w:p>
    <w:p>
      <w:pPr>
        <w:widowControl/>
        <w:numPr>
          <w:ilvl w:val="0"/>
          <w:numId w:val="6"/>
        </w:numPr>
        <w:snapToGrid w:val="0"/>
        <w:spacing w:line="360" w:lineRule="auto"/>
        <w:ind w:left="1265"/>
        <w:jc w:val="left"/>
        <w:rPr>
          <w:rFonts w:ascii="宋体" w:hAnsi="宋体"/>
          <w:szCs w:val="21"/>
          <w:highlight w:val="none"/>
        </w:rPr>
      </w:pPr>
      <w:r>
        <w:rPr>
          <w:rFonts w:hint="eastAsia" w:ascii="宋体" w:hAnsi="宋体" w:cs="宋体"/>
          <w:szCs w:val="21"/>
          <w:highlight w:val="none"/>
          <w:lang w:eastAsia="zh-CN"/>
        </w:rPr>
        <w:t>智能充电桩</w:t>
      </w:r>
      <w:r>
        <w:rPr>
          <w:rFonts w:hint="eastAsia" w:ascii="宋体" w:hAnsi="宋体" w:cs="宋体"/>
          <w:szCs w:val="21"/>
          <w:highlight w:val="none"/>
        </w:rPr>
        <w:t>需提供第三方权威检测机构出具的加盖CNAS或CMA章的检测报告，复印件加盖公章；</w:t>
      </w:r>
    </w:p>
    <w:p>
      <w:pPr>
        <w:widowControl/>
        <w:numPr>
          <w:ilvl w:val="0"/>
          <w:numId w:val="6"/>
        </w:numPr>
        <w:snapToGrid w:val="0"/>
        <w:spacing w:line="360" w:lineRule="auto"/>
        <w:ind w:left="1265"/>
        <w:jc w:val="left"/>
        <w:rPr>
          <w:rFonts w:ascii="宋体" w:hAnsi="宋体" w:cs="宋体"/>
          <w:color w:val="auto"/>
          <w:szCs w:val="21"/>
          <w:highlight w:val="none"/>
        </w:rPr>
      </w:pPr>
      <w:r>
        <w:rPr>
          <w:rFonts w:hint="eastAsia" w:ascii="宋体" w:hAnsi="宋体" w:cs="宋体"/>
          <w:szCs w:val="21"/>
          <w:highlight w:val="none"/>
        </w:rPr>
        <w:t>所</w:t>
      </w:r>
      <w:r>
        <w:rPr>
          <w:rFonts w:hint="eastAsia" w:ascii="宋体" w:hAnsi="宋体" w:cs="宋体"/>
          <w:color w:val="auto"/>
          <w:szCs w:val="21"/>
          <w:highlight w:val="none"/>
        </w:rPr>
        <w:t>投</w:t>
      </w:r>
      <w:r>
        <w:rPr>
          <w:rFonts w:hint="eastAsia" w:ascii="宋体" w:hAnsi="宋体" w:cs="宋体"/>
          <w:color w:val="auto"/>
          <w:szCs w:val="21"/>
          <w:highlight w:val="none"/>
          <w:lang w:eastAsia="zh-CN"/>
        </w:rPr>
        <w:t>智能充电桩</w:t>
      </w:r>
      <w:r>
        <w:rPr>
          <w:rFonts w:hint="eastAsia" w:ascii="宋体" w:hAnsi="宋体" w:cs="宋体"/>
          <w:color w:val="auto"/>
          <w:szCs w:val="21"/>
          <w:highlight w:val="none"/>
        </w:rPr>
        <w:t>产品具有有效期内的产品责任险，提供有效期内的产品责任险保单，复印件并加盖公章。</w:t>
      </w:r>
    </w:p>
    <w:p>
      <w:pPr>
        <w:numPr>
          <w:ilvl w:val="0"/>
          <w:numId w:val="4"/>
        </w:numPr>
        <w:spacing w:line="360" w:lineRule="auto"/>
        <w:rPr>
          <w:rFonts w:hint="eastAsia" w:ascii="宋体" w:hAnsi="宋体" w:eastAsia="宋体" w:cs="Times New Roman"/>
          <w:b/>
          <w:szCs w:val="21"/>
          <w:highlight w:val="none"/>
        </w:rPr>
      </w:pPr>
      <w:r>
        <w:rPr>
          <w:rFonts w:hint="eastAsia" w:ascii="宋体" w:hAnsi="宋体" w:eastAsia="宋体" w:cs="Times New Roman"/>
          <w:b/>
          <w:szCs w:val="21"/>
          <w:highlight w:val="none"/>
          <w:lang w:val="en-US" w:eastAsia="zh-CN"/>
        </w:rPr>
        <w:t>如投标人提供的产品为独立插座，需满足以下要求：</w:t>
      </w:r>
    </w:p>
    <w:p>
      <w:pPr>
        <w:numPr>
          <w:ilvl w:val="0"/>
          <w:numId w:val="0"/>
        </w:numPr>
        <w:spacing w:line="360" w:lineRule="auto"/>
        <w:ind w:left="420" w:leftChars="0" w:firstLine="422" w:firstLineChars="200"/>
        <w:rPr>
          <w:rFonts w:ascii="宋体" w:hAnsi="宋体"/>
          <w:b/>
          <w:color w:val="auto"/>
          <w:szCs w:val="21"/>
          <w:highlight w:val="none"/>
        </w:rPr>
      </w:pPr>
      <w:r>
        <w:rPr>
          <w:rFonts w:hint="eastAsia" w:ascii="宋体" w:hAnsi="宋体"/>
          <w:b/>
          <w:color w:val="auto"/>
          <w:szCs w:val="21"/>
          <w:highlight w:val="none"/>
        </w:rPr>
        <w:t>单个插座技术要求：</w:t>
      </w:r>
    </w:p>
    <w:p>
      <w:pPr>
        <w:widowControl/>
        <w:numPr>
          <w:ilvl w:val="0"/>
          <w:numId w:val="7"/>
        </w:numPr>
        <w:snapToGrid w:val="0"/>
        <w:spacing w:line="360" w:lineRule="auto"/>
        <w:ind w:left="1265"/>
        <w:jc w:val="left"/>
        <w:rPr>
          <w:rFonts w:ascii="宋体" w:hAnsi="宋体"/>
          <w:bCs/>
          <w:color w:val="auto"/>
          <w:szCs w:val="21"/>
          <w:highlight w:val="none"/>
        </w:rPr>
      </w:pPr>
      <w:r>
        <w:rPr>
          <w:rFonts w:hint="eastAsia" w:ascii="宋体" w:hAnsi="宋体"/>
          <w:bCs/>
          <w:color w:val="auto"/>
          <w:szCs w:val="21"/>
          <w:highlight w:val="none"/>
        </w:rPr>
        <w:t>规格：五孔；</w:t>
      </w:r>
    </w:p>
    <w:p>
      <w:pPr>
        <w:widowControl/>
        <w:numPr>
          <w:ilvl w:val="0"/>
          <w:numId w:val="7"/>
        </w:numPr>
        <w:snapToGrid w:val="0"/>
        <w:spacing w:line="360" w:lineRule="auto"/>
        <w:ind w:left="1265"/>
        <w:jc w:val="left"/>
        <w:rPr>
          <w:rFonts w:ascii="宋体" w:hAnsi="宋体"/>
          <w:color w:val="auto"/>
          <w:szCs w:val="21"/>
          <w:highlight w:val="none"/>
        </w:rPr>
      </w:pPr>
      <w:r>
        <w:rPr>
          <w:rFonts w:hint="eastAsia" w:ascii="宋体" w:hAnsi="宋体"/>
          <w:color w:val="auto"/>
          <w:szCs w:val="21"/>
          <w:highlight w:val="none"/>
        </w:rPr>
        <w:t>防护等级：不低于IP54；</w:t>
      </w:r>
    </w:p>
    <w:p>
      <w:pPr>
        <w:widowControl/>
        <w:numPr>
          <w:ilvl w:val="0"/>
          <w:numId w:val="7"/>
        </w:numPr>
        <w:snapToGrid w:val="0"/>
        <w:spacing w:line="360" w:lineRule="auto"/>
        <w:ind w:left="1265"/>
        <w:jc w:val="left"/>
        <w:rPr>
          <w:rFonts w:ascii="宋体" w:hAnsi="宋体"/>
          <w:color w:val="auto"/>
          <w:szCs w:val="21"/>
          <w:highlight w:val="none"/>
        </w:rPr>
      </w:pPr>
      <w:r>
        <w:rPr>
          <w:rFonts w:hint="eastAsia" w:ascii="宋体" w:hAnsi="宋体" w:cs="宋体"/>
          <w:color w:val="auto"/>
          <w:szCs w:val="21"/>
          <w:highlight w:val="none"/>
        </w:rPr>
        <w:t>★插座:符合国家标准GB/T2099家用和类似用途插头插座要求，插座插拔次数应不小于5000次；提供有效期内的国家强制性产品认证证书（3C），复印件并加盖公章；</w:t>
      </w:r>
    </w:p>
    <w:p>
      <w:pPr>
        <w:widowControl/>
        <w:numPr>
          <w:ilvl w:val="0"/>
          <w:numId w:val="7"/>
        </w:numPr>
        <w:snapToGrid w:val="0"/>
        <w:spacing w:line="360" w:lineRule="auto"/>
        <w:ind w:left="1265"/>
        <w:jc w:val="left"/>
        <w:rPr>
          <w:rFonts w:ascii="宋体" w:hAnsi="宋体"/>
          <w:color w:val="auto"/>
          <w:szCs w:val="21"/>
          <w:highlight w:val="none"/>
        </w:rPr>
      </w:pPr>
      <w:r>
        <w:rPr>
          <w:rFonts w:hint="eastAsia" w:ascii="宋体" w:hAnsi="宋体" w:cs="宋体"/>
          <w:color w:val="auto"/>
          <w:szCs w:val="21"/>
          <w:highlight w:val="none"/>
        </w:rPr>
        <w:t>插座需提供第三方权威检测机构出具的加盖CNAS或CMA章的检测报告，复印件加盖公章。</w:t>
      </w:r>
    </w:p>
    <w:p>
      <w:pPr>
        <w:numPr>
          <w:ilvl w:val="0"/>
          <w:numId w:val="4"/>
        </w:numPr>
        <w:spacing w:line="360" w:lineRule="auto"/>
        <w:rPr>
          <w:rFonts w:ascii="宋体" w:hAnsi="宋体"/>
          <w:b/>
          <w:szCs w:val="21"/>
          <w:highlight w:val="none"/>
        </w:rPr>
      </w:pPr>
      <w:r>
        <w:rPr>
          <w:rFonts w:hint="eastAsia" w:ascii="宋体" w:hAnsi="宋体"/>
          <w:b/>
          <w:szCs w:val="21"/>
          <w:highlight w:val="none"/>
        </w:rPr>
        <w:t>单个悬挂式干粉灭火装置技术要求：</w:t>
      </w:r>
    </w:p>
    <w:p>
      <w:pPr>
        <w:numPr>
          <w:ilvl w:val="0"/>
          <w:numId w:val="8"/>
        </w:numPr>
        <w:spacing w:line="360" w:lineRule="auto"/>
        <w:ind w:left="1265"/>
        <w:rPr>
          <w:rFonts w:ascii="宋体" w:hAnsi="宋体"/>
          <w:szCs w:val="21"/>
          <w:highlight w:val="none"/>
        </w:rPr>
      </w:pPr>
      <w:r>
        <w:rPr>
          <w:rFonts w:hint="eastAsia" w:ascii="宋体" w:hAnsi="宋体"/>
          <w:szCs w:val="21"/>
          <w:highlight w:val="none"/>
        </w:rPr>
        <w:t>灭火剂充装质量：6kg；</w:t>
      </w:r>
    </w:p>
    <w:p>
      <w:pPr>
        <w:numPr>
          <w:ilvl w:val="0"/>
          <w:numId w:val="8"/>
        </w:numPr>
        <w:spacing w:line="360" w:lineRule="auto"/>
        <w:ind w:left="1265"/>
        <w:rPr>
          <w:szCs w:val="21"/>
          <w:highlight w:val="none"/>
        </w:rPr>
      </w:pPr>
      <w:r>
        <w:rPr>
          <w:rFonts w:hint="eastAsia" w:ascii="宋体" w:hAnsi="宋体"/>
          <w:szCs w:val="21"/>
          <w:highlight w:val="none"/>
        </w:rPr>
        <w:t>动作温度：68℃；</w:t>
      </w:r>
    </w:p>
    <w:p>
      <w:pPr>
        <w:numPr>
          <w:ilvl w:val="0"/>
          <w:numId w:val="8"/>
        </w:numPr>
        <w:spacing w:line="360" w:lineRule="auto"/>
        <w:ind w:left="1265"/>
        <w:rPr>
          <w:szCs w:val="21"/>
          <w:highlight w:val="none"/>
        </w:rPr>
      </w:pPr>
      <w:r>
        <w:rPr>
          <w:rFonts w:hint="eastAsia" w:ascii="宋体" w:hAnsi="宋体"/>
          <w:szCs w:val="21"/>
          <w:highlight w:val="none"/>
        </w:rPr>
        <w:t>有效保护直径：不小于1.88m；</w:t>
      </w:r>
    </w:p>
    <w:p>
      <w:pPr>
        <w:numPr>
          <w:ilvl w:val="0"/>
          <w:numId w:val="8"/>
        </w:numPr>
        <w:spacing w:line="360" w:lineRule="auto"/>
        <w:ind w:left="1265"/>
        <w:rPr>
          <w:rFonts w:ascii="宋体" w:hAnsi="宋体"/>
          <w:szCs w:val="21"/>
          <w:highlight w:val="none"/>
        </w:rPr>
      </w:pPr>
      <w:r>
        <w:rPr>
          <w:rFonts w:hint="eastAsia" w:ascii="宋体" w:hAnsi="宋体"/>
          <w:szCs w:val="21"/>
          <w:highlight w:val="none"/>
        </w:rPr>
        <w:t>公称工作压力：不小于1.2MPa；</w:t>
      </w:r>
    </w:p>
    <w:p>
      <w:pPr>
        <w:numPr>
          <w:ilvl w:val="0"/>
          <w:numId w:val="8"/>
        </w:numPr>
        <w:spacing w:line="360" w:lineRule="auto"/>
        <w:ind w:left="1265"/>
        <w:rPr>
          <w:szCs w:val="21"/>
          <w:highlight w:val="none"/>
        </w:rPr>
      </w:pPr>
      <w:r>
        <w:rPr>
          <w:rFonts w:hint="eastAsia" w:ascii="宋体" w:hAnsi="宋体"/>
          <w:szCs w:val="21"/>
          <w:highlight w:val="none"/>
        </w:rPr>
        <w:t>工作温度：-10℃-50℃；</w:t>
      </w:r>
    </w:p>
    <w:p>
      <w:pPr>
        <w:numPr>
          <w:ilvl w:val="0"/>
          <w:numId w:val="8"/>
        </w:numPr>
        <w:spacing w:line="360" w:lineRule="auto"/>
        <w:ind w:left="1265"/>
        <w:rPr>
          <w:rFonts w:ascii="宋体" w:hAnsi="宋体"/>
          <w:szCs w:val="21"/>
          <w:highlight w:val="none"/>
        </w:rPr>
      </w:pPr>
      <w:r>
        <w:rPr>
          <w:rFonts w:hint="eastAsia" w:ascii="宋体" w:hAnsi="宋体"/>
          <w:szCs w:val="21"/>
          <w:highlight w:val="none"/>
        </w:rPr>
        <w:t>悬挂式干粉灭火装置需提供第三方权威检测机构出具的加盖CNAS或CMA章的检测报告，复印件加盖公章；</w:t>
      </w:r>
    </w:p>
    <w:p>
      <w:pPr>
        <w:numPr>
          <w:ilvl w:val="0"/>
          <w:numId w:val="8"/>
        </w:numPr>
        <w:spacing w:line="360" w:lineRule="auto"/>
        <w:ind w:left="1265"/>
        <w:rPr>
          <w:rFonts w:ascii="宋体" w:hAnsi="宋体" w:cs="等线"/>
          <w:b/>
          <w:szCs w:val="21"/>
          <w:highlight w:val="none"/>
        </w:rPr>
      </w:pPr>
      <w:r>
        <w:rPr>
          <w:rFonts w:hint="eastAsia" w:ascii="宋体" w:hAnsi="宋体"/>
          <w:szCs w:val="21"/>
          <w:highlight w:val="none"/>
        </w:rPr>
        <w:t>悬挂式干粉灭火装置具有有效期内的产品责任险，提供有效期内的产品责任险保单，复印件并加盖公章。</w:t>
      </w:r>
    </w:p>
    <w:p>
      <w:pPr>
        <w:numPr>
          <w:ilvl w:val="0"/>
          <w:numId w:val="2"/>
        </w:numPr>
        <w:spacing w:line="360" w:lineRule="auto"/>
        <w:rPr>
          <w:rFonts w:ascii="宋体" w:hAnsi="宋体" w:cs="等线"/>
          <w:b/>
          <w:szCs w:val="21"/>
          <w:highlight w:val="none"/>
        </w:rPr>
      </w:pPr>
      <w:r>
        <w:rPr>
          <w:rFonts w:hint="eastAsia" w:ascii="宋体" w:hAnsi="宋体" w:cs="等线"/>
          <w:b/>
          <w:szCs w:val="21"/>
          <w:highlight w:val="none"/>
          <w:lang w:val="en-US" w:eastAsia="zh-CN"/>
        </w:rPr>
        <w:t>现场演示</w:t>
      </w:r>
      <w:r>
        <w:rPr>
          <w:rFonts w:hint="eastAsia" w:ascii="宋体" w:hAnsi="宋体" w:cs="等线"/>
          <w:b/>
          <w:szCs w:val="21"/>
          <w:highlight w:val="none"/>
        </w:rPr>
        <w:t>要求：</w:t>
      </w:r>
    </w:p>
    <w:p>
      <w:pPr>
        <w:spacing w:line="360" w:lineRule="auto"/>
        <w:ind w:left="420"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投标人需做好向评标委员会演示投报设备</w:t>
      </w:r>
      <w:r>
        <w:rPr>
          <w:rFonts w:hint="eastAsia" w:ascii="宋体" w:hAnsi="宋体" w:eastAsia="宋体" w:cs="宋体"/>
          <w:b/>
          <w:color w:val="auto"/>
          <w:sz w:val="21"/>
          <w:szCs w:val="21"/>
          <w:highlight w:val="none"/>
          <w:lang w:val="en-US" w:eastAsia="zh-CN"/>
        </w:rPr>
        <w:t>智能充电桩</w:t>
      </w:r>
      <w:r>
        <w:rPr>
          <w:rFonts w:hint="eastAsia" w:ascii="宋体" w:hAnsi="宋体" w:eastAsia="宋体" w:cs="宋体"/>
          <w:b/>
          <w:color w:val="auto"/>
          <w:sz w:val="21"/>
          <w:szCs w:val="21"/>
          <w:highlight w:val="none"/>
        </w:rPr>
        <w:t>相关功能及演示所需设备的准备，各投标单位演示时间为不超过10分钟</w:t>
      </w:r>
      <w:r>
        <w:rPr>
          <w:rFonts w:hint="eastAsia" w:ascii="宋体" w:hAnsi="宋体" w:cs="宋体"/>
          <w:b/>
          <w:color w:val="auto"/>
          <w:sz w:val="21"/>
          <w:szCs w:val="21"/>
          <w:highlight w:val="none"/>
          <w:lang w:eastAsia="zh-CN"/>
        </w:rPr>
        <w:t>。</w:t>
      </w:r>
    </w:p>
    <w:p>
      <w:pPr>
        <w:numPr>
          <w:ilvl w:val="0"/>
          <w:numId w:val="9"/>
        </w:numPr>
        <w:spacing w:line="360" w:lineRule="auto"/>
        <w:ind w:left="1265" w:leftChars="0" w:hanging="425"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演示内容及要求如下：</w:t>
      </w:r>
    </w:p>
    <w:p>
      <w:pPr>
        <w:pStyle w:val="4"/>
        <w:rPr>
          <w:rFonts w:hint="eastAsia" w:ascii="宋体" w:hAnsi="宋体" w:eastAsia="宋体" w:cs="宋体"/>
          <w:color w:val="auto"/>
          <w:sz w:val="21"/>
          <w:szCs w:val="21"/>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318"/>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99" w:type="dxa"/>
            <w:noWrap w:val="0"/>
            <w:vAlign w:val="center"/>
          </w:tcPr>
          <w:p>
            <w:pPr>
              <w:widowControl/>
              <w:spacing w:line="360" w:lineRule="auto"/>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序号</w:t>
            </w:r>
          </w:p>
        </w:tc>
        <w:tc>
          <w:tcPr>
            <w:tcW w:w="2318" w:type="dxa"/>
            <w:noWrap w:val="0"/>
            <w:vAlign w:val="center"/>
          </w:tcPr>
          <w:p>
            <w:pPr>
              <w:widowControl/>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演示内容</w:t>
            </w:r>
          </w:p>
        </w:tc>
        <w:tc>
          <w:tcPr>
            <w:tcW w:w="5854" w:type="dxa"/>
            <w:noWrap w:val="0"/>
            <w:vAlign w:val="center"/>
          </w:tcPr>
          <w:p>
            <w:pPr>
              <w:widowControl/>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演示要求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99" w:type="dxa"/>
            <w:noWrap w:val="0"/>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1</w:t>
            </w:r>
          </w:p>
        </w:tc>
        <w:tc>
          <w:tcPr>
            <w:tcW w:w="2318" w:type="dxa"/>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充电模式</w:t>
            </w:r>
          </w:p>
        </w:tc>
        <w:tc>
          <w:tcPr>
            <w:tcW w:w="5854" w:type="dxa"/>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演示扫码、刷卡充电</w:t>
            </w:r>
            <w:r>
              <w:rPr>
                <w:rFonts w:hint="eastAsia" w:ascii="宋体" w:hAnsi="宋体" w:eastAsia="宋体" w:cs="宋体"/>
                <w:color w:val="auto"/>
                <w:sz w:val="21"/>
                <w:szCs w:val="21"/>
                <w:lang w:eastAsia="zh-CN"/>
              </w:rPr>
              <w:t>、</w:t>
            </w:r>
            <w:r>
              <w:rPr>
                <w:rFonts w:hint="eastAsia" w:ascii="宋体" w:hAnsi="宋体" w:cs="宋体"/>
                <w:szCs w:val="21"/>
              </w:rPr>
              <w:t>、投币充电</w:t>
            </w:r>
            <w:r>
              <w:rPr>
                <w:rFonts w:hint="eastAsia" w:ascii="宋体" w:hAnsi="宋体" w:eastAsia="宋体" w:cs="宋体"/>
                <w:color w:val="auto"/>
                <w:sz w:val="21"/>
                <w:szCs w:val="21"/>
              </w:rPr>
              <w:t>功能，提示“开始充电”，完整流畅。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99"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18" w:type="dxa"/>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平台实时监控功能</w:t>
            </w:r>
          </w:p>
        </w:tc>
        <w:tc>
          <w:tcPr>
            <w:tcW w:w="5854" w:type="dxa"/>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演示调取任意一个</w:t>
            </w:r>
            <w:r>
              <w:rPr>
                <w:rFonts w:hint="eastAsia" w:ascii="宋体" w:hAnsi="宋体" w:eastAsia="宋体" w:cs="宋体"/>
                <w:color w:val="auto"/>
                <w:sz w:val="21"/>
                <w:szCs w:val="21"/>
                <w:lang w:eastAsia="zh-CN"/>
              </w:rPr>
              <w:t>智能充电桩</w:t>
            </w:r>
            <w:r>
              <w:rPr>
                <w:rFonts w:hint="eastAsia" w:ascii="宋体" w:hAnsi="宋体" w:eastAsia="宋体" w:cs="宋体"/>
                <w:color w:val="auto"/>
                <w:sz w:val="21"/>
                <w:szCs w:val="21"/>
              </w:rPr>
              <w:t>的状态（在线或离线情况、空闲的回路、充电中的回路、故障的回路、位置等；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99"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18" w:type="dxa"/>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支持用户移动端查看</w:t>
            </w:r>
            <w:r>
              <w:rPr>
                <w:rFonts w:hint="eastAsia" w:ascii="宋体" w:hAnsi="宋体" w:eastAsia="宋体" w:cs="宋体"/>
                <w:color w:val="auto"/>
                <w:sz w:val="21"/>
                <w:szCs w:val="21"/>
                <w:lang w:eastAsia="zh-CN"/>
              </w:rPr>
              <w:t>智能充电桩</w:t>
            </w:r>
            <w:r>
              <w:rPr>
                <w:rFonts w:hint="eastAsia" w:ascii="宋体" w:hAnsi="宋体" w:eastAsia="宋体" w:cs="宋体"/>
                <w:color w:val="auto"/>
                <w:sz w:val="21"/>
                <w:szCs w:val="21"/>
              </w:rPr>
              <w:t>实时状态</w:t>
            </w:r>
          </w:p>
        </w:tc>
        <w:tc>
          <w:tcPr>
            <w:tcW w:w="585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演示用户移动端查看附近所有</w:t>
            </w:r>
            <w:r>
              <w:rPr>
                <w:rFonts w:hint="eastAsia" w:ascii="宋体" w:hAnsi="宋体" w:eastAsia="宋体" w:cs="宋体"/>
                <w:color w:val="auto"/>
                <w:sz w:val="21"/>
                <w:szCs w:val="21"/>
                <w:lang w:eastAsia="zh-CN"/>
              </w:rPr>
              <w:t>智能充电桩</w:t>
            </w:r>
            <w:r>
              <w:rPr>
                <w:rFonts w:hint="eastAsia" w:ascii="宋体" w:hAnsi="宋体" w:eastAsia="宋体" w:cs="宋体"/>
                <w:color w:val="auto"/>
                <w:sz w:val="21"/>
                <w:szCs w:val="21"/>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99" w:type="dxa"/>
            <w:noWrap w:val="0"/>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318" w:type="dxa"/>
            <w:noWrap w:val="0"/>
            <w:vAlign w:val="center"/>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管理员移动端查看</w:t>
            </w:r>
            <w:r>
              <w:rPr>
                <w:rFonts w:hint="eastAsia" w:ascii="宋体" w:hAnsi="宋体" w:eastAsia="宋体" w:cs="宋体"/>
                <w:color w:val="auto"/>
                <w:sz w:val="21"/>
                <w:szCs w:val="21"/>
                <w:lang w:eastAsia="zh-CN"/>
              </w:rPr>
              <w:t>智能充电桩</w:t>
            </w:r>
            <w:r>
              <w:rPr>
                <w:rFonts w:hint="eastAsia" w:ascii="宋体" w:hAnsi="宋体" w:eastAsia="宋体" w:cs="宋体"/>
                <w:color w:val="auto"/>
                <w:sz w:val="21"/>
                <w:szCs w:val="21"/>
              </w:rPr>
              <w:t>实时状态</w:t>
            </w:r>
          </w:p>
        </w:tc>
        <w:tc>
          <w:tcPr>
            <w:tcW w:w="585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演示理员移动端需具备查看附近所有</w:t>
            </w:r>
            <w:r>
              <w:rPr>
                <w:rFonts w:hint="eastAsia" w:ascii="宋体" w:hAnsi="宋体" w:eastAsia="宋体" w:cs="宋体"/>
                <w:color w:val="auto"/>
                <w:sz w:val="21"/>
                <w:szCs w:val="21"/>
                <w:lang w:eastAsia="zh-CN"/>
              </w:rPr>
              <w:t>智能充电桩</w:t>
            </w:r>
            <w:r>
              <w:rPr>
                <w:rFonts w:hint="eastAsia" w:ascii="宋体" w:hAnsi="宋体" w:eastAsia="宋体" w:cs="宋体"/>
                <w:color w:val="auto"/>
                <w:sz w:val="21"/>
                <w:szCs w:val="21"/>
              </w:rPr>
              <w:t>工作情况。</w:t>
            </w:r>
          </w:p>
        </w:tc>
      </w:tr>
    </w:tbl>
    <w:p>
      <w:pPr>
        <w:numPr>
          <w:ilvl w:val="0"/>
          <w:numId w:val="0"/>
        </w:numPr>
        <w:spacing w:line="360" w:lineRule="auto"/>
        <w:ind w:left="840" w:leftChars="0"/>
        <w:rPr>
          <w:rFonts w:hint="eastAsia" w:ascii="宋体" w:hAnsi="宋体" w:eastAsia="宋体" w:cs="宋体"/>
          <w:b/>
          <w:color w:val="auto"/>
          <w:sz w:val="21"/>
          <w:szCs w:val="21"/>
          <w:highlight w:val="none"/>
        </w:rPr>
      </w:pPr>
    </w:p>
    <w:p>
      <w:pPr>
        <w:numPr>
          <w:ilvl w:val="0"/>
          <w:numId w:val="9"/>
        </w:numPr>
        <w:spacing w:line="360" w:lineRule="auto"/>
        <w:ind w:left="1265" w:leftChars="0" w:hanging="425"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演示</w:t>
      </w:r>
      <w:r>
        <w:rPr>
          <w:rFonts w:hint="eastAsia" w:ascii="宋体" w:hAnsi="宋体" w:eastAsia="宋体" w:cs="宋体"/>
          <w:b/>
          <w:color w:val="auto"/>
          <w:sz w:val="21"/>
          <w:szCs w:val="21"/>
          <w:highlight w:val="none"/>
          <w:lang w:val="en-US" w:eastAsia="zh-CN"/>
        </w:rPr>
        <w:t>时间地点</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另行通知。</w:t>
      </w:r>
    </w:p>
    <w:p>
      <w:pPr>
        <w:numPr>
          <w:ilvl w:val="0"/>
          <w:numId w:val="2"/>
        </w:numPr>
        <w:spacing w:line="440" w:lineRule="exact"/>
        <w:rPr>
          <w:rFonts w:ascii="宋体" w:hAnsi="宋体" w:cs="等线"/>
          <w:b/>
          <w:color w:val="auto"/>
          <w:sz w:val="21"/>
          <w:szCs w:val="21"/>
        </w:rPr>
      </w:pPr>
      <w:r>
        <w:rPr>
          <w:rFonts w:hint="eastAsia" w:ascii="宋体" w:hAnsi="宋体" w:cs="等线"/>
          <w:b/>
          <w:color w:val="auto"/>
          <w:sz w:val="21"/>
          <w:szCs w:val="21"/>
        </w:rPr>
        <w:t>服务要求：</w:t>
      </w:r>
    </w:p>
    <w:p>
      <w:pPr>
        <w:pStyle w:val="4"/>
        <w:ind w:firstLine="0"/>
        <w:rPr>
          <w:sz w:val="21"/>
          <w:szCs w:val="21"/>
        </w:rPr>
      </w:pPr>
    </w:p>
    <w:p>
      <w:pPr>
        <w:numPr>
          <w:ilvl w:val="0"/>
          <w:numId w:val="10"/>
        </w:numPr>
        <w:tabs>
          <w:tab w:val="left" w:pos="284"/>
        </w:tabs>
        <w:adjustRightInd w:val="0"/>
        <w:snapToGrid w:val="0"/>
        <w:spacing w:line="360" w:lineRule="auto"/>
        <w:ind w:left="1265" w:leftChars="0"/>
        <w:rPr>
          <w:rFonts w:ascii="宋体" w:hAnsi="宋体" w:cs="宋体"/>
          <w:b/>
          <w:bCs/>
          <w:sz w:val="21"/>
          <w:szCs w:val="21"/>
        </w:rPr>
      </w:pPr>
      <w:r>
        <w:rPr>
          <w:rFonts w:hint="eastAsia" w:ascii="宋体" w:hAnsi="宋体" w:cs="宋体"/>
          <w:b/>
          <w:bCs/>
          <w:sz w:val="21"/>
          <w:szCs w:val="21"/>
        </w:rPr>
        <w:t>交货时间：合同签订后30天内完成供货、安装调试到位并通过验收，确保施工安全。</w:t>
      </w:r>
    </w:p>
    <w:p>
      <w:pPr>
        <w:numPr>
          <w:ilvl w:val="0"/>
          <w:numId w:val="10"/>
        </w:numPr>
        <w:tabs>
          <w:tab w:val="left" w:pos="284"/>
        </w:tabs>
        <w:adjustRightInd w:val="0"/>
        <w:snapToGrid w:val="0"/>
        <w:spacing w:line="360" w:lineRule="auto"/>
        <w:ind w:left="1265" w:leftChars="0"/>
        <w:rPr>
          <w:rFonts w:ascii="宋体" w:hAnsi="宋体"/>
          <w:b/>
          <w:sz w:val="21"/>
          <w:szCs w:val="21"/>
        </w:rPr>
      </w:pPr>
      <w:r>
        <w:rPr>
          <w:rFonts w:hint="eastAsia" w:ascii="宋体" w:hAnsi="宋体" w:cs="宋体"/>
          <w:b/>
          <w:bCs/>
          <w:sz w:val="21"/>
          <w:szCs w:val="21"/>
        </w:rPr>
        <w:t>平台服务期及免费维保期要求：本项目包含购买运营平台服务期三年，设备免费维保期要求不少于3年。</w:t>
      </w:r>
    </w:p>
    <w:p>
      <w:pPr>
        <w:numPr>
          <w:ilvl w:val="0"/>
          <w:numId w:val="10"/>
        </w:numPr>
        <w:tabs>
          <w:tab w:val="left" w:pos="284"/>
        </w:tabs>
        <w:adjustRightInd w:val="0"/>
        <w:snapToGrid w:val="0"/>
        <w:spacing w:line="360" w:lineRule="auto"/>
        <w:ind w:left="1265" w:leftChars="0"/>
        <w:rPr>
          <w:rFonts w:ascii="宋体" w:hAnsi="宋体"/>
          <w:b/>
          <w:sz w:val="21"/>
          <w:szCs w:val="21"/>
        </w:rPr>
      </w:pPr>
      <w:r>
        <w:rPr>
          <w:rFonts w:hint="eastAsia" w:ascii="宋体" w:hAnsi="宋体"/>
          <w:b/>
          <w:sz w:val="21"/>
          <w:szCs w:val="21"/>
        </w:rPr>
        <w:t>项目配备人员要求：</w:t>
      </w:r>
    </w:p>
    <w:p>
      <w:pPr>
        <w:spacing w:line="360" w:lineRule="auto"/>
        <w:ind w:left="420" w:firstLine="420" w:firstLineChars="200"/>
        <w:rPr>
          <w:sz w:val="21"/>
          <w:szCs w:val="21"/>
        </w:rPr>
      </w:pPr>
      <w:r>
        <w:rPr>
          <w:rFonts w:hint="eastAsia"/>
          <w:sz w:val="21"/>
          <w:szCs w:val="21"/>
        </w:rPr>
        <w:t>投标人拟投派的项目负责人需持有机电工程专业</w:t>
      </w:r>
      <w:r>
        <w:rPr>
          <w:rFonts w:hint="eastAsia"/>
          <w:sz w:val="21"/>
          <w:szCs w:val="21"/>
          <w:lang w:val="en-US" w:eastAsia="zh-CN"/>
        </w:rPr>
        <w:t>技术职称</w:t>
      </w:r>
      <w:r>
        <w:rPr>
          <w:rFonts w:hint="eastAsia"/>
          <w:sz w:val="21"/>
          <w:szCs w:val="21"/>
        </w:rPr>
        <w:t>证书，安装人员需持有（电工、焊工专业）特殊工种操作证书。</w:t>
      </w:r>
    </w:p>
    <w:p>
      <w:pPr>
        <w:tabs>
          <w:tab w:val="left" w:pos="284"/>
        </w:tabs>
        <w:adjustRightInd w:val="0"/>
        <w:snapToGrid w:val="0"/>
        <w:spacing w:line="360" w:lineRule="auto"/>
        <w:ind w:left="420"/>
        <w:rPr>
          <w:rFonts w:ascii="宋体" w:hAnsi="宋体" w:cs="宋体"/>
          <w:color w:val="FF0000"/>
          <w:sz w:val="21"/>
          <w:szCs w:val="21"/>
        </w:rPr>
      </w:pPr>
    </w:p>
    <w:sectPr>
      <w:footerReference r:id="rId3" w:type="default"/>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201E"/>
    <w:multiLevelType w:val="singleLevel"/>
    <w:tmpl w:val="833F201E"/>
    <w:lvl w:ilvl="0" w:tentative="0">
      <w:start w:val="1"/>
      <w:numFmt w:val="decimal"/>
      <w:lvlText w:val="%1."/>
      <w:lvlJc w:val="left"/>
      <w:pPr>
        <w:ind w:left="425" w:hanging="425"/>
      </w:pPr>
      <w:rPr>
        <w:rFonts w:hint="default"/>
      </w:rPr>
    </w:lvl>
  </w:abstractNum>
  <w:abstractNum w:abstractNumId="1">
    <w:nsid w:val="A18D45A1"/>
    <w:multiLevelType w:val="singleLevel"/>
    <w:tmpl w:val="A18D45A1"/>
    <w:lvl w:ilvl="0" w:tentative="0">
      <w:start w:val="1"/>
      <w:numFmt w:val="chineseCounting"/>
      <w:suff w:val="nothing"/>
      <w:lvlText w:val="（%1）"/>
      <w:lvlJc w:val="left"/>
      <w:pPr>
        <w:ind w:left="0" w:firstLine="420"/>
      </w:pPr>
      <w:rPr>
        <w:rFonts w:hint="eastAsia"/>
      </w:rPr>
    </w:lvl>
  </w:abstractNum>
  <w:abstractNum w:abstractNumId="2">
    <w:nsid w:val="A65290CB"/>
    <w:multiLevelType w:val="singleLevel"/>
    <w:tmpl w:val="A65290CB"/>
    <w:lvl w:ilvl="0" w:tentative="0">
      <w:start w:val="1"/>
      <w:numFmt w:val="decimal"/>
      <w:lvlText w:val="%1."/>
      <w:lvlJc w:val="left"/>
      <w:pPr>
        <w:tabs>
          <w:tab w:val="left" w:pos="840"/>
        </w:tabs>
        <w:ind w:left="1265" w:hanging="425"/>
      </w:pPr>
      <w:rPr>
        <w:rFonts w:hint="default"/>
      </w:rPr>
    </w:lvl>
  </w:abstractNum>
  <w:abstractNum w:abstractNumId="3">
    <w:nsid w:val="BFCCB23C"/>
    <w:multiLevelType w:val="singleLevel"/>
    <w:tmpl w:val="BFCCB23C"/>
    <w:lvl w:ilvl="0" w:tentative="0">
      <w:start w:val="1"/>
      <w:numFmt w:val="chineseCounting"/>
      <w:suff w:val="nothing"/>
      <w:lvlText w:val="%1、"/>
      <w:lvlJc w:val="left"/>
      <w:pPr>
        <w:ind w:left="0" w:firstLine="420"/>
      </w:pPr>
      <w:rPr>
        <w:rFonts w:hint="eastAsia"/>
      </w:rPr>
    </w:lvl>
  </w:abstractNum>
  <w:abstractNum w:abstractNumId="4">
    <w:nsid w:val="D0C703DB"/>
    <w:multiLevelType w:val="singleLevel"/>
    <w:tmpl w:val="D0C703DB"/>
    <w:lvl w:ilvl="0" w:tentative="0">
      <w:start w:val="1"/>
      <w:numFmt w:val="decimal"/>
      <w:lvlText w:val="%1."/>
      <w:lvlJc w:val="left"/>
      <w:pPr>
        <w:ind w:left="425" w:hanging="425"/>
      </w:pPr>
      <w:rPr>
        <w:rFonts w:hint="default"/>
      </w:rPr>
    </w:lvl>
  </w:abstractNum>
  <w:abstractNum w:abstractNumId="5">
    <w:nsid w:val="DB4D7E58"/>
    <w:multiLevelType w:val="singleLevel"/>
    <w:tmpl w:val="DB4D7E58"/>
    <w:lvl w:ilvl="0" w:tentative="0">
      <w:start w:val="1"/>
      <w:numFmt w:val="bullet"/>
      <w:lvlText w:val=""/>
      <w:lvlJc w:val="left"/>
      <w:pPr>
        <w:tabs>
          <w:tab w:val="left" w:pos="420"/>
        </w:tabs>
        <w:ind w:left="840" w:hanging="420"/>
      </w:pPr>
      <w:rPr>
        <w:rFonts w:hint="default" w:ascii="Wingdings" w:hAnsi="Wingdings"/>
      </w:rPr>
    </w:lvl>
  </w:abstractNum>
  <w:abstractNum w:abstractNumId="6">
    <w:nsid w:val="08DDE593"/>
    <w:multiLevelType w:val="singleLevel"/>
    <w:tmpl w:val="08DDE593"/>
    <w:lvl w:ilvl="0" w:tentative="0">
      <w:start w:val="1"/>
      <w:numFmt w:val="decimal"/>
      <w:lvlText w:val="%1."/>
      <w:lvlJc w:val="left"/>
      <w:pPr>
        <w:ind w:left="425" w:hanging="425"/>
      </w:pPr>
      <w:rPr>
        <w:rFonts w:hint="default"/>
      </w:rPr>
    </w:lvl>
  </w:abstractNum>
  <w:abstractNum w:abstractNumId="7">
    <w:nsid w:val="5B14B031"/>
    <w:multiLevelType w:val="singleLevel"/>
    <w:tmpl w:val="5B14B031"/>
    <w:lvl w:ilvl="0" w:tentative="0">
      <w:start w:val="1"/>
      <w:numFmt w:val="decimal"/>
      <w:lvlText w:val="%1."/>
      <w:lvlJc w:val="left"/>
      <w:pPr>
        <w:ind w:left="425" w:hanging="425"/>
      </w:pPr>
      <w:rPr>
        <w:rFonts w:hint="default"/>
      </w:rPr>
    </w:lvl>
  </w:abstractNum>
  <w:abstractNum w:abstractNumId="8">
    <w:nsid w:val="5CD1DE26"/>
    <w:multiLevelType w:val="singleLevel"/>
    <w:tmpl w:val="5CD1DE26"/>
    <w:lvl w:ilvl="0" w:tentative="0">
      <w:start w:val="1"/>
      <w:numFmt w:val="chineseCounting"/>
      <w:pStyle w:val="19"/>
      <w:suff w:val="nothing"/>
      <w:lvlText w:val="%1、"/>
      <w:lvlJc w:val="left"/>
      <w:pPr>
        <w:ind w:left="0" w:firstLine="420"/>
      </w:pPr>
      <w:rPr>
        <w:rFonts w:hint="eastAsia"/>
      </w:rPr>
    </w:lvl>
  </w:abstractNum>
  <w:abstractNum w:abstractNumId="9">
    <w:nsid w:val="600F814A"/>
    <w:multiLevelType w:val="multilevel"/>
    <w:tmpl w:val="600F814A"/>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8"/>
  </w:num>
  <w:num w:numId="2">
    <w:abstractNumId w:val="3"/>
  </w:num>
  <w:num w:numId="3">
    <w:abstractNumId w:val="5"/>
  </w:num>
  <w:num w:numId="4">
    <w:abstractNumId w:val="1"/>
  </w:num>
  <w:num w:numId="5">
    <w:abstractNumId w:val="4"/>
  </w:num>
  <w:num w:numId="6">
    <w:abstractNumId w:val="7"/>
  </w:num>
  <w:num w:numId="7">
    <w:abstractNumId w:val="0"/>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0A"/>
    <w:rsid w:val="000964EE"/>
    <w:rsid w:val="000B140A"/>
    <w:rsid w:val="000C42CD"/>
    <w:rsid w:val="00120690"/>
    <w:rsid w:val="0015647A"/>
    <w:rsid w:val="001C6E62"/>
    <w:rsid w:val="00267A21"/>
    <w:rsid w:val="002E1FA3"/>
    <w:rsid w:val="003D2B1D"/>
    <w:rsid w:val="004D48E2"/>
    <w:rsid w:val="00523382"/>
    <w:rsid w:val="00627CFF"/>
    <w:rsid w:val="006D1C35"/>
    <w:rsid w:val="006E4C5C"/>
    <w:rsid w:val="006F31A5"/>
    <w:rsid w:val="008C3359"/>
    <w:rsid w:val="00C33922"/>
    <w:rsid w:val="00CB24A6"/>
    <w:rsid w:val="00D15AC9"/>
    <w:rsid w:val="00E25105"/>
    <w:rsid w:val="00EF3E83"/>
    <w:rsid w:val="013B08AD"/>
    <w:rsid w:val="025C29C0"/>
    <w:rsid w:val="02840660"/>
    <w:rsid w:val="02C668A4"/>
    <w:rsid w:val="02E15439"/>
    <w:rsid w:val="032F03D6"/>
    <w:rsid w:val="03631BCC"/>
    <w:rsid w:val="061A34A7"/>
    <w:rsid w:val="07996761"/>
    <w:rsid w:val="07EB7CC8"/>
    <w:rsid w:val="08237F56"/>
    <w:rsid w:val="09A35A5E"/>
    <w:rsid w:val="09B11365"/>
    <w:rsid w:val="0A4D4E02"/>
    <w:rsid w:val="0A905A57"/>
    <w:rsid w:val="0AB44479"/>
    <w:rsid w:val="0C114A14"/>
    <w:rsid w:val="0C1A001E"/>
    <w:rsid w:val="0D5F02C0"/>
    <w:rsid w:val="0D9F08DD"/>
    <w:rsid w:val="0E4901BC"/>
    <w:rsid w:val="0EFA6440"/>
    <w:rsid w:val="12924743"/>
    <w:rsid w:val="13586A83"/>
    <w:rsid w:val="138A0F52"/>
    <w:rsid w:val="15CD1E52"/>
    <w:rsid w:val="1758367F"/>
    <w:rsid w:val="17E2415B"/>
    <w:rsid w:val="19054CA7"/>
    <w:rsid w:val="19145C16"/>
    <w:rsid w:val="1AEF0D85"/>
    <w:rsid w:val="1CF76D63"/>
    <w:rsid w:val="1D233A3C"/>
    <w:rsid w:val="1D433B93"/>
    <w:rsid w:val="1DFF275C"/>
    <w:rsid w:val="1EFE5D90"/>
    <w:rsid w:val="1F1C4B89"/>
    <w:rsid w:val="20557C9F"/>
    <w:rsid w:val="2067023B"/>
    <w:rsid w:val="20B63C89"/>
    <w:rsid w:val="220456E7"/>
    <w:rsid w:val="220F7D65"/>
    <w:rsid w:val="26674529"/>
    <w:rsid w:val="26861F91"/>
    <w:rsid w:val="27242DE7"/>
    <w:rsid w:val="27F3336D"/>
    <w:rsid w:val="2815645D"/>
    <w:rsid w:val="28335ADD"/>
    <w:rsid w:val="287F4B1A"/>
    <w:rsid w:val="28863D99"/>
    <w:rsid w:val="290D2B86"/>
    <w:rsid w:val="2987633A"/>
    <w:rsid w:val="29E2581E"/>
    <w:rsid w:val="2A54494A"/>
    <w:rsid w:val="2A7219EF"/>
    <w:rsid w:val="2A751121"/>
    <w:rsid w:val="2B2738E3"/>
    <w:rsid w:val="2B486078"/>
    <w:rsid w:val="2B6735E4"/>
    <w:rsid w:val="2D482139"/>
    <w:rsid w:val="2E0C353D"/>
    <w:rsid w:val="2E296167"/>
    <w:rsid w:val="2E535200"/>
    <w:rsid w:val="30186D61"/>
    <w:rsid w:val="325F21BF"/>
    <w:rsid w:val="33C2459F"/>
    <w:rsid w:val="3443669E"/>
    <w:rsid w:val="35C725C4"/>
    <w:rsid w:val="369A7277"/>
    <w:rsid w:val="36AC5035"/>
    <w:rsid w:val="370568BE"/>
    <w:rsid w:val="371544B5"/>
    <w:rsid w:val="3A9F2387"/>
    <w:rsid w:val="3AFD3209"/>
    <w:rsid w:val="3B20130E"/>
    <w:rsid w:val="3BDC2923"/>
    <w:rsid w:val="3D1B0D22"/>
    <w:rsid w:val="3D274AEF"/>
    <w:rsid w:val="3DB94393"/>
    <w:rsid w:val="3E3B7067"/>
    <w:rsid w:val="3E957009"/>
    <w:rsid w:val="4024697B"/>
    <w:rsid w:val="40542F2E"/>
    <w:rsid w:val="40DF7BE1"/>
    <w:rsid w:val="40F861E4"/>
    <w:rsid w:val="42847480"/>
    <w:rsid w:val="435864FC"/>
    <w:rsid w:val="437671B8"/>
    <w:rsid w:val="43BA0C33"/>
    <w:rsid w:val="4413301C"/>
    <w:rsid w:val="44E80793"/>
    <w:rsid w:val="47164E80"/>
    <w:rsid w:val="47B37ACB"/>
    <w:rsid w:val="48144C79"/>
    <w:rsid w:val="49806219"/>
    <w:rsid w:val="49887E19"/>
    <w:rsid w:val="4A7B030E"/>
    <w:rsid w:val="4AF25433"/>
    <w:rsid w:val="4C0927FD"/>
    <w:rsid w:val="4C354E0A"/>
    <w:rsid w:val="4D400283"/>
    <w:rsid w:val="4D48379F"/>
    <w:rsid w:val="4DBE1107"/>
    <w:rsid w:val="4E572D73"/>
    <w:rsid w:val="4FFA6DAF"/>
    <w:rsid w:val="50CB755F"/>
    <w:rsid w:val="52A936F2"/>
    <w:rsid w:val="52B56483"/>
    <w:rsid w:val="53007B86"/>
    <w:rsid w:val="538964BC"/>
    <w:rsid w:val="55163F39"/>
    <w:rsid w:val="57EB77F4"/>
    <w:rsid w:val="57ED31C3"/>
    <w:rsid w:val="58491364"/>
    <w:rsid w:val="589F19A8"/>
    <w:rsid w:val="598D2144"/>
    <w:rsid w:val="5AA30099"/>
    <w:rsid w:val="5AC86A9B"/>
    <w:rsid w:val="5B0C6785"/>
    <w:rsid w:val="5B5414D7"/>
    <w:rsid w:val="5B7B1339"/>
    <w:rsid w:val="5BD44807"/>
    <w:rsid w:val="5C393256"/>
    <w:rsid w:val="5D952AC0"/>
    <w:rsid w:val="5DE74E98"/>
    <w:rsid w:val="5ED5259E"/>
    <w:rsid w:val="5F1C40D8"/>
    <w:rsid w:val="5F3849F4"/>
    <w:rsid w:val="5F942872"/>
    <w:rsid w:val="601172CC"/>
    <w:rsid w:val="60906AC2"/>
    <w:rsid w:val="620834FF"/>
    <w:rsid w:val="62192FCC"/>
    <w:rsid w:val="62C820E4"/>
    <w:rsid w:val="646D21E4"/>
    <w:rsid w:val="648A2EA9"/>
    <w:rsid w:val="64917D6B"/>
    <w:rsid w:val="64D2692D"/>
    <w:rsid w:val="65CD06B0"/>
    <w:rsid w:val="661C5A84"/>
    <w:rsid w:val="66313E55"/>
    <w:rsid w:val="67EC57BC"/>
    <w:rsid w:val="68267C54"/>
    <w:rsid w:val="68504E23"/>
    <w:rsid w:val="69B05F2D"/>
    <w:rsid w:val="69C4425C"/>
    <w:rsid w:val="6A1B0990"/>
    <w:rsid w:val="6A541F44"/>
    <w:rsid w:val="6AAB772A"/>
    <w:rsid w:val="6AE9382B"/>
    <w:rsid w:val="6C4F65AA"/>
    <w:rsid w:val="6CAB58D8"/>
    <w:rsid w:val="6D3D75DE"/>
    <w:rsid w:val="6FF94479"/>
    <w:rsid w:val="7061637B"/>
    <w:rsid w:val="706B3136"/>
    <w:rsid w:val="70845BB9"/>
    <w:rsid w:val="70EA33E5"/>
    <w:rsid w:val="731825A5"/>
    <w:rsid w:val="735116FC"/>
    <w:rsid w:val="73EA1338"/>
    <w:rsid w:val="74C76F69"/>
    <w:rsid w:val="755C6BCB"/>
    <w:rsid w:val="755E0904"/>
    <w:rsid w:val="759B3D79"/>
    <w:rsid w:val="76716749"/>
    <w:rsid w:val="78D94E3A"/>
    <w:rsid w:val="79966B4F"/>
    <w:rsid w:val="79C02381"/>
    <w:rsid w:val="7A4C4BF0"/>
    <w:rsid w:val="7ACA40EF"/>
    <w:rsid w:val="7B2C6C42"/>
    <w:rsid w:val="7B9A6537"/>
    <w:rsid w:val="7BC317BA"/>
    <w:rsid w:val="7C21574B"/>
    <w:rsid w:val="7D576D76"/>
    <w:rsid w:val="7D62496D"/>
    <w:rsid w:val="7E925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Plain Text"/>
    <w:basedOn w:val="1"/>
    <w:qFormat/>
    <w:uiPriority w:val="99"/>
    <w:rPr>
      <w:rFonts w:ascii="宋体" w:hAnsi="Courier New"/>
      <w:szCs w:val="20"/>
    </w:rPr>
  </w:style>
  <w:style w:type="paragraph" w:styleId="6">
    <w:name w:val="Balloon Text"/>
    <w:basedOn w:val="1"/>
    <w:link w:val="21"/>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0"/>
    <w:rPr>
      <w:i/>
    </w:rPr>
  </w:style>
  <w:style w:type="paragraph" w:customStyle="1" w:styleId="14">
    <w:name w:val="无间隔1"/>
    <w:basedOn w:val="1"/>
    <w:qFormat/>
    <w:uiPriority w:val="1"/>
    <w:pPr>
      <w:spacing w:line="400" w:lineRule="exact"/>
    </w:pPr>
    <w:rPr>
      <w:sz w:val="24"/>
    </w:rPr>
  </w:style>
  <w:style w:type="paragraph" w:styleId="15">
    <w:name w:val="List Paragraph"/>
    <w:basedOn w:val="1"/>
    <w:qFormat/>
    <w:uiPriority w:val="99"/>
    <w:pPr>
      <w:ind w:firstLine="420" w:firstLineChars="200"/>
    </w:pPr>
  </w:style>
  <w:style w:type="character" w:customStyle="1" w:styleId="16">
    <w:name w:val="页眉 Char"/>
    <w:basedOn w:val="11"/>
    <w:link w:val="8"/>
    <w:qFormat/>
    <w:uiPriority w:val="0"/>
    <w:rPr>
      <w:rFonts w:ascii="Calibri" w:hAnsi="Calibri"/>
      <w:kern w:val="2"/>
      <w:sz w:val="18"/>
      <w:szCs w:val="18"/>
    </w:rPr>
  </w:style>
  <w:style w:type="character" w:customStyle="1" w:styleId="17">
    <w:name w:val="页脚 Char"/>
    <w:basedOn w:val="11"/>
    <w:link w:val="7"/>
    <w:qFormat/>
    <w:uiPriority w:val="99"/>
    <w:rPr>
      <w:rFonts w:ascii="Calibri" w:hAnsi="Calibri"/>
      <w:kern w:val="2"/>
      <w:sz w:val="18"/>
      <w:szCs w:val="18"/>
    </w:rPr>
  </w:style>
  <w:style w:type="paragraph" w:customStyle="1" w:styleId="18">
    <w:name w:val="*正文"/>
    <w:basedOn w:val="1"/>
    <w:next w:val="1"/>
    <w:qFormat/>
    <w:uiPriority w:val="0"/>
    <w:pPr>
      <w:widowControl/>
      <w:ind w:firstLine="482"/>
    </w:pPr>
    <w:rPr>
      <w:rFonts w:ascii="微软雅黑" w:hAnsi="微软雅黑" w:eastAsia="微软雅黑"/>
      <w:kern w:val="0"/>
      <w:szCs w:val="20"/>
    </w:rPr>
  </w:style>
  <w:style w:type="paragraph" w:customStyle="1" w:styleId="19">
    <w:name w:val="正文-带编号1)"/>
    <w:basedOn w:val="1"/>
    <w:qFormat/>
    <w:uiPriority w:val="0"/>
    <w:pPr>
      <w:numPr>
        <w:ilvl w:val="0"/>
        <w:numId w:val="1"/>
      </w:numPr>
      <w:spacing w:line="400" w:lineRule="exact"/>
    </w:pPr>
    <w:rPr>
      <w:rFonts w:ascii="Arial" w:hAnsi="Arial"/>
    </w:rPr>
  </w:style>
  <w:style w:type="paragraph" w:customStyle="1" w:styleId="20">
    <w:name w:val="A正文小四"/>
    <w:basedOn w:val="1"/>
    <w:qFormat/>
    <w:uiPriority w:val="0"/>
    <w:pPr>
      <w:spacing w:line="360" w:lineRule="auto"/>
      <w:ind w:firstLine="200" w:firstLineChars="200"/>
    </w:pPr>
    <w:rPr>
      <w:rFonts w:ascii="Times New Roman" w:hAnsi="Times New Roman"/>
      <w:sz w:val="24"/>
    </w:rPr>
  </w:style>
  <w:style w:type="character" w:customStyle="1" w:styleId="21">
    <w:name w:val="批注框文本 Char"/>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828</Words>
  <Characters>4724</Characters>
  <Lines>39</Lines>
  <Paragraphs>11</Paragraphs>
  <TotalTime>2</TotalTime>
  <ScaleCrop>false</ScaleCrop>
  <LinksUpToDate>false</LinksUpToDate>
  <CharactersWithSpaces>5541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2021-03-22T00:43:00Z</dcterms:created>
  <dc:creator>Administrator</dc:creator>
  <cp:lastModifiedBy>cx003</cp:lastModifiedBy>
  <cp:lastPrinted>2021-03-22T01:17:00Z</cp:lastPrinted>
  <dcterms:modified xsi:type="dcterms:W3CDTF">2021-04-09T07:53:14Z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F5A9F9048851428EBFA09A238E1ACEB7</vt:lpwstr>
  </property>
</Properties>
</file>