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360" w:lineRule="auto"/>
        <w:jc w:val="center"/>
        <w:outlineLvl w:val="1"/>
        <w:rPr>
          <w:rFonts w:hint="eastAsia" w:ascii="宋体" w:hAnsi="宋体" w:eastAsia="宋体" w:cs="宋体"/>
          <w:b/>
          <w:color w:val="auto"/>
          <w:sz w:val="28"/>
          <w:szCs w:val="28"/>
          <w:highlight w:val="none"/>
        </w:rPr>
      </w:pPr>
      <w:bookmarkStart w:id="3" w:name="_GoBack"/>
      <w:bookmarkStart w:id="0" w:name="_Toc4465"/>
      <w:bookmarkStart w:id="1" w:name="_Toc19960"/>
      <w:r>
        <w:rPr>
          <w:rFonts w:hint="eastAsia" w:ascii="宋体" w:hAnsi="宋体" w:eastAsia="宋体" w:cs="宋体"/>
          <w:b/>
          <w:color w:val="auto"/>
          <w:sz w:val="28"/>
          <w:szCs w:val="28"/>
          <w:highlight w:val="none"/>
        </w:rPr>
        <w:t>上海交通职业技术学院</w:t>
      </w:r>
      <w:bookmarkEnd w:id="0"/>
      <w:bookmarkEnd w:id="1"/>
    </w:p>
    <w:p>
      <w:pPr>
        <w:keepNext w:val="0"/>
        <w:keepLines w:val="0"/>
        <w:pageBreakBefore w:val="0"/>
        <w:wordWrap/>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集装箱正面吊教练机及教学套件采购项目招标需求</w:t>
      </w:r>
    </w:p>
    <w:p>
      <w:pPr>
        <w:keepNext w:val="0"/>
        <w:keepLines w:val="0"/>
        <w:pageBreakBefore w:val="0"/>
        <w:wordWrap/>
        <w:topLinePunct w:val="0"/>
        <w:bidi w:val="0"/>
        <w:spacing w:before="198" w:line="360" w:lineRule="auto"/>
        <w:outlineLvl w:val="1"/>
        <w:rPr>
          <w:rFonts w:hint="eastAsia" w:ascii="宋体" w:hAnsi="宋体" w:eastAsia="宋体" w:cs="宋体"/>
          <w:color w:val="auto"/>
          <w:spacing w:val="-5"/>
          <w:sz w:val="22"/>
          <w:szCs w:val="22"/>
          <w:highlight w:val="none"/>
        </w:rPr>
      </w:pPr>
      <w:bookmarkStart w:id="2" w:name="_Toc500415099"/>
      <w:r>
        <w:rPr>
          <w:rFonts w:hint="eastAsia" w:ascii="宋体" w:hAnsi="宋体" w:eastAsia="宋体" w:cs="宋体"/>
          <w:color w:val="auto"/>
          <w:spacing w:val="-5"/>
          <w:sz w:val="22"/>
          <w:szCs w:val="22"/>
          <w:highlight w:val="none"/>
        </w:rPr>
        <w:t>一、项目概况：</w:t>
      </w:r>
    </w:p>
    <w:p>
      <w:pPr>
        <w:keepNext w:val="0"/>
        <w:keepLines w:val="0"/>
        <w:pageBreakBefore w:val="0"/>
        <w:wordWrap/>
        <w:topLinePunct w:val="0"/>
        <w:bidi w:val="0"/>
        <w:spacing w:before="198" w:line="360" w:lineRule="auto"/>
        <w:ind w:firstLine="578"/>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rPr>
        <w:t>1、项目名称：上海交通职业技术学院</w:t>
      </w:r>
      <w:r>
        <w:rPr>
          <w:rFonts w:hint="eastAsia" w:ascii="宋体" w:hAnsi="宋体" w:eastAsia="宋体" w:cs="宋体"/>
          <w:color w:val="auto"/>
          <w:spacing w:val="-9"/>
          <w:highlight w:val="none"/>
        </w:rPr>
        <w:t>集装箱正面吊教练机及教学套件采购项目</w:t>
      </w:r>
    </w:p>
    <w:p>
      <w:pPr>
        <w:keepNext w:val="0"/>
        <w:keepLines w:val="0"/>
        <w:pageBreakBefore w:val="0"/>
        <w:wordWrap/>
        <w:topLinePunct w:val="0"/>
        <w:bidi w:val="0"/>
        <w:spacing w:before="198" w:line="360" w:lineRule="auto"/>
        <w:ind w:firstLine="578"/>
        <w:rPr>
          <w:rFonts w:hint="eastAsia" w:ascii="宋体" w:hAnsi="宋体" w:eastAsia="宋体" w:cs="宋体"/>
          <w:color w:val="auto"/>
          <w:highlight w:val="none"/>
        </w:rPr>
      </w:pPr>
      <w:r>
        <w:rPr>
          <w:rFonts w:hint="eastAsia" w:ascii="宋体" w:hAnsi="宋体" w:eastAsia="宋体" w:cs="宋体"/>
          <w:color w:val="auto"/>
          <w:spacing w:val="-5"/>
          <w:sz w:val="22"/>
          <w:szCs w:val="22"/>
          <w:highlight w:val="none"/>
          <w:lang w:val="en-US" w:eastAsia="zh-CN"/>
        </w:rPr>
        <w:t>2</w:t>
      </w:r>
      <w:r>
        <w:rPr>
          <w:rFonts w:hint="eastAsia" w:ascii="宋体" w:hAnsi="宋体" w:eastAsia="宋体" w:cs="宋体"/>
          <w:color w:val="auto"/>
          <w:spacing w:val="-5"/>
          <w:sz w:val="22"/>
          <w:szCs w:val="22"/>
          <w:highlight w:val="none"/>
        </w:rPr>
        <w:t>、项目基本概况：上海交通职业技术学院</w:t>
      </w:r>
      <w:r>
        <w:rPr>
          <w:rFonts w:hint="eastAsia" w:ascii="宋体" w:hAnsi="宋体" w:eastAsia="宋体" w:cs="宋体"/>
          <w:color w:val="auto"/>
          <w:spacing w:val="-9"/>
          <w:highlight w:val="none"/>
        </w:rPr>
        <w:t>集装箱正面吊教练机及教学套件采购</w:t>
      </w:r>
      <w:r>
        <w:rPr>
          <w:rFonts w:hint="eastAsia" w:ascii="宋体" w:hAnsi="宋体" w:eastAsia="宋体" w:cs="宋体"/>
          <w:color w:val="auto"/>
          <w:highlight w:val="none"/>
        </w:rPr>
        <w:t>。具体内容详见</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需求。</w:t>
      </w:r>
    </w:p>
    <w:p>
      <w:pPr>
        <w:keepNext w:val="0"/>
        <w:keepLines w:val="0"/>
        <w:pageBreakBefore w:val="0"/>
        <w:wordWrap/>
        <w:topLinePunct w:val="0"/>
        <w:bidi w:val="0"/>
        <w:spacing w:before="198" w:line="360" w:lineRule="auto"/>
        <w:ind w:firstLine="578"/>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3</w:t>
      </w:r>
      <w:r>
        <w:rPr>
          <w:rFonts w:hint="eastAsia" w:ascii="宋体" w:hAnsi="宋体" w:eastAsia="宋体" w:cs="宋体"/>
          <w:color w:val="auto"/>
          <w:spacing w:val="-5"/>
          <w:sz w:val="22"/>
          <w:szCs w:val="22"/>
          <w:highlight w:val="none"/>
        </w:rPr>
        <w:t>、交货期限：合同签订后90个工作日内交付验收。</w:t>
      </w:r>
    </w:p>
    <w:p>
      <w:pPr>
        <w:keepNext w:val="0"/>
        <w:keepLines w:val="0"/>
        <w:pageBreakBefore w:val="0"/>
        <w:wordWrap/>
        <w:topLinePunct w:val="0"/>
        <w:bidi w:val="0"/>
        <w:spacing w:before="198" w:line="360" w:lineRule="auto"/>
        <w:ind w:firstLine="578"/>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4</w:t>
      </w:r>
      <w:r>
        <w:rPr>
          <w:rFonts w:hint="eastAsia" w:ascii="宋体" w:hAnsi="宋体" w:eastAsia="宋体" w:cs="宋体"/>
          <w:color w:val="auto"/>
          <w:spacing w:val="-5"/>
          <w:sz w:val="22"/>
          <w:szCs w:val="22"/>
          <w:highlight w:val="none"/>
        </w:rPr>
        <w:t>、项目地点：根据招标人要求。</w:t>
      </w:r>
    </w:p>
    <w:p>
      <w:pPr>
        <w:keepNext w:val="0"/>
        <w:keepLines w:val="0"/>
        <w:pageBreakBefore w:val="0"/>
        <w:wordWrap/>
        <w:topLinePunct w:val="0"/>
        <w:bidi w:val="0"/>
        <w:spacing w:before="198" w:line="360" w:lineRule="auto"/>
        <w:ind w:firstLine="578"/>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5</w:t>
      </w:r>
      <w:r>
        <w:rPr>
          <w:rFonts w:hint="eastAsia" w:ascii="宋体" w:hAnsi="宋体" w:eastAsia="宋体" w:cs="宋体"/>
          <w:color w:val="auto"/>
          <w:spacing w:val="-5"/>
          <w:sz w:val="22"/>
          <w:szCs w:val="22"/>
          <w:highlight w:val="none"/>
        </w:rPr>
        <w:t>、项目预算金额：240万元，超过预算及最高限价不予接受。</w:t>
      </w:r>
    </w:p>
    <w:p>
      <w:pPr>
        <w:keepNext w:val="0"/>
        <w:keepLines w:val="0"/>
        <w:pageBreakBefore w:val="0"/>
        <w:wordWrap/>
        <w:topLinePunct w:val="0"/>
        <w:bidi w:val="0"/>
        <w:spacing w:before="198" w:line="360" w:lineRule="auto"/>
        <w:outlineLvl w:val="1"/>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rPr>
        <w:t>二、基本要求</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1、供应商向招标人提供壹台集装箱正面吊教练机，应当包含：</w:t>
      </w:r>
    </w:p>
    <w:p>
      <w:pPr>
        <w:keepNext w:val="0"/>
        <w:keepLines w:val="0"/>
        <w:pageBreakBefore w:val="0"/>
        <w:widowControl w:val="0"/>
        <w:numPr>
          <w:ilvl w:val="0"/>
          <w:numId w:val="1"/>
        </w:numPr>
        <w:wordWrap/>
        <w:overflowPunct w:val="0"/>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集装箱正面吊教练机的设计、制造、运输、安装、调试和试车验收；</w:t>
      </w:r>
    </w:p>
    <w:p>
      <w:pPr>
        <w:keepNext w:val="0"/>
        <w:keepLines w:val="0"/>
        <w:pageBreakBefore w:val="0"/>
        <w:widowControl w:val="0"/>
        <w:numPr>
          <w:ilvl w:val="0"/>
          <w:numId w:val="1"/>
        </w:numPr>
        <w:wordWrap/>
        <w:overflowPunct w:val="0"/>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提供集装箱正面吊教练机的操作、维修及安全使用方面的培训，提供相应教学上的技术服；</w:t>
      </w:r>
    </w:p>
    <w:p>
      <w:pPr>
        <w:keepNext w:val="0"/>
        <w:keepLines w:val="0"/>
        <w:pageBreakBefore w:val="0"/>
        <w:widowControl w:val="0"/>
        <w:numPr>
          <w:ilvl w:val="0"/>
          <w:numId w:val="1"/>
        </w:numPr>
        <w:wordWrap/>
        <w:overflowPunct w:val="0"/>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提供集装箱正面吊教练机的随机备件、随机工具；</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2、供应商向招标人提供壹台集装箱正面吊教练机配套教学套件，应当包含：</w:t>
      </w:r>
    </w:p>
    <w:p>
      <w:pPr>
        <w:keepNext w:val="0"/>
        <w:keepLines w:val="0"/>
        <w:pageBreakBefore w:val="0"/>
        <w:widowControl w:val="0"/>
        <w:numPr>
          <w:ilvl w:val="0"/>
          <w:numId w:val="2"/>
        </w:numPr>
        <w:wordWrap/>
        <w:overflowPunct w:val="0"/>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提供相应的图纸及技术文字资料用于集装箱正面吊教练机教学，具体详见第八条内1；</w:t>
      </w:r>
    </w:p>
    <w:p>
      <w:pPr>
        <w:keepNext w:val="0"/>
        <w:keepLines w:val="0"/>
        <w:pageBreakBefore w:val="0"/>
        <w:widowControl w:val="0"/>
        <w:numPr>
          <w:ilvl w:val="0"/>
          <w:numId w:val="2"/>
        </w:numPr>
        <w:wordWrap/>
        <w:overflowPunct w:val="0"/>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提供集装箱正面吊教练机教学套件。具体详见第八条内3.</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 集装箱正面吊教练机使用概述</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集装箱正面吊教练机用于招标人港口机械与智能控制专业集装箱港口流动机械驾驶、检修、保养等方面的教学，须满足国际标准集装箱5个箱高堆垛的抓取要求。其爬坡能力、前轴压力、最小转弯半径及柴油机排污、噪音等均按能适应海港码头集装箱堆场作业需要进行配置（非铁路专用机型）。</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集装箱正面吊教练机应设计灵活、轻便、结构牢固、安全可靠、教学拆装方便，并能适应校区内全天候连续教学作业的需要，在下述环境中能正常操作。</w:t>
      </w:r>
    </w:p>
    <w:p>
      <w:pPr>
        <w:pStyle w:val="10"/>
        <w:keepNext w:val="0"/>
        <w:keepLines w:val="0"/>
        <w:pageBreakBefore w:val="0"/>
        <w:numPr>
          <w:ilvl w:val="0"/>
          <w:numId w:val="3"/>
        </w:numPr>
        <w:kinsoku w:val="0"/>
        <w:wordWrap/>
        <w:overflowPunct w:val="0"/>
        <w:topLinePunct w:val="0"/>
        <w:autoSpaceDE w:val="0"/>
        <w:autoSpaceDN w:val="0"/>
        <w:bidi w:val="0"/>
        <w:adjustRightInd w:val="0"/>
        <w:snapToGrid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环境温度-10℃-45℃；</w:t>
      </w:r>
    </w:p>
    <w:p>
      <w:pPr>
        <w:pStyle w:val="10"/>
        <w:keepNext w:val="0"/>
        <w:keepLines w:val="0"/>
        <w:pageBreakBefore w:val="0"/>
        <w:numPr>
          <w:ilvl w:val="0"/>
          <w:numId w:val="3"/>
        </w:numPr>
        <w:kinsoku w:val="0"/>
        <w:wordWrap/>
        <w:overflowPunct w:val="0"/>
        <w:topLinePunct w:val="0"/>
        <w:autoSpaceDE w:val="0"/>
        <w:autoSpaceDN w:val="0"/>
        <w:bidi w:val="0"/>
        <w:adjustRightInd w:val="0"/>
        <w:snapToGrid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最大工作风速20m/s；</w:t>
      </w:r>
    </w:p>
    <w:p>
      <w:pPr>
        <w:pStyle w:val="10"/>
        <w:keepNext w:val="0"/>
        <w:keepLines w:val="0"/>
        <w:pageBreakBefore w:val="0"/>
        <w:numPr>
          <w:ilvl w:val="0"/>
          <w:numId w:val="3"/>
        </w:numPr>
        <w:kinsoku w:val="0"/>
        <w:wordWrap/>
        <w:overflowPunct w:val="0"/>
        <w:topLinePunct w:val="0"/>
        <w:autoSpaceDE w:val="0"/>
        <w:autoSpaceDN w:val="0"/>
        <w:bidi w:val="0"/>
        <w:adjustRightInd w:val="0"/>
        <w:snapToGrid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非工作状态下最大设计风速为40m/s；</w:t>
      </w:r>
    </w:p>
    <w:p>
      <w:pPr>
        <w:pStyle w:val="10"/>
        <w:keepNext w:val="0"/>
        <w:keepLines w:val="0"/>
        <w:pageBreakBefore w:val="0"/>
        <w:numPr>
          <w:ilvl w:val="0"/>
          <w:numId w:val="3"/>
        </w:numPr>
        <w:kinsoku w:val="0"/>
        <w:wordWrap/>
        <w:overflowPunct w:val="0"/>
        <w:topLinePunct w:val="0"/>
        <w:autoSpaceDE w:val="0"/>
        <w:autoSpaceDN w:val="0"/>
        <w:bidi w:val="0"/>
        <w:adjustRightInd w:val="0"/>
        <w:snapToGrid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最大相对湿度100%；</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 标准与规范</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本集装箱正面吊教练机的设计、制造、安装和调试、试车、均应符合下列的标准和规范的最新版本：</w:t>
      </w:r>
    </w:p>
    <w:p>
      <w:pPr>
        <w:pStyle w:val="10"/>
        <w:keepNext w:val="0"/>
        <w:keepLines w:val="0"/>
        <w:pageBreakBefore w:val="0"/>
        <w:numPr>
          <w:ilvl w:val="0"/>
          <w:numId w:val="4"/>
        </w:numPr>
        <w:kinsoku w:val="0"/>
        <w:wordWrap/>
        <w:overflowPunct w:val="0"/>
        <w:topLinePunct w:val="0"/>
        <w:autoSpaceDE w:val="0"/>
        <w:autoSpaceDN w:val="0"/>
        <w:bidi w:val="0"/>
        <w:adjustRightInd w:val="0"/>
        <w:snapToGrid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基本标准：GB、FEM、ISO、DIN、BS、JIS、SAE</w:t>
      </w:r>
    </w:p>
    <w:p>
      <w:pPr>
        <w:pStyle w:val="10"/>
        <w:keepNext w:val="0"/>
        <w:keepLines w:val="0"/>
        <w:pageBreakBefore w:val="0"/>
        <w:numPr>
          <w:ilvl w:val="0"/>
          <w:numId w:val="4"/>
        </w:numPr>
        <w:kinsoku w:val="0"/>
        <w:wordWrap/>
        <w:overflowPunct w:val="0"/>
        <w:topLinePunct w:val="0"/>
        <w:autoSpaceDE w:val="0"/>
        <w:autoSpaceDN w:val="0"/>
        <w:bidi w:val="0"/>
        <w:adjustRightInd w:val="0"/>
        <w:snapToGrid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气：IEC、IEEE</w:t>
      </w:r>
    </w:p>
    <w:p>
      <w:pPr>
        <w:pStyle w:val="10"/>
        <w:keepNext w:val="0"/>
        <w:keepLines w:val="0"/>
        <w:pageBreakBefore w:val="0"/>
        <w:numPr>
          <w:ilvl w:val="0"/>
          <w:numId w:val="4"/>
        </w:numPr>
        <w:kinsoku w:val="0"/>
        <w:wordWrap/>
        <w:overflowPunct w:val="0"/>
        <w:topLinePunct w:val="0"/>
        <w:autoSpaceDE w:val="0"/>
        <w:autoSpaceDN w:val="0"/>
        <w:bidi w:val="0"/>
        <w:adjustRightInd w:val="0"/>
        <w:snapToGrid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涂    装：SIS、SSPC、ASTM</w:t>
      </w:r>
    </w:p>
    <w:p>
      <w:pPr>
        <w:pStyle w:val="10"/>
        <w:keepNext w:val="0"/>
        <w:keepLines w:val="0"/>
        <w:pageBreakBefore w:val="0"/>
        <w:numPr>
          <w:ilvl w:val="0"/>
          <w:numId w:val="4"/>
        </w:numPr>
        <w:kinsoku w:val="0"/>
        <w:wordWrap/>
        <w:overflowPunct w:val="0"/>
        <w:topLinePunct w:val="0"/>
        <w:autoSpaceDE w:val="0"/>
        <w:autoSpaceDN w:val="0"/>
        <w:bidi w:val="0"/>
        <w:adjustRightInd w:val="0"/>
        <w:snapToGrid w:val="0"/>
        <w:spacing w:line="360" w:lineRule="auto"/>
        <w:ind w:left="0" w:firstLine="42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焊    接：AWS、ASME、CEN、DIN</w:t>
      </w:r>
    </w:p>
    <w:p>
      <w:pPr>
        <w:pStyle w:val="10"/>
        <w:keepNext w:val="0"/>
        <w:keepLines w:val="0"/>
        <w:pageBreakBefore w:val="0"/>
        <w:numPr>
          <w:ilvl w:val="0"/>
          <w:numId w:val="4"/>
        </w:numPr>
        <w:kinsoku w:val="0"/>
        <w:wordWrap/>
        <w:overflowPunct w:val="0"/>
        <w:topLinePunct w:val="0"/>
        <w:autoSpaceDE w:val="0"/>
        <w:autoSpaceDN w:val="0"/>
        <w:bidi w:val="0"/>
        <w:adjustRightInd w:val="0"/>
        <w:snapToGrid w:val="0"/>
        <w:spacing w:line="360" w:lineRule="auto"/>
        <w:ind w:left="0" w:firstLine="42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安全、安装：GB</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4、度量单位和语言</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本集装箱正面吊教练机的设计图纸、规格书、技术文件和其他技术资料，均采用中国法定计量单位。</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 xml:space="preserve">       函件、技术文件、说明书、设计图纸及供应商提交给招标人的书面材料应采用中文及英语两种语言。</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 交货时间及地点</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以合同签订后90个工作日内交付验收。</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交货地点为招标人指定地点。</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6、 付款方式</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签订合同后，首付资金80万，其余资金在后两年内分批付清。</w:t>
      </w:r>
    </w:p>
    <w:p>
      <w:pPr>
        <w:keepNext w:val="0"/>
        <w:keepLines w:val="0"/>
        <w:pageBreakBefore w:val="0"/>
        <w:wordWrap/>
        <w:topLinePunct w:val="0"/>
        <w:bidi w:val="0"/>
        <w:spacing w:line="360" w:lineRule="auto"/>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三、总体要求</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整机做到技术先进、结构合理、经济适用、安全可靠、维修方便、符合环保的要求，且为供应商工厂不断改进的成熟的产品且拥有较高的使用保有量。能带载运行，起升和平移时平稳准确，不产生爬行、振动、冲击等现象，并有良好的寸动功能，以保证微动对位，提高其工作效率。</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1、起重量要求</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起重量不少于45吨，并能够堆放第一排45吨集装箱货物和第二排30吨集装箱货物。</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2、最大起升高度</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 xml:space="preserve">       最大起升高度不得少于15米（吊具锁头下）并能处理第一排5层高的9′6″国际标准集装箱的起重作业。</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3、行驶速度</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 xml:space="preserve">       空载时的最大进/退行进速度不低于24公里/小时，满载时不低于21公里/小时。</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4、爬坡能力</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满载，时速2公里/小时爬坡能力不低于25%。</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 xml:space="preserve">      空载，时速2公里/小时爬坡能力不低于30%。</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 转弯半径</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 xml:space="preserve">       吊装40英尺集装箱时转弯半径不大于8.5米。</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6、起升速度</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空载时，起升速度不低于370mm/s。</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 xml:space="preserve">      重载时，起升速度不低于220mm/s。</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7、下降速度</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空载时，下降速度不低于340mm/s。</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重载时，下降速度不低于300mm/s。</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8、总重</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空载时，设备总重量不大于73t</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9、 牵引能力</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 xml:space="preserve">      最大牵引能力不少于330KN。</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10、 操作条件</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正面吊的设计必须考虑在上海的气候、环境条件使用。</w:t>
      </w:r>
    </w:p>
    <w:tbl>
      <w:tblPr>
        <w:tblStyle w:val="7"/>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105"/>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35" w:type="dxa"/>
            <w:tcBorders>
              <w:bottom w:val="single" w:color="auto" w:sz="4" w:space="0"/>
            </w:tcBorders>
            <w:shd w:val="clear" w:color="auto" w:fill="C0C0C0"/>
            <w:vAlign w:val="center"/>
          </w:tcPr>
          <w:p>
            <w:pPr>
              <w:keepNext w:val="0"/>
              <w:keepLines w:val="0"/>
              <w:pageBreakBefore w:val="0"/>
              <w:wordWrap/>
              <w:topLinePunct w:val="0"/>
              <w:bidi w:val="0"/>
              <w:spacing w:line="360" w:lineRule="auto"/>
              <w:ind w:firstLine="422" w:firstLineChars="20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3105" w:type="dxa"/>
            <w:tcBorders>
              <w:bottom w:val="single" w:color="auto" w:sz="4" w:space="0"/>
            </w:tcBorders>
            <w:shd w:val="clear" w:color="auto" w:fill="C0C0C0"/>
            <w:vAlign w:val="center"/>
          </w:tcPr>
          <w:p>
            <w:pPr>
              <w:keepNext w:val="0"/>
              <w:keepLines w:val="0"/>
              <w:pageBreakBefore w:val="0"/>
              <w:wordWrap/>
              <w:topLinePunct w:val="0"/>
              <w:bidi w:val="0"/>
              <w:spacing w:line="360" w:lineRule="auto"/>
              <w:ind w:firstLine="422" w:firstLineChars="20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要求</w:t>
            </w:r>
          </w:p>
        </w:tc>
        <w:tc>
          <w:tcPr>
            <w:tcW w:w="3630" w:type="dxa"/>
            <w:tcBorders>
              <w:bottom w:val="single" w:color="auto" w:sz="4" w:space="0"/>
            </w:tcBorders>
            <w:shd w:val="clear" w:color="auto" w:fill="C0C0C0"/>
            <w:vAlign w:val="center"/>
          </w:tcPr>
          <w:p>
            <w:pPr>
              <w:keepNext w:val="0"/>
              <w:keepLines w:val="0"/>
              <w:pageBreakBefore w:val="0"/>
              <w:wordWrap/>
              <w:topLinePunct w:val="0"/>
              <w:bidi w:val="0"/>
              <w:spacing w:line="360" w:lineRule="auto"/>
              <w:ind w:firstLine="422" w:firstLineChars="20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dxa"/>
            <w:tcBorders>
              <w:bottom w:val="single" w:color="auto" w:sz="4" w:space="0"/>
            </w:tcBorders>
            <w:vAlign w:val="center"/>
          </w:tcPr>
          <w:p>
            <w:pPr>
              <w:keepNext w:val="0"/>
              <w:keepLines w:val="0"/>
              <w:pageBreakBefore w:val="0"/>
              <w:numPr>
                <w:ilvl w:val="0"/>
                <w:numId w:val="5"/>
              </w:numPr>
              <w:tabs>
                <w:tab w:val="left" w:pos="709"/>
                <w:tab w:val="left" w:pos="2126"/>
                <w:tab w:val="left" w:pos="2835"/>
                <w:tab w:val="left" w:pos="3544"/>
                <w:tab w:val="left" w:pos="4253"/>
                <w:tab w:val="left" w:pos="4961"/>
                <w:tab w:val="left" w:pos="5670"/>
              </w:tabs>
              <w:wordWrap/>
              <w:topLinePunct w:val="0"/>
              <w:bidi w:val="0"/>
              <w:spacing w:line="360" w:lineRule="auto"/>
              <w:ind w:firstLine="420" w:firstLineChars="200"/>
              <w:jc w:val="both"/>
              <w:rPr>
                <w:rFonts w:hint="eastAsia" w:ascii="宋体" w:hAnsi="宋体" w:eastAsia="宋体" w:cs="宋体"/>
                <w:color w:val="auto"/>
                <w:highlight w:val="none"/>
              </w:rPr>
            </w:pPr>
          </w:p>
        </w:tc>
        <w:tc>
          <w:tcPr>
            <w:tcW w:w="3105" w:type="dxa"/>
            <w:tcBorders>
              <w:bottom w:val="single" w:color="auto" w:sz="4" w:space="0"/>
            </w:tcBorders>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绝对最高温度</w:t>
            </w:r>
          </w:p>
        </w:tc>
        <w:tc>
          <w:tcPr>
            <w:tcW w:w="3630" w:type="dxa"/>
            <w:tcBorders>
              <w:bottom w:val="single" w:color="auto" w:sz="4" w:space="0"/>
            </w:tcBorders>
            <w:vAlign w:val="center"/>
          </w:tcPr>
          <w:p>
            <w:pPr>
              <w:keepNext w:val="0"/>
              <w:keepLines w:val="0"/>
              <w:pageBreakBefore w:val="0"/>
              <w:wordWrap/>
              <w:topLinePunct w:val="0"/>
              <w:bidi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50.0°C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dxa"/>
            <w:tcBorders>
              <w:bottom w:val="single" w:color="auto" w:sz="4" w:space="0"/>
            </w:tcBorders>
            <w:vAlign w:val="center"/>
          </w:tcPr>
          <w:p>
            <w:pPr>
              <w:keepNext w:val="0"/>
              <w:keepLines w:val="0"/>
              <w:pageBreakBefore w:val="0"/>
              <w:numPr>
                <w:ilvl w:val="0"/>
                <w:numId w:val="5"/>
              </w:numPr>
              <w:tabs>
                <w:tab w:val="left" w:pos="709"/>
                <w:tab w:val="left" w:pos="2126"/>
                <w:tab w:val="left" w:pos="2835"/>
                <w:tab w:val="left" w:pos="3544"/>
                <w:tab w:val="left" w:pos="4253"/>
                <w:tab w:val="left" w:pos="4961"/>
                <w:tab w:val="left" w:pos="5670"/>
              </w:tabs>
              <w:wordWrap/>
              <w:topLinePunct w:val="0"/>
              <w:bidi w:val="0"/>
              <w:spacing w:line="360" w:lineRule="auto"/>
              <w:ind w:firstLine="420" w:firstLineChars="200"/>
              <w:jc w:val="both"/>
              <w:rPr>
                <w:rFonts w:hint="eastAsia" w:ascii="宋体" w:hAnsi="宋体" w:eastAsia="宋体" w:cs="宋体"/>
                <w:color w:val="auto"/>
                <w:highlight w:val="none"/>
              </w:rPr>
            </w:pPr>
          </w:p>
        </w:tc>
        <w:tc>
          <w:tcPr>
            <w:tcW w:w="3105" w:type="dxa"/>
            <w:tcBorders>
              <w:bottom w:val="single" w:color="auto" w:sz="4" w:space="0"/>
            </w:tcBorders>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绝对最低温度</w:t>
            </w:r>
          </w:p>
        </w:tc>
        <w:tc>
          <w:tcPr>
            <w:tcW w:w="3630" w:type="dxa"/>
            <w:tcBorders>
              <w:bottom w:val="single" w:color="auto" w:sz="4" w:space="0"/>
            </w:tcBorders>
            <w:vAlign w:val="center"/>
          </w:tcPr>
          <w:p>
            <w:pPr>
              <w:keepNext w:val="0"/>
              <w:keepLines w:val="0"/>
              <w:pageBreakBefore w:val="0"/>
              <w:wordWrap/>
              <w:topLinePunct w:val="0"/>
              <w:bidi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-10.0°C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dxa"/>
            <w:tcBorders>
              <w:bottom w:val="single" w:color="auto" w:sz="4" w:space="0"/>
            </w:tcBorders>
            <w:vAlign w:val="center"/>
          </w:tcPr>
          <w:p>
            <w:pPr>
              <w:keepNext w:val="0"/>
              <w:keepLines w:val="0"/>
              <w:pageBreakBefore w:val="0"/>
              <w:numPr>
                <w:ilvl w:val="0"/>
                <w:numId w:val="5"/>
              </w:numPr>
              <w:tabs>
                <w:tab w:val="left" w:pos="709"/>
                <w:tab w:val="left" w:pos="2126"/>
                <w:tab w:val="left" w:pos="2835"/>
                <w:tab w:val="left" w:pos="3544"/>
                <w:tab w:val="left" w:pos="4253"/>
                <w:tab w:val="left" w:pos="4961"/>
                <w:tab w:val="left" w:pos="5670"/>
              </w:tabs>
              <w:wordWrap/>
              <w:topLinePunct w:val="0"/>
              <w:bidi w:val="0"/>
              <w:spacing w:line="360" w:lineRule="auto"/>
              <w:ind w:firstLine="420" w:firstLineChars="200"/>
              <w:jc w:val="both"/>
              <w:rPr>
                <w:rFonts w:hint="eastAsia" w:ascii="宋体" w:hAnsi="宋体" w:eastAsia="宋体" w:cs="宋体"/>
                <w:color w:val="auto"/>
                <w:highlight w:val="none"/>
              </w:rPr>
            </w:pPr>
          </w:p>
        </w:tc>
        <w:tc>
          <w:tcPr>
            <w:tcW w:w="3105" w:type="dxa"/>
            <w:tcBorders>
              <w:bottom w:val="single" w:color="auto" w:sz="4" w:space="0"/>
            </w:tcBorders>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夏季室外计算温度</w:t>
            </w:r>
          </w:p>
        </w:tc>
        <w:tc>
          <w:tcPr>
            <w:tcW w:w="3630" w:type="dxa"/>
            <w:tcBorders>
              <w:bottom w:val="single" w:color="auto" w:sz="4" w:space="0"/>
            </w:tcBorders>
            <w:vAlign w:val="center"/>
          </w:tcPr>
          <w:p>
            <w:pPr>
              <w:keepNext w:val="0"/>
              <w:keepLines w:val="0"/>
              <w:pageBreakBefore w:val="0"/>
              <w:wordWrap/>
              <w:topLinePunct w:val="0"/>
              <w:bidi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45°C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dxa"/>
            <w:tcBorders>
              <w:bottom w:val="single" w:color="auto" w:sz="4" w:space="0"/>
            </w:tcBorders>
            <w:vAlign w:val="center"/>
          </w:tcPr>
          <w:p>
            <w:pPr>
              <w:keepNext w:val="0"/>
              <w:keepLines w:val="0"/>
              <w:pageBreakBefore w:val="0"/>
              <w:numPr>
                <w:ilvl w:val="0"/>
                <w:numId w:val="5"/>
              </w:numPr>
              <w:tabs>
                <w:tab w:val="left" w:pos="709"/>
                <w:tab w:val="left" w:pos="2126"/>
                <w:tab w:val="left" w:pos="2835"/>
                <w:tab w:val="left" w:pos="3544"/>
                <w:tab w:val="left" w:pos="4253"/>
                <w:tab w:val="left" w:pos="4961"/>
                <w:tab w:val="left" w:pos="5670"/>
              </w:tabs>
              <w:wordWrap/>
              <w:topLinePunct w:val="0"/>
              <w:bidi w:val="0"/>
              <w:spacing w:line="360" w:lineRule="auto"/>
              <w:ind w:firstLine="420" w:firstLineChars="200"/>
              <w:jc w:val="both"/>
              <w:rPr>
                <w:rFonts w:hint="eastAsia" w:ascii="宋体" w:hAnsi="宋体" w:eastAsia="宋体" w:cs="宋体"/>
                <w:color w:val="auto"/>
                <w:highlight w:val="none"/>
              </w:rPr>
            </w:pPr>
          </w:p>
        </w:tc>
        <w:tc>
          <w:tcPr>
            <w:tcW w:w="3105" w:type="dxa"/>
            <w:tcBorders>
              <w:bottom w:val="single" w:color="auto" w:sz="4" w:space="0"/>
            </w:tcBorders>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冬季室外计算温度</w:t>
            </w:r>
          </w:p>
        </w:tc>
        <w:tc>
          <w:tcPr>
            <w:tcW w:w="3630" w:type="dxa"/>
            <w:tcBorders>
              <w:bottom w:val="single" w:color="auto" w:sz="4" w:space="0"/>
            </w:tcBorders>
            <w:vAlign w:val="center"/>
          </w:tcPr>
          <w:p>
            <w:pPr>
              <w:keepNext w:val="0"/>
              <w:keepLines w:val="0"/>
              <w:pageBreakBefore w:val="0"/>
              <w:wordWrap/>
              <w:topLinePunct w:val="0"/>
              <w:bidi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-10°C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dxa"/>
            <w:tcBorders>
              <w:bottom w:val="single" w:color="auto" w:sz="4" w:space="0"/>
            </w:tcBorders>
            <w:vAlign w:val="center"/>
          </w:tcPr>
          <w:p>
            <w:pPr>
              <w:keepNext w:val="0"/>
              <w:keepLines w:val="0"/>
              <w:pageBreakBefore w:val="0"/>
              <w:numPr>
                <w:ilvl w:val="0"/>
                <w:numId w:val="5"/>
              </w:numPr>
              <w:tabs>
                <w:tab w:val="left" w:pos="709"/>
                <w:tab w:val="left" w:pos="2126"/>
                <w:tab w:val="left" w:pos="2835"/>
                <w:tab w:val="left" w:pos="3544"/>
                <w:tab w:val="left" w:pos="4253"/>
                <w:tab w:val="left" w:pos="4961"/>
                <w:tab w:val="left" w:pos="5670"/>
              </w:tabs>
              <w:wordWrap/>
              <w:topLinePunct w:val="0"/>
              <w:bidi w:val="0"/>
              <w:spacing w:line="360" w:lineRule="auto"/>
              <w:ind w:firstLine="420" w:firstLineChars="200"/>
              <w:jc w:val="both"/>
              <w:rPr>
                <w:rFonts w:hint="eastAsia" w:ascii="宋体" w:hAnsi="宋体" w:eastAsia="宋体" w:cs="宋体"/>
                <w:color w:val="auto"/>
                <w:highlight w:val="none"/>
              </w:rPr>
            </w:pPr>
          </w:p>
        </w:tc>
        <w:tc>
          <w:tcPr>
            <w:tcW w:w="3105" w:type="dxa"/>
            <w:tcBorders>
              <w:bottom w:val="single" w:color="auto" w:sz="4" w:space="0"/>
            </w:tcBorders>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夏季室外相对湿度</w:t>
            </w:r>
          </w:p>
        </w:tc>
        <w:tc>
          <w:tcPr>
            <w:tcW w:w="3630" w:type="dxa"/>
            <w:tcBorders>
              <w:bottom w:val="single" w:color="auto" w:sz="4" w:space="0"/>
            </w:tcBorders>
            <w:vAlign w:val="center"/>
          </w:tcPr>
          <w:p>
            <w:pPr>
              <w:keepNext w:val="0"/>
              <w:keepLines w:val="0"/>
              <w:pageBreakBefore w:val="0"/>
              <w:wordWrap/>
              <w:topLinePunct w:val="0"/>
              <w:bidi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dxa"/>
            <w:tcBorders>
              <w:bottom w:val="single" w:color="auto" w:sz="4" w:space="0"/>
            </w:tcBorders>
            <w:vAlign w:val="center"/>
          </w:tcPr>
          <w:p>
            <w:pPr>
              <w:keepNext w:val="0"/>
              <w:keepLines w:val="0"/>
              <w:pageBreakBefore w:val="0"/>
              <w:numPr>
                <w:ilvl w:val="0"/>
                <w:numId w:val="5"/>
              </w:numPr>
              <w:tabs>
                <w:tab w:val="left" w:pos="709"/>
                <w:tab w:val="left" w:pos="2126"/>
                <w:tab w:val="left" w:pos="2835"/>
                <w:tab w:val="left" w:pos="3544"/>
                <w:tab w:val="left" w:pos="4253"/>
                <w:tab w:val="left" w:pos="4961"/>
                <w:tab w:val="left" w:pos="5670"/>
              </w:tabs>
              <w:wordWrap/>
              <w:topLinePunct w:val="0"/>
              <w:bidi w:val="0"/>
              <w:spacing w:line="360" w:lineRule="auto"/>
              <w:ind w:firstLine="420" w:firstLineChars="200"/>
              <w:jc w:val="both"/>
              <w:rPr>
                <w:rFonts w:hint="eastAsia" w:ascii="宋体" w:hAnsi="宋体" w:eastAsia="宋体" w:cs="宋体"/>
                <w:color w:val="auto"/>
                <w:highlight w:val="none"/>
              </w:rPr>
            </w:pPr>
          </w:p>
        </w:tc>
        <w:tc>
          <w:tcPr>
            <w:tcW w:w="3105" w:type="dxa"/>
            <w:tcBorders>
              <w:bottom w:val="single" w:color="auto" w:sz="4" w:space="0"/>
            </w:tcBorders>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冬季室外相对湿度</w:t>
            </w:r>
          </w:p>
        </w:tc>
        <w:tc>
          <w:tcPr>
            <w:tcW w:w="3630" w:type="dxa"/>
            <w:tcBorders>
              <w:bottom w:val="single" w:color="auto" w:sz="4" w:space="0"/>
            </w:tcBorders>
            <w:vAlign w:val="center"/>
          </w:tcPr>
          <w:p>
            <w:pPr>
              <w:keepNext w:val="0"/>
              <w:keepLines w:val="0"/>
              <w:pageBreakBefore w:val="0"/>
              <w:wordWrap/>
              <w:topLinePunct w:val="0"/>
              <w:bidi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dxa"/>
            <w:tcBorders>
              <w:bottom w:val="single" w:color="auto" w:sz="4" w:space="0"/>
            </w:tcBorders>
            <w:vAlign w:val="center"/>
          </w:tcPr>
          <w:p>
            <w:pPr>
              <w:keepNext w:val="0"/>
              <w:keepLines w:val="0"/>
              <w:pageBreakBefore w:val="0"/>
              <w:numPr>
                <w:ilvl w:val="0"/>
                <w:numId w:val="5"/>
              </w:numPr>
              <w:tabs>
                <w:tab w:val="left" w:pos="709"/>
                <w:tab w:val="left" w:pos="2126"/>
                <w:tab w:val="left" w:pos="2835"/>
                <w:tab w:val="left" w:pos="3544"/>
                <w:tab w:val="left" w:pos="4253"/>
                <w:tab w:val="left" w:pos="4961"/>
                <w:tab w:val="left" w:pos="5670"/>
              </w:tabs>
              <w:wordWrap/>
              <w:topLinePunct w:val="0"/>
              <w:bidi w:val="0"/>
              <w:spacing w:line="360" w:lineRule="auto"/>
              <w:ind w:firstLine="420" w:firstLineChars="200"/>
              <w:jc w:val="both"/>
              <w:rPr>
                <w:rFonts w:hint="eastAsia" w:ascii="宋体" w:hAnsi="宋体" w:eastAsia="宋体" w:cs="宋体"/>
                <w:color w:val="auto"/>
                <w:highlight w:val="none"/>
              </w:rPr>
            </w:pPr>
          </w:p>
        </w:tc>
        <w:tc>
          <w:tcPr>
            <w:tcW w:w="3105" w:type="dxa"/>
            <w:tcBorders>
              <w:bottom w:val="single" w:color="auto" w:sz="4" w:space="0"/>
            </w:tcBorders>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夏季风速平均</w:t>
            </w:r>
          </w:p>
        </w:tc>
        <w:tc>
          <w:tcPr>
            <w:tcW w:w="3630" w:type="dxa"/>
            <w:tcBorders>
              <w:bottom w:val="single" w:color="auto" w:sz="4" w:space="0"/>
            </w:tcBorders>
            <w:vAlign w:val="center"/>
          </w:tcPr>
          <w:p>
            <w:pPr>
              <w:keepNext w:val="0"/>
              <w:keepLines w:val="0"/>
              <w:pageBreakBefore w:val="0"/>
              <w:wordWrap/>
              <w:topLinePunct w:val="0"/>
              <w:bidi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1.9m/s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dxa"/>
            <w:tcBorders>
              <w:bottom w:val="single" w:color="auto" w:sz="4" w:space="0"/>
            </w:tcBorders>
            <w:vAlign w:val="center"/>
          </w:tcPr>
          <w:p>
            <w:pPr>
              <w:keepNext w:val="0"/>
              <w:keepLines w:val="0"/>
              <w:pageBreakBefore w:val="0"/>
              <w:numPr>
                <w:ilvl w:val="0"/>
                <w:numId w:val="5"/>
              </w:numPr>
              <w:tabs>
                <w:tab w:val="left" w:pos="709"/>
                <w:tab w:val="left" w:pos="2126"/>
                <w:tab w:val="left" w:pos="2835"/>
                <w:tab w:val="left" w:pos="3544"/>
                <w:tab w:val="left" w:pos="4253"/>
                <w:tab w:val="left" w:pos="4961"/>
                <w:tab w:val="left" w:pos="5670"/>
              </w:tabs>
              <w:wordWrap/>
              <w:topLinePunct w:val="0"/>
              <w:bidi w:val="0"/>
              <w:spacing w:line="360" w:lineRule="auto"/>
              <w:ind w:firstLine="420" w:firstLineChars="200"/>
              <w:jc w:val="both"/>
              <w:rPr>
                <w:rFonts w:hint="eastAsia" w:ascii="宋体" w:hAnsi="宋体" w:eastAsia="宋体" w:cs="宋体"/>
                <w:color w:val="auto"/>
                <w:highlight w:val="none"/>
              </w:rPr>
            </w:pPr>
          </w:p>
        </w:tc>
        <w:tc>
          <w:tcPr>
            <w:tcW w:w="3105" w:type="dxa"/>
            <w:tcBorders>
              <w:bottom w:val="single" w:color="auto" w:sz="4" w:space="0"/>
            </w:tcBorders>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冬季风速平均</w:t>
            </w:r>
          </w:p>
        </w:tc>
        <w:tc>
          <w:tcPr>
            <w:tcW w:w="3630" w:type="dxa"/>
            <w:tcBorders>
              <w:bottom w:val="single" w:color="auto" w:sz="4" w:space="0"/>
            </w:tcBorders>
            <w:vAlign w:val="center"/>
          </w:tcPr>
          <w:p>
            <w:pPr>
              <w:keepNext w:val="0"/>
              <w:keepLines w:val="0"/>
              <w:pageBreakBefore w:val="0"/>
              <w:wordWrap/>
              <w:topLinePunct w:val="0"/>
              <w:bidi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2.1m/s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dxa"/>
            <w:tcBorders>
              <w:bottom w:val="single" w:color="auto" w:sz="4" w:space="0"/>
            </w:tcBorders>
            <w:vAlign w:val="center"/>
          </w:tcPr>
          <w:p>
            <w:pPr>
              <w:keepNext w:val="0"/>
              <w:keepLines w:val="0"/>
              <w:pageBreakBefore w:val="0"/>
              <w:numPr>
                <w:ilvl w:val="0"/>
                <w:numId w:val="5"/>
              </w:numPr>
              <w:tabs>
                <w:tab w:val="left" w:pos="709"/>
                <w:tab w:val="left" w:pos="2126"/>
                <w:tab w:val="left" w:pos="2835"/>
                <w:tab w:val="left" w:pos="3544"/>
                <w:tab w:val="left" w:pos="4253"/>
                <w:tab w:val="left" w:pos="4961"/>
                <w:tab w:val="left" w:pos="5670"/>
              </w:tabs>
              <w:wordWrap/>
              <w:topLinePunct w:val="0"/>
              <w:bidi w:val="0"/>
              <w:spacing w:line="360" w:lineRule="auto"/>
              <w:ind w:firstLine="420" w:firstLineChars="200"/>
              <w:jc w:val="both"/>
              <w:rPr>
                <w:rFonts w:hint="eastAsia" w:ascii="宋体" w:hAnsi="宋体" w:eastAsia="宋体" w:cs="宋体"/>
                <w:color w:val="auto"/>
                <w:highlight w:val="none"/>
              </w:rPr>
            </w:pPr>
          </w:p>
        </w:tc>
        <w:tc>
          <w:tcPr>
            <w:tcW w:w="3105" w:type="dxa"/>
            <w:tcBorders>
              <w:bottom w:val="single" w:color="auto" w:sz="4" w:space="0"/>
            </w:tcBorders>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室外最大风速</w:t>
            </w:r>
          </w:p>
        </w:tc>
        <w:tc>
          <w:tcPr>
            <w:tcW w:w="3630" w:type="dxa"/>
            <w:tcBorders>
              <w:bottom w:val="single" w:color="auto" w:sz="4" w:space="0"/>
            </w:tcBorders>
            <w:vAlign w:val="center"/>
          </w:tcPr>
          <w:p>
            <w:pPr>
              <w:keepNext w:val="0"/>
              <w:keepLines w:val="0"/>
              <w:pageBreakBefore w:val="0"/>
              <w:wordWrap/>
              <w:topLinePunct w:val="0"/>
              <w:bidi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55m/s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dxa"/>
            <w:tcBorders>
              <w:bottom w:val="single" w:color="auto" w:sz="4" w:space="0"/>
            </w:tcBorders>
            <w:vAlign w:val="center"/>
          </w:tcPr>
          <w:p>
            <w:pPr>
              <w:keepNext w:val="0"/>
              <w:keepLines w:val="0"/>
              <w:pageBreakBefore w:val="0"/>
              <w:numPr>
                <w:ilvl w:val="0"/>
                <w:numId w:val="5"/>
              </w:numPr>
              <w:tabs>
                <w:tab w:val="left" w:pos="709"/>
                <w:tab w:val="left" w:pos="2126"/>
                <w:tab w:val="left" w:pos="2835"/>
                <w:tab w:val="left" w:pos="3544"/>
                <w:tab w:val="left" w:pos="4253"/>
                <w:tab w:val="left" w:pos="4961"/>
                <w:tab w:val="left" w:pos="5670"/>
              </w:tabs>
              <w:wordWrap/>
              <w:topLinePunct w:val="0"/>
              <w:bidi w:val="0"/>
              <w:spacing w:line="360" w:lineRule="auto"/>
              <w:ind w:firstLine="420" w:firstLineChars="200"/>
              <w:jc w:val="both"/>
              <w:rPr>
                <w:rFonts w:hint="eastAsia" w:ascii="宋体" w:hAnsi="宋体" w:eastAsia="宋体" w:cs="宋体"/>
                <w:color w:val="auto"/>
                <w:highlight w:val="none"/>
              </w:rPr>
            </w:pPr>
          </w:p>
        </w:tc>
        <w:tc>
          <w:tcPr>
            <w:tcW w:w="3105" w:type="dxa"/>
            <w:tcBorders>
              <w:bottom w:val="single" w:color="auto" w:sz="4" w:space="0"/>
            </w:tcBorders>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风压值计算</w:t>
            </w:r>
          </w:p>
        </w:tc>
        <w:tc>
          <w:tcPr>
            <w:tcW w:w="3630" w:type="dxa"/>
            <w:tcBorders>
              <w:bottom w:val="single" w:color="auto" w:sz="4" w:space="0"/>
            </w:tcBorders>
            <w:vAlign w:val="center"/>
          </w:tcPr>
          <w:p>
            <w:pPr>
              <w:keepNext w:val="0"/>
              <w:keepLines w:val="0"/>
              <w:pageBreakBefore w:val="0"/>
              <w:wordWrap/>
              <w:topLinePunct w:val="0"/>
              <w:bidi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55kg/m</w:t>
            </w:r>
            <w:r>
              <w:rPr>
                <w:rFonts w:hint="eastAsia" w:ascii="宋体" w:hAnsi="宋体" w:eastAsia="宋体" w:cs="宋体"/>
                <w:color w:val="auto"/>
                <w:highlight w:val="none"/>
                <w:vertAlign w:val="superscript"/>
              </w:rPr>
              <w:t>2</w:t>
            </w:r>
          </w:p>
        </w:tc>
      </w:tr>
    </w:tbl>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p>
    <w:p>
      <w:pPr>
        <w:keepNext w:val="0"/>
        <w:keepLines w:val="0"/>
        <w:pageBreakBefore w:val="0"/>
        <w:wordWrap/>
        <w:topLinePunct w:val="0"/>
        <w:bidi w:val="0"/>
        <w:spacing w:line="360" w:lineRule="auto"/>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 机械配置要求</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1、发动机</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正面吊装配涡轮增加、四冲程、水冷、大功率的工业柴油发动机。发动机启动采用24伏的启动马达启动。发动机的输出功率：不低于</w:t>
      </w:r>
      <w:r>
        <w:rPr>
          <w:rFonts w:hint="eastAsia" w:ascii="宋体" w:hAnsi="宋体" w:eastAsia="宋体" w:cs="宋体"/>
          <w:color w:val="auto"/>
          <w:highlight w:val="none"/>
          <w:lang w:val="en-US" w:eastAsia="zh-CN"/>
        </w:rPr>
        <w:t>250</w:t>
      </w:r>
      <w:r>
        <w:rPr>
          <w:rFonts w:hint="eastAsia" w:ascii="宋体" w:hAnsi="宋体" w:eastAsia="宋体" w:cs="宋体"/>
          <w:color w:val="auto"/>
          <w:highlight w:val="none"/>
        </w:rPr>
        <w:t>千瓦。发动机必须使用成熟、著名国际品牌的发动机以适应集装箱正面吊教学的操作需要。且发动机须满足其机油的更换周期为250小时（发动机在操作250小时或以上才需要更换机油和滤芯）。</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 废气排放，不低于国三标准。</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1.3发动机检测系统须提供发动机机油油压、冷却水位、发动机温度的检测，如出现低压、低水位及发动机过热时，需传送信号给检测系统，同时驾驶室内部应当有警报响起，警报灯亮标明状态。</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1.4须提供发动机厂家的合格检测报告。</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1.5为避免对司机及其他接近正面吊的人员伤害，排放管必须朝着较高，向上方向。出气弯头能够防止雨水的进入。</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 空气进气口及滤芯位置能够防止雨水进入，在适当位置安装滤清器堵塞指示器。</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1.7油路</w:t>
      </w:r>
    </w:p>
    <w:p>
      <w:pPr>
        <w:keepNext w:val="0"/>
        <w:keepLines w:val="0"/>
        <w:pageBreakBefore w:val="0"/>
        <w:numPr>
          <w:ilvl w:val="0"/>
          <w:numId w:val="6"/>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发动机燃油路须配有油水分离器避免燃油中的水阻碍发动机的运转，并造成对发动机的损害。</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b. 从燃油箱到高压泵的吸油管尽可能的短，以避免气阻问题。</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1.8必须采用合适规格、风扇强制冷却水循环系统的水箱。水箱上须有水位感应塞。在正面吊驾驶室内部仪表盘上必须配备电子水位表及警报灯。</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燃油箱容量必须满足连续工作8小时教学作业的需求。在燃油箱的侧面须有一个燃油油位目视表。在正面吊司机室内部仪表盘上配有电子燃油油位表。燃油箱加油口必须配备滤网，油箱放油孔须配一个磁性塞。</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 转向系统及转向桥</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 转向必须是全液压转向。液压转向系统能够提供连续的操作灵活性。能有效的实现全左/全右。转向液压缸采用知名品牌的双向作用式单油缸，两端活塞杆安装防护罩。</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 方向盘可做高度和角度调节，以保证驾驶员操作适宜，安全可靠。转向系统所有构件要有足够的强度和刚度，转向桥与车身连接可靠，并设有防倾覆装置。</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 变速箱</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3.1 </w:t>
      </w:r>
      <w:r>
        <w:rPr>
          <w:rFonts w:hint="eastAsia" w:ascii="宋体" w:hAnsi="宋体" w:eastAsia="宋体" w:cs="宋体"/>
          <w:color w:val="auto"/>
          <w:highlight w:val="none"/>
        </w:rPr>
        <w:t>变速箱采用带液力变矩器的全流量全电控动力换挡变速箱</w:t>
      </w:r>
      <w:r>
        <w:rPr>
          <w:rFonts w:hint="eastAsia" w:ascii="宋体" w:hAnsi="宋体" w:eastAsia="宋体" w:cs="宋体"/>
          <w:color w:val="auto"/>
          <w:highlight w:val="none"/>
        </w:rPr>
        <w:t>。</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w:t>
      </w:r>
      <w:r>
        <w:rPr>
          <w:rFonts w:hint="eastAsia" w:ascii="宋体" w:hAnsi="宋体" w:eastAsia="宋体" w:cs="宋体"/>
          <w:color w:val="auto"/>
          <w:highlight w:val="none"/>
        </w:rPr>
        <w:t>变速箱由电伺服控制，变速箱的功率与发动机功率相匹配。</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3.3变速箱必须配有油压及油温感应器，当变速箱油温过热时有一个信号传送给驾驶室内的信号灯显示状态，同时警报器响。变速箱的滤芯必须容易清洗及更换。</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4、驱动及制动系统</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 驱动桥装有双减速差速器和轮边减速装置，能适应繁重恶劣工况。</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 驱动桥配备湿碟式刹车系统。</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4.3 </w:t>
      </w:r>
      <w:r>
        <w:rPr>
          <w:rFonts w:hint="eastAsia" w:ascii="宋体" w:hAnsi="宋体" w:eastAsia="宋体" w:cs="宋体"/>
          <w:color w:val="auto"/>
          <w:highlight w:val="none"/>
        </w:rPr>
        <w:t>驻车系统安装在驱动桥的输入轴上，靠大功率的弹簧（储能）工作，并且通过电伺服控制靠油压解除手刹车。</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5、液压系统</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 正面吊液压系统控制是通过电伺服系统控制和液压控制系统相结合，能够控制臂架的伸缩、起升/下降，吊具的旋转、20英尺-40英尺长度调整、闭锁、开锁、侧移、转向系统及制动系统。吊具控制机臂架控制方式为航空手柄控制。主系统的液力输出随载荷自动改变。液压阀、油泵性能参数不低于PARKER品牌相关产品。</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 双作用起升油缸必须配有锁止阀啊，防止油管突然爆裂后臂架失控下坠。液压系统中设有各种平衡阀，溢流阀和液压锁等保证设备安全可靠工作。</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 液压油箱须配有油位表或油温度指示器。</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 液压系统须设有独立且高效的冷却装置以提高效率。</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 液压系统应有测试点，测试点的位置应便于教学。</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6、臂架及吊具</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6.1正面吊伸缩式臂架须通过液压进行控制，设计须保证最大可能的强度要求。</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6.2 吊具为伸缩式吊具，可起吊20英尺、40英尺的集装箱，具有足够的强度和刚度。</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6.3吊具的旋转角度：顺时针旋转≥185，逆时针旋转≤-95</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6.4吊具的侧移量应大于±780mm。</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6.5正面吊上的旋锁机构的转销底座为浮动式，转销与着箱具有机械联锁功能，旋锁结构寿命要≥20万次工作循环。</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6.6吊具的对箱（着箱）、转销的开锁和闭锁功能必须在吊具上和司机室同时有LED 信号灯显示工作状态，并提供信息给司机进行安全操作。传送给信号灯的信号是靠安装在吊具上的传感器进行监测。当吊具未完全着箱时，无法操作起升机构。当吊具完全着箱时，吊具可自动操作闭锁。任何其他的错误信号将导致设备无法起升和下降。</w:t>
      </w:r>
    </w:p>
    <w:p>
      <w:pPr>
        <w:keepNext w:val="0"/>
        <w:keepLines w:val="0"/>
        <w:pageBreakBefore w:val="0"/>
        <w:wordWrap/>
        <w:topLinePunct w:val="0"/>
        <w:bidi w:val="0"/>
        <w:spacing w:line="360" w:lineRule="auto"/>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五、电气系统</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 xml:space="preserve">  设备采用24伏直流电流供电。每部正面吊必须配3副备用钥匙。</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1、蓄电池</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 必须使用两个最低容量180安时的12伏免维护干蓄电池。蓄电池必须串联以提供给正面吊24伏的电源。蓄电池的放电及充电系统必须满足操作环境的条件。</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 大功率、尺寸合适的主开关必须位于蓄电池架外容易接近的位置。带保护罩的主开关用来切断供应给正面吊的电源。</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1.3蓄电池接线头必须有绝缘的套耳。套耳不能与蓄电池电线端部做为一体。供应商须提供一根适应本项目正面吊蓄电池的NATO Plug。</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 蓄电池架</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 蓄电池架的设计须满足单人能容易地更换蓄电池。必须配备相应支架防止蓄电池移动。</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2.2蓄电池线（整长）须加装绝缘护套。蓄电池线通过的元件处必须用橡胶套予以隔离，防止割破。</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3、发电机（24伏）</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蓄电池必须采用稳定电压、自动调节的硅整流发电机充电，充电电流必须满足最大的用电电流。考虑到发动机操作过程中怠速时间较长，发电机必须具有低转速高输出的性能，同时在发动机怠速时能给蓄电池充电。</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4、启动马达（24伏）</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发动机启动马达为大功率马达。当发动机在运行时能防止再次启动发动机的系统保护，保护启动马达在发动机运行时突然操作马达时免受损坏。发动机只能在设备空挡时启动。</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5、</w:t>
      </w:r>
      <w:r>
        <w:rPr>
          <w:rFonts w:hint="eastAsia" w:ascii="宋体" w:hAnsi="宋体" w:eastAsia="宋体" w:cs="宋体"/>
          <w:b/>
          <w:color w:val="auto"/>
          <w:highlight w:val="none"/>
        </w:rPr>
        <w:t>工作灯</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必须配有大灯、雾灯、前后转向指示灯、刹车灯、倒车灯及倒车蜂鸣器。也需配备驾驶室内灯。工作灯的安装位置必须能比较容易观察到并避免受到损坏。所有照明灯须采用LED绿色照明。</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6、 线路</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电线布置合理、捆扎牢固，接线端应有线号。线与金属接触部位装有耐磨电线保护套，全车电缆应采用具有阻燃功能的耐油电缆。</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7、电子控制系统</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 正面吊必须配有用来控制液压伺服装置的电子控制系统，它能高效容易地进行操作。</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 所有的断路器及继电器应当放于1-2个电气箱内，方便后续教学指导。</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 电子控制系统各控制单元之间通过CANBUS进行通讯。通讯协议符合SAE J1939标准。</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8、</w:t>
      </w:r>
      <w:r>
        <w:rPr>
          <w:rFonts w:hint="eastAsia" w:ascii="宋体" w:hAnsi="宋体" w:eastAsia="宋体" w:cs="宋体"/>
          <w:b/>
          <w:color w:val="auto"/>
          <w:highlight w:val="none"/>
        </w:rPr>
        <w:t>重量检测系统和实时整车动态监控系统</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正面吊须配置重量检测系统。他能实时检测前后桥的载荷，当载荷超载时能通过位于驾驶室内的警报灯及蜂鸣器警示操作者并限制正面吊起升动作。</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9、安全保护装置</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 正面吊须配置倒车雷达系统。它能够检测正面吊后方近距离的人或物体。并通过位于驾驶室内的显示器显示与障碍物之间的距离，通过警报灯及蜂鸣器警示操作者。</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9.2正面吊吊具锁头处须配置2个吊具摄像头用于着箱辅助，摄像头图像应当在驾驶室内显示，吊具摄像头抗震性能达50g。其技术方案应在设计阶段与招标人确认。供应商有权在投标阶段提出是否随机配置该系统。</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9.3 正面吊须配置360全景倒车影像，通过车载显示屏能观察正面吊四周360度全景适时图像信息（鸟瞰图像）。</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9.4正面吊须配置人行识别检测监控系统，该系统可对正面吊周围的人形进行实时检测，不仅通过警报声提醒司机注意，而且在紧急状态下自动停车，并在显示器用红框标注出人的位置，避免碰撞事故。该系统可手动开启或关闭。技术方案应在设计阶段与招标人确认。供应商有权在投标阶段提出是否随机配置该系统。</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9.5正面吊驾驶室内须配置安全保护装置，驾驶员不坐在座椅上时，正面吊立即切断动力，防止机构误动作。其技术方案应在设计阶段与招标人确认。</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10、</w:t>
      </w:r>
      <w:r>
        <w:rPr>
          <w:rFonts w:hint="eastAsia" w:ascii="宋体" w:hAnsi="宋体" w:eastAsia="宋体" w:cs="宋体"/>
          <w:b/>
          <w:color w:val="auto"/>
          <w:highlight w:val="none"/>
        </w:rPr>
        <w:t>远程监控系统</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10.1 本项目集装箱正面吊教练机须实现远程监控功能，数据通讯的无线通讯系统将由供应商提供（以太网通讯模块2块、无线通讯天线2根、无线通讯基站、路由器等），供应商需根据学校现有情况进行调试和安装。正面吊的监控信息可传输至招标人终端控制中心。供应商应当提供必要的软件及硬件（招标人终端控制中心电脑由招标人提供）。其技术方案应在设计阶段与招标人确认。监控信息应当包含必要的正面吊运行状态数据及视频数据。</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10.2 集装箱正面吊按照人工本地操作模式设计，并按照远程自动化控制预留接口，预留接口包括但不仅限于以下：</w:t>
      </w:r>
    </w:p>
    <w:p>
      <w:pPr>
        <w:pStyle w:val="10"/>
        <w:keepNext w:val="0"/>
        <w:keepLines w:val="0"/>
        <w:pageBreakBefore w:val="0"/>
        <w:numPr>
          <w:ilvl w:val="0"/>
          <w:numId w:val="7"/>
        </w:numPr>
        <w:wordWrap/>
        <w:topLinePunct w:val="0"/>
        <w:bidi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预留足够的无线通讯带宽及速率。</w:t>
      </w:r>
    </w:p>
    <w:p>
      <w:pPr>
        <w:pStyle w:val="10"/>
        <w:keepNext w:val="0"/>
        <w:keepLines w:val="0"/>
        <w:pageBreakBefore w:val="0"/>
        <w:numPr>
          <w:ilvl w:val="0"/>
          <w:numId w:val="7"/>
        </w:numPr>
        <w:wordWrap/>
        <w:topLinePunct w:val="0"/>
        <w:bidi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预留足够容量的中央处理器性能，包括处理能力、内存、外部存储，I/O接口，通讯接口等。</w:t>
      </w:r>
    </w:p>
    <w:p>
      <w:pPr>
        <w:pStyle w:val="10"/>
        <w:keepNext w:val="0"/>
        <w:keepLines w:val="0"/>
        <w:pageBreakBefore w:val="0"/>
        <w:numPr>
          <w:ilvl w:val="0"/>
          <w:numId w:val="7"/>
        </w:numPr>
        <w:wordWrap/>
        <w:topLinePunct w:val="0"/>
        <w:bidi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预敷设自动化控制系统相关的电缆等</w:t>
      </w:r>
    </w:p>
    <w:p>
      <w:pPr>
        <w:pStyle w:val="10"/>
        <w:keepNext w:val="0"/>
        <w:keepLines w:val="0"/>
        <w:pageBreakBefore w:val="0"/>
        <w:numPr>
          <w:ilvl w:val="0"/>
          <w:numId w:val="7"/>
        </w:numPr>
        <w:wordWrap/>
        <w:topLinePunct w:val="0"/>
        <w:bidi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供应商认为应该预留的相关自动化功能。</w:t>
      </w:r>
    </w:p>
    <w:p>
      <w:pPr>
        <w:keepNext w:val="0"/>
        <w:keepLines w:val="0"/>
        <w:pageBreakBefore w:val="0"/>
        <w:wordWrap/>
        <w:topLinePunct w:val="0"/>
        <w:bidi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以上预留方案细节供应商必须在投标书中明确。供应商有权在投标阶段提出是否预留。</w:t>
      </w:r>
    </w:p>
    <w:p>
      <w:pPr>
        <w:keepNext w:val="0"/>
        <w:keepLines w:val="0"/>
        <w:pageBreakBefore w:val="0"/>
        <w:wordWrap/>
        <w:topLinePunct w:val="0"/>
        <w:bidi w:val="0"/>
        <w:spacing w:line="360" w:lineRule="auto"/>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六、教学性要求</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1、驾驶室</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驾驶室采用左行的驾驶室。驾驶室须装在机架上，且有橡胶垫来克服强烈的震动。驾驶室的设计必须考虑驾驶的安全及效率。司机座及液控主令航空手柄操作杆必须能够调整以给学生提供最可能的舒适。必须采用有效的隔离来减少震动及驾驶室内的噪音。在驾驶室合适位置配备教练椅（配置安全带及安全把手），并在教练椅附近配备紧停，确保紧急状况下，教师能迅速切断设备动力源。其驾驶室布置图应在设计阶段与招标人确认。</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2、司机座椅</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司机座椅的位置可前后移动，且须满足身高从1.54米到1.85米的学生能操作。司机室后部必须有充足的空间来允许这种移动。驾驶室带两个可锁的门。锁的设计必须安全可靠以避免门被风打开的突发情况。</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3、窗户</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驾驶室必须配备大的、高质量、柔和的玻璃。所有的玻璃必须是固定的并且用橡胶模（带）固定在驾驶室上来吸收冲击力和震动力。为了避免阳光的直接照射，采用高质量、柔和的玻璃及遮阳蓬必须能反射达到88%的红外线热量及95%的有害的紫外线辐射。司机室顶、前和后玻璃需安装防晒膜。</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4、驾驶室夜灯</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驾驶室内部顶棚必须安装一个带开关的LED小室灯。</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5、驾驶室底部</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驾驶室底部必须使用隔热材料来防止从发动机散发的热量进入驾驶室，驾驶室顶部有两层隔热层以防止太阳热量的进入，在夏季给操作员提供日夜舒适的操作环境。</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6、空调</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驾驶室必须配备空调，空调有制冷制热功能，给司机一个舒适的环境。</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7、灭火器</w:t>
      </w:r>
    </w:p>
    <w:p>
      <w:pPr>
        <w:pStyle w:val="4"/>
        <w:keepNext w:val="0"/>
        <w:keepLines w:val="0"/>
        <w:pageBreakBefore w:val="0"/>
        <w:tabs>
          <w:tab w:val="left" w:pos="709"/>
          <w:tab w:val="left" w:pos="1418"/>
          <w:tab w:val="left" w:pos="2126"/>
          <w:tab w:val="left" w:pos="2835"/>
          <w:tab w:val="left" w:pos="3544"/>
          <w:tab w:val="left" w:pos="4253"/>
          <w:tab w:val="left" w:pos="4961"/>
          <w:tab w:val="left" w:pos="5670"/>
        </w:tabs>
        <w:wordWrap/>
        <w:topLinePunct w:val="0"/>
        <w:bidi w:val="0"/>
        <w:spacing w:line="360" w:lineRule="auto"/>
        <w:ind w:firstLineChars="200"/>
        <w:rPr>
          <w:rFonts w:hint="eastAsia" w:ascii="宋体" w:hAnsi="宋体" w:eastAsia="宋体" w:cs="宋体"/>
          <w:color w:val="auto"/>
          <w:highlight w:val="none"/>
          <w:lang w:val="en-GB"/>
        </w:rPr>
      </w:pPr>
      <w:r>
        <w:rPr>
          <w:rFonts w:hint="eastAsia" w:ascii="宋体" w:hAnsi="宋体" w:eastAsia="宋体" w:cs="宋体"/>
          <w:color w:val="auto"/>
          <w:highlight w:val="none"/>
          <w:lang w:val="en-GB"/>
        </w:rPr>
        <w:t>配备容量不低于4公斤或更高的CO2 灭火器，共2瓶。须安装位于驾驶室外两侧较为显眼的位置，并用铁保护支架固定。</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8、润滑</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润滑装置须能保证设备的所有安置在易操作的位置滑动和滚动摩擦的运动零部件有良好的润滑。各集中控制的润滑点须安置在易操作的位置便于加油润滑，应设有各润滑点和加油周期的润滑系统标牌。所有润滑装置有防尘、防水措施。</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9、仪表</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驾驶室内应装有监控机械运转和操作的全套仪表、警告指示灯和迅响警报器。</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仪表包含但不限于以下功能：</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称重显示</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计时</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冷却液温度</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电压</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燃油量</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变速箱油压</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发动机油压</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变速箱油温</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警告指示灯包含但不限于以下功能：</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变速器油滤清器报警灯</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液压油滤清器阻塞报警灯 </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空气滤清器阻塞报警灯</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发动机机油压力警报器</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发动机机油温度警报器</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发动机水温警报器</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变速箱油温警报器</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超载报警器</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助动制动报警灯</w:t>
      </w:r>
    </w:p>
    <w:p>
      <w:pPr>
        <w:keepNext w:val="0"/>
        <w:keepLines w:val="0"/>
        <w:pageBreakBefore w:val="0"/>
        <w:numPr>
          <w:ilvl w:val="0"/>
          <w:numId w:val="8"/>
        </w:numPr>
        <w:wordWrap/>
        <w:topLinePunct w:val="0"/>
        <w:bidi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制动压力过低报警灯</w:t>
      </w:r>
    </w:p>
    <w:p>
      <w:pPr>
        <w:keepNext w:val="0"/>
        <w:keepLines w:val="0"/>
        <w:pageBreakBefore w:val="0"/>
        <w:wordWrap/>
        <w:topLinePunct w:val="0"/>
        <w:bidi w:val="0"/>
        <w:spacing w:line="360" w:lineRule="auto"/>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七、结构要求</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1、车架</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1.1车架结构采用优质钢材制造，全焊接，无封闭焊接箱型结构，内表面均涂漆。车架结构具有良好的刚度和强度，以抵抗冲击和扭转载荷。车架结构的设计应方便各部件的检查、教学和更换。车架结构在各种工况下具有良好的纵向和横向稳定性。车架必须有足够的平衡以满足较低的重心要求。转向桥必须设计为一个附加的平衡重量。液压油箱及燃油箱必须分离的，油箱必须设有高低位线以助于目测检测。 </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整车应设置完善的安全标志牌，所有安全标志、发光条是3C认证的产品并符合国家相关规定。臂架、吊具、车身周围、车体后部、登机梯、轮胎、发动机、液压系统等对人身、设备可能造成严重伤害的部位都必须有安全标识。车身周围、吊具周围有反光条，便于夜间识别。</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 车轮</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2.1在前轮单边装两个、后轮单边装一个带标准钢圈的无内胎轮胎（真空胎）。前后轮胎和轮辋能够互换。</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2.2如遇驱动桥的一只外侧轮胎破损泄气，同时额定载荷又处在最不利的位置上时，正面吊仍能保持稳定。</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3、油漆要求</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3.1油漆必须保证工作在沿海比例的环境下的防腐蚀及长寿命。</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3.2供应商必须提供最低两年的防裂、防腐防剥落及防褪色的保证。在保养过程中设备受到高压水或蒸气的清洗，在第一个两年之内油漆应正常不剥落褪色。设备使用的第一和第二层油漆应为不同颜色的涂料。</w:t>
      </w:r>
    </w:p>
    <w:p>
      <w:pPr>
        <w:keepNext w:val="0"/>
        <w:keepLines w:val="0"/>
        <w:pageBreakBefore w:val="0"/>
        <w:wordWrap/>
        <w:topLinePunct w:val="0"/>
        <w:bidi w:val="0"/>
        <w:spacing w:line="360" w:lineRule="auto"/>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八、其他要求</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1、图纸和技术资料</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供应商应随设备一起至少应免费提供与设备相符合的下列资料：</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1.1使用手册、保养手册、维修手册和配套手册两套。所有机上用油料在手册中必须注明中国相应替代品的牌号。</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1.2正面吊总体布置图</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 车架结构图</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 吊具结构图</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 驱动桥结构图</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 转向桥结构图</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 液压、液力系统原理图、布置图</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 制动系统原理图、布置图</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 整车电路图及仪表指示布置图</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 电气系统原理图及布置图</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上述图纸可单独提供，也可包含在维修手册中。最终资料和图纸需有电子版。电子版资料还应包含：最新全车线路图、全车液压图、全车报警代码及解释、电气系统报警代码及解释、保养手册。</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以上手册及图纸提供中文及英文两种版本。</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2、培训计划及内容</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 供应商应选派称职的、有丰富经验的技术工程师至招标人，针对专业教师免费进行技术培训，培训范围包括机械结构、机构、驾驶、电气原理、液压原理、控制器的读写，程序阅读等方面，培训周期不低于15个工作日。</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 供应商选派的培训人员在在招标人的各项费用（包括交通、食宿和其他相关费用）由供应商承担，招标人将协助安排培训相关事宜。</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2.3培训的方法采用理-实相结合的方式。供应商制定的培训大纲应在培训前一周提交招标人认可。</w:t>
      </w:r>
    </w:p>
    <w:p>
      <w:pPr>
        <w:keepNext w:val="0"/>
        <w:keepLines w:val="0"/>
        <w:pageBreakBefore w:val="0"/>
        <w:widowControl w:val="0"/>
        <w:wordWrap/>
        <w:overflowPunct w:val="0"/>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随机备件、随机工具；</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随机备件、随机工具清单须在投标时提供给招标人供招标人评估。</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4、教学套件</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1）电气系统相关零部件（如：钥匙开关、起动继电器、电瓶线、各电气子系统传感器、各电气系统继电器、相关典型线束，插头等）；</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2）液压系统典型零部件（如几个典型液压回路的电磁阀、液压阀、液压管等）；</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3）机械部分典型零部件（如吊具锁头等）；</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4）日常保养相关典型零部件（如空气滤芯、机油滤芯等）；</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5）驾驶室典型零部件（如操作手柄、控制箱、显示器等）</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6）集装箱（其中20英尺2个，40英尺1个）；</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7）带车轮检修登高梯；</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8）注意事项牌，具体内容在设计阶段经招标人确认后制作。</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以上小标题1-5部分零部件部分清单如下表所示，包括但不限于下表。</w:t>
      </w:r>
    </w:p>
    <w:tbl>
      <w:tblPr>
        <w:tblStyle w:val="7"/>
        <w:tblW w:w="8460" w:type="dxa"/>
        <w:tblInd w:w="0" w:type="dxa"/>
        <w:tblLayout w:type="autofit"/>
        <w:tblCellMar>
          <w:top w:w="0" w:type="dxa"/>
          <w:left w:w="108" w:type="dxa"/>
          <w:bottom w:w="0" w:type="dxa"/>
          <w:right w:w="108" w:type="dxa"/>
        </w:tblCellMar>
      </w:tblPr>
      <w:tblGrid>
        <w:gridCol w:w="700"/>
        <w:gridCol w:w="2200"/>
        <w:gridCol w:w="700"/>
        <w:gridCol w:w="1960"/>
        <w:gridCol w:w="700"/>
        <w:gridCol w:w="2200"/>
      </w:tblGrid>
      <w:tr>
        <w:tblPrEx>
          <w:tblCellMar>
            <w:top w:w="0" w:type="dxa"/>
            <w:left w:w="108" w:type="dxa"/>
            <w:bottom w:w="0" w:type="dxa"/>
            <w:right w:w="108" w:type="dxa"/>
          </w:tblCellMar>
        </w:tblPrEx>
        <w:trPr>
          <w:trHeight w:val="28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零件名称</w:t>
            </w:r>
          </w:p>
        </w:tc>
        <w:tc>
          <w:tcPr>
            <w:tcW w:w="7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零件名称</w:t>
            </w:r>
          </w:p>
        </w:tc>
        <w:tc>
          <w:tcPr>
            <w:tcW w:w="7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零件名称</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空气滤清器安全滤芯</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立式油量传感器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33</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插针</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空气滤清器主滤芯</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保险片50A</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34</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2位母头</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空气滤清器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SL-L 侧组合灯</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吊具供油阀组</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回油滤芯总成</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工作灯</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36</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单向阀</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密封圈</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转向灯</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37</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举升平衡阀组</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O形圈</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22</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倒车讯响器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38</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溢流阀</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液位计</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间歇继电器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39</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蓄能器充液阀</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温度开关</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24</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电源总开关</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40</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散热马达阀组</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燃油粗滤器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25</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电喇叭</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41</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电磁阀及吸油泵总成</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燃油精滤器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26</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闪光蜂鸣器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42</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泵出口单向阀组</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机油旁通滤芯</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27</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吸盘式弹头警示灯</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43</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电磁阀插头</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机油滤清器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28</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电源继电器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44</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吊具旋锁头</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后轮气门嘴</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29</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转向灯</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45</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钥匙开关</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外侧前轮气门嘴</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30</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刹车灯</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46</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方向手柄</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继电器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31</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两芯插座</w:t>
            </w:r>
          </w:p>
        </w:tc>
        <w:tc>
          <w:tcPr>
            <w:tcW w:w="70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220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w:t>
            </w:r>
          </w:p>
        </w:tc>
      </w:tr>
      <w:tr>
        <w:tblPrEx>
          <w:tblCellMar>
            <w:top w:w="0" w:type="dxa"/>
            <w:left w:w="108" w:type="dxa"/>
            <w:bottom w:w="0" w:type="dxa"/>
            <w:right w:w="108" w:type="dxa"/>
          </w:tblCellMar>
        </w:tblPrEx>
        <w:trPr>
          <w:trHeight w:val="2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22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迷你型断路器</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19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卡锁</w:t>
            </w:r>
          </w:p>
        </w:tc>
        <w:tc>
          <w:tcPr>
            <w:tcW w:w="70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220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w:t>
            </w:r>
          </w:p>
        </w:tc>
      </w:tr>
    </w:tbl>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5、服务要求</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 供应商应当保障每年110小时教学使用的燃油、液压油、润滑油等油液的补充、更换。服务需持续</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年。</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 供应商应当协助招标人购买一定年限内的车险并承担相关费用。</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 供应商应当协助招标人完成一定年限内的车检并承担相关费用。</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 供应商应当协助招标人完成车辆备案并承担相关费用。</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 供应商应当协助招标人5名教师获取特种车辆操作证及安全员证书并承担相关费用。</w:t>
      </w:r>
    </w:p>
    <w:p>
      <w:pPr>
        <w:keepNext w:val="0"/>
        <w:keepLines w:val="0"/>
        <w:pageBreakBefore w:val="0"/>
        <w:tabs>
          <w:tab w:val="center" w:pos="4153"/>
        </w:tabs>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5.6 </w:t>
      </w:r>
      <w:r>
        <w:rPr>
          <w:rFonts w:hint="eastAsia" w:ascii="宋体" w:hAnsi="宋体" w:eastAsia="宋体" w:cs="宋体"/>
          <w:color w:val="auto"/>
          <w:highlight w:val="none"/>
        </w:rPr>
        <w:t>供应商应当提供整机</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年质保、</w:t>
      </w:r>
      <w:r>
        <w:rPr>
          <w:rFonts w:hint="eastAsia" w:ascii="宋体" w:hAnsi="宋体" w:eastAsia="宋体" w:cs="宋体"/>
          <w:color w:val="auto"/>
          <w:highlight w:val="none"/>
          <w:lang w:val="en-US" w:eastAsia="zh-CN"/>
        </w:rPr>
        <w:t>提供前1000小时的车辆保养，终身</w:t>
      </w:r>
      <w:r>
        <w:rPr>
          <w:rFonts w:hint="eastAsia" w:ascii="宋体" w:hAnsi="宋体" w:eastAsia="宋体" w:cs="宋体"/>
          <w:color w:val="auto"/>
          <w:highlight w:val="none"/>
        </w:rPr>
        <w:t>免维修</w:t>
      </w:r>
      <w:r>
        <w:rPr>
          <w:rFonts w:hint="eastAsia" w:ascii="宋体" w:hAnsi="宋体" w:eastAsia="宋体" w:cs="宋体"/>
          <w:color w:val="auto"/>
          <w:highlight w:val="none"/>
          <w:lang w:val="en-US" w:eastAsia="zh-CN"/>
        </w:rPr>
        <w:t>人工费用</w:t>
      </w:r>
      <w:r>
        <w:rPr>
          <w:rFonts w:hint="eastAsia" w:ascii="宋体" w:hAnsi="宋体" w:eastAsia="宋体" w:cs="宋体"/>
          <w:color w:val="auto"/>
          <w:highlight w:val="none"/>
        </w:rPr>
        <w:t>。</w:t>
      </w:r>
      <w:r>
        <w:rPr>
          <w:rFonts w:hint="eastAsia" w:ascii="宋体" w:hAnsi="宋体" w:eastAsia="宋体" w:cs="宋体"/>
          <w:color w:val="auto"/>
          <w:highlight w:val="none"/>
        </w:rPr>
        <w:tab/>
      </w:r>
    </w:p>
    <w:p>
      <w:pPr>
        <w:pStyle w:val="6"/>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5.7 供应商在国内及供应商所在地应设有完备的售后服务机构及品种齐全的备件仓库。售后服务的装备、资质人员的数量、备件保有量及供应时间、服务响应时间等方面的情况及承诺应在投标时提供给招标人供招标人评估。</w:t>
      </w:r>
    </w:p>
    <w:p>
      <w:pPr>
        <w:keepNext w:val="0"/>
        <w:keepLines w:val="0"/>
        <w:pageBreakBefore w:val="0"/>
        <w:wordWrap/>
        <w:topLinePunct w:val="0"/>
        <w:bidi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6、成果性要求（以下各项为选择项）</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6.1为全面落实上海市委、市政府《关于推进新时期上海产业工人队伍建设改革的实施意见》，沪工总基13号《关于深化上海产业工人队伍建设改革推进校企合作工作指导意见》[2021]，校企双方签署校企合作框架协议； </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6.2 甲乙双方共同建立产教融合实训基地，为协同提升学生技术技能、培训企业员工和服务社会提供实训场所。</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6.3 甲乙双方基于产教融合实训基地，共同开发校企合作课程4门及教材4本以上。</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6.4 产教融合实训基地在服务社会方面，甲乙双方每年至少完成一定人次的社会人员培训。</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 产教融合实训基地在提升学生技术技能方面，甲乙双方逐步实现专业学生培养的三个目标：</w:t>
      </w:r>
    </w:p>
    <w:p>
      <w:pPr>
        <w:pStyle w:val="10"/>
        <w:keepNext w:val="0"/>
        <w:keepLines w:val="0"/>
        <w:pageBreakBefore w:val="0"/>
        <w:numPr>
          <w:ilvl w:val="0"/>
          <w:numId w:val="9"/>
        </w:numPr>
        <w:wordWrap/>
        <w:topLinePunct w:val="0"/>
        <w:bidi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初阶目标</w:t>
      </w:r>
    </w:p>
    <w:p>
      <w:pPr>
        <w:pStyle w:val="10"/>
        <w:keepNext w:val="0"/>
        <w:keepLines w:val="0"/>
        <w:pageBreakBefore w:val="0"/>
        <w:wordWrap/>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掌握港口流动机械基础理论、港口流机驾驶操作方法。</w:t>
      </w:r>
    </w:p>
    <w:p>
      <w:pPr>
        <w:pStyle w:val="10"/>
        <w:keepNext w:val="0"/>
        <w:keepLines w:val="0"/>
        <w:pageBreakBefore w:val="0"/>
        <w:numPr>
          <w:ilvl w:val="0"/>
          <w:numId w:val="9"/>
        </w:numPr>
        <w:wordWrap/>
        <w:topLinePunct w:val="0"/>
        <w:bidi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中阶基本技能</w:t>
      </w:r>
    </w:p>
    <w:p>
      <w:pPr>
        <w:pStyle w:val="10"/>
        <w:keepNext w:val="0"/>
        <w:keepLines w:val="0"/>
        <w:pageBreakBefore w:val="0"/>
        <w:wordWrap/>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能对港口流机进行简单机械、液压、电气模块拆装、维修；流动机械驾驶的基本技能。</w:t>
      </w:r>
    </w:p>
    <w:p>
      <w:pPr>
        <w:pStyle w:val="10"/>
        <w:keepNext w:val="0"/>
        <w:keepLines w:val="0"/>
        <w:pageBreakBefore w:val="0"/>
        <w:numPr>
          <w:ilvl w:val="0"/>
          <w:numId w:val="9"/>
        </w:numPr>
        <w:wordWrap/>
        <w:topLinePunct w:val="0"/>
        <w:bidi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高阶专业技能</w:t>
      </w:r>
    </w:p>
    <w:p>
      <w:pPr>
        <w:pStyle w:val="10"/>
        <w:keepNext w:val="0"/>
        <w:keepLines w:val="0"/>
        <w:pageBreakBefore w:val="0"/>
        <w:wordWrap/>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能进行机电液讯一体化安装调试，对港口流机典型故障进行诊断及排除。</w:t>
      </w:r>
    </w:p>
    <w:p>
      <w:pPr>
        <w:keepNext w:val="0"/>
        <w:keepLines w:val="0"/>
        <w:pageBreakBefore w:val="0"/>
        <w:wordWrap/>
        <w:topLinePunct w:val="0"/>
        <w:bidi w:val="0"/>
        <w:spacing w:line="360" w:lineRule="auto"/>
        <w:ind w:firstLine="420" w:firstLineChars="200"/>
        <w:rPr>
          <w:rFonts w:hint="eastAsia" w:ascii="宋体" w:hAnsi="宋体" w:eastAsia="宋体" w:cs="宋体"/>
          <w:color w:val="auto"/>
          <w:highlight w:val="none"/>
        </w:rPr>
        <w:sectPr>
          <w:footerReference r:id="rId3" w:type="default"/>
          <w:pgSz w:w="11906" w:h="16839"/>
          <w:pgMar w:top="1060" w:right="1672" w:bottom="889" w:left="1091" w:header="0" w:footer="0" w:gutter="0"/>
          <w:cols w:space="720" w:num="1"/>
        </w:sectPr>
      </w:pPr>
      <w:r>
        <w:rPr>
          <w:rFonts w:hint="eastAsia" w:ascii="宋体" w:hAnsi="宋体" w:eastAsia="宋体" w:cs="宋体"/>
          <w:color w:val="auto"/>
          <w:highlight w:val="none"/>
        </w:rPr>
        <w:t>6.6甲乙双方在校企合作期间内，供应商每年提供不低于30个实习岗位，实习期不低于半年，实习期满企业方根据学生表现、学生意愿按一定比例招录为服务工程师（本工）。</w:t>
      </w:r>
    </w:p>
    <w:bookmarkEnd w:id="2"/>
    <w:p>
      <w:pPr>
        <w:keepNext w:val="0"/>
        <w:keepLines w:val="0"/>
        <w:pageBreakBefore w:val="0"/>
        <w:wordWrap/>
        <w:topLinePunct w:val="0"/>
        <w:bidi w:val="0"/>
        <w:spacing w:line="360" w:lineRule="auto"/>
        <w:rPr>
          <w:rFonts w:hint="eastAsia" w:ascii="宋体" w:hAnsi="宋体" w:eastAsia="宋体" w:cs="宋体"/>
          <w:color w:val="auto"/>
          <w:highlight w:val="none"/>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366"/>
      <w:rPr>
        <w:rFonts w:ascii="Calibri" w:hAnsi="Calibri" w:eastAsia="Calibri" w:cs="Calibri"/>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BC1A8"/>
    <w:multiLevelType w:val="singleLevel"/>
    <w:tmpl w:val="AE6BC1A8"/>
    <w:lvl w:ilvl="0" w:tentative="0">
      <w:start w:val="1"/>
      <w:numFmt w:val="bullet"/>
      <w:lvlText w:val=""/>
      <w:lvlJc w:val="left"/>
      <w:pPr>
        <w:ind w:left="420" w:hanging="420"/>
      </w:pPr>
      <w:rPr>
        <w:rFonts w:hint="default" w:ascii="Wingdings" w:hAnsi="Wingdings"/>
      </w:rPr>
    </w:lvl>
  </w:abstractNum>
  <w:abstractNum w:abstractNumId="1">
    <w:nsid w:val="0E673144"/>
    <w:multiLevelType w:val="multilevel"/>
    <w:tmpl w:val="0E6731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69D7EB6"/>
    <w:multiLevelType w:val="singleLevel"/>
    <w:tmpl w:val="269D7EB6"/>
    <w:lvl w:ilvl="0" w:tentative="0">
      <w:start w:val="1"/>
      <w:numFmt w:val="lowerLetter"/>
      <w:lvlText w:val="%1."/>
      <w:lvlJc w:val="left"/>
      <w:pPr>
        <w:tabs>
          <w:tab w:val="left" w:pos="360"/>
        </w:tabs>
        <w:ind w:left="0" w:firstLine="0"/>
      </w:pPr>
      <w:rPr>
        <w:rFonts w:hint="default" w:ascii="Times New Roman" w:hAnsi="Times New Roman"/>
        <w:b w:val="0"/>
        <w:i w:val="0"/>
        <w:sz w:val="22"/>
      </w:rPr>
    </w:lvl>
  </w:abstractNum>
  <w:abstractNum w:abstractNumId="3">
    <w:nsid w:val="281899D0"/>
    <w:multiLevelType w:val="singleLevel"/>
    <w:tmpl w:val="281899D0"/>
    <w:lvl w:ilvl="0" w:tentative="0">
      <w:start w:val="1"/>
      <w:numFmt w:val="decimal"/>
      <w:lvlText w:val="(%1)"/>
      <w:lvlJc w:val="left"/>
      <w:pPr>
        <w:ind w:left="425" w:hanging="425"/>
      </w:pPr>
      <w:rPr>
        <w:rFonts w:hint="default"/>
      </w:rPr>
    </w:lvl>
  </w:abstractNum>
  <w:abstractNum w:abstractNumId="4">
    <w:nsid w:val="4C66238A"/>
    <w:multiLevelType w:val="multilevel"/>
    <w:tmpl w:val="4C6623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3D7191D"/>
    <w:multiLevelType w:val="multilevel"/>
    <w:tmpl w:val="53D7191D"/>
    <w:lvl w:ilvl="0" w:tentative="0">
      <w:start w:val="1"/>
      <w:numFmt w:val="bullet"/>
      <w:lvlText w:val=""/>
      <w:lvlJc w:val="left"/>
      <w:pPr>
        <w:ind w:left="855" w:hanging="420"/>
      </w:pPr>
      <w:rPr>
        <w:rFonts w:hint="default" w:ascii="Wingdings" w:hAnsi="Wingdings"/>
      </w:rPr>
    </w:lvl>
    <w:lvl w:ilvl="1" w:tentative="0">
      <w:start w:val="1"/>
      <w:numFmt w:val="bullet"/>
      <w:lvlText w:val=""/>
      <w:lvlJc w:val="left"/>
      <w:pPr>
        <w:ind w:left="1275" w:hanging="420"/>
      </w:pPr>
      <w:rPr>
        <w:rFonts w:hint="default" w:ascii="Wingdings" w:hAnsi="Wingdings"/>
      </w:rPr>
    </w:lvl>
    <w:lvl w:ilvl="2" w:tentative="0">
      <w:start w:val="1"/>
      <w:numFmt w:val="bullet"/>
      <w:lvlText w:val=""/>
      <w:lvlJc w:val="left"/>
      <w:pPr>
        <w:ind w:left="1695" w:hanging="420"/>
      </w:pPr>
      <w:rPr>
        <w:rFonts w:hint="default" w:ascii="Wingdings" w:hAnsi="Wingdings"/>
      </w:rPr>
    </w:lvl>
    <w:lvl w:ilvl="3" w:tentative="0">
      <w:start w:val="1"/>
      <w:numFmt w:val="bullet"/>
      <w:lvlText w:val=""/>
      <w:lvlJc w:val="left"/>
      <w:pPr>
        <w:ind w:left="2115" w:hanging="420"/>
      </w:pPr>
      <w:rPr>
        <w:rFonts w:hint="default" w:ascii="Wingdings" w:hAnsi="Wingdings"/>
      </w:rPr>
    </w:lvl>
    <w:lvl w:ilvl="4" w:tentative="0">
      <w:start w:val="1"/>
      <w:numFmt w:val="bullet"/>
      <w:lvlText w:val=""/>
      <w:lvlJc w:val="left"/>
      <w:pPr>
        <w:ind w:left="2535" w:hanging="420"/>
      </w:pPr>
      <w:rPr>
        <w:rFonts w:hint="default" w:ascii="Wingdings" w:hAnsi="Wingdings"/>
      </w:rPr>
    </w:lvl>
    <w:lvl w:ilvl="5" w:tentative="0">
      <w:start w:val="1"/>
      <w:numFmt w:val="bullet"/>
      <w:lvlText w:val=""/>
      <w:lvlJc w:val="left"/>
      <w:pPr>
        <w:ind w:left="2955" w:hanging="420"/>
      </w:pPr>
      <w:rPr>
        <w:rFonts w:hint="default" w:ascii="Wingdings" w:hAnsi="Wingdings"/>
      </w:rPr>
    </w:lvl>
    <w:lvl w:ilvl="6" w:tentative="0">
      <w:start w:val="1"/>
      <w:numFmt w:val="bullet"/>
      <w:lvlText w:val=""/>
      <w:lvlJc w:val="left"/>
      <w:pPr>
        <w:ind w:left="3375" w:hanging="420"/>
      </w:pPr>
      <w:rPr>
        <w:rFonts w:hint="default" w:ascii="Wingdings" w:hAnsi="Wingdings"/>
      </w:rPr>
    </w:lvl>
    <w:lvl w:ilvl="7" w:tentative="0">
      <w:start w:val="1"/>
      <w:numFmt w:val="bullet"/>
      <w:lvlText w:val=""/>
      <w:lvlJc w:val="left"/>
      <w:pPr>
        <w:ind w:left="3795" w:hanging="420"/>
      </w:pPr>
      <w:rPr>
        <w:rFonts w:hint="default" w:ascii="Wingdings" w:hAnsi="Wingdings"/>
      </w:rPr>
    </w:lvl>
    <w:lvl w:ilvl="8" w:tentative="0">
      <w:start w:val="1"/>
      <w:numFmt w:val="bullet"/>
      <w:lvlText w:val=""/>
      <w:lvlJc w:val="left"/>
      <w:pPr>
        <w:ind w:left="4215" w:hanging="420"/>
      </w:pPr>
      <w:rPr>
        <w:rFonts w:hint="default" w:ascii="Wingdings" w:hAnsi="Wingdings"/>
      </w:rPr>
    </w:lvl>
  </w:abstractNum>
  <w:abstractNum w:abstractNumId="6">
    <w:nsid w:val="58D74794"/>
    <w:multiLevelType w:val="singleLevel"/>
    <w:tmpl w:val="58D74794"/>
    <w:lvl w:ilvl="0" w:tentative="0">
      <w:start w:val="1"/>
      <w:numFmt w:val="lowerLetter"/>
      <w:suff w:val="space"/>
      <w:lvlText w:val="%1."/>
      <w:lvlJc w:val="left"/>
      <w:pPr>
        <w:ind w:left="233" w:firstLine="0"/>
      </w:pPr>
    </w:lvl>
  </w:abstractNum>
  <w:abstractNum w:abstractNumId="7">
    <w:nsid w:val="740821D8"/>
    <w:multiLevelType w:val="multilevel"/>
    <w:tmpl w:val="740821D8"/>
    <w:lvl w:ilvl="0" w:tentative="0">
      <w:start w:val="1"/>
      <w:numFmt w:val="bullet"/>
      <w:lvlText w:val=""/>
      <w:lvlJc w:val="left"/>
      <w:pPr>
        <w:ind w:left="855" w:hanging="420"/>
      </w:pPr>
      <w:rPr>
        <w:rFonts w:hint="default" w:ascii="Wingdings" w:hAnsi="Wingdings"/>
      </w:rPr>
    </w:lvl>
    <w:lvl w:ilvl="1" w:tentative="0">
      <w:start w:val="1"/>
      <w:numFmt w:val="bullet"/>
      <w:lvlText w:val=""/>
      <w:lvlJc w:val="left"/>
      <w:pPr>
        <w:ind w:left="1275" w:hanging="420"/>
      </w:pPr>
      <w:rPr>
        <w:rFonts w:hint="default" w:ascii="Wingdings" w:hAnsi="Wingdings"/>
      </w:rPr>
    </w:lvl>
    <w:lvl w:ilvl="2" w:tentative="0">
      <w:start w:val="1"/>
      <w:numFmt w:val="bullet"/>
      <w:lvlText w:val=""/>
      <w:lvlJc w:val="left"/>
      <w:pPr>
        <w:ind w:left="1695" w:hanging="420"/>
      </w:pPr>
      <w:rPr>
        <w:rFonts w:hint="default" w:ascii="Wingdings" w:hAnsi="Wingdings"/>
      </w:rPr>
    </w:lvl>
    <w:lvl w:ilvl="3" w:tentative="0">
      <w:start w:val="1"/>
      <w:numFmt w:val="bullet"/>
      <w:lvlText w:val=""/>
      <w:lvlJc w:val="left"/>
      <w:pPr>
        <w:ind w:left="2115" w:hanging="420"/>
      </w:pPr>
      <w:rPr>
        <w:rFonts w:hint="default" w:ascii="Wingdings" w:hAnsi="Wingdings"/>
      </w:rPr>
    </w:lvl>
    <w:lvl w:ilvl="4" w:tentative="0">
      <w:start w:val="1"/>
      <w:numFmt w:val="bullet"/>
      <w:lvlText w:val=""/>
      <w:lvlJc w:val="left"/>
      <w:pPr>
        <w:ind w:left="2535" w:hanging="420"/>
      </w:pPr>
      <w:rPr>
        <w:rFonts w:hint="default" w:ascii="Wingdings" w:hAnsi="Wingdings"/>
      </w:rPr>
    </w:lvl>
    <w:lvl w:ilvl="5" w:tentative="0">
      <w:start w:val="1"/>
      <w:numFmt w:val="bullet"/>
      <w:lvlText w:val=""/>
      <w:lvlJc w:val="left"/>
      <w:pPr>
        <w:ind w:left="2955" w:hanging="420"/>
      </w:pPr>
      <w:rPr>
        <w:rFonts w:hint="default" w:ascii="Wingdings" w:hAnsi="Wingdings"/>
      </w:rPr>
    </w:lvl>
    <w:lvl w:ilvl="6" w:tentative="0">
      <w:start w:val="1"/>
      <w:numFmt w:val="bullet"/>
      <w:lvlText w:val=""/>
      <w:lvlJc w:val="left"/>
      <w:pPr>
        <w:ind w:left="3375" w:hanging="420"/>
      </w:pPr>
      <w:rPr>
        <w:rFonts w:hint="default" w:ascii="Wingdings" w:hAnsi="Wingdings"/>
      </w:rPr>
    </w:lvl>
    <w:lvl w:ilvl="7" w:tentative="0">
      <w:start w:val="1"/>
      <w:numFmt w:val="bullet"/>
      <w:lvlText w:val=""/>
      <w:lvlJc w:val="left"/>
      <w:pPr>
        <w:ind w:left="3795" w:hanging="420"/>
      </w:pPr>
      <w:rPr>
        <w:rFonts w:hint="default" w:ascii="Wingdings" w:hAnsi="Wingdings"/>
      </w:rPr>
    </w:lvl>
    <w:lvl w:ilvl="8" w:tentative="0">
      <w:start w:val="1"/>
      <w:numFmt w:val="bullet"/>
      <w:lvlText w:val=""/>
      <w:lvlJc w:val="left"/>
      <w:pPr>
        <w:ind w:left="4215" w:hanging="420"/>
      </w:pPr>
      <w:rPr>
        <w:rFonts w:hint="default" w:ascii="Wingdings" w:hAnsi="Wingdings"/>
      </w:rPr>
    </w:lvl>
  </w:abstractNum>
  <w:abstractNum w:abstractNumId="8">
    <w:nsid w:val="7C5F3030"/>
    <w:multiLevelType w:val="singleLevel"/>
    <w:tmpl w:val="7C5F3030"/>
    <w:lvl w:ilvl="0" w:tentative="0">
      <w:start w:val="1"/>
      <w:numFmt w:val="decimal"/>
      <w:lvlText w:val="(%1)"/>
      <w:lvlJc w:val="left"/>
      <w:pPr>
        <w:ind w:left="425" w:hanging="425"/>
      </w:pPr>
      <w:rPr>
        <w:rFonts w:hint="default"/>
      </w:rPr>
    </w:lvl>
  </w:abstractNum>
  <w:num w:numId="1">
    <w:abstractNumId w:val="8"/>
  </w:num>
  <w:num w:numId="2">
    <w:abstractNumId w:val="3"/>
  </w:num>
  <w:num w:numId="3">
    <w:abstractNumId w:val="7"/>
  </w:num>
  <w:num w:numId="4">
    <w:abstractNumId w:val="5"/>
  </w:num>
  <w:num w:numId="5">
    <w:abstractNumId w:val="2"/>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D2B61B4"/>
    <w:rsid w:val="1053716A"/>
    <w:rsid w:val="14A416DA"/>
    <w:rsid w:val="219F0AC7"/>
    <w:rsid w:val="242B219E"/>
    <w:rsid w:val="31917DA3"/>
    <w:rsid w:val="35C0154F"/>
    <w:rsid w:val="39166F60"/>
    <w:rsid w:val="3B455DE4"/>
    <w:rsid w:val="3D17730C"/>
    <w:rsid w:val="3E2C4BE1"/>
    <w:rsid w:val="46195EA3"/>
    <w:rsid w:val="4E872543"/>
    <w:rsid w:val="4F1B6D58"/>
    <w:rsid w:val="5E296148"/>
    <w:rsid w:val="5FF4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sz w:val="30"/>
      <w:szCs w:val="20"/>
    </w:rPr>
  </w:style>
  <w:style w:type="paragraph" w:styleId="3">
    <w:name w:val="Body Text Indent"/>
    <w:basedOn w:val="1"/>
    <w:qFormat/>
    <w:uiPriority w:val="99"/>
    <w:pPr>
      <w:ind w:firstLine="570"/>
    </w:pPr>
    <w:rPr>
      <w:rFonts w:ascii="宋体" w:eastAsia="宋体"/>
      <w:sz w:val="28"/>
    </w:rPr>
  </w:style>
  <w:style w:type="paragraph" w:styleId="4">
    <w:name w:val="Normal Indent"/>
    <w:basedOn w:val="1"/>
    <w:qFormat/>
    <w:uiPriority w:val="0"/>
    <w:pPr>
      <w:ind w:firstLine="420"/>
    </w:pPr>
  </w:style>
  <w:style w:type="paragraph" w:styleId="5">
    <w:name w:val="annotation text"/>
    <w:basedOn w:val="1"/>
    <w:qFormat/>
    <w:uiPriority w:val="0"/>
  </w:style>
  <w:style w:type="paragraph" w:styleId="6">
    <w:name w:val="Plain Text"/>
    <w:basedOn w:val="1"/>
    <w:semiHidden/>
    <w:unhideWhenUsed/>
    <w:qFormat/>
    <w:uiPriority w:val="99"/>
    <w:rPr>
      <w:rFonts w:ascii="宋体" w:hAnsi="Courier New" w:eastAsia="宋体" w:cs="Courier New"/>
    </w:rPr>
  </w:style>
  <w:style w:type="character" w:styleId="9">
    <w:name w:val="annotation reference"/>
    <w:basedOn w:val="8"/>
    <w:qFormat/>
    <w:uiPriority w:val="0"/>
    <w:rPr>
      <w:sz w:val="21"/>
      <w:szCs w:val="21"/>
    </w:rPr>
  </w:style>
  <w:style w:type="paragraph" w:styleId="10">
    <w:name w:val="List Paragraph"/>
    <w:basedOn w:val="1"/>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8007</Words>
  <Characters>8461</Characters>
  <Lines>0</Lines>
  <Paragraphs>0</Paragraphs>
  <TotalTime>56</TotalTime>
  <ScaleCrop>false</ScaleCrop>
  <LinksUpToDate>false</LinksUpToDate>
  <CharactersWithSpaces>8724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2022-08-17T06:39:00Z</dcterms:created>
  <dc:creator>Administrator</dc:creator>
  <cp:lastModifiedBy>zheng</cp:lastModifiedBy>
  <dcterms:modified xsi:type="dcterms:W3CDTF">2022-10-15T09:59:53Z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423C6F0478804F8A85F84740B82BA007</vt:lpwstr>
  </property>
</Properties>
</file>