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1"/>
          <w:numId w:val="0"/>
        </w:numPr>
        <w:bidi w:val="0"/>
        <w:ind w:leftChars="0"/>
        <w:jc w:val="center"/>
        <w:rPr>
          <w:rFonts w:hint="eastAsia"/>
          <w:highlight w:val="none"/>
          <w:lang w:val="en-US" w:eastAsia="zh-CN"/>
        </w:rPr>
      </w:pPr>
      <w:r>
        <w:rPr>
          <w:rFonts w:hint="eastAsia"/>
          <w:highlight w:val="none"/>
          <w:lang w:val="en-US" w:eastAsia="zh-CN"/>
        </w:rPr>
        <w:t>2023年上海市公安局奉贤分局餐饮服务项目需求文件</w:t>
      </w:r>
    </w:p>
    <w:p>
      <w:pPr>
        <w:rPr>
          <w:rFonts w:hint="default"/>
          <w:lang w:val="en-US" w:eastAsia="zh-CN"/>
        </w:rPr>
      </w:pPr>
    </w:p>
    <w:p>
      <w:pPr>
        <w:pStyle w:val="5"/>
        <w:numPr>
          <w:ilvl w:val="1"/>
          <w:numId w:val="0"/>
        </w:numPr>
        <w:bidi w:val="0"/>
        <w:ind w:leftChars="0"/>
        <w:rPr>
          <w:rFonts w:hint="default"/>
          <w:highlight w:val="none"/>
          <w:lang w:val="en-US" w:eastAsia="zh-CN"/>
        </w:rPr>
      </w:pPr>
      <w:r>
        <w:rPr>
          <w:rFonts w:hint="eastAsia"/>
          <w:highlight w:val="none"/>
          <w:lang w:val="en-US" w:eastAsia="zh-CN"/>
        </w:rPr>
        <w:t>包件一</w:t>
      </w:r>
    </w:p>
    <w:p>
      <w:pPr>
        <w:pStyle w:val="7"/>
        <w:pageBreakBefore w:val="0"/>
        <w:widowControl w:val="0"/>
        <w:kinsoku/>
        <w:wordWrap/>
        <w:overflowPunct/>
        <w:topLinePunct w:val="0"/>
        <w:autoSpaceDE/>
        <w:autoSpaceDN/>
        <w:bidi w:val="0"/>
        <w:adjustRightInd/>
        <w:snapToGrid/>
        <w:spacing w:line="360" w:lineRule="auto"/>
        <w:ind w:left="0" w:firstLine="482" w:firstLineChars="200"/>
        <w:jc w:val="left"/>
        <w:textAlignment w:val="auto"/>
        <w:outlineLvl w:val="9"/>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一、（南桥中心城区各食堂）各点位分布及岗位设置要求</w:t>
      </w:r>
    </w:p>
    <w:tbl>
      <w:tblPr>
        <w:tblStyle w:val="12"/>
        <w:tblW w:w="10225" w:type="dxa"/>
        <w:tblInd w:w="-3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7"/>
        <w:gridCol w:w="1101"/>
        <w:gridCol w:w="862"/>
        <w:gridCol w:w="1063"/>
        <w:gridCol w:w="975"/>
        <w:gridCol w:w="1037"/>
        <w:gridCol w:w="1213"/>
        <w:gridCol w:w="987"/>
        <w:gridCol w:w="1100"/>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序号</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点位名称</w:t>
            </w:r>
          </w:p>
        </w:tc>
        <w:tc>
          <w:tcPr>
            <w:tcW w:w="7237" w:type="dxa"/>
            <w:gridSpan w:val="7"/>
            <w:tcBorders>
              <w:top w:val="single" w:color="000000" w:sz="4" w:space="0"/>
              <w:left w:val="single" w:color="000000" w:sz="4" w:space="0"/>
              <w:bottom w:val="single" w:color="auto" w:sz="4" w:space="0"/>
              <w:right w:val="single" w:color="000000" w:sz="4" w:space="0"/>
            </w:tcBorders>
            <w:shd w:val="clear" w:color="auto" w:fill="auto"/>
            <w:noWrap/>
            <w:vAlign w:val="center"/>
          </w:tcPr>
          <w:p>
            <w:pPr>
              <w:bidi w:val="0"/>
              <w:jc w:val="center"/>
              <w:rPr>
                <w:rFonts w:hint="eastAsia"/>
                <w:highlight w:val="none"/>
                <w:lang w:val="en-US" w:eastAsia="zh-CN"/>
              </w:rPr>
            </w:pPr>
            <w:r>
              <w:rPr>
                <w:rFonts w:hint="eastAsia"/>
                <w:highlight w:val="none"/>
                <w:lang w:val="en-US" w:eastAsia="zh-CN"/>
              </w:rPr>
              <w:t>食堂岗位分布安排需求</w:t>
            </w:r>
          </w:p>
        </w:tc>
        <w:tc>
          <w:tcPr>
            <w:tcW w:w="1100" w:type="dxa"/>
            <w:vMerge w:val="restart"/>
            <w:tcBorders>
              <w:top w:val="single" w:color="000000" w:sz="4" w:space="0"/>
              <w:left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highlight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highlight w:val="none"/>
              </w:rPr>
            </w:pPr>
          </w:p>
        </w:tc>
        <w:tc>
          <w:tcPr>
            <w:tcW w:w="862" w:type="dxa"/>
            <w:tcBorders>
              <w:top w:val="single" w:color="auto"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highlight w:val="none"/>
                <w:lang w:val="en-US" w:eastAsia="zh-CN"/>
              </w:rPr>
            </w:pPr>
            <w:r>
              <w:rPr>
                <w:rFonts w:hint="eastAsia"/>
                <w:highlight w:val="none"/>
                <w:lang w:val="en-US" w:eastAsia="zh-CN"/>
              </w:rPr>
              <w:t>主管、经理需求数</w:t>
            </w:r>
          </w:p>
        </w:tc>
        <w:tc>
          <w:tcPr>
            <w:tcW w:w="1063" w:type="dxa"/>
            <w:tcBorders>
              <w:top w:val="single" w:color="auto"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highlight w:val="none"/>
              </w:rPr>
            </w:pPr>
            <w:r>
              <w:rPr>
                <w:rFonts w:hint="eastAsia"/>
                <w:highlight w:val="none"/>
                <w:lang w:val="en-US" w:eastAsia="zh-CN"/>
              </w:rPr>
              <w:t>厨师（厨工和厨师长）需求数</w:t>
            </w:r>
          </w:p>
        </w:tc>
        <w:tc>
          <w:tcPr>
            <w:tcW w:w="975" w:type="dxa"/>
            <w:tcBorders>
              <w:top w:val="single" w:color="auto"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highlight w:val="none"/>
              </w:rPr>
            </w:pPr>
            <w:r>
              <w:rPr>
                <w:rFonts w:hint="eastAsia"/>
                <w:highlight w:val="none"/>
                <w:lang w:val="en-US" w:eastAsia="zh-CN"/>
              </w:rPr>
              <w:t>点心师需求数</w:t>
            </w:r>
          </w:p>
        </w:tc>
        <w:tc>
          <w:tcPr>
            <w:tcW w:w="1037" w:type="dxa"/>
            <w:tcBorders>
              <w:top w:val="single" w:color="auto"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highlight w:val="none"/>
              </w:rPr>
            </w:pPr>
            <w:r>
              <w:rPr>
                <w:rFonts w:hint="eastAsia"/>
                <w:highlight w:val="none"/>
                <w:lang w:val="en-US" w:eastAsia="zh-CN"/>
              </w:rPr>
              <w:t>仓库、统计需求数</w:t>
            </w:r>
          </w:p>
        </w:tc>
        <w:tc>
          <w:tcPr>
            <w:tcW w:w="1213" w:type="dxa"/>
            <w:tcBorders>
              <w:top w:val="single" w:color="auto"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highlight w:val="none"/>
                <w:lang w:val="en-US" w:eastAsia="zh-CN"/>
              </w:rPr>
            </w:pPr>
            <w:r>
              <w:rPr>
                <w:rFonts w:hint="eastAsia"/>
                <w:highlight w:val="none"/>
                <w:lang w:val="en-US" w:eastAsia="zh-CN"/>
              </w:rPr>
              <w:t>洗碗、切配等辅助工需求数</w:t>
            </w:r>
          </w:p>
        </w:tc>
        <w:tc>
          <w:tcPr>
            <w:tcW w:w="987" w:type="dxa"/>
            <w:tcBorders>
              <w:top w:val="single" w:color="auto" w:sz="4" w:space="0"/>
              <w:left w:val="single" w:color="000000" w:sz="4" w:space="0"/>
              <w:right w:val="single" w:color="000000" w:sz="4" w:space="0"/>
            </w:tcBorders>
            <w:shd w:val="clear" w:color="auto" w:fill="auto"/>
            <w:noWrap/>
            <w:vAlign w:val="center"/>
          </w:tcPr>
          <w:p>
            <w:pPr>
              <w:bidi w:val="0"/>
              <w:jc w:val="center"/>
              <w:rPr>
                <w:rFonts w:hint="default"/>
                <w:highlight w:val="none"/>
                <w:lang w:val="en-US" w:eastAsia="zh-CN"/>
              </w:rPr>
            </w:pPr>
            <w:r>
              <w:rPr>
                <w:rFonts w:hint="eastAsia"/>
                <w:highlight w:val="none"/>
                <w:lang w:val="en-US" w:eastAsia="zh-CN"/>
              </w:rPr>
              <w:t>服务员</w:t>
            </w:r>
          </w:p>
        </w:tc>
        <w:tc>
          <w:tcPr>
            <w:tcW w:w="1100" w:type="dxa"/>
            <w:tcBorders>
              <w:left w:val="single" w:color="000000" w:sz="4" w:space="0"/>
              <w:right w:val="single" w:color="000000" w:sz="4" w:space="0"/>
            </w:tcBorders>
            <w:shd w:val="clear" w:color="auto" w:fill="auto"/>
            <w:noWrap/>
            <w:vAlign w:val="center"/>
          </w:tcPr>
          <w:p>
            <w:pPr>
              <w:bidi w:val="0"/>
              <w:jc w:val="center"/>
              <w:rPr>
                <w:rFonts w:hint="default"/>
                <w:highlight w:val="none"/>
                <w:lang w:val="en-US" w:eastAsia="zh-CN"/>
              </w:rPr>
            </w:pPr>
            <w:r>
              <w:rPr>
                <w:rFonts w:hint="eastAsia"/>
                <w:highlight w:val="none"/>
                <w:lang w:val="en-US" w:eastAsia="zh-CN"/>
              </w:rPr>
              <w:t>夜宵</w:t>
            </w:r>
          </w:p>
        </w:tc>
        <w:tc>
          <w:tcPr>
            <w:tcW w:w="1100" w:type="dxa"/>
            <w:vMerge w:val="continue"/>
            <w:tcBorders>
              <w:left w:val="single" w:color="000000" w:sz="4" w:space="0"/>
              <w:right w:val="single" w:color="000000" w:sz="4" w:space="0"/>
            </w:tcBorders>
            <w:shd w:val="clear" w:color="auto" w:fill="auto"/>
            <w:noWrap/>
            <w:vAlign w:val="center"/>
          </w:tcPr>
          <w:p>
            <w:pPr>
              <w:bidi w:val="0"/>
              <w:rPr>
                <w:rFonts w:hint="eastAsia"/>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1</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highlight w:val="none"/>
              </w:rPr>
            </w:pPr>
            <w:r>
              <w:rPr>
                <w:rFonts w:hint="eastAsia"/>
                <w:highlight w:val="none"/>
                <w:lang w:val="en-US" w:eastAsia="zh-CN"/>
              </w:rPr>
              <w:t>分局大院食堂</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default"/>
                <w:highlight w:val="none"/>
                <w:lang w:val="en-US" w:eastAsia="zh-CN"/>
              </w:rPr>
            </w:pPr>
            <w:r>
              <w:rPr>
                <w:rFonts w:hint="eastAsia"/>
                <w:highlight w:val="none"/>
                <w:lang w:val="en-US" w:eastAsia="zh-CN"/>
              </w:rPr>
              <w:t>2人</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default"/>
                <w:highlight w:val="none"/>
                <w:lang w:val="en-US"/>
              </w:rPr>
            </w:pPr>
            <w:r>
              <w:rPr>
                <w:rFonts w:hint="eastAsia"/>
                <w:highlight w:val="none"/>
                <w:lang w:val="en-US" w:eastAsia="zh-CN"/>
              </w:rPr>
              <w:t>5人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3人</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1人</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12人</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default"/>
                <w:highlight w:val="none"/>
                <w:lang w:val="en-US" w:eastAsia="zh-CN"/>
              </w:rPr>
            </w:pPr>
            <w:r>
              <w:rPr>
                <w:rFonts w:hint="eastAsia"/>
                <w:highlight w:val="none"/>
                <w:lang w:val="en-US" w:eastAsia="zh-CN"/>
              </w:rPr>
              <w:t>3人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default"/>
                <w:highlight w:val="none"/>
                <w:lang w:val="en-US" w:eastAsia="zh-CN"/>
              </w:rPr>
            </w:pPr>
            <w:r>
              <w:rPr>
                <w:rFonts w:hint="eastAsia"/>
                <w:highlight w:val="none"/>
                <w:lang w:val="en-US" w:eastAsia="zh-CN"/>
              </w:rPr>
              <w:t>1人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27人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2</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highlight w:val="none"/>
              </w:rPr>
            </w:pPr>
            <w:r>
              <w:rPr>
                <w:rFonts w:hint="eastAsia"/>
                <w:highlight w:val="none"/>
                <w:lang w:val="en-US" w:eastAsia="zh-CN"/>
              </w:rPr>
              <w:t>分局西渡食堂</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default"/>
                <w:highlight w:val="none"/>
                <w:lang w:val="en-US" w:eastAsia="zh-CN"/>
              </w:rPr>
            </w:pPr>
            <w:r>
              <w:rPr>
                <w:rFonts w:hint="eastAsia"/>
                <w:highlight w:val="none"/>
                <w:lang w:val="en-US" w:eastAsia="zh-CN"/>
              </w:rPr>
              <w:t>0人</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1人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1人</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1人</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2人</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default"/>
                <w:highlight w:val="none"/>
                <w:lang w:val="en-US" w:eastAsia="zh-CN"/>
              </w:rPr>
            </w:pPr>
            <w:r>
              <w:rPr>
                <w:rFonts w:hint="eastAsia"/>
                <w:highlight w:val="none"/>
                <w:lang w:val="en-US" w:eastAsia="zh-CN"/>
              </w:rPr>
              <w:t>0人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lang w:val="en-US" w:eastAsia="zh-CN"/>
              </w:rPr>
            </w:pPr>
            <w:r>
              <w:rPr>
                <w:rFonts w:hint="eastAsia"/>
                <w:highlight w:val="none"/>
                <w:lang w:val="en-US" w:eastAsia="zh-CN"/>
              </w:rPr>
              <w:t>0人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3</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highlight w:val="none"/>
              </w:rPr>
            </w:pPr>
            <w:r>
              <w:rPr>
                <w:rFonts w:hint="eastAsia"/>
                <w:highlight w:val="none"/>
                <w:lang w:val="en-US" w:eastAsia="zh-CN"/>
              </w:rPr>
              <w:t>分局交警支队食堂</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lang w:val="en-US" w:eastAsia="zh-CN"/>
              </w:rPr>
            </w:pPr>
            <w:r>
              <w:rPr>
                <w:rFonts w:hint="eastAsia"/>
                <w:highlight w:val="none"/>
                <w:lang w:val="en-US" w:eastAsia="zh-CN"/>
              </w:rPr>
              <w:t>0人</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2人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default" w:eastAsia="宋体"/>
                <w:highlight w:val="none"/>
                <w:lang w:val="en-US" w:eastAsia="zh-CN"/>
              </w:rPr>
            </w:pPr>
            <w:r>
              <w:rPr>
                <w:rFonts w:hint="eastAsia"/>
                <w:highlight w:val="none"/>
                <w:lang w:val="en-US" w:eastAsia="zh-CN"/>
              </w:rPr>
              <w:t>1人</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1人</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3人</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lang w:val="en-US" w:eastAsia="zh-CN"/>
              </w:rPr>
            </w:pPr>
            <w:r>
              <w:rPr>
                <w:rFonts w:hint="eastAsia"/>
                <w:highlight w:val="none"/>
                <w:lang w:val="en-US" w:eastAsia="zh-CN"/>
              </w:rPr>
              <w:t>0人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lang w:val="en-US" w:eastAsia="zh-CN"/>
              </w:rPr>
            </w:pPr>
            <w:r>
              <w:rPr>
                <w:rFonts w:hint="eastAsia"/>
                <w:highlight w:val="none"/>
                <w:lang w:val="en-US" w:eastAsia="zh-CN"/>
              </w:rPr>
              <w:t>0人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4</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highlight w:val="none"/>
              </w:rPr>
            </w:pPr>
            <w:r>
              <w:rPr>
                <w:rFonts w:hint="eastAsia"/>
                <w:highlight w:val="none"/>
                <w:lang w:val="en-US" w:eastAsia="zh-CN"/>
              </w:rPr>
              <w:t>分局沪杭大院食堂。</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lang w:val="en-US" w:eastAsia="zh-CN"/>
              </w:rPr>
            </w:pPr>
            <w:r>
              <w:rPr>
                <w:rFonts w:hint="eastAsia"/>
                <w:highlight w:val="none"/>
                <w:lang w:val="en-US" w:eastAsia="zh-CN"/>
              </w:rPr>
              <w:t>0人</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2人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1人</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1人</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3人</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lang w:val="en-US" w:eastAsia="zh-CN"/>
              </w:rPr>
            </w:pPr>
            <w:r>
              <w:rPr>
                <w:rFonts w:hint="eastAsia"/>
                <w:highlight w:val="none"/>
                <w:lang w:val="en-US" w:eastAsia="zh-CN"/>
              </w:rPr>
              <w:t>0人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lang w:val="en-US" w:eastAsia="zh-CN"/>
              </w:rPr>
            </w:pPr>
            <w:r>
              <w:rPr>
                <w:rFonts w:hint="eastAsia"/>
                <w:highlight w:val="none"/>
                <w:lang w:val="en-US" w:eastAsia="zh-CN"/>
              </w:rPr>
              <w:t>0人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default"/>
                <w:highlight w:val="none"/>
                <w:lang w:val="en-US"/>
              </w:rPr>
            </w:pPr>
            <w:r>
              <w:rPr>
                <w:rFonts w:hint="eastAsia"/>
                <w:highlight w:val="none"/>
                <w:lang w:val="en-US" w:eastAsia="zh-CN"/>
              </w:rPr>
              <w:t>总计/人</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lang w:val="en-US" w:eastAsia="zh-CN"/>
              </w:rPr>
            </w:pPr>
            <w:r>
              <w:rPr>
                <w:rFonts w:hint="eastAsia"/>
                <w:highlight w:val="none"/>
                <w:lang w:val="en-US" w:eastAsia="zh-CN"/>
              </w:rPr>
              <w:t>2人</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10人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6人</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4人</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20人</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lang w:val="en-US" w:eastAsia="zh-CN"/>
              </w:rPr>
            </w:pPr>
            <w:r>
              <w:rPr>
                <w:rFonts w:hint="eastAsia"/>
                <w:highlight w:val="none"/>
                <w:lang w:val="en-US" w:eastAsia="zh-CN"/>
              </w:rPr>
              <w:t>3人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lang w:val="en-US" w:eastAsia="zh-CN"/>
              </w:rPr>
            </w:pPr>
            <w:r>
              <w:rPr>
                <w:rFonts w:hint="eastAsia"/>
                <w:highlight w:val="none"/>
                <w:lang w:val="en-US" w:eastAsia="zh-CN"/>
              </w:rPr>
              <w:t>1人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46人</w:t>
            </w:r>
          </w:p>
        </w:tc>
      </w:tr>
    </w:tbl>
    <w:p>
      <w:pPr>
        <w:pageBreakBefore w:val="0"/>
        <w:widowControl w:val="0"/>
        <w:kinsoku/>
        <w:wordWrap/>
        <w:overflowPunct/>
        <w:topLinePunct w:val="0"/>
        <w:autoSpaceDE/>
        <w:autoSpaceDN/>
        <w:bidi w:val="0"/>
        <w:adjustRightInd/>
        <w:snapToGrid/>
        <w:spacing w:line="360" w:lineRule="auto"/>
        <w:ind w:left="0" w:firstLine="482" w:firstLineChars="200"/>
        <w:jc w:val="left"/>
        <w:textAlignment w:val="auto"/>
        <w:outlineLvl w:val="9"/>
        <w:rPr>
          <w:rFonts w:hint="eastAsia" w:ascii="宋体" w:hAnsi="宋体" w:eastAsia="宋体" w:cs="宋体"/>
          <w:b/>
          <w:bCs/>
          <w:sz w:val="24"/>
          <w:szCs w:val="24"/>
          <w:highlight w:val="none"/>
        </w:rPr>
      </w:pPr>
    </w:p>
    <w:p>
      <w:pPr>
        <w:pageBreakBefore w:val="0"/>
        <w:widowControl w:val="0"/>
        <w:kinsoku/>
        <w:wordWrap/>
        <w:overflowPunct/>
        <w:topLinePunct w:val="0"/>
        <w:autoSpaceDE/>
        <w:autoSpaceDN/>
        <w:bidi w:val="0"/>
        <w:adjustRightInd/>
        <w:snapToGrid/>
        <w:spacing w:line="360" w:lineRule="auto"/>
        <w:ind w:left="0" w:firstLine="482"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b/>
          <w:bCs/>
          <w:sz w:val="24"/>
          <w:szCs w:val="24"/>
          <w:highlight w:val="none"/>
        </w:rPr>
        <w:t>如遇特殊情况，可在确保总人数不变的情况下，自行调整。</w:t>
      </w:r>
    </w:p>
    <w:p>
      <w:pPr>
        <w:pageBreakBefore w:val="0"/>
        <w:widowControl w:val="0"/>
        <w:kinsoku/>
        <w:wordWrap/>
        <w:overflowPunct/>
        <w:topLinePunct w:val="0"/>
        <w:autoSpaceDE/>
        <w:autoSpaceDN/>
        <w:bidi w:val="0"/>
        <w:adjustRightInd/>
        <w:snapToGrid/>
        <w:spacing w:line="360" w:lineRule="auto"/>
        <w:ind w:left="0" w:firstLine="482" w:firstLineChars="200"/>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 </w:t>
      </w: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人员要求</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、厨师岗位不少于1</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人（</w:t>
      </w:r>
      <w:r>
        <w:rPr>
          <w:rFonts w:hint="eastAsia" w:ascii="宋体" w:hAnsi="宋体" w:eastAsia="宋体" w:cs="宋体"/>
          <w:b/>
          <w:bCs/>
          <w:kern w:val="0"/>
          <w:sz w:val="24"/>
          <w:szCs w:val="24"/>
          <w:highlight w:val="none"/>
        </w:rPr>
        <w:t>★</w:t>
      </w:r>
      <w:r>
        <w:rPr>
          <w:rFonts w:hint="eastAsia" w:ascii="宋体" w:hAnsi="宋体" w:eastAsia="宋体" w:cs="宋体"/>
          <w:b/>
          <w:bCs/>
          <w:sz w:val="24"/>
          <w:szCs w:val="24"/>
          <w:highlight w:val="none"/>
        </w:rPr>
        <w:t>必须具备厨师岗位资格证</w:t>
      </w:r>
      <w:r>
        <w:rPr>
          <w:rFonts w:hint="eastAsia" w:ascii="宋体" w:hAnsi="宋体" w:cs="宋体"/>
          <w:b/>
          <w:bCs/>
          <w:sz w:val="24"/>
          <w:szCs w:val="24"/>
          <w:highlight w:val="none"/>
          <w:lang w:val="en-US" w:eastAsia="zh-CN"/>
        </w:rPr>
        <w:t>书</w:t>
      </w:r>
      <w:bookmarkStart w:id="0" w:name="_GoBack"/>
      <w:bookmarkEnd w:id="0"/>
      <w:r>
        <w:rPr>
          <w:rFonts w:hint="eastAsia" w:ascii="宋体" w:hAnsi="宋体" w:eastAsia="宋体" w:cs="宋体"/>
          <w:sz w:val="24"/>
          <w:szCs w:val="24"/>
          <w:highlight w:val="none"/>
        </w:rPr>
        <w:t>）；</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、点心师岗位不少于</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人（</w:t>
      </w:r>
      <w:r>
        <w:rPr>
          <w:rFonts w:hint="eastAsia" w:ascii="宋体" w:hAnsi="宋体" w:eastAsia="宋体" w:cs="宋体"/>
          <w:b/>
          <w:bCs/>
          <w:kern w:val="0"/>
          <w:sz w:val="24"/>
          <w:szCs w:val="24"/>
          <w:highlight w:val="none"/>
        </w:rPr>
        <w:t>★</w:t>
      </w:r>
      <w:r>
        <w:rPr>
          <w:rFonts w:hint="eastAsia" w:ascii="宋体" w:hAnsi="宋体" w:eastAsia="宋体" w:cs="宋体"/>
          <w:b/>
          <w:bCs/>
          <w:sz w:val="24"/>
          <w:szCs w:val="24"/>
          <w:highlight w:val="none"/>
        </w:rPr>
        <w:t>必须具备初级及以上点心师证书</w:t>
      </w:r>
      <w:r>
        <w:rPr>
          <w:rFonts w:hint="eastAsia" w:ascii="宋体" w:hAnsi="宋体" w:eastAsia="宋体" w:cs="宋体"/>
          <w:sz w:val="24"/>
          <w:szCs w:val="24"/>
          <w:highlight w:val="none"/>
        </w:rPr>
        <w:t>）；</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、仓库、统计兼充卡岗位</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人；</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、切配、洗碗工等辅助岗位不少于</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人；</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sz w:val="24"/>
          <w:szCs w:val="24"/>
          <w:highlight w:val="none"/>
        </w:rPr>
        <w:t>共计不少于</w:t>
      </w:r>
      <w:r>
        <w:rPr>
          <w:rFonts w:hint="eastAsia" w:ascii="宋体" w:hAnsi="宋体" w:cs="宋体"/>
          <w:sz w:val="24"/>
          <w:szCs w:val="24"/>
          <w:highlight w:val="none"/>
          <w:lang w:val="en-US" w:eastAsia="zh-CN"/>
        </w:rPr>
        <w:t>46</w:t>
      </w:r>
      <w:r>
        <w:rPr>
          <w:rFonts w:hint="eastAsia" w:ascii="宋体" w:hAnsi="宋体" w:eastAsia="宋体" w:cs="宋体"/>
          <w:sz w:val="24"/>
          <w:szCs w:val="24"/>
          <w:highlight w:val="none"/>
        </w:rPr>
        <w:t>人，所有</w:t>
      </w:r>
      <w:r>
        <w:rPr>
          <w:rFonts w:hint="eastAsia" w:ascii="宋体" w:hAnsi="宋体" w:eastAsia="宋体" w:cs="宋体"/>
          <w:kern w:val="0"/>
          <w:sz w:val="24"/>
          <w:szCs w:val="24"/>
          <w:highlight w:val="none"/>
        </w:rPr>
        <w:t>人员必</w:t>
      </w:r>
      <w:r>
        <w:rPr>
          <w:rFonts w:hint="eastAsia" w:ascii="宋体" w:hAnsi="宋体" w:eastAsia="宋体" w:cs="宋体"/>
          <w:sz w:val="24"/>
          <w:szCs w:val="24"/>
          <w:highlight w:val="none"/>
        </w:rPr>
        <w:t>须持有有效身份证和健康证,其中男性要求不高于55周岁，女性不高于50周岁。同时，从业人员必须具有上海市餐饮服务从业人员食品安全知识培训合格证明，不少于8人。</w:t>
      </w:r>
    </w:p>
    <w:p>
      <w:pPr>
        <w:pStyle w:val="17"/>
        <w:pageBreakBefore w:val="0"/>
        <w:widowControl w:val="0"/>
        <w:kinsoku/>
        <w:wordWrap/>
        <w:overflowPunct/>
        <w:topLinePunct w:val="0"/>
        <w:autoSpaceDE/>
        <w:autoSpaceDN/>
        <w:bidi w:val="0"/>
        <w:adjustRightInd/>
        <w:snapToGrid/>
        <w:spacing w:line="360" w:lineRule="auto"/>
        <w:ind w:left="0" w:firstLine="482" w:firstLineChars="200"/>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三、食堂配置</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1、水、电、煤气齐全。</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2、食堂均有相应的粗细加工间；主副食加工间、主副食仓库、调料库、清洗消毒间、备餐间、冷藏室等房间齐全（经市卫生防疫站审定）。</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3、各食堂均配备微机智能售饭系统；</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4、提供设备：油烟净化设备、连体餐桌；包房园桌椅等。</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5、食品加工设备、清洗设备、消毒设备、餐具等配备齐全。</w:t>
      </w:r>
    </w:p>
    <w:p>
      <w:pPr>
        <w:pStyle w:val="18"/>
        <w:pageBreakBefore w:val="0"/>
        <w:widowControl w:val="0"/>
        <w:kinsoku/>
        <w:wordWrap/>
        <w:overflowPunct/>
        <w:topLinePunct w:val="0"/>
        <w:autoSpaceDE/>
        <w:autoSpaceDN/>
        <w:bidi w:val="0"/>
        <w:adjustRightInd/>
        <w:snapToGrid/>
        <w:spacing w:line="360" w:lineRule="auto"/>
        <w:ind w:left="0" w:firstLine="482"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四、服务要求</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1、就餐形式：自选、自助餐、客饭、外送客饭、宴请、熟食、水果、饮料、外卖食品等。</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2、原材料的采购由业主单位负责，中标方负责配合业主方完成原材料的质量及安全检测工作。</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3、早、中、晚餐，要求提供中式早点、中式干点、西点等。</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4、就餐时段：早餐、午餐、晚餐、夜宵，早、中、晚餐供餐时间每餐约1小时45分钟。</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5、特殊供餐：根据通知提供处置突发事件人员就餐，基本以外送为主，提供二个以上档次的饭菜组合供选择。供餐必须按指定要求进行供应。</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6、节假日及每周定时提供外买服务，供应种类为点心、净菜、半成品菜、卤菜等。节假日可进行预订供应。</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7、全年提供供餐服务，一般情况下双休日及节假日就餐人数相应减少。</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color w:val="FF0000"/>
          <w:sz w:val="24"/>
          <w:szCs w:val="24"/>
          <w:highlight w:val="none"/>
        </w:rPr>
      </w:pPr>
      <w:r>
        <w:rPr>
          <w:rFonts w:hint="eastAsia" w:ascii="宋体" w:hAnsi="宋体" w:eastAsia="宋体" w:cs="宋体"/>
          <w:sz w:val="24"/>
          <w:szCs w:val="24"/>
          <w:highlight w:val="none"/>
        </w:rPr>
        <w:t>8、应急服务要求：如遇突发情况或者紧急事件造成就餐人数临时增加，业主提前通知中标方临时就餐人数，中标方必须根据自定的紧急预案进行就餐保障（包括应需的外送饭菜），业主不承担期间造成的任何人工费用。同时中标方需配合采购方处理相关的突发事件（如实物中毒等）。</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9、食品卫生及安全要求：中标人必须严格执行《中华人民共和国食品安全法》、《餐饮业和集体用餐配送单位卫生规范》、《中华人民共和国消防法》、《中华人民共和国安全生产法》等各项国家及地方法规。</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并承诺拒绝接收下列食品（包括原料、辅料、调味料、成品及半成品）：</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1）有毒、有害、腐烂、酸败、生虫、污秽不洁、混有异物或者其他感官性状态异常的食品；</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2）无品名、产地、生产厂商、生产日期、批号、代号、规格、或者主要成分、质保期等标识不全的定型包装食品和食品添加剂；</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3）无检验合格的证明的禽类食品或注水掺水肉禽食品；</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4）国家明令禁止的野生动植物；</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5）不得使用来源不明的食品，禁止加工和提供“回锅菜”；</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6）使用的食物农药残留量不得超过国家规定标准，提倡使用绿色食品。</w:t>
      </w:r>
    </w:p>
    <w:p>
      <w:pPr>
        <w:pageBreakBefore w:val="0"/>
        <w:widowControl w:val="0"/>
        <w:kinsoku/>
        <w:wordWrap/>
        <w:overflowPunct/>
        <w:topLinePunct w:val="0"/>
        <w:autoSpaceDE/>
        <w:autoSpaceDN/>
        <w:bidi w:val="0"/>
        <w:adjustRightInd/>
        <w:snapToGrid/>
        <w:spacing w:line="360" w:lineRule="auto"/>
        <w:ind w:left="0" w:firstLine="482" w:firstLineChars="200"/>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注：★投标人需提供对合法用工、合规操作的承诺以及食品安全承诺函，并承诺若出现食品安全相关问题，愿接受采购人相关处罚，若出现违法现象，愿意承担相关的法律责任。</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10、环境卫生</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中标人必须保证经营场所（包括操作区和就餐区）环境整洁。并接受采购单位及本地区卫生监督部门检查考核，如发生食物中毒事件必须及时整顿整改并接受处罚。</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11、服务质量</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中标人必须做到供应品种丰富，菜肴质量好，服务态度佳。</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12、资产管理</w:t>
      </w:r>
    </w:p>
    <w:p>
      <w:pPr>
        <w:pStyle w:val="18"/>
        <w:pageBreakBefore w:val="0"/>
        <w:widowControl w:val="0"/>
        <w:kinsoku/>
        <w:wordWrap/>
        <w:overflowPunct/>
        <w:topLinePunct w:val="0"/>
        <w:autoSpaceDE/>
        <w:autoSpaceDN/>
        <w:bidi w:val="0"/>
        <w:adjustRightInd/>
        <w:snapToGrid/>
        <w:spacing w:line="360" w:lineRule="auto"/>
        <w:ind w:left="0" w:firstLine="720" w:firstLineChars="3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1）中标人对院方提供的各类设备设施有妥善保管和爱惜使用的责任。</w:t>
      </w:r>
    </w:p>
    <w:p>
      <w:pPr>
        <w:pStyle w:val="18"/>
        <w:pageBreakBefore w:val="0"/>
        <w:widowControl w:val="0"/>
        <w:kinsoku/>
        <w:wordWrap/>
        <w:overflowPunct/>
        <w:topLinePunct w:val="0"/>
        <w:autoSpaceDE/>
        <w:autoSpaceDN/>
        <w:bidi w:val="0"/>
        <w:adjustRightInd/>
        <w:snapToGrid/>
        <w:spacing w:line="360" w:lineRule="auto"/>
        <w:ind w:left="0" w:firstLine="720" w:firstLineChars="3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2）中标人签署合同时应对现有设备设施进行验收。</w:t>
      </w:r>
    </w:p>
    <w:p>
      <w:pPr>
        <w:pStyle w:val="18"/>
        <w:pageBreakBefore w:val="0"/>
        <w:widowControl w:val="0"/>
        <w:kinsoku/>
        <w:wordWrap/>
        <w:overflowPunct/>
        <w:topLinePunct w:val="0"/>
        <w:autoSpaceDE/>
        <w:autoSpaceDN/>
        <w:bidi w:val="0"/>
        <w:adjustRightInd/>
        <w:snapToGrid/>
        <w:spacing w:line="360" w:lineRule="auto"/>
        <w:ind w:left="0" w:firstLine="720" w:firstLineChars="3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3）服务过程中发现设备设施故障应立即报修。</w:t>
      </w:r>
    </w:p>
    <w:p>
      <w:pPr>
        <w:pStyle w:val="18"/>
        <w:pageBreakBefore w:val="0"/>
        <w:widowControl w:val="0"/>
        <w:kinsoku/>
        <w:wordWrap/>
        <w:overflowPunct/>
        <w:topLinePunct w:val="0"/>
        <w:autoSpaceDE/>
        <w:autoSpaceDN/>
        <w:bidi w:val="0"/>
        <w:adjustRightInd/>
        <w:snapToGrid/>
        <w:spacing w:line="360" w:lineRule="auto"/>
        <w:ind w:left="0" w:firstLine="720" w:firstLineChars="3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4）遗失、人为损坏或因使用不当导致设备提前报废的，中标人须按折旧价的20%--90%进行赔偿。</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13、中标方应制定相应的内部管理规范，报业主报备。</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14、</w:t>
      </w:r>
      <w:r>
        <w:rPr>
          <w:rFonts w:hint="eastAsia"/>
          <w:sz w:val="24"/>
          <w:szCs w:val="22"/>
          <w:highlight w:val="none"/>
          <w:lang w:val="en-US" w:eastAsia="zh-CN"/>
        </w:rPr>
        <w:t>其他要求：按要求支付餐饮服务人员搭伙费</w:t>
      </w:r>
      <w:r>
        <w:rPr>
          <w:rFonts w:hint="eastAsia" w:ascii="宋体" w:hAnsi="宋体" w:eastAsia="宋体" w:cs="宋体"/>
          <w:sz w:val="24"/>
          <w:szCs w:val="24"/>
          <w:highlight w:val="none"/>
        </w:rPr>
        <w:t>。</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15、人员应缴纳意外伤害险，如工作中出现意外伤害事故与甲方无关，有中标单位自行处理。</w:t>
      </w:r>
    </w:p>
    <w:p>
      <w:pPr>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1</w:t>
      </w: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rPr>
        <w:t>、针对新冠疫情防控制定相关防疫措施及紧急预案（要求具体落实到人员管理、场所管理、加工过程管理等）。</w:t>
      </w:r>
    </w:p>
    <w:p>
      <w:pPr>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服务约定</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服务</w:t>
      </w:r>
      <w:r>
        <w:rPr>
          <w:rFonts w:hint="eastAsia" w:ascii="宋体" w:hAnsi="宋体" w:eastAsia="宋体" w:cs="宋体"/>
          <w:sz w:val="24"/>
          <w:szCs w:val="24"/>
          <w:highlight w:val="none"/>
        </w:rPr>
        <w:t>期限：202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年1月1日起至202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年12月31日止。</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2、目标：投标人必须通过有效的管理，达到服务行为规范化、伙食结构营养化、质量规范标准化、卫生安全制度化、服务对象满意度提高的服务标准。</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3、要求：投标人须按采购单位要求进行服务，如有违反，采购单位有权取消其服务资格。</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4、合同期内，采购单位每月对投标人的服务质量进行考核。</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5、支付方式：每季度支付，由采购单位向投标人支付一个季度的服务费用。投标人人员的费用由投标人支付。</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6、投标人须按照采购单位要求，保证合同期间岗位人数的满员。</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7、采购单位有权对中标人工作人员的个人行为进行监督，并建议中标人对不符合要求的人员进行调换。中标人面试录取新员工或辞退人员须经采购单位首肯，采购单位对优秀的厨师、点心师等主要工作岗位享有优先推荐权。</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sz w:val="24"/>
          <w:szCs w:val="24"/>
          <w:highlight w:val="none"/>
        </w:rPr>
        <w:t>8、投标人聘用员工都应缴纳社保金。</w:t>
      </w:r>
    </w:p>
    <w:p>
      <w:pPr>
        <w:pageBreakBefore w:val="0"/>
        <w:widowControl w:val="0"/>
        <w:kinsoku/>
        <w:wordWrap/>
        <w:overflowPunct/>
        <w:topLinePunct w:val="0"/>
        <w:autoSpaceDE/>
        <w:autoSpaceDN/>
        <w:bidi w:val="0"/>
        <w:adjustRightInd/>
        <w:snapToGrid/>
        <w:spacing w:line="360" w:lineRule="auto"/>
        <w:ind w:left="0" w:firstLine="482" w:firstLineChars="200"/>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六、考核标准</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合同期内，采购单位每季度按考核细则对投标人进行日常工作考核，采取月评季考制度，如季度考核不满80分，业主将扣除当季度履约保证金。  </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宋体" w:hAnsi="宋体" w:eastAsia="宋体" w:cs="宋体"/>
          <w:sz w:val="24"/>
          <w:szCs w:val="24"/>
          <w:highlight w:val="none"/>
        </w:rPr>
        <w:t>具体考核细则由采购人另行制定。</w:t>
      </w:r>
    </w:p>
    <w:p>
      <w:pPr>
        <w:rPr>
          <w:highlight w:val="none"/>
        </w:rPr>
      </w:pPr>
    </w:p>
    <w:p>
      <w:pPr>
        <w:pStyle w:val="5"/>
        <w:numPr>
          <w:ilvl w:val="1"/>
          <w:numId w:val="0"/>
        </w:numPr>
        <w:bidi w:val="0"/>
        <w:ind w:leftChars="0"/>
        <w:rPr>
          <w:rFonts w:hint="default"/>
          <w:highlight w:val="none"/>
          <w:lang w:val="en-US" w:eastAsia="zh-CN"/>
        </w:rPr>
      </w:pPr>
      <w:r>
        <w:rPr>
          <w:rFonts w:hint="eastAsia"/>
          <w:highlight w:val="none"/>
          <w:lang w:val="en-US" w:eastAsia="zh-CN"/>
        </w:rPr>
        <w:t>包件二</w:t>
      </w:r>
    </w:p>
    <w:p>
      <w:pPr>
        <w:pStyle w:val="7"/>
        <w:pageBreakBefore w:val="0"/>
        <w:widowControl w:val="0"/>
        <w:kinsoku/>
        <w:wordWrap/>
        <w:overflowPunct/>
        <w:topLinePunct w:val="0"/>
        <w:autoSpaceDE/>
        <w:autoSpaceDN/>
        <w:bidi w:val="0"/>
        <w:adjustRightInd/>
        <w:snapToGrid/>
        <w:spacing w:line="360" w:lineRule="auto"/>
        <w:ind w:left="0" w:firstLine="482" w:firstLineChars="200"/>
        <w:jc w:val="left"/>
        <w:textAlignment w:val="auto"/>
        <w:outlineLvl w:val="9"/>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一、（南桥中心城区以外各食堂）各点位分布及岗位设置要求</w:t>
      </w:r>
    </w:p>
    <w:tbl>
      <w:tblPr>
        <w:tblStyle w:val="12"/>
        <w:tblW w:w="92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7"/>
        <w:gridCol w:w="2046"/>
        <w:gridCol w:w="1254"/>
        <w:gridCol w:w="1252"/>
        <w:gridCol w:w="1162"/>
        <w:gridCol w:w="1323"/>
        <w:gridCol w:w="14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序号</w:t>
            </w:r>
          </w:p>
        </w:tc>
        <w:tc>
          <w:tcPr>
            <w:tcW w:w="20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点位名称</w:t>
            </w:r>
          </w:p>
        </w:tc>
        <w:tc>
          <w:tcPr>
            <w:tcW w:w="4991" w:type="dxa"/>
            <w:gridSpan w:val="4"/>
            <w:tcBorders>
              <w:top w:val="single" w:color="000000" w:sz="4" w:space="0"/>
              <w:left w:val="single" w:color="000000" w:sz="4" w:space="0"/>
              <w:bottom w:val="nil"/>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食堂岗位分布安排需求</w:t>
            </w:r>
          </w:p>
        </w:tc>
        <w:tc>
          <w:tcPr>
            <w:tcW w:w="1404" w:type="dxa"/>
            <w:vMerge w:val="restart"/>
            <w:tcBorders>
              <w:top w:val="single" w:color="000000" w:sz="4" w:space="0"/>
              <w:left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6"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highlight w:val="none"/>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highlight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highlight w:val="none"/>
              </w:rPr>
            </w:pPr>
            <w:r>
              <w:rPr>
                <w:rFonts w:hint="eastAsia"/>
                <w:highlight w:val="none"/>
                <w:lang w:val="en-US" w:eastAsia="zh-CN"/>
              </w:rPr>
              <w:t>厨师（厨工）需求数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highlight w:val="none"/>
              </w:rPr>
            </w:pPr>
            <w:r>
              <w:rPr>
                <w:rFonts w:hint="eastAsia"/>
                <w:highlight w:val="none"/>
                <w:lang w:val="en-US" w:eastAsia="zh-CN"/>
              </w:rPr>
              <w:t>点心师需求数</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highlight w:val="none"/>
              </w:rPr>
            </w:pPr>
            <w:r>
              <w:rPr>
                <w:rFonts w:hint="eastAsia"/>
                <w:highlight w:val="none"/>
                <w:lang w:val="en-US" w:eastAsia="zh-CN"/>
              </w:rPr>
              <w:t>仓库、统计需求数</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highlight w:val="none"/>
              </w:rPr>
            </w:pPr>
            <w:r>
              <w:rPr>
                <w:rFonts w:hint="eastAsia"/>
                <w:highlight w:val="none"/>
                <w:lang w:val="en-US" w:eastAsia="zh-CN"/>
              </w:rPr>
              <w:t>洗碗、切配等辅助工需求数</w:t>
            </w:r>
          </w:p>
        </w:tc>
        <w:tc>
          <w:tcPr>
            <w:tcW w:w="1404" w:type="dxa"/>
            <w:vMerge w:val="continue"/>
            <w:tcBorders>
              <w:left w:val="single" w:color="000000" w:sz="4" w:space="0"/>
              <w:right w:val="single" w:color="000000" w:sz="4" w:space="0"/>
            </w:tcBorders>
            <w:shd w:val="clear" w:color="auto" w:fill="auto"/>
            <w:noWrap/>
            <w:vAlign w:val="center"/>
          </w:tcPr>
          <w:p>
            <w:pPr>
              <w:bidi w:val="0"/>
              <w:rPr>
                <w:rFonts w:hint="eastAsia"/>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1</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highlight w:val="none"/>
              </w:rPr>
            </w:pPr>
            <w:r>
              <w:rPr>
                <w:rFonts w:hint="eastAsia"/>
                <w:highlight w:val="none"/>
                <w:lang w:val="en-US" w:eastAsia="zh-CN"/>
              </w:rPr>
              <w:t>分局警训、特警食堂</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default"/>
                <w:highlight w:val="none"/>
                <w:lang w:val="en-US"/>
              </w:rPr>
            </w:pPr>
            <w:r>
              <w:rPr>
                <w:rFonts w:hint="eastAsia"/>
                <w:highlight w:val="none"/>
                <w:lang w:val="en-US" w:eastAsia="zh-CN"/>
              </w:rPr>
              <w:t>2人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1人</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1人</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2人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2</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highlight w:val="none"/>
              </w:rPr>
            </w:pPr>
            <w:r>
              <w:rPr>
                <w:rFonts w:hint="eastAsia"/>
                <w:highlight w:val="none"/>
                <w:lang w:val="en-US" w:eastAsia="zh-CN"/>
              </w:rPr>
              <w:t>分局看守所民警食堂</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6人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4人</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2人</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8人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20人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3</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highlight w:val="none"/>
              </w:rPr>
            </w:pPr>
            <w:r>
              <w:rPr>
                <w:rFonts w:hint="eastAsia"/>
                <w:highlight w:val="none"/>
                <w:lang w:val="en-US" w:eastAsia="zh-CN"/>
              </w:rPr>
              <w:t>分局奉城交警大队食堂</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1人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default" w:eastAsia="宋体"/>
                <w:highlight w:val="none"/>
                <w:lang w:val="en-US" w:eastAsia="zh-CN"/>
              </w:rPr>
            </w:pPr>
            <w:r>
              <w:rPr>
                <w:rFonts w:hint="eastAsia"/>
                <w:highlight w:val="none"/>
                <w:lang w:val="en-US" w:eastAsia="zh-CN"/>
              </w:rPr>
              <w:t>0人</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0人</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1人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4</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highlight w:val="none"/>
              </w:rPr>
            </w:pPr>
            <w:r>
              <w:rPr>
                <w:rFonts w:hint="eastAsia"/>
                <w:highlight w:val="none"/>
                <w:lang w:val="en-US" w:eastAsia="zh-CN"/>
              </w:rPr>
              <w:t>分局交警支队青村大队食堂</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1人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0人</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0人</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1人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5</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highlight w:val="none"/>
              </w:rPr>
            </w:pPr>
            <w:r>
              <w:rPr>
                <w:rFonts w:hint="eastAsia"/>
                <w:highlight w:val="none"/>
                <w:lang w:val="en-US" w:eastAsia="zh-CN"/>
              </w:rPr>
              <w:t>分局刑侦支队十队（奉城刑队）食堂</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1人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0人</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0人</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0人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6</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highlight w:val="none"/>
              </w:rPr>
            </w:pPr>
            <w:r>
              <w:rPr>
                <w:rFonts w:hint="eastAsia"/>
                <w:highlight w:val="none"/>
                <w:lang w:val="en-US" w:eastAsia="zh-CN"/>
              </w:rPr>
              <w:t>分局刑侦街面队（海湾刑队）食堂</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1人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0人</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0人</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1人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7</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highlight w:val="none"/>
              </w:rPr>
            </w:pPr>
            <w:r>
              <w:rPr>
                <w:rFonts w:hint="eastAsia"/>
                <w:highlight w:val="none"/>
                <w:lang w:val="en-US" w:eastAsia="zh-CN"/>
              </w:rPr>
              <w:t>分局水上所及刑十一队食堂</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1人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0人</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0人</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1人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default"/>
                <w:highlight w:val="none"/>
                <w:lang w:val="en-US"/>
              </w:rPr>
            </w:pPr>
            <w:r>
              <w:rPr>
                <w:rFonts w:hint="eastAsia"/>
                <w:highlight w:val="none"/>
                <w:lang w:val="en-US" w:eastAsia="zh-CN"/>
              </w:rPr>
              <w:t>总计/人</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13人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5人</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3人</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14人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highlight w:val="none"/>
              </w:rPr>
            </w:pPr>
            <w:r>
              <w:rPr>
                <w:rFonts w:hint="eastAsia"/>
                <w:highlight w:val="none"/>
                <w:lang w:val="en-US" w:eastAsia="zh-CN"/>
              </w:rPr>
              <w:t>35人</w:t>
            </w:r>
          </w:p>
        </w:tc>
      </w:tr>
    </w:tbl>
    <w:p>
      <w:pPr>
        <w:pageBreakBefore w:val="0"/>
        <w:widowControl w:val="0"/>
        <w:kinsoku/>
        <w:wordWrap/>
        <w:overflowPunct/>
        <w:topLinePunct w:val="0"/>
        <w:autoSpaceDE/>
        <w:autoSpaceDN/>
        <w:bidi w:val="0"/>
        <w:adjustRightInd/>
        <w:snapToGrid/>
        <w:spacing w:line="360" w:lineRule="auto"/>
        <w:ind w:left="0" w:firstLine="482" w:firstLineChars="200"/>
        <w:jc w:val="left"/>
        <w:textAlignment w:val="auto"/>
        <w:outlineLvl w:val="9"/>
        <w:rPr>
          <w:rFonts w:hint="eastAsia" w:ascii="宋体" w:hAnsi="宋体" w:eastAsia="宋体" w:cs="宋体"/>
          <w:b/>
          <w:bCs/>
          <w:sz w:val="24"/>
          <w:szCs w:val="24"/>
          <w:highlight w:val="none"/>
        </w:rPr>
      </w:pPr>
    </w:p>
    <w:p>
      <w:pPr>
        <w:pageBreakBefore w:val="0"/>
        <w:widowControl w:val="0"/>
        <w:kinsoku/>
        <w:wordWrap/>
        <w:overflowPunct/>
        <w:topLinePunct w:val="0"/>
        <w:autoSpaceDE/>
        <w:autoSpaceDN/>
        <w:bidi w:val="0"/>
        <w:adjustRightInd/>
        <w:snapToGrid/>
        <w:spacing w:line="360" w:lineRule="auto"/>
        <w:ind w:left="0" w:firstLine="482" w:firstLineChars="200"/>
        <w:jc w:val="left"/>
        <w:textAlignment w:val="auto"/>
        <w:outlineLvl w:val="9"/>
        <w:rPr>
          <w:rFonts w:hint="eastAsia" w:ascii="宋体" w:hAnsi="宋体" w:eastAsia="宋体" w:cs="宋体"/>
          <w:kern w:val="0"/>
          <w:sz w:val="24"/>
          <w:szCs w:val="24"/>
          <w:highlight w:val="none"/>
        </w:rPr>
      </w:pPr>
      <w:r>
        <w:rPr>
          <w:rFonts w:hint="eastAsia" w:ascii="宋体" w:hAnsi="宋体" w:eastAsia="宋体" w:cs="宋体"/>
          <w:b/>
          <w:bCs/>
          <w:sz w:val="24"/>
          <w:szCs w:val="24"/>
          <w:highlight w:val="none"/>
        </w:rPr>
        <w:t>如遇特殊情况，可在确保总人数不变的情况下，自行调整。</w:t>
      </w:r>
    </w:p>
    <w:p>
      <w:pPr>
        <w:pStyle w:val="7"/>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p>
    <w:p>
      <w:pPr>
        <w:pageBreakBefore w:val="0"/>
        <w:widowControl w:val="0"/>
        <w:kinsoku/>
        <w:wordWrap/>
        <w:overflowPunct/>
        <w:topLinePunct w:val="0"/>
        <w:autoSpaceDE/>
        <w:autoSpaceDN/>
        <w:bidi w:val="0"/>
        <w:adjustRightInd/>
        <w:snapToGrid/>
        <w:spacing w:line="360" w:lineRule="auto"/>
        <w:ind w:left="0" w:firstLine="482" w:firstLineChars="200"/>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 </w:t>
      </w: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人员要求</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、厨师岗位不少于1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人（</w:t>
      </w:r>
      <w:r>
        <w:rPr>
          <w:rFonts w:hint="eastAsia" w:ascii="宋体" w:hAnsi="宋体" w:eastAsia="宋体" w:cs="宋体"/>
          <w:b/>
          <w:bCs/>
          <w:kern w:val="0"/>
          <w:sz w:val="24"/>
          <w:szCs w:val="24"/>
          <w:highlight w:val="none"/>
        </w:rPr>
        <w:t>★</w:t>
      </w:r>
      <w:r>
        <w:rPr>
          <w:rFonts w:hint="eastAsia" w:ascii="宋体" w:hAnsi="宋体" w:eastAsia="宋体" w:cs="宋体"/>
          <w:b/>
          <w:bCs/>
          <w:sz w:val="24"/>
          <w:szCs w:val="24"/>
          <w:highlight w:val="none"/>
        </w:rPr>
        <w:t>必须具备厨师岗位资格证</w:t>
      </w:r>
      <w:r>
        <w:rPr>
          <w:rFonts w:hint="eastAsia" w:ascii="宋体" w:hAnsi="宋体" w:cs="宋体"/>
          <w:b/>
          <w:bCs/>
          <w:sz w:val="24"/>
          <w:szCs w:val="24"/>
          <w:highlight w:val="none"/>
          <w:lang w:val="en-US" w:eastAsia="zh-CN"/>
        </w:rPr>
        <w:t>书</w:t>
      </w:r>
      <w:r>
        <w:rPr>
          <w:rFonts w:hint="eastAsia" w:ascii="宋体" w:hAnsi="宋体" w:eastAsia="宋体" w:cs="宋体"/>
          <w:sz w:val="24"/>
          <w:szCs w:val="24"/>
          <w:highlight w:val="none"/>
        </w:rPr>
        <w:t>）；</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、点心师岗位不少于5人（</w:t>
      </w:r>
      <w:r>
        <w:rPr>
          <w:rFonts w:hint="eastAsia" w:ascii="宋体" w:hAnsi="宋体" w:eastAsia="宋体" w:cs="宋体"/>
          <w:b/>
          <w:bCs/>
          <w:kern w:val="0"/>
          <w:sz w:val="24"/>
          <w:szCs w:val="24"/>
          <w:highlight w:val="none"/>
        </w:rPr>
        <w:t>★</w:t>
      </w:r>
      <w:r>
        <w:rPr>
          <w:rFonts w:hint="eastAsia" w:ascii="宋体" w:hAnsi="宋体" w:eastAsia="宋体" w:cs="宋体"/>
          <w:b/>
          <w:bCs/>
          <w:sz w:val="24"/>
          <w:szCs w:val="24"/>
          <w:highlight w:val="none"/>
        </w:rPr>
        <w:t>必须具备初级及以上点心师证书</w:t>
      </w:r>
      <w:r>
        <w:rPr>
          <w:rFonts w:hint="eastAsia" w:ascii="宋体" w:hAnsi="宋体" w:eastAsia="宋体" w:cs="宋体"/>
          <w:sz w:val="24"/>
          <w:szCs w:val="24"/>
          <w:highlight w:val="none"/>
        </w:rPr>
        <w:t>）；</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、仓库、统计兼充卡岗位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人；</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、切配、洗碗工等辅助岗位不少于1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人；</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sz w:val="24"/>
          <w:szCs w:val="24"/>
          <w:highlight w:val="none"/>
        </w:rPr>
        <w:t>共计不少于</w:t>
      </w:r>
      <w:r>
        <w:rPr>
          <w:rFonts w:hint="eastAsia" w:ascii="宋体" w:hAnsi="宋体" w:eastAsia="宋体" w:cs="宋体"/>
          <w:sz w:val="24"/>
          <w:szCs w:val="24"/>
          <w:highlight w:val="none"/>
          <w:lang w:val="en-US" w:eastAsia="zh-CN"/>
        </w:rPr>
        <w:t>35</w:t>
      </w:r>
      <w:r>
        <w:rPr>
          <w:rFonts w:hint="eastAsia" w:ascii="宋体" w:hAnsi="宋体" w:eastAsia="宋体" w:cs="宋体"/>
          <w:sz w:val="24"/>
          <w:szCs w:val="24"/>
          <w:highlight w:val="none"/>
        </w:rPr>
        <w:t>人，所有</w:t>
      </w:r>
      <w:r>
        <w:rPr>
          <w:rFonts w:hint="eastAsia" w:ascii="宋体" w:hAnsi="宋体" w:eastAsia="宋体" w:cs="宋体"/>
          <w:kern w:val="0"/>
          <w:sz w:val="24"/>
          <w:szCs w:val="24"/>
          <w:highlight w:val="none"/>
        </w:rPr>
        <w:t>人员必</w:t>
      </w:r>
      <w:r>
        <w:rPr>
          <w:rFonts w:hint="eastAsia" w:ascii="宋体" w:hAnsi="宋体" w:eastAsia="宋体" w:cs="宋体"/>
          <w:sz w:val="24"/>
          <w:szCs w:val="24"/>
          <w:highlight w:val="none"/>
        </w:rPr>
        <w:t>须持有有效身份证和健康证,其中男性要求不高于55周岁，女性不高于50周岁。同时，从业人员必须具有上海市餐饮服务从业人员食品安全知识培训合格证明，不少于8人。</w:t>
      </w:r>
    </w:p>
    <w:p>
      <w:pPr>
        <w:pStyle w:val="17"/>
        <w:pageBreakBefore w:val="0"/>
        <w:widowControl w:val="0"/>
        <w:kinsoku/>
        <w:wordWrap/>
        <w:overflowPunct/>
        <w:topLinePunct w:val="0"/>
        <w:autoSpaceDE/>
        <w:autoSpaceDN/>
        <w:bidi w:val="0"/>
        <w:adjustRightInd/>
        <w:snapToGrid/>
        <w:spacing w:line="360" w:lineRule="auto"/>
        <w:ind w:left="0" w:firstLine="482" w:firstLineChars="200"/>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三、食堂配置</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1、水、电、煤气齐全。</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2、食堂均有相应的粗细加工间；主副食加工间、主副食仓库、调料库、清洗消毒间、备餐间、冷藏室等房间齐全（经市卫生防疫站审定）。</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3、各食堂均配备微机智能售饭系统；</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4、提供设备：油烟净化设备、连体餐桌；包房园桌椅等。</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5、食品加工设备、清洗设备、消毒设备、餐具等配备齐全。</w:t>
      </w:r>
    </w:p>
    <w:p>
      <w:pPr>
        <w:pStyle w:val="18"/>
        <w:pageBreakBefore w:val="0"/>
        <w:widowControl w:val="0"/>
        <w:kinsoku/>
        <w:wordWrap/>
        <w:overflowPunct/>
        <w:topLinePunct w:val="0"/>
        <w:autoSpaceDE/>
        <w:autoSpaceDN/>
        <w:bidi w:val="0"/>
        <w:adjustRightInd/>
        <w:snapToGrid/>
        <w:spacing w:line="360" w:lineRule="auto"/>
        <w:ind w:left="0" w:firstLine="482"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四、服务要求</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1、就餐形式：自选、自助餐、客饭、外送客饭、宴请、熟食、水果、饮料、外卖食品等。</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2、原材料的采购由业主单位负责，中标方负责配合业主方完成原材料的质量及安全检测工作。</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3、早、中、晚餐，要求提供中式早点、中式干点、西点等。</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4、就餐时段：早餐、午餐、晚餐、夜宵，早、中、晚餐供餐时间每餐约1小时45分钟。</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5、特殊供餐：根据通知提供处置突发事件人员就餐，基本以外送为主，提供二个以上档次的饭菜组合供选择。供餐必须按指定要求进行供应。</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6、节假日及每周定时提供外买服务，供应种类为点心、净菜、半成品菜、卤菜等。节假日可进行预订供应。</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7、全年提供供餐服务，一般情况下双休日及节假日就餐人数相应减少。</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color w:val="FF0000"/>
          <w:sz w:val="24"/>
          <w:szCs w:val="24"/>
          <w:highlight w:val="none"/>
        </w:rPr>
      </w:pPr>
      <w:r>
        <w:rPr>
          <w:rFonts w:hint="eastAsia" w:ascii="宋体" w:hAnsi="宋体" w:eastAsia="宋体" w:cs="宋体"/>
          <w:sz w:val="24"/>
          <w:szCs w:val="24"/>
          <w:highlight w:val="none"/>
        </w:rPr>
        <w:t>8、应急服务要求：如遇突发情况或者紧急事件造成就餐人数临时增加，业主提前通知中标方临时就餐人数，中标方必须根据自定的紧急预案进行就餐保障（包括应需的外送饭菜），业主不承担期间造成的任何人工费用。同时中标方需配合采购方处理相关的突发事件（如实物中毒等）。</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9、食品卫生及安全要求：中标人必须严格执行《中华人民共和国食品安全法》、《餐饮业和集体用餐配送单位卫生规范》、《中华人民共和国消防法》、《中华人民共和国安全生产法》等各项国家及地方法规。</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并承诺拒绝接收下列食品（包括原料、辅料、调味料、成品及半成品）：</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1）有毒、有害、腐烂、酸败、生虫、污秽不洁、混有异物或者其他感官性状态异常的食品；</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2）无品名、产地、生产厂商、生产日期、批号、代号、规格、或者主要成分、质保期等标识不全的定型包装食品和食品添加剂；</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3）无检验合格的证明的禽类食品或注水掺水肉禽食品；</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4）国家明令禁止的野生动植物；</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5）不得使用来源不明的食品，禁止加工和提供“回锅菜”；</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6）使用的食物农药残留量不得超过国家规定标准，提倡使用绿色食品。</w:t>
      </w:r>
    </w:p>
    <w:p>
      <w:pPr>
        <w:pageBreakBefore w:val="0"/>
        <w:widowControl w:val="0"/>
        <w:kinsoku/>
        <w:wordWrap/>
        <w:overflowPunct/>
        <w:topLinePunct w:val="0"/>
        <w:autoSpaceDE/>
        <w:autoSpaceDN/>
        <w:bidi w:val="0"/>
        <w:adjustRightInd/>
        <w:snapToGrid/>
        <w:spacing w:line="360" w:lineRule="auto"/>
        <w:ind w:left="0" w:firstLine="482" w:firstLineChars="200"/>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注：★投标人需提供对合法用工、合规操作的承诺以及食品安全承诺函，并承诺若出现食品安全相关问题，愿接受采购人相关处罚，若出现违法现象，愿意承担相关的法律责任。</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10、环境卫生</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中标人必须保证经营场所（包括操作区和就餐区）环境整洁。并接受采购单位及本地区卫生监督部门检查考核，如发生食物中毒事件必须及时整顿整改并接受处罚。</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11、服务质量</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中标人必须做到供应品种丰富，菜肴质量好，服务态度佳。</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12、资产管理</w:t>
      </w:r>
    </w:p>
    <w:p>
      <w:pPr>
        <w:pStyle w:val="18"/>
        <w:pageBreakBefore w:val="0"/>
        <w:widowControl w:val="0"/>
        <w:kinsoku/>
        <w:wordWrap/>
        <w:overflowPunct/>
        <w:topLinePunct w:val="0"/>
        <w:autoSpaceDE/>
        <w:autoSpaceDN/>
        <w:bidi w:val="0"/>
        <w:adjustRightInd/>
        <w:snapToGrid/>
        <w:spacing w:line="360" w:lineRule="auto"/>
        <w:ind w:left="0" w:firstLine="720" w:firstLineChars="3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1）中标人对院方提供的各类设备设施有妥善保管和爱惜使用的责任。</w:t>
      </w:r>
    </w:p>
    <w:p>
      <w:pPr>
        <w:pStyle w:val="18"/>
        <w:pageBreakBefore w:val="0"/>
        <w:widowControl w:val="0"/>
        <w:kinsoku/>
        <w:wordWrap/>
        <w:overflowPunct/>
        <w:topLinePunct w:val="0"/>
        <w:autoSpaceDE/>
        <w:autoSpaceDN/>
        <w:bidi w:val="0"/>
        <w:adjustRightInd/>
        <w:snapToGrid/>
        <w:spacing w:line="360" w:lineRule="auto"/>
        <w:ind w:left="0" w:firstLine="720" w:firstLineChars="3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2）中标人签署合同时应对现有设备设施进行验收。</w:t>
      </w:r>
    </w:p>
    <w:p>
      <w:pPr>
        <w:pStyle w:val="18"/>
        <w:pageBreakBefore w:val="0"/>
        <w:widowControl w:val="0"/>
        <w:kinsoku/>
        <w:wordWrap/>
        <w:overflowPunct/>
        <w:topLinePunct w:val="0"/>
        <w:autoSpaceDE/>
        <w:autoSpaceDN/>
        <w:bidi w:val="0"/>
        <w:adjustRightInd/>
        <w:snapToGrid/>
        <w:spacing w:line="360" w:lineRule="auto"/>
        <w:ind w:left="0" w:firstLine="720" w:firstLineChars="3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3）服务过程中发现设备设施故障应立即报修。</w:t>
      </w:r>
    </w:p>
    <w:p>
      <w:pPr>
        <w:pStyle w:val="18"/>
        <w:pageBreakBefore w:val="0"/>
        <w:widowControl w:val="0"/>
        <w:kinsoku/>
        <w:wordWrap/>
        <w:overflowPunct/>
        <w:topLinePunct w:val="0"/>
        <w:autoSpaceDE/>
        <w:autoSpaceDN/>
        <w:bidi w:val="0"/>
        <w:adjustRightInd/>
        <w:snapToGrid/>
        <w:spacing w:line="360" w:lineRule="auto"/>
        <w:ind w:left="0" w:firstLine="720" w:firstLineChars="3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4）遗失、人为损坏或因使用不当导致设备提前报废的，中标人须按折旧价的20%--90%进行赔偿。</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13、中标方应制定相应的内部管理规范，报业主报备。</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14、其他要求：</w:t>
      </w:r>
      <w:r>
        <w:rPr>
          <w:rFonts w:hint="eastAsia"/>
          <w:sz w:val="24"/>
          <w:szCs w:val="22"/>
          <w:highlight w:val="none"/>
          <w:lang w:val="en-US" w:eastAsia="zh-CN"/>
        </w:rPr>
        <w:t>按要求支付餐饮服务人员搭伙费</w:t>
      </w:r>
      <w:r>
        <w:rPr>
          <w:rFonts w:hint="eastAsia" w:ascii="宋体" w:hAnsi="宋体" w:eastAsia="宋体" w:cs="宋体"/>
          <w:sz w:val="24"/>
          <w:szCs w:val="24"/>
          <w:highlight w:val="none"/>
        </w:rPr>
        <w:t>。</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15、人员应缴纳意外伤害险，如工作中出现意外伤害事故与甲方无关，有中标单位自行处理。</w:t>
      </w:r>
    </w:p>
    <w:p>
      <w:pPr>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1</w:t>
      </w: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rPr>
        <w:t>、针对新冠疫情防控制定相关防疫措施及紧急预案（要求具体落实到人员管理、场所管理、加工过程管理等）。</w:t>
      </w:r>
    </w:p>
    <w:p>
      <w:pPr>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服务约定</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1、期限：202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年1月1日起至202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年12月31日止。</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2、目标：投标人必须通过有效的管理，达到服务行为规范化、伙食结构营养化、质量规范标准化、卫生安全制度化、服务对象满意度提高的服务标准。</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3、要求：投标人须按采购单位要求进行服务，如有违反，采购单位有权取消其服务资格。</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4、合同期内，采购单位每月对投标人的服务质量进行考核。</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5、支付方式：每季度支付，由采购单位向投标人支付一个季度的服务费用。投标人人员的费用由投标人支付。</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6、投标人须按照采购单位要求，保证合同期间岗位人数的满员。</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7、采购单位有权对中标人工作人员的个人行为进行监督，并建议中标人对不符合要求的人员进行调换。中标人面试录取新员工或辞退人员须经采购单位首肯，采购单位对优秀的厨师、点心师等主要工作岗位享有优先推荐权。</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sz w:val="24"/>
          <w:szCs w:val="24"/>
          <w:highlight w:val="none"/>
        </w:rPr>
        <w:t>8、投标人聘用员工都应缴纳社保金。</w:t>
      </w:r>
    </w:p>
    <w:p>
      <w:pPr>
        <w:pageBreakBefore w:val="0"/>
        <w:widowControl w:val="0"/>
        <w:kinsoku/>
        <w:wordWrap/>
        <w:overflowPunct/>
        <w:topLinePunct w:val="0"/>
        <w:autoSpaceDE/>
        <w:autoSpaceDN/>
        <w:bidi w:val="0"/>
        <w:adjustRightInd/>
        <w:snapToGrid/>
        <w:spacing w:line="360" w:lineRule="auto"/>
        <w:ind w:left="0" w:firstLine="482" w:firstLineChars="200"/>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六、考核标准</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合同期内，采购单位每季度按考核细则对投标人进行日常工作考核，采取月评季考制度，如季度考核不满80分，业主将扣除当季度履约保证金。  </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具体考核细则由采购人另行制定。</w:t>
      </w: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p>
    <w:p>
      <w:pPr>
        <w:pStyle w:val="18"/>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宋体" w:hAnsi="宋体" w:eastAsia="宋体" w:cs="宋体"/>
          <w:sz w:val="24"/>
          <w:szCs w:val="24"/>
          <w:highlight w:val="none"/>
        </w:rPr>
      </w:pPr>
    </w:p>
    <w:p>
      <w:pPr>
        <w:pStyle w:val="3"/>
        <w:ind w:left="0" w:leftChars="0" w:firstLine="0" w:firstLineChars="0"/>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ascii="宋体" w:hAnsi="宋体"/>
      </w:rPr>
      <w:t>-</w:t>
    </w:r>
    <w:r>
      <w:rPr>
        <w:rFonts w:ascii="宋体" w:hAnsi="宋体"/>
      </w:rPr>
      <w:fldChar w:fldCharType="begin"/>
    </w:r>
    <w:r>
      <w:rPr>
        <w:rStyle w:val="14"/>
        <w:rFonts w:ascii="宋体" w:hAnsi="宋体"/>
      </w:rPr>
      <w:instrText xml:space="preserve"> PAGE </w:instrText>
    </w:r>
    <w:r>
      <w:rPr>
        <w:rFonts w:ascii="宋体" w:hAnsi="宋体"/>
      </w:rPr>
      <w:fldChar w:fldCharType="separate"/>
    </w:r>
    <w:r>
      <w:rPr>
        <w:rStyle w:val="14"/>
        <w:rFonts w:ascii="宋体" w:hAnsi="宋体"/>
      </w:rPr>
      <w:t>5</w:t>
    </w:r>
    <w:r>
      <w:rPr>
        <w:rFonts w:ascii="宋体" w:hAnsi="宋体"/>
      </w:rPr>
      <w:fldChar w:fldCharType="end"/>
    </w:r>
    <w:r>
      <w:rPr>
        <w:rStyle w:val="14"/>
        <w:rFonts w:hint="eastAsia" w:ascii="宋体" w:hAnsi="宋体"/>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ascii="宋体" w:hAnsi="宋体"/>
      </w:rPr>
      <w:t>-</w:t>
    </w:r>
    <w:r>
      <w:rPr>
        <w:rFonts w:ascii="宋体" w:hAnsi="宋体"/>
      </w:rPr>
      <w:fldChar w:fldCharType="begin"/>
    </w:r>
    <w:r>
      <w:rPr>
        <w:rStyle w:val="14"/>
        <w:rFonts w:ascii="宋体" w:hAnsi="宋体"/>
      </w:rPr>
      <w:instrText xml:space="preserve"> PAGE </w:instrText>
    </w:r>
    <w:r>
      <w:rPr>
        <w:rFonts w:ascii="宋体" w:hAnsi="宋体"/>
      </w:rPr>
      <w:fldChar w:fldCharType="separate"/>
    </w:r>
    <w:r>
      <w:rPr>
        <w:rStyle w:val="14"/>
        <w:rFonts w:ascii="宋体" w:hAnsi="宋体"/>
      </w:rPr>
      <w:t>5</w:t>
    </w:r>
    <w:r>
      <w:rPr>
        <w:rFonts w:ascii="宋体" w:hAnsi="宋体"/>
      </w:rPr>
      <w:fldChar w:fldCharType="end"/>
    </w:r>
    <w:r>
      <w:rPr>
        <w:rStyle w:val="14"/>
        <w:rFonts w:hint="eastAsia" w:ascii="宋体" w:hAnsi="宋体"/>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EF72AD"/>
    <w:multiLevelType w:val="singleLevel"/>
    <w:tmpl w:val="8FEF72AD"/>
    <w:lvl w:ilvl="0" w:tentative="0">
      <w:start w:val="5"/>
      <w:numFmt w:val="chineseCounting"/>
      <w:suff w:val="nothing"/>
      <w:lvlText w:val="%1、"/>
      <w:lvlJc w:val="left"/>
      <w:pPr>
        <w:ind w:left="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jMGIzNGQ0MzVkNjk0M2NiZjdlMmNkYjE2MzRmMzcifQ=="/>
  </w:docVars>
  <w:rsids>
    <w:rsidRoot w:val="4FBC6F06"/>
    <w:rsid w:val="0A4F6BD7"/>
    <w:rsid w:val="0EAB76F3"/>
    <w:rsid w:val="12A46424"/>
    <w:rsid w:val="1ABB37C8"/>
    <w:rsid w:val="22C43CCF"/>
    <w:rsid w:val="2E6C09E0"/>
    <w:rsid w:val="340C62EF"/>
    <w:rsid w:val="3A482E9D"/>
    <w:rsid w:val="4BB1729B"/>
    <w:rsid w:val="4FBC6F06"/>
    <w:rsid w:val="53FA17D7"/>
    <w:rsid w:val="59463F9F"/>
    <w:rsid w:val="79157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16"/>
    <w:qFormat/>
    <w:uiPriority w:val="0"/>
    <w:pPr>
      <w:keepNext/>
      <w:keepLines/>
      <w:adjustRightInd w:val="0"/>
      <w:spacing w:before="340" w:after="330" w:line="578" w:lineRule="atLeast"/>
      <w:jc w:val="center"/>
      <w:outlineLvl w:val="0"/>
    </w:pPr>
    <w:rPr>
      <w:rFonts w:ascii="Times New Roman" w:hAnsi="Times New Roman" w:eastAsia="宋体" w:cs="Times New Roman"/>
      <w:b/>
      <w:kern w:val="44"/>
      <w:sz w:val="24"/>
      <w:szCs w:val="44"/>
    </w:rPr>
  </w:style>
  <w:style w:type="paragraph" w:styleId="5">
    <w:name w:val="heading 2"/>
    <w:basedOn w:val="1"/>
    <w:next w:val="1"/>
    <w:semiHidden/>
    <w:unhideWhenUsed/>
    <w:qFormat/>
    <w:uiPriority w:val="0"/>
    <w:pPr>
      <w:spacing w:before="0" w:beforeAutospacing="1" w:after="0" w:afterAutospacing="1"/>
      <w:jc w:val="left"/>
      <w:outlineLvl w:val="1"/>
    </w:pPr>
    <w:rPr>
      <w:rFonts w:hint="eastAsia" w:ascii="宋体" w:hAnsi="宋体" w:eastAsia="宋体" w:cs="宋体"/>
      <w:b/>
      <w:bCs/>
      <w:kern w:val="0"/>
      <w:sz w:val="24"/>
      <w:szCs w:val="36"/>
      <w:lang w:bidi="ar"/>
    </w:rPr>
  </w:style>
  <w:style w:type="paragraph" w:styleId="6">
    <w:name w:val="heading 3"/>
    <w:basedOn w:val="1"/>
    <w:next w:val="1"/>
    <w:link w:val="15"/>
    <w:semiHidden/>
    <w:unhideWhenUsed/>
    <w:qFormat/>
    <w:uiPriority w:val="0"/>
    <w:pPr>
      <w:widowControl/>
      <w:jc w:val="left"/>
      <w:outlineLvl w:val="2"/>
    </w:pPr>
    <w:rPr>
      <w:rFonts w:ascii="仿宋" w:hAnsi="仿宋" w:cs="Times New Roman" w:eastAsiaTheme="minorEastAsia"/>
      <w:b/>
      <w:color w:val="000000"/>
      <w:kern w:val="0"/>
      <w:sz w:val="24"/>
      <w:szCs w:val="21"/>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正文（文本）"/>
    <w:next w:val="3"/>
    <w:qFormat/>
    <w:uiPriority w:val="0"/>
    <w:pPr>
      <w:widowControl w:val="0"/>
      <w:snapToGrid w:val="0"/>
      <w:spacing w:beforeLines="20" w:line="360" w:lineRule="auto"/>
      <w:jc w:val="center"/>
    </w:pPr>
    <w:rPr>
      <w:rFonts w:ascii="Times New Roman" w:hAnsi="宋体" w:eastAsia="宋体" w:cs="Times New Roman"/>
      <w:kern w:val="2"/>
      <w:sz w:val="28"/>
      <w:szCs w:val="28"/>
      <w:lang w:val="en-US" w:eastAsia="zh-CN" w:bidi="ar-SA"/>
    </w:rPr>
  </w:style>
  <w:style w:type="paragraph" w:styleId="3">
    <w:name w:val="toc 6"/>
    <w:basedOn w:val="1"/>
    <w:next w:val="1"/>
    <w:qFormat/>
    <w:uiPriority w:val="0"/>
    <w:pPr>
      <w:wordWrap w:val="0"/>
      <w:ind w:left="1700"/>
    </w:pPr>
  </w:style>
  <w:style w:type="paragraph" w:styleId="7">
    <w:name w:val="annotation text"/>
    <w:basedOn w:val="1"/>
    <w:qFormat/>
    <w:uiPriority w:val="0"/>
    <w:pPr>
      <w:jc w:val="left"/>
    </w:pPr>
  </w:style>
  <w:style w:type="paragraph" w:styleId="8">
    <w:name w:val="Body Text"/>
    <w:basedOn w:val="1"/>
    <w:next w:val="9"/>
    <w:qFormat/>
    <w:uiPriority w:val="0"/>
    <w:pPr>
      <w:spacing w:after="120"/>
    </w:pPr>
    <w:rPr>
      <w:szCs w:val="20"/>
    </w:rPr>
  </w:style>
  <w:style w:type="paragraph" w:styleId="9">
    <w:name w:val="Body Text First Indent"/>
    <w:basedOn w:val="8"/>
    <w:qFormat/>
    <w:uiPriority w:val="0"/>
    <w:pPr>
      <w:ind w:firstLine="420" w:firstLineChars="100"/>
    </w:pPr>
    <w:rPr>
      <w:szCs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4">
    <w:name w:val="page number"/>
    <w:basedOn w:val="13"/>
    <w:qFormat/>
    <w:uiPriority w:val="0"/>
  </w:style>
  <w:style w:type="character" w:customStyle="1" w:styleId="15">
    <w:name w:val="标题 3 字符"/>
    <w:link w:val="6"/>
    <w:qFormat/>
    <w:locked/>
    <w:uiPriority w:val="9"/>
    <w:rPr>
      <w:rFonts w:ascii="仿宋" w:hAnsi="仿宋" w:cs="Times New Roman" w:eastAsiaTheme="minorEastAsia"/>
      <w:b/>
      <w:color w:val="000000"/>
      <w:kern w:val="0"/>
      <w:sz w:val="24"/>
      <w:szCs w:val="21"/>
    </w:rPr>
  </w:style>
  <w:style w:type="character" w:customStyle="1" w:styleId="16">
    <w:name w:val="标题 1 字符1"/>
    <w:link w:val="4"/>
    <w:qFormat/>
    <w:uiPriority w:val="0"/>
    <w:rPr>
      <w:rFonts w:ascii="Times New Roman" w:hAnsi="Times New Roman" w:eastAsia="宋体" w:cs="Times New Roman"/>
      <w:b/>
      <w:kern w:val="44"/>
      <w:sz w:val="24"/>
      <w:szCs w:val="44"/>
    </w:rPr>
  </w:style>
  <w:style w:type="paragraph" w:customStyle="1" w:styleId="17">
    <w:name w:val="列出段落11"/>
    <w:basedOn w:val="1"/>
    <w:qFormat/>
    <w:uiPriority w:val="34"/>
    <w:pPr>
      <w:ind w:firstLine="420" w:firstLineChars="200"/>
    </w:pPr>
    <w:rPr>
      <w:rFonts w:ascii="Calibri" w:hAnsi="Calibri" w:eastAsia="宋体" w:cs="Times New Roman"/>
      <w:szCs w:val="24"/>
    </w:rPr>
  </w:style>
  <w:style w:type="paragraph" w:customStyle="1" w:styleId="18">
    <w:name w:val="列出段落1"/>
    <w:basedOn w:val="1"/>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6931</Words>
  <Characters>7127</Characters>
  <Lines>0</Lines>
  <Paragraphs>0</Paragraphs>
  <TotalTime>0</TotalTime>
  <ScaleCrop>false</ScaleCrop>
  <LinksUpToDate>false</LinksUpToDate>
  <CharactersWithSpaces>7138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2022-11-22T07:25:00Z</dcterms:created>
  <dc:creator>zhāng</dc:creator>
  <cp:lastModifiedBy>zhāng</cp:lastModifiedBy>
  <dcterms:modified xsi:type="dcterms:W3CDTF">2022-11-28T02:52:49Z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10704DAF894A4187BB4358185B17AA9F</vt:lpwstr>
  </property>
</Properties>
</file>