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r>
        <w:rPr>
          <w:rFonts w:hint="eastAsia" w:ascii="黑体" w:hAnsi="黑体" w:eastAsia="黑体"/>
          <w:sz w:val="52"/>
          <w:szCs w:val="52"/>
        </w:rPr>
        <w:t>上海市基层治理数字化建设项目</w:t>
      </w:r>
    </w:p>
    <w:p>
      <w:pPr>
        <w:ind w:firstLine="0" w:firstLineChars="0"/>
        <w:jc w:val="center"/>
        <w:rPr>
          <w:rFonts w:ascii="黑体" w:hAnsi="黑体" w:eastAsia="黑体"/>
          <w:sz w:val="52"/>
          <w:szCs w:val="52"/>
        </w:rPr>
      </w:pPr>
      <w:r>
        <w:rPr>
          <w:rFonts w:hint="eastAsia" w:ascii="黑体" w:hAnsi="黑体" w:eastAsia="黑体"/>
          <w:sz w:val="52"/>
          <w:szCs w:val="52"/>
        </w:rPr>
        <w:t>子系统建设项目（二期）</w:t>
      </w:r>
    </w:p>
    <w:p>
      <w:pPr>
        <w:ind w:firstLine="0" w:firstLineChars="0"/>
        <w:jc w:val="center"/>
        <w:rPr>
          <w:rFonts w:ascii="黑体" w:hAnsi="黑体" w:eastAsia="黑体"/>
          <w:sz w:val="52"/>
          <w:szCs w:val="52"/>
        </w:rPr>
      </w:pPr>
      <w:r>
        <w:rPr>
          <w:rFonts w:hint="eastAsia" w:ascii="黑体" w:hAnsi="黑体" w:eastAsia="黑体"/>
          <w:sz w:val="52"/>
          <w:szCs w:val="52"/>
        </w:rPr>
        <w:t>2024年度采购需求</w:t>
      </w:r>
    </w:p>
    <w:p>
      <w:pPr>
        <w:ind w:firstLine="0" w:firstLineChars="0"/>
        <w:jc w:val="center"/>
        <w:rPr>
          <w:rFonts w:ascii="黑体" w:hAnsi="黑体" w:eastAsia="黑体"/>
          <w:sz w:val="72"/>
          <w:szCs w:val="72"/>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p>
    <w:p>
      <w:pPr>
        <w:ind w:firstLine="1040"/>
        <w:rPr>
          <w:rFonts w:ascii="黑体" w:hAnsi="黑体" w:eastAsia="黑体"/>
          <w:sz w:val="52"/>
          <w:szCs w:val="52"/>
        </w:rPr>
      </w:pPr>
    </w:p>
    <w:p/>
    <w:p/>
    <w:p/>
    <w:p/>
    <w:p/>
    <w:p>
      <w:pPr>
        <w:ind w:firstLine="1040"/>
        <w:rPr>
          <w:rFonts w:ascii="黑体" w:hAnsi="黑体" w:eastAsia="黑体"/>
          <w:sz w:val="52"/>
          <w:szCs w:val="52"/>
        </w:rPr>
      </w:pPr>
    </w:p>
    <w:p>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pPr>
      <w:bookmarkStart w:id="0" w:name="_Toc63785461"/>
      <w:r>
        <w:rPr>
          <w:rFonts w:hint="eastAsia"/>
        </w:rPr>
        <w:t>项目概况</w:t>
      </w:r>
      <w:bookmarkEnd w:id="0"/>
    </w:p>
    <w:p>
      <w:pPr>
        <w:spacing w:line="560" w:lineRule="exact"/>
      </w:pPr>
      <w:r>
        <w:rPr>
          <w:rFonts w:hint="eastAsia"/>
        </w:rPr>
        <w:t>项目背景&amp;现状：</w:t>
      </w:r>
    </w:p>
    <w:p>
      <w:pPr>
        <w:spacing w:line="560" w:lineRule="exact"/>
      </w:pPr>
      <w:r>
        <w:rPr>
          <w:rFonts w:hint="eastAsia"/>
        </w:rPr>
        <w:t>基层治理数字化平台（一期）项目打造了市委、市政府面向基层治理的统一门户，已融合或接入</w:t>
      </w:r>
      <w:r>
        <w:t>15个市级部门信息系统，用户涵盖市、区、街道和居村相关工作人员5.6万人。建设完成了报表通系统，房态图、居民管理等人房治理工具以及通知公告、活动管理、通讯录等通用工具。定制了市人社局失业摸底调查、市卫健委等功能，实现“综合走访”。对业务数据管理和同步处理，主要沉淀了包含地址、房屋、居民、人房、标签等基础数据以及接待走访、活动、会议、问题处置等日常工作数据。通过一期项目的建设，</w:t>
      </w:r>
      <w:r>
        <w:rPr>
          <w:rFonts w:hint="eastAsia"/>
        </w:rPr>
        <w:t>初步达到了</w:t>
      </w:r>
      <w:r>
        <w:t>系统精简整合、数据汇聚共享、场景共建共用</w:t>
      </w:r>
      <w:r>
        <w:rPr>
          <w:rFonts w:hint="eastAsia"/>
        </w:rPr>
        <w:t>，</w:t>
      </w:r>
      <w:r>
        <w:t>提高了基层治理工作的统一性、共用性、兼容性</w:t>
      </w:r>
      <w:r>
        <w:rPr>
          <w:rFonts w:hint="eastAsia"/>
        </w:rPr>
        <w:t>和</w:t>
      </w:r>
      <w:r>
        <w:t>便利性</w:t>
      </w:r>
      <w:r>
        <w:rPr>
          <w:rFonts w:hint="eastAsia"/>
        </w:rPr>
        <w:t>。</w:t>
      </w:r>
    </w:p>
    <w:p>
      <w:pPr>
        <w:spacing w:line="560" w:lineRule="exact"/>
      </w:pPr>
      <w:r>
        <w:rPr>
          <w:rFonts w:hint="eastAsia"/>
        </w:rPr>
        <w:t>根据市委党建办要求以及基层使用需求，需要在基层治理数字化平台（一期）建设基础上，进一步提升基层治理能级，解决人房数据采集功能尚需完善、基层治理标签缺乏规范管控、市区两级系统及特色应用场景尚待整合、区级待办任务多源入口、发挥数据反哺协同效应等问题和需求。</w:t>
      </w:r>
    </w:p>
    <w:p>
      <w:pPr>
        <w:spacing w:line="560" w:lineRule="exact"/>
      </w:pPr>
      <w:r>
        <w:rPr>
          <w:rFonts w:hint="eastAsia"/>
        </w:rPr>
        <w:t>建设期限：</w:t>
      </w:r>
      <w:r>
        <w:t>2024年度建设内容从合同签订之日起6个月内完成，2025 年度建设内容6月底之前完成。(包含至少一个月的试运行)</w:t>
      </w:r>
    </w:p>
    <w:p>
      <w:pPr>
        <w:spacing w:line="560" w:lineRule="exact"/>
      </w:pPr>
      <w:r>
        <w:rPr>
          <w:rFonts w:hint="eastAsia"/>
        </w:rPr>
        <w:t>建设地点：上海</w:t>
      </w:r>
    </w:p>
    <w:p>
      <w:pPr>
        <w:spacing w:line="560" w:lineRule="exact"/>
      </w:pPr>
      <w:r>
        <w:rPr>
          <w:rFonts w:hint="eastAsia"/>
        </w:rPr>
        <w:t>预算金额：8189300元</w:t>
      </w:r>
    </w:p>
    <w:p>
      <w:pPr>
        <w:spacing w:line="560" w:lineRule="exact"/>
      </w:pPr>
      <w:r>
        <w:rPr>
          <w:rFonts w:hint="eastAsia"/>
        </w:rPr>
        <w:t>采购金额（最高限价）：8189300元</w:t>
      </w:r>
    </w:p>
    <w:p>
      <w:r>
        <w:rPr>
          <w:rFonts w:hint="eastAsia"/>
        </w:rPr>
        <w:t>组织形式：集中采购</w:t>
      </w:r>
      <w:r>
        <w:t xml:space="preserve"> </w:t>
      </w:r>
    </w:p>
    <w:p>
      <w:r>
        <w:rPr>
          <w:rFonts w:hint="eastAsia"/>
        </w:rPr>
        <w:t>采购方式：公开招标</w:t>
      </w:r>
    </w:p>
    <w:p>
      <w:r>
        <w:rPr>
          <w:rFonts w:hint="eastAsia"/>
        </w:rPr>
        <w:t>是否接受联合体投标：否</w:t>
      </w:r>
    </w:p>
    <w:p>
      <w:r>
        <w:t>是否按信创要求建设：是</w:t>
      </w:r>
    </w:p>
    <w:p>
      <w:r>
        <w:rPr>
          <w:rFonts w:hint="eastAsia"/>
        </w:rPr>
        <w:t>运维后所属大系统：综合运行管理系统</w:t>
      </w:r>
    </w:p>
    <w:p>
      <w:pPr>
        <w:pStyle w:val="2"/>
      </w:pPr>
      <w:bookmarkStart w:id="1" w:name="_Toc47531634"/>
      <w:bookmarkEnd w:id="1"/>
      <w:bookmarkStart w:id="2" w:name="_Toc47532891"/>
      <w:bookmarkEnd w:id="2"/>
      <w:bookmarkStart w:id="3" w:name="_Toc47539070"/>
      <w:bookmarkEnd w:id="3"/>
      <w:bookmarkStart w:id="4" w:name="_Toc47536644"/>
      <w:bookmarkEnd w:id="4"/>
      <w:bookmarkStart w:id="5" w:name="_Toc47532255"/>
      <w:bookmarkEnd w:id="5"/>
      <w:bookmarkStart w:id="6" w:name="_Toc47536272"/>
      <w:bookmarkEnd w:id="6"/>
      <w:bookmarkStart w:id="7" w:name="_Toc47537134"/>
      <w:bookmarkEnd w:id="7"/>
      <w:bookmarkStart w:id="8" w:name="_Toc47533256"/>
      <w:bookmarkEnd w:id="8"/>
      <w:bookmarkStart w:id="9" w:name="_Toc48223882"/>
      <w:bookmarkStart w:id="10" w:name="_Toc63785463"/>
      <w:r>
        <w:rPr>
          <w:rFonts w:hint="eastAsia"/>
        </w:rPr>
        <w:t>建设目标</w:t>
      </w:r>
      <w:bookmarkEnd w:id="9"/>
      <w:bookmarkEnd w:id="10"/>
    </w:p>
    <w:p>
      <w:r>
        <w:rPr>
          <w:rFonts w:hint="eastAsia"/>
        </w:rPr>
        <w:t>基层治理数字化平台（二期）主要建设目标是进一步加快基层治理数字化平台整合推广、健全数据标签标准体系、实现人房数据综合采集、推进数据反哺基层流程再造、与一网协同平台打通交互、加强数据管理和回流安全能力，提升基层治理能级，持续赋能基层减负。具体目标如下：</w:t>
      </w:r>
    </w:p>
    <w:p>
      <w:pPr>
        <w:ind w:firstLine="482"/>
      </w:pPr>
      <w:r>
        <w:rPr>
          <w:rFonts w:hint="eastAsia"/>
          <w:b/>
          <w:bCs/>
        </w:rPr>
        <w:t>加快系统整合推广：</w:t>
      </w:r>
      <w:r>
        <w:rPr>
          <w:rFonts w:hint="eastAsia"/>
        </w:rPr>
        <w:t>进一步完善统一门户，新建综合任务管理、市级两级系统接入模块，推进市区两级系统融合，解决多源入口问题，提高系统的综合能级。</w:t>
      </w:r>
    </w:p>
    <w:p>
      <w:pPr>
        <w:ind w:firstLine="482"/>
      </w:pPr>
      <w:r>
        <w:rPr>
          <w:rFonts w:hint="eastAsia"/>
          <w:b/>
          <w:bCs/>
        </w:rPr>
        <w:t>首创社区人房综合采集新模式：</w:t>
      </w:r>
      <w:r>
        <w:rPr>
          <w:rFonts w:hint="eastAsia"/>
        </w:rPr>
        <w:t>建设社区人房综合采集系统，扩大采集范围和采集力量，统一规范本市标准地址、居住房屋和居住人口数据综合采集与维护工作，实现人房数据底数清、要素全、动态准的管理目标。</w:t>
      </w:r>
    </w:p>
    <w:p>
      <w:pPr>
        <w:ind w:firstLine="482"/>
      </w:pPr>
      <w:r>
        <w:rPr>
          <w:rFonts w:hint="eastAsia"/>
          <w:b/>
          <w:bCs/>
        </w:rPr>
        <w:t>减轻基层工作负担：</w:t>
      </w:r>
      <w:r>
        <w:rPr>
          <w:rFonts w:hint="eastAsia"/>
        </w:rPr>
        <w:t>升级报表通系统，进一步减轻基层工作人员的工作负担，提高工作效率，简化工作流程，减少繁重的事项任务。</w:t>
      </w:r>
    </w:p>
    <w:p>
      <w:pPr>
        <w:ind w:firstLine="482"/>
      </w:pPr>
      <w:r>
        <w:rPr>
          <w:rFonts w:hint="eastAsia"/>
          <w:b/>
          <w:bCs/>
        </w:rPr>
        <w:t>社区治理赋权增能：</w:t>
      </w:r>
      <w:r>
        <w:rPr>
          <w:rFonts w:hint="eastAsia"/>
        </w:rPr>
        <w:t>通过新增基层治理标签管理功能、建设基层治理一屏观，更好地支持社区治理的赋权和增能，为社区管理提供更多的工具和资源，提高基层工作的便捷性，深入实践为基层减负的工作理念。</w:t>
      </w:r>
    </w:p>
    <w:p>
      <w:pPr>
        <w:ind w:firstLine="482"/>
      </w:pPr>
      <w:r>
        <w:rPr>
          <w:rFonts w:hint="eastAsia"/>
          <w:b/>
          <w:bCs/>
        </w:rPr>
        <w:t>发挥数据返哺协同效应</w:t>
      </w:r>
      <w:r>
        <w:rPr>
          <w:rFonts w:hint="eastAsia"/>
        </w:rPr>
        <w:t>：响应区、街镇、居村的用数需求及场景联动需求，制定市区两级数据回流、数据对账的方案和标准规范，对人房、标签、日常工作等底账数据归集，打通数据回流区级路径，深化数据跨层级的交换和共享，确保数据的准确性、安全性。</w:t>
      </w:r>
    </w:p>
    <w:p>
      <w:pPr>
        <w:pStyle w:val="3"/>
      </w:pPr>
      <w:r>
        <w:rPr>
          <w:rFonts w:hint="eastAsia"/>
        </w:rPr>
        <w:t>应用指标绩效目标</w:t>
      </w:r>
    </w:p>
    <w:tbl>
      <w:tblPr>
        <w:tblStyle w:val="35"/>
        <w:tblW w:w="8104" w:type="dxa"/>
        <w:tblInd w:w="113" w:type="dxa"/>
        <w:tblLayout w:type="autofit"/>
        <w:tblCellMar>
          <w:top w:w="0" w:type="dxa"/>
          <w:left w:w="108" w:type="dxa"/>
          <w:bottom w:w="0" w:type="dxa"/>
          <w:right w:w="108" w:type="dxa"/>
        </w:tblCellMar>
      </w:tblPr>
      <w:tblGrid>
        <w:gridCol w:w="1271"/>
        <w:gridCol w:w="1534"/>
        <w:gridCol w:w="3456"/>
        <w:gridCol w:w="1843"/>
      </w:tblGrid>
      <w:tr>
        <w:tblPrEx>
          <w:tblCellMar>
            <w:top w:w="0" w:type="dxa"/>
            <w:left w:w="108" w:type="dxa"/>
            <w:bottom w:w="0" w:type="dxa"/>
            <w:right w:w="108" w:type="dxa"/>
          </w:tblCellMar>
        </w:tblPrEx>
        <w:trPr>
          <w:trHeight w:val="315" w:hRule="atLeast"/>
        </w:trPr>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一级指标</w:t>
            </w:r>
          </w:p>
        </w:tc>
        <w:tc>
          <w:tcPr>
            <w:tcW w:w="15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二级指标</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三级指标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b/>
                <w:bCs/>
                <w:color w:val="000000"/>
                <w:kern w:val="0"/>
              </w:rPr>
            </w:pPr>
            <w:r>
              <w:rPr>
                <w:rFonts w:hint="eastAsia" w:cs="宋体" w:asciiTheme="majorEastAsia" w:hAnsiTheme="majorEastAsia" w:eastAsiaTheme="majorEastAsia"/>
                <w:b/>
                <w:bCs/>
                <w:color w:val="000000"/>
                <w:kern w:val="0"/>
              </w:rPr>
              <w:t>目标值</w:t>
            </w:r>
          </w:p>
        </w:tc>
      </w:tr>
      <w:tr>
        <w:tblPrEx>
          <w:tblCellMar>
            <w:top w:w="0" w:type="dxa"/>
            <w:left w:w="108" w:type="dxa"/>
            <w:bottom w:w="0" w:type="dxa"/>
            <w:right w:w="108" w:type="dxa"/>
          </w:tblCellMar>
        </w:tblPrEx>
        <w:trPr>
          <w:trHeight w:val="315" w:hRule="atLeast"/>
        </w:trPr>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通用指标</w:t>
            </w:r>
          </w:p>
        </w:tc>
        <w:tc>
          <w:tcPr>
            <w:tcW w:w="15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产出数量</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软件开发完成率（%）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安全产品购置完成率（%）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产出质量</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一次性验收合格率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系统稳定性</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99.90%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平均故障修复时间</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&lt;30分钟</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软件测试</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通过</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密码测评</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通过</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网络安全等级</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等保三级</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安全测评</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通过</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安全事件</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数据安全事件发生次数</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0次</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产出时效</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项目实施进度</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asciiTheme="majorEastAsia" w:hAnsiTheme="majorEastAsia" w:eastAsiaTheme="majorEastAsia"/>
                <w:color w:val="000000"/>
                <w:kern w:val="0"/>
              </w:rPr>
            </w:pPr>
            <w:r>
              <w:rPr>
                <w:rFonts w:asciiTheme="majorEastAsia" w:hAnsiTheme="majorEastAsia" w:eastAsiaTheme="majorEastAsia"/>
                <w:color w:val="000000"/>
                <w:kern w:val="0"/>
              </w:rPr>
              <w:t>12个月</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系统共享水平</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跨部门数据共享程度（%）</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数据质量水平</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核心数据缺失率（%）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平台整合能力</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部门使用量（个）</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≥6000个居村委</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集约化程度（个）</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12个</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社会服务系统水平</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月活跃用户量（人次/月）</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≥30000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服务系统用户量（人）</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≥50000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数据服务与数据治理水平</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数据源覆盖度（%）</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≥90%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采集数据量（TB）</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≥0.3TB</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治理数据量（TB）</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≥0.5TB</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数据分析量（TB）</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≥0.2TB</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数据被调用率（%）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≥90%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支撑系统业务数量（个）</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5个</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数据准确率提升率（%）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≥15%</w:t>
            </w:r>
          </w:p>
        </w:tc>
      </w:tr>
      <w:tr>
        <w:tblPrEx>
          <w:tblCellMar>
            <w:top w:w="0" w:type="dxa"/>
            <w:left w:w="108" w:type="dxa"/>
            <w:bottom w:w="0" w:type="dxa"/>
            <w:right w:w="108" w:type="dxa"/>
          </w:tblCellMar>
        </w:tblPrEx>
        <w:trPr>
          <w:trHeight w:val="315" w:hRule="atLeast"/>
        </w:trPr>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业务指标</w:t>
            </w:r>
          </w:p>
        </w:tc>
        <w:tc>
          <w:tcPr>
            <w:tcW w:w="1534" w:type="dxa"/>
            <w:vMerge w:val="restart"/>
            <w:tcBorders>
              <w:top w:val="single" w:color="000000" w:sz="4" w:space="0"/>
              <w:left w:val="single" w:color="000000" w:sz="4" w:space="0"/>
              <w:bottom w:val="nil"/>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产出质量</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应用访问响应时间(秒)</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≤5秒</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系统故障时间占比（%）</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&lt;1%</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系统功能完成率（%）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nil"/>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故障相关宕机率（%）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≤0.01%</w:t>
            </w:r>
          </w:p>
        </w:tc>
      </w:tr>
      <w:tr>
        <w:tblPrEx>
          <w:tblCellMar>
            <w:top w:w="0" w:type="dxa"/>
            <w:left w:w="108" w:type="dxa"/>
            <w:bottom w:w="0" w:type="dxa"/>
            <w:right w:w="108" w:type="dxa"/>
          </w:tblCellMar>
        </w:tblPrEx>
        <w:trPr>
          <w:trHeight w:val="630"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社会效益</w:t>
            </w: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综合任务管理模块用户月使用量（人次/月）</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≥20000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落地应用场景数量（个）</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3个</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标签打标数量（个/月）</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≥150000</w:t>
            </w:r>
          </w:p>
        </w:tc>
      </w:tr>
      <w:tr>
        <w:tblPrEx>
          <w:tblCellMar>
            <w:top w:w="0" w:type="dxa"/>
            <w:left w:w="108" w:type="dxa"/>
            <w:bottom w:w="0" w:type="dxa"/>
            <w:right w:w="108" w:type="dxa"/>
          </w:tblCellMar>
        </w:tblPrEx>
        <w:trPr>
          <w:trHeight w:val="630"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各行政区域带数据下发标签数量占比（%）</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≥10%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报表流程简化率（%）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一屏观日访问量（人次/日）</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≥5000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年人房综合维护量（条/年）</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≥9500000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年人房综合维护增长率（%）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线上采集填报占比（%）</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≥95%</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年走访排摸量（条/年）</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≥9000000</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年走访排摸增长率（%）</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≥5%</w:t>
            </w:r>
          </w:p>
        </w:tc>
      </w:tr>
      <w:tr>
        <w:tblPrEx>
          <w:tblCellMar>
            <w:top w:w="0" w:type="dxa"/>
            <w:left w:w="108" w:type="dxa"/>
            <w:bottom w:w="0" w:type="dxa"/>
            <w:right w:w="108" w:type="dxa"/>
          </w:tblCellMar>
        </w:tblPrEx>
        <w:trPr>
          <w:trHeight w:val="315"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各区实时回流数据总量</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≥2亿条</w:t>
            </w:r>
          </w:p>
        </w:tc>
      </w:tr>
      <w:tr>
        <w:tblPrEx>
          <w:tblCellMar>
            <w:top w:w="0" w:type="dxa"/>
            <w:left w:w="108" w:type="dxa"/>
            <w:bottom w:w="0" w:type="dxa"/>
            <w:right w:w="108" w:type="dxa"/>
          </w:tblCellMar>
        </w:tblPrEx>
        <w:trPr>
          <w:trHeight w:val="630" w:hRule="atLeast"/>
        </w:trPr>
        <w:tc>
          <w:tcPr>
            <w:tcW w:w="1271"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153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cs="宋体" w:asciiTheme="majorEastAsia" w:hAnsiTheme="majorEastAsia" w:eastAsiaTheme="majorEastAsia"/>
                <w:color w:val="000000"/>
                <w:kern w:val="0"/>
              </w:rPr>
            </w:pPr>
          </w:p>
        </w:tc>
        <w:tc>
          <w:tcPr>
            <w:tcW w:w="3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left"/>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新增市、区、街镇应用或特色场景接入数（个）</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rPr>
                <w:rFonts w:cs="宋体" w:asciiTheme="majorEastAsia" w:hAnsiTheme="majorEastAsia" w:eastAsiaTheme="majorEastAsia"/>
                <w:color w:val="000000"/>
                <w:kern w:val="0"/>
              </w:rPr>
            </w:pPr>
            <w:r>
              <w:rPr>
                <w:rFonts w:hint="eastAsia" w:cs="宋体" w:asciiTheme="majorEastAsia" w:hAnsiTheme="majorEastAsia" w:eastAsiaTheme="majorEastAsia"/>
                <w:color w:val="000000"/>
                <w:kern w:val="0"/>
              </w:rPr>
              <w:t>≥20个</w:t>
            </w:r>
          </w:p>
        </w:tc>
      </w:tr>
    </w:tbl>
    <w:p>
      <w:pPr>
        <w:pStyle w:val="3"/>
      </w:pPr>
      <w:r>
        <w:rPr>
          <w:rFonts w:hint="eastAsia"/>
        </w:rPr>
        <w:t>技术指标绩效目标</w:t>
      </w:r>
    </w:p>
    <w:p>
      <w:pPr>
        <w:rPr>
          <w:rFonts w:ascii="Times New Roman" w:hAnsi="Times New Roman"/>
          <w:color w:val="000000"/>
        </w:rPr>
      </w:pPr>
      <w:r>
        <w:rPr>
          <w:rFonts w:hint="eastAsia" w:ascii="Times New Roman" w:hAnsi="Times New Roman"/>
          <w:color w:val="000000"/>
        </w:rPr>
        <w:t>1、满足不少于200个并发用户操作；</w:t>
      </w:r>
    </w:p>
    <w:p>
      <w:pPr>
        <w:rPr>
          <w:rFonts w:ascii="Times New Roman" w:hAnsi="Times New Roman"/>
          <w:color w:val="000000"/>
        </w:rPr>
      </w:pPr>
      <w:r>
        <w:rPr>
          <w:rFonts w:hint="eastAsia" w:ascii="Times New Roman" w:hAnsi="Times New Roman"/>
          <w:color w:val="000000"/>
        </w:rPr>
        <w:t>2、支持</w:t>
      </w:r>
      <w:r>
        <w:rPr>
          <w:rFonts w:ascii="Times New Roman" w:hAnsi="Times New Roman"/>
          <w:color w:val="000000"/>
        </w:rPr>
        <w:t>10000</w:t>
      </w:r>
      <w:r>
        <w:rPr>
          <w:rFonts w:hint="eastAsia" w:ascii="Times New Roman" w:hAnsi="Times New Roman"/>
          <w:color w:val="000000"/>
        </w:rPr>
        <w:t>个同时在线用户数；</w:t>
      </w:r>
    </w:p>
    <w:p>
      <w:pPr>
        <w:rPr>
          <w:rFonts w:ascii="Times New Roman" w:hAnsi="Times New Roman"/>
          <w:color w:val="000000"/>
        </w:rPr>
      </w:pPr>
      <w:r>
        <w:rPr>
          <w:rFonts w:hint="eastAsia" w:ascii="Times New Roman" w:hAnsi="Times New Roman"/>
          <w:color w:val="000000"/>
        </w:rPr>
        <w:t>3、</w:t>
      </w:r>
      <w:r>
        <w:rPr>
          <w:rFonts w:hint="eastAsia"/>
        </w:rPr>
        <w:t>简单操作控制在平均响应时间2秒以内</w:t>
      </w:r>
      <w:r>
        <w:rPr>
          <w:rFonts w:hint="eastAsia" w:ascii="Times New Roman" w:hAnsi="Times New Roman"/>
          <w:color w:val="000000"/>
        </w:rPr>
        <w:t>；</w:t>
      </w:r>
    </w:p>
    <w:p>
      <w:pPr>
        <w:rPr>
          <w:rFonts w:ascii="Times New Roman" w:hAnsi="Times New Roman"/>
          <w:color w:val="000000"/>
        </w:rPr>
      </w:pPr>
      <w:r>
        <w:rPr>
          <w:rFonts w:hint="eastAsia" w:ascii="Times New Roman" w:hAnsi="Times New Roman"/>
          <w:color w:val="000000"/>
        </w:rPr>
        <w:t>4、</w:t>
      </w:r>
      <w:r>
        <w:rPr>
          <w:rFonts w:hint="eastAsia"/>
        </w:rPr>
        <w:t>复杂查询控制在平均响应时间5秒以内</w:t>
      </w:r>
      <w:r>
        <w:rPr>
          <w:rFonts w:hint="eastAsia" w:ascii="Times New Roman" w:hAnsi="Times New Roman"/>
          <w:color w:val="000000"/>
        </w:rPr>
        <w:t>。</w:t>
      </w:r>
    </w:p>
    <w:p>
      <w:pPr>
        <w:pStyle w:val="2"/>
      </w:pPr>
      <w:bookmarkStart w:id="11" w:name="_Toc47532923"/>
      <w:bookmarkEnd w:id="11"/>
      <w:bookmarkStart w:id="12" w:name="_Toc47533288"/>
      <w:bookmarkEnd w:id="12"/>
      <w:bookmarkStart w:id="13" w:name="_Toc47536304"/>
      <w:bookmarkEnd w:id="13"/>
      <w:bookmarkStart w:id="14" w:name="_Toc47536676"/>
      <w:bookmarkEnd w:id="14"/>
      <w:bookmarkStart w:id="15" w:name="_Toc47537166"/>
      <w:bookmarkEnd w:id="15"/>
      <w:bookmarkStart w:id="16" w:name="_Toc47539102"/>
      <w:bookmarkEnd w:id="16"/>
      <w:r>
        <w:rPr>
          <w:rFonts w:hint="eastAsia"/>
        </w:rPr>
        <w:t>项目建设内容</w:t>
      </w:r>
    </w:p>
    <w:p>
      <w:pPr>
        <w:pStyle w:val="3"/>
      </w:pPr>
      <w:r>
        <w:rPr>
          <w:rFonts w:hint="eastAsia"/>
        </w:rPr>
        <w:t>技术路线</w:t>
      </w:r>
    </w:p>
    <w:p>
      <w:r>
        <w:rPr>
          <w:rFonts w:hint="eastAsia"/>
        </w:rPr>
        <w:t>项目建设出于落实国家战略、维护国家信息安全的迫切需要，需遵循国家、上海市两个层面上的相关安全制度、标准规范，全面实现国产化软硬件的选型和适配，达到技术自主可控、安全保障有效的目的。</w:t>
      </w:r>
    </w:p>
    <w:p>
      <w:r>
        <w:rPr>
          <w:rFonts w:hint="eastAsia"/>
        </w:rPr>
        <w:t>项目采用</w:t>
      </w:r>
      <w:r>
        <w:t>数据统一存储模型</w:t>
      </w:r>
      <w:r>
        <w:rPr>
          <w:rFonts w:hint="eastAsia"/>
        </w:rPr>
        <w:t>、</w:t>
      </w:r>
      <w:r>
        <w:t>基于元数据的全局视图</w:t>
      </w:r>
      <w:r>
        <w:rPr>
          <w:rFonts w:hint="eastAsia"/>
        </w:rPr>
        <w:t>、</w:t>
      </w:r>
      <w:r>
        <w:t>可视化开发</w:t>
      </w:r>
      <w:r>
        <w:rPr>
          <w:rFonts w:hint="eastAsia"/>
        </w:rPr>
        <w:t>、组件化开发、SaaS应用服务、前后端分离微服务架构等方面技术。</w:t>
      </w:r>
    </w:p>
    <w:p>
      <w:pPr>
        <w:pStyle w:val="3"/>
      </w:pPr>
      <w:r>
        <w:rPr>
          <w:rFonts w:hint="eastAsia"/>
        </w:rPr>
        <w:t>架构</w:t>
      </w:r>
    </w:p>
    <w:p>
      <w:r>
        <w:rPr>
          <w:rFonts w:hint="eastAsia"/>
        </w:rPr>
        <w:t>充分利用全市已有的政务信息化资源，通过网址链接整合、单点登录、统一定制、高频应用接入等多种方式将市级部门信息系统精简整合为“上海市基层治理数字化平台”。总体架构设计上总结为“四个一”，即一个门户、一个工具箱、一个基层治理专题数据库和一套数据标准。</w:t>
      </w:r>
    </w:p>
    <w:p>
      <w:pPr>
        <w:ind w:firstLine="0" w:firstLineChars="0"/>
      </w:pPr>
      <w:r>
        <w:drawing>
          <wp:inline distT="0" distB="0" distL="0" distR="0">
            <wp:extent cx="5278120" cy="2884170"/>
            <wp:effectExtent l="0" t="0" r="0" b="0"/>
            <wp:docPr id="536232637" name="图片 1" descr="171159722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32637" name="图片 1" descr="17115972285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8120" cy="2884170"/>
                    </a:xfrm>
                    <a:prstGeom prst="rect">
                      <a:avLst/>
                    </a:prstGeom>
                    <a:noFill/>
                    <a:ln>
                      <a:noFill/>
                    </a:ln>
                  </pic:spPr>
                </pic:pic>
              </a:graphicData>
            </a:graphic>
          </wp:inline>
        </w:drawing>
      </w:r>
    </w:p>
    <w:p>
      <w:r>
        <w:rPr>
          <w:rFonts w:hint="eastAsia"/>
        </w:rPr>
        <w:t>一个门户包含了市级门户、区级门户、街道门户、居村门户四级，以及二期新增的综合任务管理和市区两级系统接入；</w:t>
      </w:r>
    </w:p>
    <w:p>
      <w:r>
        <w:rPr>
          <w:rFonts w:hint="eastAsia"/>
        </w:rPr>
        <w:t>一个工具箱包含一期已建的报表通系统（含二期升级）和通用工具系统，以及二期新增的社区人房采集、基层治理标签管理和基层治理一屏观；</w:t>
      </w:r>
    </w:p>
    <w:p>
      <w:r>
        <w:rPr>
          <w:rFonts w:hint="eastAsia"/>
        </w:rPr>
        <w:t>一个基层治理主题数据库。包含基层数据融合与处理、基层治理主题库，以及二期新增的数据回流；</w:t>
      </w:r>
    </w:p>
    <w:p>
      <w:r>
        <w:rPr>
          <w:rFonts w:hint="eastAsia"/>
        </w:rPr>
        <w:t>一套数据标准。包含地址、人房等元数据标准、标签数据标准、数据使用流程等标准规范。</w:t>
      </w:r>
    </w:p>
    <w:p>
      <w:pPr>
        <w:pStyle w:val="3"/>
      </w:pPr>
      <w:r>
        <w:rPr>
          <w:rFonts w:hint="eastAsia"/>
        </w:rPr>
        <w:t>部署环境</w:t>
      </w:r>
    </w:p>
    <w:p>
      <w:r>
        <w:rPr>
          <w:rFonts w:hint="eastAsia"/>
        </w:rPr>
        <w:t>本期项目将依托上海市电子政务云平台进行分区部署，在云平台的电子政务外网区、互联网区分别搭建上海市基层治理数字化平台。接入单位根据自身网络条件进行访问。</w:t>
      </w:r>
    </w:p>
    <w:p>
      <w:r>
        <w:rPr>
          <w:rFonts w:hint="eastAsia"/>
        </w:rPr>
        <w:t>上海市基层治理数字化平台</w:t>
      </w:r>
      <w:r>
        <w:t>WEB服务器、应用服务器和数据库服务器部署在电子政务外网区，在互联网区部署前置服务器，存放页面静态资源。电子政务外网和互联网两区通过政务云平台的安全隔离设施有限访问。不同的访问对象通过不同的网络环境进行访问。</w:t>
      </w:r>
    </w:p>
    <w:p>
      <w:pPr>
        <w:pStyle w:val="3"/>
      </w:pPr>
      <w:r>
        <w:rPr>
          <w:rFonts w:hint="eastAsia"/>
        </w:rPr>
        <w:t>项目建设清单及技术指标</w:t>
      </w:r>
    </w:p>
    <w:p>
      <w:pPr>
        <w:ind w:firstLine="482"/>
        <w:rPr>
          <w:b/>
        </w:rPr>
      </w:pPr>
      <w:r>
        <w:rPr>
          <w:rFonts w:hint="eastAsia"/>
          <w:b/>
        </w:rPr>
        <w:t>1、软件开发清单</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843"/>
        <w:gridCol w:w="1701"/>
        <w:gridCol w:w="4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04" w:type="dxa"/>
            <w:vAlign w:val="center"/>
          </w:tcPr>
          <w:p>
            <w:pPr>
              <w:ind w:firstLine="0" w:firstLineChars="0"/>
              <w:jc w:val="center"/>
              <w:rPr>
                <w:b/>
                <w:bCs/>
              </w:rPr>
            </w:pPr>
            <w:r>
              <w:rPr>
                <w:rFonts w:hint="eastAsia"/>
                <w:b/>
                <w:bCs/>
              </w:rPr>
              <w:t>序号</w:t>
            </w:r>
          </w:p>
        </w:tc>
        <w:tc>
          <w:tcPr>
            <w:tcW w:w="1843" w:type="dxa"/>
            <w:vAlign w:val="center"/>
          </w:tcPr>
          <w:p>
            <w:pPr>
              <w:ind w:firstLine="0" w:firstLineChars="0"/>
              <w:jc w:val="center"/>
              <w:rPr>
                <w:b/>
                <w:bCs/>
              </w:rPr>
            </w:pPr>
            <w:r>
              <w:rPr>
                <w:rFonts w:hint="eastAsia"/>
                <w:b/>
                <w:bCs/>
              </w:rPr>
              <w:t>应用系统名称</w:t>
            </w:r>
          </w:p>
        </w:tc>
        <w:tc>
          <w:tcPr>
            <w:tcW w:w="1701" w:type="dxa"/>
            <w:vAlign w:val="center"/>
          </w:tcPr>
          <w:p>
            <w:pPr>
              <w:ind w:firstLine="0" w:firstLineChars="0"/>
              <w:jc w:val="center"/>
              <w:rPr>
                <w:b/>
                <w:bCs/>
              </w:rPr>
            </w:pPr>
            <w:r>
              <w:rPr>
                <w:rFonts w:hint="eastAsia"/>
                <w:b/>
                <w:bCs/>
              </w:rPr>
              <w:t>模块名称</w:t>
            </w:r>
          </w:p>
        </w:tc>
        <w:tc>
          <w:tcPr>
            <w:tcW w:w="4054" w:type="dxa"/>
            <w:vAlign w:val="center"/>
          </w:tcPr>
          <w:p>
            <w:pPr>
              <w:ind w:firstLine="0" w:firstLineChars="0"/>
              <w:jc w:val="center"/>
              <w:rPr>
                <w:b/>
                <w:bCs/>
              </w:rPr>
            </w:pPr>
            <w:r>
              <w:rPr>
                <w:rFonts w:hint="eastAsia"/>
                <w:b/>
                <w:bCs/>
              </w:rPr>
              <w:t>模块描述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04" w:type="dxa"/>
            <w:noWrap/>
            <w:vAlign w:val="center"/>
          </w:tcPr>
          <w:p>
            <w:pPr>
              <w:ind w:firstLine="0" w:firstLineChars="0"/>
            </w:pPr>
            <w:r>
              <w:rPr>
                <w:rFonts w:hint="eastAsia"/>
              </w:rPr>
              <w:t>1</w:t>
            </w:r>
          </w:p>
        </w:tc>
        <w:tc>
          <w:tcPr>
            <w:tcW w:w="1843" w:type="dxa"/>
            <w:vMerge w:val="restart"/>
            <w:vAlign w:val="center"/>
          </w:tcPr>
          <w:p>
            <w:pPr>
              <w:ind w:firstLine="0" w:firstLineChars="0"/>
            </w:pPr>
            <w:r>
              <w:rPr>
                <w:rFonts w:hint="eastAsia"/>
              </w:rPr>
              <w:t>综合任务管理</w:t>
            </w:r>
          </w:p>
        </w:tc>
        <w:tc>
          <w:tcPr>
            <w:tcW w:w="1701" w:type="dxa"/>
            <w:vAlign w:val="center"/>
          </w:tcPr>
          <w:p>
            <w:pPr>
              <w:ind w:firstLine="0" w:firstLineChars="0"/>
            </w:pPr>
            <w:r>
              <w:rPr>
                <w:rFonts w:hint="eastAsia"/>
              </w:rPr>
              <w:t>任务属性配置</w:t>
            </w:r>
          </w:p>
        </w:tc>
        <w:tc>
          <w:tcPr>
            <w:tcW w:w="4054" w:type="dxa"/>
            <w:vAlign w:val="center"/>
          </w:tcPr>
          <w:p>
            <w:pPr>
              <w:ind w:firstLine="0" w:firstLineChars="0"/>
            </w:pPr>
            <w:r>
              <w:rPr>
                <w:rFonts w:hint="eastAsia"/>
              </w:rPr>
              <w:t>配置各区下发关联任务的基本属性，包含任务名称、任务描述、任务依据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04" w:type="dxa"/>
            <w:noWrap/>
            <w:vAlign w:val="center"/>
          </w:tcPr>
          <w:p>
            <w:pPr>
              <w:ind w:firstLine="0" w:firstLineChars="0"/>
            </w:pPr>
            <w:r>
              <w:rPr>
                <w:rFonts w:hint="eastAsia"/>
              </w:rPr>
              <w:t>2</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任务分类配置</w:t>
            </w:r>
          </w:p>
        </w:tc>
        <w:tc>
          <w:tcPr>
            <w:tcW w:w="4054" w:type="dxa"/>
            <w:vAlign w:val="center"/>
          </w:tcPr>
          <w:p>
            <w:pPr>
              <w:ind w:firstLine="0" w:firstLineChars="0"/>
            </w:pPr>
            <w:r>
              <w:rPr>
                <w:rFonts w:hint="eastAsia"/>
              </w:rPr>
              <w:t>系统支持各区下发关联任务的任务分类管理，并可将任务分类在PC端、移动端进行分类展示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任务接口注册</w:t>
            </w:r>
          </w:p>
        </w:tc>
        <w:tc>
          <w:tcPr>
            <w:tcW w:w="4054" w:type="dxa"/>
            <w:vAlign w:val="center"/>
          </w:tcPr>
          <w:p>
            <w:pPr>
              <w:ind w:firstLine="0" w:firstLineChars="0"/>
            </w:pPr>
            <w:r>
              <w:rPr>
                <w:rFonts w:hint="eastAsia"/>
              </w:rPr>
              <w:t>支持对各区配置好的相关任务进行接口注册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04" w:type="dxa"/>
            <w:noWrap/>
            <w:vAlign w:val="center"/>
          </w:tcPr>
          <w:p>
            <w:pPr>
              <w:ind w:firstLine="0" w:firstLineChars="0"/>
            </w:pPr>
            <w:r>
              <w:rPr>
                <w:rFonts w:hint="eastAsia"/>
              </w:rPr>
              <w:t>4</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任务刷新服务</w:t>
            </w:r>
          </w:p>
        </w:tc>
        <w:tc>
          <w:tcPr>
            <w:tcW w:w="4054" w:type="dxa"/>
            <w:vAlign w:val="center"/>
          </w:tcPr>
          <w:p>
            <w:pPr>
              <w:ind w:firstLine="0" w:firstLineChars="0"/>
            </w:pPr>
            <w:r>
              <w:rPr>
                <w:rFonts w:hint="eastAsia"/>
              </w:rPr>
              <w:t>支持区级系统相关工作人员在办理完毕任务后，将任务列表最新状态进行动态刷新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任务集中展示</w:t>
            </w:r>
          </w:p>
        </w:tc>
        <w:tc>
          <w:tcPr>
            <w:tcW w:w="4054" w:type="dxa"/>
            <w:vAlign w:val="center"/>
          </w:tcPr>
          <w:p>
            <w:pPr>
              <w:ind w:firstLine="0" w:firstLineChars="0"/>
            </w:pPr>
            <w:r>
              <w:rPr>
                <w:rFonts w:hint="eastAsia"/>
              </w:rPr>
              <w:t>支持根据不同的任务分类配置进行任务展示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任务关联展示</w:t>
            </w:r>
          </w:p>
        </w:tc>
        <w:tc>
          <w:tcPr>
            <w:tcW w:w="4054" w:type="dxa"/>
            <w:vAlign w:val="center"/>
          </w:tcPr>
          <w:p>
            <w:pPr>
              <w:ind w:firstLine="0" w:firstLineChars="0"/>
            </w:pPr>
            <w:r>
              <w:rPr>
                <w:rFonts w:hint="eastAsia"/>
              </w:rPr>
              <w:t>支持任务关联展示（在房态图中）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任务提醒</w:t>
            </w:r>
          </w:p>
        </w:tc>
        <w:tc>
          <w:tcPr>
            <w:tcW w:w="4054" w:type="dxa"/>
            <w:vAlign w:val="center"/>
          </w:tcPr>
          <w:p>
            <w:pPr>
              <w:ind w:firstLine="0" w:firstLineChars="0"/>
            </w:pPr>
            <w:r>
              <w:rPr>
                <w:rFonts w:hint="eastAsia"/>
              </w:rPr>
              <w:t>集成微信小程序、支付宝小程序消息提醒功能进行任务挺行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任务记载及统计</w:t>
            </w:r>
          </w:p>
        </w:tc>
        <w:tc>
          <w:tcPr>
            <w:tcW w:w="4054" w:type="dxa"/>
            <w:vAlign w:val="center"/>
          </w:tcPr>
          <w:p>
            <w:pPr>
              <w:ind w:firstLine="0" w:firstLineChars="0"/>
            </w:pPr>
            <w:r>
              <w:rPr>
                <w:rFonts w:hint="eastAsia"/>
              </w:rPr>
              <w:t>支持对接入的各区任务进行任务日志记载和综合查询统计。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w:t>
            </w:r>
          </w:p>
        </w:tc>
        <w:tc>
          <w:tcPr>
            <w:tcW w:w="1843" w:type="dxa"/>
            <w:vMerge w:val="restart"/>
            <w:vAlign w:val="center"/>
          </w:tcPr>
          <w:p>
            <w:pPr>
              <w:ind w:firstLine="0" w:firstLineChars="0"/>
            </w:pPr>
            <w:r>
              <w:rPr>
                <w:rFonts w:hint="eastAsia"/>
              </w:rPr>
              <w:t>市区两级系统接入</w:t>
            </w:r>
          </w:p>
        </w:tc>
        <w:tc>
          <w:tcPr>
            <w:tcW w:w="1701" w:type="dxa"/>
            <w:vMerge w:val="restart"/>
            <w:vAlign w:val="center"/>
          </w:tcPr>
          <w:p>
            <w:pPr>
              <w:ind w:firstLine="0" w:firstLineChars="0"/>
            </w:pPr>
            <w:r>
              <w:rPr>
                <w:rFonts w:hint="eastAsia"/>
              </w:rPr>
              <w:t>一网协同平台对接</w:t>
            </w:r>
          </w:p>
        </w:tc>
        <w:tc>
          <w:tcPr>
            <w:tcW w:w="4054" w:type="dxa"/>
            <w:vAlign w:val="center"/>
          </w:tcPr>
          <w:p>
            <w:pPr>
              <w:ind w:firstLine="0" w:firstLineChars="0"/>
            </w:pPr>
            <w:r>
              <w:rPr>
                <w:rFonts w:hint="eastAsia"/>
              </w:rPr>
              <w:t>市区两级管理移动端入口对接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PC端入口对接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待办任务对接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居村管理移动端工作台改造对接-工作台功能改造迁移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居村管理移动端工作台改造对接-原生能力使用改造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居村管理移动端工作台改造对接-居村管理移动端入口对接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开放服务平台-应用入驻管理</w:t>
            </w:r>
          </w:p>
        </w:tc>
        <w:tc>
          <w:tcPr>
            <w:tcW w:w="4054" w:type="dxa"/>
            <w:vAlign w:val="center"/>
          </w:tcPr>
          <w:p>
            <w:pPr>
              <w:ind w:firstLine="0" w:firstLineChars="0"/>
            </w:pPr>
            <w:r>
              <w:rPr>
                <w:rFonts w:hint="eastAsia"/>
              </w:rPr>
              <w:t>入驻规范管理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常见问答管理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主管单位入驻管理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应用注册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数据对接确认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服务对接确认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申请信息管理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应用状态设置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应用排行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入驻审批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应用详情查看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开发商管理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27</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开放服务平台-开放API网关管理</w:t>
            </w:r>
          </w:p>
        </w:tc>
        <w:tc>
          <w:tcPr>
            <w:tcW w:w="4054" w:type="dxa"/>
            <w:vAlign w:val="center"/>
          </w:tcPr>
          <w:p>
            <w:pPr>
              <w:ind w:firstLine="0" w:firstLineChars="0"/>
            </w:pPr>
            <w:r>
              <w:rPr>
                <w:rFonts w:hint="eastAsia"/>
              </w:rPr>
              <w:t>API授权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API数据权限管理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API调用频次限制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API管理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31</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开放服务平台-开放API网关接口</w:t>
            </w:r>
          </w:p>
        </w:tc>
        <w:tc>
          <w:tcPr>
            <w:tcW w:w="4054" w:type="dxa"/>
            <w:vAlign w:val="center"/>
          </w:tcPr>
          <w:p>
            <w:pPr>
              <w:ind w:firstLine="0" w:firstLineChars="0"/>
            </w:pPr>
            <w:r>
              <w:rPr>
                <w:rFonts w:hint="eastAsia"/>
              </w:rPr>
              <w:t>获取组织机构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获取通知公告信息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获取云邻里信息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获取资讯详细内容信息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获取活动信息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活动报名管理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根据问卷ID获取答卷信息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消息通知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39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获取议事厅信息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获取平台用户信息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获取党建园地信息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获取社区动态信息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获取居村务公开信息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获取物业之窗信息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获取楼道留言板信息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获取社区留言板信息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获取公共设施信息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获取民情记录信息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49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获取接待走访信息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获取问题处置信息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51</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开放服务平台-oauth认证管理</w:t>
            </w:r>
          </w:p>
        </w:tc>
        <w:tc>
          <w:tcPr>
            <w:tcW w:w="4054" w:type="dxa"/>
            <w:vAlign w:val="center"/>
          </w:tcPr>
          <w:p>
            <w:pPr>
              <w:ind w:firstLine="0" w:firstLineChars="0"/>
            </w:pPr>
            <w:r>
              <w:rPr>
                <w:rFonts w:hint="eastAsia"/>
              </w:rPr>
              <w:t>资源注册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入驻登记管理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资源申请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认证授权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55</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开放服务平台-oauth认证接口</w:t>
            </w:r>
          </w:p>
        </w:tc>
        <w:tc>
          <w:tcPr>
            <w:tcW w:w="4054" w:type="dxa"/>
            <w:vAlign w:val="center"/>
          </w:tcPr>
          <w:p>
            <w:pPr>
              <w:ind w:firstLine="0" w:firstLineChars="0"/>
            </w:pPr>
            <w:r>
              <w:rPr>
                <w:rFonts w:hint="eastAsia"/>
              </w:rPr>
              <w:t>获取用户基本信息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获取用户身份信息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获取用户居住社区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获取用户在住地址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59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获取用户工作台账号信息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获取用户PC端用户信息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61</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应用及场景接入</w:t>
            </w:r>
          </w:p>
        </w:tc>
        <w:tc>
          <w:tcPr>
            <w:tcW w:w="4054" w:type="dxa"/>
            <w:vAlign w:val="center"/>
          </w:tcPr>
          <w:p>
            <w:pPr>
              <w:ind w:firstLine="0" w:firstLineChars="0"/>
            </w:pPr>
            <w:r>
              <w:rPr>
                <w:rFonts w:hint="eastAsia"/>
              </w:rPr>
              <w:t>市级系统单点接入（市农委系统）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各区系统单点接入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各街镇系统单点接入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市级场景接入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区级工具接入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区级自定义版面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67</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市级应用场景定制-儿童保障关爱场景</w:t>
            </w:r>
          </w:p>
        </w:tc>
        <w:tc>
          <w:tcPr>
            <w:tcW w:w="4054" w:type="dxa"/>
            <w:vAlign w:val="center"/>
          </w:tcPr>
          <w:p>
            <w:pPr>
              <w:ind w:firstLine="0" w:firstLineChars="0"/>
            </w:pPr>
            <w:r>
              <w:rPr>
                <w:rFonts w:hint="eastAsia"/>
              </w:rPr>
              <w:t>儿童关爱保障对象管理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儿童关爱保障随访管理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69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社区未成年人概况统计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保障对象统计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关爱对象统计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关爱随访记录统计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社区未成年人突发事件对接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社区发现疑似符合保障条件儿童上报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疑似保障对象下达排查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社区未成年人关爱对象和随访记录对接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77</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市级应用场景定制-特殊困难老年人探访关爱场景</w:t>
            </w:r>
          </w:p>
        </w:tc>
        <w:tc>
          <w:tcPr>
            <w:tcW w:w="4054" w:type="dxa"/>
            <w:vAlign w:val="center"/>
          </w:tcPr>
          <w:p>
            <w:pPr>
              <w:ind w:firstLine="0" w:firstLineChars="0"/>
            </w:pPr>
            <w:r>
              <w:rPr>
                <w:rFonts w:hint="eastAsia"/>
              </w:rPr>
              <w:t>特殊困难老年人标签管理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特殊困难老年人对象管理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79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特殊困难老年人线索核实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关爱探访记录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特殊困难老年人信息库管理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关爱力量信息管理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关爱力量授权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特殊困难老年人全量分布统计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特殊困难老年人分类分布统计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社区养老老年人群统计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87</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市级应用场景定制-社区救助顾问场景</w:t>
            </w:r>
          </w:p>
        </w:tc>
        <w:tc>
          <w:tcPr>
            <w:tcW w:w="4054" w:type="dxa"/>
            <w:vAlign w:val="center"/>
          </w:tcPr>
          <w:p>
            <w:pPr>
              <w:ind w:firstLine="0" w:firstLineChars="0"/>
            </w:pPr>
            <w:r>
              <w:rPr>
                <w:rFonts w:hint="eastAsia"/>
              </w:rPr>
              <w:t>救助顾问备案管理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救助顾问服务区域管理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89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救助服务对象标签管理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救助服务对象管理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救助顾问服务记录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救助服务跟进管理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社会救助政策库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救助政策找人定制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救助服务网络管理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救助工具包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救助对象分布统计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救助顾问人数分布统计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99</w:t>
            </w:r>
          </w:p>
        </w:tc>
        <w:tc>
          <w:tcPr>
            <w:tcW w:w="1843" w:type="dxa"/>
            <w:vMerge w:val="restart"/>
            <w:vAlign w:val="center"/>
          </w:tcPr>
          <w:p>
            <w:pPr>
              <w:ind w:firstLine="0" w:firstLineChars="0"/>
            </w:pPr>
            <w:r>
              <w:rPr>
                <w:rFonts w:hint="eastAsia"/>
              </w:rPr>
              <w:t>社区人房采集</w:t>
            </w:r>
          </w:p>
        </w:tc>
        <w:tc>
          <w:tcPr>
            <w:tcW w:w="1701" w:type="dxa"/>
            <w:vMerge w:val="restart"/>
            <w:vAlign w:val="center"/>
          </w:tcPr>
          <w:p>
            <w:pPr>
              <w:ind w:firstLine="0" w:firstLineChars="0"/>
            </w:pPr>
            <w:r>
              <w:rPr>
                <w:rFonts w:hint="eastAsia"/>
              </w:rPr>
              <w:t>社区人房采集权限管理</w:t>
            </w:r>
          </w:p>
        </w:tc>
        <w:tc>
          <w:tcPr>
            <w:tcW w:w="4054" w:type="dxa"/>
            <w:vAlign w:val="center"/>
          </w:tcPr>
          <w:p>
            <w:pPr>
              <w:ind w:firstLine="0" w:firstLineChars="0"/>
            </w:pPr>
            <w:r>
              <w:rPr>
                <w:rFonts w:hint="eastAsia"/>
              </w:rPr>
              <w:t>权限查询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分级权限管理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角色授权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102</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社区居民信息采集（公安与社区的采集融合）</w:t>
            </w:r>
          </w:p>
        </w:tc>
        <w:tc>
          <w:tcPr>
            <w:tcW w:w="4054" w:type="dxa"/>
            <w:vAlign w:val="center"/>
          </w:tcPr>
          <w:p>
            <w:pPr>
              <w:ind w:firstLine="0" w:firstLineChars="0"/>
            </w:pPr>
            <w:r>
              <w:rPr>
                <w:rFonts w:hint="eastAsia"/>
              </w:rPr>
              <w:t>社区居民信息新增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社区居民信息修改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居民主要居住地信息变更确认-信息比对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居民主要居住地信息变更确认-比对提醒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居民主要居住地信息变更确认-信息变更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社区居民信息注销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居民主要居住地信息变更核查提醒-消息提醒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109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居民主要居住地信息变更核查提醒-人员信息查看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居民主要居住地信息变更核查提醒-核查确认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居民主要居住地信息变更非信息采集员的消息提醒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社区居民住址变动信息记录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社区居民关键信息项变更信息记录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社区人口变更记录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关联人员身份变更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房屋内人员分类查询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实有人口"暂离"管理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公安已采集照片信息展示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119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居民电子证照调用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居民信息OCR采集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121</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社区居民日常管理</w:t>
            </w:r>
          </w:p>
        </w:tc>
        <w:tc>
          <w:tcPr>
            <w:tcW w:w="4054" w:type="dxa"/>
            <w:vAlign w:val="center"/>
          </w:tcPr>
          <w:p>
            <w:pPr>
              <w:ind w:firstLine="0" w:firstLineChars="0"/>
            </w:pPr>
            <w:r>
              <w:rPr>
                <w:rFonts w:hint="eastAsia"/>
              </w:rPr>
              <w:t>户籍查询服务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户籍人员分类管理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走访核实管理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历史居民查询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125</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社区房屋管理</w:t>
            </w:r>
          </w:p>
        </w:tc>
        <w:tc>
          <w:tcPr>
            <w:tcW w:w="4054" w:type="dxa"/>
            <w:vAlign w:val="center"/>
          </w:tcPr>
          <w:p>
            <w:pPr>
              <w:ind w:firstLine="0" w:firstLineChars="0"/>
            </w:pPr>
            <w:r>
              <w:rPr>
                <w:rFonts w:hint="eastAsia"/>
              </w:rPr>
              <w:t>社区房屋信息新增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社区房屋信息修改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社区房屋信息注销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居村纳管房屋管理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129</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实有人口和房屋的标签管理</w:t>
            </w:r>
          </w:p>
        </w:tc>
        <w:tc>
          <w:tcPr>
            <w:tcW w:w="4054" w:type="dxa"/>
            <w:vAlign w:val="center"/>
          </w:tcPr>
          <w:p>
            <w:pPr>
              <w:ind w:firstLine="0" w:firstLineChars="0"/>
            </w:pPr>
            <w:r>
              <w:rPr>
                <w:rFonts w:hint="eastAsia"/>
              </w:rPr>
              <w:t>实有居民的标签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实有房屋的标签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131</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户籍管理-户籍人员管理</w:t>
            </w:r>
          </w:p>
        </w:tc>
        <w:tc>
          <w:tcPr>
            <w:tcW w:w="4054" w:type="dxa"/>
            <w:vAlign w:val="center"/>
          </w:tcPr>
          <w:p>
            <w:pPr>
              <w:ind w:firstLine="0" w:firstLineChars="0"/>
            </w:pPr>
            <w:r>
              <w:rPr>
                <w:rFonts w:hint="eastAsia"/>
              </w:rPr>
              <w:t>户籍人员（实有人口）分类管理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户籍人员管理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133</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户籍管理-户室关联</w:t>
            </w:r>
          </w:p>
        </w:tc>
        <w:tc>
          <w:tcPr>
            <w:tcW w:w="4054" w:type="dxa"/>
            <w:vAlign w:val="center"/>
          </w:tcPr>
          <w:p>
            <w:pPr>
              <w:ind w:firstLine="0" w:firstLineChars="0"/>
            </w:pPr>
            <w:r>
              <w:rPr>
                <w:rFonts w:hint="eastAsia"/>
              </w:rPr>
              <w:t>户籍人员查询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户室关联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135</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任务下发管理</w:t>
            </w:r>
          </w:p>
        </w:tc>
        <w:tc>
          <w:tcPr>
            <w:tcW w:w="4054" w:type="dxa"/>
            <w:vAlign w:val="center"/>
          </w:tcPr>
          <w:p>
            <w:pPr>
              <w:ind w:firstLine="0" w:firstLineChars="0"/>
            </w:pPr>
            <w:r>
              <w:rPr>
                <w:rFonts w:hint="eastAsia"/>
              </w:rPr>
              <w:t>人员类任务数据管理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房屋类任务数据管理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人员类数据在线纠错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房屋类数据在线纠错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139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任务反馈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任务流转与回退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任务作废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142</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区划管理</w:t>
            </w:r>
          </w:p>
        </w:tc>
        <w:tc>
          <w:tcPr>
            <w:tcW w:w="4054" w:type="dxa"/>
            <w:vAlign w:val="center"/>
          </w:tcPr>
          <w:p>
            <w:pPr>
              <w:ind w:firstLine="0" w:firstLineChars="0"/>
            </w:pPr>
            <w:r>
              <w:rPr>
                <w:rFonts w:hint="eastAsia"/>
              </w:rPr>
              <w:t>区划定义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区划审批流程化管理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区划力量管理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区划标注地址管理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标准地址对应区划变更流程化管理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147</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采集工作考核管理</w:t>
            </w:r>
          </w:p>
        </w:tc>
        <w:tc>
          <w:tcPr>
            <w:tcW w:w="4054" w:type="dxa"/>
            <w:vAlign w:val="center"/>
          </w:tcPr>
          <w:p>
            <w:pPr>
              <w:ind w:firstLine="0" w:firstLineChars="0"/>
            </w:pPr>
            <w:r>
              <w:rPr>
                <w:rFonts w:hint="eastAsia"/>
              </w:rPr>
              <w:t>协管员采集工作考核管理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148</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社区人房数据FTP文件生成-社区人房信息返回</w:t>
            </w:r>
          </w:p>
        </w:tc>
        <w:tc>
          <w:tcPr>
            <w:tcW w:w="4054" w:type="dxa"/>
            <w:vAlign w:val="center"/>
          </w:tcPr>
          <w:p>
            <w:pPr>
              <w:ind w:firstLine="0" w:firstLineChars="0"/>
            </w:pPr>
            <w:r>
              <w:rPr>
                <w:rFonts w:hint="eastAsia"/>
              </w:rPr>
              <w:t>社区人口信息返回公安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149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社区房屋数据返回公安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人员住址变动信息返回公安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社区走访信息返回公安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社区居民字段项变更信息返回公安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社区房屋项目变更信息返回公安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社区房屋变动信息返回公安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社区人口变更记录表返回公安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社区房屋变更记录表返回公安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157</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社区人房数据FTP文件生成-户籍信息返回</w:t>
            </w:r>
          </w:p>
        </w:tc>
        <w:tc>
          <w:tcPr>
            <w:tcW w:w="4054" w:type="dxa"/>
            <w:vAlign w:val="center"/>
          </w:tcPr>
          <w:p>
            <w:pPr>
              <w:ind w:firstLine="0" w:firstLineChars="0"/>
            </w:pPr>
            <w:r>
              <w:rPr>
                <w:rFonts w:hint="eastAsia"/>
              </w:rPr>
              <w:t>户籍地人员去向信息返回给公安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户室关联信息返回公安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159</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社区人房数据FTP文件生成-任务核实信息返回</w:t>
            </w:r>
          </w:p>
        </w:tc>
        <w:tc>
          <w:tcPr>
            <w:tcW w:w="4054" w:type="dxa"/>
            <w:vAlign w:val="center"/>
          </w:tcPr>
          <w:p>
            <w:pPr>
              <w:ind w:firstLine="0" w:firstLineChars="0"/>
            </w:pPr>
            <w:r>
              <w:rPr>
                <w:rFonts w:hint="eastAsia"/>
              </w:rPr>
              <w:t>任务基本信息返回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任务关联的人员信息数据返回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人员信息核实结果返回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任务关联的房屋信息数据返回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房屋信息核实结果返回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04" w:type="dxa"/>
            <w:noWrap/>
            <w:vAlign w:val="center"/>
          </w:tcPr>
          <w:p>
            <w:pPr>
              <w:ind w:firstLine="0" w:firstLineChars="0"/>
            </w:pPr>
            <w:r>
              <w:rPr>
                <w:rFonts w:hint="eastAsia"/>
              </w:rPr>
              <w:t>164</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社区人房数据FTP文件生成-工作人员信息返回</w:t>
            </w:r>
          </w:p>
        </w:tc>
        <w:tc>
          <w:tcPr>
            <w:tcW w:w="4054" w:type="dxa"/>
            <w:vAlign w:val="center"/>
          </w:tcPr>
          <w:p>
            <w:pPr>
              <w:ind w:firstLine="0" w:firstLineChars="0"/>
            </w:pPr>
            <w:r>
              <w:rPr>
                <w:rFonts w:hint="eastAsia"/>
              </w:rPr>
              <w:t>基层平台中新增的实口采集权限的人员，可同步给公安一标三实系统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165</w:t>
            </w:r>
          </w:p>
        </w:tc>
        <w:tc>
          <w:tcPr>
            <w:tcW w:w="1843" w:type="dxa"/>
            <w:vMerge w:val="restart"/>
            <w:vAlign w:val="center"/>
          </w:tcPr>
          <w:p>
            <w:pPr>
              <w:ind w:firstLine="0" w:firstLineChars="0"/>
            </w:pPr>
            <w:r>
              <w:rPr>
                <w:rFonts w:hint="eastAsia"/>
              </w:rPr>
              <w:t>基层治理标签管理</w:t>
            </w:r>
          </w:p>
        </w:tc>
        <w:tc>
          <w:tcPr>
            <w:tcW w:w="1701" w:type="dxa"/>
            <w:vMerge w:val="restart"/>
            <w:vAlign w:val="center"/>
          </w:tcPr>
          <w:p>
            <w:pPr>
              <w:ind w:firstLine="0" w:firstLineChars="0"/>
            </w:pPr>
            <w:r>
              <w:rPr>
                <w:rFonts w:hint="eastAsia"/>
              </w:rPr>
              <w:t>标签管理</w:t>
            </w:r>
          </w:p>
        </w:tc>
        <w:tc>
          <w:tcPr>
            <w:tcW w:w="4054" w:type="dxa"/>
            <w:vAlign w:val="center"/>
          </w:tcPr>
          <w:p>
            <w:pPr>
              <w:ind w:firstLine="0" w:firstLineChars="0"/>
            </w:pPr>
            <w:r>
              <w:rPr>
                <w:rFonts w:hint="eastAsia"/>
              </w:rPr>
              <w:t>标签定义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标签区域隔离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标签数据导入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标签数据异议核实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169</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标签应用</w:t>
            </w:r>
          </w:p>
        </w:tc>
        <w:tc>
          <w:tcPr>
            <w:tcW w:w="4054" w:type="dxa"/>
            <w:vAlign w:val="center"/>
          </w:tcPr>
          <w:p>
            <w:pPr>
              <w:ind w:firstLine="0" w:firstLineChars="0"/>
            </w:pPr>
            <w:r>
              <w:rPr>
                <w:rFonts w:hint="eastAsia"/>
              </w:rPr>
              <w:t>标签组合查询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标签找人查询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171</w:t>
            </w:r>
          </w:p>
        </w:tc>
        <w:tc>
          <w:tcPr>
            <w:tcW w:w="1843" w:type="dxa"/>
            <w:vMerge w:val="restart"/>
            <w:vAlign w:val="center"/>
          </w:tcPr>
          <w:p>
            <w:pPr>
              <w:ind w:firstLine="0" w:firstLineChars="0"/>
            </w:pPr>
            <w:r>
              <w:rPr>
                <w:rFonts w:hint="eastAsia"/>
              </w:rPr>
              <w:t>数据回流</w:t>
            </w:r>
          </w:p>
        </w:tc>
        <w:tc>
          <w:tcPr>
            <w:tcW w:w="1701" w:type="dxa"/>
            <w:vMerge w:val="restart"/>
            <w:vAlign w:val="center"/>
          </w:tcPr>
          <w:p>
            <w:pPr>
              <w:ind w:firstLine="0" w:firstLineChars="0"/>
            </w:pPr>
            <w:r>
              <w:rPr>
                <w:rFonts w:hint="eastAsia"/>
              </w:rPr>
              <w:t>数据回流管理</w:t>
            </w:r>
          </w:p>
        </w:tc>
        <w:tc>
          <w:tcPr>
            <w:tcW w:w="4054" w:type="dxa"/>
            <w:vAlign w:val="center"/>
          </w:tcPr>
          <w:p>
            <w:pPr>
              <w:ind w:firstLine="0" w:firstLineChars="0"/>
            </w:pPr>
            <w:r>
              <w:rPr>
                <w:rFonts w:hint="eastAsia"/>
              </w:rPr>
              <w:t>源端数据管理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目标端数据管理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数据服务源数据预览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数据对象结构获取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数据对象总条数统计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全量+增量实时同步链路管理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增量实时同步链路管理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多表同步实时同步链路管理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179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批量创建实时同步链路管理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数据解密对接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数据加密对接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数据水印对接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183</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数据对账管理-数据对账</w:t>
            </w:r>
          </w:p>
        </w:tc>
        <w:tc>
          <w:tcPr>
            <w:tcW w:w="4054" w:type="dxa"/>
            <w:vAlign w:val="center"/>
          </w:tcPr>
          <w:p>
            <w:pPr>
              <w:ind w:firstLine="0" w:firstLineChars="0"/>
            </w:pPr>
            <w:r>
              <w:rPr>
                <w:rFonts w:hint="eastAsia"/>
              </w:rPr>
              <w:t>业务库与多源数据集成对账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市级基层治理业务库管理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多源数据集成任务管理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归集数据总线管理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实时计算服务管理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加密服务状态监管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189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共享数据总线管控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市级回流数据量实时监管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191</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数据对账管理-告警管理</w:t>
            </w:r>
          </w:p>
        </w:tc>
        <w:tc>
          <w:tcPr>
            <w:tcW w:w="4054" w:type="dxa"/>
            <w:vAlign w:val="center"/>
          </w:tcPr>
          <w:p>
            <w:pPr>
              <w:ind w:firstLine="0" w:firstLineChars="0"/>
            </w:pPr>
            <w:r>
              <w:rPr>
                <w:rFonts w:hint="eastAsia"/>
              </w:rPr>
              <w:t>数据同步告警管理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配置告警信息管理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193</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数据水印溯源</w:t>
            </w:r>
          </w:p>
        </w:tc>
        <w:tc>
          <w:tcPr>
            <w:tcW w:w="4054" w:type="dxa"/>
            <w:vAlign w:val="center"/>
          </w:tcPr>
          <w:p>
            <w:pPr>
              <w:ind w:firstLine="0" w:firstLineChars="0"/>
            </w:pPr>
            <w:r>
              <w:rPr>
                <w:rFonts w:hint="eastAsia"/>
              </w:rPr>
              <w:t>水印嵌入管理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数据水印配置管理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水印算法参数化控制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备注字段水印算法管理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地址字段水印算法管理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时间戳字段水印算法管理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199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数据水印服务引擎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水印追溯核验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数据水印监控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数据水印统计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203</w:t>
            </w:r>
          </w:p>
        </w:tc>
        <w:tc>
          <w:tcPr>
            <w:tcW w:w="1843" w:type="dxa"/>
            <w:vMerge w:val="restart"/>
            <w:vAlign w:val="center"/>
          </w:tcPr>
          <w:p>
            <w:pPr>
              <w:ind w:firstLine="0" w:firstLineChars="0"/>
            </w:pPr>
            <w:r>
              <w:rPr>
                <w:rFonts w:hint="eastAsia"/>
              </w:rPr>
              <w:t>报表通系统升级</w:t>
            </w:r>
          </w:p>
        </w:tc>
        <w:tc>
          <w:tcPr>
            <w:tcW w:w="1701" w:type="dxa"/>
            <w:vMerge w:val="restart"/>
            <w:vAlign w:val="center"/>
          </w:tcPr>
          <w:p>
            <w:pPr>
              <w:ind w:firstLine="0" w:firstLineChars="0"/>
            </w:pPr>
            <w:r>
              <w:rPr>
                <w:rFonts w:hint="eastAsia"/>
              </w:rPr>
              <w:t>字段超市改造-数据资源管理</w:t>
            </w:r>
          </w:p>
        </w:tc>
        <w:tc>
          <w:tcPr>
            <w:tcW w:w="4054" w:type="dxa"/>
            <w:vAlign w:val="center"/>
          </w:tcPr>
          <w:p>
            <w:pPr>
              <w:ind w:firstLine="0" w:firstLineChars="0"/>
            </w:pPr>
            <w:r>
              <w:rPr>
                <w:rFonts w:hint="eastAsia"/>
              </w:rPr>
              <w:t>资源目录管理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资源管理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205</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字段超市改造-数据关系管理</w:t>
            </w:r>
          </w:p>
        </w:tc>
        <w:tc>
          <w:tcPr>
            <w:tcW w:w="4054" w:type="dxa"/>
            <w:vAlign w:val="center"/>
          </w:tcPr>
          <w:p>
            <w:pPr>
              <w:ind w:firstLine="0" w:firstLineChars="0"/>
            </w:pPr>
            <w:r>
              <w:rPr>
                <w:rFonts w:hint="eastAsia"/>
              </w:rPr>
              <w:t>数据模型管理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数据分组管理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207</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字段超市改造-字典维护</w:t>
            </w:r>
          </w:p>
        </w:tc>
        <w:tc>
          <w:tcPr>
            <w:tcW w:w="4054" w:type="dxa"/>
            <w:vAlign w:val="center"/>
          </w:tcPr>
          <w:p>
            <w:pPr>
              <w:ind w:firstLine="0" w:firstLineChars="0"/>
            </w:pPr>
            <w:r>
              <w:rPr>
                <w:rFonts w:hint="eastAsia"/>
              </w:rPr>
              <w:t>字典目录管理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字典管理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209</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字段超市改造-数据资源</w:t>
            </w:r>
          </w:p>
        </w:tc>
        <w:tc>
          <w:tcPr>
            <w:tcW w:w="4054" w:type="dxa"/>
            <w:vAlign w:val="center"/>
          </w:tcPr>
          <w:p>
            <w:pPr>
              <w:ind w:firstLine="0" w:firstLineChars="0"/>
            </w:pPr>
            <w:r>
              <w:rPr>
                <w:rFonts w:hint="eastAsia"/>
              </w:rPr>
              <w:t>数据预览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我要数据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211</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字段超市改造-部门资源</w:t>
            </w:r>
          </w:p>
        </w:tc>
        <w:tc>
          <w:tcPr>
            <w:tcW w:w="4054" w:type="dxa"/>
            <w:vAlign w:val="center"/>
          </w:tcPr>
          <w:p>
            <w:pPr>
              <w:ind w:firstLine="0" w:firstLineChars="0"/>
            </w:pPr>
            <w:r>
              <w:rPr>
                <w:rFonts w:hint="eastAsia"/>
              </w:rPr>
              <w:t>专题库管理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Excel数据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创建报表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216</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字段超市改造-资源申请</w:t>
            </w:r>
          </w:p>
        </w:tc>
        <w:tc>
          <w:tcPr>
            <w:tcW w:w="4054" w:type="dxa"/>
            <w:vAlign w:val="center"/>
          </w:tcPr>
          <w:p>
            <w:pPr>
              <w:ind w:firstLine="0" w:firstLineChars="0"/>
            </w:pPr>
            <w:r>
              <w:rPr>
                <w:rFonts w:hint="eastAsia"/>
              </w:rPr>
              <w:t>资源申请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217</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报表设计改造-报表管理</w:t>
            </w:r>
          </w:p>
        </w:tc>
        <w:tc>
          <w:tcPr>
            <w:tcW w:w="4054" w:type="dxa"/>
            <w:vAlign w:val="center"/>
          </w:tcPr>
          <w:p>
            <w:pPr>
              <w:ind w:firstLine="0" w:firstLineChars="0"/>
            </w:pPr>
            <w:r>
              <w:rPr>
                <w:rFonts w:hint="eastAsia"/>
              </w:rPr>
              <w:t>报表信息管理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报表台账设计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219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任务下发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上报数据查看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221</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流程管理</w:t>
            </w:r>
          </w:p>
        </w:tc>
        <w:tc>
          <w:tcPr>
            <w:tcW w:w="4054" w:type="dxa"/>
            <w:vAlign w:val="center"/>
          </w:tcPr>
          <w:p>
            <w:pPr>
              <w:ind w:firstLine="0" w:firstLineChars="0"/>
            </w:pPr>
            <w:r>
              <w:rPr>
                <w:rFonts w:hint="eastAsia"/>
              </w:rPr>
              <w:t>包括报表流程的新增、编辑、删除、配置及部门授权服务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222</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采集任务改造-采集任务</w:t>
            </w:r>
          </w:p>
        </w:tc>
        <w:tc>
          <w:tcPr>
            <w:tcW w:w="4054" w:type="dxa"/>
            <w:vAlign w:val="center"/>
          </w:tcPr>
          <w:p>
            <w:pPr>
              <w:ind w:firstLine="0" w:firstLineChars="0"/>
            </w:pPr>
            <w:r>
              <w:rPr>
                <w:rFonts w:hint="eastAsia"/>
              </w:rPr>
              <w:t>任务查看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采集数据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任务处置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任务调度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227</w:t>
            </w:r>
          </w:p>
        </w:tc>
        <w:tc>
          <w:tcPr>
            <w:tcW w:w="1843" w:type="dxa"/>
            <w:vMerge w:val="restart"/>
            <w:vAlign w:val="center"/>
          </w:tcPr>
          <w:p>
            <w:pPr>
              <w:ind w:firstLine="0" w:firstLineChars="0"/>
            </w:pPr>
            <w:r>
              <w:rPr>
                <w:rFonts w:hint="eastAsia"/>
              </w:rPr>
              <w:t>基层治理一屏观</w:t>
            </w:r>
          </w:p>
        </w:tc>
        <w:tc>
          <w:tcPr>
            <w:tcW w:w="1701" w:type="dxa"/>
            <w:vMerge w:val="restart"/>
            <w:vAlign w:val="center"/>
          </w:tcPr>
          <w:p>
            <w:pPr>
              <w:ind w:firstLine="0" w:firstLineChars="0"/>
            </w:pPr>
            <w:r>
              <w:rPr>
                <w:rFonts w:hint="eastAsia"/>
              </w:rPr>
              <w:t>一屏观首页</w:t>
            </w:r>
          </w:p>
        </w:tc>
        <w:tc>
          <w:tcPr>
            <w:tcW w:w="4054" w:type="dxa"/>
            <w:vAlign w:val="center"/>
          </w:tcPr>
          <w:p>
            <w:pPr>
              <w:ind w:firstLine="0" w:firstLineChars="0"/>
            </w:pPr>
            <w:r>
              <w:rPr>
                <w:rFonts w:hint="eastAsia"/>
              </w:rPr>
              <w:t>基础数据变化情况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走访接待类型统计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229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标签打标统计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系统接入访问情况统计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工作人员在线情况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诉求处置情况统计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数据回流统计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234</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统一门户一屏观-接入情况分析</w:t>
            </w:r>
          </w:p>
        </w:tc>
        <w:tc>
          <w:tcPr>
            <w:tcW w:w="4054" w:type="dxa"/>
            <w:vAlign w:val="center"/>
          </w:tcPr>
          <w:p>
            <w:pPr>
              <w:ind w:firstLine="0" w:firstLineChars="0"/>
            </w:pPr>
            <w:r>
              <w:rPr>
                <w:rFonts w:hint="eastAsia"/>
              </w:rPr>
              <w:t>接入系统分析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接入系统访问量分析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接入系统访问趋势分析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237</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统一门户一屏观-平台使用情况</w:t>
            </w:r>
          </w:p>
        </w:tc>
        <w:tc>
          <w:tcPr>
            <w:tcW w:w="4054" w:type="dxa"/>
            <w:vAlign w:val="center"/>
          </w:tcPr>
          <w:p>
            <w:pPr>
              <w:ind w:firstLine="0" w:firstLineChars="0"/>
            </w:pPr>
            <w:r>
              <w:rPr>
                <w:rFonts w:hint="eastAsia"/>
              </w:rPr>
              <w:t>管理用户使用分析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居民用户使用分析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239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基层爱用工具分析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240</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数据标准一屏观-数据标签</w:t>
            </w:r>
          </w:p>
        </w:tc>
        <w:tc>
          <w:tcPr>
            <w:tcW w:w="4054" w:type="dxa"/>
            <w:vAlign w:val="center"/>
          </w:tcPr>
          <w:p>
            <w:pPr>
              <w:ind w:firstLine="0" w:firstLineChars="0"/>
            </w:pPr>
            <w:r>
              <w:rPr>
                <w:rFonts w:hint="eastAsia"/>
              </w:rPr>
              <w:t>标签基本情况分析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标签使用排行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标签打标排行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标签异议核实排行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标签来源统计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标签数量统计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246</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数据标准一屏观-报表工具</w:t>
            </w:r>
          </w:p>
        </w:tc>
        <w:tc>
          <w:tcPr>
            <w:tcW w:w="4054" w:type="dxa"/>
            <w:vAlign w:val="center"/>
          </w:tcPr>
          <w:p>
            <w:pPr>
              <w:ind w:firstLine="0" w:firstLineChars="0"/>
            </w:pPr>
            <w:r>
              <w:rPr>
                <w:rFonts w:hint="eastAsia"/>
              </w:rPr>
              <w:t>报表来源分析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247</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多表合一情况分析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报表和任务分析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249</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流程再造一屏观-综合走访</w:t>
            </w:r>
          </w:p>
        </w:tc>
        <w:tc>
          <w:tcPr>
            <w:tcW w:w="4054" w:type="dxa"/>
            <w:vAlign w:val="center"/>
          </w:tcPr>
          <w:p>
            <w:pPr>
              <w:ind w:firstLine="0" w:firstLineChars="0"/>
            </w:pPr>
            <w:r>
              <w:rPr>
                <w:rFonts w:hint="eastAsia"/>
              </w:rPr>
              <w:t>走访基本情况分析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250</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走访排名分析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251</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流程再造一屏观-综合采集</w:t>
            </w:r>
          </w:p>
        </w:tc>
        <w:tc>
          <w:tcPr>
            <w:tcW w:w="4054" w:type="dxa"/>
            <w:vAlign w:val="center"/>
          </w:tcPr>
          <w:p>
            <w:pPr>
              <w:ind w:firstLine="0" w:firstLineChars="0"/>
            </w:pPr>
            <w:r>
              <w:rPr>
                <w:rFonts w:hint="eastAsia"/>
              </w:rPr>
              <w:t>采集基本情况分析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252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采集综合情况分析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253</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数据底座一屏观-市级数据底座</w:t>
            </w:r>
          </w:p>
        </w:tc>
        <w:tc>
          <w:tcPr>
            <w:tcW w:w="4054" w:type="dxa"/>
            <w:vAlign w:val="center"/>
          </w:tcPr>
          <w:p>
            <w:pPr>
              <w:ind w:firstLine="0" w:firstLineChars="0"/>
            </w:pPr>
            <w:r>
              <w:rPr>
                <w:rFonts w:hint="eastAsia"/>
              </w:rPr>
              <w:t>数据指标分析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254</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变化情况分析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255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社区排名分析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256</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数据底座一屏观-区、街镇数据底座</w:t>
            </w:r>
          </w:p>
        </w:tc>
        <w:tc>
          <w:tcPr>
            <w:tcW w:w="4054" w:type="dxa"/>
            <w:vAlign w:val="center"/>
          </w:tcPr>
          <w:p>
            <w:pPr>
              <w:ind w:firstLine="0" w:firstLineChars="0"/>
            </w:pPr>
            <w:r>
              <w:rPr>
                <w:rFonts w:hint="eastAsia"/>
              </w:rPr>
              <w:t>数据指标分析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257</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数据底座一屏观-居村数据底座</w:t>
            </w:r>
          </w:p>
        </w:tc>
        <w:tc>
          <w:tcPr>
            <w:tcW w:w="4054" w:type="dxa"/>
            <w:vAlign w:val="center"/>
          </w:tcPr>
          <w:p>
            <w:pPr>
              <w:ind w:firstLine="0" w:firstLineChars="0"/>
            </w:pPr>
            <w:r>
              <w:rPr>
                <w:rFonts w:hint="eastAsia"/>
              </w:rPr>
              <w:t>人房基本情况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258</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工作情况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259</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队伍情况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260</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数据回流一屏观-业务态势</w:t>
            </w:r>
          </w:p>
        </w:tc>
        <w:tc>
          <w:tcPr>
            <w:tcW w:w="4054" w:type="dxa"/>
            <w:vAlign w:val="center"/>
          </w:tcPr>
          <w:p>
            <w:pPr>
              <w:ind w:firstLine="0" w:firstLineChars="0"/>
            </w:pPr>
            <w:r>
              <w:rPr>
                <w:rFonts w:hint="eastAsia"/>
              </w:rPr>
              <w:t>业务总览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261</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业务同步场景概览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262</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业务数据采集任务状态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263</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业务数据变化趋势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264</w:t>
            </w:r>
          </w:p>
        </w:tc>
        <w:tc>
          <w:tcPr>
            <w:tcW w:w="1843" w:type="dxa"/>
            <w:vMerge w:val="continue"/>
            <w:vAlign w:val="center"/>
          </w:tcPr>
          <w:p>
            <w:pPr>
              <w:ind w:firstLine="0" w:firstLineChars="0"/>
            </w:pPr>
          </w:p>
        </w:tc>
        <w:tc>
          <w:tcPr>
            <w:tcW w:w="1701" w:type="dxa"/>
            <w:vMerge w:val="restart"/>
            <w:vAlign w:val="center"/>
          </w:tcPr>
          <w:p>
            <w:pPr>
              <w:ind w:firstLine="0" w:firstLineChars="0"/>
            </w:pPr>
            <w:r>
              <w:rPr>
                <w:rFonts w:hint="eastAsia"/>
              </w:rPr>
              <w:t>数据回流一屏观-运维态势</w:t>
            </w:r>
          </w:p>
        </w:tc>
        <w:tc>
          <w:tcPr>
            <w:tcW w:w="4054" w:type="dxa"/>
            <w:vAlign w:val="center"/>
          </w:tcPr>
          <w:p>
            <w:pPr>
              <w:ind w:firstLine="0" w:firstLineChars="0"/>
            </w:pPr>
            <w:r>
              <w:rPr>
                <w:rFonts w:hint="eastAsia"/>
              </w:rPr>
              <w:t>业务数据市级对账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265</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业务数据区级总量对账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266</w:t>
            </w:r>
          </w:p>
        </w:tc>
        <w:tc>
          <w:tcPr>
            <w:tcW w:w="1843" w:type="dxa"/>
            <w:vMerge w:val="continue"/>
            <w:vAlign w:val="center"/>
          </w:tcPr>
          <w:p>
            <w:pPr>
              <w:ind w:firstLine="0" w:firstLineChars="0"/>
            </w:pPr>
          </w:p>
        </w:tc>
        <w:tc>
          <w:tcPr>
            <w:tcW w:w="1701" w:type="dxa"/>
            <w:vMerge w:val="continue"/>
            <w:vAlign w:val="center"/>
          </w:tcPr>
          <w:p>
            <w:pPr>
              <w:ind w:firstLine="0" w:firstLineChars="0"/>
            </w:pPr>
          </w:p>
        </w:tc>
        <w:tc>
          <w:tcPr>
            <w:tcW w:w="4054" w:type="dxa"/>
            <w:vAlign w:val="center"/>
          </w:tcPr>
          <w:p>
            <w:pPr>
              <w:ind w:firstLine="0" w:firstLineChars="0"/>
            </w:pPr>
            <w:r>
              <w:rPr>
                <w:rFonts w:hint="eastAsia"/>
              </w:rPr>
              <w:t>业务数据日志对账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267</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统一监控一屏观-主机监控和采集</w:t>
            </w:r>
          </w:p>
        </w:tc>
        <w:tc>
          <w:tcPr>
            <w:tcW w:w="4054" w:type="dxa"/>
            <w:vAlign w:val="center"/>
          </w:tcPr>
          <w:p>
            <w:pPr>
              <w:ind w:firstLine="0" w:firstLineChars="0"/>
            </w:pPr>
            <w:r>
              <w:rPr>
                <w:rFonts w:hint="eastAsia"/>
              </w:rPr>
              <w:t>主机监控和采集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268</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统一监控一屏观-应用监控和采集</w:t>
            </w:r>
          </w:p>
        </w:tc>
        <w:tc>
          <w:tcPr>
            <w:tcW w:w="4054" w:type="dxa"/>
            <w:vAlign w:val="center"/>
          </w:tcPr>
          <w:p>
            <w:pPr>
              <w:ind w:firstLine="0" w:firstLineChars="0"/>
            </w:pPr>
            <w:r>
              <w:rPr>
                <w:rFonts w:hint="eastAsia"/>
              </w:rPr>
              <w:t>应用监控和采集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269</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统一监控一屏观-微服务监控和采集</w:t>
            </w:r>
          </w:p>
        </w:tc>
        <w:tc>
          <w:tcPr>
            <w:tcW w:w="4054" w:type="dxa"/>
            <w:vAlign w:val="center"/>
          </w:tcPr>
          <w:p>
            <w:pPr>
              <w:ind w:firstLine="0" w:firstLineChars="0"/>
            </w:pPr>
            <w:r>
              <w:rPr>
                <w:rFonts w:hint="eastAsia"/>
              </w:rPr>
              <w:t>微服务监控和采集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270</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统一监控一屏观-分布式事务监控和采集</w:t>
            </w:r>
          </w:p>
        </w:tc>
        <w:tc>
          <w:tcPr>
            <w:tcW w:w="4054" w:type="dxa"/>
            <w:vAlign w:val="center"/>
          </w:tcPr>
          <w:p>
            <w:pPr>
              <w:ind w:firstLine="0" w:firstLineChars="0"/>
            </w:pPr>
            <w:r>
              <w:rPr>
                <w:rFonts w:hint="eastAsia"/>
              </w:rPr>
              <w:t>分布式事务监控和采集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271</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统一监控一屏观-数据库监控和采集</w:t>
            </w:r>
          </w:p>
        </w:tc>
        <w:tc>
          <w:tcPr>
            <w:tcW w:w="4054" w:type="dxa"/>
            <w:vAlign w:val="center"/>
          </w:tcPr>
          <w:p>
            <w:pPr>
              <w:ind w:firstLine="0" w:firstLineChars="0"/>
            </w:pPr>
            <w:r>
              <w:rPr>
                <w:rFonts w:hint="eastAsia"/>
              </w:rPr>
              <w:t>数据库监控和采集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272</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统一监控一屏观-web小程序监控和采集</w:t>
            </w:r>
          </w:p>
        </w:tc>
        <w:tc>
          <w:tcPr>
            <w:tcW w:w="4054" w:type="dxa"/>
            <w:vAlign w:val="center"/>
          </w:tcPr>
          <w:p>
            <w:pPr>
              <w:ind w:firstLine="0" w:firstLineChars="0"/>
            </w:pPr>
            <w:r>
              <w:rPr>
                <w:rFonts w:hint="eastAsia"/>
              </w:rPr>
              <w:t>web小程序监控和采集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273</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统一监控一屏观-服务网关监控和采集</w:t>
            </w:r>
          </w:p>
        </w:tc>
        <w:tc>
          <w:tcPr>
            <w:tcW w:w="4054" w:type="dxa"/>
            <w:vAlign w:val="center"/>
          </w:tcPr>
          <w:p>
            <w:pPr>
              <w:ind w:firstLine="0" w:firstLineChars="0"/>
            </w:pPr>
            <w:r>
              <w:rPr>
                <w:rFonts w:hint="eastAsia"/>
              </w:rPr>
              <w:t>服务网关监控和采集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274</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统一监控一屏观-聚合监控和采集</w:t>
            </w:r>
          </w:p>
        </w:tc>
        <w:tc>
          <w:tcPr>
            <w:tcW w:w="4054" w:type="dxa"/>
            <w:vAlign w:val="center"/>
          </w:tcPr>
          <w:p>
            <w:pPr>
              <w:ind w:firstLine="0" w:firstLineChars="0"/>
            </w:pPr>
            <w:r>
              <w:rPr>
                <w:rFonts w:hint="eastAsia"/>
              </w:rPr>
              <w:t>聚合监控和采集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275</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统一监控一屏观-API异常监控监控和采集</w:t>
            </w:r>
          </w:p>
        </w:tc>
        <w:tc>
          <w:tcPr>
            <w:tcW w:w="4054" w:type="dxa"/>
            <w:vAlign w:val="center"/>
          </w:tcPr>
          <w:p>
            <w:pPr>
              <w:ind w:firstLine="0" w:firstLineChars="0"/>
            </w:pPr>
            <w:r>
              <w:rPr>
                <w:rFonts w:hint="eastAsia"/>
              </w:rPr>
              <w:t>API异常监控监控和采集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276</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统一监控一屏观-可用性监控</w:t>
            </w:r>
          </w:p>
        </w:tc>
        <w:tc>
          <w:tcPr>
            <w:tcW w:w="4054" w:type="dxa"/>
            <w:vAlign w:val="center"/>
          </w:tcPr>
          <w:p>
            <w:pPr>
              <w:ind w:firstLine="0" w:firstLineChars="0"/>
            </w:pPr>
            <w:r>
              <w:rPr>
                <w:rFonts w:hint="eastAsia"/>
              </w:rPr>
              <w:t>可用性监控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277</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统一监控一屏观-主机全览图</w:t>
            </w:r>
          </w:p>
        </w:tc>
        <w:tc>
          <w:tcPr>
            <w:tcW w:w="4054" w:type="dxa"/>
            <w:vAlign w:val="center"/>
          </w:tcPr>
          <w:p>
            <w:pPr>
              <w:ind w:firstLine="0" w:firstLineChars="0"/>
            </w:pPr>
            <w:r>
              <w:rPr>
                <w:rFonts w:hint="eastAsia"/>
              </w:rPr>
              <w:t>主机全览图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278</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统一监控一屏观-应用全览图</w:t>
            </w:r>
          </w:p>
        </w:tc>
        <w:tc>
          <w:tcPr>
            <w:tcW w:w="4054" w:type="dxa"/>
            <w:vAlign w:val="center"/>
          </w:tcPr>
          <w:p>
            <w:pPr>
              <w:ind w:firstLine="0" w:firstLineChars="0"/>
            </w:pPr>
            <w:r>
              <w:rPr>
                <w:rFonts w:hint="eastAsia"/>
              </w:rPr>
              <w:t>应用全览图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279</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统一监控一屏观-告警概览</w:t>
            </w:r>
          </w:p>
        </w:tc>
        <w:tc>
          <w:tcPr>
            <w:tcW w:w="4054" w:type="dxa"/>
            <w:vAlign w:val="center"/>
          </w:tcPr>
          <w:p>
            <w:pPr>
              <w:ind w:firstLine="0" w:firstLineChars="0"/>
            </w:pPr>
            <w:r>
              <w:rPr>
                <w:rFonts w:hint="eastAsia"/>
              </w:rPr>
              <w:t>告警概览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280</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统一监控一屏观-告警查询</w:t>
            </w:r>
          </w:p>
        </w:tc>
        <w:tc>
          <w:tcPr>
            <w:tcW w:w="4054" w:type="dxa"/>
            <w:vAlign w:val="center"/>
          </w:tcPr>
          <w:p>
            <w:pPr>
              <w:ind w:firstLine="0" w:firstLineChars="0"/>
            </w:pPr>
            <w:r>
              <w:rPr>
                <w:rFonts w:hint="eastAsia"/>
              </w:rPr>
              <w:t>告警查询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4" w:type="dxa"/>
            <w:noWrap/>
            <w:vAlign w:val="center"/>
          </w:tcPr>
          <w:p>
            <w:pPr>
              <w:ind w:firstLine="0" w:firstLineChars="0"/>
            </w:pPr>
            <w:r>
              <w:rPr>
                <w:rFonts w:hint="eastAsia"/>
              </w:rPr>
              <w:t>281</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统一监控一屏观-告警和规则配置</w:t>
            </w:r>
          </w:p>
        </w:tc>
        <w:tc>
          <w:tcPr>
            <w:tcW w:w="4054" w:type="dxa"/>
            <w:vAlign w:val="center"/>
          </w:tcPr>
          <w:p>
            <w:pPr>
              <w:ind w:firstLine="0" w:firstLineChars="0"/>
            </w:pPr>
            <w:r>
              <w:rPr>
                <w:rFonts w:hint="eastAsia"/>
              </w:rPr>
              <w:t>告警和规则配置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704" w:type="dxa"/>
            <w:noWrap/>
            <w:vAlign w:val="center"/>
          </w:tcPr>
          <w:p>
            <w:pPr>
              <w:ind w:firstLine="0" w:firstLineChars="0"/>
            </w:pPr>
            <w:r>
              <w:rPr>
                <w:rFonts w:hint="eastAsia"/>
              </w:rPr>
              <w:t>282</w:t>
            </w:r>
          </w:p>
        </w:tc>
        <w:tc>
          <w:tcPr>
            <w:tcW w:w="1843" w:type="dxa"/>
            <w:vMerge w:val="continue"/>
            <w:vAlign w:val="center"/>
          </w:tcPr>
          <w:p>
            <w:pPr>
              <w:ind w:firstLine="0" w:firstLineChars="0"/>
            </w:pPr>
          </w:p>
        </w:tc>
        <w:tc>
          <w:tcPr>
            <w:tcW w:w="1701" w:type="dxa"/>
            <w:vAlign w:val="center"/>
          </w:tcPr>
          <w:p>
            <w:pPr>
              <w:ind w:firstLine="0" w:firstLineChars="0"/>
            </w:pPr>
            <w:r>
              <w:rPr>
                <w:rFonts w:hint="eastAsia"/>
              </w:rPr>
              <w:t>统一监控一屏观-告警机器人</w:t>
            </w:r>
          </w:p>
        </w:tc>
        <w:tc>
          <w:tcPr>
            <w:tcW w:w="4054" w:type="dxa"/>
            <w:vAlign w:val="center"/>
          </w:tcPr>
          <w:p>
            <w:pPr>
              <w:ind w:firstLine="0" w:firstLineChars="0"/>
            </w:pPr>
            <w:r>
              <w:rPr>
                <w:rFonts w:hint="eastAsia"/>
              </w:rPr>
              <w:t>告警机器人</w:t>
            </w:r>
          </w:p>
        </w:tc>
      </w:tr>
    </w:tbl>
    <w:p>
      <w:pPr>
        <w:ind w:firstLine="0" w:firstLineChars="0"/>
        <w:rPr>
          <w:b/>
        </w:rPr>
      </w:pPr>
    </w:p>
    <w:p>
      <w:pPr>
        <w:ind w:firstLine="0" w:firstLineChars="0"/>
        <w:rPr>
          <w:b/>
        </w:rPr>
      </w:pPr>
      <w:r>
        <w:rPr>
          <w:rFonts w:hint="eastAsia"/>
          <w:b/>
        </w:rPr>
        <w:t>2、安全产品购置清单：</w:t>
      </w:r>
    </w:p>
    <w:tbl>
      <w:tblPr>
        <w:tblStyle w:val="35"/>
        <w:tblW w:w="5000" w:type="pct"/>
        <w:tblInd w:w="0" w:type="dxa"/>
        <w:tblLayout w:type="autofit"/>
        <w:tblCellMar>
          <w:top w:w="0" w:type="dxa"/>
          <w:left w:w="0" w:type="dxa"/>
          <w:bottom w:w="0" w:type="dxa"/>
          <w:right w:w="0" w:type="dxa"/>
        </w:tblCellMar>
      </w:tblPr>
      <w:tblGrid>
        <w:gridCol w:w="542"/>
        <w:gridCol w:w="1588"/>
        <w:gridCol w:w="1848"/>
        <w:gridCol w:w="3297"/>
        <w:gridCol w:w="540"/>
        <w:gridCol w:w="517"/>
      </w:tblGrid>
      <w:tr>
        <w:tblPrEx>
          <w:tblCellMar>
            <w:top w:w="0" w:type="dxa"/>
            <w:left w:w="0" w:type="dxa"/>
            <w:bottom w:w="0" w:type="dxa"/>
            <w:right w:w="0" w:type="dxa"/>
          </w:tblCellMar>
        </w:tblPrEx>
        <w:trPr>
          <w:trHeight w:val="270" w:hRule="atLeast"/>
        </w:trPr>
        <w:tc>
          <w:tcPr>
            <w:tcW w:w="325" w:type="pct"/>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序号</w:t>
            </w:r>
          </w:p>
        </w:tc>
        <w:tc>
          <w:tcPr>
            <w:tcW w:w="953"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名称</w:t>
            </w:r>
          </w:p>
        </w:tc>
        <w:tc>
          <w:tcPr>
            <w:tcW w:w="1109"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类别</w:t>
            </w:r>
          </w:p>
        </w:tc>
        <w:tc>
          <w:tcPr>
            <w:tcW w:w="1978"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功能说明/配置要求</w:t>
            </w:r>
          </w:p>
        </w:tc>
        <w:tc>
          <w:tcPr>
            <w:tcW w:w="324" w:type="pct"/>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数量</w:t>
            </w:r>
          </w:p>
        </w:tc>
        <w:tc>
          <w:tcPr>
            <w:tcW w:w="310" w:type="pct"/>
            <w:tcBorders>
              <w:top w:val="single" w:color="auto" w:sz="4" w:space="0"/>
              <w:left w:val="single" w:color="000000" w:sz="4" w:space="0"/>
              <w:bottom w:val="single" w:color="000000" w:sz="4" w:space="0"/>
              <w:right w:val="single" w:color="auto" w:sz="4" w:space="0"/>
            </w:tcBorders>
            <w:vAlign w:val="center"/>
          </w:tcPr>
          <w:p>
            <w:pPr>
              <w:widowControl/>
              <w:spacing w:line="240" w:lineRule="auto"/>
              <w:ind w:firstLine="0" w:firstLineChars="0"/>
              <w:jc w:val="center"/>
              <w:textAlignment w:val="center"/>
              <w:rPr>
                <w:rFonts w:cs="宋体"/>
                <w:b/>
                <w:bCs/>
                <w:color w:val="000000"/>
                <w:kern w:val="0"/>
                <w:sz w:val="22"/>
                <w:szCs w:val="22"/>
              </w:rPr>
            </w:pPr>
            <w:r>
              <w:rPr>
                <w:rFonts w:hint="eastAsia" w:cs="宋体"/>
                <w:b/>
                <w:bCs/>
                <w:color w:val="000000"/>
                <w:kern w:val="0"/>
                <w:sz w:val="22"/>
                <w:szCs w:val="22"/>
              </w:rPr>
              <w:t>单位</w:t>
            </w:r>
          </w:p>
        </w:tc>
      </w:tr>
      <w:tr>
        <w:tblPrEx>
          <w:tblCellMar>
            <w:top w:w="0" w:type="dxa"/>
            <w:left w:w="0" w:type="dxa"/>
            <w:bottom w:w="0" w:type="dxa"/>
            <w:right w:w="0" w:type="dxa"/>
          </w:tblCellMar>
        </w:tblPrEx>
        <w:trPr>
          <w:trHeight w:val="825" w:hRule="atLeast"/>
        </w:trPr>
        <w:tc>
          <w:tcPr>
            <w:tcW w:w="325"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宋体"/>
                <w:color w:val="000000"/>
                <w:sz w:val="22"/>
                <w:szCs w:val="22"/>
              </w:rPr>
            </w:pPr>
            <w:r>
              <w:rPr>
                <w:rFonts w:hint="eastAsia" w:cs="宋体"/>
                <w:color w:val="000000"/>
                <w:kern w:val="0"/>
                <w:sz w:val="22"/>
                <w:szCs w:val="22"/>
              </w:rPr>
              <w:t>1</w:t>
            </w:r>
          </w:p>
        </w:tc>
        <w:tc>
          <w:tcPr>
            <w:tcW w:w="9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pPr>
            <w:r>
              <w:t>API安全检测与访问控制系统</w:t>
            </w:r>
          </w:p>
        </w:tc>
        <w:tc>
          <w:tcPr>
            <w:tcW w:w="11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pPr>
            <w:r>
              <w:t>WEB应用安全监测系统产品</w:t>
            </w:r>
          </w:p>
        </w:tc>
        <w:tc>
          <w:tcPr>
            <w:tcW w:w="19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cs="宋体"/>
                <w:color w:val="000000"/>
              </w:rPr>
            </w:pPr>
            <w:r>
              <w:rPr>
                <w:rFonts w:cs="宋体"/>
                <w:color w:val="000000"/>
                <w:kern w:val="0"/>
                <w:highlight w:val="none"/>
              </w:rPr>
              <w:t>API安全监测与访问控制系统是为了解决应用API接口访问场景下的安全问题推出的一款Web应用侧数据安全产品。基于API资产治理、身份治理、流量管控、访问鉴权、机器学习等多种核心技术，帮助用户梳理庞杂的应用及接口，绘制接口画像和接口访问轨迹，监测敏感数据流动风险，识别接口调用的异常用户行为，为应用系统的业务数据合规正常使用和流转提供数据安全保障。产品参数：1.默认流量：200M</w:t>
            </w:r>
            <w:r>
              <w:rPr>
                <w:rFonts w:hint="eastAsia" w:cs="宋体"/>
                <w:color w:val="000000"/>
                <w:kern w:val="0"/>
                <w:highlight w:val="none"/>
              </w:rPr>
              <w:t xml:space="preserve"> </w:t>
            </w:r>
            <w:r>
              <w:rPr>
                <w:rFonts w:cs="宋体"/>
                <w:color w:val="000000"/>
                <w:kern w:val="0"/>
                <w:highlight w:val="none"/>
              </w:rPr>
              <w:t>2.基础功能（业务应用、API接口资产管理，身份管理、风险监测以及统计分析等模块）</w:t>
            </w:r>
            <w:r>
              <w:rPr>
                <w:rFonts w:hint="eastAsia" w:cs="宋体"/>
                <w:color w:val="000000"/>
                <w:kern w:val="0"/>
                <w:highlight w:val="none"/>
              </w:rPr>
              <w:t xml:space="preserve"> </w:t>
            </w:r>
            <w:r>
              <w:rPr>
                <w:rFonts w:cs="宋体"/>
                <w:color w:val="000000"/>
                <w:kern w:val="0"/>
                <w:highlight w:val="none"/>
              </w:rPr>
              <w:t>3.支持国产化环境。</w:t>
            </w:r>
          </w:p>
        </w:tc>
        <w:tc>
          <w:tcPr>
            <w:tcW w:w="324"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宋体"/>
                <w:color w:val="000000"/>
                <w:sz w:val="22"/>
                <w:szCs w:val="22"/>
              </w:rPr>
            </w:pPr>
            <w:r>
              <w:rPr>
                <w:rFonts w:hint="eastAsia" w:cs="宋体"/>
                <w:color w:val="000000"/>
                <w:kern w:val="0"/>
                <w:sz w:val="22"/>
                <w:szCs w:val="22"/>
              </w:rPr>
              <w:t>1</w:t>
            </w:r>
          </w:p>
        </w:tc>
        <w:tc>
          <w:tcPr>
            <w:tcW w:w="310"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套</w:t>
            </w:r>
          </w:p>
        </w:tc>
      </w:tr>
    </w:tbl>
    <w:p>
      <w:pPr>
        <w:ind w:firstLine="0" w:firstLineChars="0"/>
        <w:rPr>
          <w:b/>
        </w:rPr>
      </w:pPr>
      <w:r>
        <w:rPr>
          <w:rFonts w:hint="eastAsia"/>
          <w:b/>
        </w:rPr>
        <w:t>3、相关服务清单</w:t>
      </w:r>
    </w:p>
    <w:tbl>
      <w:tblPr>
        <w:tblStyle w:val="35"/>
        <w:tblW w:w="8217" w:type="dxa"/>
        <w:tblInd w:w="0" w:type="dxa"/>
        <w:tblLayout w:type="autofit"/>
        <w:tblCellMar>
          <w:top w:w="0" w:type="dxa"/>
          <w:left w:w="108" w:type="dxa"/>
          <w:bottom w:w="0" w:type="dxa"/>
          <w:right w:w="108" w:type="dxa"/>
        </w:tblCellMar>
      </w:tblPr>
      <w:tblGrid>
        <w:gridCol w:w="780"/>
        <w:gridCol w:w="1342"/>
        <w:gridCol w:w="6095"/>
      </w:tblGrid>
      <w:tr>
        <w:tblPrEx>
          <w:tblCellMar>
            <w:top w:w="0" w:type="dxa"/>
            <w:left w:w="108" w:type="dxa"/>
            <w:bottom w:w="0" w:type="dxa"/>
            <w:right w:w="108" w:type="dxa"/>
          </w:tblCellMar>
        </w:tblPrEx>
        <w:trPr>
          <w:trHeight w:val="270" w:hRule="atLeast"/>
        </w:trPr>
        <w:tc>
          <w:tcPr>
            <w:tcW w:w="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b/>
                <w:bCs/>
                <w:color w:val="000000"/>
                <w:kern w:val="0"/>
              </w:rPr>
            </w:pPr>
            <w:r>
              <w:rPr>
                <w:rFonts w:hint="eastAsia" w:cs="宋体" w:asciiTheme="minorEastAsia" w:hAnsiTheme="minorEastAsia" w:eastAsiaTheme="minorEastAsia"/>
                <w:b/>
                <w:bCs/>
                <w:color w:val="000000"/>
                <w:kern w:val="0"/>
              </w:rPr>
              <w:t>序号</w:t>
            </w:r>
          </w:p>
        </w:tc>
        <w:tc>
          <w:tcPr>
            <w:tcW w:w="1342" w:type="dxa"/>
            <w:tcBorders>
              <w:top w:val="single" w:color="auto" w:sz="4" w:space="0"/>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b/>
                <w:bCs/>
                <w:color w:val="000000"/>
                <w:kern w:val="0"/>
              </w:rPr>
            </w:pPr>
            <w:r>
              <w:rPr>
                <w:rFonts w:hint="eastAsia" w:cs="宋体" w:asciiTheme="minorEastAsia" w:hAnsiTheme="minorEastAsia" w:eastAsiaTheme="minorEastAsia"/>
                <w:b/>
                <w:bCs/>
                <w:color w:val="000000"/>
                <w:kern w:val="0"/>
              </w:rPr>
              <w:t>科目名称</w:t>
            </w:r>
          </w:p>
        </w:tc>
        <w:tc>
          <w:tcPr>
            <w:tcW w:w="609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b/>
                <w:bCs/>
                <w:color w:val="000000"/>
                <w:kern w:val="0"/>
              </w:rPr>
            </w:pPr>
            <w:r>
              <w:rPr>
                <w:rFonts w:hint="eastAsia" w:cs="宋体" w:asciiTheme="minorEastAsia" w:hAnsiTheme="minorEastAsia" w:eastAsiaTheme="minorEastAsia"/>
                <w:b/>
                <w:bCs/>
                <w:color w:val="000000"/>
                <w:kern w:val="0"/>
              </w:rPr>
              <w:t>服务内容</w:t>
            </w:r>
          </w:p>
        </w:tc>
      </w:tr>
      <w:tr>
        <w:tblPrEx>
          <w:tblCellMar>
            <w:top w:w="0" w:type="dxa"/>
            <w:left w:w="108" w:type="dxa"/>
            <w:bottom w:w="0" w:type="dxa"/>
            <w:right w:w="108" w:type="dxa"/>
          </w:tblCellMar>
        </w:tblPrEx>
        <w:trPr>
          <w:trHeight w:val="765"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数据加工</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人房数据比对-基层平台人房信息和公安的人房信息进行比对，形成标准地址、社区房屋情况、居民情况等比对结果，供居村决策两个系统数据融合方案。</w:t>
            </w:r>
          </w:p>
        </w:tc>
      </w:tr>
      <w:tr>
        <w:tblPrEx>
          <w:tblCellMar>
            <w:top w:w="0" w:type="dxa"/>
            <w:left w:w="108" w:type="dxa"/>
            <w:bottom w:w="0" w:type="dxa"/>
            <w:right w:w="108" w:type="dxa"/>
          </w:tblCellMar>
        </w:tblPrEx>
        <w:trPr>
          <w:trHeight w:val="765"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2</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数据加工</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社区居民头像数据处理-基层平台和公安一致的人员数据，需要将公安系统中的头像数据进行统一处理，并按需初始化入库。</w:t>
            </w:r>
          </w:p>
        </w:tc>
      </w:tr>
      <w:tr>
        <w:tblPrEx>
          <w:tblCellMar>
            <w:top w:w="0" w:type="dxa"/>
            <w:left w:w="108" w:type="dxa"/>
            <w:bottom w:w="0" w:type="dxa"/>
            <w:right w:w="108" w:type="dxa"/>
          </w:tblCellMar>
        </w:tblPrEx>
        <w:trPr>
          <w:trHeight w:val="510"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3</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数据加工</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社区房屋信息初始化-基层平台和公安一致的房屋数据，社区系统中房屋扩展信息初始化到基层平台中，不一致的人房数据，按需初始化入库。</w:t>
            </w:r>
          </w:p>
        </w:tc>
      </w:tr>
      <w:tr>
        <w:tblPrEx>
          <w:tblCellMar>
            <w:top w:w="0" w:type="dxa"/>
            <w:left w:w="108" w:type="dxa"/>
            <w:bottom w:w="0" w:type="dxa"/>
            <w:right w:w="108" w:type="dxa"/>
          </w:tblCellMar>
        </w:tblPrEx>
        <w:trPr>
          <w:trHeight w:val="510"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4</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数据加工</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社区居民信息的初始化-基层平台和公安一致的人员数据，公安系统中人员扩展信息初始化到基层平台中，不一致的居民信息，按需初始化入库。</w:t>
            </w:r>
          </w:p>
        </w:tc>
      </w:tr>
      <w:tr>
        <w:tblPrEx>
          <w:tblCellMar>
            <w:top w:w="0" w:type="dxa"/>
            <w:left w:w="108" w:type="dxa"/>
            <w:bottom w:w="0" w:type="dxa"/>
            <w:right w:w="108" w:type="dxa"/>
          </w:tblCellMar>
        </w:tblPrEx>
        <w:trPr>
          <w:trHeight w:val="510"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5</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数据加工</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社区居民主要居住地址数据初始化-根据社区居民主要居住地信息，通过房屋信息的分析比对，初始化居民在基层平台中的主要居住地信息。</w:t>
            </w:r>
          </w:p>
        </w:tc>
      </w:tr>
      <w:tr>
        <w:tblPrEx>
          <w:tblCellMar>
            <w:top w:w="0" w:type="dxa"/>
            <w:left w:w="108" w:type="dxa"/>
            <w:bottom w:w="0" w:type="dxa"/>
            <w:right w:w="108" w:type="dxa"/>
          </w:tblCellMar>
        </w:tblPrEx>
        <w:trPr>
          <w:trHeight w:val="510"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6</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数据加工</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社区实有房屋数据核对-接收并落地公安推送的房屋信息，和基层平台房屋信息进行比对，对房屋信息进行编码匹配和数据初始化。</w:t>
            </w:r>
          </w:p>
        </w:tc>
      </w:tr>
      <w:tr>
        <w:tblPrEx>
          <w:tblCellMar>
            <w:top w:w="0" w:type="dxa"/>
            <w:left w:w="108" w:type="dxa"/>
            <w:bottom w:w="0" w:type="dxa"/>
            <w:right w:w="108" w:type="dxa"/>
          </w:tblCellMar>
        </w:tblPrEx>
        <w:trPr>
          <w:trHeight w:val="510"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7</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数据加工</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社区实有人口数据核对-接收并落地公安推送的居民信息，和基层平台居民信息进行比对，对居民信息以及居住地址信息进行更新。</w:t>
            </w:r>
          </w:p>
        </w:tc>
      </w:tr>
      <w:tr>
        <w:tblPrEx>
          <w:tblCellMar>
            <w:top w:w="0" w:type="dxa"/>
            <w:left w:w="108" w:type="dxa"/>
            <w:bottom w:w="0" w:type="dxa"/>
            <w:right w:w="108" w:type="dxa"/>
          </w:tblCellMar>
        </w:tblPrEx>
        <w:trPr>
          <w:trHeight w:val="510"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8</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数据加工</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社区实有地址数据核对-接收并落地公安推送的标准地址信息，用于实有房屋的展示和维护。</w:t>
            </w:r>
          </w:p>
        </w:tc>
      </w:tr>
      <w:tr>
        <w:tblPrEx>
          <w:tblCellMar>
            <w:top w:w="0" w:type="dxa"/>
            <w:left w:w="108" w:type="dxa"/>
            <w:bottom w:w="0" w:type="dxa"/>
            <w:right w:w="108" w:type="dxa"/>
          </w:tblCellMar>
        </w:tblPrEx>
        <w:trPr>
          <w:trHeight w:val="1530"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9</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渗透测试</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b/>
                <w:bCs/>
                <w:color w:val="000000"/>
                <w:kern w:val="0"/>
              </w:rPr>
            </w:pPr>
            <w:r>
              <w:rPr>
                <w:rFonts w:hint="eastAsia" w:cs="宋体" w:asciiTheme="minorEastAsia" w:hAnsiTheme="minorEastAsia" w:eastAsiaTheme="minorEastAsia"/>
                <w:b/>
                <w:bCs/>
                <w:color w:val="000000"/>
                <w:kern w:val="0"/>
              </w:rPr>
              <w:t>渗透测试</w:t>
            </w:r>
            <w:r>
              <w:rPr>
                <w:rFonts w:hint="eastAsia" w:cs="宋体" w:asciiTheme="minorEastAsia" w:hAnsiTheme="minorEastAsia" w:eastAsiaTheme="minorEastAsia"/>
                <w:color w:val="000000"/>
                <w:kern w:val="0"/>
              </w:rPr>
              <w:t>-定期按照《信息安全技术 网络安全等级保护基本要求》和《信息安全技术 网络安全等级保护测评要求》等相关标准要求，提升发现系统安全风险能力。对单位业务系统安全性作出评估，发现业务的安全问题，给出修复建议。采用各种手段模拟真实的安全攻击，从而发现黑客入侵信息系统的潜在可能途径。渗透测试工作以人工渗透为主，辅助以攻击工具的使用。主要的渗透测试方法包括：信息收集、端口扫描、远程溢出、口令猜测、本地溢出、客户端攻击、中间人攻击、web脚本渗透、B/S或C/S应用程序测试、社会工程等。半年扫描一次，一年共2次</w:t>
            </w:r>
            <w:r>
              <w:rPr>
                <w:rFonts w:hint="eastAsia" w:cs="宋体" w:asciiTheme="minorEastAsia" w:hAnsiTheme="minorEastAsia" w:eastAsiaTheme="minorEastAsia"/>
                <w:b/>
                <w:bCs/>
                <w:color w:val="000000"/>
                <w:kern w:val="0"/>
              </w:rPr>
              <w:t>。</w:t>
            </w:r>
          </w:p>
        </w:tc>
      </w:tr>
      <w:tr>
        <w:tblPrEx>
          <w:tblCellMar>
            <w:top w:w="0" w:type="dxa"/>
            <w:left w:w="108" w:type="dxa"/>
            <w:bottom w:w="0" w:type="dxa"/>
            <w:right w:w="108" w:type="dxa"/>
          </w:tblCellMar>
        </w:tblPrEx>
        <w:trPr>
          <w:trHeight w:val="510"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10</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安全加固</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b/>
                <w:bCs/>
                <w:color w:val="000000"/>
                <w:kern w:val="0"/>
              </w:rPr>
            </w:pPr>
            <w:r>
              <w:rPr>
                <w:rFonts w:hint="eastAsia" w:cs="宋体" w:asciiTheme="minorEastAsia" w:hAnsiTheme="minorEastAsia" w:eastAsiaTheme="minorEastAsia"/>
                <w:b/>
                <w:bCs/>
                <w:color w:val="000000"/>
                <w:kern w:val="0"/>
              </w:rPr>
              <w:t>安全加固</w:t>
            </w:r>
            <w:r>
              <w:rPr>
                <w:rFonts w:hint="eastAsia" w:cs="宋体" w:asciiTheme="minorEastAsia" w:hAnsiTheme="minorEastAsia" w:eastAsiaTheme="minorEastAsia"/>
                <w:color w:val="000000"/>
                <w:kern w:val="0"/>
              </w:rPr>
              <w:t>-定期对现有支撑信息化运行工具软件、应用程序等应用系统进行安全加固。每季度扫描一次，一年共4次。</w:t>
            </w:r>
          </w:p>
        </w:tc>
      </w:tr>
      <w:tr>
        <w:tblPrEx>
          <w:tblCellMar>
            <w:top w:w="0" w:type="dxa"/>
            <w:left w:w="108" w:type="dxa"/>
            <w:bottom w:w="0" w:type="dxa"/>
            <w:right w:w="108" w:type="dxa"/>
          </w:tblCellMar>
        </w:tblPrEx>
        <w:trPr>
          <w:trHeight w:val="510" w:hRule="atLeast"/>
        </w:trPr>
        <w:tc>
          <w:tcPr>
            <w:tcW w:w="780"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11</w:t>
            </w:r>
          </w:p>
        </w:tc>
        <w:tc>
          <w:tcPr>
            <w:tcW w:w="1342" w:type="dxa"/>
            <w:tcBorders>
              <w:top w:val="nil"/>
              <w:left w:val="nil"/>
              <w:bottom w:val="single" w:color="auto" w:sz="4" w:space="0"/>
              <w:right w:val="single" w:color="auto" w:sz="4" w:space="0"/>
            </w:tcBorders>
            <w:shd w:val="clear" w:color="000000" w:fill="FFFFFF"/>
            <w:noWrap/>
            <w:vAlign w:val="center"/>
          </w:tcPr>
          <w:p>
            <w:pPr>
              <w:widowControl/>
              <w:spacing w:line="240" w:lineRule="auto"/>
              <w:ind w:firstLine="0" w:firstLineChars="0"/>
              <w:jc w:val="center"/>
              <w:rPr>
                <w:rFonts w:cs="宋体" w:asciiTheme="minorEastAsia" w:hAnsiTheme="minorEastAsia" w:eastAsiaTheme="minorEastAsia"/>
                <w:color w:val="000000"/>
                <w:kern w:val="0"/>
              </w:rPr>
            </w:pPr>
            <w:r>
              <w:rPr>
                <w:rFonts w:hint="eastAsia" w:cs="宋体" w:asciiTheme="minorEastAsia" w:hAnsiTheme="minorEastAsia" w:eastAsiaTheme="minorEastAsia"/>
                <w:color w:val="000000"/>
                <w:kern w:val="0"/>
              </w:rPr>
              <w:t>漏洞扫描</w:t>
            </w:r>
          </w:p>
        </w:tc>
        <w:tc>
          <w:tcPr>
            <w:tcW w:w="6095"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asciiTheme="minorEastAsia" w:hAnsiTheme="minorEastAsia" w:eastAsiaTheme="minorEastAsia"/>
                <w:b/>
                <w:bCs/>
                <w:color w:val="000000"/>
                <w:kern w:val="0"/>
              </w:rPr>
            </w:pPr>
            <w:r>
              <w:rPr>
                <w:rFonts w:hint="eastAsia" w:cs="宋体" w:asciiTheme="minorEastAsia" w:hAnsiTheme="minorEastAsia" w:eastAsiaTheme="minorEastAsia"/>
                <w:b/>
                <w:bCs/>
                <w:color w:val="000000"/>
                <w:kern w:val="0"/>
              </w:rPr>
              <w:t>漏洞扫描</w:t>
            </w:r>
            <w:r>
              <w:rPr>
                <w:rFonts w:hint="eastAsia" w:cs="宋体" w:asciiTheme="minorEastAsia" w:hAnsiTheme="minorEastAsia" w:eastAsiaTheme="minorEastAsia"/>
                <w:color w:val="000000"/>
                <w:kern w:val="0"/>
              </w:rPr>
              <w:t>-定期对现有支撑信息化运行工具软件、应用程序等应用系统进行安全漏洞扫描。每季度扫描一次，一年共4次</w:t>
            </w:r>
            <w:r>
              <w:rPr>
                <w:rFonts w:hint="eastAsia" w:cs="宋体" w:asciiTheme="minorEastAsia" w:hAnsiTheme="minorEastAsia" w:eastAsiaTheme="minorEastAsia"/>
                <w:b/>
                <w:bCs/>
                <w:color w:val="000000"/>
                <w:kern w:val="0"/>
              </w:rPr>
              <w:t>。</w:t>
            </w:r>
          </w:p>
        </w:tc>
      </w:tr>
    </w:tbl>
    <w:p>
      <w:pPr>
        <w:ind w:firstLine="0" w:firstLineChars="0"/>
        <w:rPr>
          <w:b/>
        </w:rPr>
      </w:pPr>
      <w:r>
        <w:rPr>
          <w:rFonts w:hint="eastAsia"/>
          <w:b/>
        </w:rPr>
        <w:t>4、系统集成</w:t>
      </w:r>
    </w:p>
    <w:p>
      <w:pPr>
        <w:rPr>
          <w:bCs/>
        </w:rPr>
      </w:pPr>
      <w:r>
        <w:rPr>
          <w:rFonts w:hint="eastAsia"/>
          <w:bCs/>
        </w:rPr>
        <w:t>对采购的安全产品（</w:t>
      </w:r>
      <w:r>
        <w:rPr>
          <w:bCs/>
        </w:rPr>
        <w:t>API安全检测与访问控制系统）以及申请的电子政务云提供的PAAS服务工具（数据全态脱敏工具、数据库安全防护工具）进行软件产品与应用系统的相关集成服务，具体包括产品安装、配置、调试、产品功能验证等相关工作。</w:t>
      </w:r>
    </w:p>
    <w:p>
      <w:pPr>
        <w:pStyle w:val="2"/>
      </w:pPr>
      <w:r>
        <w:rPr>
          <w:rFonts w:hint="eastAsia"/>
        </w:rPr>
        <w:t>电子政务云资源需求</w:t>
      </w:r>
    </w:p>
    <w:p>
      <w:pPr>
        <w:rPr>
          <w:bCs/>
        </w:rPr>
      </w:pPr>
      <w:r>
        <w:rPr>
          <w:rFonts w:hint="eastAsia"/>
          <w:bCs/>
        </w:rPr>
        <w:t>本次项目在原有一期基础上新申请20</w:t>
      </w:r>
      <w:r>
        <w:rPr>
          <w:bCs/>
        </w:rPr>
        <w:t>台虚拟服务器（</w:t>
      </w:r>
      <w:r>
        <w:rPr>
          <w:rFonts w:hint="eastAsia"/>
          <w:bCs/>
        </w:rPr>
        <w:t>共计120核CPU、432G内存、4700G硬盘</w:t>
      </w:r>
      <w:r>
        <w:rPr>
          <w:bCs/>
        </w:rPr>
        <w:t>），位于政务外网</w:t>
      </w:r>
      <w:r>
        <w:rPr>
          <w:rFonts w:hint="eastAsia"/>
          <w:bCs/>
        </w:rPr>
        <w:t>区和互联网区</w:t>
      </w:r>
      <w:r>
        <w:rPr>
          <w:bCs/>
        </w:rPr>
        <w:t>，主要用于</w:t>
      </w:r>
      <w:r>
        <w:rPr>
          <w:rFonts w:hint="eastAsia"/>
          <w:bCs/>
        </w:rPr>
        <w:t>支撑社区人房采集、基层治理一屏观、数据回流等模块建设</w:t>
      </w:r>
      <w:r>
        <w:rPr>
          <w:bCs/>
        </w:rPr>
        <w:t>。</w:t>
      </w:r>
    </w:p>
    <w:p>
      <w:pPr>
        <w:rPr>
          <w:bCs/>
        </w:rPr>
      </w:pPr>
      <w:r>
        <w:rPr>
          <w:rFonts w:hint="eastAsia"/>
          <w:bCs/>
        </w:rPr>
        <w:t>另外，根据系统数据安全需要，需申请电子政务云提供的</w:t>
      </w:r>
      <w:r>
        <w:rPr>
          <w:bCs/>
        </w:rPr>
        <w:t>PAAS服务工具（数据全态脱敏工具、数据库安全防护工具）</w:t>
      </w:r>
      <w:r>
        <w:rPr>
          <w:rFonts w:hint="eastAsia"/>
          <w:bCs/>
        </w:rPr>
        <w:t>。</w:t>
      </w:r>
    </w:p>
    <w:tbl>
      <w:tblPr>
        <w:tblStyle w:val="35"/>
        <w:tblW w:w="5000" w:type="pct"/>
        <w:tblInd w:w="0" w:type="dxa"/>
        <w:tblLayout w:type="autofit"/>
        <w:tblCellMar>
          <w:top w:w="0" w:type="dxa"/>
          <w:left w:w="0" w:type="dxa"/>
          <w:bottom w:w="0" w:type="dxa"/>
          <w:right w:w="0" w:type="dxa"/>
        </w:tblCellMar>
      </w:tblPr>
      <w:tblGrid>
        <w:gridCol w:w="543"/>
        <w:gridCol w:w="1588"/>
        <w:gridCol w:w="1848"/>
        <w:gridCol w:w="3296"/>
        <w:gridCol w:w="540"/>
        <w:gridCol w:w="517"/>
      </w:tblGrid>
      <w:tr>
        <w:tblPrEx>
          <w:tblCellMar>
            <w:top w:w="0" w:type="dxa"/>
            <w:left w:w="0" w:type="dxa"/>
            <w:bottom w:w="0" w:type="dxa"/>
            <w:right w:w="0" w:type="dxa"/>
          </w:tblCellMar>
        </w:tblPrEx>
        <w:trPr>
          <w:trHeight w:val="270" w:hRule="atLeast"/>
        </w:trPr>
        <w:tc>
          <w:tcPr>
            <w:tcW w:w="326" w:type="pct"/>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序号</w:t>
            </w:r>
          </w:p>
        </w:tc>
        <w:tc>
          <w:tcPr>
            <w:tcW w:w="953"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名称</w:t>
            </w:r>
          </w:p>
        </w:tc>
        <w:tc>
          <w:tcPr>
            <w:tcW w:w="1109"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类别</w:t>
            </w:r>
          </w:p>
        </w:tc>
        <w:tc>
          <w:tcPr>
            <w:tcW w:w="1978" w:type="pct"/>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功能说明/配置要求</w:t>
            </w:r>
          </w:p>
        </w:tc>
        <w:tc>
          <w:tcPr>
            <w:tcW w:w="324" w:type="pct"/>
            <w:tcBorders>
              <w:top w:val="single" w:color="auto"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line="240" w:lineRule="auto"/>
              <w:ind w:firstLine="0" w:firstLineChars="0"/>
              <w:jc w:val="center"/>
              <w:textAlignment w:val="center"/>
              <w:rPr>
                <w:rFonts w:cs="宋体"/>
                <w:b/>
                <w:bCs/>
                <w:color w:val="000000"/>
                <w:sz w:val="22"/>
                <w:szCs w:val="22"/>
              </w:rPr>
            </w:pPr>
            <w:r>
              <w:rPr>
                <w:rFonts w:hint="eastAsia" w:cs="宋体"/>
                <w:b/>
                <w:bCs/>
                <w:color w:val="000000"/>
                <w:kern w:val="0"/>
                <w:sz w:val="22"/>
                <w:szCs w:val="22"/>
              </w:rPr>
              <w:t>数量</w:t>
            </w:r>
          </w:p>
        </w:tc>
        <w:tc>
          <w:tcPr>
            <w:tcW w:w="310" w:type="pct"/>
            <w:tcBorders>
              <w:top w:val="single" w:color="auto" w:sz="4" w:space="0"/>
              <w:left w:val="single" w:color="000000" w:sz="4" w:space="0"/>
              <w:bottom w:val="single" w:color="000000" w:sz="4" w:space="0"/>
              <w:right w:val="single" w:color="auto" w:sz="4" w:space="0"/>
            </w:tcBorders>
            <w:vAlign w:val="center"/>
          </w:tcPr>
          <w:p>
            <w:pPr>
              <w:widowControl/>
              <w:spacing w:line="240" w:lineRule="auto"/>
              <w:ind w:firstLine="0" w:firstLineChars="0"/>
              <w:jc w:val="center"/>
              <w:textAlignment w:val="center"/>
              <w:rPr>
                <w:rFonts w:cs="宋体"/>
                <w:b/>
                <w:bCs/>
                <w:color w:val="000000"/>
                <w:kern w:val="0"/>
                <w:sz w:val="22"/>
                <w:szCs w:val="22"/>
              </w:rPr>
            </w:pPr>
            <w:r>
              <w:rPr>
                <w:rFonts w:hint="eastAsia" w:cs="宋体"/>
                <w:b/>
                <w:bCs/>
                <w:color w:val="000000"/>
                <w:kern w:val="0"/>
                <w:sz w:val="22"/>
                <w:szCs w:val="22"/>
              </w:rPr>
              <w:t>单位</w:t>
            </w:r>
          </w:p>
        </w:tc>
      </w:tr>
      <w:tr>
        <w:tblPrEx>
          <w:tblCellMar>
            <w:top w:w="0" w:type="dxa"/>
            <w:left w:w="0" w:type="dxa"/>
            <w:bottom w:w="0" w:type="dxa"/>
            <w:right w:w="0" w:type="dxa"/>
          </w:tblCellMar>
        </w:tblPrEx>
        <w:trPr>
          <w:trHeight w:val="825" w:hRule="atLeast"/>
        </w:trPr>
        <w:tc>
          <w:tcPr>
            <w:tcW w:w="326"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宋体"/>
                <w:color w:val="000000"/>
                <w:sz w:val="22"/>
                <w:szCs w:val="22"/>
              </w:rPr>
            </w:pPr>
            <w:r>
              <w:rPr>
                <w:rFonts w:hint="eastAsia" w:cs="宋体"/>
                <w:color w:val="000000"/>
                <w:kern w:val="0"/>
                <w:sz w:val="22"/>
                <w:szCs w:val="22"/>
              </w:rPr>
              <w:t>1</w:t>
            </w:r>
          </w:p>
        </w:tc>
        <w:tc>
          <w:tcPr>
            <w:tcW w:w="9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pPr>
            <w:r>
              <w:rPr>
                <w:bCs/>
              </w:rPr>
              <w:t>数据全态脱敏工具</w:t>
            </w:r>
          </w:p>
        </w:tc>
        <w:tc>
          <w:tcPr>
            <w:tcW w:w="11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pPr>
            <w:r>
              <w:rPr>
                <w:rFonts w:hint="eastAsia"/>
              </w:rPr>
              <w:t>加密机</w:t>
            </w:r>
          </w:p>
        </w:tc>
        <w:tc>
          <w:tcPr>
            <w:tcW w:w="19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cs="宋体"/>
                <w:color w:val="000000"/>
              </w:rPr>
            </w:pPr>
            <w:r>
              <w:rPr>
                <w:rFonts w:hint="eastAsia" w:cs="宋体"/>
                <w:color w:val="000000"/>
              </w:rPr>
              <w:t>数据全态脱敏服务提供在数据服务过程中对敏感数据进行保护，产品对数据服务输出的敏感数据采取变形、替换、屏蔽和加密等措施，实现系统测试、数据运维、数据分析、数据共享等场景下敏感数据的安全保护，防止敏感信息外泄。</w:t>
            </w:r>
          </w:p>
        </w:tc>
        <w:tc>
          <w:tcPr>
            <w:tcW w:w="324"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宋体"/>
                <w:color w:val="000000"/>
                <w:sz w:val="22"/>
                <w:szCs w:val="22"/>
              </w:rPr>
            </w:pPr>
            <w:r>
              <w:rPr>
                <w:rFonts w:hint="eastAsia" w:cs="宋体"/>
                <w:color w:val="000000"/>
                <w:kern w:val="0"/>
                <w:sz w:val="22"/>
                <w:szCs w:val="22"/>
              </w:rPr>
              <w:t>1</w:t>
            </w:r>
          </w:p>
        </w:tc>
        <w:tc>
          <w:tcPr>
            <w:tcW w:w="310"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套</w:t>
            </w:r>
          </w:p>
        </w:tc>
      </w:tr>
      <w:tr>
        <w:tblPrEx>
          <w:tblCellMar>
            <w:top w:w="0" w:type="dxa"/>
            <w:left w:w="0" w:type="dxa"/>
            <w:bottom w:w="0" w:type="dxa"/>
            <w:right w:w="0" w:type="dxa"/>
          </w:tblCellMar>
        </w:tblPrEx>
        <w:trPr>
          <w:trHeight w:val="825" w:hRule="atLeast"/>
        </w:trPr>
        <w:tc>
          <w:tcPr>
            <w:tcW w:w="326"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2</w:t>
            </w:r>
          </w:p>
        </w:tc>
        <w:tc>
          <w:tcPr>
            <w:tcW w:w="9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rPr>
                <w:bCs/>
              </w:rPr>
            </w:pPr>
            <w:r>
              <w:rPr>
                <w:bCs/>
              </w:rPr>
              <w:t>数据库安全防护工具</w:t>
            </w:r>
          </w:p>
        </w:tc>
        <w:tc>
          <w:tcPr>
            <w:tcW w:w="11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0" w:firstLineChars="0"/>
              <w:jc w:val="center"/>
            </w:pPr>
            <w:r>
              <w:rPr>
                <w:rFonts w:hint="eastAsia"/>
              </w:rPr>
              <w:t>加密机</w:t>
            </w:r>
          </w:p>
        </w:tc>
        <w:tc>
          <w:tcPr>
            <w:tcW w:w="19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ind w:firstLine="0" w:firstLineChars="0"/>
              <w:jc w:val="center"/>
              <w:rPr>
                <w:rFonts w:cs="宋体"/>
                <w:color w:val="000000"/>
              </w:rPr>
            </w:pPr>
            <w:r>
              <w:rPr>
                <w:rFonts w:hint="eastAsia" w:cs="宋体"/>
                <w:color w:val="000000"/>
              </w:rPr>
              <w:t>数据安全防护工具是一款对数据库中存储的敏感数据进行加密保护的产品，该产品采用国产密码算法实现数据的透明加解密，在写入数据时自动加密，在读取数据时自动解密，确保敏感数据在数据库中全程处于密态，防止敏感数据的外泄。</w:t>
            </w:r>
          </w:p>
        </w:tc>
        <w:tc>
          <w:tcPr>
            <w:tcW w:w="324"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1</w:t>
            </w:r>
          </w:p>
        </w:tc>
        <w:tc>
          <w:tcPr>
            <w:tcW w:w="310" w:type="pct"/>
            <w:tcBorders>
              <w:top w:val="single" w:color="000000" w:sz="4" w:space="0"/>
              <w:left w:val="single" w:color="000000" w:sz="4" w:space="0"/>
              <w:bottom w:val="single" w:color="000000" w:sz="4" w:space="0"/>
              <w:right w:val="single" w:color="auto" w:sz="4" w:space="0"/>
            </w:tcBorders>
            <w:vAlign w:val="center"/>
          </w:tcPr>
          <w:p>
            <w:pPr>
              <w:widowControl/>
              <w:spacing w:line="240" w:lineRule="auto"/>
              <w:ind w:firstLine="0" w:firstLineChars="0"/>
              <w:jc w:val="center"/>
              <w:textAlignment w:val="center"/>
              <w:rPr>
                <w:rFonts w:cs="宋体"/>
                <w:color w:val="000000"/>
                <w:kern w:val="0"/>
                <w:sz w:val="22"/>
                <w:szCs w:val="22"/>
              </w:rPr>
            </w:pPr>
            <w:r>
              <w:rPr>
                <w:rFonts w:hint="eastAsia" w:cs="宋体"/>
                <w:color w:val="000000"/>
                <w:kern w:val="0"/>
                <w:sz w:val="22"/>
                <w:szCs w:val="22"/>
              </w:rPr>
              <w:t>套</w:t>
            </w:r>
          </w:p>
        </w:tc>
      </w:tr>
    </w:tbl>
    <w:p>
      <w:pPr>
        <w:pStyle w:val="2"/>
      </w:pPr>
      <w:bookmarkStart w:id="17" w:name="_Toc63785503"/>
      <w:r>
        <w:rPr>
          <w:rFonts w:hint="eastAsia"/>
        </w:rPr>
        <w:t>其他工作要求</w:t>
      </w:r>
      <w:bookmarkEnd w:id="17"/>
      <w:bookmarkStart w:id="18" w:name="_Toc61968111"/>
      <w:bookmarkEnd w:id="18"/>
      <w:bookmarkStart w:id="19" w:name="_Toc62209488"/>
      <w:bookmarkEnd w:id="19"/>
      <w:bookmarkStart w:id="20" w:name="_Toc62219358"/>
      <w:bookmarkEnd w:id="20"/>
      <w:bookmarkStart w:id="21" w:name="_Toc63151871"/>
      <w:bookmarkEnd w:id="21"/>
      <w:bookmarkStart w:id="22" w:name="_Toc63585480"/>
      <w:bookmarkEnd w:id="22"/>
      <w:bookmarkStart w:id="23" w:name="_Toc63762370"/>
      <w:bookmarkEnd w:id="23"/>
      <w:bookmarkStart w:id="24" w:name="_Toc63785439"/>
      <w:bookmarkEnd w:id="24"/>
      <w:bookmarkStart w:id="25" w:name="_Toc63785504"/>
      <w:bookmarkEnd w:id="25"/>
    </w:p>
    <w:p>
      <w:pPr>
        <w:pStyle w:val="3"/>
      </w:pPr>
      <w:bookmarkStart w:id="26" w:name="_Toc63785505"/>
      <w:r>
        <w:rPr>
          <w:rFonts w:hint="eastAsia"/>
        </w:rPr>
        <w:t>售后服务要求</w:t>
      </w:r>
      <w:bookmarkEnd w:id="26"/>
    </w:p>
    <w:p>
      <w:pPr>
        <w:pStyle w:val="106"/>
        <w:snapToGrid w:val="0"/>
        <w:spacing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在质量保证期内，供应商负责信息系统的运行维护工作，确保信息系统安全、稳定、可靠地运行。本项目涉及的运行维护工作范围为：上海市基层治理数字化平台。</w:t>
      </w:r>
    </w:p>
    <w:p>
      <w:pPr>
        <w:pStyle w:val="3"/>
      </w:pPr>
      <w:bookmarkStart w:id="27" w:name="_Toc63785506"/>
      <w:r>
        <w:rPr>
          <w:rFonts w:hint="eastAsia"/>
        </w:rPr>
        <w:t>应急响应要求</w:t>
      </w:r>
      <w:bookmarkEnd w:id="27"/>
    </w:p>
    <w:p>
      <w:pPr>
        <w:pStyle w:val="106"/>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pPr>
        <w:pStyle w:val="106"/>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pPr>
        <w:pStyle w:val="106"/>
        <w:snapToGrid w:val="0"/>
        <w:spacing w:line="360" w:lineRule="auto"/>
        <w:ind w:firstLine="480"/>
        <w:rPr>
          <w:rFonts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pPr>
        <w:pStyle w:val="106"/>
        <w:snapToGrid w:val="0"/>
        <w:spacing w:line="360" w:lineRule="auto"/>
        <w:ind w:firstLine="480"/>
        <w:rPr>
          <w:rFonts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pPr>
        <w:pStyle w:val="106"/>
        <w:snapToGrid w:val="0"/>
        <w:spacing w:line="360" w:lineRule="auto"/>
        <w:ind w:firstLine="480"/>
        <w:rPr>
          <w:rFonts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pPr>
        <w:pStyle w:val="3"/>
      </w:pPr>
      <w:bookmarkStart w:id="28" w:name="_Toc63785507"/>
      <w:r>
        <w:rPr>
          <w:rFonts w:hint="eastAsia"/>
        </w:rPr>
        <w:t>培训要求</w:t>
      </w:r>
      <w:bookmarkEnd w:id="28"/>
    </w:p>
    <w:p>
      <w:r>
        <w:rPr>
          <w:rFonts w:hint="eastAsia"/>
        </w:rPr>
        <w:t>对系统使用单位提供业务操作培训，应提供详细培训方案。</w:t>
      </w:r>
    </w:p>
    <w:p>
      <w:r>
        <w:rPr>
          <w:rFonts w:hint="eastAsia"/>
        </w:rPr>
        <w:t>(1)在12个月的质量保证期内，提供2次与项目相关的必要培训。</w:t>
      </w:r>
    </w:p>
    <w:p>
      <w:r>
        <w:rPr>
          <w:rFonts w:hint="eastAsia"/>
        </w:rPr>
        <w:t>(2)供应商需要开展分层次的人员培训工作，每次培训后应对参加培训人员进行测试，评估培训成果。培训应具有培训教材、培训环境和高水平的培训讲师。</w:t>
      </w:r>
    </w:p>
    <w:p>
      <w:r>
        <w:rPr>
          <w:rFonts w:hint="eastAsia"/>
        </w:rPr>
        <w:t>(3)供应商应提供一般用户的基础操作培训和部门信息管理员的日常应用维护的培训，确保用户对象能够掌握对应的操作技能。</w:t>
      </w:r>
    </w:p>
    <w:p>
      <w:pPr>
        <w:pStyle w:val="3"/>
      </w:pPr>
      <w:bookmarkStart w:id="29" w:name="_Toc63785508"/>
      <w:r>
        <w:rPr>
          <w:rFonts w:hint="eastAsia"/>
        </w:rPr>
        <w:t>验收要求</w:t>
      </w:r>
      <w:bookmarkEnd w:id="29"/>
    </w:p>
    <w:p>
      <w:pPr>
        <w:rPr>
          <w:szCs w:val="21"/>
        </w:rPr>
      </w:pPr>
      <w:r>
        <w:rPr>
          <w:rFonts w:hint="eastAsia"/>
          <w:szCs w:val="21"/>
        </w:rPr>
        <w:t>本项目按下述方式开展验收。</w:t>
      </w:r>
    </w:p>
    <w:p>
      <w:pPr>
        <w:rPr>
          <w:szCs w:val="21"/>
        </w:rPr>
      </w:pPr>
      <w:r>
        <w:rPr>
          <w:rFonts w:hint="eastAsia"/>
          <w:szCs w:val="21"/>
        </w:rPr>
        <w:t>（1</w:t>
      </w:r>
      <w:r>
        <w:rPr>
          <w:szCs w:val="21"/>
        </w:rPr>
        <w:t>）</w:t>
      </w:r>
      <w:r>
        <w:rPr>
          <w:rFonts w:hint="eastAsia"/>
          <w:szCs w:val="21"/>
        </w:rPr>
        <w:t>验收</w:t>
      </w:r>
      <w:r>
        <w:rPr>
          <w:szCs w:val="21"/>
        </w:rPr>
        <w:t>前，供应商须完成软件开发、软硬件安装和信息系统的调试等，并对本项目进行功能和运行检测，确保所有信息系统功能模块能够正常运行且已达到本项目约定的各类标准要求。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招标方有权委托第三方检测机构进行验收，对此供应商应当配合。</w:t>
      </w:r>
    </w:p>
    <w:p>
      <w:pPr>
        <w:rPr>
          <w:szCs w:val="21"/>
        </w:rPr>
      </w:pPr>
      <w:r>
        <w:rPr>
          <w:rFonts w:hint="eastAsia"/>
          <w:szCs w:val="21"/>
        </w:rPr>
        <w:t>（</w:t>
      </w:r>
      <w:r>
        <w:rPr>
          <w:szCs w:val="21"/>
        </w:rPr>
        <w:t>2）验</w:t>
      </w:r>
      <w:r>
        <w:rPr>
          <w:rFonts w:hint="eastAsia"/>
          <w:szCs w:val="21"/>
        </w:rPr>
        <w:t>收</w:t>
      </w:r>
      <w:r>
        <w:rPr>
          <w:szCs w:val="21"/>
        </w:rPr>
        <w:t>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w:t>
      </w:r>
      <w:r>
        <w:rPr>
          <w:rFonts w:hint="eastAsia"/>
          <w:szCs w:val="21"/>
        </w:rPr>
        <w:t>，</w:t>
      </w:r>
      <w:r>
        <w:rPr>
          <w:szCs w:val="21"/>
        </w:rPr>
        <w:t>软件文档及可安装的程序运行文件</w:t>
      </w:r>
      <w:r>
        <w:rPr>
          <w:rFonts w:hint="eastAsia"/>
          <w:szCs w:val="21"/>
        </w:rPr>
        <w:t>需</w:t>
      </w:r>
      <w:r>
        <w:rPr>
          <w:szCs w:val="21"/>
        </w:rPr>
        <w:t>验证通过</w:t>
      </w:r>
      <w:r>
        <w:rPr>
          <w:rFonts w:hint="eastAsia"/>
          <w:szCs w:val="21"/>
        </w:rPr>
        <w:t>。</w:t>
      </w:r>
      <w:r>
        <w:rPr>
          <w:szCs w:val="21"/>
        </w:rPr>
        <w:t>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rPr>
        <w:t>25</w:t>
      </w:r>
      <w:r>
        <w:rPr>
          <w:szCs w:val="21"/>
        </w:rPr>
        <w:t>个工作日内发起组织专家验收会。</w:t>
      </w:r>
    </w:p>
    <w:p>
      <w:pPr>
        <w:rPr>
          <w:szCs w:val="21"/>
        </w:rPr>
      </w:pPr>
      <w:r>
        <w:rPr>
          <w:rFonts w:hint="eastAsia"/>
          <w:szCs w:val="21"/>
        </w:rPr>
        <w:t>（</w:t>
      </w:r>
      <w:r>
        <w:rPr>
          <w:szCs w:val="21"/>
        </w:rPr>
        <w:t>3）如果属于供应商原因致使本项目未能通过验</w:t>
      </w:r>
      <w:r>
        <w:rPr>
          <w:rFonts w:hint="eastAsia"/>
          <w:szCs w:val="21"/>
        </w:rPr>
        <w:t>收</w:t>
      </w:r>
      <w:r>
        <w:rPr>
          <w:szCs w:val="21"/>
        </w:rPr>
        <w:t>，供应商应当排除缺陷，直至本项目完全符合验收标准，由上述情形而产生的相关费用应由供应商自行承担。</w:t>
      </w:r>
    </w:p>
    <w:p>
      <w:pPr>
        <w:rPr>
          <w:szCs w:val="21"/>
        </w:rPr>
      </w:pPr>
      <w:r>
        <w:rPr>
          <w:rFonts w:hint="eastAsia"/>
          <w:szCs w:val="21"/>
        </w:rPr>
        <w:t>（</w:t>
      </w:r>
      <w:r>
        <w:rPr>
          <w:szCs w:val="21"/>
        </w:rPr>
        <w:t>4）如果由于招标方原因导致本项目在终验通过前出现故障或问题，供应商应及时配合排除该方面的故障或问题。</w:t>
      </w:r>
    </w:p>
    <w:p>
      <w:pPr>
        <w:rPr>
          <w:szCs w:val="21"/>
        </w:rPr>
      </w:pPr>
      <w:r>
        <w:rPr>
          <w:rFonts w:hint="eastAsia"/>
          <w:szCs w:val="21"/>
        </w:rPr>
        <w:t>（</w:t>
      </w:r>
      <w:r>
        <w:rPr>
          <w:szCs w:val="21"/>
        </w:rPr>
        <w:t>5）如本项目连续2次验收未通过，招标方有权解除项目，并有权依照本项目约定的违约条款追究供应商的违约责任。</w:t>
      </w:r>
    </w:p>
    <w:p>
      <w:pPr>
        <w:pStyle w:val="3"/>
      </w:pPr>
      <w:bookmarkStart w:id="30" w:name="_Toc63785509"/>
      <w:r>
        <w:rPr>
          <w:rFonts w:hint="eastAsia"/>
        </w:rPr>
        <w:t>进度要求</w:t>
      </w:r>
      <w:bookmarkEnd w:id="30"/>
    </w:p>
    <w:p>
      <w:r>
        <w:rPr>
          <w:rFonts w:hint="eastAsia"/>
        </w:rPr>
        <w:t>供应商应根据建设内容，分阶段制定合理的时间进度，并且应根据采购人要求进行调整和细化。</w:t>
      </w:r>
    </w:p>
    <w:p>
      <w:r>
        <w:rPr>
          <w:rFonts w:hint="eastAsia"/>
        </w:rPr>
        <w:t>总建设分为两个年度，周期各为</w:t>
      </w:r>
      <w:r>
        <w:t>6个月，均分为5个阶段。</w:t>
      </w:r>
    </w:p>
    <w:p>
      <w:r>
        <w:rPr>
          <w:rFonts w:hint="eastAsia"/>
        </w:rPr>
        <w:t>第一阶段为需求调研</w:t>
      </w:r>
      <w:r>
        <w:t>1个月，完成系统升级改造需求调研和分析。</w:t>
      </w:r>
    </w:p>
    <w:p>
      <w:r>
        <w:rPr>
          <w:rFonts w:hint="eastAsia"/>
        </w:rPr>
        <w:t>第二阶段为系统设计</w:t>
      </w:r>
      <w:r>
        <w:t>1个月，完成系统设计。</w:t>
      </w:r>
    </w:p>
    <w:p>
      <w:r>
        <w:rPr>
          <w:rFonts w:hint="eastAsia"/>
        </w:rPr>
        <w:t>第三阶段为系统开发与测试</w:t>
      </w:r>
      <w:r>
        <w:t>2.5个月，完成详细设计、代码开发和系统测试工作。</w:t>
      </w:r>
    </w:p>
    <w:p>
      <w:r>
        <w:rPr>
          <w:rFonts w:hint="eastAsia"/>
        </w:rPr>
        <w:t>第四阶段为系统部署试运行</w:t>
      </w:r>
      <w:r>
        <w:t>1个月，完成系统安装部暑和上线试运行。</w:t>
      </w:r>
    </w:p>
    <w:p>
      <w:r>
        <w:rPr>
          <w:rFonts w:hint="eastAsia"/>
        </w:rPr>
        <w:t>第五阶段为系统交付</w:t>
      </w:r>
      <w:r>
        <w:t>0.5个月，完成项目正式上线，交付业务使用。</w:t>
      </w:r>
    </w:p>
    <w:p>
      <w:pPr>
        <w:pStyle w:val="3"/>
      </w:pPr>
      <w:bookmarkStart w:id="31" w:name="_Toc63785510"/>
      <w:r>
        <w:rPr>
          <w:rFonts w:hint="eastAsia"/>
        </w:rPr>
        <w:t>项目团队及驻场人员要求</w:t>
      </w:r>
      <w:bookmarkEnd w:id="31"/>
    </w:p>
    <w:p>
      <w:r>
        <w:t>1）投标人须具有稳定的在职技术保障力量，能够提供及时的技术支援或服务，应针对本项目提供不少于</w:t>
      </w:r>
      <w:r>
        <w:rPr>
          <w:rFonts w:hint="eastAsia"/>
        </w:rPr>
        <w:t>30</w:t>
      </w:r>
      <w:r>
        <w:t>人的项目服务团队（包括项目经理、产品经理、技术负责人、研发</w:t>
      </w:r>
      <w:r>
        <w:rPr>
          <w:rFonts w:hint="eastAsia"/>
        </w:rPr>
        <w:t>、运营、集成和测试</w:t>
      </w:r>
      <w:r>
        <w:t>等）</w:t>
      </w:r>
      <w:r>
        <w:rPr>
          <w:rFonts w:hint="eastAsia"/>
        </w:rPr>
        <w:t>，其中不少于25人驻场</w:t>
      </w:r>
      <w:r>
        <w:t>，投标单位的相关服务人员需具备相应的服务能力，需提供相关证明。</w:t>
      </w:r>
    </w:p>
    <w:tbl>
      <w:tblPr>
        <w:tblStyle w:val="35"/>
        <w:tblW w:w="825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268"/>
        <w:gridCol w:w="1224"/>
        <w:gridCol w:w="305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68" w:type="dxa"/>
            <w:shd w:val="clear" w:color="auto" w:fill="auto"/>
            <w:noWrap/>
            <w:vAlign w:val="center"/>
          </w:tcPr>
          <w:p>
            <w:pPr>
              <w:widowControl/>
              <w:spacing w:line="240" w:lineRule="auto"/>
              <w:ind w:firstLine="0" w:firstLineChars="0"/>
              <w:jc w:val="center"/>
              <w:rPr>
                <w:rFonts w:cs="Arial"/>
                <w:b/>
                <w:bCs/>
                <w:color w:val="000000"/>
                <w:kern w:val="0"/>
                <w:sz w:val="21"/>
                <w:szCs w:val="21"/>
              </w:rPr>
            </w:pPr>
            <w:r>
              <w:rPr>
                <w:rFonts w:hint="eastAsia" w:cs="Arial"/>
                <w:b/>
                <w:bCs/>
                <w:color w:val="000000"/>
                <w:kern w:val="0"/>
                <w:sz w:val="21"/>
                <w:szCs w:val="21"/>
              </w:rPr>
              <w:t>角色</w:t>
            </w:r>
          </w:p>
        </w:tc>
        <w:tc>
          <w:tcPr>
            <w:tcW w:w="1268" w:type="dxa"/>
            <w:shd w:val="clear" w:color="auto" w:fill="auto"/>
            <w:noWrap/>
            <w:vAlign w:val="center"/>
          </w:tcPr>
          <w:p>
            <w:pPr>
              <w:widowControl/>
              <w:spacing w:line="240" w:lineRule="auto"/>
              <w:ind w:firstLine="0" w:firstLineChars="0"/>
              <w:jc w:val="center"/>
              <w:rPr>
                <w:rFonts w:cs="Arial"/>
                <w:b/>
                <w:bCs/>
                <w:color w:val="000000"/>
                <w:kern w:val="0"/>
                <w:sz w:val="21"/>
                <w:szCs w:val="21"/>
              </w:rPr>
            </w:pPr>
            <w:r>
              <w:rPr>
                <w:rFonts w:hint="eastAsia" w:cs="Arial"/>
                <w:b/>
                <w:bCs/>
                <w:color w:val="000000"/>
                <w:kern w:val="0"/>
                <w:sz w:val="21"/>
                <w:szCs w:val="21"/>
              </w:rPr>
              <w:t>主要职责</w:t>
            </w:r>
          </w:p>
        </w:tc>
        <w:tc>
          <w:tcPr>
            <w:tcW w:w="1224" w:type="dxa"/>
            <w:shd w:val="clear" w:color="auto" w:fill="auto"/>
            <w:noWrap/>
            <w:vAlign w:val="center"/>
          </w:tcPr>
          <w:p>
            <w:pPr>
              <w:widowControl/>
              <w:spacing w:line="240" w:lineRule="auto"/>
              <w:ind w:firstLine="0" w:firstLineChars="0"/>
              <w:jc w:val="center"/>
              <w:rPr>
                <w:rFonts w:cs="Arial"/>
                <w:b/>
                <w:bCs/>
                <w:color w:val="000000"/>
                <w:kern w:val="0"/>
                <w:sz w:val="21"/>
                <w:szCs w:val="21"/>
              </w:rPr>
            </w:pPr>
            <w:r>
              <w:rPr>
                <w:rFonts w:hint="eastAsia" w:cs="Arial"/>
                <w:b/>
                <w:bCs/>
                <w:color w:val="000000"/>
                <w:kern w:val="0"/>
                <w:sz w:val="21"/>
                <w:szCs w:val="21"/>
              </w:rPr>
              <w:t>人员数量</w:t>
            </w:r>
          </w:p>
        </w:tc>
        <w:tc>
          <w:tcPr>
            <w:tcW w:w="3057" w:type="dxa"/>
            <w:shd w:val="clear" w:color="auto" w:fill="auto"/>
            <w:vAlign w:val="center"/>
          </w:tcPr>
          <w:p>
            <w:pPr>
              <w:widowControl/>
              <w:spacing w:line="240" w:lineRule="auto"/>
              <w:ind w:firstLine="0" w:firstLineChars="0"/>
              <w:jc w:val="center"/>
              <w:rPr>
                <w:rFonts w:cs="Arial"/>
                <w:b/>
                <w:bCs/>
                <w:color w:val="000000"/>
                <w:kern w:val="0"/>
                <w:sz w:val="21"/>
                <w:szCs w:val="21"/>
              </w:rPr>
            </w:pPr>
            <w:r>
              <w:rPr>
                <w:rFonts w:hint="eastAsia" w:cs="Arial"/>
                <w:b/>
                <w:bCs/>
                <w:color w:val="000000"/>
                <w:kern w:val="0"/>
                <w:sz w:val="21"/>
                <w:szCs w:val="21"/>
              </w:rPr>
              <w:t>人员要求</w:t>
            </w:r>
          </w:p>
        </w:tc>
        <w:tc>
          <w:tcPr>
            <w:tcW w:w="1134" w:type="dxa"/>
            <w:shd w:val="clear" w:color="auto" w:fill="auto"/>
            <w:noWrap/>
            <w:vAlign w:val="center"/>
          </w:tcPr>
          <w:p>
            <w:pPr>
              <w:widowControl/>
              <w:spacing w:line="240" w:lineRule="auto"/>
              <w:ind w:firstLine="0" w:firstLineChars="0"/>
              <w:jc w:val="center"/>
              <w:rPr>
                <w:rFonts w:cs="Arial"/>
                <w:b/>
                <w:bCs/>
                <w:color w:val="000000"/>
                <w:kern w:val="0"/>
                <w:sz w:val="21"/>
                <w:szCs w:val="21"/>
              </w:rPr>
            </w:pPr>
            <w:r>
              <w:rPr>
                <w:rFonts w:hint="eastAsia" w:cs="Arial"/>
                <w:b/>
                <w:bCs/>
                <w:color w:val="000000"/>
                <w:kern w:val="0"/>
                <w:sz w:val="21"/>
                <w:szCs w:val="21"/>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5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项目经理</w:t>
            </w:r>
          </w:p>
        </w:tc>
        <w:tc>
          <w:tcPr>
            <w:tcW w:w="1268" w:type="dxa"/>
            <w:shd w:val="clear" w:color="auto" w:fill="auto"/>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负责项目质量和进度控制</w:t>
            </w:r>
          </w:p>
        </w:tc>
        <w:tc>
          <w:tcPr>
            <w:tcW w:w="1224" w:type="dxa"/>
            <w:shd w:val="clear" w:color="auto" w:fill="auto"/>
            <w:noWrap/>
            <w:vAlign w:val="center"/>
          </w:tcPr>
          <w:p>
            <w:pPr>
              <w:widowControl/>
              <w:spacing w:line="240" w:lineRule="auto"/>
              <w:ind w:firstLine="0" w:firstLineChars="0"/>
              <w:jc w:val="center"/>
              <w:rPr>
                <w:rFonts w:cs="Arial"/>
                <w:kern w:val="0"/>
                <w:sz w:val="21"/>
                <w:szCs w:val="21"/>
              </w:rPr>
            </w:pPr>
            <w:r>
              <w:rPr>
                <w:rFonts w:cs="Arial"/>
                <w:kern w:val="0"/>
                <w:sz w:val="21"/>
                <w:szCs w:val="21"/>
              </w:rPr>
              <w:t>1</w:t>
            </w:r>
            <w:r>
              <w:rPr>
                <w:rFonts w:hint="eastAsia" w:cs="Arial"/>
                <w:kern w:val="0"/>
                <w:sz w:val="21"/>
                <w:szCs w:val="21"/>
              </w:rPr>
              <w:t>人</w:t>
            </w:r>
          </w:p>
        </w:tc>
        <w:tc>
          <w:tcPr>
            <w:tcW w:w="3057" w:type="dxa"/>
            <w:shd w:val="clear" w:color="auto" w:fill="auto"/>
            <w:vAlign w:val="center"/>
          </w:tcPr>
          <w:p>
            <w:pPr>
              <w:widowControl/>
              <w:spacing w:line="240" w:lineRule="auto"/>
              <w:ind w:firstLine="0" w:firstLineChars="0"/>
              <w:jc w:val="left"/>
              <w:rPr>
                <w:rFonts w:cs="Arial"/>
                <w:kern w:val="0"/>
                <w:sz w:val="21"/>
                <w:szCs w:val="21"/>
              </w:rPr>
            </w:pPr>
            <w:r>
              <w:rPr>
                <w:rFonts w:hint="eastAsia" w:cs="Arial"/>
                <w:kern w:val="0"/>
                <w:sz w:val="21"/>
                <w:szCs w:val="21"/>
              </w:rPr>
              <w:t>大学本科及以上学历；具备10</w:t>
            </w:r>
            <w:r>
              <w:rPr>
                <w:rFonts w:cs="Arial"/>
                <w:kern w:val="0"/>
                <w:sz w:val="21"/>
                <w:szCs w:val="21"/>
              </w:rPr>
              <w:t>年以上从业经验</w:t>
            </w:r>
            <w:r>
              <w:rPr>
                <w:rFonts w:hint="eastAsia" w:cs="Arial"/>
                <w:kern w:val="0"/>
                <w:sz w:val="21"/>
                <w:szCs w:val="21"/>
              </w:rPr>
              <w:t>，具备调动供应商公司内部完成项目实施所需的各项资源的能力；具备信息系统项目管理师证书；</w:t>
            </w:r>
          </w:p>
        </w:tc>
        <w:tc>
          <w:tcPr>
            <w:tcW w:w="113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5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产品经理</w:t>
            </w:r>
          </w:p>
        </w:tc>
        <w:tc>
          <w:tcPr>
            <w:tcW w:w="1268" w:type="dxa"/>
            <w:shd w:val="clear" w:color="auto" w:fill="auto"/>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负责项目需求评估与产品设计</w:t>
            </w:r>
          </w:p>
        </w:tc>
        <w:tc>
          <w:tcPr>
            <w:tcW w:w="1224" w:type="dxa"/>
            <w:shd w:val="clear" w:color="auto" w:fill="auto"/>
            <w:noWrap/>
            <w:vAlign w:val="center"/>
          </w:tcPr>
          <w:p>
            <w:pPr>
              <w:widowControl/>
              <w:spacing w:line="240" w:lineRule="auto"/>
              <w:ind w:firstLine="0" w:firstLineChars="0"/>
              <w:jc w:val="center"/>
              <w:rPr>
                <w:rFonts w:cs="Arial"/>
                <w:kern w:val="0"/>
                <w:sz w:val="21"/>
                <w:szCs w:val="21"/>
              </w:rPr>
            </w:pPr>
            <w:r>
              <w:rPr>
                <w:rFonts w:cs="Arial"/>
                <w:kern w:val="0"/>
                <w:sz w:val="21"/>
                <w:szCs w:val="21"/>
              </w:rPr>
              <w:t>1</w:t>
            </w:r>
            <w:r>
              <w:rPr>
                <w:rFonts w:hint="eastAsia" w:cs="Arial"/>
                <w:kern w:val="0"/>
                <w:sz w:val="21"/>
                <w:szCs w:val="21"/>
              </w:rPr>
              <w:t>人</w:t>
            </w:r>
          </w:p>
        </w:tc>
        <w:tc>
          <w:tcPr>
            <w:tcW w:w="3057" w:type="dxa"/>
            <w:shd w:val="clear" w:color="auto" w:fill="auto"/>
            <w:vAlign w:val="center"/>
          </w:tcPr>
          <w:p>
            <w:pPr>
              <w:widowControl/>
              <w:spacing w:line="240" w:lineRule="auto"/>
              <w:ind w:firstLine="0" w:firstLineChars="0"/>
              <w:jc w:val="left"/>
              <w:rPr>
                <w:rFonts w:cs="Arial"/>
                <w:kern w:val="0"/>
                <w:sz w:val="21"/>
                <w:szCs w:val="21"/>
              </w:rPr>
            </w:pPr>
            <w:r>
              <w:rPr>
                <w:rFonts w:hint="eastAsia" w:cs="Arial"/>
                <w:kern w:val="0"/>
                <w:sz w:val="21"/>
                <w:szCs w:val="21"/>
              </w:rPr>
              <w:t>大学本科及以上学历；具备</w:t>
            </w:r>
            <w:r>
              <w:rPr>
                <w:rFonts w:cs="Arial"/>
                <w:kern w:val="0"/>
                <w:sz w:val="21"/>
                <w:szCs w:val="21"/>
              </w:rPr>
              <w:t>3年以上从业经验</w:t>
            </w:r>
            <w:r>
              <w:rPr>
                <w:rFonts w:hint="eastAsia" w:cs="Arial"/>
                <w:kern w:val="0"/>
                <w:sz w:val="21"/>
                <w:szCs w:val="21"/>
              </w:rPr>
              <w:t>；</w:t>
            </w:r>
            <w:r>
              <w:rPr>
                <w:rFonts w:hint="eastAsia" w:cs="宋体"/>
                <w:kern w:val="0"/>
                <w:sz w:val="21"/>
                <w:szCs w:val="21"/>
              </w:rPr>
              <w:t>具备系统分析师证书；</w:t>
            </w:r>
          </w:p>
        </w:tc>
        <w:tc>
          <w:tcPr>
            <w:tcW w:w="113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5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技术负责人</w:t>
            </w:r>
          </w:p>
        </w:tc>
        <w:tc>
          <w:tcPr>
            <w:tcW w:w="12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负责项目开发与实施的指导与监督</w:t>
            </w:r>
          </w:p>
        </w:tc>
        <w:tc>
          <w:tcPr>
            <w:tcW w:w="1224" w:type="dxa"/>
            <w:shd w:val="clear" w:color="auto" w:fill="auto"/>
            <w:noWrap/>
            <w:vAlign w:val="center"/>
          </w:tcPr>
          <w:p>
            <w:pPr>
              <w:widowControl/>
              <w:spacing w:line="240" w:lineRule="auto"/>
              <w:ind w:firstLine="0" w:firstLineChars="0"/>
              <w:jc w:val="center"/>
              <w:rPr>
                <w:rFonts w:cs="Arial"/>
                <w:kern w:val="0"/>
                <w:sz w:val="21"/>
                <w:szCs w:val="21"/>
              </w:rPr>
            </w:pPr>
            <w:r>
              <w:rPr>
                <w:rFonts w:cs="Arial"/>
                <w:kern w:val="0"/>
                <w:sz w:val="21"/>
                <w:szCs w:val="21"/>
              </w:rPr>
              <w:t>1</w:t>
            </w:r>
            <w:r>
              <w:rPr>
                <w:rFonts w:hint="eastAsia" w:cs="Arial"/>
                <w:kern w:val="0"/>
                <w:sz w:val="21"/>
                <w:szCs w:val="21"/>
              </w:rPr>
              <w:t>人</w:t>
            </w:r>
          </w:p>
        </w:tc>
        <w:tc>
          <w:tcPr>
            <w:tcW w:w="3057" w:type="dxa"/>
            <w:shd w:val="clear" w:color="auto" w:fill="auto"/>
            <w:vAlign w:val="center"/>
          </w:tcPr>
          <w:p>
            <w:pPr>
              <w:widowControl/>
              <w:spacing w:line="240" w:lineRule="auto"/>
              <w:ind w:firstLine="0" w:firstLineChars="0"/>
              <w:jc w:val="left"/>
              <w:rPr>
                <w:rFonts w:cs="Arial"/>
                <w:kern w:val="0"/>
                <w:sz w:val="21"/>
                <w:szCs w:val="21"/>
              </w:rPr>
            </w:pPr>
            <w:r>
              <w:rPr>
                <w:rFonts w:hint="eastAsia" w:cs="Arial"/>
                <w:kern w:val="0"/>
                <w:sz w:val="21"/>
                <w:szCs w:val="21"/>
              </w:rPr>
              <w:t>大学本科及以上学历；具备</w:t>
            </w:r>
            <w:r>
              <w:rPr>
                <w:rFonts w:cs="Arial"/>
                <w:kern w:val="0"/>
                <w:sz w:val="21"/>
                <w:szCs w:val="21"/>
              </w:rPr>
              <w:t>5年以上从业经验</w:t>
            </w:r>
            <w:r>
              <w:rPr>
                <w:rFonts w:hint="eastAsia" w:cs="Arial"/>
                <w:kern w:val="0"/>
                <w:sz w:val="21"/>
                <w:szCs w:val="21"/>
              </w:rPr>
              <w:t xml:space="preserve">； </w:t>
            </w:r>
          </w:p>
        </w:tc>
        <w:tc>
          <w:tcPr>
            <w:tcW w:w="113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研发</w:t>
            </w:r>
          </w:p>
        </w:tc>
        <w:tc>
          <w:tcPr>
            <w:tcW w:w="12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负责项目具体开发与实施</w:t>
            </w:r>
          </w:p>
        </w:tc>
        <w:tc>
          <w:tcPr>
            <w:tcW w:w="122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16人</w:t>
            </w:r>
          </w:p>
        </w:tc>
        <w:tc>
          <w:tcPr>
            <w:tcW w:w="3057" w:type="dxa"/>
            <w:shd w:val="clear" w:color="auto" w:fill="auto"/>
            <w:vAlign w:val="center"/>
          </w:tcPr>
          <w:p>
            <w:pPr>
              <w:widowControl/>
              <w:spacing w:line="240" w:lineRule="auto"/>
              <w:ind w:firstLine="0" w:firstLineChars="0"/>
              <w:jc w:val="left"/>
              <w:rPr>
                <w:rFonts w:cs="Arial"/>
                <w:kern w:val="0"/>
                <w:sz w:val="21"/>
                <w:szCs w:val="21"/>
              </w:rPr>
            </w:pPr>
            <w:r>
              <w:rPr>
                <w:rFonts w:hint="eastAsia" w:cs="Arial"/>
                <w:kern w:val="0"/>
                <w:sz w:val="21"/>
                <w:szCs w:val="21"/>
              </w:rPr>
              <w:t>大学本科及以上学历；具备5</w:t>
            </w:r>
            <w:r>
              <w:rPr>
                <w:rFonts w:cs="Arial"/>
                <w:kern w:val="0"/>
                <w:sz w:val="21"/>
                <w:szCs w:val="21"/>
              </w:rPr>
              <w:t>年以上从业经验</w:t>
            </w:r>
            <w:r>
              <w:rPr>
                <w:rFonts w:hint="eastAsia" w:cs="Arial"/>
                <w:kern w:val="0"/>
                <w:sz w:val="21"/>
                <w:szCs w:val="21"/>
              </w:rPr>
              <w:t xml:space="preserve">； </w:t>
            </w:r>
          </w:p>
        </w:tc>
        <w:tc>
          <w:tcPr>
            <w:tcW w:w="113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运营</w:t>
            </w:r>
          </w:p>
        </w:tc>
        <w:tc>
          <w:tcPr>
            <w:tcW w:w="12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负责平台的全市推广和运营</w:t>
            </w:r>
          </w:p>
        </w:tc>
        <w:tc>
          <w:tcPr>
            <w:tcW w:w="122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6人</w:t>
            </w:r>
          </w:p>
        </w:tc>
        <w:tc>
          <w:tcPr>
            <w:tcW w:w="3057" w:type="dxa"/>
            <w:shd w:val="clear" w:color="auto" w:fill="auto"/>
            <w:vAlign w:val="center"/>
          </w:tcPr>
          <w:p>
            <w:pPr>
              <w:widowControl/>
              <w:spacing w:line="240" w:lineRule="auto"/>
              <w:ind w:firstLine="0" w:firstLineChars="0"/>
              <w:jc w:val="left"/>
              <w:rPr>
                <w:rFonts w:cs="Arial"/>
                <w:kern w:val="0"/>
                <w:sz w:val="21"/>
                <w:szCs w:val="21"/>
              </w:rPr>
            </w:pPr>
            <w:r>
              <w:rPr>
                <w:rFonts w:hint="eastAsia" w:cs="Arial"/>
                <w:kern w:val="0"/>
                <w:sz w:val="21"/>
                <w:szCs w:val="21"/>
              </w:rPr>
              <w:t>大学本科及以上学历</w:t>
            </w:r>
            <w:r>
              <w:rPr>
                <w:rFonts w:hint="eastAsia"/>
                <w:sz w:val="21"/>
                <w:szCs w:val="22"/>
              </w:rPr>
              <w:t>；3年以上从业经验；</w:t>
            </w:r>
          </w:p>
        </w:tc>
        <w:tc>
          <w:tcPr>
            <w:tcW w:w="113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至少3人驻场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5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集成</w:t>
            </w:r>
          </w:p>
        </w:tc>
        <w:tc>
          <w:tcPr>
            <w:tcW w:w="12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负责项目的集成服务支持</w:t>
            </w:r>
          </w:p>
        </w:tc>
        <w:tc>
          <w:tcPr>
            <w:tcW w:w="1224" w:type="dxa"/>
            <w:shd w:val="clear" w:color="auto" w:fill="auto"/>
            <w:noWrap/>
            <w:vAlign w:val="center"/>
          </w:tcPr>
          <w:p>
            <w:pPr>
              <w:widowControl/>
              <w:spacing w:line="240" w:lineRule="auto"/>
              <w:ind w:firstLine="0" w:firstLineChars="0"/>
              <w:jc w:val="center"/>
              <w:rPr>
                <w:rFonts w:cs="Arial"/>
                <w:kern w:val="0"/>
                <w:sz w:val="21"/>
                <w:szCs w:val="21"/>
              </w:rPr>
            </w:pPr>
            <w:r>
              <w:rPr>
                <w:rFonts w:cs="Arial"/>
                <w:kern w:val="0"/>
                <w:sz w:val="21"/>
                <w:szCs w:val="21"/>
              </w:rPr>
              <w:t>1</w:t>
            </w:r>
            <w:r>
              <w:rPr>
                <w:rFonts w:hint="eastAsia" w:cs="Arial"/>
                <w:kern w:val="0"/>
                <w:sz w:val="21"/>
                <w:szCs w:val="21"/>
              </w:rPr>
              <w:t>人</w:t>
            </w:r>
          </w:p>
        </w:tc>
        <w:tc>
          <w:tcPr>
            <w:tcW w:w="3057" w:type="dxa"/>
            <w:shd w:val="clear" w:color="auto" w:fill="auto"/>
            <w:vAlign w:val="center"/>
          </w:tcPr>
          <w:p>
            <w:pPr>
              <w:widowControl/>
              <w:spacing w:line="240" w:lineRule="auto"/>
              <w:ind w:firstLine="0" w:firstLineChars="0"/>
              <w:jc w:val="left"/>
              <w:rPr>
                <w:rFonts w:cs="Arial"/>
                <w:kern w:val="0"/>
                <w:sz w:val="21"/>
                <w:szCs w:val="21"/>
              </w:rPr>
            </w:pPr>
            <w:r>
              <w:rPr>
                <w:rFonts w:hint="eastAsia" w:cs="Arial"/>
                <w:kern w:val="0"/>
                <w:sz w:val="21"/>
                <w:szCs w:val="21"/>
              </w:rPr>
              <w:t>大学本科及以上学历</w:t>
            </w:r>
            <w:r>
              <w:rPr>
                <w:rFonts w:hint="eastAsia"/>
                <w:sz w:val="21"/>
                <w:szCs w:val="22"/>
              </w:rPr>
              <w:t>;3年以上从业经验；具备</w:t>
            </w:r>
            <w:r>
              <w:rPr>
                <w:rFonts w:hint="eastAsia" w:cs="宋体"/>
                <w:kern w:val="0"/>
                <w:sz w:val="21"/>
                <w:szCs w:val="21"/>
              </w:rPr>
              <w:t>系统集成项目管理工程师证书</w:t>
            </w:r>
            <w:r>
              <w:rPr>
                <w:rFonts w:cs="宋体"/>
                <w:kern w:val="0"/>
                <w:sz w:val="21"/>
                <w:szCs w:val="21"/>
              </w:rPr>
              <w:t>；</w:t>
            </w:r>
          </w:p>
        </w:tc>
        <w:tc>
          <w:tcPr>
            <w:tcW w:w="113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测试</w:t>
            </w:r>
          </w:p>
        </w:tc>
        <w:tc>
          <w:tcPr>
            <w:tcW w:w="1268"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负责项目具体测试工作</w:t>
            </w:r>
          </w:p>
        </w:tc>
        <w:tc>
          <w:tcPr>
            <w:tcW w:w="122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4人</w:t>
            </w:r>
          </w:p>
        </w:tc>
        <w:tc>
          <w:tcPr>
            <w:tcW w:w="3057" w:type="dxa"/>
            <w:shd w:val="clear" w:color="auto" w:fill="auto"/>
            <w:vAlign w:val="center"/>
          </w:tcPr>
          <w:p>
            <w:pPr>
              <w:widowControl/>
              <w:spacing w:line="240" w:lineRule="auto"/>
              <w:ind w:firstLine="0" w:firstLineChars="0"/>
              <w:jc w:val="left"/>
              <w:rPr>
                <w:rFonts w:cs="Arial"/>
                <w:kern w:val="0"/>
                <w:sz w:val="21"/>
                <w:szCs w:val="21"/>
              </w:rPr>
            </w:pPr>
            <w:r>
              <w:rPr>
                <w:rFonts w:hint="eastAsia" w:cs="Arial"/>
                <w:kern w:val="0"/>
                <w:sz w:val="21"/>
                <w:szCs w:val="21"/>
              </w:rPr>
              <w:t>大学本科及以上学历</w:t>
            </w:r>
            <w:r>
              <w:rPr>
                <w:rFonts w:hint="eastAsia"/>
                <w:sz w:val="21"/>
                <w:szCs w:val="22"/>
              </w:rPr>
              <w:t>；3年以上从业经验；</w:t>
            </w:r>
          </w:p>
        </w:tc>
        <w:tc>
          <w:tcPr>
            <w:tcW w:w="1134" w:type="dxa"/>
            <w:shd w:val="clear" w:color="auto" w:fill="auto"/>
            <w:noWrap/>
            <w:vAlign w:val="center"/>
          </w:tcPr>
          <w:p>
            <w:pPr>
              <w:widowControl/>
              <w:spacing w:line="240" w:lineRule="auto"/>
              <w:ind w:firstLine="0" w:firstLineChars="0"/>
              <w:jc w:val="center"/>
              <w:rPr>
                <w:rFonts w:cs="Arial"/>
                <w:kern w:val="0"/>
                <w:sz w:val="21"/>
                <w:szCs w:val="21"/>
              </w:rPr>
            </w:pPr>
            <w:r>
              <w:rPr>
                <w:rFonts w:hint="eastAsia" w:cs="Arial"/>
                <w:kern w:val="0"/>
                <w:sz w:val="21"/>
                <w:szCs w:val="21"/>
              </w:rPr>
              <w:t>至少2人驻场</w:t>
            </w:r>
          </w:p>
        </w:tc>
      </w:tr>
    </w:tbl>
    <w:p>
      <w:pPr>
        <w:ind w:firstLine="0" w:firstLineChars="0"/>
      </w:pPr>
    </w:p>
    <w:p>
      <w:r>
        <w:t>2）投标人应针对本项目提供不少于4人的质保期间支撑团队（其中</w:t>
      </w:r>
      <w:r>
        <w:rPr>
          <w:rFonts w:hint="eastAsia"/>
        </w:rPr>
        <w:t>项目</w:t>
      </w:r>
      <w:r>
        <w:t>经理1人，产品经理1人，</w:t>
      </w:r>
      <w:r>
        <w:rPr>
          <w:rFonts w:hint="eastAsia"/>
        </w:rPr>
        <w:t>技术负责人1人，</w:t>
      </w:r>
      <w:r>
        <w:t>技术工程师不少于1人）</w:t>
      </w:r>
      <w:r>
        <w:rPr>
          <w:rFonts w:hint="eastAsia"/>
        </w:rPr>
        <w:t>，其中不少于3人驻场</w:t>
      </w:r>
      <w:r>
        <w:t>；投标人的相关服务人员需具备相应的服务能力，需提供相关证明（最近一个季度依法缴纳社保费的证明）</w:t>
      </w:r>
      <w:r>
        <w:rPr>
          <w:rFonts w:hint="eastAsia"/>
        </w:rPr>
        <w:t>。</w:t>
      </w:r>
    </w:p>
    <w:tbl>
      <w:tblPr>
        <w:tblStyle w:val="35"/>
        <w:tblW w:w="810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1284"/>
        <w:gridCol w:w="1275"/>
        <w:gridCol w:w="286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52" w:type="dxa"/>
            <w:shd w:val="clear" w:color="auto" w:fill="FFFFFF"/>
            <w:noWrap/>
            <w:vAlign w:val="center"/>
          </w:tcPr>
          <w:p>
            <w:pPr>
              <w:widowControl/>
              <w:spacing w:line="240" w:lineRule="auto"/>
              <w:ind w:firstLine="0" w:firstLineChars="0"/>
              <w:jc w:val="center"/>
              <w:rPr>
                <w:rFonts w:cs="宋体"/>
                <w:b/>
                <w:bCs/>
                <w:kern w:val="0"/>
                <w:sz w:val="21"/>
                <w:szCs w:val="21"/>
              </w:rPr>
            </w:pPr>
            <w:r>
              <w:rPr>
                <w:rFonts w:hint="eastAsia" w:cs="宋体"/>
                <w:b/>
                <w:bCs/>
                <w:kern w:val="0"/>
                <w:sz w:val="21"/>
                <w:szCs w:val="21"/>
              </w:rPr>
              <w:t>角色</w:t>
            </w:r>
          </w:p>
        </w:tc>
        <w:tc>
          <w:tcPr>
            <w:tcW w:w="1284" w:type="dxa"/>
            <w:shd w:val="clear" w:color="auto" w:fill="FFFFFF"/>
            <w:noWrap/>
            <w:vAlign w:val="center"/>
          </w:tcPr>
          <w:p>
            <w:pPr>
              <w:widowControl/>
              <w:spacing w:line="240" w:lineRule="auto"/>
              <w:ind w:firstLine="0" w:firstLineChars="0"/>
              <w:jc w:val="center"/>
              <w:rPr>
                <w:rFonts w:cs="宋体"/>
                <w:b/>
                <w:bCs/>
                <w:kern w:val="0"/>
                <w:sz w:val="21"/>
                <w:szCs w:val="21"/>
              </w:rPr>
            </w:pPr>
            <w:r>
              <w:rPr>
                <w:rFonts w:hint="eastAsia" w:cs="宋体"/>
                <w:b/>
                <w:bCs/>
                <w:kern w:val="0"/>
                <w:sz w:val="21"/>
                <w:szCs w:val="21"/>
              </w:rPr>
              <w:t>主要职责</w:t>
            </w:r>
          </w:p>
        </w:tc>
        <w:tc>
          <w:tcPr>
            <w:tcW w:w="1275" w:type="dxa"/>
            <w:shd w:val="clear" w:color="auto" w:fill="FFFFFF"/>
            <w:noWrap/>
            <w:vAlign w:val="center"/>
          </w:tcPr>
          <w:p>
            <w:pPr>
              <w:widowControl/>
              <w:spacing w:line="240" w:lineRule="auto"/>
              <w:ind w:firstLine="0" w:firstLineChars="0"/>
              <w:jc w:val="center"/>
              <w:rPr>
                <w:rFonts w:cs="宋体"/>
                <w:b/>
                <w:bCs/>
                <w:kern w:val="0"/>
                <w:sz w:val="21"/>
                <w:szCs w:val="21"/>
              </w:rPr>
            </w:pPr>
            <w:r>
              <w:rPr>
                <w:rFonts w:hint="eastAsia" w:cs="宋体"/>
                <w:b/>
                <w:bCs/>
                <w:kern w:val="0"/>
                <w:sz w:val="21"/>
                <w:szCs w:val="21"/>
              </w:rPr>
              <w:t>人员数量</w:t>
            </w:r>
          </w:p>
        </w:tc>
        <w:tc>
          <w:tcPr>
            <w:tcW w:w="2864" w:type="dxa"/>
            <w:shd w:val="clear" w:color="auto" w:fill="FFFFFF"/>
            <w:vAlign w:val="center"/>
          </w:tcPr>
          <w:p>
            <w:pPr>
              <w:widowControl/>
              <w:spacing w:line="240" w:lineRule="auto"/>
              <w:ind w:firstLine="0" w:firstLineChars="0"/>
              <w:jc w:val="center"/>
              <w:rPr>
                <w:rFonts w:ascii="Arial" w:hAnsi="Arial" w:eastAsia="等线" w:cs="Arial"/>
                <w:b/>
                <w:bCs/>
                <w:kern w:val="0"/>
                <w:sz w:val="21"/>
                <w:szCs w:val="21"/>
              </w:rPr>
            </w:pPr>
            <w:r>
              <w:rPr>
                <w:rFonts w:hint="eastAsia" w:cs="Arial"/>
                <w:b/>
                <w:bCs/>
                <w:kern w:val="0"/>
                <w:sz w:val="21"/>
                <w:szCs w:val="21"/>
              </w:rPr>
              <w:t>人员要求</w:t>
            </w:r>
          </w:p>
        </w:tc>
        <w:tc>
          <w:tcPr>
            <w:tcW w:w="1134" w:type="dxa"/>
            <w:shd w:val="clear" w:color="auto" w:fill="FFFFFF"/>
            <w:noWrap/>
            <w:vAlign w:val="center"/>
          </w:tcPr>
          <w:p>
            <w:pPr>
              <w:widowControl/>
              <w:spacing w:line="240" w:lineRule="auto"/>
              <w:ind w:firstLine="0" w:firstLineChars="0"/>
              <w:jc w:val="center"/>
              <w:rPr>
                <w:rFonts w:cs="宋体"/>
                <w:b/>
                <w:bCs/>
                <w:kern w:val="0"/>
                <w:sz w:val="21"/>
                <w:szCs w:val="21"/>
              </w:rPr>
            </w:pPr>
            <w:r>
              <w:rPr>
                <w:rFonts w:hint="eastAsia" w:cs="宋体"/>
                <w:b/>
                <w:bCs/>
                <w:kern w:val="0"/>
                <w:sz w:val="21"/>
                <w:szCs w:val="21"/>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52"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项目经理</w:t>
            </w:r>
          </w:p>
        </w:tc>
        <w:tc>
          <w:tcPr>
            <w:tcW w:w="1284" w:type="dxa"/>
            <w:shd w:val="clear" w:color="auto" w:fill="auto"/>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负责项目质量和进度控制</w:t>
            </w:r>
          </w:p>
        </w:tc>
        <w:tc>
          <w:tcPr>
            <w:tcW w:w="1275"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1人</w:t>
            </w:r>
          </w:p>
        </w:tc>
        <w:tc>
          <w:tcPr>
            <w:tcW w:w="2864" w:type="dxa"/>
            <w:shd w:val="clear" w:color="auto" w:fill="auto"/>
            <w:vAlign w:val="center"/>
          </w:tcPr>
          <w:p>
            <w:pPr>
              <w:widowControl/>
              <w:spacing w:line="240" w:lineRule="auto"/>
              <w:ind w:firstLine="0" w:firstLineChars="0"/>
              <w:jc w:val="left"/>
              <w:rPr>
                <w:rFonts w:cs="宋体"/>
                <w:kern w:val="0"/>
                <w:sz w:val="21"/>
                <w:szCs w:val="21"/>
              </w:rPr>
            </w:pPr>
            <w:r>
              <w:rPr>
                <w:rFonts w:hint="eastAsia" w:cs="宋体"/>
                <w:kern w:val="0"/>
                <w:sz w:val="21"/>
                <w:szCs w:val="21"/>
              </w:rPr>
              <w:t>大学本科及以上学历；</w:t>
            </w:r>
            <w:r>
              <w:rPr>
                <w:rFonts w:hint="eastAsia" w:cs="Arial"/>
                <w:kern w:val="0"/>
                <w:sz w:val="21"/>
                <w:szCs w:val="21"/>
              </w:rPr>
              <w:t>具备10</w:t>
            </w:r>
            <w:r>
              <w:rPr>
                <w:rFonts w:cs="Arial"/>
                <w:kern w:val="0"/>
                <w:sz w:val="21"/>
                <w:szCs w:val="21"/>
              </w:rPr>
              <w:t>年以上从业经验</w:t>
            </w:r>
            <w:r>
              <w:rPr>
                <w:rFonts w:hint="eastAsia" w:cs="Arial"/>
                <w:kern w:val="0"/>
                <w:sz w:val="21"/>
                <w:szCs w:val="21"/>
              </w:rPr>
              <w:t>；</w:t>
            </w:r>
            <w:r>
              <w:rPr>
                <w:rFonts w:hint="eastAsia" w:cs="宋体"/>
                <w:kern w:val="0"/>
                <w:sz w:val="21"/>
                <w:szCs w:val="21"/>
              </w:rPr>
              <w:t>具备信息系统项目管理师证书；</w:t>
            </w:r>
          </w:p>
        </w:tc>
        <w:tc>
          <w:tcPr>
            <w:tcW w:w="1134"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52"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产品经理</w:t>
            </w:r>
          </w:p>
        </w:tc>
        <w:tc>
          <w:tcPr>
            <w:tcW w:w="1284" w:type="dxa"/>
            <w:shd w:val="clear" w:color="auto" w:fill="auto"/>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负责项目需求评估与产品设计</w:t>
            </w:r>
          </w:p>
        </w:tc>
        <w:tc>
          <w:tcPr>
            <w:tcW w:w="1275"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1人</w:t>
            </w:r>
          </w:p>
        </w:tc>
        <w:tc>
          <w:tcPr>
            <w:tcW w:w="2864" w:type="dxa"/>
            <w:shd w:val="clear" w:color="auto" w:fill="auto"/>
            <w:vAlign w:val="center"/>
          </w:tcPr>
          <w:p>
            <w:pPr>
              <w:widowControl/>
              <w:spacing w:line="240" w:lineRule="auto"/>
              <w:ind w:firstLine="0" w:firstLineChars="0"/>
              <w:jc w:val="left"/>
              <w:rPr>
                <w:rFonts w:cs="宋体"/>
                <w:kern w:val="0"/>
                <w:sz w:val="21"/>
                <w:szCs w:val="21"/>
              </w:rPr>
            </w:pPr>
            <w:r>
              <w:rPr>
                <w:rFonts w:hint="eastAsia" w:cs="宋体"/>
                <w:kern w:val="0"/>
                <w:sz w:val="21"/>
                <w:szCs w:val="21"/>
              </w:rPr>
              <w:t>大学本科及以上学历；</w:t>
            </w:r>
            <w:r>
              <w:rPr>
                <w:rFonts w:hint="eastAsia" w:cs="Arial"/>
                <w:kern w:val="0"/>
                <w:sz w:val="21"/>
                <w:szCs w:val="21"/>
              </w:rPr>
              <w:t>具备5</w:t>
            </w:r>
            <w:r>
              <w:rPr>
                <w:rFonts w:cs="Arial"/>
                <w:kern w:val="0"/>
                <w:sz w:val="21"/>
                <w:szCs w:val="21"/>
              </w:rPr>
              <w:t>年以上从业经验</w:t>
            </w:r>
            <w:r>
              <w:rPr>
                <w:rFonts w:hint="eastAsia" w:cs="Arial"/>
                <w:kern w:val="0"/>
                <w:sz w:val="21"/>
                <w:szCs w:val="21"/>
              </w:rPr>
              <w:t>；</w:t>
            </w:r>
            <w:r>
              <w:rPr>
                <w:rFonts w:hint="eastAsia" w:cs="宋体"/>
                <w:kern w:val="0"/>
                <w:sz w:val="21"/>
                <w:szCs w:val="21"/>
              </w:rPr>
              <w:t>具备系统分析师证书；</w:t>
            </w:r>
          </w:p>
        </w:tc>
        <w:tc>
          <w:tcPr>
            <w:tcW w:w="1134"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552"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技术负责人</w:t>
            </w:r>
          </w:p>
        </w:tc>
        <w:tc>
          <w:tcPr>
            <w:tcW w:w="1284" w:type="dxa"/>
            <w:shd w:val="clear" w:color="auto" w:fill="auto"/>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负责运行维护的技术支撑</w:t>
            </w:r>
          </w:p>
        </w:tc>
        <w:tc>
          <w:tcPr>
            <w:tcW w:w="1275"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1人</w:t>
            </w:r>
          </w:p>
        </w:tc>
        <w:tc>
          <w:tcPr>
            <w:tcW w:w="2864" w:type="dxa"/>
            <w:shd w:val="clear" w:color="auto" w:fill="auto"/>
            <w:vAlign w:val="center"/>
          </w:tcPr>
          <w:p>
            <w:pPr>
              <w:widowControl/>
              <w:spacing w:line="240" w:lineRule="auto"/>
              <w:ind w:firstLine="0" w:firstLineChars="0"/>
              <w:jc w:val="left"/>
              <w:rPr>
                <w:rFonts w:cs="宋体"/>
                <w:kern w:val="0"/>
                <w:sz w:val="21"/>
                <w:szCs w:val="21"/>
              </w:rPr>
            </w:pPr>
            <w:r>
              <w:rPr>
                <w:rFonts w:hint="eastAsia" w:cs="宋体"/>
                <w:kern w:val="0"/>
                <w:sz w:val="21"/>
                <w:szCs w:val="21"/>
              </w:rPr>
              <w:t>大学本科及以上学历；</w:t>
            </w:r>
            <w:r>
              <w:rPr>
                <w:rFonts w:hint="eastAsia" w:cs="Arial"/>
                <w:kern w:val="0"/>
                <w:sz w:val="21"/>
                <w:szCs w:val="21"/>
              </w:rPr>
              <w:t>具备5</w:t>
            </w:r>
            <w:r>
              <w:rPr>
                <w:rFonts w:cs="Arial"/>
                <w:kern w:val="0"/>
                <w:sz w:val="21"/>
                <w:szCs w:val="21"/>
              </w:rPr>
              <w:t>年以上从业经验</w:t>
            </w:r>
            <w:r>
              <w:rPr>
                <w:rFonts w:hint="eastAsia" w:cs="Arial"/>
                <w:kern w:val="0"/>
                <w:sz w:val="21"/>
                <w:szCs w:val="21"/>
              </w:rPr>
              <w:t>；</w:t>
            </w:r>
            <w:r>
              <w:rPr>
                <w:rFonts w:hint="eastAsia" w:cs="宋体"/>
                <w:kern w:val="0"/>
                <w:sz w:val="21"/>
                <w:szCs w:val="21"/>
              </w:rPr>
              <w:t xml:space="preserve"> </w:t>
            </w:r>
          </w:p>
        </w:tc>
        <w:tc>
          <w:tcPr>
            <w:tcW w:w="1134"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52"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技术工程师</w:t>
            </w:r>
          </w:p>
        </w:tc>
        <w:tc>
          <w:tcPr>
            <w:tcW w:w="1284"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负责项目运行维护</w:t>
            </w:r>
          </w:p>
        </w:tc>
        <w:tc>
          <w:tcPr>
            <w:tcW w:w="1275"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1人</w:t>
            </w:r>
          </w:p>
        </w:tc>
        <w:tc>
          <w:tcPr>
            <w:tcW w:w="2864" w:type="dxa"/>
            <w:shd w:val="clear" w:color="auto" w:fill="auto"/>
            <w:vAlign w:val="center"/>
          </w:tcPr>
          <w:p>
            <w:pPr>
              <w:widowControl/>
              <w:spacing w:line="240" w:lineRule="auto"/>
              <w:ind w:firstLine="0" w:firstLineChars="0"/>
              <w:jc w:val="left"/>
              <w:rPr>
                <w:rFonts w:cs="宋体"/>
                <w:kern w:val="0"/>
                <w:sz w:val="21"/>
                <w:szCs w:val="21"/>
              </w:rPr>
            </w:pPr>
            <w:r>
              <w:rPr>
                <w:rFonts w:hint="eastAsia" w:cs="宋体"/>
                <w:kern w:val="0"/>
                <w:sz w:val="21"/>
                <w:szCs w:val="21"/>
              </w:rPr>
              <w:t>大学本科及以上学历</w:t>
            </w:r>
            <w:r>
              <w:rPr>
                <w:rFonts w:hint="eastAsia"/>
                <w:sz w:val="21"/>
                <w:szCs w:val="22"/>
              </w:rPr>
              <w:t>；</w:t>
            </w:r>
            <w:r>
              <w:rPr>
                <w:sz w:val="21"/>
                <w:szCs w:val="22"/>
              </w:rPr>
              <w:t xml:space="preserve"> 2</w:t>
            </w:r>
            <w:r>
              <w:rPr>
                <w:rFonts w:hint="eastAsia"/>
                <w:sz w:val="21"/>
                <w:szCs w:val="22"/>
              </w:rPr>
              <w:t>年以上从业经验；</w:t>
            </w:r>
          </w:p>
        </w:tc>
        <w:tc>
          <w:tcPr>
            <w:tcW w:w="1134" w:type="dxa"/>
            <w:shd w:val="clear" w:color="auto" w:fill="auto"/>
            <w:noWrap/>
            <w:vAlign w:val="center"/>
          </w:tcPr>
          <w:p>
            <w:pPr>
              <w:widowControl/>
              <w:spacing w:line="240" w:lineRule="auto"/>
              <w:ind w:firstLine="0" w:firstLineChars="0"/>
              <w:jc w:val="center"/>
              <w:rPr>
                <w:rFonts w:cs="宋体"/>
                <w:kern w:val="0"/>
                <w:sz w:val="21"/>
                <w:szCs w:val="21"/>
              </w:rPr>
            </w:pPr>
            <w:r>
              <w:rPr>
                <w:rFonts w:hint="eastAsia" w:cs="宋体"/>
                <w:kern w:val="0"/>
                <w:sz w:val="21"/>
                <w:szCs w:val="21"/>
              </w:rPr>
              <w:t>驻场</w:t>
            </w:r>
          </w:p>
        </w:tc>
      </w:tr>
    </w:tbl>
    <w:p>
      <w:pPr>
        <w:pStyle w:val="3"/>
      </w:pPr>
      <w:bookmarkStart w:id="32" w:name="_Toc63785511"/>
      <w:r>
        <w:t>等级保护要求</w:t>
      </w:r>
      <w:bookmarkEnd w:id="32"/>
    </w:p>
    <w:p>
      <w:r>
        <w:t>本项目等级保护要求：</w:t>
      </w:r>
      <w:r>
        <w:rPr>
          <w:rFonts w:hint="eastAsia" w:ascii="Times New Roman" w:hAnsi="Times New Roman"/>
        </w:rPr>
        <w:t>本项目需要满足安全等级保护三级相关标准规范要求。</w:t>
      </w:r>
    </w:p>
    <w:p>
      <w:pPr>
        <w:pStyle w:val="3"/>
      </w:pPr>
      <w:r>
        <w:rPr>
          <w:rFonts w:hint="eastAsia"/>
        </w:rPr>
        <w:t>商业密码应用需求</w:t>
      </w:r>
    </w:p>
    <w:p>
      <w:r>
        <w:rPr>
          <w:rFonts w:hint="eastAsia" w:ascii="Times New Roman" w:hAnsi="Times New Roman"/>
        </w:rPr>
        <w:t>采用密码技术对登陆用户进行身份鉴别，保证应用系统用户身份的真实性</w:t>
      </w:r>
      <w:r>
        <w:rPr>
          <w:rFonts w:hint="eastAsia"/>
        </w:rPr>
        <w:t>；</w:t>
      </w:r>
      <w:r>
        <w:rPr>
          <w:rFonts w:hint="eastAsia" w:ascii="Times New Roman" w:hAnsi="Times New Roman"/>
        </w:rPr>
        <w:t>采用密码技术保证应用系统的访问控制信息的完整性</w:t>
      </w:r>
      <w:r>
        <w:rPr>
          <w:rFonts w:hint="eastAsia"/>
        </w:rPr>
        <w:t>；</w:t>
      </w:r>
      <w:r>
        <w:rPr>
          <w:rFonts w:hint="eastAsia" w:ascii="Times New Roman" w:hAnsi="Times New Roman"/>
        </w:rPr>
        <w:t>采用密码技术保证应用系统重要数据在传输和存储过程中的机密性</w:t>
      </w:r>
      <w:r>
        <w:rPr>
          <w:rFonts w:hint="eastAsia"/>
        </w:rPr>
        <w:t>；</w:t>
      </w:r>
      <w:r>
        <w:rPr>
          <w:rFonts w:hint="eastAsia" w:ascii="Times New Roman" w:hAnsi="Times New Roman"/>
        </w:rPr>
        <w:t>采用密码技术保证应用系统重要数据在传输和存储过程中的完整性</w:t>
      </w:r>
      <w:r>
        <w:rPr>
          <w:rFonts w:hint="eastAsia"/>
        </w:rPr>
        <w:t>；</w:t>
      </w:r>
      <w:r>
        <w:rPr>
          <w:rFonts w:hint="eastAsia" w:ascii="Times New Roman" w:hAnsi="Times New Roman"/>
        </w:rPr>
        <w:t>以上采用的密码服务或产品，须经商用密码认证机构认证合格。</w:t>
      </w:r>
    </w:p>
    <w:p>
      <w:pPr>
        <w:pStyle w:val="3"/>
      </w:pPr>
      <w:bookmarkStart w:id="33" w:name="_Toc63785512"/>
      <w:r>
        <w:rPr>
          <w:rFonts w:hint="eastAsia"/>
        </w:rPr>
        <w:t>技术文件要求</w:t>
      </w:r>
    </w:p>
    <w:p>
      <w:r>
        <w:rPr>
          <w:rFonts w:hint="eastAsia"/>
        </w:rPr>
        <w:t>投标人提供的书面技术资料应能确保系统正常运行所需的管理、运营及维护有关的全套文件。技术文件应该全面、完整、详细。投标人提供的技术文件至少应包括：</w:t>
      </w:r>
    </w:p>
    <w:p>
      <w:r>
        <w:rPr>
          <w:rFonts w:hint="eastAsia"/>
        </w:rPr>
        <w:t>－</w:t>
      </w:r>
      <w:r>
        <w:t xml:space="preserve"> 系统说明文件； </w:t>
      </w:r>
    </w:p>
    <w:p>
      <w:r>
        <w:rPr>
          <w:rFonts w:hint="eastAsia"/>
        </w:rPr>
        <w:t>－</w:t>
      </w:r>
      <w:r>
        <w:t xml:space="preserve"> 技术手册(安装、测试、操作、维护、故障排除等)； </w:t>
      </w:r>
    </w:p>
    <w:p>
      <w:r>
        <w:rPr>
          <w:rFonts w:hint="eastAsia"/>
        </w:rPr>
        <w:t>－</w:t>
      </w:r>
      <w:r>
        <w:t xml:space="preserve"> 项目文档，应该包括：</w:t>
      </w:r>
    </w:p>
    <w:p>
      <w:pPr>
        <w:ind w:left="360"/>
      </w:pPr>
      <w:r>
        <w:t>(1)软件需求说明书</w:t>
      </w:r>
    </w:p>
    <w:p>
      <w:pPr>
        <w:ind w:left="360"/>
      </w:pPr>
      <w:r>
        <w:t>(2)</w:t>
      </w:r>
      <w:r>
        <w:tab/>
      </w:r>
      <w:r>
        <w:t>系统总体设计说明书</w:t>
      </w:r>
    </w:p>
    <w:p>
      <w:pPr>
        <w:ind w:left="360"/>
      </w:pPr>
      <w:r>
        <w:t>(3)</w:t>
      </w:r>
      <w:r>
        <w:tab/>
      </w:r>
      <w:r>
        <w:t>应用软件功能清单</w:t>
      </w:r>
    </w:p>
    <w:p>
      <w:pPr>
        <w:rPr>
          <w:color w:val="000000"/>
        </w:rPr>
      </w:pPr>
      <w:r>
        <w:rPr>
          <w:rFonts w:hint="eastAsia"/>
          <w:color w:val="000000"/>
        </w:rPr>
        <w:t>－采购人认为必要的其他文档，投标人根据实际情况提供，如下：</w:t>
      </w:r>
    </w:p>
    <w:p>
      <w:pPr>
        <w:pStyle w:val="16"/>
        <w:spacing w:line="360" w:lineRule="auto"/>
        <w:ind w:firstLine="482"/>
        <w:jc w:val="center"/>
        <w:rPr>
          <w:color w:val="000000"/>
          <w:kern w:val="0"/>
          <w:sz w:val="24"/>
        </w:rPr>
      </w:pPr>
      <w:r>
        <w:rPr>
          <w:rFonts w:hint="eastAsia"/>
          <w:b/>
          <w:bCs/>
          <w:color w:val="000000"/>
          <w:kern w:val="0"/>
          <w:sz w:val="24"/>
        </w:rPr>
        <w:t>信息化项目全过程文档汇总清单</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4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hint="eastAsia" w:ascii="Times New Roman" w:hAnsi="Times New Roman"/>
                <w:color w:val="000000"/>
                <w:kern w:val="0"/>
                <w:sz w:val="21"/>
                <w:szCs w:val="21"/>
              </w:rPr>
              <w:t>文档名称</w:t>
            </w:r>
          </w:p>
        </w:tc>
        <w:tc>
          <w:tcPr>
            <w:tcW w:w="4479"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hint="eastAsia" w:ascii="Times New Roman" w:hAnsi="Times New Roman"/>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gridSpan w:val="2"/>
            <w:shd w:val="clear" w:color="auto" w:fill="auto"/>
            <w:vAlign w:val="center"/>
          </w:tcPr>
          <w:p>
            <w:pPr>
              <w:spacing w:line="240" w:lineRule="auto"/>
              <w:ind w:firstLine="0" w:firstLineChars="0"/>
              <w:jc w:val="center"/>
              <w:rPr>
                <w:rFonts w:ascii="Times New Roman" w:hAnsi="Times New Roman"/>
                <w:color w:val="000000"/>
                <w:sz w:val="21"/>
                <w:szCs w:val="21"/>
              </w:rPr>
            </w:pPr>
            <w:r>
              <w:rPr>
                <w:rFonts w:ascii="Times New Roman" w:hAnsi="Times New Roman"/>
                <w:color w:val="000000"/>
                <w:kern w:val="0"/>
                <w:sz w:val="21"/>
                <w:szCs w:val="21"/>
              </w:rPr>
              <w:t>实施前期阶段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工程开工报审、开工报告</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项目概况、前期准备工作情况、单位三证合一、相关资质、项目人员名单、现场</w:t>
            </w:r>
            <w:r>
              <w:rPr>
                <w:rFonts w:ascii="Times New Roman" w:hAnsi="Times New Roman"/>
                <w:color w:val="000000"/>
                <w:kern w:val="0"/>
                <w:sz w:val="21"/>
                <w:szCs w:val="21"/>
              </w:rPr>
              <w:t>AQBM</w:t>
            </w:r>
            <w:r>
              <w:rPr>
                <w:rFonts w:hint="eastAsia" w:ascii="Times New Roman" w:hAnsi="Times New Roman"/>
                <w:color w:val="000000"/>
                <w:kern w:val="0"/>
                <w:sz w:val="21"/>
                <w:szCs w:val="21"/>
              </w:rPr>
              <w:t>制度、现场人员</w:t>
            </w:r>
            <w:r>
              <w:rPr>
                <w:rFonts w:ascii="Times New Roman" w:hAnsi="Times New Roman"/>
                <w:color w:val="000000"/>
                <w:kern w:val="0"/>
                <w:sz w:val="21"/>
                <w:szCs w:val="21"/>
              </w:rPr>
              <w:t>AQBM</w:t>
            </w:r>
            <w:r>
              <w:rPr>
                <w:rFonts w:hint="eastAsia" w:ascii="Times New Roman" w:hAnsi="Times New Roman"/>
                <w:color w:val="000000"/>
                <w:kern w:val="0"/>
                <w:sz w:val="21"/>
                <w:szCs w:val="21"/>
              </w:rPr>
              <w:t>培训记录、项目人员</w:t>
            </w:r>
            <w:r>
              <w:rPr>
                <w:rFonts w:ascii="Times New Roman" w:hAnsi="Times New Roman"/>
                <w:color w:val="000000"/>
                <w:kern w:val="0"/>
                <w:sz w:val="21"/>
                <w:szCs w:val="21"/>
              </w:rPr>
              <w:t>BM</w:t>
            </w:r>
            <w:r>
              <w:rPr>
                <w:rFonts w:hint="eastAsia" w:ascii="Times New Roman" w:hAnsi="Times New Roman"/>
                <w:color w:val="000000"/>
                <w:kern w:val="0"/>
                <w:sz w:val="21"/>
                <w:szCs w:val="21"/>
              </w:rPr>
              <w:t>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分包报审</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按实际情况提供（含分包企业资质、分包单位业绩）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需求分析、确认</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项目描述（编写目的、业务目标）系统需求概述（业务分布、用户分布、角色职责）系统功能需求（业务流程、功能点等）数据应用场景创建与描述（用户需求的描述）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gridSpan w:val="2"/>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软件设计阶段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设计开发（编码）计划</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各模块开发时间、人员安排、可系统演示的节点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开发量考核</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人员考勤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概要设计说明书</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概要设计评审（含总体设计、接口设计、应用系统设计）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详细设计说明书</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详细设计评审（含系统概述、系统环境、功能模块设计、代码设计、异常处理机制）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数据库结构设计说明书</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数据库整体描述、</w:t>
            </w:r>
            <w:r>
              <w:rPr>
                <w:rFonts w:ascii="Times New Roman" w:hAnsi="Times New Roman"/>
                <w:color w:val="000000"/>
                <w:kern w:val="0"/>
                <w:sz w:val="21"/>
                <w:szCs w:val="21"/>
              </w:rPr>
              <w:t>E-R</w:t>
            </w:r>
            <w:r>
              <w:rPr>
                <w:rFonts w:hint="eastAsia" w:ascii="Times New Roman" w:hAnsi="Times New Roman"/>
                <w:color w:val="000000"/>
                <w:kern w:val="0"/>
                <w:sz w:val="21"/>
                <w:szCs w:val="21"/>
              </w:rPr>
              <w:t>图或表关系、系统基本表、外部数据需求、数据归集方式选择等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gridSpan w:val="2"/>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实施阶段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总体实施方案</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项目实施方案报审</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总体实施方案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实施计划</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软件开发，设备采购、安装，系统集成、适配，数据迁移，系统测试，试运行计划等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系统集成方案</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方案评审（含系统前期规划，人员配置、系统架构、网络端口地址、配置等）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项目变更报审</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按实际情况提供（含变更说明及清单、停产附厂商证明，需求变更需说明情况）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项目周报</w:t>
            </w:r>
          </w:p>
        </w:tc>
        <w:tc>
          <w:tcPr>
            <w:tcW w:w="4479"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hint="eastAsia" w:ascii="Times New Roman" w:hAnsi="Times New Roman"/>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系统维护手册</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系统上线保障方案</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方案适用范围、保障措施、保障流程、人员分配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hint="eastAsia" w:ascii="Times New Roman" w:hAnsi="Times New Roman"/>
                <w:color w:val="000000"/>
                <w:kern w:val="0"/>
                <w:sz w:val="21"/>
                <w:szCs w:val="21"/>
              </w:rPr>
              <w:t>运维保障方案</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运维保障体系（上报要求、解决时限、遵循原则及准备工作）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应急预案</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测试方案、测试记录、测试报告</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含测试环境、浏览器、目标、测试角色、测试地址、流程、内容、人员安排、问题记录等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培训材料</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含培训手册、培训签到、培训内容讲义、培训反馈记录表等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试运行方案、试运行记录、试运行报告</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含目的、期限、准备（人员、环境、培训管理、用户培训）、制度（职责、措施）、试运行内容、问题记录等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代码审计、渗透测试报告</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重大项目原则上在上线前提供代码审计、渗透测试结果及整改复核情况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软件开发源代码</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涉及到软件开发部分，源代码需要备份留存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2" w:type="dxa"/>
            <w:gridSpan w:val="2"/>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验收阶段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初验申请</w:t>
            </w:r>
          </w:p>
        </w:tc>
        <w:tc>
          <w:tcPr>
            <w:tcW w:w="4479" w:type="dxa"/>
            <w:shd w:val="clear" w:color="auto" w:fill="auto"/>
            <w:vAlign w:val="center"/>
          </w:tcPr>
          <w:p>
            <w:pPr>
              <w:widowControl/>
              <w:ind w:firstLine="0" w:firstLineChars="0"/>
              <w:jc w:val="left"/>
              <w:rPr>
                <w:color w:val="000000"/>
              </w:rPr>
            </w:pPr>
            <w:r>
              <w:rPr>
                <w:rFonts w:hint="eastAsia" w:ascii="Times New Roman" w:hAnsi="Times New Roman"/>
                <w:color w:val="000000"/>
                <w:kern w:val="0"/>
                <w:sz w:val="21"/>
                <w:szCs w:val="21"/>
              </w:rPr>
              <w:t>（三方）项目初验检查情况及报告、第三方测评报告、用户报告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shd w:val="clear" w:color="auto" w:fill="auto"/>
            <w:vAlign w:val="center"/>
          </w:tcPr>
          <w:p>
            <w:pPr>
              <w:widowControl/>
              <w:spacing w:line="240" w:lineRule="auto"/>
              <w:ind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建设总结</w:t>
            </w:r>
          </w:p>
        </w:tc>
        <w:tc>
          <w:tcPr>
            <w:tcW w:w="4479" w:type="dxa"/>
            <w:shd w:val="clear" w:color="auto" w:fill="auto"/>
            <w:vAlign w:val="center"/>
          </w:tcPr>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建设情况（背景、批复、总投资、招投标、建设进度）</w:t>
            </w:r>
          </w:p>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建设成果（建设目标和完成情况、总体架构、应用系统、硬件集成、系统安全建设、土建和配套工程、标准技术）</w:t>
            </w:r>
          </w:p>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经验教训（总体架构、建设方案、项目实施、组织机制）</w:t>
            </w:r>
          </w:p>
          <w:p>
            <w:pPr>
              <w:widowControl/>
              <w:spacing w:line="240" w:lineRule="auto"/>
              <w:ind w:firstLine="0" w:firstLineChars="0"/>
              <w:jc w:val="left"/>
              <w:rPr>
                <w:rFonts w:ascii="Times New Roman" w:hAnsi="Times New Roman"/>
                <w:color w:val="000000"/>
                <w:kern w:val="0"/>
                <w:sz w:val="21"/>
                <w:szCs w:val="21"/>
              </w:rPr>
            </w:pPr>
            <w:r>
              <w:rPr>
                <w:rFonts w:hint="eastAsia" w:ascii="Times New Roman" w:hAnsi="Times New Roman"/>
                <w:color w:val="000000"/>
                <w:kern w:val="0"/>
                <w:sz w:val="21"/>
                <w:szCs w:val="21"/>
              </w:rPr>
              <w:t>建设评价（项目总体、技术效果、环境影响、社会影响、可持续性）</w:t>
            </w:r>
          </w:p>
        </w:tc>
      </w:tr>
    </w:tbl>
    <w:p>
      <w:pPr>
        <w:pStyle w:val="2"/>
      </w:pPr>
      <w:r>
        <w:rPr>
          <w:rFonts w:hint="eastAsia"/>
        </w:rPr>
        <w:t>供应商管理要求</w:t>
      </w:r>
      <w:bookmarkEnd w:id="33"/>
    </w:p>
    <w:p>
      <w:pPr>
        <w:pStyle w:val="80"/>
        <w:ind w:firstLine="480"/>
        <w:rPr>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pPr>
        <w:pStyle w:val="80"/>
        <w:ind w:firstLine="480"/>
        <w:rPr>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pStyle w:val="80"/>
        <w:ind w:firstLine="480"/>
        <w:rPr>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pPr>
        <w:pStyle w:val="80"/>
        <w:ind w:firstLine="480"/>
        <w:rPr>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80"/>
        <w:ind w:firstLine="480"/>
        <w:rPr>
          <w:sz w:val="24"/>
          <w:szCs w:val="24"/>
        </w:rPr>
      </w:pPr>
      <w:r>
        <w:rPr>
          <w:rFonts w:hint="eastAsia"/>
          <w:sz w:val="24"/>
          <w:szCs w:val="24"/>
        </w:rPr>
        <w:t>5、中标人在项目实施期间必须遵守采购人的规章制度并提供实施人员名单。</w:t>
      </w:r>
    </w:p>
    <w:p>
      <w:pPr>
        <w:pStyle w:val="80"/>
        <w:ind w:firstLine="480"/>
        <w:rPr>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80"/>
        <w:ind w:firstLine="480"/>
      </w:pPr>
      <w:r>
        <w:rPr>
          <w:rFonts w:hint="eastAsia"/>
          <w:sz w:val="24"/>
          <w:szCs w:val="24"/>
        </w:rPr>
        <w:t>7、本项目软件开发及调试将纳入采购人的管理范围，中标人在此过程中须服从上述单位的管理协调。</w:t>
      </w:r>
    </w:p>
    <w:p>
      <w:pPr>
        <w:pStyle w:val="2"/>
      </w:pPr>
      <w:bookmarkStart w:id="34" w:name="_Toc63785513"/>
      <w:r>
        <w:rPr>
          <w:rFonts w:hint="eastAsia"/>
        </w:rPr>
        <w:t>关于转让和分包的规定</w:t>
      </w:r>
    </w:p>
    <w:p>
      <w:pPr>
        <w:pStyle w:val="80"/>
        <w:ind w:firstLine="480"/>
        <w:rPr>
          <w:sz w:val="24"/>
          <w:szCs w:val="24"/>
        </w:rPr>
      </w:pPr>
      <w:r>
        <w:rPr>
          <w:rFonts w:hint="eastAsia"/>
          <w:sz w:val="24"/>
          <w:szCs w:val="24"/>
        </w:rPr>
        <w:t>本项目不得转让不得分包。</w:t>
      </w:r>
    </w:p>
    <w:p>
      <w:pPr>
        <w:pStyle w:val="2"/>
      </w:pPr>
      <w:r>
        <w:rPr>
          <w:rFonts w:hint="eastAsia"/>
        </w:rPr>
        <w:t>知识产权及保密要求</w:t>
      </w:r>
      <w:bookmarkEnd w:id="34"/>
    </w:p>
    <w:p>
      <w:pPr>
        <w:ind w:firstLine="482"/>
        <w:rPr>
          <w:b/>
        </w:rPr>
      </w:pPr>
      <w:r>
        <w:rPr>
          <w:b/>
        </w:rPr>
        <w:t>1、中标人数据、文件、资料知识产权</w:t>
      </w:r>
    </w:p>
    <w:p>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pPr>
        <w:ind w:firstLine="482"/>
        <w:rPr>
          <w:b/>
        </w:rPr>
      </w:pPr>
      <w:r>
        <w:rPr>
          <w:b/>
        </w:rPr>
        <w:t>2、项目保密要求</w:t>
      </w:r>
    </w:p>
    <w:p>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r>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r>
        <w:rPr>
          <w:rFonts w:hint="eastAsia"/>
        </w:rPr>
        <w:t>以上内容的保密期限自中标人知悉保密信息起始至保密信息被合法公开之日止。</w:t>
      </w:r>
    </w:p>
    <w:p>
      <w:pPr>
        <w:ind w:firstLine="482"/>
        <w:rPr>
          <w:b/>
        </w:rPr>
      </w:pPr>
      <w:r>
        <w:rPr>
          <w:b/>
        </w:rPr>
        <w:t>3、临时账号等使用要求</w:t>
      </w:r>
    </w:p>
    <w:p>
      <w:r>
        <w:rPr>
          <w:rFonts w:hint="eastAsia"/>
        </w:rPr>
        <w:t>中标人对采购人提拱的临时使用账号要保密，不得公开，对组件开发的账号密码需进行加密，避免信息安全的泄露。未经采购人的同意不得利用采购人的网络及平台进行短信、彩信、微信发送</w:t>
      </w:r>
      <w:r>
        <w:t>,造成的一切后果由中标人负责。</w:t>
      </w:r>
    </w:p>
    <w:p>
      <w:pPr>
        <w:pStyle w:val="2"/>
      </w:pPr>
      <w:bookmarkStart w:id="35" w:name="_Toc65170093"/>
      <w:r>
        <w:t>项目的变更、解除和终止</w:t>
      </w:r>
    </w:p>
    <w:p>
      <w:r>
        <w:rPr>
          <w:rFonts w:hint="eastAsia"/>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r>
        <w:rPr>
          <w:rFonts w:hint="eastAsia"/>
        </w:rPr>
        <w:t>如遇国家、行业管理部门等机构的有关标准和规定调整的，导致本项目内容须做相应调整时，双方应按照公平、合理的原则共同协商修改本项目对应的合同的相关条款。</w:t>
      </w:r>
    </w:p>
    <w:p>
      <w:pPr>
        <w:pStyle w:val="2"/>
      </w:pPr>
      <w:r>
        <w:rPr>
          <w:rFonts w:hint="eastAsia"/>
        </w:rPr>
        <w:t>违约责任</w:t>
      </w:r>
      <w:bookmarkEnd w:id="35"/>
    </w:p>
    <w:p>
      <w: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r>
        <w:t>3、中标人有其他违反本项目合同约定的行为，中标人应当支付本项目总价款金额的20%作为违约金，违约金不足以弥补采购人损失的，采购人有权要求中标人赔偿超过部分。</w:t>
      </w:r>
    </w:p>
    <w:p>
      <w:r>
        <w:t>4、中标人有下列情形之一，采购人有权解除合同：</w:t>
      </w:r>
    </w:p>
    <w:p>
      <w:r>
        <w:rPr>
          <w:rFonts w:hint="eastAsia"/>
        </w:rPr>
        <w:t>（1</w:t>
      </w:r>
      <w:r>
        <w:t>）因中标人服务质量问题导致采购人无法实现目的；</w:t>
      </w:r>
    </w:p>
    <w:p>
      <w:r>
        <w:rPr>
          <w:rFonts w:hint="eastAsia"/>
        </w:rPr>
        <w:t>（2</w:t>
      </w:r>
      <w:r>
        <w:t>）擅自转让或者分包其应履行的义务的；</w:t>
      </w:r>
    </w:p>
    <w:p>
      <w:r>
        <w:rPr>
          <w:rFonts w:hint="eastAsia"/>
        </w:rPr>
        <w:t>（3</w:t>
      </w:r>
      <w:r>
        <w:t>）违反或者未履行本项目合同约定的其他相关义务，且在采购人要求的合理时间内未能纠正的。</w:t>
      </w:r>
    </w:p>
    <w:p>
      <w:pPr>
        <w:pStyle w:val="2"/>
      </w:pPr>
      <w:bookmarkStart w:id="36" w:name="_Toc63785514"/>
      <w:r>
        <w:rPr>
          <w:rFonts w:hint="eastAsia"/>
        </w:rPr>
        <w:t>付款</w:t>
      </w:r>
      <w:bookmarkEnd w:id="36"/>
      <w:r>
        <w:rPr>
          <w:rFonts w:hint="eastAsia"/>
        </w:rPr>
        <w:t>方式</w:t>
      </w:r>
    </w:p>
    <w:p>
      <w:pPr>
        <w:rPr>
          <w:rFonts w:hAnsiTheme="minorHAnsi"/>
          <w:szCs w:val="22"/>
          <w:highlight w:val="none"/>
        </w:rPr>
      </w:pPr>
      <w:bookmarkStart w:id="37" w:name="PO_付款方法12"/>
      <w:r>
        <w:rPr>
          <w:rFonts w:hint="eastAsia" w:hAnsiTheme="minorHAnsi"/>
          <w:szCs w:val="22"/>
          <w:highlight w:val="none"/>
        </w:rPr>
        <w:t>本合同</w:t>
      </w:r>
      <w:r>
        <w:rPr>
          <w:rFonts w:hAnsiTheme="minorHAnsi"/>
          <w:szCs w:val="22"/>
          <w:highlight w:val="none"/>
        </w:rPr>
        <w:t>采用以下分期付款方式：</w:t>
      </w:r>
    </w:p>
    <w:bookmarkEnd w:id="37"/>
    <w:p>
      <w:pPr>
        <w:pStyle w:val="61"/>
        <w:numPr>
          <w:ilvl w:val="0"/>
          <w:numId w:val="3"/>
        </w:numPr>
        <w:adjustRightInd w:val="0"/>
        <w:snapToGrid w:val="0"/>
        <w:ind w:firstLineChars="0"/>
        <w:rPr>
          <w:rFonts w:hint="eastAsia" w:ascii="宋体" w:hAnsiTheme="minorHAnsi"/>
          <w:sz w:val="24"/>
          <w:szCs w:val="22"/>
          <w:highlight w:val="none"/>
        </w:rPr>
      </w:pPr>
      <w:r>
        <w:rPr>
          <w:rFonts w:hint="eastAsia" w:ascii="宋体" w:hAnsiTheme="minorHAnsi"/>
          <w:sz w:val="24"/>
          <w:szCs w:val="22"/>
          <w:highlight w:val="none"/>
        </w:rPr>
        <w:t>如果中标金额大于等于</w:t>
      </w:r>
      <w:r>
        <w:rPr>
          <w:rFonts w:ascii="宋体" w:hAnsiTheme="minorHAnsi"/>
          <w:sz w:val="24"/>
          <w:szCs w:val="22"/>
          <w:highlight w:val="none"/>
        </w:rPr>
        <w:t>2386081元 (注: 202</w:t>
      </w:r>
      <w:r>
        <w:rPr>
          <w:rFonts w:hint="eastAsia" w:ascii="宋体" w:hAnsiTheme="minorHAnsi"/>
          <w:sz w:val="24"/>
          <w:szCs w:val="22"/>
          <w:highlight w:val="none"/>
        </w:rPr>
        <w:t>4</w:t>
      </w:r>
      <w:r>
        <w:rPr>
          <w:rFonts w:ascii="宋体" w:hAnsiTheme="minorHAnsi"/>
          <w:sz w:val="24"/>
          <w:szCs w:val="22"/>
          <w:highlight w:val="none"/>
        </w:rPr>
        <w:t>年预算金额)，a.合同签订生效后10个工作日内，支付2386081元；b.通过</w:t>
      </w:r>
      <w:r>
        <w:rPr>
          <w:rFonts w:hint="eastAsia" w:ascii="宋体" w:hAnsiTheme="minorHAnsi"/>
          <w:sz w:val="24"/>
          <w:szCs w:val="22"/>
          <w:highlight w:val="none"/>
        </w:rPr>
        <w:t>甲方</w:t>
      </w:r>
      <w:r>
        <w:rPr>
          <w:rFonts w:ascii="宋体" w:hAnsiTheme="minorHAnsi"/>
          <w:sz w:val="24"/>
          <w:szCs w:val="22"/>
          <w:highlight w:val="none"/>
        </w:rPr>
        <w:t>中期验收</w:t>
      </w:r>
      <w:r>
        <w:rPr>
          <w:rFonts w:hint="eastAsia" w:ascii="宋体" w:hAnsiTheme="minorHAnsi"/>
          <w:sz w:val="24"/>
          <w:szCs w:val="22"/>
          <w:highlight w:val="none"/>
        </w:rPr>
        <w:t>（即初验）</w:t>
      </w:r>
      <w:r>
        <w:rPr>
          <w:rFonts w:ascii="宋体" w:hAnsiTheme="minorHAnsi"/>
          <w:sz w:val="24"/>
          <w:szCs w:val="22"/>
          <w:highlight w:val="none"/>
        </w:rPr>
        <w:t>后10个工作日内，</w:t>
      </w:r>
      <w:r>
        <w:rPr>
          <w:rFonts w:hint="eastAsia" w:ascii="宋体" w:hAnsiTheme="minorHAnsi"/>
          <w:sz w:val="24"/>
          <w:szCs w:val="22"/>
          <w:highlight w:val="none"/>
        </w:rPr>
        <w:t>支付剩余合同金额的</w:t>
      </w:r>
      <w:r>
        <w:rPr>
          <w:rFonts w:ascii="宋体" w:hAnsiTheme="minorHAnsi"/>
          <w:sz w:val="24"/>
          <w:szCs w:val="22"/>
          <w:highlight w:val="none"/>
        </w:rPr>
        <w:t>50%</w:t>
      </w:r>
      <w:r>
        <w:rPr>
          <w:rFonts w:hint="eastAsia" w:ascii="宋体" w:hAnsiTheme="minorHAnsi"/>
          <w:sz w:val="24"/>
          <w:szCs w:val="22"/>
          <w:highlight w:val="none"/>
        </w:rPr>
        <w:t>；</w:t>
      </w:r>
      <w:r>
        <w:rPr>
          <w:rFonts w:ascii="宋体" w:hAnsiTheme="minorHAnsi"/>
          <w:sz w:val="24"/>
          <w:szCs w:val="22"/>
          <w:highlight w:val="none"/>
        </w:rPr>
        <w:t>c.通过最终验收后10个工作日内，支付合同</w:t>
      </w:r>
      <w:r>
        <w:rPr>
          <w:rFonts w:hint="eastAsia" w:ascii="宋体" w:hAnsiTheme="minorHAnsi"/>
          <w:sz w:val="24"/>
          <w:szCs w:val="22"/>
          <w:highlight w:val="none"/>
        </w:rPr>
        <w:t>尾</w:t>
      </w:r>
      <w:r>
        <w:rPr>
          <w:rFonts w:ascii="宋体" w:hAnsiTheme="minorHAnsi"/>
          <w:sz w:val="24"/>
          <w:szCs w:val="22"/>
          <w:highlight w:val="none"/>
        </w:rPr>
        <w:t>款。</w:t>
      </w:r>
    </w:p>
    <w:p>
      <w:pPr>
        <w:pStyle w:val="61"/>
        <w:numPr>
          <w:ilvl w:val="0"/>
          <w:numId w:val="3"/>
        </w:numPr>
        <w:ind w:firstLineChars="0"/>
        <w:rPr>
          <w:rFonts w:ascii="宋体" w:hAnsiTheme="minorHAnsi"/>
          <w:sz w:val="24"/>
          <w:szCs w:val="22"/>
          <w:highlight w:val="none"/>
        </w:rPr>
      </w:pPr>
      <w:r>
        <w:rPr>
          <w:rFonts w:ascii="宋体" w:hAnsiTheme="minorHAnsi"/>
          <w:sz w:val="24"/>
          <w:szCs w:val="22"/>
          <w:highlight w:val="none"/>
        </w:rPr>
        <w:t>如果中标金额小于2386081元，a.合同签订生效后</w:t>
      </w:r>
      <w:r>
        <w:rPr>
          <w:rFonts w:ascii="宋体" w:hAnsiTheme="minorHAnsi"/>
          <w:sz w:val="24"/>
          <w:szCs w:val="22"/>
          <w:highlight w:val="none"/>
        </w:rPr>
        <w:t>10个工作日</w:t>
      </w:r>
      <w:r>
        <w:rPr>
          <w:rFonts w:ascii="宋体" w:hAnsiTheme="minorHAnsi"/>
          <w:sz w:val="24"/>
          <w:szCs w:val="22"/>
          <w:highlight w:val="none"/>
        </w:rPr>
        <w:t>内，支付合同总价款的70 %；b.本项目通过最终验收后</w:t>
      </w:r>
      <w:r>
        <w:rPr>
          <w:rFonts w:ascii="宋体" w:hAnsiTheme="minorHAnsi"/>
          <w:sz w:val="24"/>
          <w:szCs w:val="22"/>
          <w:highlight w:val="none"/>
        </w:rPr>
        <w:t>10个工作日</w:t>
      </w:r>
      <w:r>
        <w:rPr>
          <w:rFonts w:ascii="宋体" w:hAnsiTheme="minorHAnsi"/>
          <w:sz w:val="24"/>
          <w:szCs w:val="22"/>
          <w:highlight w:val="none"/>
        </w:rPr>
        <w:t>内，支付合同总价款的30 %。</w:t>
      </w:r>
    </w:p>
    <w:p>
      <w:r>
        <w:rPr>
          <w:rFonts w:hint="eastAsia"/>
        </w:rPr>
        <w:t>服务提供方应当在采购方每次付款前提前至少</w:t>
      </w:r>
      <w:r>
        <w:rPr>
          <w:rFonts w:ascii="宋体" w:hAnsiTheme="minorHAnsi"/>
          <w:sz w:val="24"/>
          <w:szCs w:val="22"/>
          <w:highlight w:val="none"/>
        </w:rPr>
        <w:t>10个工作日</w:t>
      </w:r>
      <w:r>
        <w:t>向采购方提供有效发票。</w:t>
      </w:r>
      <w:bookmarkStart w:id="39" w:name="_GoBack"/>
      <w:bookmarkEnd w:id="39"/>
    </w:p>
    <w:p>
      <w:pPr>
        <w:ind w:firstLine="0" w:firstLineChars="0"/>
      </w:pPr>
    </w:p>
    <w:p>
      <w:pPr>
        <w:pStyle w:val="2"/>
      </w:pPr>
      <w:bookmarkStart w:id="38" w:name="_Toc68798863"/>
      <w:r>
        <w:rPr>
          <w:rFonts w:hint="eastAsia"/>
        </w:rPr>
        <w:t>附录</w:t>
      </w:r>
      <w:bookmarkEnd w:id="38"/>
    </w:p>
    <w:p>
      <w:pPr>
        <w:ind w:firstLine="0" w:firstLineChars="0"/>
      </w:pPr>
      <w:r>
        <w:rPr>
          <w:rFonts w:hint="eastAsia"/>
        </w:rPr>
        <w:t>1、</w:t>
      </w:r>
      <w:r>
        <w:t>《政务网络安全监测平台总体技术要求》</w:t>
      </w:r>
    </w:p>
    <w:p>
      <w:pPr>
        <w:ind w:firstLine="0" w:firstLineChars="0"/>
      </w:pPr>
      <w:r>
        <w:object>
          <v:shape id="_x0000_i1025" o:spt="75" type="#_x0000_t75" style="height:54.6pt;width:76.8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4.6pt;width:76.8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time">
    <w:altName w:val="宋体"/>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Microsoft Sans Serif">
    <w:panose1 w:val="020B0604020202020204"/>
    <w:charset w:val="00"/>
    <w:family w:val="swiss"/>
    <w:pitch w:val="default"/>
    <w:sig w:usb0="E1002AFF" w:usb1="C0000002" w:usb2="00000008" w:usb3="00000000" w:csb0="200101FF" w:csb1="2028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fldChar w:fldCharType="begin"/>
    </w:r>
    <w:r>
      <w:instrText xml:space="preserve">PAGE   \* MERGEFORMAT</w:instrText>
    </w:r>
    <w:r>
      <w:fldChar w:fldCharType="separate"/>
    </w:r>
    <w:r>
      <w:rPr>
        <w:lang w:val="zh-CN"/>
      </w:rPr>
      <w:t>17</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D26317"/>
    <w:multiLevelType w:val="multilevel"/>
    <w:tmpl w:val="48D2631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851"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4837"/>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4C24"/>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D7843"/>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98A"/>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5DA"/>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1D8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6B2"/>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2811"/>
    <w:rsid w:val="00564B9A"/>
    <w:rsid w:val="00565694"/>
    <w:rsid w:val="00566DD6"/>
    <w:rsid w:val="005714EF"/>
    <w:rsid w:val="00571CEC"/>
    <w:rsid w:val="00572FCE"/>
    <w:rsid w:val="005743FB"/>
    <w:rsid w:val="005750DB"/>
    <w:rsid w:val="005759FC"/>
    <w:rsid w:val="00575B85"/>
    <w:rsid w:val="00576DB9"/>
    <w:rsid w:val="0057738F"/>
    <w:rsid w:val="005805E4"/>
    <w:rsid w:val="0058202F"/>
    <w:rsid w:val="00584221"/>
    <w:rsid w:val="00584EB6"/>
    <w:rsid w:val="00586B68"/>
    <w:rsid w:val="0058774E"/>
    <w:rsid w:val="005878CF"/>
    <w:rsid w:val="00590CA0"/>
    <w:rsid w:val="005955B5"/>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377"/>
    <w:rsid w:val="005C0CD6"/>
    <w:rsid w:val="005C12D9"/>
    <w:rsid w:val="005C2146"/>
    <w:rsid w:val="005C309D"/>
    <w:rsid w:val="005C3B55"/>
    <w:rsid w:val="005C4F89"/>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B35"/>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383"/>
    <w:rsid w:val="00744431"/>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209B"/>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66B8"/>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6C81"/>
    <w:rsid w:val="008576B7"/>
    <w:rsid w:val="00857DF5"/>
    <w:rsid w:val="00857F7B"/>
    <w:rsid w:val="00863DA1"/>
    <w:rsid w:val="008654A6"/>
    <w:rsid w:val="00865D86"/>
    <w:rsid w:val="00870495"/>
    <w:rsid w:val="00870EA1"/>
    <w:rsid w:val="008710C5"/>
    <w:rsid w:val="0087208B"/>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473A"/>
    <w:rsid w:val="008D5C03"/>
    <w:rsid w:val="008D7580"/>
    <w:rsid w:val="008D7C35"/>
    <w:rsid w:val="008E34C9"/>
    <w:rsid w:val="008E5698"/>
    <w:rsid w:val="008E5733"/>
    <w:rsid w:val="008E77D2"/>
    <w:rsid w:val="008E78FD"/>
    <w:rsid w:val="008F199D"/>
    <w:rsid w:val="008F22B7"/>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3F32"/>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274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4B43"/>
    <w:rsid w:val="00B060C7"/>
    <w:rsid w:val="00B11AB7"/>
    <w:rsid w:val="00B12213"/>
    <w:rsid w:val="00B13710"/>
    <w:rsid w:val="00B22881"/>
    <w:rsid w:val="00B23EFC"/>
    <w:rsid w:val="00B24B72"/>
    <w:rsid w:val="00B25DB8"/>
    <w:rsid w:val="00B2656C"/>
    <w:rsid w:val="00B266E6"/>
    <w:rsid w:val="00B26905"/>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1BA1"/>
    <w:rsid w:val="00B4232D"/>
    <w:rsid w:val="00B42682"/>
    <w:rsid w:val="00B43065"/>
    <w:rsid w:val="00B44784"/>
    <w:rsid w:val="00B449D0"/>
    <w:rsid w:val="00B456AB"/>
    <w:rsid w:val="00B46C2A"/>
    <w:rsid w:val="00B47E8B"/>
    <w:rsid w:val="00B51B01"/>
    <w:rsid w:val="00B51C67"/>
    <w:rsid w:val="00B53F86"/>
    <w:rsid w:val="00B53FDC"/>
    <w:rsid w:val="00B55431"/>
    <w:rsid w:val="00B55CAE"/>
    <w:rsid w:val="00B576C6"/>
    <w:rsid w:val="00B615F2"/>
    <w:rsid w:val="00B61A28"/>
    <w:rsid w:val="00B65C6D"/>
    <w:rsid w:val="00B66B06"/>
    <w:rsid w:val="00B66FAB"/>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BF72FF"/>
    <w:rsid w:val="00C003B4"/>
    <w:rsid w:val="00C00A5F"/>
    <w:rsid w:val="00C02998"/>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488A"/>
    <w:rsid w:val="00C85144"/>
    <w:rsid w:val="00C86179"/>
    <w:rsid w:val="00C86738"/>
    <w:rsid w:val="00C86A27"/>
    <w:rsid w:val="00C91517"/>
    <w:rsid w:val="00C929BD"/>
    <w:rsid w:val="00C931A2"/>
    <w:rsid w:val="00CA02E1"/>
    <w:rsid w:val="00CA15DA"/>
    <w:rsid w:val="00CA224E"/>
    <w:rsid w:val="00CA26CE"/>
    <w:rsid w:val="00CA41C5"/>
    <w:rsid w:val="00CA42B7"/>
    <w:rsid w:val="00CA4A53"/>
    <w:rsid w:val="00CA51F5"/>
    <w:rsid w:val="00CB218A"/>
    <w:rsid w:val="00CB225A"/>
    <w:rsid w:val="00CB69E6"/>
    <w:rsid w:val="00CB761B"/>
    <w:rsid w:val="00CB7BBA"/>
    <w:rsid w:val="00CB7E33"/>
    <w:rsid w:val="00CC13DF"/>
    <w:rsid w:val="00CC1EEE"/>
    <w:rsid w:val="00CC562B"/>
    <w:rsid w:val="00CC6C15"/>
    <w:rsid w:val="00CC7FCF"/>
    <w:rsid w:val="00CD2749"/>
    <w:rsid w:val="00CD2A60"/>
    <w:rsid w:val="00CD306F"/>
    <w:rsid w:val="00CD3971"/>
    <w:rsid w:val="00CD3DAB"/>
    <w:rsid w:val="00CD7DC9"/>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65F5B"/>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63DE"/>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9E"/>
    <w:rsid w:val="00F236AB"/>
    <w:rsid w:val="00F24C86"/>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3D07"/>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430854"/>
    <w:rsid w:val="039F5FA6"/>
    <w:rsid w:val="09305ADA"/>
    <w:rsid w:val="0E8013B7"/>
    <w:rsid w:val="10D604C6"/>
    <w:rsid w:val="11B515E0"/>
    <w:rsid w:val="13A53267"/>
    <w:rsid w:val="13F970D2"/>
    <w:rsid w:val="14AA4136"/>
    <w:rsid w:val="163A420B"/>
    <w:rsid w:val="19413B26"/>
    <w:rsid w:val="1C6D3688"/>
    <w:rsid w:val="1CC63D0A"/>
    <w:rsid w:val="1DC2081A"/>
    <w:rsid w:val="1DD94266"/>
    <w:rsid w:val="1F9D0947"/>
    <w:rsid w:val="1FFB29C6"/>
    <w:rsid w:val="22AF3620"/>
    <w:rsid w:val="22E70AD4"/>
    <w:rsid w:val="24F1508D"/>
    <w:rsid w:val="266F634F"/>
    <w:rsid w:val="291059EA"/>
    <w:rsid w:val="2BBF12EC"/>
    <w:rsid w:val="2BC649D9"/>
    <w:rsid w:val="3515160D"/>
    <w:rsid w:val="3BC47367"/>
    <w:rsid w:val="3C7D00D8"/>
    <w:rsid w:val="3CA06C0C"/>
    <w:rsid w:val="3EA25851"/>
    <w:rsid w:val="3F6C3757"/>
    <w:rsid w:val="405D6A10"/>
    <w:rsid w:val="41DA6594"/>
    <w:rsid w:val="444C1A75"/>
    <w:rsid w:val="44A3526F"/>
    <w:rsid w:val="44B032F4"/>
    <w:rsid w:val="457D25F7"/>
    <w:rsid w:val="468341CD"/>
    <w:rsid w:val="472C2589"/>
    <w:rsid w:val="485A0625"/>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FAF09C4"/>
    <w:rsid w:val="608C4642"/>
    <w:rsid w:val="62795572"/>
    <w:rsid w:val="64DD6417"/>
    <w:rsid w:val="66004745"/>
    <w:rsid w:val="6A567F20"/>
    <w:rsid w:val="6CD97953"/>
    <w:rsid w:val="6ED30FD7"/>
    <w:rsid w:val="727D78FD"/>
    <w:rsid w:val="73CC655F"/>
    <w:rsid w:val="75957445"/>
    <w:rsid w:val="75D01AE1"/>
    <w:rsid w:val="77524363"/>
    <w:rsid w:val="77B917B5"/>
    <w:rsid w:val="78703975"/>
    <w:rsid w:val="7BE420FD"/>
    <w:rsid w:val="7D0D296B"/>
    <w:rsid w:val="7D4E0B54"/>
    <w:rsid w:val="7D503E78"/>
    <w:rsid w:val="7E0160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qFormat="1" w:uiPriority="39" w:semiHidden="0" w:name="toc 4"/>
    <w:lsdException w:qFormat="1" w:uiPriority="39" w:semiHidden="0" w:name="toc 5"/>
    <w:lsdException w:uiPriority="39" w:semiHidden="0" w:name="toc 6"/>
    <w:lsdException w:qFormat="1" w:uiPriority="39" w:semiHidden="0" w:name="toc 7"/>
    <w:lsdException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uiPriority w:val="39"/>
    <w:pPr>
      <w:ind w:left="2100" w:leftChars="1000"/>
    </w:pPr>
    <w:rPr>
      <w:rFonts w:ascii="等线" w:hAnsi="等线" w:eastAsia="等线"/>
      <w:szCs w:val="22"/>
    </w:rPr>
  </w:style>
  <w:style w:type="paragraph" w:styleId="30">
    <w:name w:val="toc 2"/>
    <w:basedOn w:val="1"/>
    <w:next w:val="1"/>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uiPriority w:val="0"/>
  </w:style>
  <w:style w:type="character" w:styleId="39">
    <w:name w:val="FollowedHyperlink"/>
    <w:unhideWhenUsed/>
    <w:qFormat/>
    <w:uiPriority w:val="99"/>
    <w:rPr>
      <w:color w:val="954F72"/>
      <w:u w:val="single"/>
    </w:rPr>
  </w:style>
  <w:style w:type="character" w:styleId="40">
    <w:name w:val="Hyperlink"/>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Char"/>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Char"/>
    <w:link w:val="22"/>
    <w:qFormat/>
    <w:uiPriority w:val="0"/>
    <w:rPr>
      <w:kern w:val="2"/>
      <w:sz w:val="21"/>
      <w:szCs w:val="24"/>
    </w:rPr>
  </w:style>
  <w:style w:type="character" w:customStyle="1" w:styleId="48">
    <w:name w:val="标题 9 Char"/>
    <w:link w:val="10"/>
    <w:uiPriority w:val="9"/>
    <w:rPr>
      <w:rFonts w:ascii="Cambria" w:hAnsi="Cambria"/>
      <w:kern w:val="2"/>
      <w:sz w:val="21"/>
      <w:szCs w:val="21"/>
    </w:rPr>
  </w:style>
  <w:style w:type="character" w:customStyle="1" w:styleId="49">
    <w:name w:val="未处理的提及1"/>
    <w:unhideWhenUsed/>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uiPriority w:val="99"/>
  </w:style>
  <w:style w:type="character" w:customStyle="1" w:styleId="53">
    <w:name w:val="标题 5 字符"/>
    <w:semiHidden/>
    <w:uiPriority w:val="9"/>
    <w:rPr>
      <w:rFonts w:ascii="宋体" w:hAnsi="宋体"/>
      <w:b/>
      <w:bCs/>
      <w:kern w:val="2"/>
      <w:sz w:val="28"/>
      <w:szCs w:val="28"/>
    </w:rPr>
  </w:style>
  <w:style w:type="character" w:customStyle="1" w:styleId="54">
    <w:name w:val="题注 Char"/>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Char"/>
    <w:link w:val="5"/>
    <w:qFormat/>
    <w:uiPriority w:val="0"/>
    <w:rPr>
      <w:rFonts w:ascii="宋体" w:hAnsi="宋体"/>
      <w:b/>
      <w:bCs/>
      <w:kern w:val="2"/>
      <w:sz w:val="30"/>
      <w:szCs w:val="30"/>
    </w:rPr>
  </w:style>
  <w:style w:type="character" w:customStyle="1" w:styleId="59">
    <w:name w:val="正文文本 Char"/>
    <w:link w:val="16"/>
    <w:qFormat/>
    <w:uiPriority w:val="0"/>
    <w:rPr>
      <w:kern w:val="2"/>
      <w:sz w:val="21"/>
      <w:szCs w:val="24"/>
    </w:rPr>
  </w:style>
  <w:style w:type="character" w:customStyle="1" w:styleId="60">
    <w:name w:val="列出段落 Char"/>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Char"/>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uiPriority w:val="0"/>
    <w:rPr>
      <w:rFonts w:hint="eastAsia" w:ascii="宋体" w:hAnsi="宋体" w:eastAsia="宋体" w:cs="宋体"/>
      <w:color w:val="000000"/>
      <w:sz w:val="21"/>
      <w:szCs w:val="21"/>
      <w:u w:val="none"/>
    </w:rPr>
  </w:style>
  <w:style w:type="character" w:customStyle="1" w:styleId="72">
    <w:name w:val="标题 7 Char"/>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Char1"/>
    <w:link w:val="2"/>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Char"/>
    <w:link w:val="4"/>
    <w:uiPriority w:val="0"/>
    <w:rPr>
      <w:rFonts w:ascii="宋体" w:hAnsi="宋体"/>
      <w:b/>
      <w:bCs/>
      <w:kern w:val="2"/>
      <w:sz w:val="28"/>
      <w:szCs w:val="28"/>
    </w:rPr>
  </w:style>
  <w:style w:type="character" w:customStyle="1" w:styleId="82">
    <w:name w:val="标题 4 字符"/>
    <w:semiHidden/>
    <w:uiPriority w:val="9"/>
    <w:rPr>
      <w:rFonts w:ascii="等线 Light" w:hAnsi="等线 Light" w:eastAsia="等线 Light" w:cs="Times New Roman"/>
      <w:b/>
      <w:bCs/>
      <w:kern w:val="2"/>
      <w:sz w:val="28"/>
      <w:szCs w:val="28"/>
    </w:rPr>
  </w:style>
  <w:style w:type="character" w:customStyle="1" w:styleId="83">
    <w:name w:val="批注主题 Char"/>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Char"/>
    <w:link w:val="17"/>
    <w:qFormat/>
    <w:uiPriority w:val="0"/>
    <w:rPr>
      <w:kern w:val="2"/>
      <w:sz w:val="21"/>
    </w:rPr>
  </w:style>
  <w:style w:type="character" w:customStyle="1" w:styleId="86">
    <w:name w:val="标题 5 Char"/>
    <w:link w:val="6"/>
    <w:uiPriority w:val="0"/>
    <w:rPr>
      <w:rFonts w:ascii="宋体" w:hAnsi="宋体"/>
      <w:b/>
      <w:bCs/>
      <w:kern w:val="2"/>
      <w:sz w:val="24"/>
      <w:szCs w:val="28"/>
    </w:rPr>
  </w:style>
  <w:style w:type="character" w:customStyle="1" w:styleId="87">
    <w:name w:val="副标题 Char"/>
    <w:link w:val="28"/>
    <w:qFormat/>
    <w:uiPriority w:val="0"/>
    <w:rPr>
      <w:rFonts w:ascii="Calibri Light" w:hAnsi="Calibri Light"/>
      <w:b/>
      <w:bCs/>
      <w:kern w:val="28"/>
      <w:sz w:val="32"/>
      <w:szCs w:val="32"/>
    </w:rPr>
  </w:style>
  <w:style w:type="character" w:customStyle="1" w:styleId="88">
    <w:name w:val="标题 2 Char"/>
    <w:link w:val="3"/>
    <w:qFormat/>
    <w:uiPriority w:val="9"/>
    <w:rPr>
      <w:rFonts w:ascii="宋体" w:hAnsi="宋体"/>
      <w:b/>
      <w:bCs/>
      <w:kern w:val="2"/>
      <w:sz w:val="30"/>
      <w:szCs w:val="32"/>
    </w:rPr>
  </w:style>
  <w:style w:type="character" w:customStyle="1" w:styleId="89">
    <w:name w:val="页脚 Char"/>
    <w:link w:val="24"/>
    <w:qFormat/>
    <w:uiPriority w:val="99"/>
    <w:rPr>
      <w:kern w:val="2"/>
      <w:sz w:val="18"/>
      <w:szCs w:val="18"/>
    </w:rPr>
  </w:style>
  <w:style w:type="character" w:customStyle="1" w:styleId="90">
    <w:name w:val="批注主题 字符"/>
    <w:semiHidden/>
    <w:uiPriority w:val="99"/>
    <w:rPr>
      <w:rFonts w:ascii="宋体" w:hAnsi="宋体"/>
      <w:b/>
      <w:bCs/>
      <w:kern w:val="2"/>
      <w:sz w:val="24"/>
      <w:szCs w:val="24"/>
    </w:rPr>
  </w:style>
  <w:style w:type="character" w:customStyle="1" w:styleId="91">
    <w:name w:val="文档结构图 Char"/>
    <w:link w:val="14"/>
    <w:qFormat/>
    <w:uiPriority w:val="0"/>
    <w:rPr>
      <w:rFonts w:ascii="宋体"/>
      <w:kern w:val="2"/>
      <w:sz w:val="18"/>
      <w:szCs w:val="18"/>
    </w:rPr>
  </w:style>
  <w:style w:type="character" w:customStyle="1" w:styleId="92">
    <w:name w:val="font31"/>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Char"/>
    <w:link w:val="33"/>
    <w:qFormat/>
    <w:uiPriority w:val="0"/>
    <w:rPr>
      <w:rFonts w:ascii="Cambria" w:hAnsi="Cambria" w:eastAsia="黑体"/>
      <w:b/>
      <w:bCs/>
      <w:kern w:val="2"/>
      <w:sz w:val="52"/>
      <w:szCs w:val="32"/>
    </w:rPr>
  </w:style>
  <w:style w:type="character" w:customStyle="1" w:styleId="96">
    <w:name w:val="批注框文本 Char"/>
    <w:link w:val="23"/>
    <w:uiPriority w:val="0"/>
    <w:rPr>
      <w:kern w:val="2"/>
      <w:sz w:val="18"/>
      <w:szCs w:val="18"/>
    </w:rPr>
  </w:style>
  <w:style w:type="character" w:customStyle="1" w:styleId="97">
    <w:name w:val="页眉 Char"/>
    <w:link w:val="25"/>
    <w:qFormat/>
    <w:uiPriority w:val="99"/>
    <w:rPr>
      <w:kern w:val="2"/>
      <w:sz w:val="18"/>
      <w:szCs w:val="18"/>
    </w:rPr>
  </w:style>
  <w:style w:type="character" w:customStyle="1" w:styleId="98">
    <w:name w:val="标题 8 Char"/>
    <w:link w:val="9"/>
    <w:qFormat/>
    <w:uiPriority w:val="9"/>
    <w:rPr>
      <w:rFonts w:ascii="Cambria" w:hAnsi="Cambria"/>
      <w:kern w:val="2"/>
      <w:sz w:val="21"/>
      <w:szCs w:val="24"/>
    </w:rPr>
  </w:style>
  <w:style w:type="character" w:customStyle="1" w:styleId="99">
    <w:name w:val="标题 6 Char"/>
    <w:link w:val="7"/>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Revision"/>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Heading"/>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font5"/>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13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8"/>
      <w:szCs w:val="28"/>
    </w:rPr>
  </w:style>
  <w:style w:type="table" w:customStyle="1" w:styleId="136">
    <w:name w:val="Table Normal"/>
    <w:unhideWhenUsed/>
    <w:qFormat/>
    <w:uiPriority w:val="0"/>
    <w:rPr>
      <w:rFonts w:ascii="Calibri" w:hAnsi="Calibri"/>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1A1FC-D6BE-4363-81C3-61BB0499643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2922</Words>
  <Characters>16657</Characters>
  <Lines>138</Lines>
  <Paragraphs>39</Paragraphs>
  <TotalTime>0</TotalTime>
  <ScaleCrop>false</ScaleCrop>
  <LinksUpToDate>false</LinksUpToDate>
  <CharactersWithSpaces>19540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2024-07-01T03:50:00Z</dcterms:created>
  <dc:creator>gtig_tzb</dc:creator>
  <cp:lastModifiedBy>user</cp:lastModifiedBy>
  <cp:lastPrinted>2020-08-06T12:08:00Z</cp:lastPrinted>
  <dcterms:modified xsi:type="dcterms:W3CDTF">2024-07-02T08:27:29Z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C64119C144F24C638010F4F1644040B3</vt:lpwstr>
  </property>
</Properties>
</file>