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jc w:val="center"/>
        <w:rPr>
          <w:rFonts w:ascii="华文中宋" w:hAnsi="华文中宋" w:eastAsia="华文中宋"/>
          <w:b/>
          <w:sz w:val="44"/>
          <w:szCs w:val="44"/>
        </w:rPr>
      </w:pPr>
      <w:r>
        <w:rPr>
          <w:rFonts w:hint="eastAsia" w:ascii="华文中宋" w:hAnsi="华文中宋" w:eastAsia="华文中宋"/>
          <w:b/>
          <w:sz w:val="44"/>
          <w:szCs w:val="44"/>
        </w:rPr>
        <w:t>上海法院移动办公办案信息系统</w:t>
      </w:r>
    </w:p>
    <w:p>
      <w:pPr>
        <w:pStyle w:val="15"/>
        <w:jc w:val="center"/>
        <w:rPr>
          <w:rFonts w:ascii="华文中宋" w:hAnsi="华文中宋" w:eastAsia="华文中宋"/>
          <w:b/>
          <w:sz w:val="44"/>
          <w:szCs w:val="44"/>
        </w:rPr>
      </w:pPr>
      <w:r>
        <w:rPr>
          <w:rFonts w:hint="eastAsia" w:ascii="华文中宋" w:hAnsi="华文中宋" w:eastAsia="华文中宋"/>
          <w:b/>
          <w:sz w:val="44"/>
          <w:szCs w:val="44"/>
        </w:rPr>
        <w:t>（升级改造）采购需求</w:t>
      </w:r>
    </w:p>
    <w:p>
      <w:pPr>
        <w:tabs>
          <w:tab w:val="left" w:pos="7513"/>
        </w:tabs>
        <w:spacing w:line="360" w:lineRule="auto"/>
        <w:ind w:firstLine="643" w:firstLineChars="200"/>
        <w:jc w:val="left"/>
        <w:outlineLvl w:val="0"/>
        <w:rPr>
          <w:rFonts w:ascii="黑体" w:hAnsi="黑体" w:eastAsia="黑体" w:cs="黑体"/>
          <w:b/>
          <w:bCs/>
          <w:sz w:val="32"/>
          <w:szCs w:val="32"/>
        </w:rPr>
      </w:pPr>
      <w:bookmarkStart w:id="0" w:name="_Toc19156"/>
      <w:bookmarkStart w:id="1" w:name="_Toc236580573"/>
      <w:r>
        <w:rPr>
          <w:rFonts w:hint="eastAsia" w:ascii="黑体" w:hAnsi="黑体" w:eastAsia="黑体" w:cs="黑体"/>
          <w:b/>
          <w:bCs/>
          <w:sz w:val="32"/>
          <w:szCs w:val="32"/>
        </w:rPr>
        <w:t>一、项目概述</w:t>
      </w:r>
      <w:bookmarkEnd w:id="0"/>
    </w:p>
    <w:p>
      <w:pPr>
        <w:spacing w:line="360" w:lineRule="auto"/>
        <w:ind w:firstLine="643" w:firstLineChars="200"/>
        <w:outlineLvl w:val="1"/>
        <w:rPr>
          <w:rFonts w:ascii="楷体" w:hAnsi="楷体" w:eastAsia="楷体" w:cs="楷体"/>
          <w:b/>
          <w:bCs/>
          <w:sz w:val="32"/>
          <w:szCs w:val="32"/>
        </w:rPr>
      </w:pPr>
      <w:bookmarkStart w:id="2" w:name="_Toc14042"/>
      <w:bookmarkStart w:id="3" w:name="_Toc445714934"/>
      <w:bookmarkStart w:id="4" w:name="_Toc430867736"/>
      <w:bookmarkStart w:id="5" w:name="_Toc430868367"/>
      <w:r>
        <w:rPr>
          <w:rFonts w:hint="eastAsia" w:ascii="楷体" w:hAnsi="楷体" w:eastAsia="楷体" w:cs="楷体"/>
          <w:b/>
          <w:bCs/>
          <w:sz w:val="32"/>
          <w:szCs w:val="32"/>
        </w:rPr>
        <w:t>1.项目背景</w:t>
      </w:r>
      <w:bookmarkEnd w:id="2"/>
      <w:bookmarkEnd w:id="3"/>
      <w:bookmarkEnd w:id="4"/>
      <w:bookmarkEnd w:id="5"/>
      <w:bookmarkStart w:id="6" w:name="_Toc445714936"/>
      <w:bookmarkStart w:id="7" w:name="_Toc16142"/>
      <w:bookmarkStart w:id="8" w:name="_Hlk92812138"/>
    </w:p>
    <w:p>
      <w:pPr>
        <w:ind w:firstLine="560"/>
        <w:rPr>
          <w:rFonts w:ascii="仿宋" w:hAnsi="仿宋" w:eastAsia="仿宋" w:cs="仿宋"/>
          <w:sz w:val="32"/>
          <w:szCs w:val="32"/>
        </w:rPr>
      </w:pPr>
      <w:r>
        <w:rPr>
          <w:rFonts w:hint="eastAsia" w:ascii="仿宋" w:hAnsi="仿宋" w:eastAsia="仿宋" w:cs="仿宋"/>
          <w:sz w:val="32"/>
          <w:szCs w:val="32"/>
        </w:rPr>
        <w:t>为贯彻落实“数字改革赋能”工作主线，深层次推进数字化办案、数字化办公，破解上海法院移动办案办公三级联动不够、内外网协同不足、移动端应用场景不够丰富等问题，高院办公室会同信息处等相关部门，紧扣上海法院工作实际，紧贴干警实际工作需要，优化完善上海法院移动APP，推进移动办案办公落地应用。</w:t>
      </w:r>
    </w:p>
    <w:p>
      <w:pPr>
        <w:spacing w:line="360" w:lineRule="auto"/>
        <w:ind w:firstLine="643" w:firstLineChars="200"/>
        <w:outlineLvl w:val="1"/>
        <w:rPr>
          <w:rFonts w:ascii="楷体" w:hAnsi="楷体" w:eastAsia="楷体" w:cs="楷体"/>
          <w:b/>
          <w:bCs/>
          <w:sz w:val="32"/>
          <w:szCs w:val="32"/>
        </w:rPr>
      </w:pPr>
      <w:r>
        <w:rPr>
          <w:rFonts w:hint="eastAsia" w:ascii="楷体" w:hAnsi="楷体" w:eastAsia="楷体" w:cs="楷体"/>
          <w:b/>
          <w:bCs/>
          <w:sz w:val="32"/>
          <w:szCs w:val="32"/>
        </w:rPr>
        <w:t>2.项目建设</w:t>
      </w:r>
      <w:r>
        <w:rPr>
          <w:rFonts w:ascii="楷体" w:hAnsi="楷体" w:eastAsia="楷体" w:cs="楷体"/>
          <w:b/>
          <w:bCs/>
          <w:sz w:val="32"/>
          <w:szCs w:val="32"/>
        </w:rPr>
        <w:t>范围</w:t>
      </w:r>
      <w:bookmarkEnd w:id="6"/>
      <w:bookmarkEnd w:id="7"/>
    </w:p>
    <w:p>
      <w:pPr>
        <w:ind w:firstLine="560"/>
        <w:rPr>
          <w:rFonts w:ascii="仿宋" w:hAnsi="仿宋" w:eastAsia="仿宋" w:cs="仿宋"/>
          <w:sz w:val="32"/>
          <w:szCs w:val="32"/>
        </w:rPr>
      </w:pPr>
      <w:r>
        <w:rPr>
          <w:rFonts w:hint="eastAsia" w:ascii="仿宋" w:hAnsi="仿宋" w:eastAsia="仿宋" w:cs="仿宋"/>
          <w:sz w:val="32"/>
          <w:szCs w:val="32"/>
        </w:rPr>
        <w:t>本次招标服务的最终执行地包括如下地点：上海市高级人民法院。</w:t>
      </w:r>
    </w:p>
    <w:bookmarkEnd w:id="8"/>
    <w:p>
      <w:pPr>
        <w:tabs>
          <w:tab w:val="left" w:pos="7513"/>
        </w:tabs>
        <w:spacing w:line="360" w:lineRule="auto"/>
        <w:ind w:firstLine="643" w:firstLineChars="200"/>
        <w:jc w:val="left"/>
        <w:outlineLvl w:val="0"/>
        <w:rPr>
          <w:rFonts w:ascii="黑体" w:hAnsi="黑体" w:eastAsia="黑体" w:cs="黑体"/>
          <w:b/>
          <w:bCs/>
          <w:sz w:val="32"/>
          <w:szCs w:val="32"/>
        </w:rPr>
      </w:pPr>
      <w:bookmarkStart w:id="9" w:name="_Toc430868370"/>
      <w:bookmarkStart w:id="10" w:name="_Toc20614"/>
      <w:bookmarkStart w:id="11" w:name="_Toc445714937"/>
      <w:bookmarkStart w:id="12" w:name="_Hlk92812150"/>
      <w:r>
        <w:rPr>
          <w:rFonts w:hint="eastAsia" w:ascii="黑体" w:hAnsi="黑体" w:eastAsia="黑体" w:cs="黑体"/>
          <w:b/>
          <w:bCs/>
          <w:sz w:val="32"/>
          <w:szCs w:val="32"/>
        </w:rPr>
        <w:t>二、</w:t>
      </w:r>
      <w:bookmarkEnd w:id="9"/>
      <w:bookmarkEnd w:id="10"/>
      <w:bookmarkEnd w:id="11"/>
      <w:r>
        <w:rPr>
          <w:rFonts w:hint="eastAsia" w:ascii="黑体" w:hAnsi="黑体" w:eastAsia="黑体" w:cs="黑体"/>
          <w:b/>
          <w:bCs/>
          <w:sz w:val="32"/>
          <w:szCs w:val="32"/>
        </w:rPr>
        <w:t>项目建设要求</w:t>
      </w:r>
    </w:p>
    <w:bookmarkEnd w:id="1"/>
    <w:p>
      <w:pPr>
        <w:spacing w:line="360" w:lineRule="auto"/>
        <w:ind w:firstLine="643" w:firstLineChars="200"/>
        <w:outlineLvl w:val="1"/>
        <w:rPr>
          <w:rFonts w:ascii="楷体" w:hAnsi="楷体" w:eastAsia="楷体" w:cs="楷体"/>
          <w:b/>
          <w:bCs/>
          <w:sz w:val="32"/>
          <w:szCs w:val="32"/>
        </w:rPr>
      </w:pPr>
      <w:r>
        <w:rPr>
          <w:rFonts w:hint="eastAsia" w:ascii="楷体" w:hAnsi="楷体" w:eastAsia="楷体" w:cs="楷体"/>
          <w:b/>
          <w:bCs/>
          <w:sz w:val="32"/>
          <w:szCs w:val="32"/>
        </w:rPr>
        <w:t>1.主要内容</w:t>
      </w:r>
    </w:p>
    <w:bookmarkEnd w:id="12"/>
    <w:p>
      <w:pPr>
        <w:ind w:firstLine="560"/>
        <w:rPr>
          <w:rFonts w:ascii="仿宋" w:hAnsi="仿宋" w:eastAsia="仿宋" w:cs="仿宋"/>
          <w:sz w:val="32"/>
          <w:szCs w:val="32"/>
        </w:rPr>
      </w:pPr>
      <w:r>
        <w:rPr>
          <w:rFonts w:hint="eastAsia" w:ascii="仿宋" w:hAnsi="仿宋" w:eastAsia="仿宋" w:cs="仿宋"/>
          <w:sz w:val="32"/>
          <w:szCs w:val="32"/>
        </w:rPr>
        <w:t>本次项目主要有以下建设内容：</w:t>
      </w:r>
    </w:p>
    <w:p>
      <w:pPr>
        <w:ind w:firstLine="560"/>
        <w:rPr>
          <w:rFonts w:ascii="仿宋" w:hAnsi="仿宋" w:eastAsia="仿宋" w:cs="仿宋"/>
          <w:sz w:val="32"/>
          <w:szCs w:val="32"/>
        </w:rPr>
      </w:pPr>
      <w:r>
        <w:rPr>
          <w:rFonts w:hint="eastAsia" w:ascii="仿宋" w:hAnsi="仿宋" w:eastAsia="仿宋" w:cs="仿宋"/>
          <w:sz w:val="32"/>
          <w:szCs w:val="32"/>
        </w:rPr>
        <w:t>通用功能中心，提供移动端水印服务，包括水印生成、水印接口。</w:t>
      </w:r>
    </w:p>
    <w:p>
      <w:pPr>
        <w:ind w:firstLine="560"/>
        <w:rPr>
          <w:rFonts w:ascii="仿宋" w:hAnsi="仿宋" w:eastAsia="仿宋" w:cs="仿宋"/>
          <w:sz w:val="32"/>
          <w:szCs w:val="32"/>
        </w:rPr>
      </w:pPr>
      <w:r>
        <w:rPr>
          <w:rFonts w:hint="eastAsia" w:ascii="仿宋" w:hAnsi="仿宋" w:eastAsia="仿宋" w:cs="仿宋"/>
          <w:sz w:val="32"/>
          <w:szCs w:val="32"/>
        </w:rPr>
        <w:t>新增综合签批中心，包括审批任务</w:t>
      </w:r>
      <w:bookmarkStart w:id="21" w:name="_GoBack"/>
      <w:bookmarkEnd w:id="21"/>
      <w:r>
        <w:rPr>
          <w:rFonts w:hint="eastAsia" w:ascii="仿宋" w:hAnsi="仿宋" w:eastAsia="仿宋" w:cs="仿宋"/>
          <w:sz w:val="32"/>
          <w:szCs w:val="32"/>
        </w:rPr>
        <w:t>列表展示、待办数量统计、审批列表数据筛选、批量审批服务、审批详情页展示、文件智能预览、手写批改、在线审批、常用语服务、审批结果撤回、综合审批流程接入。实现机关公文、事项流转单、离沪等审批流程接入，支持用户在移动端统一查看和审批/批量审批。</w:t>
      </w:r>
    </w:p>
    <w:p>
      <w:pPr>
        <w:ind w:firstLine="560"/>
        <w:rPr>
          <w:rFonts w:ascii="仿宋" w:hAnsi="仿宋" w:eastAsia="仿宋" w:cs="仿宋"/>
          <w:sz w:val="32"/>
          <w:szCs w:val="32"/>
        </w:rPr>
      </w:pPr>
      <w:r>
        <w:rPr>
          <w:rFonts w:hint="eastAsia" w:ascii="仿宋" w:hAnsi="仿宋" w:eastAsia="仿宋" w:cs="仿宋"/>
          <w:sz w:val="32"/>
          <w:szCs w:val="32"/>
        </w:rPr>
        <w:t>新增干部离沪报告模块，提供院领导离沪报批模块。为全市法院提供统一的离沪报告功能，包括新增离沪-本人申请、离沪审批流程配置、我的申请、取消离沪申请、变更离沪申请、申请记录查看、离沪审批结果提醒。</w:t>
      </w:r>
    </w:p>
    <w:p>
      <w:pPr>
        <w:ind w:firstLine="560"/>
        <w:rPr>
          <w:rFonts w:ascii="仿宋" w:hAnsi="仿宋" w:eastAsia="仿宋" w:cs="仿宋"/>
          <w:sz w:val="32"/>
          <w:szCs w:val="32"/>
        </w:rPr>
      </w:pPr>
      <w:r>
        <w:rPr>
          <w:rFonts w:hint="eastAsia" w:ascii="仿宋" w:hAnsi="仿宋" w:eastAsia="仿宋" w:cs="仿宋"/>
          <w:sz w:val="32"/>
          <w:szCs w:val="32"/>
        </w:rPr>
        <w:t>新增“智慧行装”模块，包括客饭预定、咖吧预约、网上订餐、值班管理、工作日常、一周菜谱、定水管理、洗衣服管理、理发管理、服装管理、介绍信。干警可以通过手机随时随地登录上海法院移动办公办案平台，查看食堂菜谱，及时完成办公室用水预定、值班签到等工作。</w:t>
      </w:r>
    </w:p>
    <w:p>
      <w:pPr>
        <w:pStyle w:val="15"/>
        <w:ind w:firstLine="640" w:firstLineChars="200"/>
        <w:rPr>
          <w:rFonts w:ascii="仿宋" w:hAnsi="仿宋" w:eastAsia="仿宋" w:cs="仿宋"/>
          <w:sz w:val="32"/>
          <w:szCs w:val="32"/>
        </w:rPr>
      </w:pPr>
      <w:r>
        <w:rPr>
          <w:rFonts w:hint="eastAsia" w:ascii="仿宋" w:hAnsi="仿宋" w:eastAsia="仿宋" w:cs="仿宋"/>
          <w:sz w:val="32"/>
          <w:szCs w:val="32"/>
        </w:rPr>
        <w:t>新增监督评查模块，实时统计各法院场景申报情况。新增监督预警模块，有效规范案件节点流转，切实提升办案质效。</w:t>
      </w:r>
    </w:p>
    <w:p>
      <w:pPr>
        <w:spacing w:line="360" w:lineRule="auto"/>
        <w:ind w:firstLine="643" w:firstLineChars="200"/>
        <w:outlineLvl w:val="1"/>
        <w:rPr>
          <w:rFonts w:ascii="楷体" w:hAnsi="楷体" w:eastAsia="楷体" w:cs="楷体"/>
          <w:b/>
          <w:bCs/>
          <w:sz w:val="32"/>
          <w:szCs w:val="32"/>
        </w:rPr>
      </w:pPr>
      <w:r>
        <w:rPr>
          <w:rFonts w:hint="eastAsia" w:ascii="楷体" w:hAnsi="楷体" w:eastAsia="楷体" w:cs="楷体"/>
          <w:b/>
          <w:bCs/>
          <w:sz w:val="32"/>
          <w:szCs w:val="32"/>
        </w:rPr>
        <w:t>2.软件功能要求</w:t>
      </w:r>
    </w:p>
    <w:tbl>
      <w:tblPr>
        <w:tblStyle w:val="33"/>
        <w:tblW w:w="8413"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9"/>
        <w:gridCol w:w="1559"/>
        <w:gridCol w:w="5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right"/>
        </w:trPr>
        <w:tc>
          <w:tcPr>
            <w:tcW w:w="1559" w:type="dxa"/>
            <w:tcBorders>
              <w:bottom w:val="single" w:color="auto" w:sz="4" w:space="0"/>
            </w:tcBorders>
            <w:vAlign w:val="center"/>
          </w:tcPr>
          <w:p>
            <w:pPr>
              <w:tabs>
                <w:tab w:val="left" w:pos="7513"/>
              </w:tabs>
              <w:snapToGrid w:val="0"/>
              <w:jc w:val="center"/>
              <w:rPr>
                <w:rFonts w:ascii="仿宋" w:hAnsi="仿宋" w:eastAsia="仿宋" w:cs="仿宋"/>
                <w:color w:val="000000"/>
                <w:sz w:val="28"/>
                <w:szCs w:val="28"/>
              </w:rPr>
            </w:pPr>
            <w:r>
              <w:rPr>
                <w:rFonts w:hint="eastAsia" w:ascii="仿宋" w:hAnsi="仿宋" w:eastAsia="仿宋" w:cs="仿宋"/>
                <w:color w:val="000000"/>
                <w:sz w:val="28"/>
                <w:szCs w:val="28"/>
              </w:rPr>
              <w:t>应用软件</w:t>
            </w:r>
          </w:p>
        </w:tc>
        <w:tc>
          <w:tcPr>
            <w:tcW w:w="1559" w:type="dxa"/>
            <w:vAlign w:val="center"/>
          </w:tcPr>
          <w:p>
            <w:pPr>
              <w:tabs>
                <w:tab w:val="left" w:pos="7513"/>
              </w:tabs>
              <w:snapToGrid w:val="0"/>
              <w:jc w:val="center"/>
              <w:rPr>
                <w:rFonts w:ascii="仿宋" w:hAnsi="仿宋" w:eastAsia="仿宋" w:cs="仿宋"/>
                <w:color w:val="000000"/>
                <w:sz w:val="28"/>
                <w:szCs w:val="28"/>
              </w:rPr>
            </w:pPr>
            <w:r>
              <w:rPr>
                <w:rFonts w:hint="eastAsia" w:ascii="仿宋" w:hAnsi="仿宋" w:eastAsia="仿宋" w:cs="仿宋"/>
                <w:color w:val="000000"/>
                <w:sz w:val="28"/>
                <w:szCs w:val="28"/>
              </w:rPr>
              <w:t>功能模块</w:t>
            </w:r>
          </w:p>
        </w:tc>
        <w:tc>
          <w:tcPr>
            <w:tcW w:w="5295" w:type="dxa"/>
            <w:vAlign w:val="center"/>
          </w:tcPr>
          <w:p>
            <w:pPr>
              <w:tabs>
                <w:tab w:val="left" w:pos="7513"/>
              </w:tabs>
              <w:snapToGrid w:val="0"/>
              <w:jc w:val="center"/>
              <w:rPr>
                <w:rFonts w:ascii="仿宋" w:hAnsi="仿宋" w:eastAsia="仿宋" w:cs="仿宋"/>
                <w:color w:val="000000"/>
                <w:sz w:val="28"/>
                <w:szCs w:val="28"/>
              </w:rPr>
            </w:pPr>
            <w:r>
              <w:rPr>
                <w:rFonts w:hint="eastAsia" w:ascii="仿宋" w:hAnsi="仿宋" w:eastAsia="仿宋" w:cs="仿宋"/>
                <w:color w:val="000000"/>
                <w:sz w:val="28"/>
                <w:szCs w:val="28"/>
              </w:rPr>
              <w:t>功能描述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right"/>
        </w:trPr>
        <w:tc>
          <w:tcPr>
            <w:tcW w:w="1559" w:type="dxa"/>
            <w:tcBorders>
              <w:top w:val="single" w:color="auto" w:sz="4" w:space="0"/>
              <w:left w:val="single" w:color="auto" w:sz="4" w:space="0"/>
              <w:right w:val="single" w:color="auto" w:sz="4" w:space="0"/>
            </w:tcBorders>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通用功能中心</w:t>
            </w:r>
          </w:p>
        </w:tc>
        <w:tc>
          <w:tcPr>
            <w:tcW w:w="1559" w:type="dxa"/>
            <w:tcBorders>
              <w:left w:val="single" w:color="auto" w:sz="4" w:space="0"/>
            </w:tcBorders>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移动端水印服务</w:t>
            </w:r>
          </w:p>
        </w:tc>
        <w:tc>
          <w:tcPr>
            <w:tcW w:w="5295"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根据人员编号、时间转码生成水印内容。水印自动添加于综合审批、离沪报告、智慧行装三个功能的所有APP页面，水印要求不影响页面内容阅读和事项办理，截屏或者拍照时可以对所截页面溯源。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right"/>
        </w:trPr>
        <w:tc>
          <w:tcPr>
            <w:tcW w:w="1559" w:type="dxa"/>
            <w:tcBorders>
              <w:left w:val="single" w:color="auto" w:sz="4" w:space="0"/>
              <w:bottom w:val="single" w:color="auto" w:sz="4" w:space="0"/>
              <w:right w:val="single" w:color="auto" w:sz="4" w:space="0"/>
            </w:tcBorders>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通用功能中心</w:t>
            </w:r>
          </w:p>
        </w:tc>
        <w:tc>
          <w:tcPr>
            <w:tcW w:w="1559" w:type="dxa"/>
            <w:tcBorders>
              <w:left w:val="single" w:color="auto" w:sz="4" w:space="0"/>
            </w:tcBorders>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移动端水印服务</w:t>
            </w:r>
          </w:p>
        </w:tc>
        <w:tc>
          <w:tcPr>
            <w:tcW w:w="5295"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提供水印服务的统一能力接口，提供给APP各业务模块进行接入使用。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right"/>
        </w:trPr>
        <w:tc>
          <w:tcPr>
            <w:tcW w:w="1559" w:type="dxa"/>
            <w:tcBorders>
              <w:top w:val="single" w:color="auto" w:sz="4" w:space="0"/>
              <w:left w:val="single" w:color="auto" w:sz="4" w:space="0"/>
              <w:bottom w:val="single" w:color="auto" w:sz="4" w:space="0"/>
              <w:right w:val="single" w:color="auto" w:sz="4" w:space="0"/>
            </w:tcBorders>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综合审批</w:t>
            </w:r>
          </w:p>
        </w:tc>
        <w:tc>
          <w:tcPr>
            <w:tcW w:w="1559" w:type="dxa"/>
            <w:tcBorders>
              <w:left w:val="single" w:color="auto" w:sz="4" w:space="0"/>
            </w:tcBorders>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审批任务列表展示</w:t>
            </w:r>
          </w:p>
        </w:tc>
        <w:tc>
          <w:tcPr>
            <w:tcW w:w="5295"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按照卡片形式展示待审批/已审批的流程列表。卡片展示信息包括标题、类型名称、申请人、申请人部门、申请时间、申请人单位、自定义字段。审批列表数据支持分屏加载，并针对空数据等异常情况做出提示。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right"/>
        </w:trPr>
        <w:tc>
          <w:tcPr>
            <w:tcW w:w="1559" w:type="dxa"/>
            <w:tcBorders>
              <w:left w:val="single" w:color="auto" w:sz="4" w:space="0"/>
              <w:right w:val="single" w:color="auto" w:sz="4" w:space="0"/>
            </w:tcBorders>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综合审批</w:t>
            </w:r>
          </w:p>
        </w:tc>
        <w:tc>
          <w:tcPr>
            <w:tcW w:w="1559" w:type="dxa"/>
            <w:tcBorders>
              <w:left w:val="single" w:color="auto" w:sz="4" w:space="0"/>
            </w:tcBorders>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审批任务列表展示</w:t>
            </w:r>
          </w:p>
        </w:tc>
        <w:tc>
          <w:tcPr>
            <w:tcW w:w="5295"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支持列表根据不同流程类型自定义展示，支持2个固定字段（申请人和申请时间）和3个自定义字段展示。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right"/>
        </w:trPr>
        <w:tc>
          <w:tcPr>
            <w:tcW w:w="1559" w:type="dxa"/>
            <w:tcBorders>
              <w:left w:val="single" w:color="auto" w:sz="4" w:space="0"/>
              <w:right w:val="single" w:color="auto" w:sz="4" w:space="0"/>
            </w:tcBorders>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综合审批</w:t>
            </w:r>
          </w:p>
        </w:tc>
        <w:tc>
          <w:tcPr>
            <w:tcW w:w="1559" w:type="dxa"/>
            <w:tcBorders>
              <w:left w:val="single" w:color="auto" w:sz="4" w:space="0"/>
            </w:tcBorders>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审批任务列表展示</w:t>
            </w:r>
          </w:p>
        </w:tc>
        <w:tc>
          <w:tcPr>
            <w:tcW w:w="5295"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新增待办流程后，支持通知到APP的消息中心，即时提醒用户有新待办任务需要处理，可选择卡片消息或文字消息样式展示提醒，用户通过点击卡片或文字消息可进入签批中心-待办列表进行详情查阅和在线审批。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right"/>
        </w:trPr>
        <w:tc>
          <w:tcPr>
            <w:tcW w:w="1559" w:type="dxa"/>
            <w:tcBorders>
              <w:left w:val="single" w:color="auto" w:sz="4" w:space="0"/>
              <w:right w:val="single" w:color="auto" w:sz="4" w:space="0"/>
            </w:tcBorders>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综合审批</w:t>
            </w:r>
          </w:p>
        </w:tc>
        <w:tc>
          <w:tcPr>
            <w:tcW w:w="1559" w:type="dxa"/>
            <w:tcBorders>
              <w:left w:val="single" w:color="auto" w:sz="4" w:space="0"/>
            </w:tcBorders>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待办数量统计</w:t>
            </w:r>
          </w:p>
        </w:tc>
        <w:tc>
          <w:tcPr>
            <w:tcW w:w="5295"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汇总所有接入的待审批流程数量进行统计展示，并推送至APP上做功能入口的数字角标展示。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right"/>
        </w:trPr>
        <w:tc>
          <w:tcPr>
            <w:tcW w:w="1559" w:type="dxa"/>
            <w:tcBorders>
              <w:left w:val="single" w:color="auto" w:sz="4" w:space="0"/>
              <w:right w:val="single" w:color="auto" w:sz="4" w:space="0"/>
            </w:tcBorders>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综合审批</w:t>
            </w:r>
          </w:p>
        </w:tc>
        <w:tc>
          <w:tcPr>
            <w:tcW w:w="1559" w:type="dxa"/>
            <w:tcBorders>
              <w:left w:val="single" w:color="auto" w:sz="4" w:space="0"/>
            </w:tcBorders>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审批列表-数据筛选</w:t>
            </w:r>
          </w:p>
        </w:tc>
        <w:tc>
          <w:tcPr>
            <w:tcW w:w="5295"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支持类型选择下拉多选。默认展示所有类型并选中，可以对选中类型进行变更，剔除不需要筛选的类型。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right"/>
        </w:trPr>
        <w:tc>
          <w:tcPr>
            <w:tcW w:w="1559" w:type="dxa"/>
            <w:tcBorders>
              <w:left w:val="single" w:color="auto" w:sz="4" w:space="0"/>
              <w:right w:val="single" w:color="auto" w:sz="4" w:space="0"/>
            </w:tcBorders>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综合审批</w:t>
            </w:r>
          </w:p>
        </w:tc>
        <w:tc>
          <w:tcPr>
            <w:tcW w:w="1559" w:type="dxa"/>
            <w:tcBorders>
              <w:left w:val="single" w:color="auto" w:sz="4" w:space="0"/>
            </w:tcBorders>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审批列表-数据筛选</w:t>
            </w:r>
          </w:p>
        </w:tc>
        <w:tc>
          <w:tcPr>
            <w:tcW w:w="5295"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支持排序选择下拉单选。创建时间近到远、创建时间远到近，默认为按照创建时间近到远。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right"/>
        </w:trPr>
        <w:tc>
          <w:tcPr>
            <w:tcW w:w="1559" w:type="dxa"/>
            <w:tcBorders>
              <w:left w:val="single" w:color="auto" w:sz="4" w:space="0"/>
              <w:right w:val="single" w:color="auto" w:sz="4" w:space="0"/>
            </w:tcBorders>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综合审批</w:t>
            </w:r>
          </w:p>
        </w:tc>
        <w:tc>
          <w:tcPr>
            <w:tcW w:w="1559" w:type="dxa"/>
            <w:tcBorders>
              <w:left w:val="single" w:color="auto" w:sz="4" w:space="0"/>
            </w:tcBorders>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批量审批服务</w:t>
            </w:r>
          </w:p>
        </w:tc>
        <w:tc>
          <w:tcPr>
            <w:tcW w:w="5295"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支持对待审批流程进行批量操作，人员选择批量审批时，可选择多个/全选待办流程进行批量审批通过。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right"/>
        </w:trPr>
        <w:tc>
          <w:tcPr>
            <w:tcW w:w="1559" w:type="dxa"/>
            <w:tcBorders>
              <w:left w:val="single" w:color="auto" w:sz="4" w:space="0"/>
              <w:right w:val="single" w:color="auto" w:sz="4" w:space="0"/>
            </w:tcBorders>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综合审批</w:t>
            </w:r>
          </w:p>
        </w:tc>
        <w:tc>
          <w:tcPr>
            <w:tcW w:w="1559" w:type="dxa"/>
            <w:tcBorders>
              <w:left w:val="single" w:color="auto" w:sz="4" w:space="0"/>
            </w:tcBorders>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审批详情页展示</w:t>
            </w:r>
          </w:p>
        </w:tc>
        <w:tc>
          <w:tcPr>
            <w:tcW w:w="5295"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审批信息展示，在审批详情页提供表单、表格、文件等3种类型的样式展示，可以根据第三方业务系统推送的审批业务数据在应用端封装后展示，统一前端页面样式和UI效果，灵活的展示页面元素信息。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right"/>
        </w:trPr>
        <w:tc>
          <w:tcPr>
            <w:tcW w:w="1559" w:type="dxa"/>
            <w:tcBorders>
              <w:left w:val="single" w:color="auto" w:sz="4" w:space="0"/>
              <w:right w:val="single" w:color="auto" w:sz="4" w:space="0"/>
            </w:tcBorders>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综合审批</w:t>
            </w:r>
          </w:p>
        </w:tc>
        <w:tc>
          <w:tcPr>
            <w:tcW w:w="1559" w:type="dxa"/>
            <w:tcBorders>
              <w:left w:val="single" w:color="auto" w:sz="4" w:space="0"/>
            </w:tcBorders>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审批详情页展示</w:t>
            </w:r>
          </w:p>
        </w:tc>
        <w:tc>
          <w:tcPr>
            <w:tcW w:w="5295"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流程跟踪展示，提供审批流程的历史审核记录查看组件，按照审批时间顺序展示审批流程跟踪进度，包括节点名称、审批人、审批时间、审批意见、审批状态等。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right"/>
        </w:trPr>
        <w:tc>
          <w:tcPr>
            <w:tcW w:w="1559" w:type="dxa"/>
            <w:tcBorders>
              <w:left w:val="single" w:color="auto" w:sz="4" w:space="0"/>
              <w:right w:val="single" w:color="auto" w:sz="4" w:space="0"/>
            </w:tcBorders>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综合审批</w:t>
            </w:r>
          </w:p>
        </w:tc>
        <w:tc>
          <w:tcPr>
            <w:tcW w:w="1559" w:type="dxa"/>
            <w:tcBorders>
              <w:left w:val="single" w:color="auto" w:sz="4" w:space="0"/>
            </w:tcBorders>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文件智能预览</w:t>
            </w:r>
          </w:p>
        </w:tc>
        <w:tc>
          <w:tcPr>
            <w:tcW w:w="5295"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支持从政务外网摆渡文件至互联网APP端进行展示，支持文档、图片等多种格式的文件在线预览，附件存在多个的时候，支持左右切换按钮，可切换展示上一份文件和下一份文件，无上一份文件/下一份文件时，对应切换按钮隐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right"/>
        </w:trPr>
        <w:tc>
          <w:tcPr>
            <w:tcW w:w="1559" w:type="dxa"/>
            <w:tcBorders>
              <w:left w:val="single" w:color="auto" w:sz="4" w:space="0"/>
              <w:right w:val="single" w:color="auto" w:sz="4" w:space="0"/>
            </w:tcBorders>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综合审批</w:t>
            </w:r>
          </w:p>
        </w:tc>
        <w:tc>
          <w:tcPr>
            <w:tcW w:w="1559" w:type="dxa"/>
            <w:tcBorders>
              <w:left w:val="single" w:color="auto" w:sz="4" w:space="0"/>
            </w:tcBorders>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文件智能预览</w:t>
            </w:r>
          </w:p>
        </w:tc>
        <w:tc>
          <w:tcPr>
            <w:tcW w:w="5295"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支持文件内容进行放大、缩小、1:1还原展示，放大/缩小范围为100%~200%，便于移动端阅读和进行文件批改。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right"/>
        </w:trPr>
        <w:tc>
          <w:tcPr>
            <w:tcW w:w="1559" w:type="dxa"/>
            <w:tcBorders>
              <w:left w:val="single" w:color="auto" w:sz="4" w:space="0"/>
              <w:right w:val="single" w:color="auto" w:sz="4" w:space="0"/>
            </w:tcBorders>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综合审批</w:t>
            </w:r>
          </w:p>
        </w:tc>
        <w:tc>
          <w:tcPr>
            <w:tcW w:w="1559" w:type="dxa"/>
            <w:tcBorders>
              <w:left w:val="single" w:color="auto" w:sz="4" w:space="0"/>
            </w:tcBorders>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手写批改</w:t>
            </w:r>
          </w:p>
        </w:tc>
        <w:tc>
          <w:tcPr>
            <w:tcW w:w="5295"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保留用户传统手写和阅读习惯，正文文档和附件文档支持手写笔在文档的任意位置进行任意的圈画操作，记录用户的圈画痕迹，并以pdf格式文件保留，手写签批后的文档和原有文档独立存储互不影响。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right"/>
        </w:trPr>
        <w:tc>
          <w:tcPr>
            <w:tcW w:w="1559" w:type="dxa"/>
            <w:tcBorders>
              <w:left w:val="single" w:color="auto" w:sz="4" w:space="0"/>
              <w:right w:val="single" w:color="auto" w:sz="4" w:space="0"/>
            </w:tcBorders>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综合审批</w:t>
            </w:r>
          </w:p>
        </w:tc>
        <w:tc>
          <w:tcPr>
            <w:tcW w:w="1559" w:type="dxa"/>
            <w:tcBorders>
              <w:left w:val="single" w:color="auto" w:sz="4" w:space="0"/>
            </w:tcBorders>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手写批改</w:t>
            </w:r>
          </w:p>
        </w:tc>
        <w:tc>
          <w:tcPr>
            <w:tcW w:w="5295"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圈注文件独立形成业务流程附件，以补充的方式作为流程附件一部分跟随业务流转，提供统一的政务外网存储和摆渡功能实现圈注文件的保存和查看。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right"/>
        </w:trPr>
        <w:tc>
          <w:tcPr>
            <w:tcW w:w="1559" w:type="dxa"/>
            <w:tcBorders>
              <w:left w:val="single" w:color="auto" w:sz="4" w:space="0"/>
              <w:right w:val="single" w:color="auto" w:sz="4" w:space="0"/>
            </w:tcBorders>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综合审批</w:t>
            </w:r>
          </w:p>
        </w:tc>
        <w:tc>
          <w:tcPr>
            <w:tcW w:w="1559" w:type="dxa"/>
            <w:tcBorders>
              <w:left w:val="single" w:color="auto" w:sz="4" w:space="0"/>
            </w:tcBorders>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在线审批</w:t>
            </w:r>
          </w:p>
        </w:tc>
        <w:tc>
          <w:tcPr>
            <w:tcW w:w="5295"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审批结果选择。接入方可在流程接入时自行配置审批结果，在在线审批时，可选择配置审批结果；配置“审批通过”结果，同意该流程继续选择下一审批人进行提交。配置“审批不通过”结果，审批不同意且结束该流程。配置“退回”结果，可自行选择退回至指定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right"/>
        </w:trPr>
        <w:tc>
          <w:tcPr>
            <w:tcW w:w="1559" w:type="dxa"/>
            <w:tcBorders>
              <w:left w:val="single" w:color="auto" w:sz="4" w:space="0"/>
              <w:right w:val="single" w:color="auto" w:sz="4" w:space="0"/>
            </w:tcBorders>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综合审批</w:t>
            </w:r>
          </w:p>
        </w:tc>
        <w:tc>
          <w:tcPr>
            <w:tcW w:w="1559" w:type="dxa"/>
            <w:tcBorders>
              <w:left w:val="single" w:color="auto" w:sz="4" w:space="0"/>
            </w:tcBorders>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在线审批</w:t>
            </w:r>
          </w:p>
        </w:tc>
        <w:tc>
          <w:tcPr>
            <w:tcW w:w="5295"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审批意见录入配置支持多种方式的审批意见录入，接入方可在流程接入时自行配置审批意见录入方式，在在线审批时，根据配置进行意见录入。</w:t>
            </w:r>
          </w:p>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文字录入方式支持文字输入，也可以配合常用语服务在文本框范围进行审批意见文字录入。</w:t>
            </w:r>
          </w:p>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手写录入方式配合手写笔在手写输入框范围录入并提交手写笔迹，另存为图片形式文件。</w:t>
            </w:r>
          </w:p>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已录入的审核意见信息支持一键清除功能。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right"/>
        </w:trPr>
        <w:tc>
          <w:tcPr>
            <w:tcW w:w="1559" w:type="dxa"/>
            <w:tcBorders>
              <w:left w:val="single" w:color="auto" w:sz="4" w:space="0"/>
              <w:right w:val="single" w:color="auto" w:sz="4" w:space="0"/>
            </w:tcBorders>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综合审批</w:t>
            </w:r>
          </w:p>
        </w:tc>
        <w:tc>
          <w:tcPr>
            <w:tcW w:w="1559" w:type="dxa"/>
            <w:tcBorders>
              <w:left w:val="single" w:color="auto" w:sz="4" w:space="0"/>
            </w:tcBorders>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在线审批</w:t>
            </w:r>
          </w:p>
        </w:tc>
        <w:tc>
          <w:tcPr>
            <w:tcW w:w="5295"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审批人配置和选择，接入方可在流程接入时自行配置审批人列表，支持对不同的审批结果获取对应的不同审批节点人员获取并展示，在在线审批时，可根据配置的列表进行审批人选择。</w:t>
            </w:r>
          </w:p>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审批人配置，根据业务配置，支持选择单人、选择多人等，人员支持输入关键词进行筛选，已选择的审批人，支持“重置”进行快速清空。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right"/>
        </w:trPr>
        <w:tc>
          <w:tcPr>
            <w:tcW w:w="1559" w:type="dxa"/>
            <w:tcBorders>
              <w:left w:val="single" w:color="auto" w:sz="4" w:space="0"/>
              <w:bottom w:val="single" w:color="auto" w:sz="4" w:space="0"/>
              <w:right w:val="single" w:color="auto" w:sz="4" w:space="0"/>
            </w:tcBorders>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综合审批</w:t>
            </w:r>
          </w:p>
        </w:tc>
        <w:tc>
          <w:tcPr>
            <w:tcW w:w="1559" w:type="dxa"/>
            <w:tcBorders>
              <w:left w:val="single" w:color="auto" w:sz="4" w:space="0"/>
            </w:tcBorders>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常用语服务</w:t>
            </w:r>
          </w:p>
        </w:tc>
        <w:tc>
          <w:tcPr>
            <w:tcW w:w="5295"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提供可配置的常用语服务，统一对外提供审批流程中涉及的常用语，可在线进行常用语的新增、删除、搜索等操作，支持选择常用语后回填审核意见框内。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right"/>
        </w:trPr>
        <w:tc>
          <w:tcPr>
            <w:tcW w:w="1559" w:type="dxa"/>
            <w:tcBorders>
              <w:left w:val="single" w:color="auto" w:sz="4" w:space="0"/>
              <w:right w:val="single" w:color="auto" w:sz="4" w:space="0"/>
            </w:tcBorders>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综合审批</w:t>
            </w:r>
          </w:p>
        </w:tc>
        <w:tc>
          <w:tcPr>
            <w:tcW w:w="1559" w:type="dxa"/>
            <w:tcBorders>
              <w:left w:val="single" w:color="auto" w:sz="4" w:space="0"/>
            </w:tcBorders>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审批结果撤回</w:t>
            </w:r>
          </w:p>
        </w:tc>
        <w:tc>
          <w:tcPr>
            <w:tcW w:w="5295"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对于当前人已提交的审批记录，下一流程审批人还未审批时，审批人可在线进行撤回，撤回后可重新进行在线审批。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right"/>
        </w:trPr>
        <w:tc>
          <w:tcPr>
            <w:tcW w:w="1559" w:type="dxa"/>
            <w:tcBorders>
              <w:left w:val="single" w:color="auto" w:sz="4" w:space="0"/>
              <w:right w:val="single" w:color="auto" w:sz="4" w:space="0"/>
            </w:tcBorders>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综合审批</w:t>
            </w:r>
          </w:p>
        </w:tc>
        <w:tc>
          <w:tcPr>
            <w:tcW w:w="1559" w:type="dxa"/>
            <w:tcBorders>
              <w:left w:val="single" w:color="auto" w:sz="4" w:space="0"/>
            </w:tcBorders>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综合审批流程接入统一接口提供</w:t>
            </w:r>
          </w:p>
        </w:tc>
        <w:tc>
          <w:tcPr>
            <w:tcW w:w="5295"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提供综合审批的统一对接方案和接口，支持其他接入方的审批流程接入。获取Token接口，基于时间戳的token生成算法，接入方在数据接入时需要提供token信息进行验证，保证通用接口被安全访问。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right"/>
        </w:trPr>
        <w:tc>
          <w:tcPr>
            <w:tcW w:w="1559" w:type="dxa"/>
            <w:tcBorders>
              <w:left w:val="single" w:color="auto" w:sz="4" w:space="0"/>
              <w:right w:val="single" w:color="auto" w:sz="4" w:space="0"/>
            </w:tcBorders>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综合审批</w:t>
            </w:r>
          </w:p>
        </w:tc>
        <w:tc>
          <w:tcPr>
            <w:tcW w:w="1559" w:type="dxa"/>
            <w:tcBorders>
              <w:left w:val="single" w:color="auto" w:sz="4" w:space="0"/>
            </w:tcBorders>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综合审批流程接入统一接口提供</w:t>
            </w:r>
          </w:p>
        </w:tc>
        <w:tc>
          <w:tcPr>
            <w:tcW w:w="5295"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推送节点信息接口，可以获取接入方提交的审批任务信息，对应展示在待审批列表下，点击待办任务可查看对应审批详情信息。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right"/>
        </w:trPr>
        <w:tc>
          <w:tcPr>
            <w:tcW w:w="1559" w:type="dxa"/>
            <w:tcBorders>
              <w:left w:val="single" w:color="auto" w:sz="4" w:space="0"/>
              <w:right w:val="single" w:color="auto" w:sz="4" w:space="0"/>
            </w:tcBorders>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综合审批</w:t>
            </w:r>
          </w:p>
        </w:tc>
        <w:tc>
          <w:tcPr>
            <w:tcW w:w="1559" w:type="dxa"/>
            <w:tcBorders>
              <w:left w:val="single" w:color="auto" w:sz="4" w:space="0"/>
            </w:tcBorders>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综合审批流程接入统一接口提供</w:t>
            </w:r>
          </w:p>
        </w:tc>
        <w:tc>
          <w:tcPr>
            <w:tcW w:w="5295"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获取审批详情页信息，通过此接口可以获取审批详情页信息，包含审批信息和流程跟踪信息，获取后展示在详情页面内。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right"/>
        </w:trPr>
        <w:tc>
          <w:tcPr>
            <w:tcW w:w="1559" w:type="dxa"/>
            <w:tcBorders>
              <w:left w:val="single" w:color="auto" w:sz="4" w:space="0"/>
              <w:right w:val="single" w:color="auto" w:sz="4" w:space="0"/>
            </w:tcBorders>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综合审批</w:t>
            </w:r>
          </w:p>
        </w:tc>
        <w:tc>
          <w:tcPr>
            <w:tcW w:w="1559" w:type="dxa"/>
            <w:tcBorders>
              <w:left w:val="single" w:color="auto" w:sz="4" w:space="0"/>
            </w:tcBorders>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综合审批流程接入统一接口提供</w:t>
            </w:r>
          </w:p>
        </w:tc>
        <w:tc>
          <w:tcPr>
            <w:tcW w:w="5295"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获取文件目录信息，支持通过审批任务关联获取文件结构信息，支持获取信息包含流程实例编号、目录编码、目录名称、目录编号、子目录、文件列表、目录编码、附件名称、附件类型、附件大小、下载地址。根据获取信息可以对文件进行多级展示，兼容各业务系统有多级文件展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right"/>
        </w:trPr>
        <w:tc>
          <w:tcPr>
            <w:tcW w:w="1559" w:type="dxa"/>
            <w:tcBorders>
              <w:left w:val="single" w:color="auto" w:sz="4" w:space="0"/>
              <w:right w:val="single" w:color="auto" w:sz="4" w:space="0"/>
            </w:tcBorders>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综合审批</w:t>
            </w:r>
          </w:p>
        </w:tc>
        <w:tc>
          <w:tcPr>
            <w:tcW w:w="1559" w:type="dxa"/>
            <w:tcBorders>
              <w:left w:val="single" w:color="auto" w:sz="4" w:space="0"/>
            </w:tcBorders>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综合审批流程接入统一接口提供</w:t>
            </w:r>
          </w:p>
        </w:tc>
        <w:tc>
          <w:tcPr>
            <w:tcW w:w="5295"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获取下一个审批人的接口，审批人在在线审批页面，可选择下一环节的审批人，综合审批中心可使用此接口获取到取下一审批人清单并在页面上进行展示。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right"/>
        </w:trPr>
        <w:tc>
          <w:tcPr>
            <w:tcW w:w="1559" w:type="dxa"/>
            <w:tcBorders>
              <w:left w:val="single" w:color="auto" w:sz="4" w:space="0"/>
              <w:right w:val="single" w:color="auto" w:sz="4" w:space="0"/>
            </w:tcBorders>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综合审批</w:t>
            </w:r>
          </w:p>
        </w:tc>
        <w:tc>
          <w:tcPr>
            <w:tcW w:w="1559" w:type="dxa"/>
            <w:tcBorders>
              <w:left w:val="single" w:color="auto" w:sz="4" w:space="0"/>
            </w:tcBorders>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综合审批流程接入统一接口提供</w:t>
            </w:r>
          </w:p>
        </w:tc>
        <w:tc>
          <w:tcPr>
            <w:tcW w:w="5295"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同步审批结果，审批人在审批中心审批完成后，可通过此接口将审批结果同步到接入方，包含下一审批人信息、审批结果、审批意见、手写审批意见、审批时间等字段。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right"/>
        </w:trPr>
        <w:tc>
          <w:tcPr>
            <w:tcW w:w="1559" w:type="dxa"/>
            <w:tcBorders>
              <w:left w:val="single" w:color="auto" w:sz="4" w:space="0"/>
              <w:bottom w:val="single" w:color="auto" w:sz="4" w:space="0"/>
              <w:right w:val="single" w:color="auto" w:sz="4" w:space="0"/>
            </w:tcBorders>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综合审批</w:t>
            </w:r>
          </w:p>
        </w:tc>
        <w:tc>
          <w:tcPr>
            <w:tcW w:w="1559" w:type="dxa"/>
            <w:tcBorders>
              <w:left w:val="single" w:color="auto" w:sz="4" w:space="0"/>
            </w:tcBorders>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综合审批流程接入统一接口提供</w:t>
            </w:r>
          </w:p>
        </w:tc>
        <w:tc>
          <w:tcPr>
            <w:tcW w:w="5295"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更新审批结论接口，可以更新指定审批任务节点的审批结论、审批意见等信息，审批完成后该审批任务展示在已完成列表下。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right"/>
        </w:trPr>
        <w:tc>
          <w:tcPr>
            <w:tcW w:w="1559" w:type="dxa"/>
            <w:tcBorders>
              <w:left w:val="single" w:color="auto" w:sz="4" w:space="0"/>
              <w:bottom w:val="single" w:color="auto" w:sz="4" w:space="0"/>
              <w:right w:val="single" w:color="auto" w:sz="4" w:space="0"/>
            </w:tcBorders>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综合审批</w:t>
            </w:r>
          </w:p>
        </w:tc>
        <w:tc>
          <w:tcPr>
            <w:tcW w:w="1559" w:type="dxa"/>
            <w:tcBorders>
              <w:left w:val="single" w:color="auto" w:sz="4" w:space="0"/>
            </w:tcBorders>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综合审批流程接入统一接口提供</w:t>
            </w:r>
          </w:p>
        </w:tc>
        <w:tc>
          <w:tcPr>
            <w:tcW w:w="5295"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修改节点信息接口，在审批完成后根据审批结论更新审批节点，更新后的节点变化展示在详情页的流程跟踪页面内。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right"/>
        </w:trPr>
        <w:tc>
          <w:tcPr>
            <w:tcW w:w="1559" w:type="dxa"/>
            <w:tcBorders>
              <w:left w:val="single" w:color="auto" w:sz="4" w:space="0"/>
              <w:bottom w:val="single" w:color="auto" w:sz="4" w:space="0"/>
              <w:right w:val="single" w:color="auto" w:sz="4" w:space="0"/>
            </w:tcBorders>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综合审批</w:t>
            </w:r>
          </w:p>
        </w:tc>
        <w:tc>
          <w:tcPr>
            <w:tcW w:w="1559" w:type="dxa"/>
            <w:tcBorders>
              <w:left w:val="single" w:color="auto" w:sz="4" w:space="0"/>
            </w:tcBorders>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综合审批流程接入统一接口提供</w:t>
            </w:r>
          </w:p>
        </w:tc>
        <w:tc>
          <w:tcPr>
            <w:tcW w:w="5295"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提供删除节点信息接口，提供对外统一的节点信息删除接口，支持在下一节点未审批时，撤回自己的审批结果。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right"/>
        </w:trPr>
        <w:tc>
          <w:tcPr>
            <w:tcW w:w="1559" w:type="dxa"/>
            <w:tcBorders>
              <w:left w:val="single" w:color="auto" w:sz="4" w:space="0"/>
              <w:bottom w:val="single" w:color="auto" w:sz="4" w:space="0"/>
              <w:right w:val="single" w:color="auto" w:sz="4" w:space="0"/>
            </w:tcBorders>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综合审批</w:t>
            </w:r>
          </w:p>
        </w:tc>
        <w:tc>
          <w:tcPr>
            <w:tcW w:w="1559" w:type="dxa"/>
            <w:tcBorders>
              <w:left w:val="single" w:color="auto" w:sz="4" w:space="0"/>
            </w:tcBorders>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综合审批流程接入统一接口提供</w:t>
            </w:r>
          </w:p>
        </w:tc>
        <w:tc>
          <w:tcPr>
            <w:tcW w:w="5295"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提供文件上传接口，支持在业务流程中在政务外网下的指定文件夹下上传业务文件，作为新增附件随流程流转，配合统一的文件摆渡功能同步至政务外网进行存储和预览。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right"/>
        </w:trPr>
        <w:tc>
          <w:tcPr>
            <w:tcW w:w="1559" w:type="dxa"/>
            <w:tcBorders>
              <w:left w:val="single" w:color="auto" w:sz="4" w:space="0"/>
              <w:bottom w:val="single" w:color="auto" w:sz="4" w:space="0"/>
              <w:right w:val="single" w:color="auto" w:sz="4" w:space="0"/>
            </w:tcBorders>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综合审批</w:t>
            </w:r>
          </w:p>
        </w:tc>
        <w:tc>
          <w:tcPr>
            <w:tcW w:w="1559" w:type="dxa"/>
            <w:tcBorders>
              <w:left w:val="single" w:color="auto" w:sz="4" w:space="0"/>
            </w:tcBorders>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综合审批流程接入统一接口提供</w:t>
            </w:r>
          </w:p>
        </w:tc>
        <w:tc>
          <w:tcPr>
            <w:tcW w:w="5295"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实现删除审批人待审批信息，提供待审批任务删除接口，接入方可根据审批人和流程实例主动删除待审批信息。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right"/>
        </w:trPr>
        <w:tc>
          <w:tcPr>
            <w:tcW w:w="1559" w:type="dxa"/>
            <w:tcBorders>
              <w:left w:val="single" w:color="auto" w:sz="4" w:space="0"/>
              <w:bottom w:val="single" w:color="auto" w:sz="4" w:space="0"/>
              <w:right w:val="single" w:color="auto" w:sz="4" w:space="0"/>
            </w:tcBorders>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综合审批</w:t>
            </w:r>
          </w:p>
        </w:tc>
        <w:tc>
          <w:tcPr>
            <w:tcW w:w="1559" w:type="dxa"/>
            <w:tcBorders>
              <w:left w:val="single" w:color="auto" w:sz="4" w:space="0"/>
            </w:tcBorders>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综合审批流程接入统一接口提供</w:t>
            </w:r>
          </w:p>
        </w:tc>
        <w:tc>
          <w:tcPr>
            <w:tcW w:w="5295"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提供文件删除接口，支持在业务流程中删除指定文件下的指定文件，并将操作结果同步至各业务侧，推送最新的附件列表数据。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right"/>
        </w:trPr>
        <w:tc>
          <w:tcPr>
            <w:tcW w:w="1559" w:type="dxa"/>
            <w:tcBorders>
              <w:top w:val="single" w:color="auto" w:sz="4" w:space="0"/>
            </w:tcBorders>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干部离沪报告</w:t>
            </w:r>
          </w:p>
        </w:tc>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新增离沪-本人申请</w:t>
            </w:r>
          </w:p>
        </w:tc>
        <w:tc>
          <w:tcPr>
            <w:tcW w:w="5295"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支持院领导本人在APP上发起本人离沪申请和审批。审批单内容包含：外出人姓名、外出人职务、外出人单位、外出目的地、外出事由、外出时间、备注和审批流程信息展示，并提交领导进行审批。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right"/>
        </w:trPr>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干部离沪报告</w:t>
            </w:r>
          </w:p>
        </w:tc>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新增离沪-本人申请</w:t>
            </w:r>
          </w:p>
        </w:tc>
        <w:tc>
          <w:tcPr>
            <w:tcW w:w="5295"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离沪报告提交后，推送审批流程数据到综合审批中心，支持审批人在综合审批页面进行审批。并且推送到APP的角标提醒服务，支持审批人在APP内接收待办消息通知和待办数字角标更新展示。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right"/>
        </w:trPr>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干部离沪报告</w:t>
            </w:r>
          </w:p>
        </w:tc>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离沪审批流程配置</w:t>
            </w:r>
          </w:p>
        </w:tc>
        <w:tc>
          <w:tcPr>
            <w:tcW w:w="5295"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中基层院院长离沪报告审批流程配置，通过上下级法院的数据交互，实现中基层院院长离沪的全流程线上流转。</w:t>
            </w:r>
          </w:p>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本人申请，中基层院院长本人申请-高院政治部主任-高院常务-高院院长。</w:t>
            </w:r>
          </w:p>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机要秘书代院长申请，机要秘书-本院办公室主任/副主任-本院院长-高院政治部主任-高院常务-高院院长。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right"/>
        </w:trPr>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干部离沪报告</w:t>
            </w:r>
          </w:p>
        </w:tc>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离沪审批流程配置</w:t>
            </w:r>
          </w:p>
        </w:tc>
        <w:tc>
          <w:tcPr>
            <w:tcW w:w="5295"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全市法院除院长外的院领导离沪报告审批流程配置。</w:t>
            </w:r>
          </w:p>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本人申请，院领导本人申请-本院院长审批。</w:t>
            </w:r>
          </w:p>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机要秘书代院领导申请，机要秘书-院领导（代提交的实际外出人）-本院院长审批。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right"/>
        </w:trPr>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干部离沪报告</w:t>
            </w:r>
          </w:p>
        </w:tc>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我的申请</w:t>
            </w:r>
          </w:p>
        </w:tc>
        <w:tc>
          <w:tcPr>
            <w:tcW w:w="5295"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支持查看本人申请/本人代人申请的全部申请记录，用户提交离沪报告申请后可生成一条申请历史记录，在我的申请页面，可查看审批状态、申请单详情等。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right"/>
        </w:trPr>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干部离沪报告</w:t>
            </w:r>
          </w:p>
        </w:tc>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取消离沪申请</w:t>
            </w:r>
          </w:p>
        </w:tc>
        <w:tc>
          <w:tcPr>
            <w:tcW w:w="5295"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申请单状态为“审核中”且外出人为中基层法院人员而当前审批节点人员单位为“上海高级人民法院”时，配置申请人可申请取消离沪或变更离沪信息等流程，申请人可发起取消离沪流程，录入取消原因，状态变更为取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right"/>
        </w:trPr>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干部离沪报告</w:t>
            </w:r>
          </w:p>
        </w:tc>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变更离沪申请</w:t>
            </w:r>
          </w:p>
        </w:tc>
        <w:tc>
          <w:tcPr>
            <w:tcW w:w="5295"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申请单状态为“审核中”且外出人为中基层法院人员而当前审批节点人员单位为“上海高级人民法院”时，配置申请人可申请变更离沪信息流程，申请人可发起修改离沪流程，录入修改原因，然后可修改之前录入的申请信息重新发起离沪申请，由领导进行审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right"/>
        </w:trPr>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干部离沪报告</w:t>
            </w:r>
          </w:p>
        </w:tc>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申请记录查看</w:t>
            </w:r>
          </w:p>
        </w:tc>
        <w:tc>
          <w:tcPr>
            <w:tcW w:w="5295"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配置不同范围的管理员角色，根据配置的权限范围可查看本院或本市范围的数据，申请记录可查看所有人员发起的申请记录清单，及对应的状态。状态包含待提交、审核中、已通过、未通过、已终止。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right"/>
        </w:trPr>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干部离沪报告</w:t>
            </w:r>
          </w:p>
        </w:tc>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申请记录查看</w:t>
            </w:r>
          </w:p>
        </w:tc>
        <w:tc>
          <w:tcPr>
            <w:tcW w:w="5295"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法院筛选，根据登录人员权限，判断可查看的数据范围，全市管理员可查看全市法院的数据，下拉单选，默认选中全部法院，下拉展示全市所欲法院清单，支持选择其他法院。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right"/>
        </w:trPr>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干部离沪报告</w:t>
            </w:r>
          </w:p>
        </w:tc>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申请记录查看</w:t>
            </w:r>
          </w:p>
        </w:tc>
        <w:tc>
          <w:tcPr>
            <w:tcW w:w="5295"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部门筛选，根据登录人员权限，判断可查看的部门范围，下拉单选，默认选中全部部门，下拉展示所有部门名称，支持选择其他部门。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right"/>
        </w:trPr>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干部离沪报告</w:t>
            </w:r>
          </w:p>
        </w:tc>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申请记录查看</w:t>
            </w:r>
          </w:p>
        </w:tc>
        <w:tc>
          <w:tcPr>
            <w:tcW w:w="5295"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申请类型筛选支持类型选择，下拉多选，默认展示所有类型并选中，可以对选中类型进行变更，剔除不需要筛选的类型。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right"/>
        </w:trPr>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干部离沪报告</w:t>
            </w:r>
          </w:p>
        </w:tc>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离沪审批结果提醒</w:t>
            </w:r>
          </w:p>
        </w:tc>
        <w:tc>
          <w:tcPr>
            <w:tcW w:w="5295"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审批人在综合审批中心审批通过后，需要同步审批结果至离沪报告模块，对应审批流程的状态同步更新展示。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right"/>
        </w:trPr>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干部离沪报告</w:t>
            </w:r>
          </w:p>
        </w:tc>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离沪审批结果提醒</w:t>
            </w:r>
          </w:p>
        </w:tc>
        <w:tc>
          <w:tcPr>
            <w:tcW w:w="5295"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离沪审批流程结束后，需要通过APP的消息中心通知到发起人和外出人，告知审批结果，审批结果包含：审批通过、审批不通过。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right"/>
        </w:trPr>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智慧行装</w:t>
            </w:r>
          </w:p>
        </w:tc>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客饭预订-新增预订</w:t>
            </w:r>
          </w:p>
        </w:tc>
        <w:tc>
          <w:tcPr>
            <w:tcW w:w="5295"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高院人员可在客饭预订子模块提交客饭预订或加班餐预订的信息，支持选择不同的客饭标准，录入就餐人员姓名、就餐时间等信息后提交由部门领导和行装领导进行审批，并生成一条订单记录。</w:t>
            </w:r>
          </w:p>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提交时需要和后勤管理系统进行交互校验，校验不通过时需要即时提醒用户。</w:t>
            </w:r>
          </w:p>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1）预订时间校验：工作日和非工作日的预订时间做不同校验。</w:t>
            </w:r>
          </w:p>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2）预订份数校验：个人重复预订和部门每日10份限制校验。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right"/>
        </w:trPr>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智慧行装</w:t>
            </w:r>
          </w:p>
        </w:tc>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客饭预订-订单管理</w:t>
            </w:r>
          </w:p>
        </w:tc>
        <w:tc>
          <w:tcPr>
            <w:tcW w:w="5295"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支持查看自己在政务外网PC端和移动端提交的全部客饭预订订单记录，可查看订单当前审批状态、订单详情等，也可取消订单。订单状态包含已取消、待部门审核、待行装审核、已完成、部门审核不通过、行装审核不通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right"/>
        </w:trPr>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智慧行装</w:t>
            </w:r>
          </w:p>
        </w:tc>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客饭预订-订单管理</w:t>
            </w:r>
          </w:p>
        </w:tc>
        <w:tc>
          <w:tcPr>
            <w:tcW w:w="5295"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支持预订时间筛选，默认展示近一周的预订数据，可以对选中时间进行变更，剔除不需要筛选的类型，可以对选择的时间增加控制。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right"/>
        </w:trPr>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智慧行装</w:t>
            </w:r>
          </w:p>
        </w:tc>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咖吧预约-新增预订</w:t>
            </w:r>
          </w:p>
        </w:tc>
        <w:tc>
          <w:tcPr>
            <w:tcW w:w="5295"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提供咖吧招待的预约。支持选择招待类型：茶水、咖啡，选择招待人员、招待时间等信息后提交由部门领导和行装领导进行审批，并生成一条订单记录。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right"/>
        </w:trPr>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智慧行装</w:t>
            </w:r>
          </w:p>
        </w:tc>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咖吧预约-订单管理</w:t>
            </w:r>
          </w:p>
        </w:tc>
        <w:tc>
          <w:tcPr>
            <w:tcW w:w="5295"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支持查看自己在政务外网PC端和移动端提交的全部咖吧预约订单记录，可查看订单当前审批状态、订单详情等，也可取消订单。订单状态包含已取消、待部门审核、待行装审核、已完成、部门审核不通过、行装审核不通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right"/>
        </w:trPr>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智慧行装</w:t>
            </w:r>
          </w:p>
        </w:tc>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咖吧预约-订单管理</w:t>
            </w:r>
          </w:p>
        </w:tc>
        <w:tc>
          <w:tcPr>
            <w:tcW w:w="5295"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支持预订时间筛选：日期控件，默认展示近一周的预订数据，可以对选中时间进行变更，剔除不需要筛选的类型，可以对选择的时间增加控制，如不能选择未来日期等。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right"/>
        </w:trPr>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智慧行装</w:t>
            </w:r>
          </w:p>
        </w:tc>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网上订餐-订餐信息发布</w:t>
            </w:r>
          </w:p>
        </w:tc>
        <w:tc>
          <w:tcPr>
            <w:tcW w:w="5295"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支持人员在订单信息发布模块发布可预订的餐品信息。餐品信息包含餐品类型、可预订时间、可领餐时间、产品名称、单价，可预订份数、计价单位等信息。</w:t>
            </w:r>
          </w:p>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在移动端新增和修改后的订餐信息支持同步至政务外网的PC端进行同步展示。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right"/>
        </w:trPr>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智慧行装</w:t>
            </w:r>
          </w:p>
        </w:tc>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网上订餐-订餐发布记录</w:t>
            </w:r>
          </w:p>
        </w:tc>
        <w:tc>
          <w:tcPr>
            <w:tcW w:w="5295"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支持查看自己在政务外网PC端和移动端提交的全部订餐发布历史记录，提交后的订餐信息历史记录支持在预订之前进行修改。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right"/>
        </w:trPr>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智慧行装</w:t>
            </w:r>
          </w:p>
        </w:tc>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网上订餐-新增预订</w:t>
            </w:r>
          </w:p>
        </w:tc>
        <w:tc>
          <w:tcPr>
            <w:tcW w:w="5295"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展示通过政务外网的后勤管理系统PC端和移动端提交的所有可预订的订餐发布信息。支持高院人员根据发布的可预订信息提交预订份数，同时增加校验，每种菜品仅可支持预订一份。预订时支持查看饭卡余额，没有余额时不允许提交订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right"/>
        </w:trPr>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智慧行装</w:t>
            </w:r>
          </w:p>
        </w:tc>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网上订餐-订单管理</w:t>
            </w:r>
          </w:p>
        </w:tc>
        <w:tc>
          <w:tcPr>
            <w:tcW w:w="5295"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支持查看自己在政务外网PC端和移动端提交的全部网上订餐的订单记录，并且可进行预订份数的修改。修改后的信息同步至政务外网的后勤管理系统PC端。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right"/>
        </w:trPr>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智慧行装</w:t>
            </w:r>
          </w:p>
        </w:tc>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网上订餐-订单管理</w:t>
            </w:r>
          </w:p>
        </w:tc>
        <w:tc>
          <w:tcPr>
            <w:tcW w:w="5295"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支持预订时间筛选，默认展示近一周的预订数据，可以对选中时间进行变更，剔除不需要筛选的类型，可以对选择的时间增加控制。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right"/>
        </w:trPr>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智慧行装</w:t>
            </w:r>
          </w:p>
        </w:tc>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网上订餐-订单管理</w:t>
            </w:r>
          </w:p>
        </w:tc>
        <w:tc>
          <w:tcPr>
            <w:tcW w:w="5295"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支持领餐时间筛选，默认展示近一周的预订数据，可以对选中时间进行变更，剔除不需要筛选的类型，可以对选择的时间增加控制。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right"/>
        </w:trPr>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智慧行装</w:t>
            </w:r>
          </w:p>
        </w:tc>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值班管理-入口</w:t>
            </w:r>
          </w:p>
        </w:tc>
        <w:tc>
          <w:tcPr>
            <w:tcW w:w="5295"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提供值班管理统一入口，包含签到情况表、值班表及本周值班表，可了解不同法院、人员类型、签到时间及事务情况。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right"/>
        </w:trPr>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智慧行装</w:t>
            </w:r>
          </w:p>
        </w:tc>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值班管理-签到情况表</w:t>
            </w:r>
          </w:p>
        </w:tc>
        <w:tc>
          <w:tcPr>
            <w:tcW w:w="5295"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提供签到情况表，登录人身份不同所展示的列表不同，如基层法院普通干警看不了“院领导”签到信息（即展示内容时忽略院领导的事务填报情况）；基层法院普通干警看不了非所属法院的签到情况信息。“晚上”班次相较于现状增加“院领导”人员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right"/>
        </w:trPr>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智慧行装</w:t>
            </w:r>
          </w:p>
        </w:tc>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值班管理-值班表</w:t>
            </w:r>
          </w:p>
        </w:tc>
        <w:tc>
          <w:tcPr>
            <w:tcW w:w="5295"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支持通过日期展示对应日期签到情况，包括法院、值班日期、值班类型、人员类型、值班人员等信息项，同时支持对值班人员信息的修改和保存。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right"/>
        </w:trPr>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智慧行装</w:t>
            </w:r>
          </w:p>
        </w:tc>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值班管理-代为签到</w:t>
            </w:r>
          </w:p>
        </w:tc>
        <w:tc>
          <w:tcPr>
            <w:tcW w:w="5295"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提供代为签到功能，通过值班日期、值班类型及值班人员姓名的选择，完成对相关联人员的值班签到的工作。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right"/>
        </w:trPr>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智慧行装</w:t>
            </w:r>
          </w:p>
        </w:tc>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工作日程</w:t>
            </w:r>
          </w:p>
        </w:tc>
        <w:tc>
          <w:tcPr>
            <w:tcW w:w="5295"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支持干警进行查看日程排期情况，新增日程、修改日程、删除日程、日程分享等操作。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right"/>
        </w:trPr>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智慧行装</w:t>
            </w:r>
          </w:p>
        </w:tc>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一周菜谱</w:t>
            </w:r>
          </w:p>
        </w:tc>
        <w:tc>
          <w:tcPr>
            <w:tcW w:w="5295"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显示当前周从周一到周日的菜谱内容，可查询一周菜谱信息并支持查看下一周或上一周的菜谱信息，包括早餐、午餐及晚餐。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right"/>
        </w:trPr>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智慧行装</w:t>
            </w:r>
          </w:p>
        </w:tc>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订水管理-订水申请</w:t>
            </w:r>
          </w:p>
        </w:tc>
        <w:tc>
          <w:tcPr>
            <w:tcW w:w="5295"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新增网上订水功能，支持干警在移动端进行网上订水申请，通过对申请人员、申请部门、房间编号、分机号、申请时间、桶装水类型等信息项的选择，精准服务干警关于桶装水的申请。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right"/>
        </w:trPr>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智慧行装</w:t>
            </w:r>
          </w:p>
        </w:tc>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订水管理-订水申请变更</w:t>
            </w:r>
          </w:p>
        </w:tc>
        <w:tc>
          <w:tcPr>
            <w:tcW w:w="5295"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在订单配送开始前，可对订水时间和桶装水类型进行取消和变更。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right"/>
        </w:trPr>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智慧行装</w:t>
            </w:r>
          </w:p>
        </w:tc>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订水管理-订水详情</w:t>
            </w:r>
          </w:p>
        </w:tc>
        <w:tc>
          <w:tcPr>
            <w:tcW w:w="5295"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提交订水申请后，支持查看本人历史订水记录，查看订水信息，包括申请人员、申请部门、房间编号、分机号、申请时间、桶装水类型等信息项。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right"/>
        </w:trPr>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智慧行装</w:t>
            </w:r>
          </w:p>
        </w:tc>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洗衣服管理-洗衣申请</w:t>
            </w:r>
          </w:p>
        </w:tc>
        <w:tc>
          <w:tcPr>
            <w:tcW w:w="5295"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新增洗衣管理功能，支持干警在移动端进行洗衣申请，通过对申请人员、申请部门、申请时间、洗衣类型等信息项的选择，精准服务干警洗衣服务。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right"/>
        </w:trPr>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智慧行装</w:t>
            </w:r>
          </w:p>
        </w:tc>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洗衣服管理-洗衣申请变更</w:t>
            </w:r>
          </w:p>
        </w:tc>
        <w:tc>
          <w:tcPr>
            <w:tcW w:w="5295"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支持洗衣申请内容取消和变更，包括对洗衣时间和洗衣类型的调整。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right"/>
        </w:trPr>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智慧行装</w:t>
            </w:r>
          </w:p>
        </w:tc>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洗衣服管理-洗衣详情</w:t>
            </w:r>
          </w:p>
        </w:tc>
        <w:tc>
          <w:tcPr>
            <w:tcW w:w="5295"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支持查看本人送洗衣服状态、历史洗衣记录、申请时间等信息项。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right"/>
        </w:trPr>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智慧行装</w:t>
            </w:r>
          </w:p>
        </w:tc>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理发管理-理发预约</w:t>
            </w:r>
          </w:p>
        </w:tc>
        <w:tc>
          <w:tcPr>
            <w:tcW w:w="5295"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提供理发预约功能，自动提示可预约时间段、理发师、服务类型（洗剪吹），预约成功后提供短信确认。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right"/>
        </w:trPr>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智慧行装</w:t>
            </w:r>
          </w:p>
        </w:tc>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理发管理-理发申请变更</w:t>
            </w:r>
          </w:p>
        </w:tc>
        <w:tc>
          <w:tcPr>
            <w:tcW w:w="5295"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支持理发事项取消及变更，包括对理发时间段、服务类型、理发师等信息项的变更，同时为提升理发管理效率，每人一周内不得超过3次申请变更。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right"/>
        </w:trPr>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智慧行装</w:t>
            </w:r>
          </w:p>
        </w:tc>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理发管理-理发详情</w:t>
            </w:r>
          </w:p>
        </w:tc>
        <w:tc>
          <w:tcPr>
            <w:tcW w:w="5295"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支持对理发详情的查看，包括支持查看本人历史理发申请记录、服务类型。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right"/>
        </w:trPr>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智慧行装</w:t>
            </w:r>
          </w:p>
        </w:tc>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服装管理-服装申领</w:t>
            </w:r>
          </w:p>
        </w:tc>
        <w:tc>
          <w:tcPr>
            <w:tcW w:w="5295"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提供服装申领功能，支持干警选择衣着偏好、数量、申报品名，并对申报总金额进行限制。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right"/>
        </w:trPr>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智慧行装</w:t>
            </w:r>
          </w:p>
        </w:tc>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服装管理-服装申领变更</w:t>
            </w:r>
          </w:p>
        </w:tc>
        <w:tc>
          <w:tcPr>
            <w:tcW w:w="5295"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针对还未发货的服装，支持内容取消及变更，包括对衣着偏好、数量、申报品类、发货时间等，同时提供对发货且收到的服饰退换货入口。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right"/>
        </w:trPr>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智慧行装</w:t>
            </w:r>
          </w:p>
        </w:tc>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服装管理-服装申领详情</w:t>
            </w:r>
          </w:p>
        </w:tc>
        <w:tc>
          <w:tcPr>
            <w:tcW w:w="5295"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支持对服装申领内容的查看，包括本人历史申请记录、申请衣着偏好、申领品类等。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right"/>
        </w:trPr>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智慧行装</w:t>
            </w:r>
          </w:p>
        </w:tc>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介绍信-申请</w:t>
            </w:r>
          </w:p>
        </w:tc>
        <w:tc>
          <w:tcPr>
            <w:tcW w:w="5295"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支持干警在线申请介绍信，提供介绍内容自动识别，包括对方单位名称、目的地点、有效时间段等信息项。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right"/>
        </w:trPr>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智慧行装</w:t>
            </w:r>
          </w:p>
        </w:tc>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介绍信-办事理由</w:t>
            </w:r>
          </w:p>
        </w:tc>
        <w:tc>
          <w:tcPr>
            <w:tcW w:w="5295"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支持对办理是由的选择和填写，包括财产查封、调查取证、联系工作、办理业务等事由。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right"/>
        </w:trPr>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智慧行装</w:t>
            </w:r>
          </w:p>
        </w:tc>
        <w:tc>
          <w:tcPr>
            <w:tcW w:w="1559"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介绍信-审批结果反馈</w:t>
            </w:r>
          </w:p>
        </w:tc>
        <w:tc>
          <w:tcPr>
            <w:tcW w:w="5295" w:type="dxa"/>
            <w:vAlign w:val="center"/>
          </w:tcPr>
          <w:p>
            <w:pPr>
              <w:tabs>
                <w:tab w:val="left" w:pos="7513"/>
              </w:tabs>
              <w:snapToGrid w:val="0"/>
              <w:rPr>
                <w:rFonts w:ascii="仿宋" w:hAnsi="仿宋" w:eastAsia="仿宋" w:cs="仿宋"/>
                <w:color w:val="000000"/>
                <w:sz w:val="28"/>
                <w:szCs w:val="28"/>
              </w:rPr>
            </w:pPr>
            <w:r>
              <w:rPr>
                <w:rFonts w:hint="eastAsia" w:ascii="仿宋" w:hAnsi="仿宋" w:eastAsia="仿宋" w:cs="仿宋"/>
                <w:color w:val="000000"/>
                <w:sz w:val="28"/>
                <w:szCs w:val="28"/>
              </w:rPr>
              <w:t>支持申请人凭手机上返回的审批结果，自动生成介绍信完整内容，去指定部门开纸质介绍信。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right"/>
        </w:trPr>
        <w:tc>
          <w:tcPr>
            <w:tcW w:w="1559" w:type="dxa"/>
            <w:vAlign w:val="center"/>
          </w:tcPr>
          <w:p>
            <w:pPr>
              <w:tabs>
                <w:tab w:val="left" w:pos="7513"/>
              </w:tabs>
              <w:snapToGrid w:val="0"/>
              <w:rPr>
                <w:rFonts w:ascii="仿宋" w:hAnsi="仿宋" w:eastAsia="仿宋" w:cs="仿宋"/>
                <w:color w:val="000000"/>
                <w:sz w:val="28"/>
                <w:szCs w:val="28"/>
              </w:rPr>
            </w:pPr>
            <w:bookmarkStart w:id="13" w:name="_Toc318274434"/>
            <w:bookmarkStart w:id="14" w:name="_Toc380582421"/>
            <w:r>
              <w:rPr>
                <w:rFonts w:ascii="仿宋" w:hAnsi="仿宋" w:eastAsia="仿宋" w:cs="仿宋"/>
                <w:color w:val="000000"/>
                <w:sz w:val="28"/>
                <w:szCs w:val="28"/>
              </w:rPr>
              <w:t>监督评查</w:t>
            </w:r>
          </w:p>
        </w:tc>
        <w:tc>
          <w:tcPr>
            <w:tcW w:w="1559" w:type="dxa"/>
            <w:vAlign w:val="center"/>
          </w:tcPr>
          <w:p>
            <w:pPr>
              <w:tabs>
                <w:tab w:val="left" w:pos="7513"/>
              </w:tabs>
              <w:snapToGrid w:val="0"/>
              <w:rPr>
                <w:rFonts w:ascii="仿宋" w:hAnsi="仿宋" w:eastAsia="仿宋" w:cs="仿宋"/>
                <w:color w:val="000000"/>
                <w:sz w:val="28"/>
                <w:szCs w:val="28"/>
              </w:rPr>
            </w:pPr>
            <w:r>
              <w:rPr>
                <w:rFonts w:ascii="仿宋" w:hAnsi="仿宋" w:eastAsia="仿宋" w:cs="仿宋"/>
                <w:color w:val="000000"/>
                <w:sz w:val="28"/>
                <w:szCs w:val="28"/>
              </w:rPr>
              <w:t>监督评查</w:t>
            </w:r>
          </w:p>
        </w:tc>
        <w:tc>
          <w:tcPr>
            <w:tcW w:w="5295" w:type="dxa"/>
            <w:vAlign w:val="center"/>
          </w:tcPr>
          <w:p>
            <w:pPr>
              <w:tabs>
                <w:tab w:val="left" w:pos="7513"/>
              </w:tabs>
              <w:snapToGrid w:val="0"/>
              <w:rPr>
                <w:rFonts w:ascii="仿宋" w:hAnsi="仿宋" w:eastAsia="仿宋" w:cs="仿宋"/>
                <w:color w:val="000000"/>
                <w:sz w:val="28"/>
                <w:szCs w:val="28"/>
              </w:rPr>
            </w:pPr>
            <w:r>
              <w:rPr>
                <w:rFonts w:ascii="仿宋" w:hAnsi="仿宋" w:eastAsia="仿宋" w:cs="仿宋"/>
                <w:color w:val="000000"/>
                <w:sz w:val="28"/>
                <w:szCs w:val="28"/>
              </w:rPr>
              <w:t>实时统计全市网监督评查场景应用申报栏目中各法院场景申报情况，包含统计法院、申报场景数量、建立模型数量及推广应用数。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right"/>
        </w:trPr>
        <w:tc>
          <w:tcPr>
            <w:tcW w:w="1559" w:type="dxa"/>
            <w:vAlign w:val="center"/>
          </w:tcPr>
          <w:p>
            <w:pPr>
              <w:tabs>
                <w:tab w:val="left" w:pos="7513"/>
              </w:tabs>
              <w:snapToGrid w:val="0"/>
              <w:rPr>
                <w:rFonts w:ascii="仿宋" w:hAnsi="仿宋" w:eastAsia="仿宋" w:cs="仿宋"/>
                <w:color w:val="000000"/>
                <w:sz w:val="28"/>
                <w:szCs w:val="28"/>
              </w:rPr>
            </w:pPr>
            <w:r>
              <w:rPr>
                <w:rFonts w:ascii="仿宋" w:hAnsi="仿宋" w:eastAsia="仿宋" w:cs="仿宋"/>
                <w:color w:val="000000"/>
                <w:sz w:val="28"/>
                <w:szCs w:val="28"/>
              </w:rPr>
              <w:t>监督预警</w:t>
            </w:r>
          </w:p>
        </w:tc>
        <w:tc>
          <w:tcPr>
            <w:tcW w:w="1559" w:type="dxa"/>
            <w:vAlign w:val="center"/>
          </w:tcPr>
          <w:p>
            <w:pPr>
              <w:tabs>
                <w:tab w:val="left" w:pos="7513"/>
              </w:tabs>
              <w:snapToGrid w:val="0"/>
              <w:rPr>
                <w:rFonts w:ascii="仿宋" w:hAnsi="仿宋" w:eastAsia="仿宋" w:cs="仿宋"/>
                <w:color w:val="000000"/>
                <w:sz w:val="28"/>
                <w:szCs w:val="28"/>
              </w:rPr>
            </w:pPr>
            <w:r>
              <w:rPr>
                <w:rFonts w:ascii="仿宋" w:hAnsi="仿宋" w:eastAsia="仿宋" w:cs="仿宋"/>
                <w:color w:val="000000"/>
                <w:sz w:val="28"/>
                <w:szCs w:val="28"/>
              </w:rPr>
              <w:t>监督预警</w:t>
            </w:r>
          </w:p>
        </w:tc>
        <w:tc>
          <w:tcPr>
            <w:tcW w:w="5295" w:type="dxa"/>
            <w:vAlign w:val="center"/>
          </w:tcPr>
          <w:p>
            <w:pPr>
              <w:tabs>
                <w:tab w:val="left" w:pos="7513"/>
              </w:tabs>
              <w:snapToGrid w:val="0"/>
              <w:rPr>
                <w:rFonts w:ascii="仿宋" w:hAnsi="仿宋" w:eastAsia="仿宋" w:cs="仿宋"/>
                <w:color w:val="000000"/>
                <w:sz w:val="28"/>
                <w:szCs w:val="28"/>
              </w:rPr>
            </w:pPr>
            <w:r>
              <w:rPr>
                <w:rFonts w:ascii="仿宋" w:hAnsi="仿宋" w:eastAsia="仿宋" w:cs="仿宋"/>
                <w:color w:val="000000"/>
                <w:sz w:val="28"/>
                <w:szCs w:val="28"/>
              </w:rPr>
              <w:t>实现对审判过程中超审限、超时审理、“四类案件”已标注待监管、智能合约结案等四种类型的自动预警提醒功能，有效规范案件节点流转，切实提升办案质效。</w:t>
            </w:r>
          </w:p>
        </w:tc>
      </w:tr>
    </w:tbl>
    <w:p>
      <w:pPr>
        <w:spacing w:line="360" w:lineRule="auto"/>
        <w:ind w:firstLine="643" w:firstLineChars="200"/>
        <w:outlineLvl w:val="1"/>
        <w:rPr>
          <w:rFonts w:ascii="楷体" w:hAnsi="楷体" w:eastAsia="楷体" w:cs="楷体"/>
          <w:b/>
          <w:bCs/>
          <w:sz w:val="32"/>
          <w:szCs w:val="32"/>
        </w:rPr>
      </w:pPr>
      <w:r>
        <w:rPr>
          <w:rFonts w:hint="eastAsia" w:ascii="楷体" w:hAnsi="楷体" w:eastAsia="楷体" w:cs="楷体"/>
          <w:b/>
          <w:bCs/>
          <w:sz w:val="32"/>
          <w:szCs w:val="32"/>
        </w:rPr>
        <w:t>3.系统整合与接口要求</w:t>
      </w:r>
    </w:p>
    <w:p>
      <w:pPr>
        <w:ind w:firstLine="560"/>
        <w:rPr>
          <w:rFonts w:ascii="仿宋" w:hAnsi="仿宋" w:eastAsia="仿宋" w:cs="仿宋"/>
          <w:sz w:val="32"/>
          <w:szCs w:val="32"/>
        </w:rPr>
      </w:pPr>
      <w:r>
        <w:rPr>
          <w:rFonts w:hint="eastAsia" w:ascii="仿宋" w:hAnsi="仿宋" w:eastAsia="仿宋" w:cs="仿宋"/>
          <w:sz w:val="32"/>
          <w:szCs w:val="32"/>
        </w:rPr>
        <w:t>上海法院按照“统一门户集成、统一用户管理、统一接入管理、统一授权管理、统一安全防护、统一资源管理”六个统一的总体要求，上海法院的信息化应用系统整合为“审判系统、执行系统、司法管理系统、诉讼服务系统、保障系统”五大应用系统+门户网站+数据中台的架构模式。本次项目建设内容按照六统一的基本要求纳入上海法院司法管理系统，与原有系统功能整合运行，提供给全市法院使用。</w:t>
      </w:r>
    </w:p>
    <w:p>
      <w:pPr>
        <w:ind w:firstLine="560"/>
        <w:rPr>
          <w:rFonts w:ascii="仿宋" w:hAnsi="仿宋" w:eastAsia="仿宋" w:cs="仿宋"/>
          <w:sz w:val="32"/>
          <w:szCs w:val="32"/>
        </w:rPr>
      </w:pPr>
      <w:r>
        <w:rPr>
          <w:rFonts w:hint="eastAsia" w:ascii="仿宋" w:hAnsi="仿宋" w:eastAsia="仿宋" w:cs="仿宋"/>
          <w:sz w:val="32"/>
          <w:szCs w:val="32"/>
        </w:rPr>
        <w:t>统一门户集成：本次项目须通过上海法院单点登录模块作为唯一的系统入口，采用符合上海法院现有单点登录的身份验证机制和API接口要求。项目中的定制开发界面和调用的第三方产品功能页面的设计风格、样式、操作习惯等均需与上海法院现有应用系统保持一致。</w:t>
      </w:r>
    </w:p>
    <w:p>
      <w:pPr>
        <w:ind w:firstLine="560"/>
        <w:rPr>
          <w:rFonts w:ascii="仿宋" w:hAnsi="仿宋" w:eastAsia="仿宋" w:cs="仿宋"/>
          <w:sz w:val="32"/>
          <w:szCs w:val="32"/>
        </w:rPr>
      </w:pPr>
      <w:r>
        <w:rPr>
          <w:rFonts w:hint="eastAsia" w:ascii="仿宋" w:hAnsi="仿宋" w:eastAsia="仿宋" w:cs="仿宋"/>
          <w:sz w:val="32"/>
          <w:szCs w:val="32"/>
        </w:rPr>
        <w:t>统一授权管理：本次项目须使用上海法院现有权限管理体系管理维护应用系统资源操作权限，实现各类信息资源访问控制的管理维护，分配和管理用户与角色针对资源数据的访问权限。</w:t>
      </w:r>
    </w:p>
    <w:p>
      <w:pPr>
        <w:ind w:firstLine="560"/>
        <w:rPr>
          <w:rFonts w:ascii="仿宋" w:hAnsi="仿宋" w:eastAsia="仿宋" w:cs="仿宋"/>
          <w:sz w:val="32"/>
          <w:szCs w:val="32"/>
        </w:rPr>
      </w:pPr>
      <w:r>
        <w:rPr>
          <w:rFonts w:hint="eastAsia" w:ascii="仿宋" w:hAnsi="仿宋" w:eastAsia="仿宋" w:cs="仿宋"/>
          <w:sz w:val="32"/>
          <w:szCs w:val="32"/>
        </w:rPr>
        <w:t>统一用户管理：本次项目须使用上海法院现有的组织机构和用户管理功能，不得另建组织机构和用户管理功能。须以API接口方式动态获取用户数据，获取的用户数据不得落地存储。</w:t>
      </w:r>
    </w:p>
    <w:p>
      <w:pPr>
        <w:ind w:firstLine="560"/>
        <w:rPr>
          <w:rFonts w:ascii="仿宋" w:hAnsi="仿宋" w:eastAsia="仿宋" w:cs="仿宋"/>
          <w:sz w:val="32"/>
          <w:szCs w:val="32"/>
        </w:rPr>
      </w:pPr>
      <w:r>
        <w:rPr>
          <w:rFonts w:hint="eastAsia" w:ascii="仿宋" w:hAnsi="仿宋" w:eastAsia="仿宋" w:cs="仿宋"/>
          <w:sz w:val="32"/>
          <w:szCs w:val="32"/>
        </w:rPr>
        <w:t>统一接入管理：上海法院在系统整合改造过程中，建设了基于微服务架构的上海法院应用系统开发、运行、管理和维护体系，建立了统一的数据标准、接口访问标准等标准体系，提供了各类主流数据和组件访问接口，包含统一数据交换平台等。本次项目建设过程中，须最大化复用已有的各类业务、技术标准和业务功能组件，系统已经实现的功能原则上直接调用，不得重复建设。</w:t>
      </w:r>
    </w:p>
    <w:p>
      <w:pPr>
        <w:ind w:firstLine="560"/>
        <w:rPr>
          <w:rFonts w:ascii="仿宋" w:hAnsi="仿宋" w:eastAsia="仿宋" w:cs="仿宋"/>
          <w:sz w:val="32"/>
          <w:szCs w:val="32"/>
        </w:rPr>
      </w:pPr>
      <w:r>
        <w:rPr>
          <w:rFonts w:hint="eastAsia" w:ascii="仿宋" w:hAnsi="仿宋" w:eastAsia="仿宋" w:cs="仿宋"/>
          <w:sz w:val="32"/>
          <w:szCs w:val="32"/>
        </w:rPr>
        <w:t>统一安全防护：审计信息集中统一管理，实现各类操作、数据访问等日志数据的记录和查询管理；依托已有的加密机、数据库加密和加密存储等资源实现重要数据的机密性和完整性保护；系统建设完成需通过安全测评。</w:t>
      </w:r>
    </w:p>
    <w:p>
      <w:pPr>
        <w:ind w:firstLine="560"/>
        <w:rPr>
          <w:rFonts w:ascii="仿宋" w:hAnsi="仿宋" w:eastAsia="仿宋" w:cs="仿宋"/>
          <w:sz w:val="32"/>
          <w:szCs w:val="32"/>
        </w:rPr>
      </w:pPr>
      <w:r>
        <w:rPr>
          <w:rFonts w:hint="eastAsia" w:ascii="仿宋" w:hAnsi="仿宋" w:eastAsia="仿宋" w:cs="仿宋"/>
          <w:sz w:val="32"/>
          <w:szCs w:val="32"/>
        </w:rPr>
        <w:t>统一资源管理：与现有应用系统实现统一的数据资源管理，保证数据在全上海法院的唯一性，实现一次录入、全面共享，一次变动、实时同步；统一系统运行资源，应用系统运行在上海大数据中心云服务器上，须支持上海法院已有的国产化操作系统、数据库、中间件等平台软件；应用系统须支持上海法院的微服务应用开发体系，定制开发模块与现有应用系统集中部署；应用系统和产品页面须支持在上海法院现有的国产化终端计算机操作系统、浏览器、办公软件、电子签章软件环境上等运行。</w:t>
      </w:r>
    </w:p>
    <w:p>
      <w:pPr>
        <w:ind w:firstLine="560"/>
        <w:rPr>
          <w:rFonts w:ascii="仿宋" w:hAnsi="仿宋" w:eastAsia="仿宋" w:cs="仿宋"/>
          <w:sz w:val="32"/>
          <w:szCs w:val="32"/>
        </w:rPr>
      </w:pPr>
      <w:r>
        <w:rPr>
          <w:rFonts w:hint="eastAsia" w:ascii="仿宋" w:hAnsi="仿宋" w:eastAsia="仿宋" w:cs="仿宋"/>
          <w:sz w:val="32"/>
          <w:szCs w:val="32"/>
        </w:rPr>
        <w:t>统一标准规范：上海法院在最高人民法院法标的基础上，建立了上海法院的数据标准规范和管理要求，本次项目建设须满足上海法院已有的各类业务和技术标准。</w:t>
      </w:r>
    </w:p>
    <w:p>
      <w:pPr>
        <w:ind w:firstLine="560"/>
        <w:rPr>
          <w:rFonts w:ascii="仿宋" w:hAnsi="仿宋" w:eastAsia="仿宋" w:cs="仿宋"/>
          <w:sz w:val="32"/>
          <w:szCs w:val="32"/>
        </w:rPr>
      </w:pPr>
      <w:r>
        <w:rPr>
          <w:rFonts w:hint="eastAsia" w:ascii="仿宋" w:hAnsi="仿宋" w:eastAsia="仿宋" w:cs="仿宋"/>
          <w:sz w:val="32"/>
          <w:szCs w:val="32"/>
        </w:rPr>
        <w:t>业务应用系统数据接口，主要包括：</w:t>
      </w:r>
    </w:p>
    <w:p>
      <w:pPr>
        <w:ind w:firstLine="560"/>
        <w:rPr>
          <w:rFonts w:ascii="仿宋" w:hAnsi="仿宋" w:eastAsia="仿宋" w:cs="仿宋"/>
          <w:sz w:val="32"/>
          <w:szCs w:val="32"/>
        </w:rPr>
      </w:pPr>
      <w:r>
        <w:rPr>
          <w:rFonts w:hint="eastAsia" w:ascii="仿宋" w:hAnsi="仿宋" w:eastAsia="仿宋" w:cs="仿宋"/>
          <w:sz w:val="32"/>
          <w:szCs w:val="32"/>
        </w:rPr>
        <w:t>本系统需实现与人事系统、综合审批平台的对接。</w:t>
      </w:r>
    </w:p>
    <w:p>
      <w:pPr>
        <w:ind w:firstLine="560"/>
        <w:rPr>
          <w:rFonts w:ascii="仿宋" w:hAnsi="仿宋" w:eastAsia="仿宋" w:cs="仿宋"/>
          <w:sz w:val="32"/>
          <w:szCs w:val="32"/>
        </w:rPr>
      </w:pPr>
      <w:r>
        <w:rPr>
          <w:rFonts w:hint="eastAsia" w:ascii="仿宋" w:hAnsi="仿宋" w:eastAsia="仿宋" w:cs="仿宋"/>
          <w:sz w:val="32"/>
          <w:szCs w:val="32"/>
        </w:rPr>
        <w:t>与人事系统对接，交互基本信息、职位等相关数据。</w:t>
      </w:r>
    </w:p>
    <w:p>
      <w:pPr>
        <w:ind w:firstLine="560"/>
        <w:rPr>
          <w:rFonts w:ascii="仿宋" w:hAnsi="仿宋" w:eastAsia="仿宋" w:cs="仿宋"/>
          <w:sz w:val="32"/>
          <w:szCs w:val="32"/>
        </w:rPr>
      </w:pPr>
      <w:r>
        <w:rPr>
          <w:rFonts w:hint="eastAsia" w:ascii="仿宋" w:hAnsi="仿宋" w:eastAsia="仿宋" w:cs="仿宋"/>
          <w:sz w:val="32"/>
          <w:szCs w:val="32"/>
        </w:rPr>
        <w:t>与综合审批平台对接，提供综合审批的统一对接方案和接口，支持其他接入方的审批流程接入。</w:t>
      </w:r>
    </w:p>
    <w:bookmarkEnd w:id="13"/>
    <w:bookmarkEnd w:id="14"/>
    <w:p>
      <w:pPr>
        <w:ind w:firstLine="560"/>
        <w:rPr>
          <w:rFonts w:ascii="仿宋" w:hAnsi="仿宋" w:eastAsia="仿宋" w:cs="仿宋"/>
          <w:sz w:val="32"/>
          <w:szCs w:val="32"/>
        </w:rPr>
      </w:pPr>
      <w:bookmarkStart w:id="15" w:name="_Toc430868372"/>
      <w:bookmarkStart w:id="16" w:name="_Toc7991"/>
      <w:bookmarkStart w:id="17" w:name="_Toc445714952"/>
      <w:bookmarkStart w:id="18" w:name="_Hlk100656365"/>
      <w:r>
        <w:rPr>
          <w:rFonts w:hint="eastAsia" w:ascii="仿宋" w:hAnsi="仿宋" w:eastAsia="仿宋" w:cs="仿宋"/>
          <w:sz w:val="32"/>
          <w:szCs w:val="32"/>
        </w:rPr>
        <w:t>响应方须承诺能够在规定工期内实现与上述业务应用系统的对接，且相关对接费用包含在本项目报价内。如未能实现，采购人有权向成交单位追究相关违约责任。</w:t>
      </w:r>
    </w:p>
    <w:bookmarkEnd w:id="15"/>
    <w:bookmarkEnd w:id="16"/>
    <w:bookmarkEnd w:id="17"/>
    <w:bookmarkEnd w:id="18"/>
    <w:p>
      <w:pPr>
        <w:tabs>
          <w:tab w:val="left" w:pos="7513"/>
        </w:tabs>
        <w:spacing w:line="600" w:lineRule="exact"/>
        <w:ind w:firstLine="640" w:firstLineChars="200"/>
        <w:jc w:val="left"/>
        <w:outlineLvl w:val="0"/>
        <w:rPr>
          <w:rFonts w:ascii="黑体" w:hAnsi="黑体" w:eastAsia="黑体" w:cs="黑体"/>
          <w:sz w:val="32"/>
          <w:szCs w:val="32"/>
        </w:rPr>
      </w:pPr>
      <w:r>
        <w:rPr>
          <w:rFonts w:hint="eastAsia" w:ascii="黑体" w:hAnsi="黑体" w:eastAsia="黑体" w:cs="黑体"/>
          <w:sz w:val="32"/>
          <w:szCs w:val="32"/>
        </w:rPr>
        <w:t>三、系统实施要求</w:t>
      </w:r>
    </w:p>
    <w:p>
      <w:pPr>
        <w:spacing w:line="360" w:lineRule="auto"/>
        <w:ind w:firstLine="643" w:firstLineChars="200"/>
        <w:outlineLvl w:val="1"/>
        <w:rPr>
          <w:rFonts w:ascii="楷体" w:hAnsi="楷体" w:eastAsia="楷体" w:cs="楷体"/>
          <w:b/>
          <w:bCs/>
          <w:sz w:val="32"/>
          <w:szCs w:val="32"/>
        </w:rPr>
      </w:pPr>
      <w:bookmarkStart w:id="19" w:name="_Toc32168"/>
      <w:r>
        <w:rPr>
          <w:rFonts w:hint="eastAsia" w:ascii="楷体" w:hAnsi="楷体" w:eastAsia="楷体" w:cs="楷体"/>
          <w:b/>
          <w:bCs/>
          <w:sz w:val="32"/>
          <w:szCs w:val="32"/>
        </w:rPr>
        <w:t>1.项目进度要求</w:t>
      </w:r>
      <w:bookmarkEnd w:id="19"/>
    </w:p>
    <w:p>
      <w:pPr>
        <w:spacing w:line="360" w:lineRule="auto"/>
        <w:ind w:firstLine="640" w:firstLineChars="200"/>
        <w:outlineLvl w:val="1"/>
        <w:rPr>
          <w:rFonts w:ascii="楷体" w:hAnsi="楷体" w:eastAsia="楷体" w:cs="楷体"/>
          <w:b/>
          <w:bCs/>
          <w:sz w:val="32"/>
          <w:szCs w:val="32"/>
        </w:rPr>
      </w:pPr>
      <w:bookmarkStart w:id="20" w:name="_Toc2614"/>
      <w:r>
        <w:rPr>
          <w:rFonts w:hint="eastAsia" w:ascii="仿宋_GB2312" w:hAnsi="仿宋_GB2312" w:eastAsia="仿宋_GB2312" w:cs="仿宋_GB2312"/>
          <w:sz w:val="32"/>
          <w:szCs w:val="32"/>
        </w:rPr>
        <w:t xml:space="preserve"> 自合同签订之日起45天内完成项目建设（含试运行）。</w:t>
      </w:r>
      <w:r>
        <w:rPr>
          <w:rFonts w:hint="eastAsia" w:ascii="楷体" w:hAnsi="楷体" w:eastAsia="楷体" w:cs="楷体"/>
          <w:b/>
          <w:bCs/>
          <w:sz w:val="32"/>
          <w:szCs w:val="32"/>
        </w:rPr>
        <w:t>2.安装实施要求</w:t>
      </w:r>
    </w:p>
    <w:p>
      <w:pPr>
        <w:tabs>
          <w:tab w:val="left" w:pos="7513"/>
        </w:tabs>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本次项目所需云服务器、操作系统、数据库、中间件等产品由招标单位提供或申请。</w:t>
      </w:r>
    </w:p>
    <w:p>
      <w:pPr>
        <w:tabs>
          <w:tab w:val="left" w:pos="7513"/>
        </w:tabs>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投标单位需要按照招标单位指定地点进行系统集成，系统建设完成后符合上海大数据中心提供的国产化云环境运行的技术要求。</w:t>
      </w:r>
    </w:p>
    <w:bookmarkEnd w:id="20"/>
    <w:p>
      <w:pPr>
        <w:spacing w:line="360" w:lineRule="auto"/>
        <w:ind w:firstLine="643" w:firstLineChars="200"/>
        <w:outlineLvl w:val="1"/>
        <w:rPr>
          <w:rFonts w:ascii="楷体" w:hAnsi="楷体" w:eastAsia="楷体" w:cs="楷体"/>
          <w:b/>
          <w:bCs/>
          <w:sz w:val="32"/>
          <w:szCs w:val="32"/>
        </w:rPr>
      </w:pPr>
      <w:r>
        <w:rPr>
          <w:rFonts w:hint="eastAsia" w:ascii="楷体" w:hAnsi="楷体" w:eastAsia="楷体" w:cs="楷体"/>
          <w:b/>
          <w:bCs/>
          <w:sz w:val="32"/>
          <w:szCs w:val="32"/>
        </w:rPr>
        <w:t>3.人员配置要求</w:t>
      </w:r>
    </w:p>
    <w:p>
      <w:pPr>
        <w:tabs>
          <w:tab w:val="left" w:pos="7513"/>
        </w:tabs>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期项目实施期间，投标单位应安排具有专业技术水平的专职人员参与本次项目建设。投标单位参与本项目的人员，在项目建设期间保持基本稳定。如果出现人员变动需事先向招标单位汇报，替换人员需得到招标单位批准。投标单位应安排至少以下角色人员：</w:t>
      </w:r>
    </w:p>
    <w:p>
      <w:pPr>
        <w:tabs>
          <w:tab w:val="left" w:pos="7513"/>
        </w:tabs>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项目负责人1名，具备信息系统项目管理师证书，具有</w:t>
      </w:r>
      <w:r>
        <w:rPr>
          <w:rFonts w:ascii="仿宋_GB2312" w:hAnsi="仿宋_GB2312" w:eastAsia="仿宋_GB2312" w:cs="仿宋_GB2312"/>
          <w:sz w:val="32"/>
          <w:szCs w:val="32"/>
        </w:rPr>
        <w:t>5年及以上从业经验，工作业绩与本项目类似，且担任项目负责人岗位</w:t>
      </w:r>
      <w:r>
        <w:rPr>
          <w:rFonts w:hint="eastAsia" w:ascii="仿宋_GB2312" w:hAnsi="仿宋_GB2312" w:eastAsia="仿宋_GB2312" w:cs="仿宋_GB2312"/>
          <w:sz w:val="32"/>
          <w:szCs w:val="32"/>
        </w:rPr>
        <w:t>，予以优先考虑。</w:t>
      </w:r>
    </w:p>
    <w:p>
      <w:pPr>
        <w:tabs>
          <w:tab w:val="left" w:pos="7513"/>
        </w:tabs>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商务经理1名，负责与招标单位进行商务对接，发现合作中的问题并提出解决建议等；</w:t>
      </w:r>
    </w:p>
    <w:p>
      <w:pPr>
        <w:tabs>
          <w:tab w:val="left" w:pos="7513"/>
        </w:tabs>
        <w:spacing w:line="600" w:lineRule="exact"/>
        <w:ind w:firstLine="640" w:firstLineChars="200"/>
      </w:pPr>
      <w:r>
        <w:rPr>
          <w:rFonts w:hint="eastAsia" w:ascii="仿宋_GB2312" w:hAnsi="仿宋_GB2312" w:eastAsia="仿宋_GB2312" w:cs="仿宋_GB2312"/>
          <w:sz w:val="32"/>
          <w:szCs w:val="32"/>
        </w:rPr>
        <w:t>项目团队主要技术人员（不含项目负责人）具备相关专业证书，例如：计算机相关专业职称、信息技术相关考试资格证书等。提供投标人为以上技术人员依法缴纳社保费的证明。</w:t>
      </w:r>
    </w:p>
    <w:p>
      <w:pPr>
        <w:tabs>
          <w:tab w:val="left" w:pos="7513"/>
        </w:tabs>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指定一名项目经理和客户经理建立与招标单位对口联系。</w:t>
      </w:r>
    </w:p>
    <w:p>
      <w:pPr>
        <w:tabs>
          <w:tab w:val="left" w:pos="7513"/>
        </w:tabs>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项目在初验前，项目负责人不能撤离，在初验后根据需要有专业的维护团队在岗。</w:t>
      </w:r>
    </w:p>
    <w:p>
      <w:pPr>
        <w:tabs>
          <w:tab w:val="left" w:pos="7513"/>
        </w:tabs>
        <w:spacing w:line="640" w:lineRule="exact"/>
        <w:ind w:firstLine="640" w:firstLineChars="200"/>
        <w:rPr>
          <w:rFonts w:hint="eastAsia" w:ascii="仿宋_GB2312" w:hAnsi="仿宋_GB2312" w:eastAsia="仿宋_GB2312" w:cs="仿宋_GB2312"/>
          <w:sz w:val="32"/>
          <w:szCs w:val="32"/>
        </w:rPr>
      </w:pPr>
      <w:r>
        <w:rPr>
          <w:rFonts w:hint="eastAsia" w:ascii="仿宋" w:hAnsi="仿宋" w:eastAsia="仿宋" w:cs="仿宋"/>
          <w:kern w:val="0"/>
          <w:sz w:val="32"/>
          <w:szCs w:val="32"/>
        </w:rPr>
        <w:t>具有</w:t>
      </w:r>
      <w:r>
        <w:rPr>
          <w:rFonts w:ascii="仿宋" w:hAnsi="仿宋" w:eastAsia="仿宋" w:cs="仿宋"/>
          <w:kern w:val="0"/>
          <w:sz w:val="32"/>
          <w:szCs w:val="32"/>
        </w:rPr>
        <w:t>ISO9001质量管理体系认证证书；ISO20000信息技术服务管理体系认证证书</w:t>
      </w:r>
      <w:r>
        <w:rPr>
          <w:rFonts w:hint="eastAsia" w:ascii="仿宋" w:hAnsi="仿宋" w:eastAsia="仿宋" w:cs="仿宋"/>
          <w:kern w:val="0"/>
          <w:sz w:val="32"/>
          <w:szCs w:val="32"/>
        </w:rPr>
        <w:t>和</w:t>
      </w:r>
      <w:r>
        <w:rPr>
          <w:rFonts w:ascii="仿宋" w:hAnsi="仿宋" w:eastAsia="仿宋" w:cs="仿宋"/>
          <w:kern w:val="0"/>
          <w:sz w:val="32"/>
          <w:szCs w:val="32"/>
        </w:rPr>
        <w:t>ITSS信息技术服务标准符合性证书</w:t>
      </w:r>
      <w:r>
        <w:rPr>
          <w:rFonts w:hint="eastAsia" w:ascii="仿宋" w:hAnsi="仿宋" w:eastAsia="仿宋" w:cs="仿宋"/>
          <w:kern w:val="0"/>
          <w:sz w:val="32"/>
          <w:szCs w:val="32"/>
        </w:rPr>
        <w:t>的，优先考虑。</w:t>
      </w:r>
    </w:p>
    <w:p>
      <w:pPr>
        <w:spacing w:line="360" w:lineRule="auto"/>
        <w:ind w:firstLine="643" w:firstLineChars="200"/>
        <w:outlineLvl w:val="1"/>
        <w:rPr>
          <w:rFonts w:ascii="楷体" w:hAnsi="楷体" w:eastAsia="楷体" w:cs="楷体"/>
          <w:b/>
          <w:bCs/>
          <w:sz w:val="32"/>
          <w:szCs w:val="32"/>
        </w:rPr>
      </w:pPr>
      <w:r>
        <w:rPr>
          <w:rFonts w:hint="eastAsia" w:ascii="楷体" w:hAnsi="楷体" w:eastAsia="楷体" w:cs="楷体"/>
          <w:b/>
          <w:bCs/>
          <w:sz w:val="32"/>
          <w:szCs w:val="32"/>
        </w:rPr>
        <w:t>4.质量与安全管理要求</w:t>
      </w:r>
    </w:p>
    <w:p>
      <w:pPr>
        <w:tabs>
          <w:tab w:val="left" w:pos="7513"/>
        </w:tabs>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投标单位需提交正式的质量控制方案，明确质量控制点、 控制内容、 质量要求、检查记录要求，并经采购人审核、批准。</w:t>
      </w:r>
    </w:p>
    <w:p>
      <w:pPr>
        <w:tabs>
          <w:tab w:val="left" w:pos="7513"/>
        </w:tabs>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投标单位在项目实施过程中应开展质量保证活动，所提交的进度报告应包括质量报告内容，对质量问题制定改进措施并有效执行。</w:t>
      </w:r>
    </w:p>
    <w:p>
      <w:pPr>
        <w:tabs>
          <w:tab w:val="left" w:pos="7513"/>
        </w:tabs>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投标单位需接受招标单位的质量监督检查，提供真实有效的相关质量活动记录、证据，无条件接受采购人提出的质量问题整改要求，承担质量责任及因质量问题导致的进度延迟责任。</w:t>
      </w:r>
    </w:p>
    <w:p>
      <w:pPr>
        <w:tabs>
          <w:tab w:val="left" w:pos="7513"/>
        </w:tabs>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投标单位需服从监理方在招标单位授权范围内对本项目工程质量、安全的监督。</w:t>
      </w:r>
    </w:p>
    <w:p>
      <w:pPr>
        <w:tabs>
          <w:tab w:val="left" w:pos="7513"/>
        </w:tabs>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投标单位工作人员在工作过程中，不得以任何形式私自外传、记录、下载和存储本系统中的任何信息和数据；不得使用未经招标单位主管部门许可的计算机和存储设备对上述信息和数据进行运行和操作。</w:t>
      </w:r>
    </w:p>
    <w:p>
      <w:pPr>
        <w:tabs>
          <w:tab w:val="left" w:pos="7513"/>
        </w:tabs>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投标单位工作人员未经招标单位相关工作人员许可，不得将本系统中的任何信息和数据以任何形式在任何网络和媒体上发布和传播。</w:t>
      </w:r>
    </w:p>
    <w:p>
      <w:pPr>
        <w:tabs>
          <w:tab w:val="left" w:pos="7513"/>
        </w:tabs>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维护工作中的一切行为，应该符合招标单位信息安全的有关规定。</w:t>
      </w:r>
    </w:p>
    <w:p>
      <w:pPr>
        <w:spacing w:line="360" w:lineRule="auto"/>
        <w:ind w:firstLine="643" w:firstLineChars="200"/>
        <w:outlineLvl w:val="1"/>
        <w:rPr>
          <w:rFonts w:ascii="楷体" w:hAnsi="楷体" w:eastAsia="楷体" w:cs="楷体"/>
          <w:b/>
          <w:bCs/>
          <w:sz w:val="32"/>
          <w:szCs w:val="32"/>
        </w:rPr>
      </w:pPr>
      <w:r>
        <w:rPr>
          <w:rFonts w:hint="eastAsia" w:ascii="楷体" w:hAnsi="楷体" w:eastAsia="楷体" w:cs="楷体"/>
          <w:b/>
          <w:bCs/>
          <w:sz w:val="32"/>
          <w:szCs w:val="32"/>
        </w:rPr>
        <w:t>5.培训要求</w:t>
      </w:r>
    </w:p>
    <w:p>
      <w:pPr>
        <w:tabs>
          <w:tab w:val="left" w:pos="7513"/>
        </w:tabs>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本次项目投标单位应负责对招标单位的技术支撑队伍进行维护培训，满足招标单位能独立进行系统维护需要；</w:t>
      </w:r>
    </w:p>
    <w:p>
      <w:pPr>
        <w:tabs>
          <w:tab w:val="left" w:pos="7513"/>
        </w:tabs>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投标单位应负责招标单位相关的工作人员、系统管理人员的技术培训；</w:t>
      </w:r>
    </w:p>
    <w:p>
      <w:pPr>
        <w:tabs>
          <w:tab w:val="left" w:pos="7513"/>
        </w:tabs>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培训方式采用集中培训、现场培训、发放宣传材料等相结合的方式， 针对不同层次的人员，开设不同的培训课程和确定培训方式；</w:t>
      </w:r>
    </w:p>
    <w:p>
      <w:pPr>
        <w:tabs>
          <w:tab w:val="left" w:pos="7513"/>
        </w:tabs>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投标单位应提出培训的课程、培训地点和所需的培训时间，如对合同中确定的培训地点、时间等项目，如果在项目实施过程中投标单位提出变更，应提出书面通知。</w:t>
      </w:r>
    </w:p>
    <w:p>
      <w:pPr>
        <w:spacing w:line="360" w:lineRule="auto"/>
        <w:ind w:firstLine="643" w:firstLineChars="200"/>
        <w:outlineLvl w:val="1"/>
        <w:rPr>
          <w:rFonts w:ascii="楷体" w:hAnsi="楷体" w:eastAsia="楷体" w:cs="楷体"/>
          <w:b/>
          <w:bCs/>
          <w:sz w:val="32"/>
          <w:szCs w:val="32"/>
        </w:rPr>
      </w:pPr>
      <w:r>
        <w:rPr>
          <w:rFonts w:hint="eastAsia" w:ascii="楷体" w:hAnsi="楷体" w:eastAsia="楷体" w:cs="楷体"/>
          <w:b/>
          <w:bCs/>
          <w:sz w:val="32"/>
          <w:szCs w:val="32"/>
        </w:rPr>
        <w:t>6.验收要求</w:t>
      </w:r>
    </w:p>
    <w:p>
      <w:pPr>
        <w:tabs>
          <w:tab w:val="left" w:pos="7513"/>
        </w:tabs>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投标单位与招标单位在验收过程中将密切合作，招标单位承诺：在法律法规和政策允许的范围内，积极为投标单位提供与项目相关的协调和帮助。</w:t>
      </w:r>
    </w:p>
    <w:p>
      <w:pPr>
        <w:tabs>
          <w:tab w:val="left" w:pos="7513"/>
        </w:tabs>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投标单位可在合同工期内提交项目成果终稿并书面提出验收申请。投标单位递交合格的项目成果终稿之日视为投标单位实际工期结束日，项目终验验收不合格视为投标单位实际工期未结束（持续计算），直到投标单位提交合格的项目成果终稿之日为止。</w:t>
      </w:r>
    </w:p>
    <w:p>
      <w:pPr>
        <w:tabs>
          <w:tab w:val="left" w:pos="7513"/>
        </w:tabs>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投标单位在递交项目成果终稿的同时向招标单位提出书面验收申请（项目负责人签字）。未向招标单位提交书面验收申请的，视为投标单位实际工期未结束。</w:t>
      </w:r>
    </w:p>
    <w:p>
      <w:pPr>
        <w:tabs>
          <w:tab w:val="left" w:pos="7513"/>
        </w:tabs>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招标单位对验收的认可、参加或放弃参加验收和测试，均不能减轻投标单对合同的任何责任。</w:t>
      </w:r>
    </w:p>
    <w:p>
      <w:pPr>
        <w:tabs>
          <w:tab w:val="left" w:pos="7513"/>
        </w:tabs>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招标单位有权拒绝接收有明显缺陷的产品（服务）或要求进行改造，由此引起的一切费用由投标单位负责。改造后的产品（服务）重新进行验收。</w:t>
      </w:r>
    </w:p>
    <w:p>
      <w:pPr>
        <w:tabs>
          <w:tab w:val="left" w:pos="7513"/>
        </w:tabs>
        <w:spacing w:line="600" w:lineRule="exact"/>
        <w:ind w:firstLine="640" w:firstLineChars="200"/>
        <w:jc w:val="left"/>
        <w:outlineLvl w:val="0"/>
        <w:rPr>
          <w:rFonts w:ascii="黑体" w:hAnsi="黑体" w:eastAsia="黑体" w:cs="黑体"/>
          <w:sz w:val="32"/>
          <w:szCs w:val="32"/>
        </w:rPr>
      </w:pPr>
      <w:r>
        <w:rPr>
          <w:rFonts w:hint="eastAsia" w:ascii="黑体" w:hAnsi="黑体" w:eastAsia="黑体" w:cs="黑体"/>
          <w:sz w:val="32"/>
          <w:szCs w:val="32"/>
        </w:rPr>
        <w:t>四、售后服务要求</w:t>
      </w:r>
    </w:p>
    <w:p>
      <w:pPr>
        <w:spacing w:line="360" w:lineRule="auto"/>
        <w:ind w:firstLine="643" w:firstLineChars="200"/>
        <w:outlineLvl w:val="1"/>
        <w:rPr>
          <w:rFonts w:ascii="楷体" w:hAnsi="楷体" w:eastAsia="楷体" w:cs="楷体"/>
          <w:b/>
          <w:bCs/>
          <w:sz w:val="32"/>
          <w:szCs w:val="32"/>
        </w:rPr>
      </w:pPr>
      <w:r>
        <w:rPr>
          <w:rFonts w:hint="eastAsia" w:ascii="楷体" w:hAnsi="楷体" w:eastAsia="楷体" w:cs="楷体"/>
          <w:b/>
          <w:bCs/>
          <w:sz w:val="32"/>
          <w:szCs w:val="32"/>
        </w:rPr>
        <w:t>1.基本服务要求</w:t>
      </w:r>
    </w:p>
    <w:p>
      <w:pPr>
        <w:tabs>
          <w:tab w:val="left" w:pos="7513"/>
        </w:tabs>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投标单位需具有较强的系统集成能力，熟悉系统，并能够就系统的研发、测试及系统与硬件设备、系统软件之间的联调配备现场技术服务团队。</w:t>
      </w:r>
    </w:p>
    <w:p>
      <w:pPr>
        <w:tabs>
          <w:tab w:val="left" w:pos="7513"/>
        </w:tabs>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系统上线后提供现场运维服务，保障系统的正常运行。，应用软件免费质保1年。质量保质期从项目验收通过之日起计。</w:t>
      </w:r>
    </w:p>
    <w:p>
      <w:pPr>
        <w:tabs>
          <w:tab w:val="left" w:pos="7513"/>
        </w:tabs>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提供限时修复服务：系统软件原因引起的故障，1个工作日内恢复使用。</w:t>
      </w:r>
    </w:p>
    <w:p>
      <w:pPr>
        <w:spacing w:line="360" w:lineRule="auto"/>
        <w:ind w:firstLine="643" w:firstLineChars="200"/>
        <w:outlineLvl w:val="1"/>
        <w:rPr>
          <w:rFonts w:ascii="楷体" w:hAnsi="楷体" w:eastAsia="楷体" w:cs="楷体"/>
          <w:b/>
          <w:bCs/>
          <w:sz w:val="32"/>
          <w:szCs w:val="32"/>
        </w:rPr>
      </w:pPr>
      <w:r>
        <w:rPr>
          <w:rFonts w:hint="eastAsia" w:ascii="楷体" w:hAnsi="楷体" w:eastAsia="楷体" w:cs="楷体"/>
          <w:b/>
          <w:bCs/>
          <w:sz w:val="32"/>
          <w:szCs w:val="32"/>
        </w:rPr>
        <w:t>2.电话支持要求</w:t>
      </w:r>
    </w:p>
    <w:p>
      <w:pPr>
        <w:tabs>
          <w:tab w:val="left" w:pos="7513"/>
        </w:tabs>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提供7*24电话支持。</w:t>
      </w:r>
    </w:p>
    <w:p>
      <w:pPr>
        <w:spacing w:line="360" w:lineRule="auto"/>
        <w:ind w:firstLine="643" w:firstLineChars="200"/>
        <w:outlineLvl w:val="1"/>
        <w:rPr>
          <w:rFonts w:ascii="楷体" w:hAnsi="楷体" w:eastAsia="楷体" w:cs="楷体"/>
          <w:b/>
          <w:bCs/>
          <w:sz w:val="32"/>
          <w:szCs w:val="32"/>
        </w:rPr>
      </w:pPr>
      <w:r>
        <w:rPr>
          <w:rFonts w:hint="eastAsia" w:ascii="楷体" w:hAnsi="楷体" w:eastAsia="楷体" w:cs="楷体"/>
          <w:b/>
          <w:bCs/>
          <w:sz w:val="32"/>
          <w:szCs w:val="32"/>
        </w:rPr>
        <w:t>3.现场服务要求</w:t>
      </w:r>
    </w:p>
    <w:p>
      <w:pPr>
        <w:tabs>
          <w:tab w:val="left" w:pos="7513"/>
        </w:tabs>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提供5*9现场支持。</w:t>
      </w:r>
    </w:p>
    <w:p>
      <w:pPr>
        <w:spacing w:line="360" w:lineRule="auto"/>
        <w:ind w:firstLine="643" w:firstLineChars="200"/>
        <w:outlineLvl w:val="1"/>
        <w:rPr>
          <w:rFonts w:ascii="楷体" w:hAnsi="楷体" w:eastAsia="楷体" w:cs="楷体"/>
          <w:b/>
          <w:bCs/>
          <w:sz w:val="32"/>
          <w:szCs w:val="32"/>
        </w:rPr>
      </w:pPr>
      <w:r>
        <w:rPr>
          <w:rFonts w:hint="eastAsia" w:ascii="楷体" w:hAnsi="楷体" w:eastAsia="楷体" w:cs="楷体"/>
          <w:b/>
          <w:bCs/>
          <w:sz w:val="32"/>
          <w:szCs w:val="32"/>
        </w:rPr>
        <w:t>4.非工作时间应急服务要求</w:t>
      </w:r>
    </w:p>
    <w:p>
      <w:pPr>
        <w:tabs>
          <w:tab w:val="left" w:pos="7513"/>
        </w:tabs>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提供非工作时间1小时内上门服务。</w:t>
      </w:r>
    </w:p>
    <w:p>
      <w:pPr>
        <w:tabs>
          <w:tab w:val="left" w:pos="7513"/>
        </w:tabs>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遇突发故障，工作时间需半小时响应，如有紧急或重大情况发生，根据院方要求增派工程师提供现场服务。</w:t>
      </w:r>
    </w:p>
    <w:p>
      <w:pPr>
        <w:spacing w:line="360" w:lineRule="auto"/>
        <w:ind w:firstLine="643" w:firstLineChars="200"/>
        <w:outlineLvl w:val="1"/>
        <w:rPr>
          <w:rFonts w:ascii="楷体" w:hAnsi="楷体" w:eastAsia="楷体" w:cs="楷体"/>
          <w:b/>
          <w:bCs/>
          <w:sz w:val="32"/>
          <w:szCs w:val="32"/>
        </w:rPr>
      </w:pPr>
      <w:r>
        <w:rPr>
          <w:rFonts w:hint="eastAsia" w:ascii="楷体" w:hAnsi="楷体" w:eastAsia="楷体" w:cs="楷体"/>
          <w:b/>
          <w:bCs/>
          <w:sz w:val="32"/>
          <w:szCs w:val="32"/>
        </w:rPr>
        <w:t>5.特定活动保障</w:t>
      </w:r>
    </w:p>
    <w:p>
      <w:pPr>
        <w:tabs>
          <w:tab w:val="left" w:pos="7513"/>
        </w:tabs>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投标单位应承诺在招标单位特定活动时期,按照招标单位要求，提供专人进行活动保障。</w:t>
      </w:r>
    </w:p>
    <w:p>
      <w:pPr>
        <w:pStyle w:val="15"/>
      </w:pPr>
    </w:p>
    <w:sectPr>
      <w:footerReference r:id="rId3" w:type="default"/>
      <w:pgSz w:w="11906" w:h="16838"/>
      <w:pgMar w:top="1440" w:right="1800" w:bottom="1440" w:left="18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等线">
    <w:altName w:val="华文中宋"/>
    <w:panose1 w:val="02010600030101010101"/>
    <w:charset w:val="86"/>
    <w:family w:val="auto"/>
    <w:pitch w:val="default"/>
    <w:sig w:usb0="00000000" w:usb1="00000000" w:usb2="00000016" w:usb3="00000000" w:csb0="0004000F" w:csb1="00000000"/>
  </w:font>
  <w:font w:name="华文中宋">
    <w:panose1 w:val="02010600040101010101"/>
    <w:charset w:val="86"/>
    <w:family w:val="auto"/>
    <w:pitch w:val="default"/>
    <w:sig w:usb0="00000287" w:usb1="080F0000" w:usb2="00000000" w:usb3="00000000" w:csb0="0004009F" w:csb1="DFD70000"/>
  </w:font>
  <w:font w:name="方正黑体_GBK">
    <w:panose1 w:val="02000000000000000000"/>
    <w:charset w:val="86"/>
    <w:family w:val="auto"/>
    <w:pitch w:val="default"/>
    <w:sig w:usb0="00000001" w:usb1="08000000" w:usb2="00000000" w:usb3="00000000" w:csb0="00040000" w:csb1="00000000"/>
  </w:font>
  <w:font w:name="Arial">
    <w:altName w:val="DejaVu Sans"/>
    <w:panose1 w:val="020B0604020202020204"/>
    <w:charset w:val="00"/>
    <w:family w:val="swiss"/>
    <w:pitch w:val="default"/>
    <w:sig w:usb0="00000000" w:usb1="00000000" w:usb2="00000009" w:usb3="00000000" w:csb0="000001FF"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Cambria">
    <w:altName w:val="Noto Sans Syriac Eastern"/>
    <w:panose1 w:val="02040503050406030204"/>
    <w:charset w:val="00"/>
    <w:family w:val="roman"/>
    <w:pitch w:val="default"/>
    <w:sig w:usb0="00000000" w:usb1="00000000" w:usb2="00000000" w:usb3="00000000" w:csb0="0000019F" w:csb1="00000000"/>
  </w:font>
  <w:font w:name="Noto Sans Syriac Eastern">
    <w:panose1 w:val="02040503050306020203"/>
    <w:charset w:val="86"/>
    <w:family w:val="auto"/>
    <w:pitch w:val="default"/>
    <w:sig w:usb0="00000000" w:usb1="00000000" w:usb2="00000080" w:usb3="00000000" w:csb0="203E0161" w:csb1="D7FF0000"/>
  </w:font>
  <w:font w:name="Microsoft Sans Serif">
    <w:altName w:val="Liberation Sans"/>
    <w:panose1 w:val="020B0604020202020204"/>
    <w:charset w:val="00"/>
    <w:family w:val="swiss"/>
    <w:pitch w:val="default"/>
    <w:sig w:usb0="00000000" w:usb1="00000000" w:usb2="00000008" w:usb3="00000000" w:csb0="000101FF" w:csb1="00000000"/>
  </w:font>
  <w:font w:name="Liberation Sans">
    <w:panose1 w:val="020B0604020202020204"/>
    <w:charset w:val="00"/>
    <w:family w:val="auto"/>
    <w:pitch w:val="default"/>
    <w:sig w:usb0="A00002AF" w:usb1="500078FB" w:usb2="00000000" w:usb3="00000000" w:csb0="6000009F" w:csb1="DFD70000"/>
  </w:font>
  <w:font w:name="Tahoma">
    <w:altName w:val="DejaVu Sans"/>
    <w:panose1 w:val="020B0604030504040204"/>
    <w:charset w:val="00"/>
    <w:family w:val="swiss"/>
    <w:pitch w:val="default"/>
    <w:sig w:usb0="00000000" w:usb1="00000000" w:usb2="00000029" w:usb3="00000000" w:csb0="000101FF"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微软雅黑">
    <w:altName w:val="方正黑体_GBK"/>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jc w:val="right"/>
      <w:rPr>
        <w:rFonts w:ascii="宋体" w:hAnsi="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445135" cy="230505"/>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445135" cy="230505"/>
                      </a:xfrm>
                      <a:prstGeom prst="rect">
                        <a:avLst/>
                      </a:prstGeom>
                      <a:noFill/>
                      <a:ln>
                        <a:noFill/>
                      </a:ln>
                    </wps:spPr>
                    <wps:txbx>
                      <w:txbxContent>
                        <w:p>
                          <w:pPr>
                            <w:pStyle w:val="21"/>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7 -</w:t>
                          </w:r>
                          <w:r>
                            <w:rPr>
                              <w:rFonts w:ascii="宋体" w:hAnsi="宋体"/>
                              <w:sz w:val="28"/>
                              <w:szCs w:val="28"/>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8.15pt;width:35.05pt;mso-position-horizontal:outside;mso-position-horizontal-relative:margin;mso-wrap-style:none;z-index:251659264;mso-width-relative:page;mso-height-relative:page;" filled="f" stroked="f" coordsize="21600,21600" o:gfxdata="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BYAAABkcnMvUEsBAhQAFAAAAAgAh07iQJvOISfRAAAAAwEAAA8A&#10;AAAAAAAAAQAgAAAAOAAAAGRycy9kb3ducmV2LnhtbFBLAQIUABQAAAAIAIdO4kDeIT8pCAIAAAIE&#10;AAAOAAAAAAAAAAEAIAAAADYBAABkcnMvZTJvRG9jLnhtbFBLBQYAAAAABgAGAFkBAACwBQAAAAA=&#10;">
              <v:fill on="f" focussize="0,0"/>
              <v:stroke on="f"/>
              <v:imagedata o:title=""/>
              <o:lock v:ext="edit" aspectratio="f"/>
              <v:textbox inset="0mm,0mm,0mm,0mm" style="mso-fit-shape-to-text:t;">
                <w:txbxContent>
                  <w:p>
                    <w:pPr>
                      <w:pStyle w:val="21"/>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7 -</w:t>
                    </w:r>
                    <w:r>
                      <w:rPr>
                        <w:rFonts w:ascii="宋体" w:hAnsi="宋体"/>
                        <w:sz w:val="28"/>
                        <w:szCs w:val="28"/>
                      </w:rPr>
                      <w:fldChar w:fldCharType="end"/>
                    </w:r>
                  </w:p>
                </w:txbxContent>
              </v:textbox>
            </v:shape>
          </w:pict>
        </mc:Fallback>
      </mc:AlternateContent>
    </w:r>
  </w:p>
  <w:p>
    <w:pPr>
      <w:pStyle w:val="21"/>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A306BD"/>
    <w:multiLevelType w:val="multilevel"/>
    <w:tmpl w:val="0CA306BD"/>
    <w:lvl w:ilvl="0" w:tentative="0">
      <w:start w:val="1"/>
      <w:numFmt w:val="decimal"/>
      <w:lvlText w:val="%1"/>
      <w:lvlJc w:val="left"/>
      <w:pPr>
        <w:tabs>
          <w:tab w:val="left" w:pos="992"/>
        </w:tabs>
        <w:ind w:left="992" w:hanging="432"/>
      </w:pPr>
      <w:rPr>
        <w:rFonts w:hint="eastAsia"/>
      </w:rPr>
    </w:lvl>
    <w:lvl w:ilvl="1" w:tentative="0">
      <w:start w:val="1"/>
      <w:numFmt w:val="decimal"/>
      <w:pStyle w:val="61"/>
      <w:lvlText w:val="%1.%2"/>
      <w:lvlJc w:val="left"/>
      <w:pPr>
        <w:tabs>
          <w:tab w:val="left" w:pos="1136"/>
        </w:tabs>
        <w:ind w:left="1136" w:hanging="576"/>
      </w:pPr>
      <w:rPr>
        <w:rFonts w:hint="eastAsia"/>
      </w:rPr>
    </w:lvl>
    <w:lvl w:ilvl="2" w:tentative="0">
      <w:start w:val="1"/>
      <w:numFmt w:val="decimal"/>
      <w:lvlText w:val="%1.%2.%3"/>
      <w:lvlJc w:val="left"/>
      <w:pPr>
        <w:tabs>
          <w:tab w:val="left" w:pos="1280"/>
        </w:tabs>
        <w:ind w:left="1280" w:hanging="720"/>
      </w:pPr>
      <w:rPr>
        <w:rFonts w:hint="eastAsia"/>
      </w:rPr>
    </w:lvl>
    <w:lvl w:ilvl="3" w:tentative="0">
      <w:start w:val="1"/>
      <w:numFmt w:val="decimal"/>
      <w:lvlText w:val="%1.%2.%3.%4"/>
      <w:lvlJc w:val="left"/>
      <w:pPr>
        <w:tabs>
          <w:tab w:val="left" w:pos="1424"/>
        </w:tabs>
        <w:ind w:left="1424" w:hanging="864"/>
      </w:pPr>
      <w:rPr>
        <w:rFonts w:hint="eastAsia"/>
      </w:rPr>
    </w:lvl>
    <w:lvl w:ilvl="4" w:tentative="0">
      <w:start w:val="1"/>
      <w:numFmt w:val="decimal"/>
      <w:lvlText w:val="%1.%2.%3.%4.%5"/>
      <w:lvlJc w:val="left"/>
      <w:pPr>
        <w:tabs>
          <w:tab w:val="left" w:pos="1568"/>
        </w:tabs>
        <w:ind w:left="1568" w:hanging="1008"/>
      </w:pPr>
      <w:rPr>
        <w:rFonts w:hint="eastAsia"/>
      </w:rPr>
    </w:lvl>
    <w:lvl w:ilvl="5" w:tentative="0">
      <w:start w:val="1"/>
      <w:numFmt w:val="decimal"/>
      <w:lvlText w:val="%1.%2.%3.%4.%5.%6"/>
      <w:lvlJc w:val="left"/>
      <w:pPr>
        <w:tabs>
          <w:tab w:val="left" w:pos="1712"/>
        </w:tabs>
        <w:ind w:left="1712" w:hanging="1152"/>
      </w:pPr>
      <w:rPr>
        <w:rFonts w:hint="eastAsia"/>
      </w:rPr>
    </w:lvl>
    <w:lvl w:ilvl="6" w:tentative="0">
      <w:start w:val="1"/>
      <w:numFmt w:val="decimal"/>
      <w:lvlText w:val="%1.%2.%3.%4.%5.%6.%7"/>
      <w:lvlJc w:val="left"/>
      <w:pPr>
        <w:tabs>
          <w:tab w:val="left" w:pos="1856"/>
        </w:tabs>
        <w:ind w:left="1856" w:hanging="1296"/>
      </w:pPr>
      <w:rPr>
        <w:rFonts w:hint="eastAsia"/>
      </w:rPr>
    </w:lvl>
    <w:lvl w:ilvl="7" w:tentative="0">
      <w:start w:val="1"/>
      <w:numFmt w:val="decimal"/>
      <w:lvlText w:val="%1.%2.%3.%4.%5.%6.%7.%8"/>
      <w:lvlJc w:val="left"/>
      <w:pPr>
        <w:tabs>
          <w:tab w:val="left" w:pos="2000"/>
        </w:tabs>
        <w:ind w:left="2000" w:hanging="1440"/>
      </w:pPr>
      <w:rPr>
        <w:rFonts w:hint="eastAsia"/>
      </w:rPr>
    </w:lvl>
    <w:lvl w:ilvl="8" w:tentative="0">
      <w:start w:val="1"/>
      <w:numFmt w:val="decimal"/>
      <w:lvlText w:val="%1.%2.%3.%4.%5.%6.%7.%8.%9"/>
      <w:lvlJc w:val="left"/>
      <w:pPr>
        <w:tabs>
          <w:tab w:val="left" w:pos="2144"/>
        </w:tabs>
        <w:ind w:left="2144" w:hanging="1584"/>
      </w:pPr>
      <w:rPr>
        <w:rFonts w:hint="eastAsia"/>
      </w:rPr>
    </w:lvl>
  </w:abstractNum>
  <w:abstractNum w:abstractNumId="1">
    <w:nsid w:val="273F4527"/>
    <w:multiLevelType w:val="multilevel"/>
    <w:tmpl w:val="273F4527"/>
    <w:lvl w:ilvl="0" w:tentative="0">
      <w:start w:val="1"/>
      <w:numFmt w:val="decimal"/>
      <w:lvlText w:val="%1"/>
      <w:lvlJc w:val="left"/>
      <w:pPr>
        <w:tabs>
          <w:tab w:val="left" w:pos="425"/>
        </w:tabs>
        <w:ind w:left="425" w:hanging="425"/>
      </w:pPr>
      <w:rPr>
        <w:rFonts w:hint="eastAsia"/>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pStyle w:val="59"/>
      <w:lvlText w:val="%1.%2.%3.%4"/>
      <w:lvlJc w:val="left"/>
      <w:pPr>
        <w:tabs>
          <w:tab w:val="left" w:pos="2356"/>
        </w:tabs>
        <w:ind w:left="1984" w:hanging="708"/>
      </w:pPr>
      <w:rPr>
        <w:rFonts w:hint="eastAsia"/>
      </w:rPr>
    </w:lvl>
    <w:lvl w:ilvl="4" w:tentative="0">
      <w:start w:val="1"/>
      <w:numFmt w:val="decimal"/>
      <w:lvlText w:val="%1.%2.%3.%4.%5"/>
      <w:lvlJc w:val="left"/>
      <w:pPr>
        <w:tabs>
          <w:tab w:val="left" w:pos="278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991"/>
        </w:tabs>
        <w:ind w:left="3827" w:hanging="1276"/>
      </w:pPr>
      <w:rPr>
        <w:rFonts w:hint="eastAsia"/>
      </w:rPr>
    </w:lvl>
    <w:lvl w:ilvl="7" w:tentative="0">
      <w:start w:val="1"/>
      <w:numFmt w:val="decimal"/>
      <w:lvlText w:val="%1.%2.%3.%4.%5.%6.%7.%8"/>
      <w:lvlJc w:val="left"/>
      <w:pPr>
        <w:tabs>
          <w:tab w:val="left" w:pos="4776"/>
        </w:tabs>
        <w:ind w:left="4394" w:hanging="1418"/>
      </w:pPr>
      <w:rPr>
        <w:rFonts w:hint="eastAsia"/>
      </w:rPr>
    </w:lvl>
    <w:lvl w:ilvl="8" w:tentative="0">
      <w:start w:val="1"/>
      <w:numFmt w:val="decimal"/>
      <w:lvlText w:val="%1.%2.%3.%4.%5.%6.%7.%8.%9"/>
      <w:lvlJc w:val="left"/>
      <w:pPr>
        <w:tabs>
          <w:tab w:val="left" w:pos="5202"/>
        </w:tabs>
        <w:ind w:left="5102" w:hanging="1700"/>
      </w:pPr>
      <w:rPr>
        <w:rFonts w:hint="eastAsia"/>
      </w:rPr>
    </w:lvl>
  </w:abstractNum>
  <w:abstractNum w:abstractNumId="2">
    <w:nsid w:val="28201E74"/>
    <w:multiLevelType w:val="multilevel"/>
    <w:tmpl w:val="28201E74"/>
    <w:lvl w:ilvl="0" w:tentative="0">
      <w:start w:val="1"/>
      <w:numFmt w:val="upperLetter"/>
      <w:lvlText w:val="%1."/>
      <w:lvlJc w:val="left"/>
      <w:pPr>
        <w:tabs>
          <w:tab w:val="left" w:pos="840"/>
        </w:tabs>
        <w:ind w:left="840" w:hanging="420"/>
      </w:pPr>
      <w:rPr>
        <w:b w:val="0"/>
      </w:rPr>
    </w:lvl>
    <w:lvl w:ilvl="1" w:tentative="0">
      <w:start w:val="1"/>
      <w:numFmt w:val="bullet"/>
      <w:pStyle w:val="66"/>
      <w:lvlText w:val=""/>
      <w:lvlJc w:val="left"/>
      <w:pPr>
        <w:tabs>
          <w:tab w:val="left" w:pos="1260"/>
        </w:tabs>
        <w:ind w:left="1260" w:hanging="420"/>
      </w:pPr>
      <w:rPr>
        <w:rFonts w:hint="default" w:ascii="Wingdings" w:hAnsi="Wingdings"/>
        <w:b w:val="0"/>
      </w:r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3">
    <w:nsid w:val="5E34A919"/>
    <w:multiLevelType w:val="multilevel"/>
    <w:tmpl w:val="5E34A919"/>
    <w:lvl w:ilvl="0" w:tentative="0">
      <w:start w:val="1"/>
      <w:numFmt w:val="chineseCountingThousand"/>
      <w:pStyle w:val="2"/>
      <w:lvlText w:val="%1、"/>
      <w:lvlJc w:val="left"/>
      <w:pPr>
        <w:tabs>
          <w:tab w:val="left" w:pos="284"/>
        </w:tabs>
        <w:ind w:left="425" w:hanging="425"/>
      </w:pPr>
      <w:rPr>
        <w:rFonts w:hint="eastAsia"/>
      </w:rPr>
    </w:lvl>
    <w:lvl w:ilvl="1" w:tentative="0">
      <w:start w:val="1"/>
      <w:numFmt w:val="decimal"/>
      <w:isLgl/>
      <w:lvlText w:val="%1.%2"/>
      <w:lvlJc w:val="left"/>
      <w:pPr>
        <w:tabs>
          <w:tab w:val="left" w:pos="397"/>
        </w:tabs>
        <w:ind w:left="0" w:firstLine="0"/>
      </w:pPr>
      <w:rPr>
        <w:rFonts w:hint="eastAsia"/>
      </w:rPr>
    </w:lvl>
    <w:lvl w:ilvl="2" w:tentative="0">
      <w:start w:val="1"/>
      <w:numFmt w:val="decimal"/>
      <w:suff w:val="space"/>
      <w:lvlText w:val="%2.%3"/>
      <w:lvlJc w:val="left"/>
      <w:pPr>
        <w:ind w:left="0" w:firstLine="0"/>
      </w:pPr>
      <w:rPr>
        <w:rFonts w:hint="eastAsia"/>
      </w:rPr>
    </w:lvl>
    <w:lvl w:ilvl="3" w:tentative="0">
      <w:start w:val="1"/>
      <w:numFmt w:val="decimal"/>
      <w:suff w:val="space"/>
      <w:lvlText w:val="%2.%3.%4"/>
      <w:lvlJc w:val="left"/>
      <w:pPr>
        <w:ind w:left="851" w:hanging="851"/>
      </w:pPr>
      <w:rPr>
        <w:rFonts w:hint="eastAsia"/>
      </w:rPr>
    </w:lvl>
    <w:lvl w:ilvl="4" w:tentative="0">
      <w:start w:val="1"/>
      <w:numFmt w:val="decimal"/>
      <w:suff w:val="space"/>
      <w:lvlText w:val="%2.%3.%4.%5"/>
      <w:lvlJc w:val="left"/>
      <w:pPr>
        <w:ind w:left="992" w:hanging="992"/>
      </w:pPr>
      <w:rPr>
        <w:rFonts w:hint="eastAsia"/>
      </w:rPr>
    </w:lvl>
    <w:lvl w:ilvl="5" w:tentative="0">
      <w:start w:val="1"/>
      <w:numFmt w:val="decimal"/>
      <w:suff w:val="space"/>
      <w:lvlText w:val="%2.%3.%4.%5.%6"/>
      <w:lvlJc w:val="left"/>
      <w:pPr>
        <w:ind w:left="1134" w:hanging="1134"/>
      </w:pPr>
      <w:rPr>
        <w:rFonts w:hint="eastAsia"/>
      </w:rPr>
    </w:lvl>
    <w:lvl w:ilvl="6" w:tentative="0">
      <w:start w:val="1"/>
      <w:numFmt w:val="decimal"/>
      <w:suff w:val="space"/>
      <w:lvlText w:val="%2.%3.%4.%5.%6.%7"/>
      <w:lvlJc w:val="left"/>
      <w:pPr>
        <w:ind w:left="0" w:firstLine="0"/>
      </w:pPr>
      <w:rPr>
        <w:rFonts w:hint="eastAsia"/>
      </w:rPr>
    </w:lvl>
    <w:lvl w:ilvl="7" w:tentative="0">
      <w:start w:val="1"/>
      <w:numFmt w:val="decimal"/>
      <w:suff w:val="space"/>
      <w:lvlText w:val="%2.%3.%4.%5.%6.%7.%8"/>
      <w:lvlJc w:val="left"/>
      <w:pPr>
        <w:ind w:left="0" w:firstLine="0"/>
      </w:pPr>
      <w:rPr>
        <w:rFonts w:hint="eastAsia"/>
      </w:rPr>
    </w:lvl>
    <w:lvl w:ilvl="8" w:tentative="0">
      <w:start w:val="1"/>
      <w:numFmt w:val="decimal"/>
      <w:suff w:val="space"/>
      <w:lvlText w:val="（%9）"/>
      <w:lvlJc w:val="left"/>
      <w:pPr>
        <w:ind w:left="0" w:firstLine="0"/>
      </w:pPr>
      <w:rPr>
        <w:rFonts w:hint="eastAsia"/>
      </w:rPr>
    </w:lvl>
  </w:abstractNum>
  <w:abstractNum w:abstractNumId="4">
    <w:nsid w:val="64F12FD6"/>
    <w:multiLevelType w:val="multilevel"/>
    <w:tmpl w:val="64F12FD6"/>
    <w:lvl w:ilvl="0" w:tentative="0">
      <w:start w:val="1"/>
      <w:numFmt w:val="chineseCountingThousand"/>
      <w:lvlText w:val="%1、"/>
      <w:lvlJc w:val="left"/>
      <w:pPr>
        <w:ind w:left="432" w:hanging="432"/>
      </w:pPr>
      <w:rPr>
        <w:rFonts w:hint="eastAsia"/>
      </w:rPr>
    </w:lvl>
    <w:lvl w:ilvl="1" w:tentative="0">
      <w:start w:val="1"/>
      <w:numFmt w:val="decimal"/>
      <w:pStyle w:val="3"/>
      <w:isLgl/>
      <w:lvlText w:val="%1.%2"/>
      <w:lvlJc w:val="left"/>
      <w:pPr>
        <w:ind w:left="718" w:hanging="576"/>
      </w:pPr>
      <w:rPr>
        <w:rFonts w:hint="eastAsia"/>
      </w:rPr>
    </w:lvl>
    <w:lvl w:ilvl="2" w:tentative="0">
      <w:start w:val="1"/>
      <w:numFmt w:val="decimal"/>
      <w:pStyle w:val="4"/>
      <w:lvlText w:val="%1.%2.%3"/>
      <w:lvlJc w:val="left"/>
      <w:pPr>
        <w:ind w:left="720" w:hanging="720"/>
      </w:pPr>
      <w:rPr>
        <w:rFonts w:hint="eastAsia"/>
      </w:rPr>
    </w:lvl>
    <w:lvl w:ilvl="3" w:tentative="0">
      <w:start w:val="1"/>
      <w:numFmt w:val="decimal"/>
      <w:pStyle w:val="5"/>
      <w:lvlText w:val="%1.%2.%3.%4"/>
      <w:lvlJc w:val="left"/>
      <w:pPr>
        <w:ind w:left="864" w:hanging="864"/>
      </w:pPr>
      <w:rPr>
        <w:rFonts w:hint="eastAsia"/>
      </w:rPr>
    </w:lvl>
    <w:lvl w:ilvl="4" w:tentative="0">
      <w:start w:val="1"/>
      <w:numFmt w:val="decimal"/>
      <w:pStyle w:val="6"/>
      <w:lvlText w:val="%1.%2.%3.%4.%5"/>
      <w:lvlJc w:val="left"/>
      <w:pPr>
        <w:ind w:left="1008" w:hanging="1008"/>
      </w:pPr>
      <w:rPr>
        <w:rFonts w:hint="eastAsia"/>
      </w:rPr>
    </w:lvl>
    <w:lvl w:ilvl="5" w:tentative="0">
      <w:start w:val="1"/>
      <w:numFmt w:val="decimal"/>
      <w:pStyle w:val="7"/>
      <w:lvlText w:val="%1.%2.%3.%4.%5.%6"/>
      <w:lvlJc w:val="left"/>
      <w:pPr>
        <w:ind w:left="1152" w:hanging="1152"/>
      </w:pPr>
      <w:rPr>
        <w:rFonts w:hint="eastAsia"/>
      </w:rPr>
    </w:lvl>
    <w:lvl w:ilvl="6" w:tentative="0">
      <w:start w:val="1"/>
      <w:numFmt w:val="decimal"/>
      <w:pStyle w:val="8"/>
      <w:lvlText w:val="%1.%2.%3.%4.%5.%6.%7"/>
      <w:lvlJc w:val="left"/>
      <w:pPr>
        <w:ind w:left="1296" w:hanging="1296"/>
      </w:pPr>
      <w:rPr>
        <w:rFonts w:hint="eastAsia"/>
      </w:rPr>
    </w:lvl>
    <w:lvl w:ilvl="7" w:tentative="0">
      <w:start w:val="1"/>
      <w:numFmt w:val="decimal"/>
      <w:pStyle w:val="9"/>
      <w:lvlText w:val="%1.%2.%3.%4.%5.%6.%7.%8"/>
      <w:lvlJc w:val="left"/>
      <w:pPr>
        <w:ind w:left="1440" w:hanging="1440"/>
      </w:pPr>
      <w:rPr>
        <w:rFonts w:hint="eastAsia"/>
      </w:rPr>
    </w:lvl>
    <w:lvl w:ilvl="8" w:tentative="0">
      <w:start w:val="1"/>
      <w:numFmt w:val="decimal"/>
      <w:pStyle w:val="10"/>
      <w:lvlText w:val="%1.%2.%3.%4.%5.%6.%7.%8.%9"/>
      <w:lvlJc w:val="left"/>
      <w:pPr>
        <w:ind w:left="1584" w:hanging="1584"/>
      </w:pPr>
      <w:rPr>
        <w:rFonts w:hint="eastAsia"/>
      </w:rPr>
    </w:lvl>
  </w:abstractNum>
  <w:abstractNum w:abstractNumId="5">
    <w:nsid w:val="6E284316"/>
    <w:multiLevelType w:val="multilevel"/>
    <w:tmpl w:val="6E284316"/>
    <w:lvl w:ilvl="0" w:tentative="0">
      <w:start w:val="1"/>
      <w:numFmt w:val="japaneseCounting"/>
      <w:pStyle w:val="64"/>
      <w:lvlText w:val="%1、"/>
      <w:lvlJc w:val="left"/>
      <w:pPr>
        <w:tabs>
          <w:tab w:val="left" w:pos="480"/>
        </w:tabs>
        <w:ind w:left="480" w:hanging="480"/>
      </w:pPr>
      <w:rPr>
        <w:rFonts w:hint="default"/>
        <w:lang w:val="en-US"/>
      </w:rPr>
    </w:lvl>
    <w:lvl w:ilvl="1" w:tentative="0">
      <w:start w:val="1"/>
      <w:numFmt w:val="decimal"/>
      <w:lvlText w:val="%2、"/>
      <w:lvlJc w:val="left"/>
      <w:pPr>
        <w:tabs>
          <w:tab w:val="left" w:pos="-60"/>
        </w:tabs>
        <w:ind w:left="-60" w:firstLine="420"/>
      </w:pPr>
      <w:rPr>
        <w:rFonts w:hint="eastAsia"/>
      </w:rPr>
    </w:lvl>
    <w:lvl w:ilvl="2" w:tentative="0">
      <w:start w:val="1"/>
      <w:numFmt w:val="decimal"/>
      <w:lvlText w:val="%3、"/>
      <w:lvlJc w:val="left"/>
      <w:pPr>
        <w:tabs>
          <w:tab w:val="left" w:pos="1350"/>
        </w:tabs>
        <w:ind w:left="1350" w:hanging="510"/>
      </w:pPr>
      <w:rPr>
        <w:rFonts w:hint="eastAsia"/>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4"/>
  </w:num>
  <w:num w:numId="3">
    <w:abstractNumId w:val="1"/>
  </w:num>
  <w:num w:numId="4">
    <w:abstractNumId w:val="0"/>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RkYjIzYmNjMjY2YmRjNGY5ODQ1ZDhjYWMwNzBlYTkifQ=="/>
  </w:docVars>
  <w:rsids>
    <w:rsidRoot w:val="00172A27"/>
    <w:rsid w:val="000056EF"/>
    <w:rsid w:val="00006C34"/>
    <w:rsid w:val="00011730"/>
    <w:rsid w:val="00013DF1"/>
    <w:rsid w:val="00015956"/>
    <w:rsid w:val="00017C20"/>
    <w:rsid w:val="000240F5"/>
    <w:rsid w:val="00025802"/>
    <w:rsid w:val="00027D2D"/>
    <w:rsid w:val="00032DFA"/>
    <w:rsid w:val="00051F2A"/>
    <w:rsid w:val="0005580D"/>
    <w:rsid w:val="000760A5"/>
    <w:rsid w:val="00086C92"/>
    <w:rsid w:val="00092A9F"/>
    <w:rsid w:val="0009679D"/>
    <w:rsid w:val="000B3E51"/>
    <w:rsid w:val="000D0F5A"/>
    <w:rsid w:val="000D6EBE"/>
    <w:rsid w:val="000D760D"/>
    <w:rsid w:val="000E275F"/>
    <w:rsid w:val="000F542F"/>
    <w:rsid w:val="00100C53"/>
    <w:rsid w:val="00102321"/>
    <w:rsid w:val="00106F3B"/>
    <w:rsid w:val="001129F3"/>
    <w:rsid w:val="0011326E"/>
    <w:rsid w:val="001148C3"/>
    <w:rsid w:val="001206BE"/>
    <w:rsid w:val="00126722"/>
    <w:rsid w:val="00130DC0"/>
    <w:rsid w:val="001314B3"/>
    <w:rsid w:val="00131DA1"/>
    <w:rsid w:val="001377B0"/>
    <w:rsid w:val="001461CB"/>
    <w:rsid w:val="00153E7A"/>
    <w:rsid w:val="0015722F"/>
    <w:rsid w:val="00164E78"/>
    <w:rsid w:val="00172A27"/>
    <w:rsid w:val="00191985"/>
    <w:rsid w:val="001A35FB"/>
    <w:rsid w:val="001A3FD6"/>
    <w:rsid w:val="001B0F01"/>
    <w:rsid w:val="001B1333"/>
    <w:rsid w:val="001B4664"/>
    <w:rsid w:val="001D4794"/>
    <w:rsid w:val="001D7E24"/>
    <w:rsid w:val="001E2375"/>
    <w:rsid w:val="001E47F9"/>
    <w:rsid w:val="001F0498"/>
    <w:rsid w:val="001F3A89"/>
    <w:rsid w:val="001F3C28"/>
    <w:rsid w:val="00201ACB"/>
    <w:rsid w:val="00211CF9"/>
    <w:rsid w:val="002433D1"/>
    <w:rsid w:val="00243CA5"/>
    <w:rsid w:val="00246825"/>
    <w:rsid w:val="00264219"/>
    <w:rsid w:val="00280ED1"/>
    <w:rsid w:val="0028254B"/>
    <w:rsid w:val="0029276C"/>
    <w:rsid w:val="0029497B"/>
    <w:rsid w:val="002A667C"/>
    <w:rsid w:val="002B3BB3"/>
    <w:rsid w:val="002B5B16"/>
    <w:rsid w:val="002E108E"/>
    <w:rsid w:val="002E1869"/>
    <w:rsid w:val="002E3E05"/>
    <w:rsid w:val="002E6699"/>
    <w:rsid w:val="002F238E"/>
    <w:rsid w:val="002F4CB6"/>
    <w:rsid w:val="002F5BE7"/>
    <w:rsid w:val="00302E9B"/>
    <w:rsid w:val="003116CE"/>
    <w:rsid w:val="00311F56"/>
    <w:rsid w:val="00316FD4"/>
    <w:rsid w:val="00317860"/>
    <w:rsid w:val="00345B09"/>
    <w:rsid w:val="00346BB5"/>
    <w:rsid w:val="00347DC3"/>
    <w:rsid w:val="0035118F"/>
    <w:rsid w:val="00354279"/>
    <w:rsid w:val="00377B7B"/>
    <w:rsid w:val="00381649"/>
    <w:rsid w:val="00383EB8"/>
    <w:rsid w:val="0039048B"/>
    <w:rsid w:val="003905B4"/>
    <w:rsid w:val="0039614B"/>
    <w:rsid w:val="003961A6"/>
    <w:rsid w:val="003A714E"/>
    <w:rsid w:val="003B1076"/>
    <w:rsid w:val="003B37D7"/>
    <w:rsid w:val="003B52B8"/>
    <w:rsid w:val="003B678F"/>
    <w:rsid w:val="003C5AB9"/>
    <w:rsid w:val="003D299F"/>
    <w:rsid w:val="003D4A35"/>
    <w:rsid w:val="003D6740"/>
    <w:rsid w:val="003E54F2"/>
    <w:rsid w:val="003E7EF1"/>
    <w:rsid w:val="003F10B2"/>
    <w:rsid w:val="003F1AF4"/>
    <w:rsid w:val="003F3980"/>
    <w:rsid w:val="003F3D43"/>
    <w:rsid w:val="003F491D"/>
    <w:rsid w:val="003F5FD6"/>
    <w:rsid w:val="003F76B0"/>
    <w:rsid w:val="004027D3"/>
    <w:rsid w:val="00407688"/>
    <w:rsid w:val="00411A9A"/>
    <w:rsid w:val="0041440E"/>
    <w:rsid w:val="00424B62"/>
    <w:rsid w:val="00426569"/>
    <w:rsid w:val="00441C39"/>
    <w:rsid w:val="00444547"/>
    <w:rsid w:val="00451AB0"/>
    <w:rsid w:val="00452D9C"/>
    <w:rsid w:val="004532CC"/>
    <w:rsid w:val="0046148E"/>
    <w:rsid w:val="004618A8"/>
    <w:rsid w:val="00473723"/>
    <w:rsid w:val="0048319A"/>
    <w:rsid w:val="004975E6"/>
    <w:rsid w:val="004C1748"/>
    <w:rsid w:val="004C6D51"/>
    <w:rsid w:val="004D3003"/>
    <w:rsid w:val="004D643F"/>
    <w:rsid w:val="004D7C2A"/>
    <w:rsid w:val="004E771D"/>
    <w:rsid w:val="004F4870"/>
    <w:rsid w:val="004F4C07"/>
    <w:rsid w:val="004F6A38"/>
    <w:rsid w:val="00506764"/>
    <w:rsid w:val="00506A36"/>
    <w:rsid w:val="00510477"/>
    <w:rsid w:val="00510E20"/>
    <w:rsid w:val="00513468"/>
    <w:rsid w:val="00521D39"/>
    <w:rsid w:val="00523A72"/>
    <w:rsid w:val="00526E6A"/>
    <w:rsid w:val="00542DE0"/>
    <w:rsid w:val="00544AE2"/>
    <w:rsid w:val="00546925"/>
    <w:rsid w:val="005479E3"/>
    <w:rsid w:val="005525ED"/>
    <w:rsid w:val="00555482"/>
    <w:rsid w:val="0057226B"/>
    <w:rsid w:val="00572E95"/>
    <w:rsid w:val="0057353A"/>
    <w:rsid w:val="0058486C"/>
    <w:rsid w:val="00587138"/>
    <w:rsid w:val="00593A45"/>
    <w:rsid w:val="00594466"/>
    <w:rsid w:val="005949B0"/>
    <w:rsid w:val="00596A57"/>
    <w:rsid w:val="005A5477"/>
    <w:rsid w:val="005B4B84"/>
    <w:rsid w:val="005B69A6"/>
    <w:rsid w:val="005C71AF"/>
    <w:rsid w:val="005D1A76"/>
    <w:rsid w:val="005F05D2"/>
    <w:rsid w:val="005F2362"/>
    <w:rsid w:val="005F5B37"/>
    <w:rsid w:val="00601338"/>
    <w:rsid w:val="00605834"/>
    <w:rsid w:val="00624577"/>
    <w:rsid w:val="00625D4A"/>
    <w:rsid w:val="00643FBE"/>
    <w:rsid w:val="00670033"/>
    <w:rsid w:val="006703C8"/>
    <w:rsid w:val="00670C03"/>
    <w:rsid w:val="006723E0"/>
    <w:rsid w:val="00674C62"/>
    <w:rsid w:val="00680637"/>
    <w:rsid w:val="006843FD"/>
    <w:rsid w:val="00686434"/>
    <w:rsid w:val="006A749D"/>
    <w:rsid w:val="006B1C71"/>
    <w:rsid w:val="006B3C8A"/>
    <w:rsid w:val="006B4AAC"/>
    <w:rsid w:val="006B7120"/>
    <w:rsid w:val="006C5799"/>
    <w:rsid w:val="006C7E96"/>
    <w:rsid w:val="006D2674"/>
    <w:rsid w:val="006E01A5"/>
    <w:rsid w:val="006E35A7"/>
    <w:rsid w:val="006E724D"/>
    <w:rsid w:val="006F2004"/>
    <w:rsid w:val="0071667B"/>
    <w:rsid w:val="00725BB6"/>
    <w:rsid w:val="00726F35"/>
    <w:rsid w:val="00733C5D"/>
    <w:rsid w:val="00743E0B"/>
    <w:rsid w:val="00745AB1"/>
    <w:rsid w:val="00747E3F"/>
    <w:rsid w:val="00752600"/>
    <w:rsid w:val="00754F63"/>
    <w:rsid w:val="00770712"/>
    <w:rsid w:val="0077540A"/>
    <w:rsid w:val="00782460"/>
    <w:rsid w:val="00786586"/>
    <w:rsid w:val="007C0FA3"/>
    <w:rsid w:val="007C1264"/>
    <w:rsid w:val="007D16CF"/>
    <w:rsid w:val="007D462B"/>
    <w:rsid w:val="007E0FFE"/>
    <w:rsid w:val="007E2507"/>
    <w:rsid w:val="007F0D96"/>
    <w:rsid w:val="007F5952"/>
    <w:rsid w:val="007F679C"/>
    <w:rsid w:val="007F784B"/>
    <w:rsid w:val="00801C3F"/>
    <w:rsid w:val="008022E1"/>
    <w:rsid w:val="00805555"/>
    <w:rsid w:val="00807AF8"/>
    <w:rsid w:val="008146B0"/>
    <w:rsid w:val="00820506"/>
    <w:rsid w:val="00820883"/>
    <w:rsid w:val="00821051"/>
    <w:rsid w:val="00821FB6"/>
    <w:rsid w:val="0083173F"/>
    <w:rsid w:val="008335F0"/>
    <w:rsid w:val="00836E3C"/>
    <w:rsid w:val="008408BA"/>
    <w:rsid w:val="00845847"/>
    <w:rsid w:val="00850504"/>
    <w:rsid w:val="00852C73"/>
    <w:rsid w:val="00860907"/>
    <w:rsid w:val="00862DC5"/>
    <w:rsid w:val="00871540"/>
    <w:rsid w:val="008A1C41"/>
    <w:rsid w:val="008A6B7D"/>
    <w:rsid w:val="008B4945"/>
    <w:rsid w:val="008B6E70"/>
    <w:rsid w:val="008D7D43"/>
    <w:rsid w:val="008E5370"/>
    <w:rsid w:val="008E64C9"/>
    <w:rsid w:val="008E6EFF"/>
    <w:rsid w:val="008F0258"/>
    <w:rsid w:val="008F15B1"/>
    <w:rsid w:val="008F7DA1"/>
    <w:rsid w:val="00917B52"/>
    <w:rsid w:val="00944767"/>
    <w:rsid w:val="009643C5"/>
    <w:rsid w:val="00964E61"/>
    <w:rsid w:val="0098067A"/>
    <w:rsid w:val="00981923"/>
    <w:rsid w:val="0099137F"/>
    <w:rsid w:val="00996B23"/>
    <w:rsid w:val="00996D11"/>
    <w:rsid w:val="0099773C"/>
    <w:rsid w:val="009A0CAA"/>
    <w:rsid w:val="009A44BF"/>
    <w:rsid w:val="009A76B1"/>
    <w:rsid w:val="009A7B61"/>
    <w:rsid w:val="009B4008"/>
    <w:rsid w:val="009B7F37"/>
    <w:rsid w:val="009C1CB7"/>
    <w:rsid w:val="009C6931"/>
    <w:rsid w:val="009D58F7"/>
    <w:rsid w:val="009E797F"/>
    <w:rsid w:val="009F04B1"/>
    <w:rsid w:val="009F50F2"/>
    <w:rsid w:val="00A0300C"/>
    <w:rsid w:val="00A074E9"/>
    <w:rsid w:val="00A106FB"/>
    <w:rsid w:val="00A209CB"/>
    <w:rsid w:val="00A253F0"/>
    <w:rsid w:val="00A34C10"/>
    <w:rsid w:val="00A439A8"/>
    <w:rsid w:val="00A467A4"/>
    <w:rsid w:val="00A5263D"/>
    <w:rsid w:val="00A52A12"/>
    <w:rsid w:val="00A61694"/>
    <w:rsid w:val="00A63132"/>
    <w:rsid w:val="00A649C7"/>
    <w:rsid w:val="00A82394"/>
    <w:rsid w:val="00A827FF"/>
    <w:rsid w:val="00A83648"/>
    <w:rsid w:val="00A872E7"/>
    <w:rsid w:val="00A87B9A"/>
    <w:rsid w:val="00A87EC7"/>
    <w:rsid w:val="00A93EBE"/>
    <w:rsid w:val="00AA2F43"/>
    <w:rsid w:val="00AA3298"/>
    <w:rsid w:val="00AB0854"/>
    <w:rsid w:val="00AB2120"/>
    <w:rsid w:val="00AB2971"/>
    <w:rsid w:val="00AC19EC"/>
    <w:rsid w:val="00AC4F8A"/>
    <w:rsid w:val="00AD6D61"/>
    <w:rsid w:val="00AE0C27"/>
    <w:rsid w:val="00AE1A11"/>
    <w:rsid w:val="00AE426A"/>
    <w:rsid w:val="00AF2CD9"/>
    <w:rsid w:val="00AF73B9"/>
    <w:rsid w:val="00B008FD"/>
    <w:rsid w:val="00B15DA8"/>
    <w:rsid w:val="00B222E2"/>
    <w:rsid w:val="00B261E9"/>
    <w:rsid w:val="00B27BE1"/>
    <w:rsid w:val="00B318FC"/>
    <w:rsid w:val="00B34EB0"/>
    <w:rsid w:val="00B3552E"/>
    <w:rsid w:val="00B53564"/>
    <w:rsid w:val="00B66D67"/>
    <w:rsid w:val="00B67024"/>
    <w:rsid w:val="00B7044C"/>
    <w:rsid w:val="00B87EEB"/>
    <w:rsid w:val="00B97B61"/>
    <w:rsid w:val="00BA0427"/>
    <w:rsid w:val="00BB26F7"/>
    <w:rsid w:val="00BC3F9A"/>
    <w:rsid w:val="00BC6F65"/>
    <w:rsid w:val="00BD5B7A"/>
    <w:rsid w:val="00BD64B8"/>
    <w:rsid w:val="00BE3E70"/>
    <w:rsid w:val="00BF1E5E"/>
    <w:rsid w:val="00BF5C11"/>
    <w:rsid w:val="00BF7D54"/>
    <w:rsid w:val="00C052B5"/>
    <w:rsid w:val="00C15573"/>
    <w:rsid w:val="00C24554"/>
    <w:rsid w:val="00C3734F"/>
    <w:rsid w:val="00C37F34"/>
    <w:rsid w:val="00C531AE"/>
    <w:rsid w:val="00C67811"/>
    <w:rsid w:val="00C710DC"/>
    <w:rsid w:val="00C81550"/>
    <w:rsid w:val="00C826E3"/>
    <w:rsid w:val="00C96994"/>
    <w:rsid w:val="00CA17EF"/>
    <w:rsid w:val="00CA28EA"/>
    <w:rsid w:val="00CC2A47"/>
    <w:rsid w:val="00CC6A72"/>
    <w:rsid w:val="00CD4C4F"/>
    <w:rsid w:val="00CD74A5"/>
    <w:rsid w:val="00CE0630"/>
    <w:rsid w:val="00CE5128"/>
    <w:rsid w:val="00CF5016"/>
    <w:rsid w:val="00D02068"/>
    <w:rsid w:val="00D04C7E"/>
    <w:rsid w:val="00D152C4"/>
    <w:rsid w:val="00D20FDE"/>
    <w:rsid w:val="00D32AD2"/>
    <w:rsid w:val="00D40BF7"/>
    <w:rsid w:val="00D41C1E"/>
    <w:rsid w:val="00D450DB"/>
    <w:rsid w:val="00D45B08"/>
    <w:rsid w:val="00D46880"/>
    <w:rsid w:val="00D479AE"/>
    <w:rsid w:val="00D564A5"/>
    <w:rsid w:val="00D70676"/>
    <w:rsid w:val="00D7288E"/>
    <w:rsid w:val="00D74AA7"/>
    <w:rsid w:val="00D8109A"/>
    <w:rsid w:val="00D82585"/>
    <w:rsid w:val="00D8373A"/>
    <w:rsid w:val="00D84DB8"/>
    <w:rsid w:val="00D9187C"/>
    <w:rsid w:val="00D929A6"/>
    <w:rsid w:val="00D93A64"/>
    <w:rsid w:val="00D942B8"/>
    <w:rsid w:val="00DA0747"/>
    <w:rsid w:val="00DA244A"/>
    <w:rsid w:val="00DA3C9A"/>
    <w:rsid w:val="00DB31F0"/>
    <w:rsid w:val="00DB792F"/>
    <w:rsid w:val="00DC7F1F"/>
    <w:rsid w:val="00DD097C"/>
    <w:rsid w:val="00DE7E5C"/>
    <w:rsid w:val="00DF18CC"/>
    <w:rsid w:val="00DF6CF9"/>
    <w:rsid w:val="00E023C5"/>
    <w:rsid w:val="00E0424C"/>
    <w:rsid w:val="00E10583"/>
    <w:rsid w:val="00E15568"/>
    <w:rsid w:val="00E4304E"/>
    <w:rsid w:val="00E43A45"/>
    <w:rsid w:val="00E44E70"/>
    <w:rsid w:val="00E5134C"/>
    <w:rsid w:val="00E613FE"/>
    <w:rsid w:val="00E61451"/>
    <w:rsid w:val="00E61626"/>
    <w:rsid w:val="00E63D2A"/>
    <w:rsid w:val="00E76281"/>
    <w:rsid w:val="00E86443"/>
    <w:rsid w:val="00E907F4"/>
    <w:rsid w:val="00EA1F8D"/>
    <w:rsid w:val="00EA5868"/>
    <w:rsid w:val="00EA5CDC"/>
    <w:rsid w:val="00EB02A8"/>
    <w:rsid w:val="00EB2C22"/>
    <w:rsid w:val="00EC0200"/>
    <w:rsid w:val="00EC0F8B"/>
    <w:rsid w:val="00EC1B8D"/>
    <w:rsid w:val="00EC4392"/>
    <w:rsid w:val="00ED0AED"/>
    <w:rsid w:val="00EE036F"/>
    <w:rsid w:val="00EF5CAF"/>
    <w:rsid w:val="00F008BE"/>
    <w:rsid w:val="00F02389"/>
    <w:rsid w:val="00F0323E"/>
    <w:rsid w:val="00F10C18"/>
    <w:rsid w:val="00F10CE4"/>
    <w:rsid w:val="00F14FE7"/>
    <w:rsid w:val="00F24108"/>
    <w:rsid w:val="00F2554B"/>
    <w:rsid w:val="00F52DE0"/>
    <w:rsid w:val="00F54D93"/>
    <w:rsid w:val="00F651FF"/>
    <w:rsid w:val="00F66AC1"/>
    <w:rsid w:val="00F72E0E"/>
    <w:rsid w:val="00F77D12"/>
    <w:rsid w:val="00F77DB3"/>
    <w:rsid w:val="00F820D3"/>
    <w:rsid w:val="00F83A79"/>
    <w:rsid w:val="00F92275"/>
    <w:rsid w:val="00FA1066"/>
    <w:rsid w:val="00FA625D"/>
    <w:rsid w:val="00FA655B"/>
    <w:rsid w:val="00FB2DD6"/>
    <w:rsid w:val="00FB57CC"/>
    <w:rsid w:val="00FB5C7C"/>
    <w:rsid w:val="00FC6B9B"/>
    <w:rsid w:val="00FD4C66"/>
    <w:rsid w:val="00FE61A9"/>
    <w:rsid w:val="00FF14EF"/>
    <w:rsid w:val="00FF1E19"/>
    <w:rsid w:val="00FF2F6B"/>
    <w:rsid w:val="00FF4FF0"/>
    <w:rsid w:val="01055D51"/>
    <w:rsid w:val="01536131"/>
    <w:rsid w:val="018D57F6"/>
    <w:rsid w:val="02862306"/>
    <w:rsid w:val="0341020B"/>
    <w:rsid w:val="03C2134C"/>
    <w:rsid w:val="04CD0136"/>
    <w:rsid w:val="05E2060C"/>
    <w:rsid w:val="075C3866"/>
    <w:rsid w:val="077C58E6"/>
    <w:rsid w:val="088F5575"/>
    <w:rsid w:val="089F0543"/>
    <w:rsid w:val="08AE44B5"/>
    <w:rsid w:val="09077238"/>
    <w:rsid w:val="0A20501F"/>
    <w:rsid w:val="0B2A4141"/>
    <w:rsid w:val="0B87549D"/>
    <w:rsid w:val="0BB67748"/>
    <w:rsid w:val="0BFC7CD4"/>
    <w:rsid w:val="0C336F0D"/>
    <w:rsid w:val="0D154C07"/>
    <w:rsid w:val="0D5C1D95"/>
    <w:rsid w:val="0DA47D15"/>
    <w:rsid w:val="0E53712E"/>
    <w:rsid w:val="0F7E1B39"/>
    <w:rsid w:val="10437371"/>
    <w:rsid w:val="12DE2D32"/>
    <w:rsid w:val="13543602"/>
    <w:rsid w:val="13F0597B"/>
    <w:rsid w:val="14101C60"/>
    <w:rsid w:val="14AA437C"/>
    <w:rsid w:val="14BF5BEC"/>
    <w:rsid w:val="16490D6D"/>
    <w:rsid w:val="166167A3"/>
    <w:rsid w:val="173B6FF4"/>
    <w:rsid w:val="17DC6CAC"/>
    <w:rsid w:val="17E41310"/>
    <w:rsid w:val="18ED14A8"/>
    <w:rsid w:val="19335147"/>
    <w:rsid w:val="19831126"/>
    <w:rsid w:val="19CA401F"/>
    <w:rsid w:val="1BDA39E6"/>
    <w:rsid w:val="1BF05E9D"/>
    <w:rsid w:val="1C9059CC"/>
    <w:rsid w:val="1DC80931"/>
    <w:rsid w:val="1DDD7D58"/>
    <w:rsid w:val="1E496119"/>
    <w:rsid w:val="1E6813C8"/>
    <w:rsid w:val="1E68476F"/>
    <w:rsid w:val="1FF42C72"/>
    <w:rsid w:val="208A0B1F"/>
    <w:rsid w:val="21015060"/>
    <w:rsid w:val="21156B08"/>
    <w:rsid w:val="22007FFE"/>
    <w:rsid w:val="220A0D72"/>
    <w:rsid w:val="229C1E98"/>
    <w:rsid w:val="2564525E"/>
    <w:rsid w:val="26075479"/>
    <w:rsid w:val="26094761"/>
    <w:rsid w:val="2624159B"/>
    <w:rsid w:val="266A3452"/>
    <w:rsid w:val="26B8591E"/>
    <w:rsid w:val="26F947D6"/>
    <w:rsid w:val="276D60A1"/>
    <w:rsid w:val="27924601"/>
    <w:rsid w:val="28496FE6"/>
    <w:rsid w:val="2A024E32"/>
    <w:rsid w:val="2B465B0F"/>
    <w:rsid w:val="2B6E4F01"/>
    <w:rsid w:val="2BE80DD2"/>
    <w:rsid w:val="2C7F5D8E"/>
    <w:rsid w:val="2CAD22EA"/>
    <w:rsid w:val="2D5664DE"/>
    <w:rsid w:val="2D790BB1"/>
    <w:rsid w:val="2D976364"/>
    <w:rsid w:val="2E150147"/>
    <w:rsid w:val="2E367C89"/>
    <w:rsid w:val="2E672AFD"/>
    <w:rsid w:val="2E870919"/>
    <w:rsid w:val="2EB81838"/>
    <w:rsid w:val="2EC456C9"/>
    <w:rsid w:val="2EC5556A"/>
    <w:rsid w:val="2F132A17"/>
    <w:rsid w:val="2F5E20CD"/>
    <w:rsid w:val="31305298"/>
    <w:rsid w:val="351F1D63"/>
    <w:rsid w:val="352C3FC8"/>
    <w:rsid w:val="355377A7"/>
    <w:rsid w:val="36D533EE"/>
    <w:rsid w:val="371E00DB"/>
    <w:rsid w:val="375E5AE6"/>
    <w:rsid w:val="37DE56DF"/>
    <w:rsid w:val="383B5237"/>
    <w:rsid w:val="384B3D6F"/>
    <w:rsid w:val="38871C41"/>
    <w:rsid w:val="38C95544"/>
    <w:rsid w:val="39A9208B"/>
    <w:rsid w:val="39B0377C"/>
    <w:rsid w:val="3A947B69"/>
    <w:rsid w:val="3DDF3C75"/>
    <w:rsid w:val="3DFE1172"/>
    <w:rsid w:val="3E6203D7"/>
    <w:rsid w:val="3F980FD1"/>
    <w:rsid w:val="40183AC7"/>
    <w:rsid w:val="43B92ECB"/>
    <w:rsid w:val="44424D22"/>
    <w:rsid w:val="447A1070"/>
    <w:rsid w:val="447C7E75"/>
    <w:rsid w:val="449F6DCE"/>
    <w:rsid w:val="45010FCD"/>
    <w:rsid w:val="45062140"/>
    <w:rsid w:val="45F10E32"/>
    <w:rsid w:val="45F338CE"/>
    <w:rsid w:val="478D540F"/>
    <w:rsid w:val="47E524E0"/>
    <w:rsid w:val="480261DB"/>
    <w:rsid w:val="48A4127E"/>
    <w:rsid w:val="48D34A2F"/>
    <w:rsid w:val="49C17F16"/>
    <w:rsid w:val="4A6A74B5"/>
    <w:rsid w:val="4AB00CC9"/>
    <w:rsid w:val="4B306168"/>
    <w:rsid w:val="4BA40904"/>
    <w:rsid w:val="4C9E15D2"/>
    <w:rsid w:val="4D4C3002"/>
    <w:rsid w:val="4D9B5FB5"/>
    <w:rsid w:val="4EC70B92"/>
    <w:rsid w:val="4F4C27CE"/>
    <w:rsid w:val="4F681D67"/>
    <w:rsid w:val="4FC9093A"/>
    <w:rsid w:val="51A21442"/>
    <w:rsid w:val="54055BF8"/>
    <w:rsid w:val="54576514"/>
    <w:rsid w:val="54646E83"/>
    <w:rsid w:val="550D1079"/>
    <w:rsid w:val="55C81C82"/>
    <w:rsid w:val="57763A94"/>
    <w:rsid w:val="57B70347"/>
    <w:rsid w:val="59E051FD"/>
    <w:rsid w:val="5A1960EE"/>
    <w:rsid w:val="5C5A1297"/>
    <w:rsid w:val="5C72489E"/>
    <w:rsid w:val="5D0E50C2"/>
    <w:rsid w:val="5D9D7D78"/>
    <w:rsid w:val="5DC91122"/>
    <w:rsid w:val="5DCD469C"/>
    <w:rsid w:val="5DF91477"/>
    <w:rsid w:val="5E1A1FF4"/>
    <w:rsid w:val="5E384B74"/>
    <w:rsid w:val="5E8539F2"/>
    <w:rsid w:val="60714E01"/>
    <w:rsid w:val="61181721"/>
    <w:rsid w:val="611D6D37"/>
    <w:rsid w:val="61842912"/>
    <w:rsid w:val="61CB6793"/>
    <w:rsid w:val="62815CF1"/>
    <w:rsid w:val="62C31218"/>
    <w:rsid w:val="62C84A81"/>
    <w:rsid w:val="6372336A"/>
    <w:rsid w:val="643D7F2E"/>
    <w:rsid w:val="64843A14"/>
    <w:rsid w:val="64A01811"/>
    <w:rsid w:val="655D5954"/>
    <w:rsid w:val="663D4197"/>
    <w:rsid w:val="66736849"/>
    <w:rsid w:val="67495941"/>
    <w:rsid w:val="67C5706E"/>
    <w:rsid w:val="68EF720B"/>
    <w:rsid w:val="69084F28"/>
    <w:rsid w:val="693B7D5A"/>
    <w:rsid w:val="69874190"/>
    <w:rsid w:val="6AFE0568"/>
    <w:rsid w:val="6B882FFF"/>
    <w:rsid w:val="6C116C20"/>
    <w:rsid w:val="6C885A1A"/>
    <w:rsid w:val="6E386F5E"/>
    <w:rsid w:val="6F6572D1"/>
    <w:rsid w:val="6F810491"/>
    <w:rsid w:val="6FC100A7"/>
    <w:rsid w:val="6FEB6118"/>
    <w:rsid w:val="70025F2B"/>
    <w:rsid w:val="70112BAA"/>
    <w:rsid w:val="70CC4DD8"/>
    <w:rsid w:val="71211E57"/>
    <w:rsid w:val="72664528"/>
    <w:rsid w:val="73261A7B"/>
    <w:rsid w:val="73CE5982"/>
    <w:rsid w:val="742F4960"/>
    <w:rsid w:val="7475695C"/>
    <w:rsid w:val="74A23792"/>
    <w:rsid w:val="7545660A"/>
    <w:rsid w:val="758807CB"/>
    <w:rsid w:val="75AB44BA"/>
    <w:rsid w:val="76CB2DAE"/>
    <w:rsid w:val="77486177"/>
    <w:rsid w:val="78151CD1"/>
    <w:rsid w:val="78CA2EA9"/>
    <w:rsid w:val="78DA407B"/>
    <w:rsid w:val="795F7A95"/>
    <w:rsid w:val="79BD230B"/>
    <w:rsid w:val="7AC83418"/>
    <w:rsid w:val="7B5D1DB2"/>
    <w:rsid w:val="7B7D2573"/>
    <w:rsid w:val="7CA80D76"/>
    <w:rsid w:val="7D0C1CE2"/>
    <w:rsid w:val="7D137E30"/>
    <w:rsid w:val="7D4937A5"/>
    <w:rsid w:val="7D87580C"/>
    <w:rsid w:val="7E0518A8"/>
    <w:rsid w:val="7F644E73"/>
    <w:rsid w:val="7FB735AB"/>
    <w:rsid w:val="7FC307D4"/>
    <w:rsid w:val="7FDD7966"/>
    <w:rsid w:val="ABF20A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39" w:semiHidden="0" w:name="toc 2"/>
    <w:lsdException w:qFormat="1" w:unhideWhenUsed="0" w:uiPriority="0" w:name="toc 3"/>
    <w:lsdException w:unhideWhenUsed="0" w:uiPriority="0" w:name="toc 4"/>
    <w:lsdException w:qFormat="1" w:unhideWhenUsed="0" w:uiPriority="0" w:name="toc 5"/>
    <w:lsdException w:unhideWhenUsed="0" w:uiPriority="0" w:name="toc 6"/>
    <w:lsdException w:qFormat="1" w:unhideWhenUsed="0" w:uiPriority="0" w:name="toc 7"/>
    <w:lsdException w:qFormat="1" w:unhideWhenUsed="0" w:uiPriority="0" w:name="toc 8"/>
    <w:lsdException w:unhideWhenUsed="0" w:uiPriority="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paragraph" w:styleId="2">
    <w:name w:val="heading 1"/>
    <w:basedOn w:val="1"/>
    <w:next w:val="1"/>
    <w:link w:val="38"/>
    <w:qFormat/>
    <w:uiPriority w:val="0"/>
    <w:pPr>
      <w:keepNext/>
      <w:keepLines/>
      <w:numPr>
        <w:ilvl w:val="0"/>
        <w:numId w:val="1"/>
      </w:numPr>
      <w:spacing w:before="200" w:after="200"/>
      <w:ind w:firstLine="0"/>
      <w:outlineLvl w:val="0"/>
    </w:pPr>
    <w:rPr>
      <w:rFonts w:eastAsia="黑体"/>
      <w:b/>
      <w:kern w:val="44"/>
      <w:sz w:val="32"/>
    </w:rPr>
  </w:style>
  <w:style w:type="paragraph" w:styleId="3">
    <w:name w:val="heading 2"/>
    <w:basedOn w:val="1"/>
    <w:next w:val="1"/>
    <w:link w:val="39"/>
    <w:qFormat/>
    <w:uiPriority w:val="0"/>
    <w:pPr>
      <w:keepNext/>
      <w:keepLines/>
      <w:numPr>
        <w:ilvl w:val="1"/>
        <w:numId w:val="2"/>
      </w:numPr>
      <w:spacing w:before="260" w:after="260" w:line="416" w:lineRule="auto"/>
      <w:outlineLvl w:val="1"/>
    </w:pPr>
    <w:rPr>
      <w:rFonts w:ascii="Arial" w:hAnsi="Arial" w:eastAsia="仿宋"/>
      <w:b/>
      <w:bCs/>
      <w:sz w:val="30"/>
      <w:szCs w:val="32"/>
    </w:rPr>
  </w:style>
  <w:style w:type="paragraph" w:styleId="4">
    <w:name w:val="heading 3"/>
    <w:basedOn w:val="1"/>
    <w:next w:val="1"/>
    <w:link w:val="40"/>
    <w:qFormat/>
    <w:uiPriority w:val="0"/>
    <w:pPr>
      <w:keepNext/>
      <w:keepLines/>
      <w:numPr>
        <w:ilvl w:val="2"/>
        <w:numId w:val="2"/>
      </w:numPr>
      <w:spacing w:before="260" w:after="260" w:line="416" w:lineRule="auto"/>
      <w:outlineLvl w:val="2"/>
    </w:pPr>
    <w:rPr>
      <w:rFonts w:ascii="Times New Roman" w:hAnsi="Times New Roman" w:eastAsia="仿宋"/>
      <w:b/>
      <w:bCs/>
      <w:sz w:val="30"/>
      <w:szCs w:val="32"/>
    </w:rPr>
  </w:style>
  <w:style w:type="paragraph" w:styleId="5">
    <w:name w:val="heading 4"/>
    <w:basedOn w:val="1"/>
    <w:next w:val="1"/>
    <w:qFormat/>
    <w:uiPriority w:val="0"/>
    <w:pPr>
      <w:keepNext/>
      <w:keepLines/>
      <w:numPr>
        <w:ilvl w:val="3"/>
        <w:numId w:val="2"/>
      </w:numPr>
      <w:spacing w:before="280" w:after="290" w:line="376" w:lineRule="auto"/>
      <w:outlineLvl w:val="3"/>
    </w:pPr>
    <w:rPr>
      <w:rFonts w:ascii="Arial" w:hAnsi="Arial" w:eastAsia="黑体"/>
      <w:b/>
      <w:bCs/>
      <w:sz w:val="28"/>
      <w:szCs w:val="28"/>
    </w:rPr>
  </w:style>
  <w:style w:type="paragraph" w:styleId="6">
    <w:name w:val="heading 5"/>
    <w:basedOn w:val="1"/>
    <w:next w:val="1"/>
    <w:qFormat/>
    <w:uiPriority w:val="0"/>
    <w:pPr>
      <w:keepNext/>
      <w:keepLines/>
      <w:numPr>
        <w:ilvl w:val="4"/>
        <w:numId w:val="2"/>
      </w:numPr>
      <w:spacing w:before="280" w:after="290" w:line="376" w:lineRule="auto"/>
      <w:outlineLvl w:val="4"/>
    </w:pPr>
    <w:rPr>
      <w:rFonts w:ascii="Times New Roman" w:hAnsi="Times New Roman" w:eastAsia="宋体"/>
      <w:b/>
      <w:bCs/>
      <w:sz w:val="28"/>
      <w:szCs w:val="28"/>
    </w:rPr>
  </w:style>
  <w:style w:type="paragraph" w:styleId="7">
    <w:name w:val="heading 6"/>
    <w:basedOn w:val="1"/>
    <w:next w:val="1"/>
    <w:qFormat/>
    <w:uiPriority w:val="0"/>
    <w:pPr>
      <w:keepNext/>
      <w:keepLines/>
      <w:numPr>
        <w:ilvl w:val="5"/>
        <w:numId w:val="2"/>
      </w:numPr>
      <w:spacing w:before="240" w:after="64" w:line="320" w:lineRule="auto"/>
      <w:outlineLvl w:val="5"/>
    </w:pPr>
    <w:rPr>
      <w:rFonts w:ascii="Arial" w:hAnsi="Arial" w:eastAsia="黑体"/>
      <w:b/>
      <w:bCs/>
      <w:sz w:val="24"/>
      <w:szCs w:val="24"/>
    </w:rPr>
  </w:style>
  <w:style w:type="paragraph" w:styleId="8">
    <w:name w:val="heading 7"/>
    <w:basedOn w:val="1"/>
    <w:next w:val="1"/>
    <w:qFormat/>
    <w:uiPriority w:val="0"/>
    <w:pPr>
      <w:keepNext/>
      <w:keepLines/>
      <w:numPr>
        <w:ilvl w:val="6"/>
        <w:numId w:val="2"/>
      </w:numPr>
      <w:spacing w:before="240" w:after="64" w:line="320" w:lineRule="auto"/>
      <w:outlineLvl w:val="6"/>
    </w:pPr>
    <w:rPr>
      <w:rFonts w:ascii="Times New Roman" w:hAnsi="Times New Roman" w:eastAsia="宋体"/>
      <w:b/>
      <w:bCs/>
      <w:sz w:val="24"/>
      <w:szCs w:val="24"/>
    </w:rPr>
  </w:style>
  <w:style w:type="paragraph" w:styleId="9">
    <w:name w:val="heading 8"/>
    <w:basedOn w:val="1"/>
    <w:next w:val="1"/>
    <w:qFormat/>
    <w:uiPriority w:val="0"/>
    <w:pPr>
      <w:keepNext/>
      <w:keepLines/>
      <w:numPr>
        <w:ilvl w:val="7"/>
        <w:numId w:val="2"/>
      </w:numPr>
      <w:spacing w:before="240" w:after="64" w:line="320" w:lineRule="auto"/>
      <w:outlineLvl w:val="7"/>
    </w:pPr>
    <w:rPr>
      <w:rFonts w:ascii="Arial" w:hAnsi="Arial" w:eastAsia="黑体"/>
      <w:sz w:val="24"/>
      <w:szCs w:val="24"/>
    </w:rPr>
  </w:style>
  <w:style w:type="paragraph" w:styleId="10">
    <w:name w:val="heading 9"/>
    <w:basedOn w:val="1"/>
    <w:next w:val="1"/>
    <w:qFormat/>
    <w:uiPriority w:val="0"/>
    <w:pPr>
      <w:keepNext/>
      <w:keepLines/>
      <w:numPr>
        <w:ilvl w:val="8"/>
        <w:numId w:val="2"/>
      </w:numPr>
      <w:spacing w:before="240" w:after="64" w:line="320" w:lineRule="auto"/>
      <w:outlineLvl w:val="8"/>
    </w:pPr>
    <w:rPr>
      <w:rFonts w:ascii="Arial" w:hAnsi="Arial" w:eastAsia="黑体"/>
      <w:szCs w:val="21"/>
    </w:rPr>
  </w:style>
  <w:style w:type="character" w:default="1" w:styleId="34">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semiHidden/>
    <w:qFormat/>
    <w:uiPriority w:val="0"/>
    <w:pPr>
      <w:ind w:left="2520" w:leftChars="1200"/>
    </w:pPr>
    <w:rPr>
      <w:rFonts w:ascii="Times New Roman" w:hAnsi="Times New Roman" w:eastAsia="宋体"/>
      <w:szCs w:val="24"/>
    </w:rPr>
  </w:style>
  <w:style w:type="paragraph" w:styleId="12">
    <w:name w:val="Normal Indent"/>
    <w:basedOn w:val="1"/>
    <w:link w:val="41"/>
    <w:qFormat/>
    <w:uiPriority w:val="0"/>
    <w:rPr>
      <w:szCs w:val="20"/>
      <w:lang w:val="zh-CN"/>
    </w:rPr>
  </w:style>
  <w:style w:type="paragraph" w:styleId="13">
    <w:name w:val="Document Map"/>
    <w:basedOn w:val="1"/>
    <w:semiHidden/>
    <w:qFormat/>
    <w:uiPriority w:val="0"/>
    <w:pPr>
      <w:shd w:val="clear" w:color="auto" w:fill="000080"/>
    </w:pPr>
    <w:rPr>
      <w:rFonts w:ascii="Times New Roman" w:hAnsi="Times New Roman" w:eastAsia="宋体"/>
      <w:szCs w:val="20"/>
    </w:rPr>
  </w:style>
  <w:style w:type="paragraph" w:styleId="14">
    <w:name w:val="annotation text"/>
    <w:basedOn w:val="1"/>
    <w:link w:val="42"/>
    <w:qFormat/>
    <w:uiPriority w:val="0"/>
    <w:pPr>
      <w:jc w:val="left"/>
    </w:pPr>
    <w:rPr>
      <w:rFonts w:ascii="Times New Roman" w:hAnsi="Times New Roman" w:eastAsia="宋体"/>
      <w:szCs w:val="20"/>
    </w:rPr>
  </w:style>
  <w:style w:type="paragraph" w:styleId="15">
    <w:name w:val="Body Text"/>
    <w:basedOn w:val="1"/>
    <w:link w:val="43"/>
    <w:unhideWhenUsed/>
    <w:qFormat/>
    <w:uiPriority w:val="99"/>
    <w:pPr>
      <w:spacing w:after="120"/>
    </w:pPr>
  </w:style>
  <w:style w:type="paragraph" w:styleId="16">
    <w:name w:val="toc 5"/>
    <w:basedOn w:val="1"/>
    <w:next w:val="1"/>
    <w:semiHidden/>
    <w:qFormat/>
    <w:uiPriority w:val="0"/>
    <w:pPr>
      <w:ind w:left="1680" w:leftChars="800"/>
    </w:pPr>
    <w:rPr>
      <w:rFonts w:ascii="Times New Roman" w:hAnsi="Times New Roman" w:eastAsia="宋体"/>
      <w:szCs w:val="24"/>
    </w:rPr>
  </w:style>
  <w:style w:type="paragraph" w:styleId="17">
    <w:name w:val="toc 3"/>
    <w:basedOn w:val="1"/>
    <w:next w:val="1"/>
    <w:semiHidden/>
    <w:qFormat/>
    <w:uiPriority w:val="0"/>
    <w:pPr>
      <w:tabs>
        <w:tab w:val="right" w:leader="dot" w:pos="8296"/>
      </w:tabs>
      <w:ind w:left="839" w:hanging="839" w:hangingChars="398"/>
    </w:pPr>
    <w:rPr>
      <w:rFonts w:ascii="宋体" w:hAnsi="宋体" w:eastAsia="宋体"/>
      <w:b/>
      <w:kern w:val="0"/>
      <w:szCs w:val="24"/>
    </w:rPr>
  </w:style>
  <w:style w:type="paragraph" w:styleId="18">
    <w:name w:val="toc 8"/>
    <w:basedOn w:val="1"/>
    <w:next w:val="1"/>
    <w:semiHidden/>
    <w:qFormat/>
    <w:uiPriority w:val="0"/>
    <w:pPr>
      <w:ind w:left="2940" w:leftChars="1400"/>
    </w:pPr>
    <w:rPr>
      <w:rFonts w:ascii="Times New Roman" w:hAnsi="Times New Roman" w:eastAsia="宋体"/>
      <w:szCs w:val="24"/>
    </w:rPr>
  </w:style>
  <w:style w:type="paragraph" w:styleId="19">
    <w:name w:val="Date"/>
    <w:basedOn w:val="1"/>
    <w:next w:val="1"/>
    <w:link w:val="44"/>
    <w:qFormat/>
    <w:uiPriority w:val="0"/>
    <w:pPr>
      <w:ind w:left="100" w:leftChars="2500"/>
    </w:pPr>
    <w:rPr>
      <w:rFonts w:ascii="Times New Roman" w:hAnsi="Times New Roman" w:eastAsia="宋体"/>
      <w:szCs w:val="20"/>
    </w:rPr>
  </w:style>
  <w:style w:type="paragraph" w:styleId="20">
    <w:name w:val="Balloon Text"/>
    <w:basedOn w:val="1"/>
    <w:link w:val="45"/>
    <w:semiHidden/>
    <w:qFormat/>
    <w:uiPriority w:val="0"/>
    <w:rPr>
      <w:sz w:val="18"/>
      <w:szCs w:val="18"/>
    </w:rPr>
  </w:style>
  <w:style w:type="paragraph" w:styleId="21">
    <w:name w:val="footer"/>
    <w:basedOn w:val="1"/>
    <w:link w:val="46"/>
    <w:qFormat/>
    <w:uiPriority w:val="99"/>
    <w:pPr>
      <w:tabs>
        <w:tab w:val="center" w:pos="4153"/>
        <w:tab w:val="right" w:pos="8306"/>
      </w:tabs>
      <w:snapToGrid w:val="0"/>
      <w:jc w:val="left"/>
    </w:pPr>
    <w:rPr>
      <w:kern w:val="0"/>
      <w:sz w:val="18"/>
      <w:szCs w:val="18"/>
    </w:rPr>
  </w:style>
  <w:style w:type="paragraph" w:styleId="22">
    <w:name w:val="header"/>
    <w:basedOn w:val="1"/>
    <w:link w:val="47"/>
    <w:qFormat/>
    <w:uiPriority w:val="0"/>
    <w:pPr>
      <w:pBdr>
        <w:bottom w:val="single" w:color="auto" w:sz="6" w:space="1"/>
      </w:pBdr>
      <w:tabs>
        <w:tab w:val="center" w:pos="4153"/>
        <w:tab w:val="right" w:pos="8306"/>
      </w:tabs>
      <w:snapToGrid w:val="0"/>
      <w:jc w:val="center"/>
    </w:pPr>
    <w:rPr>
      <w:sz w:val="18"/>
      <w:szCs w:val="18"/>
    </w:rPr>
  </w:style>
  <w:style w:type="paragraph" w:styleId="23">
    <w:name w:val="toc 1"/>
    <w:basedOn w:val="1"/>
    <w:next w:val="1"/>
    <w:uiPriority w:val="39"/>
    <w:pPr>
      <w:tabs>
        <w:tab w:val="right" w:leader="dot" w:pos="8296"/>
      </w:tabs>
      <w:jc w:val="left"/>
    </w:pPr>
    <w:rPr>
      <w:rFonts w:ascii="Times New Roman" w:hAnsi="Times New Roman" w:eastAsia="宋体"/>
      <w:b/>
      <w:kern w:val="0"/>
      <w:sz w:val="24"/>
      <w:szCs w:val="24"/>
    </w:rPr>
  </w:style>
  <w:style w:type="paragraph" w:styleId="24">
    <w:name w:val="toc 4"/>
    <w:basedOn w:val="1"/>
    <w:next w:val="1"/>
    <w:semiHidden/>
    <w:uiPriority w:val="0"/>
    <w:pPr>
      <w:ind w:left="1260" w:leftChars="600"/>
    </w:pPr>
    <w:rPr>
      <w:rFonts w:ascii="Times New Roman" w:hAnsi="Times New Roman" w:eastAsia="宋体"/>
      <w:szCs w:val="24"/>
    </w:rPr>
  </w:style>
  <w:style w:type="paragraph" w:styleId="25">
    <w:name w:val="toc 6"/>
    <w:basedOn w:val="1"/>
    <w:next w:val="1"/>
    <w:semiHidden/>
    <w:uiPriority w:val="0"/>
    <w:pPr>
      <w:ind w:left="2100" w:leftChars="1000"/>
    </w:pPr>
    <w:rPr>
      <w:rFonts w:ascii="Times New Roman" w:hAnsi="Times New Roman" w:eastAsia="宋体"/>
      <w:szCs w:val="24"/>
    </w:rPr>
  </w:style>
  <w:style w:type="paragraph" w:styleId="26">
    <w:name w:val="Body Text Indent 3"/>
    <w:basedOn w:val="1"/>
    <w:uiPriority w:val="0"/>
    <w:pPr>
      <w:ind w:firstLine="560" w:firstLineChars="200"/>
    </w:pPr>
    <w:rPr>
      <w:rFonts w:ascii="仿宋_GB2312" w:hAnsi="宋体" w:eastAsia="仿宋_GB2312"/>
      <w:bCs/>
      <w:color w:val="000000"/>
      <w:sz w:val="28"/>
      <w:szCs w:val="20"/>
    </w:rPr>
  </w:style>
  <w:style w:type="paragraph" w:styleId="27">
    <w:name w:val="toc 2"/>
    <w:basedOn w:val="1"/>
    <w:next w:val="1"/>
    <w:uiPriority w:val="39"/>
    <w:pPr>
      <w:tabs>
        <w:tab w:val="left" w:pos="567"/>
        <w:tab w:val="right" w:leader="dot" w:pos="8296"/>
      </w:tabs>
      <w:ind w:left="418" w:hanging="418" w:hangingChars="199"/>
      <w:jc w:val="left"/>
    </w:pPr>
    <w:rPr>
      <w:rFonts w:ascii="Times New Roman" w:hAnsi="Times New Roman" w:eastAsia="宋体"/>
      <w:szCs w:val="20"/>
    </w:rPr>
  </w:style>
  <w:style w:type="paragraph" w:styleId="28">
    <w:name w:val="toc 9"/>
    <w:basedOn w:val="1"/>
    <w:next w:val="1"/>
    <w:semiHidden/>
    <w:uiPriority w:val="0"/>
    <w:pPr>
      <w:ind w:left="3360" w:leftChars="1600"/>
    </w:pPr>
    <w:rPr>
      <w:rFonts w:ascii="Times New Roman" w:hAnsi="Times New Roman" w:eastAsia="宋体"/>
      <w:szCs w:val="24"/>
    </w:rPr>
  </w:style>
  <w:style w:type="paragraph" w:styleId="29">
    <w:name w:val="Body Text 2"/>
    <w:basedOn w:val="1"/>
    <w:uiPriority w:val="0"/>
    <w:rPr>
      <w:rFonts w:ascii="仿宋_GB2312" w:hAnsi="宋体" w:eastAsia="仿宋_GB2312"/>
      <w:bCs/>
      <w:color w:val="000000"/>
      <w:sz w:val="28"/>
      <w:szCs w:val="20"/>
    </w:rPr>
  </w:style>
  <w:style w:type="paragraph" w:styleId="30">
    <w:name w:val="Normal (Web)"/>
    <w:basedOn w:val="1"/>
    <w:uiPriority w:val="0"/>
    <w:pPr>
      <w:widowControl/>
      <w:spacing w:before="100" w:beforeAutospacing="1" w:after="100" w:afterAutospacing="1"/>
      <w:jc w:val="left"/>
    </w:pPr>
    <w:rPr>
      <w:rFonts w:ascii="宋体" w:hAnsi="宋体" w:eastAsia="宋体" w:cs="宋体"/>
      <w:kern w:val="0"/>
      <w:sz w:val="24"/>
      <w:szCs w:val="24"/>
    </w:rPr>
  </w:style>
  <w:style w:type="paragraph" w:styleId="31">
    <w:name w:val="Title"/>
    <w:basedOn w:val="1"/>
    <w:next w:val="1"/>
    <w:link w:val="48"/>
    <w:qFormat/>
    <w:uiPriority w:val="0"/>
    <w:pPr>
      <w:spacing w:before="240" w:after="60"/>
      <w:jc w:val="center"/>
      <w:outlineLvl w:val="0"/>
    </w:pPr>
    <w:rPr>
      <w:rFonts w:ascii="Cambria" w:hAnsi="Cambria" w:eastAsia="宋体"/>
      <w:b/>
      <w:bCs/>
      <w:sz w:val="32"/>
      <w:szCs w:val="32"/>
    </w:rPr>
  </w:style>
  <w:style w:type="paragraph" w:styleId="32">
    <w:name w:val="annotation subject"/>
    <w:basedOn w:val="14"/>
    <w:next w:val="14"/>
    <w:semiHidden/>
    <w:uiPriority w:val="0"/>
    <w:rPr>
      <w:b/>
      <w:bCs/>
    </w:rPr>
  </w:style>
  <w:style w:type="character" w:styleId="35">
    <w:name w:val="page number"/>
    <w:basedOn w:val="34"/>
    <w:uiPriority w:val="0"/>
  </w:style>
  <w:style w:type="character" w:styleId="36">
    <w:name w:val="Hyperlink"/>
    <w:uiPriority w:val="0"/>
    <w:rPr>
      <w:rFonts w:ascii="Times New Roman" w:hAnsi="Times New Roman" w:eastAsia="宋体" w:cs="Times New Roman"/>
      <w:color w:val="0000FF"/>
      <w:u w:val="single"/>
    </w:rPr>
  </w:style>
  <w:style w:type="character" w:styleId="37">
    <w:name w:val="annotation reference"/>
    <w:semiHidden/>
    <w:uiPriority w:val="0"/>
    <w:rPr>
      <w:rFonts w:ascii="Times New Roman" w:hAnsi="Times New Roman" w:eastAsia="宋体" w:cs="Times New Roman"/>
      <w:sz w:val="21"/>
      <w:szCs w:val="21"/>
    </w:rPr>
  </w:style>
  <w:style w:type="character" w:customStyle="1" w:styleId="38">
    <w:name w:val="标题 1 字符"/>
    <w:link w:val="2"/>
    <w:qFormat/>
    <w:uiPriority w:val="0"/>
    <w:rPr>
      <w:rFonts w:ascii="Times New Roman" w:hAnsi="Times New Roman" w:eastAsia="黑体" w:cs="Times New Roman"/>
      <w:b/>
      <w:kern w:val="44"/>
      <w:sz w:val="32"/>
    </w:rPr>
  </w:style>
  <w:style w:type="character" w:customStyle="1" w:styleId="39">
    <w:name w:val="标题 2 字符"/>
    <w:link w:val="3"/>
    <w:qFormat/>
    <w:uiPriority w:val="0"/>
    <w:rPr>
      <w:rFonts w:ascii="Arial" w:hAnsi="Arial" w:eastAsia="仿宋" w:cs="Times New Roman"/>
      <w:b/>
      <w:bCs/>
      <w:sz w:val="30"/>
      <w:szCs w:val="32"/>
    </w:rPr>
  </w:style>
  <w:style w:type="character" w:customStyle="1" w:styleId="40">
    <w:name w:val="标题 3 字符"/>
    <w:link w:val="4"/>
    <w:qFormat/>
    <w:uiPriority w:val="0"/>
    <w:rPr>
      <w:rFonts w:ascii="Times New Roman" w:hAnsi="Times New Roman" w:eastAsia="仿宋" w:cs="Times New Roman"/>
      <w:b/>
      <w:bCs/>
      <w:sz w:val="30"/>
      <w:szCs w:val="32"/>
    </w:rPr>
  </w:style>
  <w:style w:type="character" w:customStyle="1" w:styleId="41">
    <w:name w:val="正文缩进 字符"/>
    <w:link w:val="12"/>
    <w:qFormat/>
    <w:uiPriority w:val="0"/>
    <w:rPr>
      <w:rFonts w:ascii="Times New Roman" w:hAnsi="Times New Roman" w:eastAsia="宋体" w:cs="Times New Roman"/>
      <w:szCs w:val="20"/>
      <w:lang w:val="zh-CN"/>
    </w:rPr>
  </w:style>
  <w:style w:type="character" w:customStyle="1" w:styleId="42">
    <w:name w:val="批注文字 字符"/>
    <w:link w:val="14"/>
    <w:qFormat/>
    <w:uiPriority w:val="0"/>
    <w:rPr>
      <w:rFonts w:ascii="Times New Roman" w:hAnsi="Times New Roman" w:eastAsia="宋体" w:cs="Times New Roman"/>
    </w:rPr>
  </w:style>
  <w:style w:type="character" w:customStyle="1" w:styleId="43">
    <w:name w:val="正文文本 字符"/>
    <w:link w:val="15"/>
    <w:qFormat/>
    <w:uiPriority w:val="99"/>
    <w:rPr>
      <w:rFonts w:ascii="Times New Roman" w:hAnsi="Times New Roman" w:eastAsia="宋体" w:cs="Times New Roman"/>
    </w:rPr>
  </w:style>
  <w:style w:type="character" w:customStyle="1" w:styleId="44">
    <w:name w:val="日期 字符"/>
    <w:link w:val="19"/>
    <w:qFormat/>
    <w:uiPriority w:val="0"/>
    <w:rPr>
      <w:rFonts w:ascii="Times New Roman" w:hAnsi="Times New Roman" w:eastAsia="宋体" w:cs="Times New Roman"/>
    </w:rPr>
  </w:style>
  <w:style w:type="character" w:customStyle="1" w:styleId="45">
    <w:name w:val="批注框文本 字符"/>
    <w:basedOn w:val="34"/>
    <w:link w:val="20"/>
    <w:semiHidden/>
    <w:qFormat/>
    <w:uiPriority w:val="99"/>
    <w:rPr>
      <w:rFonts w:ascii="等线" w:hAnsi="等线" w:eastAsia="等线" w:cs="Times New Roman"/>
      <w:kern w:val="2"/>
      <w:sz w:val="18"/>
      <w:szCs w:val="18"/>
    </w:rPr>
  </w:style>
  <w:style w:type="character" w:customStyle="1" w:styleId="46">
    <w:name w:val="页脚 字符"/>
    <w:basedOn w:val="34"/>
    <w:link w:val="21"/>
    <w:qFormat/>
    <w:uiPriority w:val="99"/>
    <w:rPr>
      <w:rFonts w:ascii="等线" w:hAnsi="等线" w:eastAsia="等线" w:cs="Times New Roman"/>
      <w:kern w:val="0"/>
      <w:sz w:val="18"/>
      <w:szCs w:val="18"/>
    </w:rPr>
  </w:style>
  <w:style w:type="character" w:customStyle="1" w:styleId="47">
    <w:name w:val="页眉 字符"/>
    <w:basedOn w:val="34"/>
    <w:link w:val="22"/>
    <w:qFormat/>
    <w:uiPriority w:val="0"/>
    <w:rPr>
      <w:rFonts w:ascii="等线" w:hAnsi="等线" w:eastAsia="等线" w:cs="Times New Roman"/>
      <w:kern w:val="2"/>
      <w:sz w:val="18"/>
      <w:szCs w:val="18"/>
    </w:rPr>
  </w:style>
  <w:style w:type="character" w:customStyle="1" w:styleId="48">
    <w:name w:val="标题 字符"/>
    <w:link w:val="31"/>
    <w:uiPriority w:val="0"/>
    <w:rPr>
      <w:rFonts w:ascii="Cambria" w:hAnsi="Cambria" w:eastAsia="宋体" w:cs="Times New Roman"/>
      <w:b/>
      <w:bCs/>
      <w:sz w:val="32"/>
      <w:szCs w:val="32"/>
    </w:rPr>
  </w:style>
  <w:style w:type="paragraph" w:customStyle="1" w:styleId="49">
    <w:name w:val="样式 宋体 小四 行距: 1.5 倍行距 首行缩进:  2 字符"/>
    <w:basedOn w:val="1"/>
    <w:qFormat/>
    <w:uiPriority w:val="0"/>
    <w:pPr>
      <w:spacing w:line="420" w:lineRule="auto"/>
    </w:pPr>
    <w:rPr>
      <w:sz w:val="24"/>
    </w:rPr>
  </w:style>
  <w:style w:type="character" w:customStyle="1" w:styleId="50">
    <w:name w:val="font11"/>
    <w:basedOn w:val="34"/>
    <w:qFormat/>
    <w:uiPriority w:val="0"/>
    <w:rPr>
      <w:rFonts w:ascii="Microsoft Sans Serif" w:hAnsi="Microsoft Sans Serif" w:eastAsia="Microsoft Sans Serif" w:cs="Microsoft Sans Serif"/>
      <w:b/>
      <w:color w:val="000000"/>
      <w:sz w:val="24"/>
      <w:szCs w:val="24"/>
      <w:u w:val="none"/>
      <w:lang w:val="en-US" w:eastAsia="zh-CN" w:bidi="ar-SA"/>
    </w:rPr>
  </w:style>
  <w:style w:type="character" w:customStyle="1" w:styleId="51">
    <w:name w:val="font21"/>
    <w:basedOn w:val="34"/>
    <w:qFormat/>
    <w:uiPriority w:val="0"/>
    <w:rPr>
      <w:rFonts w:hint="default" w:ascii="Microsoft Sans Serif" w:hAnsi="Microsoft Sans Serif" w:eastAsia="Microsoft Sans Serif" w:cs="Microsoft Sans Serif"/>
      <w:b/>
      <w:color w:val="000000"/>
      <w:sz w:val="18"/>
      <w:szCs w:val="18"/>
      <w:u w:val="none"/>
      <w:lang w:val="en-US" w:eastAsia="zh-CN" w:bidi="ar-SA"/>
    </w:rPr>
  </w:style>
  <w:style w:type="character" w:customStyle="1" w:styleId="52">
    <w:name w:val="列表段落 字符"/>
    <w:link w:val="53"/>
    <w:uiPriority w:val="34"/>
    <w:rPr>
      <w:rFonts w:ascii="Times New Roman" w:hAnsi="Times New Roman" w:eastAsia="宋体" w:cs="Times New Roman"/>
    </w:rPr>
  </w:style>
  <w:style w:type="paragraph" w:styleId="53">
    <w:name w:val="List Paragraph"/>
    <w:basedOn w:val="1"/>
    <w:link w:val="52"/>
    <w:qFormat/>
    <w:uiPriority w:val="99"/>
    <w:pPr>
      <w:ind w:firstLine="420" w:firstLineChars="200"/>
    </w:pPr>
    <w:rPr>
      <w:rFonts w:ascii="Times New Roman" w:hAnsi="Times New Roman" w:eastAsia="宋体"/>
      <w:szCs w:val="20"/>
    </w:rPr>
  </w:style>
  <w:style w:type="character" w:customStyle="1" w:styleId="54">
    <w:name w:val="content141"/>
    <w:qFormat/>
    <w:uiPriority w:val="0"/>
    <w:rPr>
      <w:rFonts w:hint="default" w:ascii="Arial" w:hAnsi="Arial" w:eastAsia="宋体" w:cs="Arial"/>
      <w:sz w:val="21"/>
      <w:szCs w:val="21"/>
    </w:rPr>
  </w:style>
  <w:style w:type="paragraph" w:customStyle="1" w:styleId="55">
    <w:name w:val="Char Char Char"/>
    <w:basedOn w:val="1"/>
    <w:semiHidden/>
    <w:qFormat/>
    <w:uiPriority w:val="0"/>
    <w:rPr>
      <w:rFonts w:ascii="Tahoma" w:hAnsi="Tahoma" w:eastAsia="宋体"/>
      <w:sz w:val="24"/>
      <w:szCs w:val="20"/>
    </w:rPr>
  </w:style>
  <w:style w:type="paragraph" w:customStyle="1" w:styleId="56">
    <w:name w:val="Char Char Char Char"/>
    <w:basedOn w:val="1"/>
    <w:qFormat/>
    <w:uiPriority w:val="0"/>
    <w:rPr>
      <w:rFonts w:ascii="Tahoma" w:hAnsi="Tahoma" w:eastAsia="宋体"/>
      <w:b/>
      <w:kern w:val="0"/>
      <w:sz w:val="28"/>
      <w:szCs w:val="20"/>
    </w:rPr>
  </w:style>
  <w:style w:type="paragraph" w:customStyle="1" w:styleId="57">
    <w:name w:val="样式 标题 2 +"/>
    <w:basedOn w:val="3"/>
    <w:qFormat/>
    <w:uiPriority w:val="0"/>
    <w:rPr>
      <w:kern w:val="0"/>
    </w:rPr>
  </w:style>
  <w:style w:type="paragraph" w:customStyle="1" w:styleId="58">
    <w:name w:val="Char"/>
    <w:basedOn w:val="1"/>
    <w:qFormat/>
    <w:uiPriority w:val="0"/>
    <w:rPr>
      <w:rFonts w:ascii="仿宋_GB2312" w:hAnsi="Times New Roman" w:eastAsia="仿宋_GB2312" w:cs="仿宋_GB2312"/>
      <w:b/>
      <w:bCs/>
      <w:sz w:val="32"/>
      <w:szCs w:val="32"/>
    </w:rPr>
  </w:style>
  <w:style w:type="paragraph" w:customStyle="1" w:styleId="59">
    <w:name w:val="标题5"/>
    <w:basedOn w:val="5"/>
    <w:next w:val="4"/>
    <w:semiHidden/>
    <w:qFormat/>
    <w:uiPriority w:val="0"/>
    <w:pPr>
      <w:keepNext w:val="0"/>
      <w:keepLines w:val="0"/>
      <w:numPr>
        <w:numId w:val="3"/>
      </w:numPr>
      <w:tabs>
        <w:tab w:val="left" w:pos="2356"/>
      </w:tabs>
      <w:spacing w:before="0" w:after="0" w:line="240" w:lineRule="auto"/>
      <w:jc w:val="center"/>
    </w:pPr>
    <w:rPr>
      <w:rFonts w:ascii="Tahoma" w:hAnsi="Tahoma" w:eastAsia="宋体"/>
      <w:b w:val="0"/>
      <w:bCs w:val="0"/>
      <w:sz w:val="24"/>
      <w:szCs w:val="20"/>
    </w:rPr>
  </w:style>
  <w:style w:type="paragraph" w:customStyle="1" w:styleId="60">
    <w:name w:val="Revision"/>
    <w:semiHidden/>
    <w:qFormat/>
    <w:uiPriority w:val="99"/>
    <w:rPr>
      <w:rFonts w:ascii="Times New Roman" w:hAnsi="Times New Roman" w:eastAsia="宋体" w:cs="Times New Roman"/>
      <w:kern w:val="2"/>
      <w:sz w:val="21"/>
      <w:lang w:val="en-US" w:eastAsia="zh-CN" w:bidi="ar-SA"/>
    </w:rPr>
  </w:style>
  <w:style w:type="paragraph" w:customStyle="1" w:styleId="61">
    <w:name w:val="标题二"/>
    <w:basedOn w:val="3"/>
    <w:qFormat/>
    <w:uiPriority w:val="0"/>
    <w:pPr>
      <w:numPr>
        <w:numId w:val="4"/>
      </w:numPr>
      <w:tabs>
        <w:tab w:val="left" w:pos="1136"/>
      </w:tabs>
      <w:ind w:left="716" w:leftChars="100" w:right="100" w:rightChars="100" w:firstLine="200" w:firstLineChars="200"/>
    </w:pPr>
    <w:rPr>
      <w:rFonts w:ascii="仿宋_GB2312" w:hAnsi="宋体" w:eastAsia="宋体"/>
      <w:kern w:val="0"/>
      <w:sz w:val="28"/>
      <w:szCs w:val="28"/>
    </w:rPr>
  </w:style>
  <w:style w:type="paragraph" w:customStyle="1" w:styleId="62">
    <w:name w:val="TOC Heading"/>
    <w:basedOn w:val="2"/>
    <w:next w:val="1"/>
    <w:qFormat/>
    <w:uiPriority w:val="39"/>
    <w:pPr>
      <w:widowControl/>
      <w:numPr>
        <w:numId w:val="0"/>
      </w:numPr>
      <w:spacing w:before="480" w:after="0" w:line="276" w:lineRule="auto"/>
      <w:jc w:val="left"/>
      <w:outlineLvl w:val="9"/>
    </w:pPr>
    <w:rPr>
      <w:rFonts w:ascii="Cambria" w:hAnsi="Cambria" w:eastAsia="宋体"/>
      <w:b w:val="0"/>
      <w:bCs/>
      <w:color w:val="365F91"/>
      <w:kern w:val="0"/>
      <w:sz w:val="28"/>
      <w:szCs w:val="28"/>
    </w:rPr>
  </w:style>
  <w:style w:type="paragraph" w:customStyle="1" w:styleId="63">
    <w:name w:val="圆点"/>
    <w:basedOn w:val="1"/>
    <w:qFormat/>
    <w:uiPriority w:val="0"/>
    <w:pPr>
      <w:spacing w:before="156" w:beforeLines="50" w:after="156" w:afterLines="50"/>
    </w:pPr>
    <w:rPr>
      <w:rFonts w:ascii="仿宋_GB2312" w:hAnsi="Times New Roman" w:eastAsia="仿宋_GB2312"/>
      <w:b/>
      <w:sz w:val="28"/>
      <w:szCs w:val="28"/>
    </w:rPr>
  </w:style>
  <w:style w:type="paragraph" w:customStyle="1" w:styleId="64">
    <w:name w:val="标题1"/>
    <w:basedOn w:val="2"/>
    <w:qFormat/>
    <w:uiPriority w:val="0"/>
    <w:pPr>
      <w:numPr>
        <w:numId w:val="5"/>
      </w:numPr>
      <w:tabs>
        <w:tab w:val="left" w:pos="480"/>
      </w:tabs>
      <w:spacing w:before="340" w:after="330" w:line="360" w:lineRule="auto"/>
      <w:ind w:firstLine="0"/>
    </w:pPr>
    <w:rPr>
      <w:rFonts w:ascii="Times New Roman" w:hAnsi="Times New Roman"/>
      <w:b w:val="0"/>
      <w:bCs/>
      <w:sz w:val="30"/>
      <w:szCs w:val="24"/>
    </w:rPr>
  </w:style>
  <w:style w:type="paragraph" w:customStyle="1" w:styleId="65">
    <w:name w:val="Char1"/>
    <w:basedOn w:val="1"/>
    <w:qFormat/>
    <w:uiPriority w:val="0"/>
    <w:rPr>
      <w:rFonts w:ascii="仿宋_GB2312" w:hAnsi="Times New Roman" w:eastAsia="仿宋_GB2312" w:cs="仿宋_GB2312"/>
      <w:b/>
      <w:bCs/>
      <w:sz w:val="32"/>
      <w:szCs w:val="32"/>
    </w:rPr>
  </w:style>
  <w:style w:type="paragraph" w:customStyle="1" w:styleId="66">
    <w:name w:val="样式 仿宋_GB2312 行距: 1.5 倍行距"/>
    <w:basedOn w:val="1"/>
    <w:qFormat/>
    <w:uiPriority w:val="0"/>
    <w:pPr>
      <w:numPr>
        <w:ilvl w:val="1"/>
        <w:numId w:val="6"/>
      </w:numPr>
      <w:spacing w:line="360" w:lineRule="auto"/>
    </w:pPr>
    <w:rPr>
      <w:rFonts w:ascii="宋体" w:hAnsi="宋体" w:eastAsia="宋体"/>
      <w:sz w:val="24"/>
      <w:szCs w:val="24"/>
      <w:lang w:val="en-GB"/>
    </w:rPr>
  </w:style>
  <w:style w:type="paragraph" w:customStyle="1" w:styleId="67">
    <w:name w:val="样式 宋体 小四 左"/>
    <w:basedOn w:val="1"/>
    <w:qFormat/>
    <w:uiPriority w:val="0"/>
    <w:pPr>
      <w:spacing w:line="360" w:lineRule="auto"/>
      <w:jc w:val="left"/>
    </w:pPr>
    <w:rPr>
      <w:rFonts w:ascii="宋体" w:hAnsi="宋体" w:eastAsia="宋体" w:cs="宋体"/>
      <w:kern w:val="0"/>
      <w:sz w:val="24"/>
      <w:szCs w:val="20"/>
    </w:rPr>
  </w:style>
  <w:style w:type="paragraph" w:customStyle="1" w:styleId="68">
    <w:name w:val="00招标需求标题"/>
    <w:basedOn w:val="1"/>
    <w:qFormat/>
    <w:uiPriority w:val="0"/>
    <w:pPr>
      <w:spacing w:before="312" w:after="156"/>
      <w:jc w:val="center"/>
    </w:pPr>
    <w:rPr>
      <w:rFonts w:ascii="仿宋" w:hAnsi="仿宋" w:eastAsia="仿宋" w:cs="宋体"/>
      <w:b/>
      <w:bCs/>
      <w:kern w:val="0"/>
      <w:sz w:val="32"/>
      <w:szCs w:val="20"/>
    </w:rPr>
  </w:style>
  <w:style w:type="paragraph" w:customStyle="1" w:styleId="69">
    <w:name w:val="H文档正文"/>
    <w:basedOn w:val="1"/>
    <w:link w:val="70"/>
    <w:unhideWhenUsed/>
    <w:qFormat/>
    <w:uiPriority w:val="0"/>
    <w:pPr>
      <w:widowControl/>
      <w:snapToGrid w:val="0"/>
      <w:spacing w:before="60" w:after="60" w:line="360" w:lineRule="auto"/>
      <w:ind w:firstLine="200" w:firstLineChars="200"/>
    </w:pPr>
    <w:rPr>
      <w:rFonts w:ascii="Times New Roman" w:hAnsi="Times New Roman" w:eastAsia="宋体"/>
      <w:kern w:val="0"/>
      <w:sz w:val="28"/>
      <w:szCs w:val="20"/>
    </w:rPr>
  </w:style>
  <w:style w:type="character" w:customStyle="1" w:styleId="70">
    <w:name w:val="H文档正文 Char"/>
    <w:link w:val="69"/>
    <w:qFormat/>
    <w:uiPriority w:val="0"/>
    <w:rPr>
      <w:rFonts w:ascii="Times New Roman" w:hAnsi="Times New Roman" w:eastAsia="宋体" w:cs="Times New Roman"/>
      <w:kern w:val="0"/>
      <w:sz w:val="28"/>
    </w:rPr>
  </w:style>
  <w:style w:type="paragraph" w:customStyle="1" w:styleId="71">
    <w:name w:val="样式 样式 宋体 小四 行距: 1.5 倍行距 首行缩进:  2 字符 + 首行缩进:  2 字符"/>
    <w:basedOn w:val="1"/>
    <w:qFormat/>
    <w:uiPriority w:val="0"/>
    <w:pPr>
      <w:spacing w:line="420" w:lineRule="auto"/>
      <w:ind w:firstLine="480" w:firstLineChars="200"/>
    </w:pPr>
    <w:rPr>
      <w:rFonts w:ascii="宋体" w:hAnsi="宋体" w:eastAsia="宋体" w:cs="宋体"/>
      <w:sz w:val="28"/>
      <w:szCs w:val="20"/>
    </w:rPr>
  </w:style>
  <w:style w:type="paragraph" w:customStyle="1" w:styleId="72">
    <w:name w:val="样式 宋体 四号 左"/>
    <w:basedOn w:val="1"/>
    <w:qFormat/>
    <w:uiPriority w:val="0"/>
    <w:pPr>
      <w:jc w:val="left"/>
    </w:pPr>
    <w:rPr>
      <w:rFonts w:ascii="宋体" w:hAnsi="宋体" w:eastAsia="宋体" w:cs="宋体"/>
      <w:kern w:val="0"/>
      <w:sz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20</Pages>
  <Words>5275</Words>
  <Characters>5593</Characters>
  <Lines>207</Lines>
  <Paragraphs>213</Paragraphs>
  <TotalTime>933</TotalTime>
  <ScaleCrop>false</ScaleCrop>
  <LinksUpToDate>false</LinksUpToDate>
  <CharactersWithSpaces>10655</CharactersWithSpaces>
  <Application>WPS Office_12.8.2.1113_F1E327BC-269C-435d-A152-05C5408002CA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2024-06-25T10:44:00Z</dcterms:created>
  <dc:creator>hua</dc:creator>
  <cp:lastModifiedBy>user</cp:lastModifiedBy>
  <dcterms:modified xsi:type="dcterms:W3CDTF">2024-10-08T15:35:34Z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2052-12.8.2.1113</vt:lpwstr>
  </property>
  <property fmtid="{D5CDD505-2E9C-101B-9397-08002B2CF9AE}" pid="3" name="ICV">
    <vt:lpwstr>8B30305B618E43278CBC3C6093E16509_13</vt:lpwstr>
  </property>
</Properties>
</file>