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8"/>
          <w:szCs w:val="48"/>
        </w:rPr>
      </w:pPr>
    </w:p>
    <w:p>
      <w:pPr>
        <w:jc w:val="center"/>
        <w:rPr>
          <w:rFonts w:ascii="黑体" w:hAnsi="黑体" w:eastAsia="黑体"/>
          <w:sz w:val="52"/>
          <w:szCs w:val="52"/>
        </w:rPr>
      </w:pPr>
      <w:r>
        <w:rPr>
          <w:rFonts w:hint="eastAsia" w:ascii="黑体" w:hAnsi="黑体" w:eastAsia="黑体"/>
          <w:sz w:val="52"/>
          <w:szCs w:val="52"/>
        </w:rPr>
        <w:t>市规划资源局政务服务大系统(2025年升级改造)项目</w:t>
      </w:r>
    </w:p>
    <w:p>
      <w:pPr>
        <w:jc w:val="center"/>
        <w:rPr>
          <w:rFonts w:ascii="黑体" w:hAnsi="黑体" w:eastAsia="黑体"/>
          <w:sz w:val="48"/>
          <w:szCs w:val="48"/>
        </w:rPr>
      </w:pPr>
    </w:p>
    <w:p>
      <w:pPr>
        <w:jc w:val="center"/>
        <w:rPr>
          <w:rFonts w:ascii="黑体" w:hAnsi="黑体" w:eastAsia="黑体"/>
          <w:sz w:val="52"/>
          <w:szCs w:val="52"/>
        </w:rPr>
      </w:pPr>
      <w:r>
        <w:rPr>
          <w:rFonts w:hint="eastAsia" w:ascii="黑体" w:hAnsi="黑体" w:eastAsia="黑体"/>
          <w:sz w:val="52"/>
          <w:szCs w:val="52"/>
        </w:rPr>
        <w:t>采购需求</w:t>
      </w:r>
    </w:p>
    <w:p>
      <w:pPr>
        <w:jc w:val="center"/>
        <w:rPr>
          <w:rFonts w:ascii="黑体" w:hAnsi="黑体" w:eastAsia="黑体"/>
          <w:sz w:val="72"/>
          <w:szCs w:val="72"/>
        </w:rPr>
      </w:pPr>
    </w:p>
    <w:p>
      <w:pPr>
        <w:jc w:val="center"/>
        <w:rPr>
          <w:rFonts w:ascii="黑体" w:hAnsi="黑体" w:eastAsia="黑体"/>
          <w:sz w:val="48"/>
          <w:szCs w:val="48"/>
        </w:rPr>
      </w:pPr>
    </w:p>
    <w:p>
      <w:pPr>
        <w:jc w:val="center"/>
        <w:rPr>
          <w:rFonts w:ascii="黑体" w:hAnsi="黑体" w:eastAsia="黑体"/>
          <w:sz w:val="52"/>
          <w:szCs w:val="52"/>
        </w:rPr>
      </w:pPr>
    </w:p>
    <w:p>
      <w:pPr>
        <w:ind w:firstLine="1040"/>
        <w:rPr>
          <w:rFonts w:ascii="黑体" w:hAnsi="黑体" w:eastAsia="黑体"/>
          <w:sz w:val="52"/>
          <w:szCs w:val="52"/>
        </w:rPr>
      </w:pPr>
    </w:p>
    <w:p/>
    <w:p/>
    <w:p/>
    <w:p/>
    <w:p/>
    <w:p>
      <w:pPr>
        <w:ind w:firstLine="1040"/>
        <w:rPr>
          <w:rFonts w:ascii="黑体" w:hAnsi="黑体" w:eastAsia="黑体"/>
          <w:sz w:val="52"/>
          <w:szCs w:val="52"/>
        </w:rPr>
      </w:pPr>
    </w:p>
    <w:p>
      <w:pPr>
        <w:jc w:val="center"/>
        <w:sectPr>
          <w:headerReference r:id="rId5" w:type="first"/>
          <w:footerReference r:id="rId8" w:type="first"/>
          <w:headerReference r:id="rId3" w:type="default"/>
          <w:footerReference r:id="rId6" w:type="default"/>
          <w:headerReference r:id="rId4" w:type="even"/>
          <w:footerReference r:id="rId7" w:type="even"/>
          <w:pgSz w:w="11906" w:h="16838"/>
          <w:pgMar w:top="1134" w:right="1797" w:bottom="1135" w:left="1797" w:header="340" w:footer="7" w:gutter="0"/>
          <w:pgNumType w:start="1"/>
          <w:cols w:space="720" w:num="1"/>
          <w:titlePg/>
          <w:docGrid w:type="linesAndChars" w:linePitch="326" w:charSpace="0"/>
        </w:sectPr>
      </w:pPr>
    </w:p>
    <w:p>
      <w:pPr>
        <w:pStyle w:val="2"/>
      </w:pPr>
      <w:bookmarkStart w:id="0" w:name="_Toc63785461"/>
      <w:r>
        <w:rPr>
          <w:rFonts w:hint="eastAsia"/>
        </w:rPr>
        <w:t>项目概况</w:t>
      </w:r>
      <w:bookmarkEnd w:id="0"/>
    </w:p>
    <w:p>
      <w:pPr>
        <w:pStyle w:val="3"/>
        <w:ind w:left="567" w:leftChars="0" w:firstLineChars="0"/>
      </w:pPr>
      <w:r>
        <w:rPr>
          <w:rFonts w:hint="eastAsia"/>
        </w:rPr>
        <w:t xml:space="preserve"> 项目背景</w:t>
      </w:r>
    </w:p>
    <w:p>
      <w:pPr>
        <w:pStyle w:val="4"/>
      </w:pPr>
      <w:r>
        <w:rPr>
          <w:rFonts w:hint="eastAsia"/>
        </w:rPr>
        <w:t>市政建设规划管理子系统</w:t>
      </w:r>
    </w:p>
    <w:p>
      <w:pPr>
        <w:spacing w:line="360" w:lineRule="auto"/>
        <w:ind w:firstLine="420"/>
        <w:rPr>
          <w:bCs/>
        </w:rPr>
      </w:pPr>
      <w:r>
        <w:rPr>
          <w:bCs/>
        </w:rPr>
        <w:t>为满足国家自然资源部、上海市政府、市规划资源局在2024年关于优化营商环境、数字化转型等要求，提高信息系统的服务水平，降低整体管理成本，更好的为用户的业务管理提供有力的保障，根据上海市人民政府办公厅关于印发《上海市坚持对标改革持续打造国际一流营商环境行动方案》的通知（沪府办发〔2024〕1号）要求优化市政项目建设审批管理，提升系统功能。</w:t>
      </w:r>
    </w:p>
    <w:p>
      <w:pPr>
        <w:spacing w:line="360" w:lineRule="auto"/>
        <w:rPr>
          <w:bCs/>
        </w:rPr>
      </w:pPr>
      <w:r>
        <w:rPr>
          <w:bCs/>
        </w:rPr>
        <w:t>关于印发《聚焦“五个中心”建设推进上海高质量发展的规划资源行动方案》《上海市规划和自然资源局2024年重点工作项目表》的通知(沪规划资源研〔2024〕71号)要求深入贯彻落实市政府优化营商环境 7.0 版行动方案，研究制定规划资源领域实施方案，深化落实系列改革举措，探索“建设用地规划许可证、建设工程规划许可证”两证合一。</w:t>
      </w:r>
    </w:p>
    <w:p>
      <w:pPr>
        <w:spacing w:line="360" w:lineRule="auto"/>
        <w:ind w:firstLine="420"/>
        <w:rPr>
          <w:bCs/>
        </w:rPr>
      </w:pPr>
      <w:r>
        <w:rPr>
          <w:rFonts w:hint="eastAsia"/>
          <w:bCs/>
        </w:rPr>
        <w:t>贯彻落实《关于征求2023年建设用地审批“双随机、一公开”抽查工作细则意见的函》（自然资源办函〔2023〕2403号）要求，实现“一书三证”（线性工程）违法用地监管。</w:t>
      </w:r>
    </w:p>
    <w:p>
      <w:pPr>
        <w:spacing w:line="360" w:lineRule="auto"/>
        <w:ind w:firstLine="420"/>
        <w:rPr>
          <w:bCs/>
        </w:rPr>
      </w:pPr>
      <w:r>
        <w:rPr>
          <w:rFonts w:hint="eastAsia"/>
          <w:bCs/>
        </w:rPr>
        <w:t>《上海市加强规划资源集成创新持续优化营商环境实施方案》的通知（沪规划资源建〔2023〕79号）要求扩大竣工验收“一证多验”适用范围，扩展支持线性，管线工程一证多验。</w:t>
      </w:r>
    </w:p>
    <w:p>
      <w:pPr>
        <w:spacing w:line="360" w:lineRule="auto"/>
        <w:ind w:firstLine="420"/>
        <w:rPr>
          <w:bCs/>
        </w:rPr>
      </w:pPr>
      <w:r>
        <w:rPr>
          <w:rFonts w:hint="eastAsia"/>
          <w:bCs/>
        </w:rPr>
        <w:t>根据《上海市人民政府办公厅关于印发2024年上海市优化政务服务提升行政效能深化“一网通办”改革工作任务分工的通知》(沪府办字 〔2024〕3号)要求推出工程建设项目(线性工程)电子报件 AI智能服务,实现线上质检、图形解析、指标自动核算等智能创新功能,有效提升预填率和一次申报通过率,大幅简化报建流程；</w:t>
      </w:r>
    </w:p>
    <w:p>
      <w:pPr>
        <w:spacing w:line="360" w:lineRule="auto"/>
        <w:ind w:firstLine="480" w:firstLineChars="200"/>
        <w:rPr>
          <w:bCs/>
        </w:rPr>
      </w:pPr>
      <w:r>
        <w:rPr>
          <w:rFonts w:hint="eastAsia"/>
          <w:bCs/>
        </w:rPr>
        <w:t>根据要求持续优化高频事项，实现土地权属调查边界确认事项优化；同时根据《上海市人民政府办公厅关于公布上海市行政许可事项清单（2023年版）的通知》（沪府办发〔2023〕15号）及《关于加快做好行政许可实施规范、办事指南编制和“一网通办”接入等有关工作的通知》要求实现一网通办申报端行政许可事项应用改造。</w:t>
      </w:r>
    </w:p>
    <w:p>
      <w:pPr>
        <w:pStyle w:val="4"/>
      </w:pPr>
      <w:r>
        <w:rPr>
          <w:rFonts w:hint="eastAsia"/>
        </w:rPr>
        <w:t>上海市地籍数据管理系统</w:t>
      </w:r>
    </w:p>
    <w:p>
      <w:pPr>
        <w:spacing w:line="360" w:lineRule="auto"/>
        <w:ind w:firstLine="480" w:firstLineChars="200"/>
        <w:rPr>
          <w:bCs/>
        </w:rPr>
      </w:pPr>
      <w:r>
        <w:rPr>
          <w:rFonts w:hint="eastAsia"/>
          <w:bCs/>
        </w:rPr>
        <w:t>国家在不动产登记服务上启动“交地即交证”试点工作。其主要改革内容包括前置地籍调查流程，做好调查成果共享等内容，以压缩不动产登记业务办理时间，助力项目开工建设。</w:t>
      </w:r>
    </w:p>
    <w:p>
      <w:pPr>
        <w:spacing w:line="360" w:lineRule="auto"/>
        <w:ind w:firstLine="480" w:firstLineChars="200"/>
        <w:rPr>
          <w:bCs/>
        </w:rPr>
      </w:pPr>
      <w:r>
        <w:rPr>
          <w:rFonts w:hint="eastAsia"/>
          <w:bCs/>
        </w:rPr>
        <w:t>自然资源部于</w:t>
      </w:r>
      <w:r>
        <w:rPr>
          <w:bCs/>
        </w:rPr>
        <w:t>2023年发文，对相关改革提出了更为明确的要求。文中强调：</w:t>
      </w:r>
      <w:r>
        <w:rPr>
          <w:rFonts w:hint="eastAsia"/>
          <w:bCs/>
        </w:rPr>
        <w:t>“</w:t>
      </w:r>
      <w:r>
        <w:rPr>
          <w:bCs/>
        </w:rPr>
        <w:t>健全地籍调查工作机制……推动供应阶段，设定不动产单元（宗地），开展地籍调查，支撑供地、土地首次登记、“交地即交证”等工作……界址、范围发生变化，或已有调查成果不符合要求的，根据需要补充开展地籍调查对地籍变更工作提出了更高的要求。一方面，通过优化地籍变更调查工作流程，实现土地出让及划拨“交地即交证”，更好的服务于营商环境优化；同时，通过进行补充地籍调查，完善地籍数据库建设，提升地籍工作质量和服务水平，助力自然资源事业高质量发展。</w:t>
      </w:r>
    </w:p>
    <w:p/>
    <w:p>
      <w:pPr>
        <w:pStyle w:val="3"/>
        <w:ind w:left="567" w:leftChars="0" w:firstLine="0" w:firstLineChars="0"/>
        <w:rPr>
          <w:rFonts w:hint="eastAsia" w:ascii="宋体" w:hAnsi="宋体" w:eastAsia="宋体"/>
        </w:rPr>
      </w:pPr>
      <w:r>
        <w:rPr>
          <w:rFonts w:hint="eastAsia" w:ascii="宋体" w:hAnsi="宋体" w:eastAsia="宋体"/>
        </w:rPr>
        <w:t xml:space="preserve"> 项目基本情况</w:t>
      </w:r>
    </w:p>
    <w:p>
      <w:pPr>
        <w:pStyle w:val="64"/>
        <w:numPr>
          <w:ilvl w:val="0"/>
          <w:numId w:val="4"/>
        </w:numPr>
        <w:spacing w:line="560" w:lineRule="exact"/>
        <w:ind w:firstLineChars="0"/>
        <w:rPr>
          <w:rFonts w:ascii="宋体" w:hAnsi="宋体"/>
          <w:b/>
          <w:bCs/>
          <w:sz w:val="24"/>
          <w:lang w:val="zh-CN"/>
        </w:rPr>
      </w:pPr>
      <w:r>
        <w:rPr>
          <w:rFonts w:hint="eastAsia" w:ascii="宋体" w:hAnsi="宋体"/>
          <w:b/>
          <w:bCs/>
          <w:sz w:val="24"/>
        </w:rPr>
        <w:t>建设期限：</w:t>
      </w:r>
      <w:r>
        <w:rPr>
          <w:rFonts w:hint="eastAsia" w:asciiTheme="minorEastAsia" w:hAnsiTheme="minorEastAsia" w:eastAsiaTheme="minorEastAsia" w:cstheme="minorEastAsia"/>
          <w:sz w:val="24"/>
        </w:rPr>
        <w:t>自合同签订之日起至2025年10月31日。</w:t>
      </w:r>
    </w:p>
    <w:p>
      <w:pPr>
        <w:pStyle w:val="64"/>
        <w:numPr>
          <w:ilvl w:val="0"/>
          <w:numId w:val="4"/>
        </w:numPr>
        <w:spacing w:line="560" w:lineRule="exact"/>
        <w:ind w:firstLineChars="0"/>
        <w:rPr>
          <w:rFonts w:ascii="宋体" w:hAnsi="宋体"/>
          <w:b/>
          <w:bCs/>
          <w:sz w:val="24"/>
        </w:rPr>
      </w:pPr>
      <w:r>
        <w:rPr>
          <w:rFonts w:hint="eastAsia" w:ascii="宋体" w:hAnsi="宋体"/>
          <w:b/>
          <w:bCs/>
          <w:sz w:val="24"/>
        </w:rPr>
        <w:t>建设地点：</w:t>
      </w:r>
      <w:r>
        <w:rPr>
          <w:rFonts w:hint="eastAsia" w:asciiTheme="minorEastAsia" w:hAnsiTheme="minorEastAsia" w:eastAsiaTheme="minorEastAsia" w:cstheme="minorEastAsia"/>
          <w:sz w:val="24"/>
        </w:rPr>
        <w:t>上海市规划和自然资源局，上海市黄浦区北京西路</w:t>
      </w:r>
      <w:r>
        <w:rPr>
          <w:rFonts w:asciiTheme="minorEastAsia" w:hAnsiTheme="minorEastAsia" w:eastAsiaTheme="minorEastAsia" w:cstheme="minorEastAsia"/>
          <w:sz w:val="24"/>
        </w:rPr>
        <w:t>99</w:t>
      </w:r>
      <w:r>
        <w:rPr>
          <w:rFonts w:hint="eastAsia" w:asciiTheme="minorEastAsia" w:hAnsiTheme="minorEastAsia" w:eastAsiaTheme="minorEastAsia" w:cstheme="minorEastAsia"/>
          <w:sz w:val="24"/>
        </w:rPr>
        <w:t>号及上海市大数据中心指定地点；</w:t>
      </w:r>
    </w:p>
    <w:p>
      <w:pPr>
        <w:pStyle w:val="64"/>
        <w:numPr>
          <w:ilvl w:val="0"/>
          <w:numId w:val="4"/>
        </w:numPr>
        <w:spacing w:line="560" w:lineRule="exact"/>
        <w:ind w:firstLineChars="0"/>
        <w:rPr>
          <w:rFonts w:ascii="宋体" w:hAnsi="宋体"/>
          <w:b/>
          <w:bCs/>
          <w:sz w:val="24"/>
        </w:rPr>
      </w:pPr>
      <w:r>
        <w:rPr>
          <w:rFonts w:hint="eastAsia" w:ascii="宋体" w:hAnsi="宋体"/>
          <w:b/>
          <w:bCs/>
          <w:sz w:val="24"/>
        </w:rPr>
        <w:t>预算金额：</w:t>
      </w:r>
      <w:r>
        <w:rPr>
          <w:rFonts w:ascii="宋体" w:hAnsi="宋体"/>
          <w:sz w:val="24"/>
        </w:rPr>
        <w:t>2,537,500</w:t>
      </w:r>
      <w:r>
        <w:rPr>
          <w:rFonts w:hint="eastAsia" w:ascii="宋体" w:hAnsi="宋体"/>
          <w:sz w:val="24"/>
        </w:rPr>
        <w:t>元；</w:t>
      </w:r>
    </w:p>
    <w:p>
      <w:pPr>
        <w:pStyle w:val="64"/>
        <w:numPr>
          <w:ilvl w:val="0"/>
          <w:numId w:val="4"/>
        </w:numPr>
        <w:spacing w:line="560" w:lineRule="exact"/>
        <w:ind w:firstLineChars="0"/>
        <w:rPr>
          <w:rFonts w:ascii="宋体" w:hAnsi="宋体"/>
          <w:b/>
          <w:bCs/>
          <w:sz w:val="24"/>
        </w:rPr>
      </w:pPr>
      <w:r>
        <w:rPr>
          <w:rFonts w:hint="eastAsia" w:ascii="宋体" w:hAnsi="宋体"/>
          <w:b/>
          <w:bCs/>
          <w:sz w:val="24"/>
        </w:rPr>
        <w:t>采购金额（最高限价）：</w:t>
      </w:r>
      <w:r>
        <w:rPr>
          <w:rFonts w:ascii="宋体" w:hAnsi="宋体"/>
          <w:sz w:val="24"/>
        </w:rPr>
        <w:t>2,537,500</w:t>
      </w:r>
      <w:r>
        <w:rPr>
          <w:rFonts w:hint="eastAsia" w:ascii="宋体" w:hAnsi="宋体"/>
          <w:sz w:val="24"/>
        </w:rPr>
        <w:t>元；</w:t>
      </w:r>
    </w:p>
    <w:p>
      <w:pPr>
        <w:pStyle w:val="64"/>
        <w:numPr>
          <w:ilvl w:val="0"/>
          <w:numId w:val="4"/>
        </w:numPr>
        <w:ind w:firstLineChars="0"/>
        <w:rPr>
          <w:rFonts w:ascii="宋体" w:hAnsi="宋体"/>
          <w:b/>
          <w:bCs/>
          <w:sz w:val="24"/>
        </w:rPr>
      </w:pPr>
      <w:r>
        <w:rPr>
          <w:rFonts w:hint="eastAsia" w:ascii="宋体" w:hAnsi="宋体"/>
          <w:b/>
          <w:bCs/>
          <w:sz w:val="24"/>
        </w:rPr>
        <w:t>组织形式：</w:t>
      </w:r>
      <w:r>
        <w:rPr>
          <w:rFonts w:hint="eastAsia" w:ascii="宋体" w:hAnsi="宋体"/>
          <w:sz w:val="24"/>
        </w:rPr>
        <w:t>集中采购；</w:t>
      </w:r>
    </w:p>
    <w:p>
      <w:pPr>
        <w:pStyle w:val="64"/>
        <w:numPr>
          <w:ilvl w:val="0"/>
          <w:numId w:val="4"/>
        </w:numPr>
        <w:ind w:firstLineChars="0"/>
        <w:rPr>
          <w:rFonts w:ascii="宋体" w:hAnsi="宋体"/>
          <w:b/>
          <w:bCs/>
          <w:sz w:val="24"/>
        </w:rPr>
      </w:pPr>
      <w:r>
        <w:rPr>
          <w:rFonts w:hint="eastAsia" w:ascii="宋体" w:hAnsi="宋体"/>
          <w:b/>
          <w:bCs/>
          <w:sz w:val="24"/>
        </w:rPr>
        <w:t>采购方式：</w:t>
      </w:r>
      <w:r>
        <w:rPr>
          <w:rFonts w:hint="eastAsia" w:ascii="宋体" w:hAnsi="宋体"/>
          <w:sz w:val="24"/>
        </w:rPr>
        <w:t>竞争性磋商；</w:t>
      </w:r>
    </w:p>
    <w:p>
      <w:pPr>
        <w:pStyle w:val="64"/>
        <w:numPr>
          <w:ilvl w:val="0"/>
          <w:numId w:val="4"/>
        </w:numPr>
        <w:ind w:firstLineChars="0"/>
        <w:rPr>
          <w:rFonts w:ascii="宋体" w:hAnsi="宋体"/>
          <w:b/>
          <w:bCs/>
          <w:sz w:val="24"/>
        </w:rPr>
      </w:pPr>
      <w:r>
        <w:rPr>
          <w:rFonts w:hint="eastAsia" w:ascii="宋体" w:hAnsi="宋体"/>
          <w:b/>
          <w:bCs/>
          <w:sz w:val="24"/>
        </w:rPr>
        <w:t>是否接受联合体投标：</w:t>
      </w:r>
      <w:r>
        <w:rPr>
          <w:rFonts w:hint="eastAsia" w:ascii="宋体" w:hAnsi="宋体"/>
          <w:sz w:val="24"/>
        </w:rPr>
        <w:t>否；</w:t>
      </w:r>
    </w:p>
    <w:p>
      <w:pPr>
        <w:pStyle w:val="64"/>
        <w:numPr>
          <w:ilvl w:val="0"/>
          <w:numId w:val="4"/>
        </w:numPr>
        <w:ind w:firstLineChars="0"/>
        <w:rPr>
          <w:rFonts w:ascii="宋体" w:hAnsi="宋体"/>
          <w:b/>
          <w:bCs/>
          <w:sz w:val="24"/>
        </w:rPr>
      </w:pPr>
      <w:r>
        <w:rPr>
          <w:rFonts w:ascii="宋体" w:hAnsi="宋体"/>
          <w:b/>
          <w:bCs/>
          <w:sz w:val="24"/>
        </w:rPr>
        <w:t>是否按信创要求建设：</w:t>
      </w:r>
      <w:r>
        <w:rPr>
          <w:rFonts w:ascii="宋体" w:hAnsi="宋体"/>
          <w:sz w:val="24"/>
        </w:rPr>
        <w:t>是</w:t>
      </w:r>
      <w:r>
        <w:rPr>
          <w:rFonts w:hint="eastAsia" w:ascii="宋体" w:hAnsi="宋体"/>
          <w:sz w:val="24"/>
        </w:rPr>
        <w:t>；</w:t>
      </w:r>
    </w:p>
    <w:p>
      <w:pPr>
        <w:pStyle w:val="64"/>
        <w:numPr>
          <w:ilvl w:val="0"/>
          <w:numId w:val="4"/>
        </w:numPr>
        <w:ind w:firstLineChars="0"/>
        <w:rPr>
          <w:rFonts w:ascii="宋体" w:hAnsi="宋体"/>
          <w:b/>
          <w:bCs/>
          <w:sz w:val="24"/>
        </w:rPr>
      </w:pPr>
      <w:r>
        <w:rPr>
          <w:rFonts w:hint="eastAsia" w:ascii="宋体" w:hAnsi="宋体"/>
          <w:b/>
          <w:bCs/>
          <w:sz w:val="24"/>
        </w:rPr>
        <w:t>运维后所属大系统：</w:t>
      </w:r>
      <w:r>
        <w:rPr>
          <w:rFonts w:hint="eastAsia" w:ascii="宋体" w:hAnsi="宋体"/>
          <w:sz w:val="24"/>
        </w:rPr>
        <w:t>规划资源局政务服务大系统</w:t>
      </w:r>
    </w:p>
    <w:p>
      <w:pPr>
        <w:pStyle w:val="2"/>
      </w:pPr>
      <w:bookmarkStart w:id="1" w:name="_Toc47533256"/>
      <w:bookmarkEnd w:id="1"/>
      <w:bookmarkStart w:id="2" w:name="_Toc47532255"/>
      <w:bookmarkEnd w:id="2"/>
      <w:bookmarkStart w:id="3" w:name="_Toc47536644"/>
      <w:bookmarkEnd w:id="3"/>
      <w:bookmarkStart w:id="4" w:name="_Toc47539070"/>
      <w:bookmarkEnd w:id="4"/>
      <w:bookmarkStart w:id="5" w:name="_Toc47537134"/>
      <w:bookmarkEnd w:id="5"/>
      <w:bookmarkStart w:id="6" w:name="_Toc47532891"/>
      <w:bookmarkEnd w:id="6"/>
      <w:bookmarkStart w:id="7" w:name="_Toc47531634"/>
      <w:bookmarkEnd w:id="7"/>
      <w:bookmarkStart w:id="8" w:name="_Toc47536272"/>
      <w:bookmarkEnd w:id="8"/>
      <w:bookmarkStart w:id="9" w:name="_Toc48223882"/>
      <w:bookmarkStart w:id="10" w:name="_Toc63785463"/>
      <w:r>
        <w:rPr>
          <w:rFonts w:hint="eastAsia"/>
        </w:rPr>
        <w:t>建设目标</w:t>
      </w:r>
      <w:bookmarkEnd w:id="9"/>
      <w:bookmarkEnd w:id="10"/>
    </w:p>
    <w:p>
      <w:pPr>
        <w:pStyle w:val="3"/>
        <w:ind w:left="567" w:leftChars="0" w:firstLine="0" w:firstLineChars="0"/>
      </w:pPr>
      <w:r>
        <w:rPr>
          <w:rFonts w:hint="eastAsia"/>
        </w:rPr>
        <w:t xml:space="preserve"> 项目总体目标</w:t>
      </w:r>
    </w:p>
    <w:p>
      <w:pPr>
        <w:pStyle w:val="4"/>
      </w:pPr>
      <w:r>
        <w:rPr>
          <w:rFonts w:hint="eastAsia"/>
        </w:rPr>
        <w:t>市政建设规划管理子系统</w:t>
      </w:r>
    </w:p>
    <w:p>
      <w:pPr>
        <w:spacing w:line="360" w:lineRule="auto"/>
        <w:ind w:firstLine="480"/>
        <w:rPr>
          <w:rFonts w:cs="Times New Roman"/>
          <w:bCs/>
        </w:rPr>
      </w:pPr>
      <w:r>
        <w:rPr>
          <w:rFonts w:hint="eastAsia" w:cs="Times New Roman"/>
          <w:bCs/>
        </w:rPr>
        <w:t>1）优化营商环境改革，完善规划资源市政项目审批业务，优化市政项目建设审批管理</w:t>
      </w:r>
    </w:p>
    <w:p>
      <w:pPr>
        <w:spacing w:line="360" w:lineRule="auto"/>
        <w:ind w:firstLine="480"/>
        <w:rPr>
          <w:rFonts w:cs="Times New Roman"/>
          <w:bCs/>
        </w:rPr>
      </w:pPr>
      <w:r>
        <w:rPr>
          <w:rFonts w:hint="eastAsia" w:cs="Times New Roman"/>
          <w:bCs/>
        </w:rPr>
        <w:t>工程建设项目审批制度改革是党中央、国务院在新形势下作出的重大决策，是推进政府职能转变和深化“放管服”改革、优化营商环境的重要内容。</w:t>
      </w:r>
    </w:p>
    <w:p>
      <w:pPr>
        <w:spacing w:line="360" w:lineRule="auto"/>
        <w:ind w:firstLine="480"/>
        <w:rPr>
          <w:rFonts w:cs="Times New Roman"/>
          <w:bCs/>
        </w:rPr>
      </w:pPr>
      <w:r>
        <w:rPr>
          <w:rFonts w:hint="eastAsia" w:cs="Times New Roman"/>
          <w:bCs/>
        </w:rPr>
        <w:t>根据上海市人民政府办公厅关于印发《上海市坚持对标改革 持续打造国际一流营商环境行动方案》的通知（沪府办发〔2024〕1号）要求优化项目建设审批管理，关于印发《聚焦“五个中心”建设推进上海高质量发展的规划资源行动方案》《上海市规划和自然资源局2024年重点工作项目表》的通知(沪规划资源研〔2024〕71号)要求深入贯彻落实市政府优化营商环境 7.0 版行动方案，研究制定规划资源领域实施方案，深化落实系列改革举措，探索“建设用地规划许可证、建设工程规划许可证”两证合一。推动规划资源数字化转型，深入挖掘数据应用，结合工程建设项目规划资源全生命周期管理智慧应用场景建设，提升数据辅助决策能力。贯彻落实《关于征求2023年建设用地审批“双随机、一公开”抽查工作细则意见的函》（自然资源办函〔2023〕2403号）要求，实现“一书三证”（线性工程）违法用地监管。</w:t>
      </w:r>
    </w:p>
    <w:p>
      <w:pPr>
        <w:spacing w:line="360" w:lineRule="auto"/>
        <w:ind w:firstLine="480"/>
        <w:rPr>
          <w:rFonts w:cs="Times New Roman"/>
          <w:bCs/>
        </w:rPr>
      </w:pPr>
      <w:r>
        <w:rPr>
          <w:rFonts w:hint="eastAsia" w:cs="Times New Roman"/>
          <w:bCs/>
        </w:rPr>
        <w:t>2）满足“一网通办”深化改革要求实现“一网通办”内容升级及智慧好办</w:t>
      </w:r>
    </w:p>
    <w:p>
      <w:pPr>
        <w:spacing w:line="360" w:lineRule="auto"/>
        <w:ind w:firstLine="480"/>
        <w:rPr>
          <w:rFonts w:cs="Times New Roman"/>
          <w:bCs/>
        </w:rPr>
      </w:pPr>
      <w:r>
        <w:rPr>
          <w:rFonts w:hint="eastAsia" w:cs="Times New Roman"/>
          <w:bCs/>
        </w:rPr>
        <w:t>根据《上海市人民政府办公厅关于印发2024年上海市优化政务服务提升行政效能深化“一网通办”改革工作任务分工的通知》(沪府办字〔2024〕3号)要求，围绕打造“智慧好办”服务品牌, 推进占年度总办件量75%的高频事项实现“799”服务效能 ,申报预填比例达到70%、首办成功率达到90%、人工帮办解决率达到90% ,实际办件网办率总体达到85%。推出工程建设项目(线性工程)电子报件 AI智能服务,实现线上质检、图形解析、指标自动核算等智能创新功能,有效提升预填率和一次申报通过率,大幅简化报建流程。（2024优化高频事项附件清单：《建设工程规划许可证》审批、建设项目规划土地意见书、土地权属调查边界确认）。</w:t>
      </w:r>
    </w:p>
    <w:p>
      <w:pPr>
        <w:spacing w:line="360" w:lineRule="auto"/>
        <w:ind w:firstLine="480"/>
        <w:rPr>
          <w:rFonts w:cs="Times New Roman"/>
          <w:bCs/>
        </w:rPr>
      </w:pPr>
      <w:r>
        <w:rPr>
          <w:rFonts w:hint="eastAsia" w:cs="Times New Roman"/>
          <w:bCs/>
        </w:rPr>
        <w:t>贯彻落实《上海市人民政府办公厅关于公布上海市行政许可事项清单（2023年版）的通知》（沪府办发〔2023〕15号）要求改造一网通办申报端行政许可事项应用，使其满足国家标准规范要求。</w:t>
      </w:r>
    </w:p>
    <w:p>
      <w:pPr>
        <w:pStyle w:val="4"/>
        <w:ind w:left="1069" w:hanging="1069"/>
      </w:pPr>
      <w:r>
        <w:rPr>
          <w:rFonts w:hint="eastAsia"/>
        </w:rPr>
        <w:t>上海市地籍数据管理系统</w:t>
      </w:r>
    </w:p>
    <w:p>
      <w:pPr>
        <w:pStyle w:val="64"/>
        <w:numPr>
          <w:ilvl w:val="0"/>
          <w:numId w:val="5"/>
        </w:numPr>
        <w:ind w:firstLineChars="0"/>
        <w:rPr>
          <w:bCs/>
          <w:sz w:val="24"/>
        </w:rPr>
      </w:pPr>
      <w:bookmarkStart w:id="11" w:name="_Hlk173242295"/>
      <w:r>
        <w:rPr>
          <w:rFonts w:hint="eastAsia"/>
          <w:bCs/>
          <w:sz w:val="24"/>
        </w:rPr>
        <w:t>全面加强地籍管理，完善地籍变更流程；助力优化营商环境，实现“交地即交证”</w:t>
      </w:r>
    </w:p>
    <w:p>
      <w:pPr>
        <w:spacing w:line="360" w:lineRule="auto"/>
        <w:ind w:firstLine="480"/>
        <w:rPr>
          <w:rFonts w:cs="Times New Roman"/>
          <w:bCs/>
        </w:rPr>
      </w:pPr>
      <w:r>
        <w:rPr>
          <w:rFonts w:hint="eastAsia" w:cs="Times New Roman"/>
          <w:bCs/>
        </w:rPr>
        <w:t>从进一步优化营商环境的角度出发，研究“交地即交证”工作模式和服务举措，增强办事企业的满意度和获得感；增设地籍修补测流程，补充原有地籍调查的环节薄弱点，助力确权登记工作的及时更新与数据共享；建设承包经营权数据管理模块，保障不动产登记与土地承包合同管理有序衔接。</w:t>
      </w:r>
    </w:p>
    <w:p>
      <w:pPr>
        <w:spacing w:line="360" w:lineRule="auto"/>
        <w:ind w:firstLine="480"/>
        <w:rPr>
          <w:rFonts w:cs="Times New Roman"/>
          <w:bCs/>
        </w:rPr>
      </w:pPr>
      <w:r>
        <w:rPr>
          <w:rFonts w:hint="eastAsia" w:cs="Times New Roman"/>
          <w:bCs/>
        </w:rPr>
        <w:t>通过上述功能的建设，满足了《自然资源部关于进一步做好地籍调查工作的通知》中“界址、范围发生变化，或已有调查成果不符合要求的，根据需要补充开展地籍调查”的相关要求，响应了《自然资源部 农业农村部关于做好不动产统一登记与土地承包合同管理工作有序衔接的通知》中“启动土地承包经营权登记簿和承包合同信息数据共享工作”的相关政策，助力“交地即交证”的业务改革完成，提高业务审批效率，增强企业满意程度。</w:t>
      </w:r>
    </w:p>
    <w:p>
      <w:pPr>
        <w:pStyle w:val="64"/>
        <w:numPr>
          <w:ilvl w:val="0"/>
          <w:numId w:val="5"/>
        </w:numPr>
        <w:ind w:firstLineChars="0"/>
        <w:rPr>
          <w:bCs/>
          <w:sz w:val="24"/>
        </w:rPr>
      </w:pPr>
      <w:r>
        <w:rPr>
          <w:rFonts w:hint="eastAsia"/>
          <w:bCs/>
          <w:sz w:val="24"/>
        </w:rPr>
        <w:t>推进宅基地总调查工作，在切实摸清底数的基础上，加快房地一体化宅基地确权颁证。</w:t>
      </w:r>
    </w:p>
    <w:p>
      <w:pPr>
        <w:spacing w:line="360" w:lineRule="auto"/>
        <w:ind w:firstLine="480"/>
        <w:rPr>
          <w:rFonts w:cs="Times New Roman"/>
          <w:bCs/>
        </w:rPr>
      </w:pPr>
      <w:r>
        <w:rPr>
          <w:rFonts w:hint="eastAsia" w:cs="Times New Roman"/>
          <w:bCs/>
        </w:rPr>
        <w:t>为实现上海宅基地的整体全面调查登记，尽早发出第一本证，进一步落实宅基地管理和登记的规定，规范本市宅基地及其上房屋调查工作，需要在充分利用已有基础要素底板的基础上，按照“标准规范统一、数据填平补齐”的原则，开展农村宅基地专项调查及地籍变更工作。</w:t>
      </w:r>
    </w:p>
    <w:p>
      <w:pPr>
        <w:spacing w:line="360" w:lineRule="auto"/>
        <w:ind w:firstLine="480"/>
        <w:rPr>
          <w:rFonts w:cs="Times New Roman"/>
          <w:bCs/>
        </w:rPr>
      </w:pPr>
      <w:r>
        <w:rPr>
          <w:rFonts w:hint="eastAsia" w:cs="Times New Roman"/>
          <w:bCs/>
        </w:rPr>
        <w:t>综合运用遥感信息处理、</w:t>
      </w:r>
      <w:r>
        <w:rPr>
          <w:rFonts w:cs="Times New Roman"/>
          <w:bCs/>
        </w:rPr>
        <w:t>GIS、大数据等信息技术，全面摸清全市农村宅基地的情况，解决农村宅基地管理目前面临的底数不清晰、数据集成难、管理缺手段、问题矛盾多、决策缺依据等问题，为本市农村宅基地全生命周期管理和登记发证提供重要支撑，推进深化农村土地制度改革。</w:t>
      </w:r>
    </w:p>
    <w:bookmarkEnd w:id="11"/>
    <w:p>
      <w:pPr>
        <w:pStyle w:val="3"/>
        <w:ind w:left="567" w:leftChars="0" w:firstLine="0" w:firstLineChars="0"/>
      </w:pPr>
      <w:r>
        <w:rPr>
          <w:rFonts w:hint="eastAsia"/>
        </w:rPr>
        <w:t>应用目标</w:t>
      </w:r>
    </w:p>
    <w:p>
      <w:pPr>
        <w:pStyle w:val="4"/>
      </w:pPr>
      <w:r>
        <w:rPr>
          <w:rFonts w:hint="eastAsia"/>
        </w:rPr>
        <w:t>市政建设规划管理子系统</w:t>
      </w:r>
    </w:p>
    <w:tbl>
      <w:tblPr>
        <w:tblStyle w:val="3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815"/>
        <w:gridCol w:w="1223"/>
        <w:gridCol w:w="1746"/>
        <w:gridCol w:w="2038"/>
        <w:gridCol w:w="19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tblHeader/>
          <w:jc w:val="center"/>
        </w:trPr>
        <w:tc>
          <w:tcPr>
            <w:tcW w:w="427" w:type="pct"/>
            <w:shd w:val="clear" w:color="auto" w:fill="7F7F7F" w:themeFill="background1" w:themeFillShade="80"/>
            <w:vAlign w:val="center"/>
          </w:tcPr>
          <w:p>
            <w:pPr>
              <w:pStyle w:val="149"/>
              <w:rPr>
                <w:b/>
                <w:bCs/>
              </w:rPr>
            </w:pPr>
            <w:bookmarkStart w:id="12" w:name="_Hlk173242431"/>
            <w:r>
              <w:rPr>
                <w:rFonts w:hint="eastAsia"/>
                <w:b/>
                <w:bCs/>
              </w:rPr>
              <w:t>序号</w:t>
            </w:r>
          </w:p>
        </w:tc>
        <w:tc>
          <w:tcPr>
            <w:tcW w:w="478" w:type="pct"/>
            <w:shd w:val="clear" w:color="auto" w:fill="7F7F7F" w:themeFill="background1" w:themeFillShade="80"/>
            <w:vAlign w:val="center"/>
          </w:tcPr>
          <w:p>
            <w:pPr>
              <w:pStyle w:val="149"/>
              <w:rPr>
                <w:b/>
                <w:bCs/>
              </w:rPr>
            </w:pPr>
            <w:r>
              <w:rPr>
                <w:rFonts w:hint="eastAsia"/>
                <w:b/>
                <w:bCs/>
              </w:rPr>
              <w:t>一级指标</w:t>
            </w:r>
          </w:p>
        </w:tc>
        <w:tc>
          <w:tcPr>
            <w:tcW w:w="717" w:type="pct"/>
            <w:shd w:val="clear" w:color="auto" w:fill="7F7F7F" w:themeFill="background1" w:themeFillShade="80"/>
            <w:vAlign w:val="center"/>
          </w:tcPr>
          <w:p>
            <w:pPr>
              <w:pStyle w:val="149"/>
              <w:rPr>
                <w:b/>
                <w:bCs/>
              </w:rPr>
            </w:pPr>
            <w:r>
              <w:rPr>
                <w:rFonts w:hint="eastAsia"/>
                <w:b/>
                <w:bCs/>
              </w:rPr>
              <w:t>二级指标</w:t>
            </w:r>
          </w:p>
        </w:tc>
        <w:tc>
          <w:tcPr>
            <w:tcW w:w="1024" w:type="pct"/>
            <w:shd w:val="clear" w:color="auto" w:fill="7F7F7F" w:themeFill="background1" w:themeFillShade="80"/>
            <w:vAlign w:val="center"/>
          </w:tcPr>
          <w:p>
            <w:pPr>
              <w:pStyle w:val="149"/>
              <w:rPr>
                <w:b/>
                <w:bCs/>
              </w:rPr>
            </w:pPr>
            <w:r>
              <w:rPr>
                <w:rFonts w:hint="eastAsia"/>
                <w:b/>
                <w:bCs/>
              </w:rPr>
              <w:t>三级指标</w:t>
            </w:r>
          </w:p>
        </w:tc>
        <w:tc>
          <w:tcPr>
            <w:tcW w:w="1195" w:type="pct"/>
            <w:shd w:val="clear" w:color="auto" w:fill="7F7F7F" w:themeFill="background1" w:themeFillShade="80"/>
            <w:vAlign w:val="center"/>
          </w:tcPr>
          <w:p>
            <w:pPr>
              <w:pStyle w:val="149"/>
              <w:rPr>
                <w:b/>
                <w:bCs/>
              </w:rPr>
            </w:pPr>
            <w:r>
              <w:rPr>
                <w:rFonts w:hint="eastAsia"/>
                <w:b/>
                <w:bCs/>
              </w:rPr>
              <w:t>四级指标</w:t>
            </w:r>
          </w:p>
        </w:tc>
        <w:tc>
          <w:tcPr>
            <w:tcW w:w="1159" w:type="pct"/>
            <w:shd w:val="clear" w:color="auto" w:fill="7F7F7F" w:themeFill="background1" w:themeFillShade="80"/>
            <w:vAlign w:val="center"/>
          </w:tcPr>
          <w:p>
            <w:pPr>
              <w:pStyle w:val="149"/>
              <w:rPr>
                <w:b/>
                <w:bCs/>
              </w:rPr>
            </w:pPr>
            <w:r>
              <w:rPr>
                <w:rFonts w:hint="eastAsia"/>
                <w:b/>
                <w:bCs/>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27" w:type="pct"/>
            <w:shd w:val="clear" w:color="auto" w:fill="auto"/>
            <w:vAlign w:val="center"/>
          </w:tcPr>
          <w:p>
            <w:pPr>
              <w:pStyle w:val="149"/>
            </w:pPr>
            <w:r>
              <w:t>1</w:t>
            </w:r>
          </w:p>
        </w:tc>
        <w:tc>
          <w:tcPr>
            <w:tcW w:w="478" w:type="pct"/>
            <w:shd w:val="clear" w:color="auto" w:fill="auto"/>
            <w:vAlign w:val="center"/>
          </w:tcPr>
          <w:p>
            <w:pPr>
              <w:pStyle w:val="149"/>
            </w:pPr>
            <w:r>
              <w:rPr>
                <w:rFonts w:hint="eastAsia"/>
              </w:rPr>
              <w:t>通用指标</w:t>
            </w:r>
          </w:p>
        </w:tc>
        <w:tc>
          <w:tcPr>
            <w:tcW w:w="717" w:type="pct"/>
            <w:shd w:val="clear" w:color="auto" w:fill="auto"/>
            <w:vAlign w:val="center"/>
          </w:tcPr>
          <w:p>
            <w:pPr>
              <w:pStyle w:val="149"/>
            </w:pPr>
            <w:r>
              <w:rPr>
                <w:rFonts w:hint="eastAsia"/>
              </w:rPr>
              <w:t>产出指标</w:t>
            </w:r>
          </w:p>
        </w:tc>
        <w:tc>
          <w:tcPr>
            <w:tcW w:w="1024" w:type="pct"/>
            <w:shd w:val="clear" w:color="auto" w:fill="auto"/>
            <w:vAlign w:val="center"/>
          </w:tcPr>
          <w:p>
            <w:pPr>
              <w:pStyle w:val="149"/>
            </w:pPr>
            <w:r>
              <w:rPr>
                <w:rFonts w:hint="eastAsia"/>
              </w:rPr>
              <w:t>产出质量</w:t>
            </w:r>
          </w:p>
        </w:tc>
        <w:tc>
          <w:tcPr>
            <w:tcW w:w="1195" w:type="pct"/>
            <w:vAlign w:val="center"/>
          </w:tcPr>
          <w:p>
            <w:pPr>
              <w:pStyle w:val="149"/>
            </w:pPr>
            <w:r>
              <w:rPr>
                <w:rFonts w:hint="eastAsia"/>
              </w:rPr>
              <w:t>一次性验收合格率</w:t>
            </w:r>
          </w:p>
        </w:tc>
        <w:tc>
          <w:tcPr>
            <w:tcW w:w="1159" w:type="pct"/>
            <w:shd w:val="clear" w:color="auto" w:fill="auto"/>
            <w:vAlign w:val="center"/>
          </w:tcPr>
          <w:p>
            <w:pPr>
              <w:pStyle w:val="149"/>
            </w:pPr>
            <w:r>
              <w:rPr>
                <w:rFonts w:hint="eastAsia"/>
              </w:rPr>
              <w:t>一次性验收合格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2" w:hRule="atLeast"/>
          <w:jc w:val="center"/>
        </w:trPr>
        <w:tc>
          <w:tcPr>
            <w:tcW w:w="427" w:type="pct"/>
            <w:shd w:val="clear" w:color="auto" w:fill="auto"/>
            <w:vAlign w:val="center"/>
          </w:tcPr>
          <w:p>
            <w:pPr>
              <w:pStyle w:val="149"/>
            </w:pPr>
            <w:r>
              <w:rPr>
                <w:rFonts w:hint="eastAsia"/>
              </w:rPr>
              <w:t>2</w:t>
            </w:r>
          </w:p>
        </w:tc>
        <w:tc>
          <w:tcPr>
            <w:tcW w:w="478" w:type="pct"/>
            <w:shd w:val="clear" w:color="auto" w:fill="auto"/>
          </w:tcPr>
          <w:p>
            <w:pPr>
              <w:pStyle w:val="149"/>
            </w:pPr>
            <w:r>
              <w:rPr>
                <w:rFonts w:hint="eastAsia"/>
              </w:rPr>
              <w:t>通用指标</w:t>
            </w:r>
          </w:p>
        </w:tc>
        <w:tc>
          <w:tcPr>
            <w:tcW w:w="717" w:type="pct"/>
            <w:shd w:val="clear" w:color="auto" w:fill="auto"/>
            <w:vAlign w:val="center"/>
          </w:tcPr>
          <w:p>
            <w:pPr>
              <w:pStyle w:val="149"/>
            </w:pPr>
            <w:r>
              <w:rPr>
                <w:rFonts w:hint="eastAsia"/>
              </w:rPr>
              <w:t>产出指标</w:t>
            </w:r>
          </w:p>
        </w:tc>
        <w:tc>
          <w:tcPr>
            <w:tcW w:w="1024" w:type="pct"/>
            <w:shd w:val="clear" w:color="auto" w:fill="auto"/>
            <w:vAlign w:val="center"/>
          </w:tcPr>
          <w:p>
            <w:pPr>
              <w:pStyle w:val="149"/>
            </w:pPr>
            <w:r>
              <w:rPr>
                <w:rFonts w:hint="eastAsia"/>
              </w:rPr>
              <w:t>产出质量</w:t>
            </w:r>
          </w:p>
        </w:tc>
        <w:tc>
          <w:tcPr>
            <w:tcW w:w="1195" w:type="pct"/>
            <w:vAlign w:val="center"/>
          </w:tcPr>
          <w:p>
            <w:pPr>
              <w:pStyle w:val="149"/>
            </w:pPr>
            <w:r>
              <w:rPr>
                <w:rFonts w:hint="eastAsia"/>
              </w:rPr>
              <w:t>安全事件发生次数</w:t>
            </w:r>
          </w:p>
        </w:tc>
        <w:tc>
          <w:tcPr>
            <w:tcW w:w="1159" w:type="pct"/>
            <w:shd w:val="clear" w:color="auto" w:fill="auto"/>
            <w:vAlign w:val="center"/>
          </w:tcPr>
          <w:p>
            <w:pPr>
              <w:pStyle w:val="149"/>
            </w:pPr>
            <w:r>
              <w:rPr>
                <w:rFonts w:hint="eastAsia"/>
              </w:rPr>
              <w:t>≤</w:t>
            </w:r>
            <w:r>
              <w:t>3次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27" w:type="pct"/>
            <w:shd w:val="clear" w:color="auto" w:fill="auto"/>
            <w:vAlign w:val="center"/>
          </w:tcPr>
          <w:p>
            <w:pPr>
              <w:pStyle w:val="149"/>
            </w:pPr>
            <w:r>
              <w:rPr>
                <w:rFonts w:hint="eastAsia"/>
              </w:rPr>
              <w:t>3</w:t>
            </w:r>
          </w:p>
        </w:tc>
        <w:tc>
          <w:tcPr>
            <w:tcW w:w="478" w:type="pct"/>
            <w:shd w:val="clear" w:color="auto" w:fill="auto"/>
          </w:tcPr>
          <w:p>
            <w:pPr>
              <w:pStyle w:val="149"/>
            </w:pPr>
            <w:r>
              <w:rPr>
                <w:rFonts w:hint="eastAsia"/>
              </w:rPr>
              <w:t>通用指标</w:t>
            </w:r>
          </w:p>
        </w:tc>
        <w:tc>
          <w:tcPr>
            <w:tcW w:w="717" w:type="pct"/>
            <w:shd w:val="clear" w:color="auto" w:fill="auto"/>
            <w:vAlign w:val="center"/>
          </w:tcPr>
          <w:p>
            <w:pPr>
              <w:pStyle w:val="149"/>
            </w:pPr>
            <w:r>
              <w:rPr>
                <w:rFonts w:hint="eastAsia"/>
              </w:rPr>
              <w:t>产出指标</w:t>
            </w:r>
          </w:p>
        </w:tc>
        <w:tc>
          <w:tcPr>
            <w:tcW w:w="1024" w:type="pct"/>
            <w:shd w:val="clear" w:color="auto" w:fill="auto"/>
            <w:vAlign w:val="center"/>
          </w:tcPr>
          <w:p>
            <w:pPr>
              <w:pStyle w:val="149"/>
            </w:pPr>
            <w:r>
              <w:rPr>
                <w:rFonts w:hint="eastAsia"/>
              </w:rPr>
              <w:t>产出时效</w:t>
            </w:r>
          </w:p>
        </w:tc>
        <w:tc>
          <w:tcPr>
            <w:tcW w:w="1195" w:type="pct"/>
            <w:vAlign w:val="center"/>
          </w:tcPr>
          <w:p>
            <w:pPr>
              <w:pStyle w:val="149"/>
            </w:pPr>
            <w:r>
              <w:rPr>
                <w:rFonts w:hint="eastAsia"/>
              </w:rPr>
              <w:t>项目建设周期</w:t>
            </w:r>
          </w:p>
        </w:tc>
        <w:tc>
          <w:tcPr>
            <w:tcW w:w="1159" w:type="pct"/>
            <w:shd w:val="clear" w:color="auto" w:fill="auto"/>
            <w:vAlign w:val="center"/>
          </w:tcPr>
          <w:p>
            <w:pPr>
              <w:pStyle w:val="149"/>
            </w:pPr>
            <w:r>
              <w:rPr>
                <w:rFonts w:hint="eastAsia"/>
              </w:rPr>
              <w:t>≤10个月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27" w:type="pct"/>
            <w:shd w:val="clear" w:color="auto" w:fill="auto"/>
            <w:vAlign w:val="center"/>
          </w:tcPr>
          <w:p>
            <w:pPr>
              <w:pStyle w:val="149"/>
            </w:pPr>
            <w:r>
              <w:rPr>
                <w:rFonts w:hint="eastAsia"/>
              </w:rPr>
              <w:t>4</w:t>
            </w:r>
          </w:p>
        </w:tc>
        <w:tc>
          <w:tcPr>
            <w:tcW w:w="478" w:type="pct"/>
            <w:shd w:val="clear" w:color="auto" w:fill="auto"/>
          </w:tcPr>
          <w:p>
            <w:pPr>
              <w:pStyle w:val="149"/>
            </w:pPr>
            <w:r>
              <w:rPr>
                <w:rFonts w:hint="eastAsia"/>
              </w:rPr>
              <w:t>通用指标</w:t>
            </w:r>
          </w:p>
        </w:tc>
        <w:tc>
          <w:tcPr>
            <w:tcW w:w="717" w:type="pct"/>
            <w:shd w:val="clear" w:color="auto" w:fill="auto"/>
            <w:vAlign w:val="center"/>
          </w:tcPr>
          <w:p>
            <w:pPr>
              <w:pStyle w:val="149"/>
            </w:pPr>
            <w:r>
              <w:rPr>
                <w:rFonts w:hint="eastAsia"/>
              </w:rPr>
              <w:t>安全体系</w:t>
            </w:r>
          </w:p>
        </w:tc>
        <w:tc>
          <w:tcPr>
            <w:tcW w:w="1024" w:type="pct"/>
            <w:shd w:val="clear" w:color="auto" w:fill="auto"/>
            <w:vAlign w:val="center"/>
          </w:tcPr>
          <w:p>
            <w:pPr>
              <w:pStyle w:val="149"/>
            </w:pPr>
            <w:r>
              <w:rPr>
                <w:rFonts w:hint="eastAsia"/>
              </w:rPr>
              <w:t>安全建设水平</w:t>
            </w:r>
          </w:p>
        </w:tc>
        <w:tc>
          <w:tcPr>
            <w:tcW w:w="1195" w:type="pct"/>
            <w:vAlign w:val="center"/>
          </w:tcPr>
          <w:p>
            <w:pPr>
              <w:pStyle w:val="149"/>
            </w:pPr>
            <w:r>
              <w:rPr>
                <w:rFonts w:hint="eastAsia"/>
              </w:rPr>
              <w:t>网络安全措施</w:t>
            </w:r>
          </w:p>
        </w:tc>
        <w:tc>
          <w:tcPr>
            <w:tcW w:w="1159" w:type="pct"/>
            <w:shd w:val="clear" w:color="auto" w:fill="auto"/>
            <w:vAlign w:val="center"/>
          </w:tcPr>
          <w:p>
            <w:pPr>
              <w:pStyle w:val="149"/>
            </w:pPr>
            <w:r>
              <w:rPr>
                <w:rFonts w:hint="eastAsia"/>
              </w:rPr>
              <w:t>按三级网络安全等级标准建设</w:t>
            </w:r>
          </w:p>
        </w:tc>
      </w:tr>
      <w:bookmarkEnd w:id="12"/>
    </w:tbl>
    <w:p/>
    <w:p>
      <w:pPr>
        <w:pStyle w:val="4"/>
        <w:ind w:left="1069" w:hanging="1069"/>
      </w:pPr>
      <w:r>
        <w:rPr>
          <w:rFonts w:hint="eastAsia"/>
        </w:rPr>
        <w:t>上海市地籍数据管理系统</w:t>
      </w:r>
    </w:p>
    <w:tbl>
      <w:tblPr>
        <w:tblStyle w:val="3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815"/>
        <w:gridCol w:w="1223"/>
        <w:gridCol w:w="1746"/>
        <w:gridCol w:w="2038"/>
        <w:gridCol w:w="19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tblHeader/>
          <w:jc w:val="center"/>
        </w:trPr>
        <w:tc>
          <w:tcPr>
            <w:tcW w:w="427" w:type="pct"/>
            <w:shd w:val="clear" w:color="auto" w:fill="7F7F7F" w:themeFill="background1" w:themeFillShade="80"/>
            <w:vAlign w:val="center"/>
          </w:tcPr>
          <w:p>
            <w:pPr>
              <w:pStyle w:val="149"/>
              <w:rPr>
                <w:b/>
                <w:bCs/>
              </w:rPr>
            </w:pPr>
            <w:r>
              <w:rPr>
                <w:rFonts w:hint="eastAsia"/>
                <w:b/>
                <w:bCs/>
              </w:rPr>
              <w:t>序号</w:t>
            </w:r>
          </w:p>
        </w:tc>
        <w:tc>
          <w:tcPr>
            <w:tcW w:w="478" w:type="pct"/>
            <w:shd w:val="clear" w:color="auto" w:fill="7F7F7F" w:themeFill="background1" w:themeFillShade="80"/>
            <w:vAlign w:val="center"/>
          </w:tcPr>
          <w:p>
            <w:pPr>
              <w:pStyle w:val="149"/>
              <w:rPr>
                <w:b/>
                <w:bCs/>
              </w:rPr>
            </w:pPr>
            <w:r>
              <w:rPr>
                <w:rFonts w:hint="eastAsia"/>
                <w:b/>
                <w:bCs/>
              </w:rPr>
              <w:t>一级指标</w:t>
            </w:r>
          </w:p>
        </w:tc>
        <w:tc>
          <w:tcPr>
            <w:tcW w:w="717" w:type="pct"/>
            <w:shd w:val="clear" w:color="auto" w:fill="7F7F7F" w:themeFill="background1" w:themeFillShade="80"/>
            <w:vAlign w:val="center"/>
          </w:tcPr>
          <w:p>
            <w:pPr>
              <w:pStyle w:val="149"/>
              <w:rPr>
                <w:b/>
                <w:bCs/>
              </w:rPr>
            </w:pPr>
            <w:r>
              <w:rPr>
                <w:rFonts w:hint="eastAsia"/>
                <w:b/>
                <w:bCs/>
              </w:rPr>
              <w:t>二级指标</w:t>
            </w:r>
          </w:p>
        </w:tc>
        <w:tc>
          <w:tcPr>
            <w:tcW w:w="1024" w:type="pct"/>
            <w:shd w:val="clear" w:color="auto" w:fill="7F7F7F" w:themeFill="background1" w:themeFillShade="80"/>
            <w:vAlign w:val="center"/>
          </w:tcPr>
          <w:p>
            <w:pPr>
              <w:pStyle w:val="149"/>
              <w:rPr>
                <w:b/>
                <w:bCs/>
              </w:rPr>
            </w:pPr>
            <w:r>
              <w:rPr>
                <w:rFonts w:hint="eastAsia"/>
                <w:b/>
                <w:bCs/>
              </w:rPr>
              <w:t>三级指标</w:t>
            </w:r>
          </w:p>
        </w:tc>
        <w:tc>
          <w:tcPr>
            <w:tcW w:w="1195" w:type="pct"/>
            <w:shd w:val="clear" w:color="auto" w:fill="7F7F7F" w:themeFill="background1" w:themeFillShade="80"/>
            <w:vAlign w:val="center"/>
          </w:tcPr>
          <w:p>
            <w:pPr>
              <w:pStyle w:val="149"/>
              <w:rPr>
                <w:b/>
                <w:bCs/>
              </w:rPr>
            </w:pPr>
            <w:r>
              <w:rPr>
                <w:rFonts w:hint="eastAsia"/>
                <w:b/>
                <w:bCs/>
              </w:rPr>
              <w:t>四级指标</w:t>
            </w:r>
          </w:p>
        </w:tc>
        <w:tc>
          <w:tcPr>
            <w:tcW w:w="1159" w:type="pct"/>
            <w:shd w:val="clear" w:color="auto" w:fill="7F7F7F" w:themeFill="background1" w:themeFillShade="80"/>
            <w:vAlign w:val="center"/>
          </w:tcPr>
          <w:p>
            <w:pPr>
              <w:pStyle w:val="149"/>
              <w:rPr>
                <w:b/>
                <w:bCs/>
              </w:rPr>
            </w:pPr>
            <w:r>
              <w:rPr>
                <w:rFonts w:hint="eastAsia"/>
                <w:b/>
                <w:bCs/>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27" w:type="pct"/>
            <w:shd w:val="clear" w:color="auto" w:fill="auto"/>
            <w:vAlign w:val="center"/>
          </w:tcPr>
          <w:p>
            <w:pPr>
              <w:pStyle w:val="149"/>
            </w:pPr>
            <w:r>
              <w:t>1</w:t>
            </w:r>
          </w:p>
        </w:tc>
        <w:tc>
          <w:tcPr>
            <w:tcW w:w="478" w:type="pct"/>
            <w:shd w:val="clear" w:color="auto" w:fill="auto"/>
            <w:vAlign w:val="center"/>
          </w:tcPr>
          <w:p>
            <w:pPr>
              <w:pStyle w:val="149"/>
            </w:pPr>
            <w:r>
              <w:rPr>
                <w:rFonts w:hint="eastAsia"/>
              </w:rPr>
              <w:t>通用指标</w:t>
            </w:r>
          </w:p>
        </w:tc>
        <w:tc>
          <w:tcPr>
            <w:tcW w:w="717" w:type="pct"/>
            <w:shd w:val="clear" w:color="auto" w:fill="auto"/>
            <w:vAlign w:val="center"/>
          </w:tcPr>
          <w:p>
            <w:pPr>
              <w:pStyle w:val="149"/>
            </w:pPr>
            <w:r>
              <w:rPr>
                <w:rFonts w:hint="eastAsia"/>
              </w:rPr>
              <w:t>产出指标</w:t>
            </w:r>
          </w:p>
        </w:tc>
        <w:tc>
          <w:tcPr>
            <w:tcW w:w="1024" w:type="pct"/>
            <w:shd w:val="clear" w:color="auto" w:fill="auto"/>
            <w:vAlign w:val="center"/>
          </w:tcPr>
          <w:p>
            <w:pPr>
              <w:pStyle w:val="149"/>
            </w:pPr>
            <w:r>
              <w:rPr>
                <w:rFonts w:hint="eastAsia"/>
              </w:rPr>
              <w:t>产出质量</w:t>
            </w:r>
          </w:p>
        </w:tc>
        <w:tc>
          <w:tcPr>
            <w:tcW w:w="1195" w:type="pct"/>
            <w:vAlign w:val="center"/>
          </w:tcPr>
          <w:p>
            <w:pPr>
              <w:pStyle w:val="149"/>
            </w:pPr>
            <w:r>
              <w:rPr>
                <w:rFonts w:hint="eastAsia"/>
              </w:rPr>
              <w:t>一次性验收合格率</w:t>
            </w:r>
          </w:p>
        </w:tc>
        <w:tc>
          <w:tcPr>
            <w:tcW w:w="1159" w:type="pct"/>
            <w:shd w:val="clear" w:color="auto" w:fill="auto"/>
            <w:vAlign w:val="center"/>
          </w:tcPr>
          <w:p>
            <w:pPr>
              <w:pStyle w:val="149"/>
            </w:pPr>
            <w:r>
              <w:rPr>
                <w:rFonts w:hint="eastAsia"/>
              </w:rPr>
              <w:t>一次性验收合格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2" w:hRule="atLeast"/>
          <w:jc w:val="center"/>
        </w:trPr>
        <w:tc>
          <w:tcPr>
            <w:tcW w:w="427" w:type="pct"/>
            <w:shd w:val="clear" w:color="auto" w:fill="auto"/>
            <w:vAlign w:val="center"/>
          </w:tcPr>
          <w:p>
            <w:pPr>
              <w:pStyle w:val="149"/>
            </w:pPr>
            <w:r>
              <w:rPr>
                <w:rFonts w:hint="eastAsia"/>
              </w:rPr>
              <w:t>2</w:t>
            </w:r>
          </w:p>
        </w:tc>
        <w:tc>
          <w:tcPr>
            <w:tcW w:w="478" w:type="pct"/>
            <w:shd w:val="clear" w:color="auto" w:fill="auto"/>
          </w:tcPr>
          <w:p>
            <w:pPr>
              <w:pStyle w:val="149"/>
            </w:pPr>
            <w:r>
              <w:rPr>
                <w:rFonts w:hint="eastAsia"/>
              </w:rPr>
              <w:t>通用指标</w:t>
            </w:r>
          </w:p>
        </w:tc>
        <w:tc>
          <w:tcPr>
            <w:tcW w:w="717" w:type="pct"/>
            <w:shd w:val="clear" w:color="auto" w:fill="auto"/>
            <w:vAlign w:val="center"/>
          </w:tcPr>
          <w:p>
            <w:pPr>
              <w:pStyle w:val="149"/>
            </w:pPr>
            <w:r>
              <w:rPr>
                <w:rFonts w:hint="eastAsia"/>
              </w:rPr>
              <w:t>产出指标</w:t>
            </w:r>
          </w:p>
        </w:tc>
        <w:tc>
          <w:tcPr>
            <w:tcW w:w="1024" w:type="pct"/>
            <w:shd w:val="clear" w:color="auto" w:fill="auto"/>
            <w:vAlign w:val="center"/>
          </w:tcPr>
          <w:p>
            <w:pPr>
              <w:pStyle w:val="149"/>
            </w:pPr>
            <w:r>
              <w:rPr>
                <w:rFonts w:hint="eastAsia"/>
              </w:rPr>
              <w:t>产出质量</w:t>
            </w:r>
          </w:p>
        </w:tc>
        <w:tc>
          <w:tcPr>
            <w:tcW w:w="1195" w:type="pct"/>
            <w:vAlign w:val="center"/>
          </w:tcPr>
          <w:p>
            <w:pPr>
              <w:pStyle w:val="149"/>
            </w:pPr>
            <w:r>
              <w:rPr>
                <w:rFonts w:hint="eastAsia"/>
              </w:rPr>
              <w:t>安全事件发生次数</w:t>
            </w:r>
          </w:p>
        </w:tc>
        <w:tc>
          <w:tcPr>
            <w:tcW w:w="1159" w:type="pct"/>
            <w:shd w:val="clear" w:color="auto" w:fill="auto"/>
            <w:vAlign w:val="center"/>
          </w:tcPr>
          <w:p>
            <w:pPr>
              <w:pStyle w:val="149"/>
            </w:pPr>
            <w:r>
              <w:rPr>
                <w:rFonts w:hint="eastAsia"/>
              </w:rPr>
              <w:t>≤</w:t>
            </w:r>
            <w:r>
              <w:t>3次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27" w:type="pct"/>
            <w:shd w:val="clear" w:color="auto" w:fill="auto"/>
            <w:vAlign w:val="center"/>
          </w:tcPr>
          <w:p>
            <w:pPr>
              <w:pStyle w:val="149"/>
            </w:pPr>
            <w:r>
              <w:rPr>
                <w:rFonts w:hint="eastAsia"/>
              </w:rPr>
              <w:t>3</w:t>
            </w:r>
          </w:p>
        </w:tc>
        <w:tc>
          <w:tcPr>
            <w:tcW w:w="478" w:type="pct"/>
            <w:shd w:val="clear" w:color="auto" w:fill="auto"/>
          </w:tcPr>
          <w:p>
            <w:pPr>
              <w:pStyle w:val="149"/>
            </w:pPr>
            <w:r>
              <w:rPr>
                <w:rFonts w:hint="eastAsia"/>
              </w:rPr>
              <w:t>通用指标</w:t>
            </w:r>
          </w:p>
        </w:tc>
        <w:tc>
          <w:tcPr>
            <w:tcW w:w="717" w:type="pct"/>
            <w:shd w:val="clear" w:color="auto" w:fill="auto"/>
            <w:vAlign w:val="center"/>
          </w:tcPr>
          <w:p>
            <w:pPr>
              <w:pStyle w:val="149"/>
            </w:pPr>
            <w:r>
              <w:rPr>
                <w:rFonts w:hint="eastAsia"/>
              </w:rPr>
              <w:t>产出指标</w:t>
            </w:r>
          </w:p>
        </w:tc>
        <w:tc>
          <w:tcPr>
            <w:tcW w:w="1024" w:type="pct"/>
            <w:shd w:val="clear" w:color="auto" w:fill="auto"/>
            <w:vAlign w:val="center"/>
          </w:tcPr>
          <w:p>
            <w:pPr>
              <w:pStyle w:val="149"/>
            </w:pPr>
            <w:r>
              <w:rPr>
                <w:rFonts w:hint="eastAsia"/>
              </w:rPr>
              <w:t>产出时效</w:t>
            </w:r>
          </w:p>
        </w:tc>
        <w:tc>
          <w:tcPr>
            <w:tcW w:w="1195" w:type="pct"/>
            <w:vAlign w:val="center"/>
          </w:tcPr>
          <w:p>
            <w:pPr>
              <w:pStyle w:val="149"/>
            </w:pPr>
            <w:r>
              <w:rPr>
                <w:rFonts w:hint="eastAsia"/>
              </w:rPr>
              <w:t>项目建设周期</w:t>
            </w:r>
          </w:p>
        </w:tc>
        <w:tc>
          <w:tcPr>
            <w:tcW w:w="1159" w:type="pct"/>
            <w:shd w:val="clear" w:color="auto" w:fill="auto"/>
            <w:vAlign w:val="center"/>
          </w:tcPr>
          <w:p>
            <w:pPr>
              <w:pStyle w:val="149"/>
            </w:pPr>
            <w:r>
              <w:rPr>
                <w:rFonts w:hint="eastAsia"/>
              </w:rPr>
              <w:t>≤10个月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27" w:type="pct"/>
            <w:shd w:val="clear" w:color="auto" w:fill="auto"/>
            <w:vAlign w:val="center"/>
          </w:tcPr>
          <w:p>
            <w:pPr>
              <w:pStyle w:val="149"/>
            </w:pPr>
            <w:r>
              <w:rPr>
                <w:rFonts w:hint="eastAsia"/>
              </w:rPr>
              <w:t>4</w:t>
            </w:r>
          </w:p>
        </w:tc>
        <w:tc>
          <w:tcPr>
            <w:tcW w:w="478" w:type="pct"/>
            <w:shd w:val="clear" w:color="auto" w:fill="auto"/>
          </w:tcPr>
          <w:p>
            <w:pPr>
              <w:pStyle w:val="149"/>
            </w:pPr>
            <w:r>
              <w:rPr>
                <w:rFonts w:hint="eastAsia"/>
              </w:rPr>
              <w:t>通用指标</w:t>
            </w:r>
          </w:p>
        </w:tc>
        <w:tc>
          <w:tcPr>
            <w:tcW w:w="717" w:type="pct"/>
            <w:shd w:val="clear" w:color="auto" w:fill="auto"/>
            <w:vAlign w:val="center"/>
          </w:tcPr>
          <w:p>
            <w:pPr>
              <w:pStyle w:val="149"/>
            </w:pPr>
            <w:r>
              <w:rPr>
                <w:rFonts w:hint="eastAsia"/>
              </w:rPr>
              <w:t>安全体系</w:t>
            </w:r>
          </w:p>
        </w:tc>
        <w:tc>
          <w:tcPr>
            <w:tcW w:w="1024" w:type="pct"/>
            <w:shd w:val="clear" w:color="auto" w:fill="auto"/>
            <w:vAlign w:val="center"/>
          </w:tcPr>
          <w:p>
            <w:pPr>
              <w:pStyle w:val="149"/>
            </w:pPr>
            <w:r>
              <w:rPr>
                <w:rFonts w:hint="eastAsia"/>
              </w:rPr>
              <w:t>安全建设水平</w:t>
            </w:r>
          </w:p>
        </w:tc>
        <w:tc>
          <w:tcPr>
            <w:tcW w:w="1195" w:type="pct"/>
            <w:vAlign w:val="center"/>
          </w:tcPr>
          <w:p>
            <w:pPr>
              <w:pStyle w:val="149"/>
            </w:pPr>
            <w:r>
              <w:rPr>
                <w:rFonts w:hint="eastAsia"/>
              </w:rPr>
              <w:t>网络安全措施</w:t>
            </w:r>
          </w:p>
        </w:tc>
        <w:tc>
          <w:tcPr>
            <w:tcW w:w="1159" w:type="pct"/>
            <w:shd w:val="clear" w:color="auto" w:fill="auto"/>
            <w:vAlign w:val="center"/>
          </w:tcPr>
          <w:p>
            <w:pPr>
              <w:pStyle w:val="149"/>
            </w:pPr>
            <w:r>
              <w:rPr>
                <w:rFonts w:hint="eastAsia"/>
              </w:rPr>
              <w:t>按三级网络安全等级标准建设</w:t>
            </w:r>
          </w:p>
        </w:tc>
      </w:tr>
    </w:tbl>
    <w:p>
      <w:pPr>
        <w:spacing w:line="360" w:lineRule="auto"/>
        <w:ind w:firstLine="482"/>
        <w:rPr>
          <w:bCs/>
        </w:rPr>
      </w:pPr>
    </w:p>
    <w:p>
      <w:pPr>
        <w:pStyle w:val="3"/>
        <w:ind w:left="567" w:leftChars="0" w:firstLine="0" w:firstLineChars="0"/>
      </w:pPr>
      <w:r>
        <w:rPr>
          <w:rFonts w:hint="eastAsia"/>
        </w:rPr>
        <w:t xml:space="preserve"> 技术目标</w:t>
      </w:r>
    </w:p>
    <w:p>
      <w:pPr>
        <w:pStyle w:val="4"/>
      </w:pPr>
      <w:bookmarkStart w:id="13" w:name="_Toc172550769"/>
      <w:r>
        <w:rPr>
          <w:rFonts w:hint="eastAsia"/>
        </w:rPr>
        <w:t>市政建设规划管理子系统</w:t>
      </w:r>
      <w:bookmarkEnd w:id="13"/>
    </w:p>
    <w:tbl>
      <w:tblPr>
        <w:tblStyle w:val="36"/>
        <w:tblW w:w="505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43"/>
        <w:gridCol w:w="679"/>
        <w:gridCol w:w="715"/>
        <w:gridCol w:w="1144"/>
        <w:gridCol w:w="2842"/>
        <w:gridCol w:w="279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tblHeader/>
          <w:jc w:val="center"/>
        </w:trPr>
        <w:tc>
          <w:tcPr>
            <w:tcW w:w="257" w:type="pct"/>
            <w:shd w:val="clear" w:color="auto" w:fill="7F7F7F" w:themeFill="background1" w:themeFillShade="80"/>
            <w:vAlign w:val="center"/>
          </w:tcPr>
          <w:p>
            <w:pPr>
              <w:pStyle w:val="149"/>
              <w:rPr>
                <w:b/>
                <w:bCs/>
              </w:rPr>
            </w:pPr>
            <w:bookmarkStart w:id="14" w:name="_Hlk173242454"/>
            <w:r>
              <w:rPr>
                <w:rFonts w:hint="eastAsia"/>
                <w:b/>
                <w:bCs/>
              </w:rPr>
              <w:t>序号</w:t>
            </w:r>
          </w:p>
        </w:tc>
        <w:tc>
          <w:tcPr>
            <w:tcW w:w="394" w:type="pct"/>
            <w:shd w:val="clear" w:color="auto" w:fill="7F7F7F" w:themeFill="background1" w:themeFillShade="80"/>
            <w:vAlign w:val="center"/>
          </w:tcPr>
          <w:p>
            <w:pPr>
              <w:pStyle w:val="149"/>
              <w:rPr>
                <w:b/>
                <w:bCs/>
              </w:rPr>
            </w:pPr>
            <w:r>
              <w:rPr>
                <w:rFonts w:hint="eastAsia"/>
                <w:b/>
                <w:bCs/>
              </w:rPr>
              <w:t>一级指标</w:t>
            </w:r>
          </w:p>
        </w:tc>
        <w:tc>
          <w:tcPr>
            <w:tcW w:w="415" w:type="pct"/>
            <w:shd w:val="clear" w:color="auto" w:fill="7F7F7F" w:themeFill="background1" w:themeFillShade="80"/>
            <w:vAlign w:val="center"/>
          </w:tcPr>
          <w:p>
            <w:pPr>
              <w:pStyle w:val="149"/>
              <w:rPr>
                <w:b/>
                <w:bCs/>
              </w:rPr>
            </w:pPr>
            <w:r>
              <w:rPr>
                <w:rFonts w:hint="eastAsia"/>
                <w:b/>
                <w:bCs/>
              </w:rPr>
              <w:t>二级指标</w:t>
            </w:r>
          </w:p>
        </w:tc>
        <w:tc>
          <w:tcPr>
            <w:tcW w:w="664" w:type="pct"/>
            <w:shd w:val="clear" w:color="auto" w:fill="7F7F7F" w:themeFill="background1" w:themeFillShade="80"/>
            <w:vAlign w:val="center"/>
          </w:tcPr>
          <w:p>
            <w:pPr>
              <w:pStyle w:val="149"/>
              <w:rPr>
                <w:b/>
                <w:bCs/>
              </w:rPr>
            </w:pPr>
            <w:r>
              <w:rPr>
                <w:rFonts w:hint="eastAsia"/>
                <w:b/>
                <w:bCs/>
              </w:rPr>
              <w:t>三级指标</w:t>
            </w:r>
          </w:p>
        </w:tc>
        <w:tc>
          <w:tcPr>
            <w:tcW w:w="1649" w:type="pct"/>
            <w:shd w:val="clear" w:color="auto" w:fill="7F7F7F" w:themeFill="background1" w:themeFillShade="80"/>
            <w:vAlign w:val="center"/>
          </w:tcPr>
          <w:p>
            <w:pPr>
              <w:pStyle w:val="149"/>
              <w:rPr>
                <w:b/>
                <w:bCs/>
              </w:rPr>
            </w:pPr>
            <w:r>
              <w:rPr>
                <w:rFonts w:hint="eastAsia"/>
                <w:b/>
                <w:bCs/>
              </w:rPr>
              <w:t>四级指标</w:t>
            </w:r>
          </w:p>
        </w:tc>
        <w:tc>
          <w:tcPr>
            <w:tcW w:w="1621" w:type="pct"/>
            <w:shd w:val="clear" w:color="auto" w:fill="7F7F7F" w:themeFill="background1" w:themeFillShade="80"/>
            <w:vAlign w:val="center"/>
          </w:tcPr>
          <w:p>
            <w:pPr>
              <w:pStyle w:val="149"/>
              <w:rPr>
                <w:b/>
                <w:bCs/>
              </w:rPr>
            </w:pPr>
            <w:r>
              <w:rPr>
                <w:rFonts w:hint="eastAsia"/>
                <w:b/>
                <w:bCs/>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eastAsia="等线"/>
              </w:rPr>
              <w:t>1</w:t>
            </w:r>
          </w:p>
        </w:tc>
        <w:tc>
          <w:tcPr>
            <w:tcW w:w="394" w:type="pct"/>
            <w:vMerge w:val="restart"/>
            <w:shd w:val="clear" w:color="auto" w:fill="auto"/>
            <w:vAlign w:val="center"/>
          </w:tcPr>
          <w:p>
            <w:pPr>
              <w:pStyle w:val="149"/>
            </w:pPr>
            <w:r>
              <w:rPr>
                <w:rFonts w:hint="eastAsia"/>
              </w:rPr>
              <w:t>通用指标</w:t>
            </w:r>
          </w:p>
        </w:tc>
        <w:tc>
          <w:tcPr>
            <w:tcW w:w="415" w:type="pct"/>
            <w:vMerge w:val="restart"/>
            <w:shd w:val="clear" w:color="auto" w:fill="auto"/>
            <w:vAlign w:val="center"/>
          </w:tcPr>
          <w:p>
            <w:pPr>
              <w:pStyle w:val="149"/>
            </w:pPr>
            <w:r>
              <w:rPr>
                <w:rFonts w:hint="eastAsia"/>
              </w:rPr>
              <w:t>产出指标</w:t>
            </w:r>
          </w:p>
        </w:tc>
        <w:tc>
          <w:tcPr>
            <w:tcW w:w="664" w:type="pct"/>
            <w:shd w:val="clear" w:color="auto" w:fill="auto"/>
            <w:vAlign w:val="center"/>
          </w:tcPr>
          <w:p>
            <w:pPr>
              <w:pStyle w:val="149"/>
            </w:pPr>
            <w:r>
              <w:rPr>
                <w:rFonts w:hint="eastAsia"/>
              </w:rPr>
              <w:t>产出数量</w:t>
            </w:r>
          </w:p>
        </w:tc>
        <w:tc>
          <w:tcPr>
            <w:tcW w:w="1649" w:type="pct"/>
            <w:vAlign w:val="center"/>
          </w:tcPr>
          <w:p>
            <w:pPr>
              <w:pStyle w:val="149"/>
            </w:pPr>
            <w:r>
              <w:rPr>
                <w:rFonts w:hint="eastAsia"/>
              </w:rPr>
              <w:t>软件开发完成率</w:t>
            </w:r>
          </w:p>
        </w:tc>
        <w:tc>
          <w:tcPr>
            <w:tcW w:w="1621" w:type="pct"/>
            <w:shd w:val="clear" w:color="auto" w:fill="auto"/>
            <w:vAlign w:val="center"/>
          </w:tcPr>
          <w:p>
            <w:pPr>
              <w:pStyle w:val="149"/>
            </w:pPr>
            <w:r>
              <w:rPr>
                <w:rFonts w:hint="eastAsi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2</w:t>
            </w:r>
          </w:p>
        </w:tc>
        <w:tc>
          <w:tcPr>
            <w:tcW w:w="394" w:type="pct"/>
            <w:vMerge w:val="continue"/>
            <w:shd w:val="clear" w:color="auto" w:fill="auto"/>
            <w:vAlign w:val="center"/>
          </w:tcPr>
          <w:p>
            <w:pPr>
              <w:pStyle w:val="149"/>
            </w:pPr>
          </w:p>
        </w:tc>
        <w:tc>
          <w:tcPr>
            <w:tcW w:w="415" w:type="pct"/>
            <w:vMerge w:val="continue"/>
            <w:shd w:val="clear" w:color="auto" w:fill="auto"/>
            <w:vAlign w:val="center"/>
          </w:tcPr>
          <w:p>
            <w:pPr>
              <w:pStyle w:val="149"/>
            </w:pPr>
          </w:p>
        </w:tc>
        <w:tc>
          <w:tcPr>
            <w:tcW w:w="664" w:type="pct"/>
            <w:vMerge w:val="restart"/>
            <w:shd w:val="clear" w:color="auto" w:fill="auto"/>
            <w:vAlign w:val="center"/>
          </w:tcPr>
          <w:p>
            <w:pPr>
              <w:pStyle w:val="149"/>
            </w:pPr>
            <w:r>
              <w:rPr>
                <w:rFonts w:hint="eastAsia"/>
              </w:rPr>
              <w:t>产出质量</w:t>
            </w:r>
          </w:p>
        </w:tc>
        <w:tc>
          <w:tcPr>
            <w:tcW w:w="1649" w:type="pct"/>
            <w:vAlign w:val="center"/>
          </w:tcPr>
          <w:p>
            <w:pPr>
              <w:pStyle w:val="149"/>
            </w:pPr>
            <w:r>
              <w:rPr>
                <w:rFonts w:hint="eastAsia"/>
              </w:rPr>
              <w:t>系统可靠性</w:t>
            </w:r>
          </w:p>
        </w:tc>
        <w:tc>
          <w:tcPr>
            <w:tcW w:w="1621" w:type="pct"/>
            <w:shd w:val="clear" w:color="auto" w:fill="auto"/>
            <w:vAlign w:val="center"/>
          </w:tcPr>
          <w:p>
            <w:pPr>
              <w:pStyle w:val="149"/>
            </w:pPr>
            <w:r>
              <w:rPr>
                <w:rFonts w:hint="eastAsia"/>
              </w:rPr>
              <w:t>系统不间断运行率≥95%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3</w:t>
            </w:r>
          </w:p>
        </w:tc>
        <w:tc>
          <w:tcPr>
            <w:tcW w:w="394" w:type="pct"/>
            <w:vMerge w:val="continue"/>
            <w:shd w:val="clear" w:color="auto" w:fill="auto"/>
            <w:vAlign w:val="center"/>
          </w:tcPr>
          <w:p>
            <w:pPr>
              <w:pStyle w:val="149"/>
            </w:pPr>
          </w:p>
        </w:tc>
        <w:tc>
          <w:tcPr>
            <w:tcW w:w="415" w:type="pct"/>
            <w:vMerge w:val="continue"/>
            <w:shd w:val="clear" w:color="auto" w:fill="auto"/>
            <w:vAlign w:val="center"/>
          </w:tcPr>
          <w:p>
            <w:pPr>
              <w:pStyle w:val="149"/>
            </w:pPr>
          </w:p>
        </w:tc>
        <w:tc>
          <w:tcPr>
            <w:tcW w:w="664" w:type="pct"/>
            <w:vMerge w:val="continue"/>
            <w:shd w:val="clear" w:color="auto" w:fill="auto"/>
            <w:vAlign w:val="center"/>
          </w:tcPr>
          <w:p>
            <w:pPr>
              <w:pStyle w:val="149"/>
            </w:pPr>
          </w:p>
        </w:tc>
        <w:tc>
          <w:tcPr>
            <w:tcW w:w="1649" w:type="pct"/>
            <w:vAlign w:val="center"/>
          </w:tcPr>
          <w:p>
            <w:pPr>
              <w:pStyle w:val="149"/>
            </w:pPr>
            <w:r>
              <w:rPr>
                <w:rFonts w:hint="eastAsia"/>
              </w:rPr>
              <w:t>软件测试达标</w:t>
            </w:r>
          </w:p>
        </w:tc>
        <w:tc>
          <w:tcPr>
            <w:tcW w:w="1621" w:type="pct"/>
            <w:shd w:val="clear" w:color="auto" w:fill="auto"/>
            <w:vAlign w:val="center"/>
          </w:tcPr>
          <w:p>
            <w:pPr>
              <w:pStyle w:val="149"/>
            </w:pPr>
            <w:r>
              <w:rPr>
                <w:rFonts w:hint="eastAsia"/>
              </w:rPr>
              <w:t>软件测试达标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4</w:t>
            </w:r>
          </w:p>
        </w:tc>
        <w:tc>
          <w:tcPr>
            <w:tcW w:w="394" w:type="pct"/>
            <w:vMerge w:val="continue"/>
            <w:shd w:val="clear" w:color="auto" w:fill="auto"/>
            <w:vAlign w:val="center"/>
          </w:tcPr>
          <w:p>
            <w:pPr>
              <w:pStyle w:val="149"/>
            </w:pPr>
          </w:p>
        </w:tc>
        <w:tc>
          <w:tcPr>
            <w:tcW w:w="415" w:type="pct"/>
            <w:vMerge w:val="continue"/>
            <w:shd w:val="clear" w:color="auto" w:fill="auto"/>
            <w:vAlign w:val="center"/>
          </w:tcPr>
          <w:p>
            <w:pPr>
              <w:pStyle w:val="149"/>
            </w:pPr>
          </w:p>
        </w:tc>
        <w:tc>
          <w:tcPr>
            <w:tcW w:w="664" w:type="pct"/>
            <w:vMerge w:val="continue"/>
            <w:shd w:val="clear" w:color="auto" w:fill="auto"/>
            <w:vAlign w:val="center"/>
          </w:tcPr>
          <w:p>
            <w:pPr>
              <w:pStyle w:val="149"/>
            </w:pPr>
          </w:p>
        </w:tc>
        <w:tc>
          <w:tcPr>
            <w:tcW w:w="1649" w:type="pct"/>
            <w:vAlign w:val="center"/>
          </w:tcPr>
          <w:p>
            <w:pPr>
              <w:pStyle w:val="149"/>
            </w:pPr>
            <w:r>
              <w:rPr>
                <w:rFonts w:hint="eastAsia"/>
              </w:rPr>
              <w:t>密码测试达标</w:t>
            </w:r>
          </w:p>
        </w:tc>
        <w:tc>
          <w:tcPr>
            <w:tcW w:w="1621" w:type="pct"/>
            <w:shd w:val="clear" w:color="auto" w:fill="auto"/>
            <w:vAlign w:val="center"/>
          </w:tcPr>
          <w:p>
            <w:pPr>
              <w:pStyle w:val="149"/>
            </w:pPr>
            <w:r>
              <w:rPr>
                <w:rFonts w:hint="eastAsia"/>
              </w:rPr>
              <w:t>密码测试达标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5</w:t>
            </w:r>
          </w:p>
        </w:tc>
        <w:tc>
          <w:tcPr>
            <w:tcW w:w="394" w:type="pct"/>
            <w:vMerge w:val="continue"/>
            <w:shd w:val="clear" w:color="auto" w:fill="auto"/>
            <w:vAlign w:val="center"/>
          </w:tcPr>
          <w:p>
            <w:pPr>
              <w:pStyle w:val="149"/>
            </w:pPr>
          </w:p>
        </w:tc>
        <w:tc>
          <w:tcPr>
            <w:tcW w:w="415" w:type="pct"/>
            <w:vMerge w:val="continue"/>
            <w:shd w:val="clear" w:color="auto" w:fill="auto"/>
            <w:vAlign w:val="center"/>
          </w:tcPr>
          <w:p>
            <w:pPr>
              <w:pStyle w:val="149"/>
            </w:pPr>
          </w:p>
        </w:tc>
        <w:tc>
          <w:tcPr>
            <w:tcW w:w="664" w:type="pct"/>
            <w:vMerge w:val="continue"/>
            <w:shd w:val="clear" w:color="auto" w:fill="auto"/>
            <w:vAlign w:val="center"/>
          </w:tcPr>
          <w:p>
            <w:pPr>
              <w:pStyle w:val="149"/>
            </w:pPr>
          </w:p>
        </w:tc>
        <w:tc>
          <w:tcPr>
            <w:tcW w:w="1649" w:type="pct"/>
            <w:vAlign w:val="center"/>
          </w:tcPr>
          <w:p>
            <w:pPr>
              <w:pStyle w:val="149"/>
              <w:rPr>
                <w:rFonts w:eastAsia="等线"/>
              </w:rPr>
            </w:pPr>
            <w:r>
              <w:rPr>
                <w:rFonts w:hint="eastAsia"/>
              </w:rPr>
              <w:t>网络安全等级达标</w:t>
            </w:r>
          </w:p>
        </w:tc>
        <w:tc>
          <w:tcPr>
            <w:tcW w:w="1621" w:type="pct"/>
            <w:shd w:val="clear" w:color="auto" w:fill="auto"/>
            <w:vAlign w:val="center"/>
          </w:tcPr>
          <w:p>
            <w:pPr>
              <w:pStyle w:val="149"/>
              <w:rPr>
                <w:rFonts w:eastAsia="等线"/>
              </w:rPr>
            </w:pPr>
            <w:r>
              <w:rPr>
                <w:rFonts w:hint="eastAsia"/>
              </w:rPr>
              <w:t>网络安全等级达标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6</w:t>
            </w:r>
          </w:p>
        </w:tc>
        <w:tc>
          <w:tcPr>
            <w:tcW w:w="394" w:type="pct"/>
            <w:vMerge w:val="continue"/>
            <w:shd w:val="clear" w:color="auto" w:fill="auto"/>
            <w:vAlign w:val="center"/>
          </w:tcPr>
          <w:p>
            <w:pPr>
              <w:pStyle w:val="149"/>
            </w:pPr>
          </w:p>
        </w:tc>
        <w:tc>
          <w:tcPr>
            <w:tcW w:w="415" w:type="pct"/>
            <w:vMerge w:val="continue"/>
            <w:shd w:val="clear" w:color="auto" w:fill="auto"/>
            <w:vAlign w:val="center"/>
          </w:tcPr>
          <w:p>
            <w:pPr>
              <w:pStyle w:val="149"/>
            </w:pPr>
          </w:p>
        </w:tc>
        <w:tc>
          <w:tcPr>
            <w:tcW w:w="664" w:type="pct"/>
            <w:vMerge w:val="continue"/>
            <w:shd w:val="clear" w:color="auto" w:fill="auto"/>
            <w:vAlign w:val="center"/>
          </w:tcPr>
          <w:p>
            <w:pPr>
              <w:pStyle w:val="149"/>
            </w:pPr>
          </w:p>
        </w:tc>
        <w:tc>
          <w:tcPr>
            <w:tcW w:w="1649" w:type="pct"/>
            <w:vAlign w:val="center"/>
          </w:tcPr>
          <w:p>
            <w:pPr>
              <w:pStyle w:val="149"/>
            </w:pPr>
            <w:r>
              <w:rPr>
                <w:rFonts w:hint="eastAsia"/>
              </w:rPr>
              <w:t>安全测试达标</w:t>
            </w:r>
          </w:p>
        </w:tc>
        <w:tc>
          <w:tcPr>
            <w:tcW w:w="1621" w:type="pct"/>
            <w:shd w:val="clear" w:color="auto" w:fill="auto"/>
            <w:vAlign w:val="center"/>
          </w:tcPr>
          <w:p>
            <w:pPr>
              <w:pStyle w:val="149"/>
            </w:pPr>
            <w:r>
              <w:rPr>
                <w:rFonts w:hint="eastAsia"/>
              </w:rPr>
              <w:t>安全测试达标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7</w:t>
            </w:r>
          </w:p>
        </w:tc>
        <w:tc>
          <w:tcPr>
            <w:tcW w:w="394" w:type="pct"/>
            <w:vMerge w:val="continue"/>
            <w:shd w:val="clear" w:color="auto" w:fill="auto"/>
            <w:vAlign w:val="center"/>
          </w:tcPr>
          <w:p>
            <w:pPr>
              <w:pStyle w:val="149"/>
            </w:pPr>
          </w:p>
        </w:tc>
        <w:tc>
          <w:tcPr>
            <w:tcW w:w="415" w:type="pct"/>
            <w:vMerge w:val="restart"/>
            <w:shd w:val="clear" w:color="auto" w:fill="auto"/>
            <w:vAlign w:val="center"/>
          </w:tcPr>
          <w:p>
            <w:pPr>
              <w:pStyle w:val="149"/>
              <w:rPr>
                <w:rFonts w:cs="Calibri"/>
              </w:rPr>
            </w:pPr>
            <w:r>
              <w:rPr>
                <w:rFonts w:hint="eastAsia"/>
              </w:rPr>
              <w:t>安全体系</w:t>
            </w:r>
          </w:p>
        </w:tc>
        <w:tc>
          <w:tcPr>
            <w:tcW w:w="664" w:type="pct"/>
            <w:vMerge w:val="restart"/>
            <w:shd w:val="clear" w:color="auto" w:fill="auto"/>
            <w:vAlign w:val="center"/>
          </w:tcPr>
          <w:p>
            <w:pPr>
              <w:pStyle w:val="149"/>
              <w:rPr>
                <w:rFonts w:cs="Calibri"/>
              </w:rPr>
            </w:pPr>
            <w:r>
              <w:rPr>
                <w:rFonts w:hint="eastAsia"/>
              </w:rPr>
              <w:t>安全建设水平</w:t>
            </w:r>
          </w:p>
        </w:tc>
        <w:tc>
          <w:tcPr>
            <w:tcW w:w="1649" w:type="pct"/>
            <w:vAlign w:val="center"/>
          </w:tcPr>
          <w:p>
            <w:pPr>
              <w:pStyle w:val="149"/>
            </w:pPr>
            <w:r>
              <w:rPr>
                <w:rFonts w:hint="eastAsia"/>
              </w:rPr>
              <w:t>信息系统安全监管覆盖率</w:t>
            </w:r>
          </w:p>
        </w:tc>
        <w:tc>
          <w:tcPr>
            <w:tcW w:w="1621" w:type="pct"/>
            <w:shd w:val="clear" w:color="auto" w:fill="auto"/>
            <w:vAlign w:val="center"/>
          </w:tcPr>
          <w:p>
            <w:pPr>
              <w:pStyle w:val="149"/>
            </w:pPr>
            <w:r>
              <w:rPr>
                <w:rFonts w:hint="eastAsia"/>
              </w:rPr>
              <w:t>≥95%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8</w:t>
            </w:r>
          </w:p>
        </w:tc>
        <w:tc>
          <w:tcPr>
            <w:tcW w:w="394" w:type="pct"/>
            <w:vMerge w:val="continue"/>
            <w:shd w:val="clear" w:color="auto" w:fill="auto"/>
            <w:vAlign w:val="center"/>
          </w:tcPr>
          <w:p>
            <w:pPr>
              <w:pStyle w:val="149"/>
            </w:pPr>
          </w:p>
        </w:tc>
        <w:tc>
          <w:tcPr>
            <w:tcW w:w="415" w:type="pct"/>
            <w:vMerge w:val="continue"/>
            <w:shd w:val="clear" w:color="auto" w:fill="auto"/>
            <w:vAlign w:val="center"/>
          </w:tcPr>
          <w:p>
            <w:pPr>
              <w:pStyle w:val="149"/>
            </w:pPr>
          </w:p>
        </w:tc>
        <w:tc>
          <w:tcPr>
            <w:tcW w:w="664" w:type="pct"/>
            <w:vMerge w:val="continue"/>
            <w:shd w:val="clear" w:color="auto" w:fill="auto"/>
            <w:vAlign w:val="center"/>
          </w:tcPr>
          <w:p>
            <w:pPr>
              <w:pStyle w:val="149"/>
            </w:pPr>
          </w:p>
        </w:tc>
        <w:tc>
          <w:tcPr>
            <w:tcW w:w="1649" w:type="pct"/>
            <w:vAlign w:val="center"/>
          </w:tcPr>
          <w:p>
            <w:pPr>
              <w:pStyle w:val="149"/>
            </w:pPr>
            <w:r>
              <w:rPr>
                <w:rFonts w:hint="eastAsia"/>
              </w:rPr>
              <w:t>数据风险监测覆盖率</w:t>
            </w:r>
          </w:p>
        </w:tc>
        <w:tc>
          <w:tcPr>
            <w:tcW w:w="1621" w:type="pct"/>
            <w:shd w:val="clear" w:color="auto" w:fill="auto"/>
            <w:vAlign w:val="center"/>
          </w:tcPr>
          <w:p>
            <w:pPr>
              <w:pStyle w:val="149"/>
              <w:keepNext/>
            </w:pPr>
            <w:r>
              <w:rPr>
                <w:rFonts w:hint="eastAsia"/>
              </w:rPr>
              <w:t>≥95%</w:t>
            </w:r>
          </w:p>
        </w:tc>
      </w:tr>
      <w:bookmarkEnd w:id="14"/>
    </w:tbl>
    <w:p>
      <w:pPr>
        <w:pStyle w:val="4"/>
      </w:pPr>
      <w:bookmarkStart w:id="15" w:name="_Toc172550770"/>
      <w:r>
        <w:rPr>
          <w:rFonts w:hint="eastAsia"/>
        </w:rPr>
        <w:t>上海市地籍数据管理系统</w:t>
      </w:r>
      <w:bookmarkEnd w:id="15"/>
    </w:p>
    <w:tbl>
      <w:tblPr>
        <w:tblStyle w:val="36"/>
        <w:tblW w:w="505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43"/>
        <w:gridCol w:w="679"/>
        <w:gridCol w:w="715"/>
        <w:gridCol w:w="1144"/>
        <w:gridCol w:w="2842"/>
        <w:gridCol w:w="279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tblHeader/>
          <w:jc w:val="center"/>
        </w:trPr>
        <w:tc>
          <w:tcPr>
            <w:tcW w:w="257" w:type="pct"/>
            <w:shd w:val="clear" w:color="auto" w:fill="7F7F7F" w:themeFill="background1" w:themeFillShade="80"/>
            <w:vAlign w:val="center"/>
          </w:tcPr>
          <w:p>
            <w:pPr>
              <w:pStyle w:val="149"/>
              <w:rPr>
                <w:b/>
                <w:bCs/>
              </w:rPr>
            </w:pPr>
            <w:r>
              <w:rPr>
                <w:rFonts w:hint="eastAsia"/>
                <w:b/>
                <w:bCs/>
              </w:rPr>
              <w:t>序号</w:t>
            </w:r>
          </w:p>
        </w:tc>
        <w:tc>
          <w:tcPr>
            <w:tcW w:w="394" w:type="pct"/>
            <w:shd w:val="clear" w:color="auto" w:fill="7F7F7F" w:themeFill="background1" w:themeFillShade="80"/>
            <w:vAlign w:val="center"/>
          </w:tcPr>
          <w:p>
            <w:pPr>
              <w:pStyle w:val="149"/>
              <w:rPr>
                <w:b/>
                <w:bCs/>
              </w:rPr>
            </w:pPr>
            <w:r>
              <w:rPr>
                <w:rFonts w:hint="eastAsia"/>
                <w:b/>
                <w:bCs/>
              </w:rPr>
              <w:t>一级指标</w:t>
            </w:r>
          </w:p>
        </w:tc>
        <w:tc>
          <w:tcPr>
            <w:tcW w:w="415" w:type="pct"/>
            <w:shd w:val="clear" w:color="auto" w:fill="7F7F7F" w:themeFill="background1" w:themeFillShade="80"/>
            <w:vAlign w:val="center"/>
          </w:tcPr>
          <w:p>
            <w:pPr>
              <w:pStyle w:val="149"/>
              <w:rPr>
                <w:b/>
                <w:bCs/>
              </w:rPr>
            </w:pPr>
            <w:r>
              <w:rPr>
                <w:rFonts w:hint="eastAsia"/>
                <w:b/>
                <w:bCs/>
              </w:rPr>
              <w:t>二级指标</w:t>
            </w:r>
          </w:p>
        </w:tc>
        <w:tc>
          <w:tcPr>
            <w:tcW w:w="664" w:type="pct"/>
            <w:shd w:val="clear" w:color="auto" w:fill="7F7F7F" w:themeFill="background1" w:themeFillShade="80"/>
            <w:vAlign w:val="center"/>
          </w:tcPr>
          <w:p>
            <w:pPr>
              <w:pStyle w:val="149"/>
              <w:rPr>
                <w:b/>
                <w:bCs/>
              </w:rPr>
            </w:pPr>
            <w:r>
              <w:rPr>
                <w:rFonts w:hint="eastAsia"/>
                <w:b/>
                <w:bCs/>
              </w:rPr>
              <w:t>三级指标</w:t>
            </w:r>
          </w:p>
        </w:tc>
        <w:tc>
          <w:tcPr>
            <w:tcW w:w="1649" w:type="pct"/>
            <w:shd w:val="clear" w:color="auto" w:fill="7F7F7F" w:themeFill="background1" w:themeFillShade="80"/>
            <w:vAlign w:val="center"/>
          </w:tcPr>
          <w:p>
            <w:pPr>
              <w:pStyle w:val="149"/>
              <w:rPr>
                <w:b/>
                <w:bCs/>
              </w:rPr>
            </w:pPr>
            <w:r>
              <w:rPr>
                <w:rFonts w:hint="eastAsia"/>
                <w:b/>
                <w:bCs/>
              </w:rPr>
              <w:t>四级指标</w:t>
            </w:r>
          </w:p>
        </w:tc>
        <w:tc>
          <w:tcPr>
            <w:tcW w:w="1621" w:type="pct"/>
            <w:shd w:val="clear" w:color="auto" w:fill="7F7F7F" w:themeFill="background1" w:themeFillShade="80"/>
            <w:vAlign w:val="center"/>
          </w:tcPr>
          <w:p>
            <w:pPr>
              <w:pStyle w:val="149"/>
              <w:rPr>
                <w:b/>
                <w:bCs/>
              </w:rPr>
            </w:pPr>
            <w:r>
              <w:rPr>
                <w:rFonts w:hint="eastAsia"/>
                <w:b/>
                <w:bCs/>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eastAsia="等线"/>
              </w:rPr>
              <w:t>1</w:t>
            </w:r>
          </w:p>
        </w:tc>
        <w:tc>
          <w:tcPr>
            <w:tcW w:w="394" w:type="pct"/>
            <w:vMerge w:val="restart"/>
            <w:shd w:val="clear" w:color="auto" w:fill="auto"/>
            <w:vAlign w:val="center"/>
          </w:tcPr>
          <w:p>
            <w:pPr>
              <w:pStyle w:val="149"/>
            </w:pPr>
            <w:r>
              <w:rPr>
                <w:rFonts w:hint="eastAsia"/>
              </w:rPr>
              <w:t>通用指标</w:t>
            </w:r>
          </w:p>
        </w:tc>
        <w:tc>
          <w:tcPr>
            <w:tcW w:w="415" w:type="pct"/>
            <w:vMerge w:val="restart"/>
            <w:shd w:val="clear" w:color="auto" w:fill="auto"/>
            <w:vAlign w:val="center"/>
          </w:tcPr>
          <w:p>
            <w:pPr>
              <w:pStyle w:val="149"/>
            </w:pPr>
            <w:r>
              <w:rPr>
                <w:rFonts w:hint="eastAsia"/>
              </w:rPr>
              <w:t>产出指标</w:t>
            </w:r>
          </w:p>
        </w:tc>
        <w:tc>
          <w:tcPr>
            <w:tcW w:w="664" w:type="pct"/>
            <w:shd w:val="clear" w:color="auto" w:fill="auto"/>
            <w:vAlign w:val="center"/>
          </w:tcPr>
          <w:p>
            <w:pPr>
              <w:pStyle w:val="149"/>
            </w:pPr>
            <w:r>
              <w:rPr>
                <w:rFonts w:hint="eastAsia"/>
              </w:rPr>
              <w:t>产出数量</w:t>
            </w:r>
          </w:p>
        </w:tc>
        <w:tc>
          <w:tcPr>
            <w:tcW w:w="1649" w:type="pct"/>
            <w:vAlign w:val="center"/>
          </w:tcPr>
          <w:p>
            <w:pPr>
              <w:pStyle w:val="149"/>
            </w:pPr>
            <w:r>
              <w:rPr>
                <w:rFonts w:hint="eastAsia"/>
              </w:rPr>
              <w:t>软件开发完成率</w:t>
            </w:r>
          </w:p>
        </w:tc>
        <w:tc>
          <w:tcPr>
            <w:tcW w:w="1621" w:type="pct"/>
            <w:shd w:val="clear" w:color="auto" w:fill="auto"/>
            <w:vAlign w:val="center"/>
          </w:tcPr>
          <w:p>
            <w:pPr>
              <w:pStyle w:val="149"/>
            </w:pPr>
            <w:r>
              <w:rPr>
                <w:rFonts w:hint="eastAsi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2</w:t>
            </w:r>
          </w:p>
        </w:tc>
        <w:tc>
          <w:tcPr>
            <w:tcW w:w="394" w:type="pct"/>
            <w:vMerge w:val="continue"/>
            <w:shd w:val="clear" w:color="auto" w:fill="auto"/>
            <w:vAlign w:val="center"/>
          </w:tcPr>
          <w:p>
            <w:pPr>
              <w:pStyle w:val="149"/>
            </w:pPr>
          </w:p>
        </w:tc>
        <w:tc>
          <w:tcPr>
            <w:tcW w:w="415" w:type="pct"/>
            <w:vMerge w:val="continue"/>
            <w:shd w:val="clear" w:color="auto" w:fill="auto"/>
            <w:vAlign w:val="center"/>
          </w:tcPr>
          <w:p>
            <w:pPr>
              <w:pStyle w:val="149"/>
            </w:pPr>
          </w:p>
        </w:tc>
        <w:tc>
          <w:tcPr>
            <w:tcW w:w="664" w:type="pct"/>
            <w:vMerge w:val="restart"/>
            <w:shd w:val="clear" w:color="auto" w:fill="auto"/>
            <w:vAlign w:val="center"/>
          </w:tcPr>
          <w:p>
            <w:pPr>
              <w:pStyle w:val="149"/>
            </w:pPr>
            <w:r>
              <w:rPr>
                <w:rFonts w:hint="eastAsia"/>
              </w:rPr>
              <w:t>产出质量</w:t>
            </w:r>
          </w:p>
        </w:tc>
        <w:tc>
          <w:tcPr>
            <w:tcW w:w="1649" w:type="pct"/>
            <w:vAlign w:val="center"/>
          </w:tcPr>
          <w:p>
            <w:pPr>
              <w:pStyle w:val="149"/>
            </w:pPr>
            <w:r>
              <w:rPr>
                <w:rFonts w:hint="eastAsia"/>
              </w:rPr>
              <w:t>系统可靠性</w:t>
            </w:r>
          </w:p>
        </w:tc>
        <w:tc>
          <w:tcPr>
            <w:tcW w:w="1621" w:type="pct"/>
            <w:shd w:val="clear" w:color="auto" w:fill="auto"/>
            <w:vAlign w:val="center"/>
          </w:tcPr>
          <w:p>
            <w:pPr>
              <w:pStyle w:val="149"/>
            </w:pPr>
            <w:r>
              <w:rPr>
                <w:rFonts w:hint="eastAsia"/>
              </w:rPr>
              <w:t>系统不间断运行率≥95%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3</w:t>
            </w:r>
          </w:p>
        </w:tc>
        <w:tc>
          <w:tcPr>
            <w:tcW w:w="394" w:type="pct"/>
            <w:vMerge w:val="continue"/>
            <w:shd w:val="clear" w:color="auto" w:fill="auto"/>
            <w:vAlign w:val="center"/>
          </w:tcPr>
          <w:p>
            <w:pPr>
              <w:pStyle w:val="149"/>
            </w:pPr>
          </w:p>
        </w:tc>
        <w:tc>
          <w:tcPr>
            <w:tcW w:w="415" w:type="pct"/>
            <w:vMerge w:val="continue"/>
            <w:shd w:val="clear" w:color="auto" w:fill="auto"/>
            <w:vAlign w:val="center"/>
          </w:tcPr>
          <w:p>
            <w:pPr>
              <w:pStyle w:val="149"/>
            </w:pPr>
          </w:p>
        </w:tc>
        <w:tc>
          <w:tcPr>
            <w:tcW w:w="664" w:type="pct"/>
            <w:vMerge w:val="continue"/>
            <w:shd w:val="clear" w:color="auto" w:fill="auto"/>
            <w:vAlign w:val="center"/>
          </w:tcPr>
          <w:p>
            <w:pPr>
              <w:pStyle w:val="149"/>
            </w:pPr>
          </w:p>
        </w:tc>
        <w:tc>
          <w:tcPr>
            <w:tcW w:w="1649" w:type="pct"/>
            <w:vAlign w:val="center"/>
          </w:tcPr>
          <w:p>
            <w:pPr>
              <w:pStyle w:val="149"/>
            </w:pPr>
            <w:r>
              <w:rPr>
                <w:rFonts w:hint="eastAsia"/>
              </w:rPr>
              <w:t>软件测试达标</w:t>
            </w:r>
          </w:p>
        </w:tc>
        <w:tc>
          <w:tcPr>
            <w:tcW w:w="1621" w:type="pct"/>
            <w:shd w:val="clear" w:color="auto" w:fill="auto"/>
            <w:vAlign w:val="center"/>
          </w:tcPr>
          <w:p>
            <w:pPr>
              <w:pStyle w:val="149"/>
            </w:pPr>
            <w:r>
              <w:rPr>
                <w:rFonts w:hint="eastAsia"/>
              </w:rPr>
              <w:t>软件测试达标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4</w:t>
            </w:r>
          </w:p>
        </w:tc>
        <w:tc>
          <w:tcPr>
            <w:tcW w:w="394" w:type="pct"/>
            <w:vMerge w:val="continue"/>
            <w:shd w:val="clear" w:color="auto" w:fill="auto"/>
            <w:vAlign w:val="center"/>
          </w:tcPr>
          <w:p>
            <w:pPr>
              <w:pStyle w:val="149"/>
            </w:pPr>
          </w:p>
        </w:tc>
        <w:tc>
          <w:tcPr>
            <w:tcW w:w="415" w:type="pct"/>
            <w:vMerge w:val="continue"/>
            <w:shd w:val="clear" w:color="auto" w:fill="auto"/>
            <w:vAlign w:val="center"/>
          </w:tcPr>
          <w:p>
            <w:pPr>
              <w:pStyle w:val="149"/>
            </w:pPr>
          </w:p>
        </w:tc>
        <w:tc>
          <w:tcPr>
            <w:tcW w:w="664" w:type="pct"/>
            <w:vMerge w:val="continue"/>
            <w:shd w:val="clear" w:color="auto" w:fill="auto"/>
            <w:vAlign w:val="center"/>
          </w:tcPr>
          <w:p>
            <w:pPr>
              <w:pStyle w:val="149"/>
            </w:pPr>
          </w:p>
        </w:tc>
        <w:tc>
          <w:tcPr>
            <w:tcW w:w="1649" w:type="pct"/>
            <w:vAlign w:val="center"/>
          </w:tcPr>
          <w:p>
            <w:pPr>
              <w:pStyle w:val="149"/>
            </w:pPr>
            <w:r>
              <w:rPr>
                <w:rFonts w:hint="eastAsia"/>
              </w:rPr>
              <w:t>密码测试达标</w:t>
            </w:r>
          </w:p>
        </w:tc>
        <w:tc>
          <w:tcPr>
            <w:tcW w:w="1621" w:type="pct"/>
            <w:shd w:val="clear" w:color="auto" w:fill="auto"/>
            <w:vAlign w:val="center"/>
          </w:tcPr>
          <w:p>
            <w:pPr>
              <w:pStyle w:val="149"/>
            </w:pPr>
            <w:r>
              <w:rPr>
                <w:rFonts w:hint="eastAsia"/>
              </w:rPr>
              <w:t>密码测试达标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5</w:t>
            </w:r>
          </w:p>
        </w:tc>
        <w:tc>
          <w:tcPr>
            <w:tcW w:w="394" w:type="pct"/>
            <w:vMerge w:val="continue"/>
            <w:shd w:val="clear" w:color="auto" w:fill="auto"/>
            <w:vAlign w:val="center"/>
          </w:tcPr>
          <w:p>
            <w:pPr>
              <w:pStyle w:val="149"/>
            </w:pPr>
          </w:p>
        </w:tc>
        <w:tc>
          <w:tcPr>
            <w:tcW w:w="415" w:type="pct"/>
            <w:vMerge w:val="continue"/>
            <w:shd w:val="clear" w:color="auto" w:fill="auto"/>
            <w:vAlign w:val="center"/>
          </w:tcPr>
          <w:p>
            <w:pPr>
              <w:pStyle w:val="149"/>
            </w:pPr>
          </w:p>
        </w:tc>
        <w:tc>
          <w:tcPr>
            <w:tcW w:w="664" w:type="pct"/>
            <w:vMerge w:val="continue"/>
            <w:shd w:val="clear" w:color="auto" w:fill="auto"/>
            <w:vAlign w:val="center"/>
          </w:tcPr>
          <w:p>
            <w:pPr>
              <w:pStyle w:val="149"/>
            </w:pPr>
          </w:p>
        </w:tc>
        <w:tc>
          <w:tcPr>
            <w:tcW w:w="1649" w:type="pct"/>
            <w:vAlign w:val="center"/>
          </w:tcPr>
          <w:p>
            <w:pPr>
              <w:pStyle w:val="149"/>
              <w:rPr>
                <w:rFonts w:eastAsia="等线"/>
              </w:rPr>
            </w:pPr>
            <w:r>
              <w:rPr>
                <w:rFonts w:hint="eastAsia"/>
              </w:rPr>
              <w:t>网络安全等级达标</w:t>
            </w:r>
          </w:p>
        </w:tc>
        <w:tc>
          <w:tcPr>
            <w:tcW w:w="1621" w:type="pct"/>
            <w:shd w:val="clear" w:color="auto" w:fill="auto"/>
            <w:vAlign w:val="center"/>
          </w:tcPr>
          <w:p>
            <w:pPr>
              <w:pStyle w:val="149"/>
              <w:rPr>
                <w:rFonts w:eastAsia="等线"/>
              </w:rPr>
            </w:pPr>
            <w:r>
              <w:rPr>
                <w:rFonts w:hint="eastAsia"/>
              </w:rPr>
              <w:t>网络安全等级达标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6</w:t>
            </w:r>
          </w:p>
        </w:tc>
        <w:tc>
          <w:tcPr>
            <w:tcW w:w="394" w:type="pct"/>
            <w:vMerge w:val="continue"/>
            <w:shd w:val="clear" w:color="auto" w:fill="auto"/>
            <w:vAlign w:val="center"/>
          </w:tcPr>
          <w:p>
            <w:pPr>
              <w:pStyle w:val="149"/>
            </w:pPr>
          </w:p>
        </w:tc>
        <w:tc>
          <w:tcPr>
            <w:tcW w:w="415" w:type="pct"/>
            <w:vMerge w:val="continue"/>
            <w:shd w:val="clear" w:color="auto" w:fill="auto"/>
            <w:vAlign w:val="center"/>
          </w:tcPr>
          <w:p>
            <w:pPr>
              <w:pStyle w:val="149"/>
            </w:pPr>
          </w:p>
        </w:tc>
        <w:tc>
          <w:tcPr>
            <w:tcW w:w="664" w:type="pct"/>
            <w:vMerge w:val="continue"/>
            <w:shd w:val="clear" w:color="auto" w:fill="auto"/>
            <w:vAlign w:val="center"/>
          </w:tcPr>
          <w:p>
            <w:pPr>
              <w:pStyle w:val="149"/>
            </w:pPr>
          </w:p>
        </w:tc>
        <w:tc>
          <w:tcPr>
            <w:tcW w:w="1649" w:type="pct"/>
            <w:vAlign w:val="center"/>
          </w:tcPr>
          <w:p>
            <w:pPr>
              <w:pStyle w:val="149"/>
            </w:pPr>
            <w:r>
              <w:rPr>
                <w:rFonts w:hint="eastAsia"/>
              </w:rPr>
              <w:t>安全测试达标</w:t>
            </w:r>
          </w:p>
        </w:tc>
        <w:tc>
          <w:tcPr>
            <w:tcW w:w="1621" w:type="pct"/>
            <w:shd w:val="clear" w:color="auto" w:fill="auto"/>
            <w:vAlign w:val="center"/>
          </w:tcPr>
          <w:p>
            <w:pPr>
              <w:pStyle w:val="149"/>
            </w:pPr>
            <w:r>
              <w:rPr>
                <w:rFonts w:hint="eastAsia"/>
              </w:rPr>
              <w:t>安全测试达标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7</w:t>
            </w:r>
          </w:p>
        </w:tc>
        <w:tc>
          <w:tcPr>
            <w:tcW w:w="394" w:type="pct"/>
            <w:vMerge w:val="continue"/>
            <w:shd w:val="clear" w:color="auto" w:fill="auto"/>
            <w:vAlign w:val="center"/>
          </w:tcPr>
          <w:p>
            <w:pPr>
              <w:pStyle w:val="149"/>
            </w:pPr>
          </w:p>
        </w:tc>
        <w:tc>
          <w:tcPr>
            <w:tcW w:w="415" w:type="pct"/>
            <w:vMerge w:val="restart"/>
            <w:shd w:val="clear" w:color="auto" w:fill="auto"/>
            <w:vAlign w:val="center"/>
          </w:tcPr>
          <w:p>
            <w:pPr>
              <w:pStyle w:val="149"/>
              <w:rPr>
                <w:rFonts w:cs="Calibri"/>
              </w:rPr>
            </w:pPr>
            <w:r>
              <w:rPr>
                <w:rFonts w:hint="eastAsia"/>
              </w:rPr>
              <w:t>安全体系</w:t>
            </w:r>
          </w:p>
        </w:tc>
        <w:tc>
          <w:tcPr>
            <w:tcW w:w="664" w:type="pct"/>
            <w:vMerge w:val="restart"/>
            <w:shd w:val="clear" w:color="auto" w:fill="auto"/>
            <w:vAlign w:val="center"/>
          </w:tcPr>
          <w:p>
            <w:pPr>
              <w:pStyle w:val="149"/>
              <w:rPr>
                <w:rFonts w:cs="Calibri"/>
              </w:rPr>
            </w:pPr>
            <w:r>
              <w:rPr>
                <w:rFonts w:hint="eastAsia"/>
              </w:rPr>
              <w:t>安全建设水平</w:t>
            </w:r>
          </w:p>
        </w:tc>
        <w:tc>
          <w:tcPr>
            <w:tcW w:w="1649" w:type="pct"/>
            <w:vAlign w:val="center"/>
          </w:tcPr>
          <w:p>
            <w:pPr>
              <w:pStyle w:val="149"/>
            </w:pPr>
            <w:r>
              <w:rPr>
                <w:rFonts w:hint="eastAsia"/>
              </w:rPr>
              <w:t>信息系统安全监管覆盖率</w:t>
            </w:r>
          </w:p>
        </w:tc>
        <w:tc>
          <w:tcPr>
            <w:tcW w:w="1621" w:type="pct"/>
            <w:shd w:val="clear" w:color="auto" w:fill="auto"/>
            <w:vAlign w:val="center"/>
          </w:tcPr>
          <w:p>
            <w:pPr>
              <w:pStyle w:val="149"/>
            </w:pPr>
            <w:r>
              <w:rPr>
                <w:rFonts w:hint="eastAsia"/>
              </w:rPr>
              <w:t>≥95%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57" w:type="pct"/>
            <w:shd w:val="clear" w:color="auto" w:fill="auto"/>
            <w:vAlign w:val="center"/>
          </w:tcPr>
          <w:p>
            <w:pPr>
              <w:pStyle w:val="149"/>
              <w:rPr>
                <w:rFonts w:eastAsia="等线"/>
              </w:rPr>
            </w:pPr>
            <w:r>
              <w:rPr>
                <w:rFonts w:hint="eastAsia" w:eastAsia="等线"/>
              </w:rPr>
              <w:t>8</w:t>
            </w:r>
          </w:p>
        </w:tc>
        <w:tc>
          <w:tcPr>
            <w:tcW w:w="394" w:type="pct"/>
            <w:vMerge w:val="continue"/>
            <w:shd w:val="clear" w:color="auto" w:fill="auto"/>
            <w:vAlign w:val="center"/>
          </w:tcPr>
          <w:p>
            <w:pPr>
              <w:pStyle w:val="149"/>
            </w:pPr>
          </w:p>
        </w:tc>
        <w:tc>
          <w:tcPr>
            <w:tcW w:w="415" w:type="pct"/>
            <w:vMerge w:val="continue"/>
            <w:shd w:val="clear" w:color="auto" w:fill="auto"/>
            <w:vAlign w:val="center"/>
          </w:tcPr>
          <w:p>
            <w:pPr>
              <w:pStyle w:val="149"/>
            </w:pPr>
          </w:p>
        </w:tc>
        <w:tc>
          <w:tcPr>
            <w:tcW w:w="664" w:type="pct"/>
            <w:vMerge w:val="continue"/>
            <w:shd w:val="clear" w:color="auto" w:fill="auto"/>
            <w:vAlign w:val="center"/>
          </w:tcPr>
          <w:p>
            <w:pPr>
              <w:pStyle w:val="149"/>
            </w:pPr>
          </w:p>
        </w:tc>
        <w:tc>
          <w:tcPr>
            <w:tcW w:w="1649" w:type="pct"/>
            <w:vAlign w:val="center"/>
          </w:tcPr>
          <w:p>
            <w:pPr>
              <w:pStyle w:val="149"/>
            </w:pPr>
            <w:r>
              <w:rPr>
                <w:rFonts w:hint="eastAsia"/>
              </w:rPr>
              <w:t>数据风险监测覆盖率</w:t>
            </w:r>
          </w:p>
        </w:tc>
        <w:tc>
          <w:tcPr>
            <w:tcW w:w="1621" w:type="pct"/>
            <w:shd w:val="clear" w:color="auto" w:fill="auto"/>
            <w:vAlign w:val="center"/>
          </w:tcPr>
          <w:p>
            <w:pPr>
              <w:pStyle w:val="149"/>
              <w:keepNext/>
            </w:pPr>
            <w:r>
              <w:rPr>
                <w:rFonts w:hint="eastAsia"/>
              </w:rPr>
              <w:t>≥95%</w:t>
            </w:r>
          </w:p>
        </w:tc>
      </w:tr>
    </w:tbl>
    <w:p>
      <w:pPr>
        <w:pStyle w:val="2"/>
      </w:pPr>
      <w:r>
        <w:rPr>
          <w:rFonts w:hint="eastAsia"/>
        </w:rPr>
        <w:t>项目建设内容</w:t>
      </w:r>
    </w:p>
    <w:p>
      <w:pPr>
        <w:pStyle w:val="3"/>
        <w:ind w:left="567" w:leftChars="0" w:firstLine="0" w:firstLineChars="0"/>
      </w:pPr>
      <w:r>
        <w:rPr>
          <w:rFonts w:hint="eastAsia"/>
        </w:rPr>
        <w:t xml:space="preserve"> 主要建设内容</w:t>
      </w:r>
    </w:p>
    <w:p>
      <w:pPr>
        <w:pStyle w:val="4"/>
      </w:pPr>
      <w:r>
        <w:rPr>
          <w:rFonts w:hint="eastAsia"/>
        </w:rPr>
        <w:t>市政建设规划管理子系统：</w:t>
      </w:r>
    </w:p>
    <w:p>
      <w:pPr>
        <w:pStyle w:val="136"/>
        <w:ind w:firstLine="480"/>
        <w:rPr>
          <w:rFonts w:ascii="宋体" w:hAnsi="宋体" w:eastAsia="宋体"/>
          <w:color w:val="000000"/>
          <w:sz w:val="24"/>
          <w:szCs w:val="24"/>
        </w:rPr>
      </w:pPr>
      <w:r>
        <w:rPr>
          <w:rFonts w:hint="eastAsia" w:ascii="宋体" w:hAnsi="宋体" w:eastAsia="宋体"/>
          <w:color w:val="000000"/>
          <w:sz w:val="24"/>
          <w:szCs w:val="24"/>
        </w:rPr>
        <w:t>本项目主要建设</w:t>
      </w:r>
      <w:r>
        <w:rPr>
          <w:rFonts w:ascii="宋体" w:hAnsi="宋体" w:eastAsia="宋体"/>
          <w:color w:val="000000"/>
          <w:sz w:val="24"/>
          <w:szCs w:val="24"/>
        </w:rPr>
        <w:t>内容包括</w:t>
      </w:r>
      <w:r>
        <w:rPr>
          <w:rFonts w:hint="eastAsia" w:ascii="宋体" w:hAnsi="宋体" w:eastAsia="宋体"/>
          <w:color w:val="000000"/>
          <w:sz w:val="24"/>
          <w:szCs w:val="24"/>
        </w:rPr>
        <w:t>对原有业务系统进行升级改造，优化营商环境改革，增加地名信息管理、</w:t>
      </w:r>
      <w:r>
        <w:rPr>
          <w:rFonts w:hint="eastAsia" w:ascii="宋体" w:hAnsi="宋体" w:eastAsia="宋体"/>
          <w:sz w:val="24"/>
          <w:szCs w:val="24"/>
        </w:rPr>
        <w:t>城乡规划资质管理</w:t>
      </w:r>
      <w:r>
        <w:rPr>
          <w:rFonts w:hint="eastAsia" w:ascii="宋体" w:hAnsi="宋体" w:eastAsia="宋体"/>
          <w:color w:val="000000"/>
          <w:sz w:val="24"/>
          <w:szCs w:val="24"/>
        </w:rPr>
        <w:t>，项目材料共享服务等功能。</w:t>
      </w:r>
    </w:p>
    <w:p>
      <w:pPr>
        <w:numPr>
          <w:ilvl w:val="0"/>
          <w:numId w:val="6"/>
        </w:numPr>
        <w:adjustRightInd w:val="0"/>
        <w:spacing w:line="360" w:lineRule="auto"/>
        <w:rPr>
          <w:rFonts w:asciiTheme="minorEastAsia" w:hAnsiTheme="minorEastAsia" w:eastAsiaTheme="minorEastAsia"/>
        </w:rPr>
      </w:pPr>
      <w:r>
        <w:rPr>
          <w:rFonts w:hint="eastAsia" w:asciiTheme="minorEastAsia" w:hAnsiTheme="minorEastAsia" w:eastAsiaTheme="minorEastAsia"/>
        </w:rPr>
        <w:t>“一书三证”（线性工程）违法用地监管</w:t>
      </w:r>
    </w:p>
    <w:p>
      <w:pPr>
        <w:spacing w:line="360" w:lineRule="auto"/>
        <w:ind w:firstLine="420"/>
        <w:rPr>
          <w:rFonts w:asciiTheme="minorEastAsia" w:hAnsiTheme="minorEastAsia" w:eastAsiaTheme="minorEastAsia"/>
        </w:rPr>
      </w:pPr>
      <w:r>
        <w:rPr>
          <w:rFonts w:hint="eastAsia" w:asciiTheme="minorEastAsia" w:hAnsiTheme="minorEastAsia" w:eastAsiaTheme="minorEastAsia"/>
        </w:rPr>
        <w:t>根据</w:t>
      </w:r>
      <w:r>
        <w:rPr>
          <w:rFonts w:asciiTheme="minorEastAsia" w:hAnsiTheme="minorEastAsia" w:eastAsiaTheme="minorEastAsia"/>
        </w:rPr>
        <w:t>《关于2023年建设用地审批“双随机、一公开”抽查工作细则的函》（自然资函〔2024〕6号）</w:t>
      </w:r>
      <w:r>
        <w:rPr>
          <w:rFonts w:hint="eastAsia" w:asciiTheme="minorEastAsia" w:hAnsiTheme="minorEastAsia" w:eastAsiaTheme="minorEastAsia"/>
        </w:rPr>
        <w:t>要求实现“一书三证”（线性工程）违法用地监管。包含市政工程规划土地意见书业务用地预审业务判定、强化审批过程中对用地预审用途管制提示；统一违法用地和违法情况监管；优化案件查询条件和数据导出；竣工验收现场检查规则设定等功能。</w:t>
      </w:r>
    </w:p>
    <w:p>
      <w:pPr>
        <w:pStyle w:val="144"/>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土地权属调查边界确认事项优化</w:t>
      </w:r>
    </w:p>
    <w:p>
      <w:pPr>
        <w:spacing w:line="360" w:lineRule="auto"/>
        <w:ind w:firstLine="420"/>
        <w:rPr>
          <w:rFonts w:asciiTheme="minorEastAsia" w:hAnsiTheme="minorEastAsia" w:eastAsiaTheme="minorEastAsia"/>
        </w:rPr>
      </w:pPr>
      <w:r>
        <w:rPr>
          <w:rFonts w:hint="eastAsia"/>
        </w:rPr>
        <w:t>增加内网发起边界确认的流程，由土储部门申请，招拍挂办公室或用地科办理。实现出让用地、储备土地地块完成边界确认后线上发起勘测定界。</w:t>
      </w:r>
    </w:p>
    <w:p>
      <w:pPr>
        <w:pStyle w:val="144"/>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工程建设项目(线性工程)电子报件 AI智能服务</w:t>
      </w:r>
    </w:p>
    <w:p>
      <w:pPr>
        <w:spacing w:line="360" w:lineRule="auto"/>
        <w:ind w:firstLine="420"/>
        <w:rPr>
          <w:rFonts w:asciiTheme="minorEastAsia" w:hAnsiTheme="minorEastAsia" w:eastAsiaTheme="minorEastAsia"/>
        </w:rPr>
      </w:pPr>
      <w:r>
        <w:rPr>
          <w:rFonts w:hint="eastAsia" w:asciiTheme="minorEastAsia" w:hAnsiTheme="minorEastAsia" w:eastAsiaTheme="minorEastAsia"/>
        </w:rPr>
        <w:t>实现线上质检、图形解析、指标自动核算等智能创新功能,有效提升预填率和一次申报通过率,大幅简化报建流程。提供线性工程前端质检自动解析，加强辅助审查，优化报建服务。按照工程形态与审批阶段制定规划报批入库文件数据标准，实现线性工程各阶段电子报建的线上质检与结果反馈、指标解析与计算汇总。</w:t>
      </w:r>
    </w:p>
    <w:p>
      <w:pPr>
        <w:pStyle w:val="144"/>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线性工程项目“一证多验”</w:t>
      </w:r>
    </w:p>
    <w:p>
      <w:pPr>
        <w:spacing w:line="360" w:lineRule="auto"/>
        <w:ind w:firstLine="420"/>
        <w:rPr>
          <w:rFonts w:asciiTheme="minorEastAsia" w:hAnsiTheme="minorEastAsia" w:eastAsiaTheme="minorEastAsia"/>
        </w:rPr>
      </w:pPr>
      <w:r>
        <w:rPr>
          <w:rFonts w:hint="eastAsia" w:cs="Times New Roman" w:asciiTheme="minorEastAsia" w:hAnsiTheme="minorEastAsia" w:eastAsiaTheme="minorEastAsia"/>
        </w:rPr>
        <w:t>支持线性工程分批验收，对于长路段分批验收的特殊情况，最终验收采用示意图方式等展示工程完整性，最终验收前，工规证都可以进行变更操作。</w:t>
      </w:r>
    </w:p>
    <w:p>
      <w:pPr>
        <w:pStyle w:val="144"/>
        <w:spacing w:line="360" w:lineRule="auto"/>
        <w:ind w:lef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基于多测合一的管线工程项目竣工验收</w:t>
      </w:r>
    </w:p>
    <w:p>
      <w:pPr>
        <w:spacing w:line="360" w:lineRule="auto"/>
        <w:ind w:firstLine="420"/>
        <w:rPr>
          <w:rFonts w:asciiTheme="minorEastAsia" w:hAnsiTheme="minorEastAsia" w:eastAsiaTheme="minorEastAsia"/>
        </w:rPr>
      </w:pPr>
      <w:r>
        <w:rPr>
          <w:rFonts w:asciiTheme="minorEastAsia" w:hAnsiTheme="minorEastAsia" w:eastAsiaTheme="minorEastAsia"/>
        </w:rPr>
        <w:t>基于多测合一的管线工程</w:t>
      </w:r>
      <w:r>
        <w:rPr>
          <w:rFonts w:hint="eastAsia" w:asciiTheme="minorEastAsia" w:hAnsiTheme="minorEastAsia" w:eastAsiaTheme="minorEastAsia"/>
        </w:rPr>
        <w:t>，实现</w:t>
      </w:r>
      <w:r>
        <w:rPr>
          <w:rFonts w:asciiTheme="minorEastAsia" w:hAnsiTheme="minorEastAsia" w:eastAsiaTheme="minorEastAsia"/>
        </w:rPr>
        <w:t>同一个工程规划许可证中的多个单体，可分批分次验收。</w:t>
      </w:r>
    </w:p>
    <w:p>
      <w:pPr>
        <w:pStyle w:val="144"/>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一网通办申报端行政许可事项应用改造</w:t>
      </w:r>
    </w:p>
    <w:p>
      <w:pPr>
        <w:spacing w:line="360" w:lineRule="auto"/>
        <w:ind w:firstLine="420"/>
        <w:rPr>
          <w:rFonts w:asciiTheme="minorEastAsia" w:hAnsiTheme="minorEastAsia" w:eastAsiaTheme="minorEastAsia"/>
        </w:rPr>
      </w:pPr>
      <w:r>
        <w:rPr>
          <w:rFonts w:hint="eastAsia" w:asciiTheme="minorEastAsia" w:hAnsiTheme="minorEastAsia" w:eastAsiaTheme="minorEastAsia"/>
        </w:rPr>
        <w:t>事项包含：建设项目用地预审与选址意见书核发，建设用地、临时建设用地规划许可，建设工程、临时建设工程规划许可，乡村建设规划许可，建设项目竣工规划资源验收等，包含事项名称调整，页面改造等。</w:t>
      </w:r>
    </w:p>
    <w:p>
      <w:pPr>
        <w:pStyle w:val="144"/>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建设项目规划许可证</w:t>
      </w:r>
    </w:p>
    <w:p>
      <w:pPr>
        <w:spacing w:line="360" w:lineRule="auto"/>
        <w:ind w:firstLine="420"/>
        <w:rPr>
          <w:rFonts w:asciiTheme="minorEastAsia" w:hAnsiTheme="minorEastAsia" w:eastAsiaTheme="minorEastAsia"/>
        </w:rPr>
      </w:pPr>
      <w:r>
        <w:rPr>
          <w:rFonts w:hint="eastAsia" w:asciiTheme="minorEastAsia" w:hAnsiTheme="minorEastAsia" w:eastAsiaTheme="minorEastAsia"/>
        </w:rPr>
        <w:t>建设用地规划许可证、建设工程规划许可证”两证合一，在行政许可业务大类下增加《建设项目规划许可证》的申报及审批，重新制定本业务管理数据标准，融合用地范围与建筑单体审批要素，制定图形、数据、表单、证照等管线要素的线上审批功能，在符合规定情形时，系统并联多部门协同审批。</w:t>
      </w:r>
    </w:p>
    <w:p>
      <w:pPr>
        <w:pStyle w:val="144"/>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套打改造</w:t>
      </w:r>
    </w:p>
    <w:p>
      <w:pPr>
        <w:pStyle w:val="144"/>
        <w:numPr>
          <w:ilvl w:val="0"/>
          <w:numId w:val="0"/>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运用大数据中心工具箱进行文档套打改造</w:t>
      </w:r>
      <w:r>
        <w:rPr>
          <w:rFonts w:hint="eastAsia" w:asciiTheme="minorEastAsia" w:hAnsiTheme="minorEastAsia" w:eastAsiaTheme="minorEastAsia"/>
          <w:sz w:val="24"/>
          <w:szCs w:val="24"/>
        </w:rPr>
        <w:t>，含</w:t>
      </w:r>
      <w:r>
        <w:rPr>
          <w:rFonts w:asciiTheme="minorEastAsia" w:hAnsiTheme="minorEastAsia" w:eastAsiaTheme="minorEastAsia"/>
          <w:sz w:val="24"/>
          <w:szCs w:val="24"/>
        </w:rPr>
        <w:t>在线wps适配改造</w:t>
      </w:r>
      <w:r>
        <w:rPr>
          <w:rFonts w:hint="eastAsia" w:asciiTheme="minorEastAsia" w:hAnsiTheme="minorEastAsia" w:eastAsiaTheme="minorEastAsia"/>
          <w:sz w:val="24"/>
          <w:szCs w:val="24"/>
        </w:rPr>
        <w:t>，</w:t>
      </w:r>
      <w:r>
        <w:rPr>
          <w:rFonts w:asciiTheme="minorEastAsia" w:hAnsiTheme="minorEastAsia" w:eastAsiaTheme="minorEastAsia"/>
          <w:sz w:val="24"/>
          <w:szCs w:val="24"/>
        </w:rPr>
        <w:t>前端页面开发改造</w:t>
      </w:r>
      <w:r>
        <w:rPr>
          <w:rFonts w:hint="eastAsia" w:asciiTheme="minorEastAsia" w:hAnsiTheme="minorEastAsia" w:eastAsiaTheme="minorEastAsia"/>
          <w:sz w:val="24"/>
          <w:szCs w:val="24"/>
        </w:rPr>
        <w:t>，</w:t>
      </w:r>
      <w:r>
        <w:rPr>
          <w:rFonts w:asciiTheme="minorEastAsia" w:hAnsiTheme="minorEastAsia" w:eastAsiaTheme="minorEastAsia"/>
          <w:sz w:val="24"/>
          <w:szCs w:val="24"/>
        </w:rPr>
        <w:t>文书模板配置实施</w:t>
      </w:r>
      <w:r>
        <w:rPr>
          <w:rFonts w:hint="eastAsia" w:asciiTheme="minorEastAsia" w:hAnsiTheme="minorEastAsia" w:eastAsiaTheme="minorEastAsia"/>
          <w:sz w:val="24"/>
          <w:szCs w:val="24"/>
        </w:rPr>
        <w:t>等。</w:t>
      </w:r>
    </w:p>
    <w:p>
      <w:pPr>
        <w:pStyle w:val="144"/>
        <w:spacing w:line="360" w:lineRule="auto"/>
        <w:ind w:left="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建设“码上证照”场景</w:t>
      </w:r>
    </w:p>
    <w:p>
      <w:pPr>
        <w:spacing w:line="360" w:lineRule="auto"/>
        <w:ind w:firstLine="480"/>
      </w:pPr>
      <w:r>
        <w:rPr>
          <w:rFonts w:asciiTheme="minorEastAsia" w:hAnsiTheme="minorEastAsia" w:eastAsiaTheme="minorEastAsia"/>
        </w:rPr>
        <w:t>建设“码上证照”场景，为工程建设项目电子证照赋码，通过扫码显示证照的版本更新信息，包括证照的新办、变更、延期等相关案件信息，同时可以查验该证照的最新版本，鉴别证照真伪。</w:t>
      </w:r>
    </w:p>
    <w:p>
      <w:pPr>
        <w:pStyle w:val="4"/>
      </w:pPr>
      <w:r>
        <w:rPr>
          <w:rFonts w:hint="eastAsia"/>
        </w:rPr>
        <w:t>上海市地籍数据管理系统：</w:t>
      </w:r>
    </w:p>
    <w:p>
      <w:pPr>
        <w:pStyle w:val="144"/>
        <w:numPr>
          <w:ilvl w:val="0"/>
          <w:numId w:val="7"/>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地籍数据修补测</w:t>
      </w:r>
    </w:p>
    <w:p>
      <w:pPr>
        <w:pStyle w:val="136"/>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建立地籍数据修补测功能实现支持用户自主更正数据的功能，通过强化和优化自动分析功能，旨在辅助地籍变更业务的高效办理，进而提升地籍变更的智能分析结果的专业性和准确性。</w:t>
      </w:r>
    </w:p>
    <w:p>
      <w:pPr>
        <w:pStyle w:val="144"/>
        <w:numPr>
          <w:ilvl w:val="0"/>
          <w:numId w:val="6"/>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承包经营权数据管理</w:t>
      </w:r>
    </w:p>
    <w:p>
      <w:pPr>
        <w:pStyle w:val="136"/>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需要通过建设承包经营权数据管理系统，以实现登记信息与承包合同信息的互通共享。具体建设内容应涵盖承包经营权的全生命周期管理，在数据接收，使用及归档等节点都应完善信息化管理机制。</w:t>
      </w:r>
    </w:p>
    <w:p>
      <w:pPr>
        <w:pStyle w:val="144"/>
        <w:numPr>
          <w:ilvl w:val="0"/>
          <w:numId w:val="6"/>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宅基地及其上房屋专项调查</w:t>
      </w:r>
    </w:p>
    <w:p>
      <w:pPr>
        <w:spacing w:line="360" w:lineRule="auto"/>
        <w:ind w:firstLine="480"/>
        <w:rPr>
          <w:rFonts w:cs="Times New Roman"/>
          <w:bCs/>
        </w:rPr>
      </w:pPr>
      <w:r>
        <w:rPr>
          <w:rFonts w:hint="eastAsia" w:asciiTheme="minorEastAsia" w:hAnsiTheme="minorEastAsia" w:eastAsiaTheme="minorEastAsia"/>
        </w:rPr>
        <w:t>通过建立宅基地及其上房屋专项调查系统，建立规范的宅基地及其上房屋调查流程、建立调查数据管理机制、建立业务监管机制，立科学、规范的宅基地调查机制，摸清“家底”，收集数据，为后续宅基地确权登记工作稳步推进提供数据基础。</w:t>
      </w:r>
    </w:p>
    <w:p>
      <w:pPr>
        <w:pStyle w:val="3"/>
        <w:ind w:left="567" w:leftChars="0" w:firstLine="0" w:firstLineChars="0"/>
      </w:pPr>
      <w:r>
        <w:rPr>
          <w:rFonts w:hint="eastAsia"/>
        </w:rPr>
        <w:t xml:space="preserve"> 软件开发清单</w:t>
      </w:r>
    </w:p>
    <w:p>
      <w:pPr>
        <w:pStyle w:val="4"/>
      </w:pPr>
      <w:r>
        <w:rPr>
          <w:rFonts w:hint="eastAsia"/>
        </w:rPr>
        <w:t>市政建设规划管理子系统</w:t>
      </w:r>
    </w:p>
    <w:tbl>
      <w:tblPr>
        <w:tblStyle w:val="36"/>
        <w:tblW w:w="83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218"/>
        <w:gridCol w:w="1203"/>
        <w:gridCol w:w="2885"/>
        <w:gridCol w:w="2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blHeader/>
        </w:trPr>
        <w:tc>
          <w:tcPr>
            <w:tcW w:w="1218" w:type="dxa"/>
            <w:vAlign w:val="center"/>
          </w:tcPr>
          <w:p>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一级应用模块</w:t>
            </w:r>
          </w:p>
        </w:tc>
        <w:tc>
          <w:tcPr>
            <w:tcW w:w="1203" w:type="dxa"/>
            <w:vAlign w:val="center"/>
          </w:tcPr>
          <w:p>
            <w:pPr>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二级应用模块</w:t>
            </w:r>
          </w:p>
        </w:tc>
        <w:tc>
          <w:tcPr>
            <w:tcW w:w="2885" w:type="dxa"/>
            <w:vAlign w:val="center"/>
          </w:tcPr>
          <w:p>
            <w:pPr>
              <w:ind w:firstLine="400"/>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功能点</w:t>
            </w:r>
          </w:p>
        </w:tc>
        <w:tc>
          <w:tcPr>
            <w:tcW w:w="2996" w:type="dxa"/>
            <w:vAlign w:val="center"/>
          </w:tcPr>
          <w:p>
            <w:pPr>
              <w:ind w:firstLine="400"/>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55" w:hRule="atLeast"/>
        </w:trPr>
        <w:tc>
          <w:tcPr>
            <w:tcW w:w="1218"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一书三证（线性工程）违法用地监管</w:t>
            </w: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用地预审业务判定与提示</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市政场站线性工程选址意见书用地预审判定模型</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线性工程的建设项目规划土地意见书（市政场站 ）事项在市政用地范围八线比对结果中，对存在超出城市开发边界，且通过勘测定界报告获取用地信息中存在农用地/未利用地/集体土地的项目，需要做用地预审状态强控并提示。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系统控制提示功能</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系统判定应该要做用地预审，但“是否用地预审”选择了“否”的，限制预审、审理环节的提交流转，并进行消息提示。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用途管制数据查看与归档</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用途管制结果查看</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设置用途管制数据功能模块，在用地预审、一书三证、规划与土地核实6个审批环节，对业务用途管制信息进行管理。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用途管制归档管理</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用途管制报部成功后，空间数据文件自动上传至案件资源树，支持下载、查看功能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6"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一书三证事项违法情况监管</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“违法用地及违法建设审查情况”栏目</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在市政场站、线性工程所有许可事项新增“违法用地处置”栏目。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重新生成审核签报</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针对有违法情况的，可发起重新制定市政场站、线性工程所有许可事项审核签报表模版。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优化查询与数据导出</w:t>
            </w:r>
          </w:p>
        </w:tc>
        <w:tc>
          <w:tcPr>
            <w:tcW w:w="2885" w:type="dxa"/>
            <w:vAlign w:val="center"/>
          </w:tcPr>
          <w:p>
            <w:pPr>
              <w:ind w:firstLine="400"/>
              <w:rPr>
                <w:rFonts w:asciiTheme="minorEastAsia" w:hAnsiTheme="minorEastAsia" w:eastAsiaTheme="minorEastAsia"/>
                <w:color w:val="000000"/>
                <w:sz w:val="21"/>
                <w:szCs w:val="21"/>
              </w:rPr>
            </w:pP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“通用查询”功能模块，增加“是否用地预审”选择字段支持查询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竣工验收现场检查规则调整</w:t>
            </w:r>
          </w:p>
        </w:tc>
        <w:tc>
          <w:tcPr>
            <w:tcW w:w="2885" w:type="dxa"/>
            <w:vAlign w:val="center"/>
          </w:tcPr>
          <w:p>
            <w:pPr>
              <w:ind w:firstLine="400"/>
              <w:rPr>
                <w:rFonts w:asciiTheme="minorEastAsia" w:hAnsiTheme="minorEastAsia" w:eastAsiaTheme="minorEastAsia"/>
                <w:color w:val="000000"/>
                <w:sz w:val="21"/>
                <w:szCs w:val="21"/>
              </w:rPr>
            </w:pP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按照要求设定现场检查规则，竣工验收阶段的现场检查情况中，如未达到要求，系统做强控无法流转至下一环节。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土地权属调查边界确认事项优化-新增内网申请</w:t>
            </w: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出让土地、储备土地边界确认发起</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cad文件上传、质检、转换，落图</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申请人员发起边界确认申请，填写出让/储备项目及地块基本信息，上传边界确认范围图（cad文件）后通过在线质检和转换，进行申请范围落图。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4088" w:type="dxa"/>
            <w:gridSpan w:val="2"/>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审批流程改造</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在当前土地权属调查的基础上，新增审批流程。由土储部门申请，招拍挂办公室或用地科办理。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证照文图修改</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审核签报管理，边界确认范围图制作、回执单生成</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经办人审理案件，审核项目申请数据、查看项目范围、审核地块指标，确认无误后制作边界确认范围图，并生成边界确认回执单（底稿），核提审理决定。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定稿文件管理，生成定稿文件</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审核项目数据、图形信息、地块指标、边界确认范围图、边界确认回执单（底稿）、核提审核意见后提交签章环节或流转最终审核环节。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结果文件电子签章，签章、在线浏览、下载</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经办人员生成发文定稿、图纸核对无误后，进行电子签章（拖动签章），提供在线浏览及下载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线性工程电子报建AI智能服务</w:t>
            </w:r>
          </w:p>
        </w:tc>
        <w:tc>
          <w:tcPr>
            <w:tcW w:w="1203" w:type="dxa"/>
            <w:vMerge w:val="restart"/>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申报端_图形质检</w:t>
            </w:r>
          </w:p>
        </w:tc>
        <w:tc>
          <w:tcPr>
            <w:tcW w:w="2885"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文件上传</w:t>
            </w:r>
          </w:p>
        </w:tc>
        <w:tc>
          <w:tcPr>
            <w:tcW w:w="2996"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系统支持cad文件格式进行上传，自动识别cad文件后缀，对文件名称中出现的特殊字符进行自动校验并去除。</w:t>
            </w:r>
            <w:r>
              <w:rPr>
                <w:rFonts w:hint="eastAsia"/>
                <w:b/>
                <w:bCs/>
                <w:color w:val="000000"/>
                <w:sz w:val="21"/>
                <w:szCs w:val="21"/>
              </w:rPr>
              <w:t>需提供界面设计效果图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删除文件重置任务</w:t>
            </w:r>
          </w:p>
        </w:tc>
        <w:tc>
          <w:tcPr>
            <w:tcW w:w="2996"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提供文件删除功能，对上传错误的cad文件，可删除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在线文件质检</w:t>
            </w:r>
          </w:p>
        </w:tc>
        <w:tc>
          <w:tcPr>
            <w:tcW w:w="2996" w:type="dxa"/>
            <w:shd w:val="clear" w:color="auto" w:fill="auto"/>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在线文件质检，按标准要求进行字段校验，发起质检任务与线性工程AI空间信息智能解译模型对接，获取质检结果。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CAD文件转换为GIS文件</w:t>
            </w:r>
          </w:p>
        </w:tc>
        <w:tc>
          <w:tcPr>
            <w:tcW w:w="2996"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在文件质检完成后，获取空间图形进行空间图形转换，转换成功后给予提示。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错误提示并下载</w:t>
            </w:r>
          </w:p>
        </w:tc>
        <w:tc>
          <w:tcPr>
            <w:tcW w:w="2996"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将质检错误的图层自动打包形成一个压缩包文件供用户下载。</w:t>
            </w:r>
            <w:r>
              <w:rPr>
                <w:rFonts w:hint="eastAsia"/>
                <w:b/>
                <w:bCs/>
                <w:color w:val="000000"/>
                <w:sz w:val="21"/>
                <w:szCs w:val="21"/>
              </w:rPr>
              <w:t>需提供界面设计效果图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制作插件等说明下载</w:t>
            </w:r>
          </w:p>
        </w:tc>
        <w:tc>
          <w:tcPr>
            <w:tcW w:w="2996"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提供线性CAD文件制作插件程序、线性CAD数据制作说明下载。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申报端_自动预填线性工程解析数据</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面状数据解析</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针对多义闭合线进行自动解析。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面状数据核算</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针对闭合的多义线，根据线性工程面积计算的要求，解析获取面状数据。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线状数据解析</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基于中心多义线自动计算线性工程申报的长度。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线性数据核算</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针对多个中心多义线，自动核算线性工程的长度。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经济指标核算</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针对用地情况，自动计算容积率、建筑密度等用地数据，并自动预填数据，可修改。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6"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申报端-线性单体信息</w:t>
            </w:r>
          </w:p>
        </w:tc>
        <w:tc>
          <w:tcPr>
            <w:tcW w:w="2885" w:type="dxa"/>
            <w:noWrap/>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线性单体信息填报</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自动解析后，需要申报人补充填报线性属性数据。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申报端-申请表等改造</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申请表因单体信息更改进行改造</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凡涉及先行工程相关事项因增加单体信息，需要更改补充申报单体属性信息。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7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申报端-补正</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线性工程申报补正接口</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在审批时，可发起补正，由申报主体单位重新上传电子报件，并进行电子报件重新质检。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审批端_项目信息改造</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土地权属边界确认（线性工程）-项目信息功能改造</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本次改造涉及新办、变更两个办理情形。土地权属调查边界确认模块，申请数据读取使用电子报件数据。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建设项目规划土地意见书-项目信息功能改造</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本次改造涉及新办、变更两个办理情形。建设工程信息，申请数据读取使用电子报件数据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建设用地规划许可证-项目信息功能改造</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建设工程信息，申请数据读取使用电子报件数据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建设工程设计方案、方案征询-项目信息功能改造</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总体技术经济指标系统实现预填。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建设工程规划许可证-项目信息功能改造</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含建设工程信息,本期经济指标调整。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审批端_地块/单体信息改造</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单体及用地信息汇总</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针对图形数据解析，在地块审核信息、线性单体指标、构筑物单体指标汇总，主要获取并预填。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更改单体信息</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在预审、审理、审核、审定四个环节，经办人可对申报的属性单体信息进行修改保存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落图接口对接</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调用线性工程落图接口，实现申报gis信息在一张图上叠加。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制图接口对接</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调用线性工程制图接口，实现申报的图层制作范围附图pdf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规划对接</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根据落图结果，与大规划系统对接，实现申报范围线的地块信息获取。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审批端_项目审批一张图改造</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MDB配置管理</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针对线性工程在项目审批一张图上展示，需要配置 线形、颜色、图例等，并结合项目审批一张图进行配置开发。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线性mxd图层树属性配置</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线性落图方式修改后，mxd配置的图层属性和图层样式需要对应修改并进行开发调试。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线性工程查询定位改造</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线性落图方式改为电子报件后，一张图不再定位到线性老图层，一张图的查询条件使用电子报件图层进行查询替换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线性工程叠加展示功能</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项目审批一张图中支持多图层叠加展示，其中项目用地范围图层样式为黑色网格并在最底层显示，其余图层皆用蓝色样式进行展示。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图层树导航功能</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项目审批一张图材料树上增加图层（9个线性工程类型图层，公路、道路、轨道交通区间、铁路区局、河道、航道、天桥（连廊）、地道、构筑物）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全局展示功能</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项目审批一张图左下角位置增加一个切换按钮，能在全局和局部之间切换。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图斑信息查看功能</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一张图点击图斑可在一张图区域查看对应图斑图层信息。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线性多图层切换定位展示</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根据加载的图层，自动计算定位显示的中间点，按照范围最大的图层计算。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审批端_材料树改造</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材料树配置创建</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针对建设项目规划土地意见书、建设用地规划许可证等事项，在新建、变更、延期、注销等环节，需要增加工程图节点，生成材料树节点代码。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材料树对接开发</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针对创建的材料树节点，将上传的空间数据材料打包，将cad转gis后的地图信息包，放置在本目录节点。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与多测合一对接</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与多测合一对接</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将线性工程的单体属性增加编号，通过单体属性编号确认验收的单体属性信息，通过线性工程单体编号传参确认单体属性信息。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4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restart"/>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线性工程AI空间信息智能解译模型</w:t>
            </w:r>
          </w:p>
        </w:tc>
        <w:tc>
          <w:tcPr>
            <w:tcW w:w="2885"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线性工程数据质检任务管理、质检队列管理及进度查询接口</w:t>
            </w:r>
          </w:p>
        </w:tc>
        <w:tc>
          <w:tcPr>
            <w:tcW w:w="2996"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各事项线性工程CAD及PDF文件上传，数据质检任务创建及维护；质检队列管理，策略维护及智能优化队列；质检进度查询接口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shd w:val="clear" w:color="auto" w:fill="auto"/>
            <w:vAlign w:val="center"/>
          </w:tcPr>
          <w:p>
            <w:pPr>
              <w:ind w:firstLine="400"/>
              <w:rPr>
                <w:rFonts w:asciiTheme="minorEastAsia" w:hAnsiTheme="minorEastAsia" w:eastAsiaTheme="minorEastAsia"/>
                <w:color w:val="000000"/>
                <w:sz w:val="21"/>
                <w:szCs w:val="21"/>
              </w:rPr>
            </w:pPr>
          </w:p>
        </w:tc>
        <w:tc>
          <w:tcPr>
            <w:tcW w:w="2885"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线性工程数据质检方案维护</w:t>
            </w:r>
          </w:p>
        </w:tc>
        <w:tc>
          <w:tcPr>
            <w:tcW w:w="2996"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用户自定义质检方案，每个用户可根据实际需求可预先配置质检方案，定义质检规则，可在每个方案质检项指定不同的参数等。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shd w:val="clear" w:color="auto" w:fill="auto"/>
            <w:vAlign w:val="center"/>
          </w:tcPr>
          <w:p>
            <w:pPr>
              <w:ind w:firstLine="400"/>
              <w:rPr>
                <w:rFonts w:asciiTheme="minorEastAsia" w:hAnsiTheme="minorEastAsia" w:eastAsiaTheme="minorEastAsia"/>
                <w:color w:val="000000"/>
                <w:sz w:val="21"/>
                <w:szCs w:val="21"/>
              </w:rPr>
            </w:pPr>
          </w:p>
        </w:tc>
        <w:tc>
          <w:tcPr>
            <w:tcW w:w="2885"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数据有效性及属性结构检查</w:t>
            </w:r>
          </w:p>
        </w:tc>
        <w:tc>
          <w:tcPr>
            <w:tcW w:w="2996"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对数据文件有效性，数据坐标一致性检查，图层名称检查，图层要素类型正确性检查等进行检查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shd w:val="clear" w:color="auto" w:fill="auto"/>
            <w:vAlign w:val="center"/>
          </w:tcPr>
          <w:p>
            <w:pPr>
              <w:ind w:firstLine="400"/>
              <w:rPr>
                <w:rFonts w:asciiTheme="minorEastAsia" w:hAnsiTheme="minorEastAsia" w:eastAsiaTheme="minorEastAsia"/>
                <w:color w:val="000000"/>
                <w:sz w:val="21"/>
                <w:szCs w:val="21"/>
              </w:rPr>
            </w:pPr>
          </w:p>
        </w:tc>
        <w:tc>
          <w:tcPr>
            <w:tcW w:w="2885"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空间拓扑检查</w:t>
            </w:r>
          </w:p>
        </w:tc>
        <w:tc>
          <w:tcPr>
            <w:tcW w:w="2996"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极大面检查，极小面检查，微短线检查，空几何检查，点重叠检查，线重叠检查等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shd w:val="clear" w:color="auto" w:fill="auto"/>
            <w:vAlign w:val="center"/>
          </w:tcPr>
          <w:p>
            <w:pPr>
              <w:ind w:firstLine="400"/>
              <w:rPr>
                <w:rFonts w:asciiTheme="minorEastAsia" w:hAnsiTheme="minorEastAsia" w:eastAsiaTheme="minorEastAsia"/>
                <w:color w:val="000000"/>
                <w:sz w:val="21"/>
                <w:szCs w:val="21"/>
              </w:rPr>
            </w:pPr>
          </w:p>
        </w:tc>
        <w:tc>
          <w:tcPr>
            <w:tcW w:w="2885"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数据格式转换及更新</w:t>
            </w:r>
          </w:p>
        </w:tc>
        <w:tc>
          <w:tcPr>
            <w:tcW w:w="2996"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将CAD格式转换为GDB、JSON格式，根据工程建设项目数据标准先将现势数据推送到历史库，再根据规则更新现势库、更新过程需要在同一事务完成。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shd w:val="clear" w:color="auto" w:fill="auto"/>
            <w:vAlign w:val="center"/>
          </w:tcPr>
          <w:p>
            <w:pPr>
              <w:ind w:firstLine="400"/>
              <w:rPr>
                <w:rFonts w:asciiTheme="minorEastAsia" w:hAnsiTheme="minorEastAsia" w:eastAsiaTheme="minorEastAsia"/>
                <w:color w:val="000000"/>
                <w:sz w:val="21"/>
                <w:szCs w:val="21"/>
              </w:rPr>
            </w:pPr>
          </w:p>
        </w:tc>
        <w:tc>
          <w:tcPr>
            <w:tcW w:w="2885"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质检错误定位及数据输出、统计汇总、数据打包</w:t>
            </w:r>
          </w:p>
        </w:tc>
        <w:tc>
          <w:tcPr>
            <w:tcW w:w="2996" w:type="dxa"/>
            <w:shd w:val="clear" w:color="auto" w:fill="auto"/>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输出数据错误定位信息，明确错误发生位置及错误问题；各检查项错误信息统计后进行汇总记录；将多个检查项输出的错误定位信息文件进行统一的打包服务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线性工程项目“一证多验”</w:t>
            </w: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申报环节</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申报端引导项增加一证多验要素选择</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在一网通办申报时，在项目实施信息环节，对申报验收的工规证显示该证下的线性工程单体信息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测绘报告接口核验</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强控输入测绘报告号，并对测绘报告号进行在线校验，通过后方可提交。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文件质检</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一证多验项目资源树按照选择单体生成，上传竣工图时只传勾选单体竣工图。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一证多验申请表要素信息</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一证多验申请表需根据整体验收、本期验收进行更改。当前申请表自动生成，需要增加整体验收指标、本期验收指标信息。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审批端</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地块单体信息-验收指标比对</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审定单体指标根据申请验收单体加总核算总体技术经济指标比对，对验收申报数据，结合系统已出具的许可数据进行比对。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地块单体信息-指标比对增加取消单体验收状态位</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单体指标根据业务规则自动判断许可值与实测值的差值是否属于准予验收的范围内，并且自动勾选当前单体验收是否通过。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4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地块单体信息-工程规划许可证变更和调整单体逻辑更正</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审批竣工验收案件时，若验收规证办理工规证变更或内部更正流程时，使用更新所有许可值重置最新单体许可值数据满足业务需要。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地块单体信息-验收状态分类汇总</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一证多验申报端可勾选单个工规证中的部分单体进行验收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地块单体信息-线性功能规划资源验收信息推送</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竣工规划完成验收以后，将验收结果信息共享至互联网，供建设单位下载批准文件。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地块单体信息-三清单线性工程竣工数据推送服务</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根据一网通办提供接口的要求进行接口开发并进行数据推送。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线性工程多测合一数据服务</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线性工程多测合一数据服务</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按照按照单体信息编码与系统对接，实现按照单体信息测绘值与许可证对比，支持线性工程按照分段或分期验收。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基于多测合一的管线工程项目竣工验收</w:t>
            </w: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申报环节改造</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申报端引导项增加一证多验要素选择</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在一网通办申报时，在项目实施信息环节，对申报验收的工规证显示该证下的管线工程单体信息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测绘报告接口核验</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系统支持按照测绘报告号进行在线校验，提示是否校验通过。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申请表要素信息更改</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一证多验申请表需根据整体验收、本期验收进行更改。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审批端</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单体信息改造-单体信息功能更改</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管线工程单体信息并未编号，本次改造增加对管线单体进行编号。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单体信息改造-审定信息更改</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审定单体指标根据申请验收单体加总核算总体技术经济指标，与之相关的套打表格均随验收单体自动调整。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单体信息改造-指标比对增加取消单体验收状态位</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单体指标根据业务规则自动判断许可值与实测值的差值是否属于准予验收的范围内，并且自动勾选当前单体验收是否通过。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4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单体信息改造-工程规划许可证变更和调整单体逻辑更正</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审批竣工验收案件时，若验收规证办理工规证变更或内部更正流程时，使用更新所有许可值重置最新单体许可值数据满足业务需要。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单体信息改造-验收状态分类汇总</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一证多验申报端可勾选单个工规证中的管线单体进行验收，一张工规证可验收多次并发多个验收证。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单体信息改造-管线工程规划资源验收批准文件签章、推送</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竣工规划完成验收以后，在发件环节，可实现大文件签章、批量签章。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单体信息改造-三清单管线工程竣工数据推送服务</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根据业务实际需要相关数据，提供给一网通办管性工程规划资源验收需求清单。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管线编号全生命周期管理</w:t>
            </w:r>
          </w:p>
        </w:tc>
        <w:tc>
          <w:tcPr>
            <w:tcW w:w="2885" w:type="dxa"/>
            <w:vAlign w:val="center"/>
          </w:tcPr>
          <w:p>
            <w:pPr>
              <w:ind w:firstLine="400"/>
              <w:rPr>
                <w:rFonts w:asciiTheme="minorEastAsia" w:hAnsiTheme="minorEastAsia" w:eastAsiaTheme="minorEastAsia"/>
                <w:color w:val="000000"/>
                <w:sz w:val="21"/>
                <w:szCs w:val="21"/>
              </w:rPr>
            </w:pP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涉及事项有土地权属调查边界确认、规划条件征询、土地意见书、用地许可证、设计方案征询、设计方案、工规证、多测合一对接、开工放样、竣工验收全程流程需要改造，增加管线编号字段。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管线工程多测合一数据服务</w:t>
            </w:r>
          </w:p>
        </w:tc>
        <w:tc>
          <w:tcPr>
            <w:tcW w:w="2885" w:type="dxa"/>
            <w:vAlign w:val="center"/>
          </w:tcPr>
          <w:p>
            <w:pPr>
              <w:ind w:firstLine="400"/>
              <w:rPr>
                <w:rFonts w:asciiTheme="minorEastAsia" w:hAnsiTheme="minorEastAsia" w:eastAsiaTheme="minorEastAsia"/>
                <w:color w:val="000000"/>
                <w:sz w:val="21"/>
                <w:szCs w:val="21"/>
              </w:rPr>
            </w:pP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按照管线单体信息编码与系统对接，实现按照单体信息测绘值与许可证对比，支持管线工程按照分段或分期验收。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一网通办申报端优化</w:t>
            </w: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一网通办申报端行政许可事项应用改造</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新建申报导引-建设项目用地预审与选址意见书核发</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采用模式3进行开发申报导引，涉及建设项目用地预审与选址意见书办理、变更、延期、注销四个办理项需要新建申报导引。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新建申报导引-建设用地、临时建设用地规划许可</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采用模式3进行开发申报导引，出让用地、划拨用地使用项目涉及建设项目用地许可及临时建设项目用地许可办理、注销、补证四个办理项需要新建申报导引。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新建申报导引-建设工程、临时建设工程规划许可</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采用模式3进行开发申报导引，涉及建设工程规划许可及临时建设工程规划许可办理、变更、延期、注销、补证五个办理项需要新建申报导引。对应市级、区级两级申报项目。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新建申报导引-乡村建设规划许可</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采用模式3进行开发申报导引，涉及乡村建设规划许可及《乡村建设规划许可证》的审批（农户建房）办理、变更、延期、注销、补证五个办理项需要新建申报导引。对应区级申报项目。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新建申报导引-建设项目竣工规划资源验收</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采用模式3进行开发申报导引，涉及建设项目竣工规划资源验收办理、补证两个办理项需要新建申报导引。对应市、区两级申报项目。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当前功能改造-生成新的立即办理链接路由</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根据事项/办理项编码重新生成“立即办理”跳转路由链接。替换一网通办市区两级规资局现有事项的立即办理链接。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2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当前功能改造-新的事项名称替换</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当前选址意见书自有、协议两个用地类型，按照国家新的管理规定，需要有选址意见书更改为 出具规划条件说明。需要同步更改批文，新办、变更两个情形。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当前功能改造-出具的结果文件等更改</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选址意见书事项，对于自有用地、协议用地出具的批文，需要对批文标题，审核签报表、验收项目表底稿、项目表定稿等内容进行修改。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按照新规则进行信息推送</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按照新的编码报送，改造报送的数据文件，实现对一网通办办件库、市级电子证照库、市级材料库、三清单双公示、报国家资源部等，按照新的实现编码规则实现数据推送。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建设项目规划许可证</w:t>
            </w: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建设项目规划许可证申请服务</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新办申请</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按照业务情形，建设规划许可证系统提供新办功能，在互联网端实现新办申报功能。</w:t>
            </w:r>
            <w:r>
              <w:rPr>
                <w:rFonts w:hint="eastAsia"/>
                <w:b/>
                <w:bCs/>
                <w:color w:val="000000"/>
                <w:sz w:val="21"/>
                <w:szCs w:val="21"/>
              </w:rPr>
              <w:t>需提供界面设计效果图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变更申请</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通过项目编号查询原案件项目信息并选择，填写申报内容，申报结束后，系统自动生成一网通办的统一审批编码，申报结束进入内网审批流程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延期申请</w:t>
            </w:r>
          </w:p>
        </w:tc>
        <w:tc>
          <w:tcPr>
            <w:tcW w:w="2996" w:type="dxa"/>
            <w:vAlign w:val="center"/>
          </w:tcPr>
          <w:p>
            <w:pPr>
              <w:ind w:firstLine="105" w:firstLineChars="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一网通办申报延期事项，通过项目编号查询原案件项目信息并选择，选择延期次数，填写申报内容，申报结束进入内网审批流程。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注销申请</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一网通办申报注销事项，选择注销原因，申报结束进入内网审批流程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补证证明申请</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一网通办申报补证证明事项，通过项目编号查询原案件项目信息并选择，选择补正证明申请理由，填写申报内容，申报结束进入内网审批流程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建设项目规划许可证图形质检</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图形数据获取和分析</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对建构筑物进行解析，申报环节进入单体指标数据环节，前置质检通过后，对文件进行转换。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单体属性解析</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单体信息从图形解析后，进行反写的单体指标库进行存储和相关指标计算。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建设图形转换</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建设项目规划许可证，图形文件需要由设计单位进行绘制，上传文件进行图形文件转换，并上传至资源树。</w:t>
            </w:r>
            <w:r>
              <w:rPr>
                <w:rFonts w:hint="eastAsia"/>
                <w:b/>
                <w:bCs/>
                <w:color w:val="000000"/>
                <w:sz w:val="21"/>
                <w:szCs w:val="21"/>
              </w:rPr>
              <w:t>需提供界面设计效果图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用地范围图分析</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建设项目规划许可证在审理环节，提供按照不同制图比例进行制图功能。</w:t>
            </w:r>
            <w:r>
              <w:rPr>
                <w:rFonts w:hint="eastAsia"/>
                <w:b/>
                <w:bCs/>
                <w:color w:val="000000"/>
                <w:sz w:val="21"/>
                <w:szCs w:val="21"/>
              </w:rPr>
              <w:t>需提供界面设计效果图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建设项目规划许可证审批</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新办、变更审批</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按照建构筑物建设工程规划许可证审批的流程进行改造，在审批端实现收件-预审-审理-审核-审定-文印-发件全流程审批管理。</w:t>
            </w:r>
            <w:r>
              <w:rPr>
                <w:rFonts w:hint="eastAsia"/>
                <w:b/>
                <w:bCs/>
                <w:color w:val="000000"/>
                <w:sz w:val="21"/>
                <w:szCs w:val="21"/>
              </w:rPr>
              <w:t>需提供界面设计效果图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延期、注销、补正证明审批</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按照建构筑物建设工程规划许可证审批的流程进行改造，在审批端实现收件-预审-审理-审核-审定-文印-发件全流程审批管理。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档案归集服务</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建设项目规划许可证在审批过程中，将审批各类材料以及结果资料在对应的归档的环节进行归档，并提供查询功能。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过程数据推送服务</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建设单位申报完成后，将数据推送至一网通办办件库。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结果信息公开服务</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根据业务管理要求，需要对建设项目规划许可证审批的结果共享至局门户。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证照文表套打开发</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根据业务要求，对建设项目规划许可证中涉及的套打文档进行开发。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Merge w:val="continue"/>
            <w:vAlign w:val="center"/>
          </w:tcPr>
          <w:p>
            <w:pPr>
              <w:ind w:firstLine="400"/>
              <w:rPr>
                <w:rFonts w:asciiTheme="minorEastAsia" w:hAnsiTheme="minorEastAsia" w:eastAsiaTheme="minorEastAsia"/>
                <w:color w:val="000000"/>
                <w:sz w:val="21"/>
                <w:szCs w:val="21"/>
              </w:rPr>
            </w:pP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文证编制规则</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在现有文证号生成上，按照证号设置规则进行配置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通用查询</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通用查询改造</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在通用查询功能中，审批服务事项分类中，增加 建设项目工程许可证事项，可根据工程类型、文证号、受理号等进行复合查询，支持导出查看。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三清单数据推送服务</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三清单数据推送服务</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根据一网通办提供接口的要求进行接口开发，通过接口完成调用，并进行数据推送。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套打改造</w:t>
            </w: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在线wps适配改造</w:t>
            </w:r>
          </w:p>
        </w:tc>
        <w:tc>
          <w:tcPr>
            <w:tcW w:w="2885" w:type="dxa"/>
            <w:vAlign w:val="center"/>
          </w:tcPr>
          <w:p>
            <w:pPr>
              <w:ind w:firstLine="400"/>
              <w:rPr>
                <w:rFonts w:asciiTheme="minorEastAsia" w:hAnsiTheme="minorEastAsia" w:eastAsiaTheme="minorEastAsia"/>
                <w:color w:val="000000"/>
                <w:sz w:val="21"/>
                <w:szCs w:val="21"/>
              </w:rPr>
            </w:pPr>
          </w:p>
        </w:tc>
        <w:tc>
          <w:tcPr>
            <w:tcW w:w="2996" w:type="dxa"/>
            <w:vAlign w:val="center"/>
          </w:tcPr>
          <w:p>
            <w:pP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按照上海数字底座共性服务提供的一体化办公平台共性服务能力，使用wps在线文档进行套打改造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前端页面开发改造</w:t>
            </w:r>
          </w:p>
        </w:tc>
        <w:tc>
          <w:tcPr>
            <w:tcW w:w="2885" w:type="dxa"/>
            <w:vAlign w:val="center"/>
          </w:tcPr>
          <w:p>
            <w:pPr>
              <w:ind w:firstLine="400"/>
              <w:rPr>
                <w:rFonts w:asciiTheme="minorEastAsia" w:hAnsiTheme="minorEastAsia" w:eastAsiaTheme="minorEastAsia"/>
                <w:color w:val="000000"/>
                <w:sz w:val="21"/>
                <w:szCs w:val="21"/>
              </w:rPr>
            </w:pPr>
          </w:p>
        </w:tc>
        <w:tc>
          <w:tcPr>
            <w:tcW w:w="2996" w:type="dxa"/>
            <w:vAlign w:val="center"/>
          </w:tcPr>
          <w:p>
            <w:pP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页面改造，共有服务事项6个，行政审批事项9个，内部关联事项6个事项需要页面改造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文书模板配置实施</w:t>
            </w:r>
          </w:p>
        </w:tc>
        <w:tc>
          <w:tcPr>
            <w:tcW w:w="2885" w:type="dxa"/>
            <w:vAlign w:val="center"/>
          </w:tcPr>
          <w:p>
            <w:pPr>
              <w:ind w:firstLine="400"/>
              <w:rPr>
                <w:rFonts w:asciiTheme="minorEastAsia" w:hAnsiTheme="minorEastAsia" w:eastAsiaTheme="minorEastAsia"/>
                <w:color w:val="000000"/>
                <w:sz w:val="21"/>
                <w:szCs w:val="21"/>
              </w:rPr>
            </w:pP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运用大数据中心工具箱进行文档套打改造，数据对齐实施工作，共有126个文档需重新配置。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restart"/>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建设“码上证照”场景</w:t>
            </w: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调用随申码接口</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调用随申码接口</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使用上海数字底座共性服务能力，调用随申码接口，对接生码、下载、扫码三个接口。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关联受理号并查询</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关联受理号并查询</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针对一书三证、开工、竣工办件，将生成的随申码与项目号、当前事项关联绑定，并套打在一书三证 文、证上，替换现有的条码。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H5页面开发</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H5页面开发</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使用随申办app、或微信扫描后，可打开H5页面。</w:t>
            </w:r>
            <w:r>
              <w:rPr>
                <w:rFonts w:hint="eastAsia"/>
                <w:b/>
                <w:bCs/>
                <w:color w:val="000000"/>
                <w:sz w:val="21"/>
                <w:szCs w:val="21"/>
              </w:rPr>
              <w:t>需提供界面设计效果图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Merge w:val="continue"/>
            <w:vAlign w:val="center"/>
          </w:tcPr>
          <w:p>
            <w:pPr>
              <w:ind w:firstLine="400"/>
              <w:rPr>
                <w:rFonts w:asciiTheme="minorEastAsia" w:hAnsiTheme="minorEastAsia" w:eastAsiaTheme="minorEastAsia"/>
                <w:color w:val="000000"/>
                <w:sz w:val="21"/>
                <w:szCs w:val="21"/>
              </w:rPr>
            </w:pPr>
          </w:p>
        </w:tc>
        <w:tc>
          <w:tcPr>
            <w:tcW w:w="1203"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信息查看页水印打码</w:t>
            </w:r>
          </w:p>
        </w:tc>
        <w:tc>
          <w:tcPr>
            <w:tcW w:w="2885"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信息查看页水印打码</w:t>
            </w:r>
          </w:p>
        </w:tc>
        <w:tc>
          <w:tcPr>
            <w:tcW w:w="2996" w:type="dxa"/>
            <w:vAlign w:val="center"/>
          </w:tcPr>
          <w:p>
            <w:pP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对查看的H5链接，打码，生成水印。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218" w:type="dxa"/>
            <w:vAlign w:val="center"/>
          </w:tcPr>
          <w:p>
            <w:pPr>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密码应用改造</w:t>
            </w:r>
          </w:p>
        </w:tc>
        <w:tc>
          <w:tcPr>
            <w:tcW w:w="1203" w:type="dxa"/>
            <w:vAlign w:val="center"/>
          </w:tcPr>
          <w:p>
            <w:pPr>
              <w:ind w:firstLine="400"/>
              <w:jc w:val="center"/>
              <w:rPr>
                <w:rFonts w:asciiTheme="minorEastAsia" w:hAnsiTheme="minorEastAsia" w:eastAsiaTheme="minorEastAsia"/>
                <w:color w:val="000000"/>
                <w:sz w:val="21"/>
                <w:szCs w:val="21"/>
              </w:rPr>
            </w:pPr>
          </w:p>
        </w:tc>
        <w:tc>
          <w:tcPr>
            <w:tcW w:w="2885" w:type="dxa"/>
            <w:vAlign w:val="center"/>
          </w:tcPr>
          <w:p>
            <w:pPr>
              <w:ind w:firstLine="400"/>
              <w:jc w:val="center"/>
              <w:rPr>
                <w:rFonts w:cs="Times New Roman" w:asciiTheme="minorEastAsia" w:hAnsiTheme="minorEastAsia" w:eastAsiaTheme="minorEastAsia"/>
                <w:sz w:val="21"/>
                <w:szCs w:val="21"/>
              </w:rPr>
            </w:pPr>
          </w:p>
        </w:tc>
        <w:tc>
          <w:tcPr>
            <w:tcW w:w="2996" w:type="dxa"/>
            <w:vAlign w:val="center"/>
          </w:tcPr>
          <w:p>
            <w:pPr>
              <w:rPr>
                <w:rFonts w:cs="Times New Roman" w:asciiTheme="minorEastAsia" w:hAnsiTheme="minorEastAsia" w:eastAsiaTheme="minorEastAsia"/>
                <w:sz w:val="21"/>
                <w:szCs w:val="21"/>
              </w:rPr>
            </w:pPr>
            <w:r>
              <w:rPr>
                <w:rFonts w:hint="eastAsia"/>
                <w:color w:val="000000"/>
                <w:sz w:val="21"/>
                <w:szCs w:val="21"/>
              </w:rPr>
              <w:t>包括用户身份认证机制模块、业务重要数据安全传输模块、服务器虚拟机设备日志/访问控制信息完整性模块、重要可执行程序签名验签模块等应用功能软件开发。</w:t>
            </w:r>
          </w:p>
        </w:tc>
      </w:tr>
    </w:tbl>
    <w:p>
      <w:pPr>
        <w:pStyle w:val="4"/>
        <w:ind w:left="1069" w:hanging="1069"/>
      </w:pPr>
      <w:r>
        <w:rPr>
          <w:rFonts w:hint="eastAsia"/>
        </w:rPr>
        <w:t>上海市地籍数据管理系统</w:t>
      </w:r>
    </w:p>
    <w:tbl>
      <w:tblPr>
        <w:tblStyle w:val="36"/>
        <w:tblpPr w:leftFromText="180" w:rightFromText="180" w:vertAnchor="page" w:horzAnchor="margin" w:tblpY="2305"/>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199"/>
        <w:gridCol w:w="1200"/>
        <w:gridCol w:w="2909"/>
        <w:gridCol w:w="2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tcPr>
          <w:p>
            <w:pPr>
              <w:jc w:val="center"/>
              <w:rPr>
                <w:b/>
                <w:bCs/>
                <w:color w:val="000000"/>
                <w:sz w:val="21"/>
                <w:szCs w:val="21"/>
              </w:rPr>
            </w:pPr>
          </w:p>
          <w:p>
            <w:pPr>
              <w:jc w:val="center"/>
              <w:rPr>
                <w:b/>
                <w:bCs/>
                <w:color w:val="000000"/>
                <w:sz w:val="21"/>
                <w:szCs w:val="21"/>
              </w:rPr>
            </w:pPr>
            <w:r>
              <w:rPr>
                <w:rFonts w:hint="eastAsia"/>
                <w:b/>
                <w:bCs/>
                <w:color w:val="000000"/>
                <w:sz w:val="21"/>
                <w:szCs w:val="21"/>
              </w:rPr>
              <w:t>一级应用模块</w:t>
            </w:r>
          </w:p>
        </w:tc>
        <w:tc>
          <w:tcPr>
            <w:tcW w:w="1200" w:type="dxa"/>
          </w:tcPr>
          <w:p>
            <w:pPr>
              <w:jc w:val="center"/>
              <w:rPr>
                <w:b/>
                <w:bCs/>
                <w:color w:val="000000"/>
                <w:sz w:val="21"/>
                <w:szCs w:val="21"/>
              </w:rPr>
            </w:pPr>
            <w:r>
              <w:rPr>
                <w:rFonts w:hint="eastAsia"/>
                <w:b/>
                <w:bCs/>
                <w:color w:val="000000"/>
                <w:sz w:val="21"/>
                <w:szCs w:val="21"/>
              </w:rPr>
              <w:t>二级应用模块</w:t>
            </w:r>
          </w:p>
        </w:tc>
        <w:tc>
          <w:tcPr>
            <w:tcW w:w="2909" w:type="dxa"/>
            <w:vAlign w:val="center"/>
          </w:tcPr>
          <w:p>
            <w:pPr>
              <w:jc w:val="center"/>
              <w:rPr>
                <w:b/>
                <w:bCs/>
                <w:color w:val="000000"/>
                <w:sz w:val="21"/>
                <w:szCs w:val="21"/>
              </w:rPr>
            </w:pPr>
            <w:r>
              <w:rPr>
                <w:rFonts w:hint="eastAsia"/>
                <w:b/>
                <w:bCs/>
                <w:color w:val="000000"/>
                <w:sz w:val="21"/>
                <w:szCs w:val="21"/>
              </w:rPr>
              <w:t>功能点</w:t>
            </w:r>
          </w:p>
        </w:tc>
        <w:tc>
          <w:tcPr>
            <w:tcW w:w="2988" w:type="dxa"/>
            <w:vAlign w:val="center"/>
          </w:tcPr>
          <w:p>
            <w:pPr>
              <w:jc w:val="center"/>
              <w:rPr>
                <w:b/>
                <w:bCs/>
                <w:color w:val="000000"/>
                <w:sz w:val="21"/>
                <w:szCs w:val="21"/>
              </w:rPr>
            </w:pPr>
            <w:r>
              <w:rPr>
                <w:rFonts w:hint="eastAsia"/>
                <w:b/>
                <w:bCs/>
                <w:color w:val="000000"/>
                <w:sz w:val="21"/>
                <w:szCs w:val="21"/>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4" w:hRule="atLeast"/>
        </w:trPr>
        <w:tc>
          <w:tcPr>
            <w:tcW w:w="1199" w:type="dxa"/>
            <w:vMerge w:val="restart"/>
            <w:vAlign w:val="center"/>
          </w:tcPr>
          <w:p>
            <w:pPr>
              <w:jc w:val="center"/>
              <w:rPr>
                <w:color w:val="000000"/>
                <w:sz w:val="21"/>
                <w:szCs w:val="21"/>
              </w:rPr>
            </w:pPr>
            <w:r>
              <w:rPr>
                <w:rFonts w:hint="eastAsia"/>
                <w:color w:val="000000"/>
                <w:sz w:val="21"/>
                <w:szCs w:val="21"/>
              </w:rPr>
              <w:t>地籍数据修补测</w:t>
            </w:r>
          </w:p>
        </w:tc>
        <w:tc>
          <w:tcPr>
            <w:tcW w:w="1200" w:type="dxa"/>
            <w:vMerge w:val="restart"/>
            <w:vAlign w:val="center"/>
          </w:tcPr>
          <w:p>
            <w:pPr>
              <w:jc w:val="center"/>
              <w:rPr>
                <w:color w:val="000000"/>
                <w:sz w:val="21"/>
                <w:szCs w:val="21"/>
              </w:rPr>
            </w:pPr>
            <w:r>
              <w:rPr>
                <w:rFonts w:hint="eastAsia"/>
                <w:color w:val="000000"/>
                <w:sz w:val="21"/>
                <w:szCs w:val="21"/>
              </w:rPr>
              <w:t>地籍修补测立案</w:t>
            </w:r>
          </w:p>
        </w:tc>
        <w:tc>
          <w:tcPr>
            <w:tcW w:w="2909" w:type="dxa"/>
            <w:vAlign w:val="center"/>
          </w:tcPr>
          <w:p>
            <w:pPr>
              <w:rPr>
                <w:color w:val="000000"/>
                <w:sz w:val="21"/>
                <w:szCs w:val="21"/>
              </w:rPr>
            </w:pPr>
            <w:r>
              <w:rPr>
                <w:rFonts w:hint="eastAsia"/>
                <w:color w:val="000000"/>
                <w:sz w:val="21"/>
                <w:szCs w:val="21"/>
              </w:rPr>
              <w:t>项目立案</w:t>
            </w:r>
          </w:p>
        </w:tc>
        <w:tc>
          <w:tcPr>
            <w:tcW w:w="2988" w:type="dxa"/>
            <w:vAlign w:val="center"/>
          </w:tcPr>
          <w:p>
            <w:pPr>
              <w:rPr>
                <w:color w:val="000000"/>
                <w:sz w:val="21"/>
                <w:szCs w:val="21"/>
              </w:rPr>
            </w:pPr>
            <w:r>
              <w:rPr>
                <w:rFonts w:hint="eastAsia"/>
                <w:color w:val="000000"/>
                <w:sz w:val="21"/>
                <w:szCs w:val="21"/>
              </w:rPr>
              <w:t>创建地籍修补测案件，案件包括基本信息及项目范围。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基础数据下载</w:t>
            </w:r>
          </w:p>
        </w:tc>
        <w:tc>
          <w:tcPr>
            <w:tcW w:w="2988" w:type="dxa"/>
            <w:vAlign w:val="center"/>
          </w:tcPr>
          <w:p>
            <w:pPr>
              <w:rPr>
                <w:color w:val="000000"/>
                <w:sz w:val="21"/>
                <w:szCs w:val="21"/>
              </w:rPr>
            </w:pPr>
            <w:r>
              <w:rPr>
                <w:rFonts w:hint="eastAsia"/>
                <w:color w:val="000000"/>
                <w:sz w:val="21"/>
                <w:szCs w:val="21"/>
              </w:rPr>
              <w:t>在任务受理完成后，提供基础数据下载功能，供用户获取数据制作的基础信息。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7" w:hRule="atLeast"/>
        </w:trPr>
        <w:tc>
          <w:tcPr>
            <w:tcW w:w="1199" w:type="dxa"/>
            <w:vMerge w:val="continue"/>
            <w:vAlign w:val="center"/>
          </w:tcPr>
          <w:p>
            <w:pPr>
              <w:jc w:val="center"/>
              <w:rPr>
                <w:color w:val="000000"/>
                <w:sz w:val="21"/>
                <w:szCs w:val="21"/>
              </w:rPr>
            </w:pPr>
          </w:p>
        </w:tc>
        <w:tc>
          <w:tcPr>
            <w:tcW w:w="1200" w:type="dxa"/>
            <w:vMerge w:val="restart"/>
            <w:vAlign w:val="center"/>
          </w:tcPr>
          <w:p>
            <w:pPr>
              <w:jc w:val="center"/>
              <w:rPr>
                <w:color w:val="000000"/>
                <w:sz w:val="21"/>
                <w:szCs w:val="21"/>
              </w:rPr>
            </w:pPr>
            <w:r>
              <w:rPr>
                <w:rFonts w:hint="eastAsia"/>
                <w:color w:val="000000"/>
                <w:sz w:val="21"/>
                <w:szCs w:val="21"/>
              </w:rPr>
              <w:t>地籍修补测图形分析</w:t>
            </w:r>
          </w:p>
        </w:tc>
        <w:tc>
          <w:tcPr>
            <w:tcW w:w="2909" w:type="dxa"/>
            <w:vAlign w:val="center"/>
          </w:tcPr>
          <w:p>
            <w:pPr>
              <w:rPr>
                <w:color w:val="000000"/>
                <w:sz w:val="21"/>
                <w:szCs w:val="21"/>
              </w:rPr>
            </w:pPr>
            <w:r>
              <w:rPr>
                <w:rFonts w:hint="eastAsia"/>
                <w:color w:val="000000"/>
                <w:sz w:val="21"/>
                <w:szCs w:val="21"/>
              </w:rPr>
              <w:t>宗地图形上传及分析</w:t>
            </w:r>
          </w:p>
        </w:tc>
        <w:tc>
          <w:tcPr>
            <w:tcW w:w="2988" w:type="dxa"/>
            <w:vAlign w:val="center"/>
          </w:tcPr>
          <w:p>
            <w:pPr>
              <w:rPr>
                <w:color w:val="000000"/>
                <w:sz w:val="21"/>
                <w:szCs w:val="21"/>
              </w:rPr>
            </w:pPr>
            <w:r>
              <w:rPr>
                <w:rFonts w:hint="eastAsia"/>
                <w:color w:val="000000"/>
                <w:sz w:val="21"/>
                <w:szCs w:val="21"/>
              </w:rPr>
              <w:t>宗地图形上传及分析支持将在系统外制作完成的使用权宗地变更范围图形等结果数据上传至系统，系统将进行一系列专业化的数据质检，包括几何形状的合理性、属性值的完整性等。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1"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宗地图形及属性在线编辑</w:t>
            </w:r>
          </w:p>
        </w:tc>
        <w:tc>
          <w:tcPr>
            <w:tcW w:w="2988" w:type="dxa"/>
            <w:vAlign w:val="center"/>
          </w:tcPr>
          <w:p>
            <w:pPr>
              <w:rPr>
                <w:color w:val="000000"/>
                <w:sz w:val="21"/>
                <w:szCs w:val="21"/>
              </w:rPr>
            </w:pPr>
            <w:r>
              <w:rPr>
                <w:rFonts w:hint="eastAsia"/>
                <w:color w:val="000000"/>
                <w:sz w:val="21"/>
                <w:szCs w:val="21"/>
              </w:rPr>
              <w:t>宗地分析完成后，支持进行宗地图形属性的在线编辑，系统提供在线编辑功能，支持灵活地对各项属性进行实时更新和调整。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7"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自然幢图形上传及分析</w:t>
            </w:r>
          </w:p>
        </w:tc>
        <w:tc>
          <w:tcPr>
            <w:tcW w:w="2988" w:type="dxa"/>
            <w:vAlign w:val="center"/>
          </w:tcPr>
          <w:p>
            <w:pPr>
              <w:rPr>
                <w:color w:val="000000"/>
                <w:sz w:val="21"/>
                <w:szCs w:val="21"/>
              </w:rPr>
            </w:pPr>
            <w:r>
              <w:rPr>
                <w:rFonts w:hint="eastAsia"/>
                <w:color w:val="000000"/>
                <w:sz w:val="21"/>
                <w:szCs w:val="21"/>
              </w:rPr>
              <w:t>使用权修补测支持进行自然幢的分析，用户可以将在系统外制作完成自然幢变更范围图形，上传至系统，系统将进行一系列质检，包括几何形状的合理性、属性值的完整性等。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自然幢属性在线编辑</w:t>
            </w:r>
          </w:p>
        </w:tc>
        <w:tc>
          <w:tcPr>
            <w:tcW w:w="2988" w:type="dxa"/>
            <w:vAlign w:val="center"/>
          </w:tcPr>
          <w:p>
            <w:pPr>
              <w:rPr>
                <w:color w:val="000000"/>
                <w:sz w:val="21"/>
                <w:szCs w:val="21"/>
              </w:rPr>
            </w:pPr>
            <w:r>
              <w:rPr>
                <w:rFonts w:hint="eastAsia"/>
                <w:color w:val="000000"/>
                <w:sz w:val="21"/>
                <w:szCs w:val="21"/>
              </w:rPr>
              <w:t>幢图形分析完成后，支持进行幢属性的在线编辑，系统提供在线编辑功能，对自然幢、逻辑幢、层、户属性进行实时更新和调整。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逻辑幢挂接</w:t>
            </w:r>
          </w:p>
        </w:tc>
        <w:tc>
          <w:tcPr>
            <w:tcW w:w="2988" w:type="dxa"/>
            <w:vAlign w:val="center"/>
          </w:tcPr>
          <w:p>
            <w:pPr>
              <w:rPr>
                <w:color w:val="000000"/>
                <w:sz w:val="21"/>
                <w:szCs w:val="21"/>
              </w:rPr>
            </w:pPr>
            <w:r>
              <w:rPr>
                <w:rFonts w:hint="eastAsia"/>
                <w:color w:val="000000"/>
                <w:sz w:val="21"/>
                <w:szCs w:val="21"/>
              </w:rPr>
              <w:t>针对逻辑幢的管理，支持在不同自然幢之间进行灵活的挂接操作,增强逻辑幢与自然幢之间的关联性，提供更为便捷和高效的数据管理方式。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变更记录生成</w:t>
            </w:r>
          </w:p>
        </w:tc>
        <w:tc>
          <w:tcPr>
            <w:tcW w:w="2988" w:type="dxa"/>
            <w:vAlign w:val="center"/>
          </w:tcPr>
          <w:p>
            <w:pPr>
              <w:rPr>
                <w:color w:val="000000"/>
                <w:sz w:val="21"/>
                <w:szCs w:val="21"/>
              </w:rPr>
            </w:pPr>
            <w:r>
              <w:rPr>
                <w:rFonts w:hint="eastAsia"/>
                <w:color w:val="000000"/>
                <w:sz w:val="21"/>
                <w:szCs w:val="21"/>
              </w:rPr>
              <w:t>为了确保数据变更的透明性和可追溯性，系统自动为每一次编辑操作生成详尽的变更记录。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图形变更类型调整</w:t>
            </w:r>
          </w:p>
        </w:tc>
        <w:tc>
          <w:tcPr>
            <w:tcW w:w="2988" w:type="dxa"/>
            <w:vAlign w:val="center"/>
          </w:tcPr>
          <w:p>
            <w:pPr>
              <w:rPr>
                <w:color w:val="000000"/>
                <w:sz w:val="21"/>
                <w:szCs w:val="21"/>
              </w:rPr>
            </w:pPr>
            <w:r>
              <w:rPr>
                <w:rFonts w:hint="eastAsia"/>
                <w:color w:val="000000"/>
                <w:sz w:val="21"/>
                <w:szCs w:val="21"/>
              </w:rPr>
              <w:t>完成图形分析后，系统自动根据数据的变化情况赋予变更标志，同时支持新增、修改、删除以及选择不参与变更等操作的转换。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restart"/>
            <w:vAlign w:val="center"/>
          </w:tcPr>
          <w:p>
            <w:pPr>
              <w:jc w:val="center"/>
              <w:rPr>
                <w:color w:val="000000"/>
                <w:sz w:val="21"/>
                <w:szCs w:val="21"/>
              </w:rPr>
            </w:pPr>
            <w:r>
              <w:rPr>
                <w:rFonts w:hint="eastAsia"/>
                <w:color w:val="000000"/>
                <w:sz w:val="21"/>
                <w:szCs w:val="21"/>
              </w:rPr>
              <w:t>地籍修补测任务结案</w:t>
            </w:r>
          </w:p>
        </w:tc>
        <w:tc>
          <w:tcPr>
            <w:tcW w:w="2909" w:type="dxa"/>
            <w:vAlign w:val="center"/>
          </w:tcPr>
          <w:p>
            <w:pPr>
              <w:rPr>
                <w:color w:val="000000"/>
                <w:sz w:val="21"/>
                <w:szCs w:val="21"/>
              </w:rPr>
            </w:pPr>
            <w:r>
              <w:rPr>
                <w:rFonts w:hint="eastAsia"/>
                <w:color w:val="000000"/>
                <w:sz w:val="21"/>
                <w:szCs w:val="21"/>
              </w:rPr>
              <w:t>修补测项目监管</w:t>
            </w:r>
          </w:p>
        </w:tc>
        <w:tc>
          <w:tcPr>
            <w:tcW w:w="2988" w:type="dxa"/>
            <w:vAlign w:val="center"/>
          </w:tcPr>
          <w:p>
            <w:pPr>
              <w:rPr>
                <w:color w:val="000000"/>
                <w:sz w:val="21"/>
                <w:szCs w:val="21"/>
              </w:rPr>
            </w:pPr>
            <w:r>
              <w:rPr>
                <w:rFonts w:hint="eastAsia"/>
                <w:color w:val="000000"/>
                <w:sz w:val="21"/>
                <w:szCs w:val="21"/>
              </w:rPr>
              <w:t>使用权修补测项目监管功能提供流程信息模块，用于展示修补测项目案件的流程节点、接收与发送时间以及经办人的详细信息。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修补测调查报告生成</w:t>
            </w:r>
          </w:p>
        </w:tc>
        <w:tc>
          <w:tcPr>
            <w:tcW w:w="2988" w:type="dxa"/>
            <w:vAlign w:val="center"/>
          </w:tcPr>
          <w:p>
            <w:pPr>
              <w:rPr>
                <w:color w:val="000000"/>
                <w:sz w:val="21"/>
                <w:szCs w:val="21"/>
              </w:rPr>
            </w:pPr>
            <w:r>
              <w:rPr>
                <w:rFonts w:hint="eastAsia"/>
                <w:color w:val="000000"/>
                <w:sz w:val="21"/>
                <w:szCs w:val="21"/>
              </w:rPr>
              <w:t>在使用权修补测案件中，实施测绘节点支持基于修补测调查报告模板，生成地籍调查报告，主要依据获得的成果数据，自动生成详尽且规范的地籍调查报告。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修补测地籍号确认单生成</w:t>
            </w:r>
          </w:p>
        </w:tc>
        <w:tc>
          <w:tcPr>
            <w:tcW w:w="2988" w:type="dxa"/>
            <w:vAlign w:val="center"/>
          </w:tcPr>
          <w:p>
            <w:pPr>
              <w:rPr>
                <w:color w:val="000000"/>
                <w:sz w:val="21"/>
                <w:szCs w:val="21"/>
              </w:rPr>
            </w:pPr>
            <w:r>
              <w:rPr>
                <w:rFonts w:hint="eastAsia"/>
                <w:color w:val="000000"/>
                <w:sz w:val="21"/>
                <w:szCs w:val="21"/>
              </w:rPr>
              <w:t>在修补测案件中，业务审核节点支持基于地籍号确认单模板，依据最新的成果数据，生成清晰、完整的报告。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restart"/>
            <w:vAlign w:val="center"/>
          </w:tcPr>
          <w:p>
            <w:pPr>
              <w:jc w:val="center"/>
              <w:rPr>
                <w:color w:val="000000"/>
                <w:sz w:val="21"/>
                <w:szCs w:val="21"/>
              </w:rPr>
            </w:pPr>
            <w:r>
              <w:rPr>
                <w:rFonts w:hint="eastAsia"/>
                <w:color w:val="000000"/>
                <w:sz w:val="21"/>
                <w:szCs w:val="21"/>
              </w:rPr>
              <w:t>地籍修补测图形变更</w:t>
            </w:r>
          </w:p>
        </w:tc>
        <w:tc>
          <w:tcPr>
            <w:tcW w:w="2909" w:type="dxa"/>
            <w:vAlign w:val="center"/>
          </w:tcPr>
          <w:p>
            <w:pPr>
              <w:rPr>
                <w:color w:val="000000"/>
                <w:sz w:val="21"/>
                <w:szCs w:val="21"/>
              </w:rPr>
            </w:pPr>
            <w:r>
              <w:rPr>
                <w:rFonts w:hint="eastAsia"/>
                <w:color w:val="000000"/>
                <w:sz w:val="21"/>
                <w:szCs w:val="21"/>
              </w:rPr>
              <w:t>案件业务审核</w:t>
            </w:r>
          </w:p>
        </w:tc>
        <w:tc>
          <w:tcPr>
            <w:tcW w:w="2988" w:type="dxa"/>
            <w:vAlign w:val="center"/>
          </w:tcPr>
          <w:p>
            <w:pPr>
              <w:rPr>
                <w:color w:val="000000"/>
                <w:sz w:val="21"/>
                <w:szCs w:val="21"/>
              </w:rPr>
            </w:pPr>
            <w:r>
              <w:rPr>
                <w:rFonts w:hint="eastAsia"/>
                <w:color w:val="000000"/>
                <w:sz w:val="21"/>
                <w:szCs w:val="21"/>
              </w:rPr>
              <w:t>实现在线对修补测图形分析结果的审核，确认成果数据的准确性和合法性。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预变更服务调整</w:t>
            </w:r>
          </w:p>
        </w:tc>
        <w:tc>
          <w:tcPr>
            <w:tcW w:w="2988" w:type="dxa"/>
            <w:vAlign w:val="center"/>
          </w:tcPr>
          <w:p>
            <w:pPr>
              <w:rPr>
                <w:color w:val="000000"/>
                <w:sz w:val="21"/>
                <w:szCs w:val="21"/>
              </w:rPr>
            </w:pPr>
            <w:r>
              <w:rPr>
                <w:rFonts w:hint="eastAsia"/>
                <w:color w:val="000000"/>
                <w:sz w:val="21"/>
                <w:szCs w:val="21"/>
              </w:rPr>
              <w:t>所有权地籍修补测案件通过业务审核后，可进行地籍数据的预变更操作。实现按照既定的规则，对分析完成的成果数据进行审核，并与大登记系统交互，检查数据的权属情况。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正式变更服务调整</w:t>
            </w:r>
          </w:p>
        </w:tc>
        <w:tc>
          <w:tcPr>
            <w:tcW w:w="2988" w:type="dxa"/>
            <w:vAlign w:val="center"/>
          </w:tcPr>
          <w:p>
            <w:pPr>
              <w:rPr>
                <w:color w:val="000000"/>
                <w:sz w:val="21"/>
                <w:szCs w:val="21"/>
              </w:rPr>
            </w:pPr>
            <w:r>
              <w:rPr>
                <w:rFonts w:hint="eastAsia"/>
                <w:color w:val="000000"/>
                <w:sz w:val="21"/>
                <w:szCs w:val="21"/>
              </w:rPr>
              <w:t>所有权地籍修补测案件完成预变更服务调整后，可进行地籍数据的正式变更操作，将分析完成的成果数据更新至成果库，完成所有权案件的操作。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外联数据校验服务</w:t>
            </w:r>
          </w:p>
        </w:tc>
        <w:tc>
          <w:tcPr>
            <w:tcW w:w="2988" w:type="dxa"/>
            <w:vAlign w:val="center"/>
          </w:tcPr>
          <w:p>
            <w:pPr>
              <w:rPr>
                <w:color w:val="000000"/>
                <w:sz w:val="21"/>
                <w:szCs w:val="21"/>
              </w:rPr>
            </w:pPr>
            <w:r>
              <w:rPr>
                <w:rFonts w:hint="eastAsia"/>
                <w:color w:val="000000"/>
                <w:sz w:val="21"/>
                <w:szCs w:val="21"/>
              </w:rPr>
              <w:t>通过外联登记业务系统，对包括房屋权属检查、房屋拆分合并条件等内容进行检查，并将从登记业务系统返回的审核结果向用户提供反馈。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restart"/>
            <w:vAlign w:val="center"/>
          </w:tcPr>
          <w:p>
            <w:pPr>
              <w:jc w:val="center"/>
              <w:rPr>
                <w:color w:val="000000"/>
                <w:sz w:val="21"/>
                <w:szCs w:val="21"/>
              </w:rPr>
            </w:pPr>
            <w:r>
              <w:rPr>
                <w:rFonts w:hint="eastAsia"/>
                <w:color w:val="000000"/>
                <w:sz w:val="21"/>
                <w:szCs w:val="21"/>
              </w:rPr>
              <w:t>地籍修补测任务管理</w:t>
            </w:r>
          </w:p>
        </w:tc>
        <w:tc>
          <w:tcPr>
            <w:tcW w:w="2909" w:type="dxa"/>
            <w:vAlign w:val="center"/>
          </w:tcPr>
          <w:p>
            <w:pPr>
              <w:rPr>
                <w:color w:val="000000"/>
                <w:sz w:val="21"/>
                <w:szCs w:val="21"/>
              </w:rPr>
            </w:pPr>
            <w:r>
              <w:rPr>
                <w:rFonts w:hint="eastAsia"/>
                <w:color w:val="000000"/>
                <w:sz w:val="21"/>
                <w:szCs w:val="21"/>
              </w:rPr>
              <w:t>案件挂起与解除挂起</w:t>
            </w:r>
          </w:p>
        </w:tc>
        <w:tc>
          <w:tcPr>
            <w:tcW w:w="2988" w:type="dxa"/>
            <w:vAlign w:val="center"/>
          </w:tcPr>
          <w:p>
            <w:pPr>
              <w:rPr>
                <w:color w:val="000000"/>
                <w:sz w:val="21"/>
                <w:szCs w:val="21"/>
              </w:rPr>
            </w:pPr>
            <w:r>
              <w:rPr>
                <w:rFonts w:hint="eastAsia"/>
                <w:color w:val="000000"/>
                <w:sz w:val="21"/>
                <w:szCs w:val="21"/>
              </w:rPr>
              <w:t>用户对立案信息持有异议的情况时，可以进行案件的挂起；对挂起的案件，用户可按照案件的实际情况进行立案信息的调整。确保信息无误后，可解除挂起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任务查询</w:t>
            </w:r>
          </w:p>
        </w:tc>
        <w:tc>
          <w:tcPr>
            <w:tcW w:w="2988" w:type="dxa"/>
            <w:vAlign w:val="center"/>
          </w:tcPr>
          <w:p>
            <w:pPr>
              <w:rPr>
                <w:color w:val="000000"/>
                <w:sz w:val="21"/>
                <w:szCs w:val="21"/>
              </w:rPr>
            </w:pPr>
            <w:r>
              <w:rPr>
                <w:rFonts w:hint="eastAsia"/>
                <w:color w:val="000000"/>
                <w:sz w:val="21"/>
                <w:szCs w:val="21"/>
              </w:rPr>
              <w:t>任务查询功能支持进行GIS查看、楼盘信息查看以及登记标志的查看。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restart"/>
            <w:vAlign w:val="center"/>
          </w:tcPr>
          <w:p>
            <w:pPr>
              <w:jc w:val="center"/>
              <w:rPr>
                <w:sz w:val="21"/>
                <w:szCs w:val="21"/>
              </w:rPr>
            </w:pPr>
            <w:r>
              <w:rPr>
                <w:rFonts w:hint="eastAsia"/>
                <w:sz w:val="21"/>
                <w:szCs w:val="21"/>
              </w:rPr>
              <w:t>承包经营权数据管理</w:t>
            </w:r>
          </w:p>
        </w:tc>
        <w:tc>
          <w:tcPr>
            <w:tcW w:w="1200" w:type="dxa"/>
            <w:vMerge w:val="restart"/>
            <w:vAlign w:val="center"/>
          </w:tcPr>
          <w:p>
            <w:pPr>
              <w:jc w:val="center"/>
              <w:rPr>
                <w:sz w:val="21"/>
                <w:szCs w:val="21"/>
              </w:rPr>
            </w:pPr>
            <w:r>
              <w:rPr>
                <w:rFonts w:hint="eastAsia"/>
                <w:sz w:val="21"/>
                <w:szCs w:val="21"/>
              </w:rPr>
              <w:t>数据初始化</w:t>
            </w:r>
          </w:p>
        </w:tc>
        <w:tc>
          <w:tcPr>
            <w:tcW w:w="2909" w:type="dxa"/>
          </w:tcPr>
          <w:p>
            <w:pPr>
              <w:rPr>
                <w:color w:val="000000"/>
                <w:sz w:val="21"/>
                <w:szCs w:val="21"/>
              </w:rPr>
            </w:pPr>
            <w:r>
              <w:rPr>
                <w:rFonts w:hint="eastAsia"/>
                <w:sz w:val="21"/>
                <w:szCs w:val="21"/>
              </w:rPr>
              <w:t>农委数据接入</w:t>
            </w:r>
          </w:p>
        </w:tc>
        <w:tc>
          <w:tcPr>
            <w:tcW w:w="2988" w:type="dxa"/>
            <w:vAlign w:val="center"/>
          </w:tcPr>
          <w:p>
            <w:pPr>
              <w:rPr>
                <w:color w:val="000000"/>
                <w:sz w:val="21"/>
                <w:szCs w:val="21"/>
              </w:rPr>
            </w:pPr>
            <w:r>
              <w:rPr>
                <w:rFonts w:hint="eastAsia"/>
                <w:color w:val="000000"/>
                <w:sz w:val="21"/>
                <w:szCs w:val="21"/>
              </w:rPr>
              <w:t>从大数据中心获取，通过在线接口收取承包经营权原始数据。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sz w:val="21"/>
                <w:szCs w:val="21"/>
              </w:rPr>
            </w:pPr>
          </w:p>
        </w:tc>
        <w:tc>
          <w:tcPr>
            <w:tcW w:w="1200" w:type="dxa"/>
            <w:vMerge w:val="continue"/>
            <w:vAlign w:val="center"/>
          </w:tcPr>
          <w:p>
            <w:pPr>
              <w:jc w:val="center"/>
              <w:rPr>
                <w:sz w:val="21"/>
                <w:szCs w:val="21"/>
              </w:rPr>
            </w:pPr>
          </w:p>
        </w:tc>
        <w:tc>
          <w:tcPr>
            <w:tcW w:w="2909" w:type="dxa"/>
          </w:tcPr>
          <w:p>
            <w:pPr>
              <w:rPr>
                <w:color w:val="000000"/>
                <w:sz w:val="21"/>
                <w:szCs w:val="21"/>
              </w:rPr>
            </w:pPr>
            <w:r>
              <w:rPr>
                <w:rFonts w:hint="eastAsia"/>
                <w:sz w:val="21"/>
                <w:szCs w:val="21"/>
              </w:rPr>
              <w:t>数据格式标准化</w:t>
            </w:r>
          </w:p>
        </w:tc>
        <w:tc>
          <w:tcPr>
            <w:tcW w:w="2988" w:type="dxa"/>
            <w:vAlign w:val="center"/>
          </w:tcPr>
          <w:p>
            <w:pPr>
              <w:rPr>
                <w:color w:val="000000"/>
                <w:sz w:val="21"/>
                <w:szCs w:val="21"/>
              </w:rPr>
            </w:pPr>
            <w:r>
              <w:rPr>
                <w:rFonts w:hint="eastAsia"/>
                <w:color w:val="000000"/>
                <w:sz w:val="21"/>
                <w:szCs w:val="21"/>
              </w:rPr>
              <w:t>将农委提供的多来源数据（DWG、EDB）进行统一格式转换，形成GIS数据。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sz w:val="21"/>
                <w:szCs w:val="21"/>
              </w:rPr>
            </w:pPr>
          </w:p>
        </w:tc>
        <w:tc>
          <w:tcPr>
            <w:tcW w:w="1200" w:type="dxa"/>
            <w:vMerge w:val="continue"/>
            <w:vAlign w:val="center"/>
          </w:tcPr>
          <w:p>
            <w:pPr>
              <w:jc w:val="center"/>
              <w:rPr>
                <w:sz w:val="21"/>
                <w:szCs w:val="21"/>
              </w:rPr>
            </w:pPr>
          </w:p>
        </w:tc>
        <w:tc>
          <w:tcPr>
            <w:tcW w:w="2909" w:type="dxa"/>
          </w:tcPr>
          <w:p>
            <w:pPr>
              <w:rPr>
                <w:color w:val="000000"/>
                <w:sz w:val="21"/>
                <w:szCs w:val="21"/>
              </w:rPr>
            </w:pPr>
            <w:r>
              <w:rPr>
                <w:rFonts w:hint="eastAsia"/>
                <w:sz w:val="21"/>
                <w:szCs w:val="21"/>
              </w:rPr>
              <w:t>数据落图</w:t>
            </w:r>
          </w:p>
        </w:tc>
        <w:tc>
          <w:tcPr>
            <w:tcW w:w="2988" w:type="dxa"/>
            <w:vAlign w:val="center"/>
          </w:tcPr>
          <w:p>
            <w:pPr>
              <w:rPr>
                <w:color w:val="000000"/>
                <w:sz w:val="21"/>
                <w:szCs w:val="21"/>
              </w:rPr>
            </w:pPr>
            <w:r>
              <w:rPr>
                <w:rFonts w:hint="eastAsia"/>
                <w:color w:val="000000"/>
                <w:sz w:val="21"/>
                <w:szCs w:val="21"/>
              </w:rPr>
              <w:t>为保障后续承包经营权数据的正常使用，需要对收取的数据进行数据落图处理，将属性数据与矢量数据进行挂接，完成数据矢量化处理。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sz w:val="21"/>
                <w:szCs w:val="21"/>
              </w:rPr>
            </w:pPr>
          </w:p>
        </w:tc>
        <w:tc>
          <w:tcPr>
            <w:tcW w:w="1200" w:type="dxa"/>
            <w:vMerge w:val="continue"/>
            <w:vAlign w:val="center"/>
          </w:tcPr>
          <w:p>
            <w:pPr>
              <w:jc w:val="center"/>
              <w:rPr>
                <w:sz w:val="21"/>
                <w:szCs w:val="21"/>
              </w:rPr>
            </w:pPr>
          </w:p>
        </w:tc>
        <w:tc>
          <w:tcPr>
            <w:tcW w:w="2909" w:type="dxa"/>
          </w:tcPr>
          <w:p>
            <w:pPr>
              <w:rPr>
                <w:color w:val="000000"/>
                <w:sz w:val="21"/>
                <w:szCs w:val="21"/>
              </w:rPr>
            </w:pPr>
            <w:r>
              <w:rPr>
                <w:rFonts w:hint="eastAsia"/>
                <w:sz w:val="21"/>
                <w:szCs w:val="21"/>
              </w:rPr>
              <w:t>不动产单元编码编制</w:t>
            </w:r>
          </w:p>
        </w:tc>
        <w:tc>
          <w:tcPr>
            <w:tcW w:w="2988" w:type="dxa"/>
            <w:vAlign w:val="center"/>
          </w:tcPr>
          <w:p>
            <w:pPr>
              <w:rPr>
                <w:color w:val="000000"/>
                <w:sz w:val="21"/>
                <w:szCs w:val="21"/>
              </w:rPr>
            </w:pPr>
            <w:r>
              <w:rPr>
                <w:rFonts w:hint="eastAsia"/>
                <w:color w:val="000000"/>
                <w:sz w:val="21"/>
                <w:szCs w:val="21"/>
              </w:rPr>
              <w:t>照编码规则对落图数据进行统一编码，形成不动产单元编码。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sz w:val="21"/>
                <w:szCs w:val="21"/>
              </w:rPr>
            </w:pPr>
          </w:p>
        </w:tc>
        <w:tc>
          <w:tcPr>
            <w:tcW w:w="1200" w:type="dxa"/>
            <w:vMerge w:val="restart"/>
            <w:vAlign w:val="center"/>
          </w:tcPr>
          <w:p>
            <w:pPr>
              <w:jc w:val="center"/>
              <w:rPr>
                <w:sz w:val="21"/>
                <w:szCs w:val="21"/>
              </w:rPr>
            </w:pPr>
            <w:r>
              <w:rPr>
                <w:rFonts w:hint="eastAsia"/>
                <w:sz w:val="21"/>
                <w:szCs w:val="21"/>
              </w:rPr>
              <w:t>业务管理</w:t>
            </w:r>
          </w:p>
        </w:tc>
        <w:tc>
          <w:tcPr>
            <w:tcW w:w="2909" w:type="dxa"/>
          </w:tcPr>
          <w:p>
            <w:pPr>
              <w:rPr>
                <w:color w:val="000000"/>
                <w:sz w:val="21"/>
                <w:szCs w:val="21"/>
              </w:rPr>
            </w:pPr>
            <w:r>
              <w:rPr>
                <w:rFonts w:hint="eastAsia"/>
                <w:sz w:val="21"/>
                <w:szCs w:val="21"/>
              </w:rPr>
              <w:t>数据查询管理</w:t>
            </w:r>
          </w:p>
        </w:tc>
        <w:tc>
          <w:tcPr>
            <w:tcW w:w="2988" w:type="dxa"/>
            <w:vAlign w:val="center"/>
          </w:tcPr>
          <w:p>
            <w:pPr>
              <w:rPr>
                <w:color w:val="000000"/>
                <w:sz w:val="21"/>
                <w:szCs w:val="21"/>
              </w:rPr>
            </w:pPr>
            <w:r>
              <w:rPr>
                <w:rFonts w:hint="eastAsia"/>
                <w:color w:val="000000"/>
                <w:sz w:val="21"/>
                <w:szCs w:val="21"/>
              </w:rPr>
              <w:t>提供一个友好的数据查询界面，方便用户对承包经营权数据进行查询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sz w:val="21"/>
                <w:szCs w:val="21"/>
              </w:rPr>
            </w:pPr>
          </w:p>
        </w:tc>
        <w:tc>
          <w:tcPr>
            <w:tcW w:w="1200" w:type="dxa"/>
            <w:vMerge w:val="continue"/>
            <w:vAlign w:val="center"/>
          </w:tcPr>
          <w:p>
            <w:pPr>
              <w:jc w:val="center"/>
              <w:rPr>
                <w:sz w:val="21"/>
                <w:szCs w:val="21"/>
              </w:rPr>
            </w:pPr>
          </w:p>
        </w:tc>
        <w:tc>
          <w:tcPr>
            <w:tcW w:w="2909" w:type="dxa"/>
          </w:tcPr>
          <w:p>
            <w:pPr>
              <w:rPr>
                <w:color w:val="000000"/>
                <w:sz w:val="21"/>
                <w:szCs w:val="21"/>
              </w:rPr>
            </w:pPr>
            <w:r>
              <w:rPr>
                <w:rFonts w:hint="eastAsia"/>
                <w:sz w:val="21"/>
                <w:szCs w:val="21"/>
              </w:rPr>
              <w:t>数据更新管理</w:t>
            </w:r>
          </w:p>
        </w:tc>
        <w:tc>
          <w:tcPr>
            <w:tcW w:w="2988" w:type="dxa"/>
            <w:vAlign w:val="center"/>
          </w:tcPr>
          <w:p>
            <w:pPr>
              <w:rPr>
                <w:color w:val="000000"/>
                <w:sz w:val="21"/>
                <w:szCs w:val="21"/>
              </w:rPr>
            </w:pPr>
            <w:r>
              <w:rPr>
                <w:rFonts w:hint="eastAsia"/>
                <w:color w:val="000000"/>
                <w:sz w:val="21"/>
                <w:szCs w:val="21"/>
              </w:rPr>
              <w:t>提供已入库信息的编辑处理功能，包括增加、修改及保存等。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sz w:val="21"/>
                <w:szCs w:val="21"/>
              </w:rPr>
            </w:pPr>
          </w:p>
        </w:tc>
        <w:tc>
          <w:tcPr>
            <w:tcW w:w="1200" w:type="dxa"/>
            <w:vMerge w:val="continue"/>
            <w:vAlign w:val="center"/>
          </w:tcPr>
          <w:p>
            <w:pPr>
              <w:jc w:val="center"/>
              <w:rPr>
                <w:sz w:val="21"/>
                <w:szCs w:val="21"/>
              </w:rPr>
            </w:pPr>
          </w:p>
        </w:tc>
        <w:tc>
          <w:tcPr>
            <w:tcW w:w="2909" w:type="dxa"/>
          </w:tcPr>
          <w:p>
            <w:pPr>
              <w:rPr>
                <w:color w:val="000000"/>
                <w:sz w:val="21"/>
                <w:szCs w:val="21"/>
              </w:rPr>
            </w:pPr>
            <w:r>
              <w:rPr>
                <w:rFonts w:hint="eastAsia"/>
                <w:sz w:val="21"/>
                <w:szCs w:val="21"/>
              </w:rPr>
              <w:t>档案资料管理</w:t>
            </w:r>
          </w:p>
        </w:tc>
        <w:tc>
          <w:tcPr>
            <w:tcW w:w="2988" w:type="dxa"/>
            <w:vAlign w:val="center"/>
          </w:tcPr>
          <w:p>
            <w:pPr>
              <w:rPr>
                <w:color w:val="000000"/>
                <w:sz w:val="21"/>
                <w:szCs w:val="21"/>
              </w:rPr>
            </w:pPr>
            <w:r>
              <w:rPr>
                <w:rFonts w:hint="eastAsia"/>
                <w:color w:val="000000"/>
                <w:sz w:val="21"/>
                <w:szCs w:val="21"/>
              </w:rPr>
              <w:t>对农村土地承包经营权调查的各类数据进行归档，形成资源树。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sz w:val="21"/>
                <w:szCs w:val="21"/>
              </w:rPr>
            </w:pPr>
          </w:p>
        </w:tc>
        <w:tc>
          <w:tcPr>
            <w:tcW w:w="1200" w:type="dxa"/>
            <w:vMerge w:val="restart"/>
            <w:vAlign w:val="center"/>
          </w:tcPr>
          <w:p>
            <w:pPr>
              <w:jc w:val="center"/>
              <w:rPr>
                <w:sz w:val="21"/>
                <w:szCs w:val="21"/>
              </w:rPr>
            </w:pPr>
            <w:r>
              <w:rPr>
                <w:rFonts w:hint="eastAsia"/>
                <w:sz w:val="21"/>
                <w:szCs w:val="21"/>
              </w:rPr>
              <w:t>数据统计与展示</w:t>
            </w:r>
          </w:p>
        </w:tc>
        <w:tc>
          <w:tcPr>
            <w:tcW w:w="2909" w:type="dxa"/>
          </w:tcPr>
          <w:p>
            <w:pPr>
              <w:rPr>
                <w:color w:val="000000"/>
                <w:sz w:val="21"/>
                <w:szCs w:val="21"/>
              </w:rPr>
            </w:pPr>
            <w:r>
              <w:rPr>
                <w:rFonts w:hint="eastAsia"/>
                <w:sz w:val="21"/>
                <w:szCs w:val="21"/>
              </w:rPr>
              <w:t>专题统计</w:t>
            </w:r>
          </w:p>
        </w:tc>
        <w:tc>
          <w:tcPr>
            <w:tcW w:w="2988" w:type="dxa"/>
            <w:vAlign w:val="center"/>
          </w:tcPr>
          <w:p>
            <w:pPr>
              <w:rPr>
                <w:color w:val="000000"/>
                <w:sz w:val="21"/>
                <w:szCs w:val="21"/>
              </w:rPr>
            </w:pPr>
            <w:r>
              <w:rPr>
                <w:rFonts w:hint="eastAsia"/>
                <w:color w:val="000000"/>
                <w:sz w:val="21"/>
                <w:szCs w:val="21"/>
              </w:rPr>
              <w:t>按区域、权属类型等不同分类条件，对承包经营权数据进行分类汇。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sz w:val="21"/>
                <w:szCs w:val="21"/>
              </w:rPr>
            </w:pPr>
          </w:p>
        </w:tc>
        <w:tc>
          <w:tcPr>
            <w:tcW w:w="1200" w:type="dxa"/>
            <w:vMerge w:val="continue"/>
            <w:vAlign w:val="center"/>
          </w:tcPr>
          <w:p>
            <w:pPr>
              <w:jc w:val="center"/>
              <w:rPr>
                <w:sz w:val="21"/>
                <w:szCs w:val="21"/>
              </w:rPr>
            </w:pPr>
          </w:p>
        </w:tc>
        <w:tc>
          <w:tcPr>
            <w:tcW w:w="2909" w:type="dxa"/>
          </w:tcPr>
          <w:p>
            <w:pPr>
              <w:rPr>
                <w:color w:val="000000"/>
                <w:sz w:val="21"/>
                <w:szCs w:val="21"/>
              </w:rPr>
            </w:pPr>
            <w:r>
              <w:rPr>
                <w:rFonts w:hint="eastAsia"/>
                <w:sz w:val="21"/>
                <w:szCs w:val="21"/>
              </w:rPr>
              <w:t>空间可视化展示及分析</w:t>
            </w:r>
          </w:p>
        </w:tc>
        <w:tc>
          <w:tcPr>
            <w:tcW w:w="2988" w:type="dxa"/>
            <w:vAlign w:val="center"/>
          </w:tcPr>
          <w:p>
            <w:pPr>
              <w:rPr>
                <w:color w:val="000000"/>
                <w:sz w:val="21"/>
                <w:szCs w:val="21"/>
              </w:rPr>
            </w:pPr>
            <w:r>
              <w:rPr>
                <w:rFonts w:hint="eastAsia"/>
                <w:color w:val="000000"/>
                <w:sz w:val="21"/>
                <w:szCs w:val="21"/>
              </w:rPr>
              <w:t>利用空间GIS等技术手段，将详细展示承包经营权在各地的分布情况、冲突情况等内容。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sz w:val="21"/>
                <w:szCs w:val="21"/>
              </w:rPr>
            </w:pPr>
          </w:p>
        </w:tc>
        <w:tc>
          <w:tcPr>
            <w:tcW w:w="1200" w:type="dxa"/>
            <w:vMerge w:val="continue"/>
            <w:vAlign w:val="center"/>
          </w:tcPr>
          <w:p>
            <w:pPr>
              <w:jc w:val="center"/>
              <w:rPr>
                <w:sz w:val="21"/>
                <w:szCs w:val="21"/>
              </w:rPr>
            </w:pPr>
          </w:p>
        </w:tc>
        <w:tc>
          <w:tcPr>
            <w:tcW w:w="2909" w:type="dxa"/>
          </w:tcPr>
          <w:p>
            <w:pPr>
              <w:rPr>
                <w:color w:val="000000"/>
                <w:sz w:val="21"/>
                <w:szCs w:val="21"/>
              </w:rPr>
            </w:pPr>
            <w:r>
              <w:rPr>
                <w:rFonts w:hint="eastAsia"/>
                <w:sz w:val="21"/>
                <w:szCs w:val="21"/>
              </w:rPr>
              <w:t>自定义统计</w:t>
            </w:r>
          </w:p>
        </w:tc>
        <w:tc>
          <w:tcPr>
            <w:tcW w:w="2988" w:type="dxa"/>
            <w:vAlign w:val="center"/>
          </w:tcPr>
          <w:p>
            <w:pPr>
              <w:rPr>
                <w:color w:val="000000"/>
                <w:sz w:val="21"/>
                <w:szCs w:val="21"/>
              </w:rPr>
            </w:pPr>
            <w:r>
              <w:rPr>
                <w:rFonts w:hint="eastAsia"/>
                <w:color w:val="000000"/>
                <w:sz w:val="21"/>
                <w:szCs w:val="21"/>
              </w:rPr>
              <w:t>提供自定义空间、属性查询功能，便于用户更好地掌握承包经营权空间上分布情况、属性信息等内容，为后续的规划和决策提供有力依据。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6" w:hRule="atLeast"/>
        </w:trPr>
        <w:tc>
          <w:tcPr>
            <w:tcW w:w="1199" w:type="dxa"/>
            <w:vMerge w:val="restart"/>
            <w:vAlign w:val="center"/>
          </w:tcPr>
          <w:p>
            <w:pPr>
              <w:jc w:val="center"/>
              <w:rPr>
                <w:color w:val="000000"/>
                <w:sz w:val="21"/>
                <w:szCs w:val="21"/>
              </w:rPr>
            </w:pPr>
            <w:r>
              <w:rPr>
                <w:rFonts w:hint="eastAsia"/>
                <w:color w:val="000000"/>
                <w:sz w:val="21"/>
                <w:szCs w:val="21"/>
              </w:rPr>
              <w:t>宅基地及其地上房屋调查</w:t>
            </w:r>
          </w:p>
        </w:tc>
        <w:tc>
          <w:tcPr>
            <w:tcW w:w="1200" w:type="dxa"/>
            <w:vMerge w:val="restart"/>
            <w:vAlign w:val="center"/>
          </w:tcPr>
          <w:p>
            <w:pPr>
              <w:jc w:val="center"/>
              <w:rPr>
                <w:color w:val="000000"/>
                <w:sz w:val="21"/>
                <w:szCs w:val="21"/>
              </w:rPr>
            </w:pPr>
            <w:r>
              <w:rPr>
                <w:rFonts w:hint="eastAsia"/>
                <w:color w:val="000000"/>
                <w:sz w:val="21"/>
                <w:szCs w:val="21"/>
              </w:rPr>
              <w:t>办理流程设置</w:t>
            </w:r>
          </w:p>
        </w:tc>
        <w:tc>
          <w:tcPr>
            <w:tcW w:w="2909" w:type="dxa"/>
            <w:vAlign w:val="center"/>
          </w:tcPr>
          <w:p>
            <w:pPr>
              <w:rPr>
                <w:color w:val="000000"/>
                <w:sz w:val="21"/>
                <w:szCs w:val="21"/>
              </w:rPr>
            </w:pPr>
            <w:r>
              <w:rPr>
                <w:rFonts w:hint="eastAsia"/>
                <w:color w:val="000000"/>
                <w:sz w:val="21"/>
                <w:szCs w:val="21"/>
              </w:rPr>
              <w:t>业务受理</w:t>
            </w:r>
          </w:p>
        </w:tc>
        <w:tc>
          <w:tcPr>
            <w:tcW w:w="2988" w:type="dxa"/>
            <w:vAlign w:val="center"/>
          </w:tcPr>
          <w:p>
            <w:pPr>
              <w:rPr>
                <w:color w:val="000000"/>
                <w:sz w:val="21"/>
                <w:szCs w:val="21"/>
              </w:rPr>
            </w:pPr>
            <w:r>
              <w:rPr>
                <w:rFonts w:hint="eastAsia"/>
                <w:color w:val="000000"/>
                <w:sz w:val="21"/>
                <w:szCs w:val="21"/>
              </w:rPr>
              <w:t>调查任务创建，工作人员在系统中录入宅基地及其上房屋调查任务的基础信息，系统会根据这些信息自动生成调查任务。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调查及上传数据校验</w:t>
            </w:r>
          </w:p>
        </w:tc>
        <w:tc>
          <w:tcPr>
            <w:tcW w:w="2988" w:type="dxa"/>
            <w:vAlign w:val="center"/>
          </w:tcPr>
          <w:p>
            <w:pPr>
              <w:rPr>
                <w:color w:val="000000"/>
                <w:sz w:val="21"/>
                <w:szCs w:val="21"/>
              </w:rPr>
            </w:pPr>
            <w:r>
              <w:rPr>
                <w:rFonts w:hint="eastAsia"/>
                <w:color w:val="000000"/>
                <w:sz w:val="21"/>
                <w:szCs w:val="21"/>
              </w:rPr>
              <w:t>实现基础数据下载，调查数据上传及数据检查，并反馈数据检查反馈，用户可以根据质检报告对数据包进行修正和完善。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业务审核及公示</w:t>
            </w:r>
          </w:p>
        </w:tc>
        <w:tc>
          <w:tcPr>
            <w:tcW w:w="2988" w:type="dxa"/>
            <w:vAlign w:val="center"/>
          </w:tcPr>
          <w:p>
            <w:pPr>
              <w:rPr>
                <w:color w:val="000000"/>
                <w:sz w:val="21"/>
                <w:szCs w:val="21"/>
              </w:rPr>
            </w:pPr>
            <w:r>
              <w:rPr>
                <w:rFonts w:hint="eastAsia"/>
                <w:color w:val="000000"/>
                <w:sz w:val="21"/>
                <w:szCs w:val="21"/>
              </w:rPr>
              <w:t>支持调查审核、街镇复核及公示信息管理。实现审核人员对调查结果图形、属性检查，并且在检查完成后对成果数据进行公示。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地籍变更信息管理</w:t>
            </w:r>
          </w:p>
        </w:tc>
        <w:tc>
          <w:tcPr>
            <w:tcW w:w="2988" w:type="dxa"/>
            <w:vAlign w:val="center"/>
          </w:tcPr>
          <w:p>
            <w:pPr>
              <w:rPr>
                <w:color w:val="000000"/>
                <w:sz w:val="21"/>
                <w:szCs w:val="21"/>
              </w:rPr>
            </w:pPr>
            <w:r>
              <w:rPr>
                <w:rFonts w:hint="eastAsia"/>
                <w:color w:val="000000"/>
                <w:sz w:val="21"/>
                <w:szCs w:val="21"/>
              </w:rPr>
              <w:t>用户可以方便地查看任务的变更状态、变更详细数据及地图等信息。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宅基地电子件袋</w:t>
            </w:r>
          </w:p>
        </w:tc>
        <w:tc>
          <w:tcPr>
            <w:tcW w:w="2988" w:type="dxa"/>
            <w:vAlign w:val="center"/>
          </w:tcPr>
          <w:p>
            <w:pPr>
              <w:rPr>
                <w:color w:val="000000"/>
                <w:sz w:val="21"/>
                <w:szCs w:val="21"/>
              </w:rPr>
            </w:pPr>
            <w:r>
              <w:rPr>
                <w:rFonts w:hint="eastAsia"/>
                <w:sz w:val="21"/>
                <w:szCs w:val="21"/>
              </w:rPr>
              <w:t>宅基地展示的电子件袋的开发功能旨在为用户提供一个便捷的电子文件管理平台，用户可以上传、下载、查看和管理与宅基地相关的各类文件，如调查报告、产权证明等。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非正常结案管理</w:t>
            </w:r>
          </w:p>
        </w:tc>
        <w:tc>
          <w:tcPr>
            <w:tcW w:w="2988" w:type="dxa"/>
            <w:vAlign w:val="center"/>
          </w:tcPr>
          <w:p>
            <w:pPr>
              <w:rPr>
                <w:color w:val="000000"/>
                <w:sz w:val="21"/>
                <w:szCs w:val="21"/>
              </w:rPr>
            </w:pPr>
            <w:r>
              <w:rPr>
                <w:rFonts w:hint="eastAsia"/>
                <w:sz w:val="21"/>
                <w:szCs w:val="21"/>
              </w:rPr>
              <w:t>非正常结案旨在为需要暂时暂停调查以及创建信息有误的任务提供任务中止功能，原任务中止后允许重复创建，进行后续调查。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系统角色权限管理</w:t>
            </w:r>
          </w:p>
        </w:tc>
        <w:tc>
          <w:tcPr>
            <w:tcW w:w="2988" w:type="dxa"/>
            <w:vAlign w:val="center"/>
          </w:tcPr>
          <w:p>
            <w:pPr>
              <w:rPr>
                <w:color w:val="000000"/>
                <w:sz w:val="21"/>
                <w:szCs w:val="21"/>
              </w:rPr>
            </w:pPr>
            <w:r>
              <w:rPr>
                <w:rFonts w:hint="eastAsia"/>
                <w:color w:val="000000"/>
                <w:sz w:val="21"/>
                <w:szCs w:val="21"/>
              </w:rPr>
              <w:t>角色权限配置功能旨在为系统提供灵活的角色和权限管理能力，管理员可以根据实际需求自定义角色及其相应的权限等。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补楼盘任务创建</w:t>
            </w:r>
          </w:p>
        </w:tc>
        <w:tc>
          <w:tcPr>
            <w:tcW w:w="2988" w:type="dxa"/>
            <w:vAlign w:val="center"/>
          </w:tcPr>
          <w:p>
            <w:pPr>
              <w:rPr>
                <w:color w:val="000000"/>
                <w:sz w:val="21"/>
                <w:szCs w:val="21"/>
              </w:rPr>
            </w:pPr>
            <w:r>
              <w:rPr>
                <w:rFonts w:hint="eastAsia"/>
                <w:color w:val="000000"/>
                <w:sz w:val="21"/>
                <w:szCs w:val="21"/>
              </w:rPr>
              <w:t>补楼盘任务创建功能旨在为无法及时调查的宅基地及其上房屋任务提供补楼盘的功能，可以选择需要补充调查的主任务，便于后续调查、变更和登记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补楼盘任务数据入库</w:t>
            </w:r>
          </w:p>
        </w:tc>
        <w:tc>
          <w:tcPr>
            <w:tcW w:w="2988" w:type="dxa"/>
            <w:vAlign w:val="center"/>
          </w:tcPr>
          <w:p>
            <w:pPr>
              <w:rPr>
                <w:color w:val="000000"/>
                <w:sz w:val="21"/>
                <w:szCs w:val="21"/>
              </w:rPr>
            </w:pPr>
            <w:r>
              <w:rPr>
                <w:rFonts w:hint="eastAsia"/>
                <w:sz w:val="21"/>
                <w:szCs w:val="21"/>
              </w:rPr>
              <w:t>支持补楼盘类调查任务的数据上传、数据检查等。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宅基地调查换证任务数据入库</w:t>
            </w:r>
          </w:p>
        </w:tc>
        <w:tc>
          <w:tcPr>
            <w:tcW w:w="2988" w:type="dxa"/>
            <w:vAlign w:val="center"/>
          </w:tcPr>
          <w:p>
            <w:pPr>
              <w:rPr>
                <w:color w:val="000000"/>
                <w:sz w:val="21"/>
                <w:szCs w:val="21"/>
              </w:rPr>
            </w:pPr>
            <w:r>
              <w:rPr>
                <w:rFonts w:hint="eastAsia"/>
                <w:sz w:val="21"/>
                <w:szCs w:val="21"/>
              </w:rPr>
              <w:t>结合换证业务的特点，实现宅基地调查换证任务数据快速入库。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restart"/>
            <w:vAlign w:val="center"/>
          </w:tcPr>
          <w:p>
            <w:pPr>
              <w:jc w:val="center"/>
              <w:rPr>
                <w:color w:val="000000"/>
                <w:sz w:val="21"/>
                <w:szCs w:val="21"/>
              </w:rPr>
            </w:pPr>
            <w:r>
              <w:rPr>
                <w:rFonts w:hint="eastAsia"/>
                <w:color w:val="000000"/>
                <w:sz w:val="21"/>
                <w:szCs w:val="21"/>
              </w:rPr>
              <w:t>宅基地及其地上房屋调查数据管理</w:t>
            </w:r>
          </w:p>
        </w:tc>
        <w:tc>
          <w:tcPr>
            <w:tcW w:w="2909" w:type="dxa"/>
            <w:vAlign w:val="center"/>
          </w:tcPr>
          <w:p>
            <w:pPr>
              <w:rPr>
                <w:color w:val="000000"/>
                <w:sz w:val="21"/>
                <w:szCs w:val="21"/>
              </w:rPr>
            </w:pPr>
            <w:r>
              <w:rPr>
                <w:rFonts w:hint="eastAsia"/>
                <w:color w:val="000000"/>
                <w:sz w:val="21"/>
                <w:szCs w:val="21"/>
              </w:rPr>
              <w:t>宅基地调查矢量数据入库</w:t>
            </w:r>
          </w:p>
        </w:tc>
        <w:tc>
          <w:tcPr>
            <w:tcW w:w="2988" w:type="dxa"/>
            <w:vAlign w:val="center"/>
          </w:tcPr>
          <w:p>
            <w:pPr>
              <w:rPr>
                <w:color w:val="000000"/>
                <w:sz w:val="21"/>
                <w:szCs w:val="21"/>
              </w:rPr>
            </w:pPr>
            <w:r>
              <w:rPr>
                <w:rFonts w:hint="eastAsia"/>
                <w:sz w:val="21"/>
                <w:szCs w:val="21"/>
              </w:rPr>
              <w:t>宅基地调查矢量数据入库功能旨在将宅基地调查过程中产生的矢量数据（如地形、地物、权属等信息）导入到系统数据库中，该功能支持多种数据格式的导入，并对数据进行有效性检查。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宅基地调查档案信息挂接</w:t>
            </w:r>
          </w:p>
        </w:tc>
        <w:tc>
          <w:tcPr>
            <w:tcW w:w="2988" w:type="dxa"/>
            <w:vAlign w:val="center"/>
          </w:tcPr>
          <w:p>
            <w:pPr>
              <w:rPr>
                <w:color w:val="000000"/>
                <w:sz w:val="21"/>
                <w:szCs w:val="21"/>
              </w:rPr>
            </w:pPr>
            <w:r>
              <w:rPr>
                <w:rFonts w:hint="eastAsia"/>
                <w:sz w:val="21"/>
                <w:szCs w:val="21"/>
              </w:rPr>
              <w:t>宅基地调查档案信息挂接功能旨在将调查过程中产生的各类文档、图片等非结构化数据与相应的宅基地信息进行关联，用户可以通过宅基地信息查看和下载相关档案资料。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调查数据属性检查</w:t>
            </w:r>
          </w:p>
        </w:tc>
        <w:tc>
          <w:tcPr>
            <w:tcW w:w="2988" w:type="dxa"/>
            <w:vAlign w:val="center"/>
          </w:tcPr>
          <w:p>
            <w:pPr>
              <w:rPr>
                <w:color w:val="000000"/>
                <w:sz w:val="21"/>
                <w:szCs w:val="21"/>
              </w:rPr>
            </w:pPr>
            <w:r>
              <w:rPr>
                <w:rFonts w:hint="eastAsia"/>
                <w:sz w:val="21"/>
                <w:szCs w:val="21"/>
              </w:rPr>
              <w:t>调查数据属性检查功能旨在对宅基地调查数据的属性信息进行检查，包括数据完整性、格式正确性等。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调查数据拓扑检查</w:t>
            </w:r>
          </w:p>
        </w:tc>
        <w:tc>
          <w:tcPr>
            <w:tcW w:w="2988" w:type="dxa"/>
            <w:vAlign w:val="center"/>
          </w:tcPr>
          <w:p>
            <w:pPr>
              <w:rPr>
                <w:color w:val="000000"/>
                <w:sz w:val="21"/>
                <w:szCs w:val="21"/>
              </w:rPr>
            </w:pPr>
            <w:r>
              <w:rPr>
                <w:rFonts w:hint="eastAsia"/>
                <w:color w:val="000000"/>
                <w:sz w:val="21"/>
                <w:szCs w:val="21"/>
              </w:rPr>
              <w:t>检查调查数据与基础数据的空间拓扑关系，避免拓扑错误等。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调查数据图形检查</w:t>
            </w:r>
          </w:p>
        </w:tc>
        <w:tc>
          <w:tcPr>
            <w:tcW w:w="2988" w:type="dxa"/>
            <w:vAlign w:val="center"/>
          </w:tcPr>
          <w:p>
            <w:pPr>
              <w:rPr>
                <w:color w:val="000000"/>
                <w:sz w:val="21"/>
                <w:szCs w:val="21"/>
              </w:rPr>
            </w:pPr>
            <w:r>
              <w:rPr>
                <w:rFonts w:hint="eastAsia"/>
                <w:sz w:val="21"/>
                <w:szCs w:val="21"/>
              </w:rPr>
              <w:t>调查数据空间检查功能旨在对宅基地调查数据的图形信息进行检查。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restart"/>
            <w:vAlign w:val="center"/>
          </w:tcPr>
          <w:p>
            <w:pPr>
              <w:jc w:val="center"/>
              <w:rPr>
                <w:color w:val="000000"/>
                <w:sz w:val="21"/>
                <w:szCs w:val="21"/>
              </w:rPr>
            </w:pPr>
            <w:r>
              <w:rPr>
                <w:rFonts w:hint="eastAsia"/>
                <w:color w:val="000000"/>
                <w:sz w:val="21"/>
                <w:szCs w:val="21"/>
              </w:rPr>
              <w:t>调查数据转换</w:t>
            </w:r>
          </w:p>
        </w:tc>
        <w:tc>
          <w:tcPr>
            <w:tcW w:w="2909" w:type="dxa"/>
            <w:vAlign w:val="center"/>
          </w:tcPr>
          <w:p>
            <w:pPr>
              <w:rPr>
                <w:color w:val="000000"/>
                <w:sz w:val="21"/>
                <w:szCs w:val="21"/>
              </w:rPr>
            </w:pPr>
            <w:r>
              <w:rPr>
                <w:rFonts w:hint="eastAsia"/>
                <w:color w:val="000000"/>
                <w:sz w:val="21"/>
                <w:szCs w:val="21"/>
              </w:rPr>
              <w:t>楼盘表数据格式转换</w:t>
            </w:r>
          </w:p>
        </w:tc>
        <w:tc>
          <w:tcPr>
            <w:tcW w:w="2988" w:type="dxa"/>
            <w:vAlign w:val="center"/>
          </w:tcPr>
          <w:p>
            <w:pPr>
              <w:rPr>
                <w:color w:val="000000"/>
                <w:sz w:val="21"/>
                <w:szCs w:val="21"/>
              </w:rPr>
            </w:pPr>
            <w:r>
              <w:rPr>
                <w:rFonts w:hint="eastAsia"/>
                <w:sz w:val="21"/>
                <w:szCs w:val="21"/>
              </w:rPr>
              <w:t>楼盘表数据格式转换功能旨在将外部提供的楼盘表数据转换为系统支持的数据格式该功能应支持多种数据格式的转换，并对转换过程进行错误处理。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坐落、平面图、户信息等其他信息楼盘表挂接</w:t>
            </w:r>
          </w:p>
        </w:tc>
        <w:tc>
          <w:tcPr>
            <w:tcW w:w="2988" w:type="dxa"/>
            <w:vAlign w:val="center"/>
          </w:tcPr>
          <w:p>
            <w:pPr>
              <w:rPr>
                <w:color w:val="000000"/>
                <w:sz w:val="21"/>
                <w:szCs w:val="21"/>
              </w:rPr>
            </w:pPr>
            <w:r>
              <w:rPr>
                <w:rFonts w:hint="eastAsia"/>
                <w:sz w:val="21"/>
                <w:szCs w:val="21"/>
              </w:rPr>
              <w:t>坐落、平面图、户信息等其他信息楼盘表挂接功能旨在将与楼盘表相关的其他信息（如坐落、平面图、户信息等）与相应的楼盘表进行关联用户可以通过楼盘表查看和下载相关资料。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楼盘表数据规范性检查</w:t>
            </w:r>
          </w:p>
        </w:tc>
        <w:tc>
          <w:tcPr>
            <w:tcW w:w="2988" w:type="dxa"/>
            <w:vAlign w:val="center"/>
          </w:tcPr>
          <w:p>
            <w:pPr>
              <w:rPr>
                <w:sz w:val="21"/>
                <w:szCs w:val="21"/>
              </w:rPr>
            </w:pPr>
            <w:r>
              <w:rPr>
                <w:rFonts w:hint="eastAsia"/>
                <w:sz w:val="21"/>
                <w:szCs w:val="21"/>
              </w:rPr>
              <w:t>楼盘表数据规范性检查功能旨在对导入系统的楼盘表数据进行规范性检查，包括数据完整性、格式正确性等方面该功能应提供规范性检查规则的配置能力。</w:t>
            </w:r>
          </w:p>
          <w:p>
            <w:pP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restart"/>
            <w:vAlign w:val="center"/>
          </w:tcPr>
          <w:p>
            <w:pPr>
              <w:jc w:val="center"/>
              <w:rPr>
                <w:color w:val="000000"/>
                <w:sz w:val="21"/>
                <w:szCs w:val="21"/>
              </w:rPr>
            </w:pPr>
            <w:r>
              <w:rPr>
                <w:rFonts w:hint="eastAsia"/>
                <w:color w:val="000000"/>
                <w:sz w:val="21"/>
                <w:szCs w:val="21"/>
              </w:rPr>
              <w:t>公示信息管理</w:t>
            </w:r>
          </w:p>
        </w:tc>
        <w:tc>
          <w:tcPr>
            <w:tcW w:w="2909" w:type="dxa"/>
            <w:vAlign w:val="center"/>
          </w:tcPr>
          <w:p>
            <w:pPr>
              <w:rPr>
                <w:color w:val="000000"/>
                <w:sz w:val="21"/>
                <w:szCs w:val="21"/>
              </w:rPr>
            </w:pPr>
            <w:r>
              <w:rPr>
                <w:rFonts w:hint="eastAsia"/>
                <w:color w:val="000000"/>
                <w:sz w:val="21"/>
                <w:szCs w:val="21"/>
              </w:rPr>
              <w:t>公示信息管理</w:t>
            </w:r>
          </w:p>
        </w:tc>
        <w:tc>
          <w:tcPr>
            <w:tcW w:w="2988" w:type="dxa"/>
            <w:vAlign w:val="center"/>
          </w:tcPr>
          <w:p>
            <w:pPr>
              <w:rPr>
                <w:color w:val="000000"/>
                <w:sz w:val="21"/>
                <w:szCs w:val="21"/>
              </w:rPr>
            </w:pPr>
            <w:r>
              <w:rPr>
                <w:rFonts w:hint="eastAsia"/>
                <w:sz w:val="21"/>
                <w:szCs w:val="21"/>
              </w:rPr>
              <w:t>负责管理和维护公示信息，包括公示内容、公示时间、公示对象等，确保公示信息的准确性和及时性。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tcPr>
          <w:p>
            <w:pPr>
              <w:rPr>
                <w:color w:val="000000"/>
                <w:sz w:val="21"/>
                <w:szCs w:val="21"/>
              </w:rPr>
            </w:pPr>
          </w:p>
        </w:tc>
        <w:tc>
          <w:tcPr>
            <w:tcW w:w="2909" w:type="dxa"/>
            <w:vAlign w:val="center"/>
          </w:tcPr>
          <w:p>
            <w:pPr>
              <w:rPr>
                <w:color w:val="000000"/>
                <w:sz w:val="21"/>
                <w:szCs w:val="21"/>
              </w:rPr>
            </w:pPr>
            <w:r>
              <w:rPr>
                <w:rFonts w:hint="eastAsia"/>
                <w:color w:val="000000"/>
                <w:sz w:val="21"/>
                <w:szCs w:val="21"/>
              </w:rPr>
              <w:t>公示结果维护</w:t>
            </w:r>
          </w:p>
        </w:tc>
        <w:tc>
          <w:tcPr>
            <w:tcW w:w="2988" w:type="dxa"/>
            <w:vAlign w:val="center"/>
          </w:tcPr>
          <w:p>
            <w:pPr>
              <w:rPr>
                <w:color w:val="000000"/>
                <w:sz w:val="21"/>
                <w:szCs w:val="21"/>
              </w:rPr>
            </w:pPr>
            <w:r>
              <w:rPr>
                <w:rFonts w:hint="eastAsia"/>
                <w:sz w:val="21"/>
                <w:szCs w:val="21"/>
              </w:rPr>
              <w:t>公示结果维护功能旨在为公示无异议的任务提供修改公示结果的功能，可在系统中上传说明文件并修改公示结果，重新调查并上传数据。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tcPr>
          <w:p>
            <w:pPr>
              <w:rPr>
                <w:color w:val="000000"/>
                <w:sz w:val="21"/>
                <w:szCs w:val="21"/>
              </w:rPr>
            </w:pPr>
          </w:p>
        </w:tc>
        <w:tc>
          <w:tcPr>
            <w:tcW w:w="2909" w:type="dxa"/>
            <w:vAlign w:val="center"/>
          </w:tcPr>
          <w:p>
            <w:pPr>
              <w:rPr>
                <w:color w:val="000000"/>
                <w:sz w:val="21"/>
                <w:szCs w:val="21"/>
              </w:rPr>
            </w:pPr>
            <w:r>
              <w:rPr>
                <w:rFonts w:hint="eastAsia"/>
                <w:color w:val="000000"/>
                <w:sz w:val="21"/>
                <w:szCs w:val="21"/>
              </w:rPr>
              <w:t>公示成果表生成</w:t>
            </w:r>
          </w:p>
        </w:tc>
        <w:tc>
          <w:tcPr>
            <w:tcW w:w="2988" w:type="dxa"/>
            <w:vAlign w:val="center"/>
          </w:tcPr>
          <w:p>
            <w:pPr>
              <w:rPr>
                <w:color w:val="000000"/>
                <w:sz w:val="21"/>
                <w:szCs w:val="21"/>
              </w:rPr>
            </w:pPr>
            <w:r>
              <w:rPr>
                <w:rFonts w:hint="eastAsia"/>
                <w:sz w:val="21"/>
                <w:szCs w:val="21"/>
              </w:rPr>
              <w:t>根据公示信息生成公示成果表，包括公示结果、公示意见收集情况等，为后续工作提供依据。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restart"/>
            <w:vAlign w:val="center"/>
          </w:tcPr>
          <w:p>
            <w:pPr>
              <w:jc w:val="center"/>
              <w:rPr>
                <w:color w:val="000000"/>
                <w:sz w:val="21"/>
                <w:szCs w:val="21"/>
              </w:rPr>
            </w:pPr>
            <w:r>
              <w:rPr>
                <w:rFonts w:hint="eastAsia"/>
                <w:color w:val="000000"/>
                <w:sz w:val="21"/>
                <w:szCs w:val="21"/>
              </w:rPr>
              <w:t>宅基地调查调查表及报告生成</w:t>
            </w:r>
          </w:p>
        </w:tc>
        <w:tc>
          <w:tcPr>
            <w:tcW w:w="2909" w:type="dxa"/>
            <w:vAlign w:val="center"/>
          </w:tcPr>
          <w:p>
            <w:pPr>
              <w:rPr>
                <w:color w:val="000000"/>
                <w:sz w:val="21"/>
                <w:szCs w:val="21"/>
              </w:rPr>
            </w:pPr>
            <w:r>
              <w:rPr>
                <w:rFonts w:hint="eastAsia"/>
                <w:color w:val="000000"/>
                <w:sz w:val="21"/>
                <w:szCs w:val="21"/>
              </w:rPr>
              <w:t>不动产地籍调查表生成</w:t>
            </w:r>
          </w:p>
        </w:tc>
        <w:tc>
          <w:tcPr>
            <w:tcW w:w="2988" w:type="dxa"/>
            <w:vAlign w:val="center"/>
          </w:tcPr>
          <w:p>
            <w:pPr>
              <w:rPr>
                <w:color w:val="000000"/>
                <w:sz w:val="21"/>
                <w:szCs w:val="21"/>
              </w:rPr>
            </w:pPr>
            <w:r>
              <w:rPr>
                <w:rFonts w:hint="eastAsia"/>
                <w:sz w:val="21"/>
                <w:szCs w:val="21"/>
              </w:rPr>
              <w:t>根据地籍调查数据生成不动产地籍调查表，包括土地权属、土地位置、土地面积等信息，为不动产权登记提供依据。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tcPr>
          <w:p>
            <w:pPr>
              <w:rPr>
                <w:color w:val="000000"/>
                <w:sz w:val="21"/>
                <w:szCs w:val="21"/>
              </w:rPr>
            </w:pPr>
          </w:p>
        </w:tc>
        <w:tc>
          <w:tcPr>
            <w:tcW w:w="2909" w:type="dxa"/>
            <w:vAlign w:val="center"/>
          </w:tcPr>
          <w:p>
            <w:pPr>
              <w:rPr>
                <w:color w:val="000000"/>
                <w:sz w:val="21"/>
                <w:szCs w:val="21"/>
              </w:rPr>
            </w:pPr>
            <w:r>
              <w:rPr>
                <w:rFonts w:hint="eastAsia"/>
                <w:color w:val="000000"/>
                <w:sz w:val="21"/>
                <w:szCs w:val="21"/>
              </w:rPr>
              <w:t>宅基地调查成果报告生成</w:t>
            </w:r>
          </w:p>
        </w:tc>
        <w:tc>
          <w:tcPr>
            <w:tcW w:w="2988" w:type="dxa"/>
            <w:vAlign w:val="center"/>
          </w:tcPr>
          <w:p>
            <w:pPr>
              <w:rPr>
                <w:color w:val="000000"/>
                <w:sz w:val="21"/>
                <w:szCs w:val="21"/>
              </w:rPr>
            </w:pPr>
            <w:r>
              <w:rPr>
                <w:rFonts w:hint="eastAsia"/>
                <w:color w:val="000000"/>
                <w:sz w:val="21"/>
                <w:szCs w:val="21"/>
              </w:rPr>
              <w:t>公示无异议后，可以生成并下载调查成果报告，报告生成成功后可在任务材料中的材料树中进行查看。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restart"/>
            <w:vAlign w:val="center"/>
          </w:tcPr>
          <w:p>
            <w:pPr>
              <w:jc w:val="center"/>
              <w:rPr>
                <w:color w:val="000000"/>
                <w:sz w:val="21"/>
                <w:szCs w:val="21"/>
              </w:rPr>
            </w:pPr>
            <w:r>
              <w:rPr>
                <w:rFonts w:hint="eastAsia"/>
                <w:color w:val="000000"/>
                <w:sz w:val="21"/>
                <w:szCs w:val="21"/>
              </w:rPr>
              <w:t>宅基地及其地上房屋调查业务管理</w:t>
            </w:r>
          </w:p>
        </w:tc>
        <w:tc>
          <w:tcPr>
            <w:tcW w:w="2909" w:type="dxa"/>
            <w:vAlign w:val="center"/>
          </w:tcPr>
          <w:p>
            <w:pPr>
              <w:rPr>
                <w:color w:val="000000"/>
                <w:sz w:val="21"/>
                <w:szCs w:val="21"/>
              </w:rPr>
            </w:pPr>
            <w:r>
              <w:rPr>
                <w:rFonts w:hint="eastAsia"/>
                <w:color w:val="000000"/>
                <w:sz w:val="21"/>
                <w:szCs w:val="21"/>
              </w:rPr>
              <w:t>宅基地调查任务信息查询</w:t>
            </w:r>
          </w:p>
        </w:tc>
        <w:tc>
          <w:tcPr>
            <w:tcW w:w="2988" w:type="dxa"/>
            <w:vAlign w:val="center"/>
          </w:tcPr>
          <w:p>
            <w:pPr>
              <w:rPr>
                <w:color w:val="000000"/>
                <w:sz w:val="21"/>
                <w:szCs w:val="21"/>
              </w:rPr>
            </w:pPr>
            <w:r>
              <w:rPr>
                <w:rFonts w:hint="eastAsia"/>
                <w:color w:val="000000"/>
                <w:sz w:val="21"/>
                <w:szCs w:val="21"/>
              </w:rPr>
              <w:t>提供查询宅基地调查任务信息的功能，包括任务进度、任务分配情况等，便于项目管理人员了解任务执行情况。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宅基地调查任务统计</w:t>
            </w:r>
          </w:p>
        </w:tc>
        <w:tc>
          <w:tcPr>
            <w:tcW w:w="2988" w:type="dxa"/>
            <w:vAlign w:val="center"/>
          </w:tcPr>
          <w:p>
            <w:pPr>
              <w:rPr>
                <w:color w:val="000000"/>
                <w:sz w:val="21"/>
                <w:szCs w:val="21"/>
              </w:rPr>
            </w:pPr>
            <w:r>
              <w:rPr>
                <w:rFonts w:hint="eastAsia"/>
                <w:color w:val="000000"/>
                <w:sz w:val="21"/>
                <w:szCs w:val="21"/>
              </w:rPr>
              <w:t>提供全市宅基地调查任务统计功能，可分区、镇、村级对宅基地及其上房屋调查任务的数据进行分类统计，便于项目管理人员了解任务执行情况。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宅基地调查任务查询定位</w:t>
            </w:r>
          </w:p>
        </w:tc>
        <w:tc>
          <w:tcPr>
            <w:tcW w:w="2988" w:type="dxa"/>
            <w:vAlign w:val="center"/>
          </w:tcPr>
          <w:p>
            <w:pPr>
              <w:rPr>
                <w:color w:val="000000"/>
                <w:sz w:val="21"/>
                <w:szCs w:val="21"/>
              </w:rPr>
            </w:pPr>
            <w:r>
              <w:rPr>
                <w:rFonts w:hint="eastAsia"/>
                <w:color w:val="000000"/>
                <w:sz w:val="21"/>
                <w:szCs w:val="21"/>
              </w:rPr>
              <w:t>提供查询宅基地调查任务具体位置的功能，通过地图定位等方式，方便调查人员找到任务现场。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vAlign w:val="center"/>
          </w:tcPr>
          <w:p>
            <w:pPr>
              <w:jc w:val="center"/>
              <w:rPr>
                <w:color w:val="000000"/>
                <w:sz w:val="21"/>
                <w:szCs w:val="21"/>
              </w:rPr>
            </w:pPr>
          </w:p>
        </w:tc>
        <w:tc>
          <w:tcPr>
            <w:tcW w:w="2909" w:type="dxa"/>
            <w:vAlign w:val="center"/>
          </w:tcPr>
          <w:p>
            <w:pPr>
              <w:rPr>
                <w:color w:val="000000"/>
                <w:sz w:val="21"/>
                <w:szCs w:val="21"/>
              </w:rPr>
            </w:pPr>
            <w:r>
              <w:rPr>
                <w:rFonts w:hint="eastAsia"/>
                <w:color w:val="000000"/>
                <w:sz w:val="21"/>
                <w:szCs w:val="21"/>
              </w:rPr>
              <w:t>宅基地调查数据管理</w:t>
            </w:r>
          </w:p>
        </w:tc>
        <w:tc>
          <w:tcPr>
            <w:tcW w:w="2988" w:type="dxa"/>
            <w:vAlign w:val="center"/>
          </w:tcPr>
          <w:p>
            <w:pPr>
              <w:rPr>
                <w:color w:val="000000"/>
                <w:sz w:val="21"/>
                <w:szCs w:val="21"/>
              </w:rPr>
            </w:pPr>
            <w:r>
              <w:rPr>
                <w:rFonts w:hint="eastAsia"/>
                <w:color w:val="000000"/>
                <w:sz w:val="21"/>
                <w:szCs w:val="21"/>
              </w:rPr>
              <w:t>宅基地调查数据管理功能旨在为用户提供数据调整的功能，公示无异议后，如不涉及公示内容的数据存在错误，可通过宅基地数据管理功能进行维护，并上传相关材料。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restart"/>
            <w:vAlign w:val="center"/>
          </w:tcPr>
          <w:p>
            <w:pPr>
              <w:jc w:val="center"/>
              <w:rPr>
                <w:color w:val="000000"/>
                <w:sz w:val="21"/>
                <w:szCs w:val="21"/>
              </w:rPr>
            </w:pPr>
            <w:r>
              <w:rPr>
                <w:rFonts w:hint="eastAsia"/>
                <w:color w:val="000000"/>
                <w:sz w:val="21"/>
                <w:szCs w:val="21"/>
              </w:rPr>
              <w:t>其他辅助功能</w:t>
            </w:r>
          </w:p>
        </w:tc>
        <w:tc>
          <w:tcPr>
            <w:tcW w:w="2909" w:type="dxa"/>
            <w:vAlign w:val="center"/>
          </w:tcPr>
          <w:p>
            <w:pPr>
              <w:rPr>
                <w:color w:val="000000"/>
                <w:sz w:val="21"/>
                <w:szCs w:val="21"/>
              </w:rPr>
            </w:pPr>
            <w:r>
              <w:rPr>
                <w:rFonts w:hint="eastAsia"/>
                <w:color w:val="000000"/>
                <w:sz w:val="21"/>
                <w:szCs w:val="21"/>
              </w:rPr>
              <w:t>基础要素底板提供</w:t>
            </w:r>
          </w:p>
        </w:tc>
        <w:tc>
          <w:tcPr>
            <w:tcW w:w="2988" w:type="dxa"/>
            <w:vAlign w:val="center"/>
          </w:tcPr>
          <w:p>
            <w:pPr>
              <w:rPr>
                <w:color w:val="000000"/>
                <w:sz w:val="21"/>
                <w:szCs w:val="21"/>
              </w:rPr>
            </w:pPr>
            <w:r>
              <w:rPr>
                <w:rFonts w:hint="eastAsia"/>
                <w:color w:val="000000"/>
                <w:sz w:val="21"/>
                <w:szCs w:val="21"/>
              </w:rPr>
              <w:t>提供基础要素底板，包括地图、地形、地物等信息，为地籍调查、宅基地调查等工作提供基础数据支持。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tcPr>
          <w:p>
            <w:pPr>
              <w:rPr>
                <w:color w:val="000000"/>
                <w:sz w:val="21"/>
                <w:szCs w:val="21"/>
              </w:rPr>
            </w:pPr>
          </w:p>
        </w:tc>
        <w:tc>
          <w:tcPr>
            <w:tcW w:w="2909" w:type="dxa"/>
            <w:vAlign w:val="center"/>
          </w:tcPr>
          <w:p>
            <w:pPr>
              <w:rPr>
                <w:color w:val="000000"/>
                <w:sz w:val="21"/>
                <w:szCs w:val="21"/>
              </w:rPr>
            </w:pPr>
            <w:r>
              <w:rPr>
                <w:rFonts w:hint="eastAsia"/>
                <w:color w:val="000000"/>
                <w:sz w:val="21"/>
                <w:szCs w:val="21"/>
              </w:rPr>
              <w:t>补楼盘任务主任务基础数据下载</w:t>
            </w:r>
          </w:p>
        </w:tc>
        <w:tc>
          <w:tcPr>
            <w:tcW w:w="2988" w:type="dxa"/>
            <w:vAlign w:val="center"/>
          </w:tcPr>
          <w:p>
            <w:pPr>
              <w:rPr>
                <w:color w:val="000000"/>
                <w:sz w:val="21"/>
                <w:szCs w:val="21"/>
              </w:rPr>
            </w:pPr>
            <w:r>
              <w:rPr>
                <w:rFonts w:hint="eastAsia"/>
                <w:color w:val="000000"/>
                <w:sz w:val="21"/>
                <w:szCs w:val="21"/>
              </w:rPr>
              <w:t>提供补楼盘任务主任务基础数据下载功能，便于任务人员获取所需数据。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vMerge w:val="continue"/>
            <w:vAlign w:val="center"/>
          </w:tcPr>
          <w:p>
            <w:pPr>
              <w:jc w:val="center"/>
              <w:rPr>
                <w:color w:val="000000"/>
                <w:sz w:val="21"/>
                <w:szCs w:val="21"/>
              </w:rPr>
            </w:pPr>
          </w:p>
        </w:tc>
        <w:tc>
          <w:tcPr>
            <w:tcW w:w="1200" w:type="dxa"/>
            <w:vMerge w:val="continue"/>
          </w:tcPr>
          <w:p>
            <w:pPr>
              <w:rPr>
                <w:color w:val="000000"/>
                <w:sz w:val="21"/>
                <w:szCs w:val="21"/>
              </w:rPr>
            </w:pPr>
          </w:p>
        </w:tc>
        <w:tc>
          <w:tcPr>
            <w:tcW w:w="2909" w:type="dxa"/>
            <w:vAlign w:val="center"/>
          </w:tcPr>
          <w:p>
            <w:pPr>
              <w:rPr>
                <w:color w:val="000000"/>
                <w:sz w:val="21"/>
                <w:szCs w:val="21"/>
              </w:rPr>
            </w:pPr>
            <w:r>
              <w:rPr>
                <w:rFonts w:hint="eastAsia"/>
                <w:color w:val="000000"/>
                <w:sz w:val="21"/>
                <w:szCs w:val="21"/>
              </w:rPr>
              <w:t>系统运行监控</w:t>
            </w:r>
          </w:p>
        </w:tc>
        <w:tc>
          <w:tcPr>
            <w:tcW w:w="2988" w:type="dxa"/>
            <w:vAlign w:val="center"/>
          </w:tcPr>
          <w:p>
            <w:pPr>
              <w:rPr>
                <w:color w:val="000000"/>
                <w:sz w:val="21"/>
                <w:szCs w:val="21"/>
              </w:rPr>
            </w:pPr>
            <w:r>
              <w:rPr>
                <w:rFonts w:hint="eastAsia"/>
                <w:color w:val="000000"/>
                <w:sz w:val="21"/>
                <w:szCs w:val="21"/>
              </w:rPr>
              <w:t>通过各种图表以及监测卡片展示系统的整体态势，包括系统办件量监控、访问情况、接口日志等，确保系统稳定运行。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99" w:type="dxa"/>
          </w:tcPr>
          <w:p>
            <w:pPr>
              <w:rPr>
                <w:color w:val="000000"/>
                <w:sz w:val="21"/>
                <w:szCs w:val="21"/>
              </w:rPr>
            </w:pPr>
            <w:r>
              <w:rPr>
                <w:rFonts w:hint="eastAsia"/>
                <w:color w:val="000000"/>
                <w:sz w:val="21"/>
                <w:szCs w:val="21"/>
              </w:rPr>
              <w:t>密码应用改造</w:t>
            </w:r>
          </w:p>
        </w:tc>
        <w:tc>
          <w:tcPr>
            <w:tcW w:w="1200" w:type="dxa"/>
          </w:tcPr>
          <w:p>
            <w:pPr>
              <w:rPr>
                <w:color w:val="000000"/>
                <w:sz w:val="21"/>
                <w:szCs w:val="21"/>
              </w:rPr>
            </w:pPr>
          </w:p>
        </w:tc>
        <w:tc>
          <w:tcPr>
            <w:tcW w:w="2909" w:type="dxa"/>
            <w:vAlign w:val="center"/>
          </w:tcPr>
          <w:p>
            <w:pPr>
              <w:rPr>
                <w:color w:val="000000"/>
                <w:sz w:val="21"/>
                <w:szCs w:val="21"/>
              </w:rPr>
            </w:pPr>
          </w:p>
        </w:tc>
        <w:tc>
          <w:tcPr>
            <w:tcW w:w="2988" w:type="dxa"/>
            <w:vAlign w:val="center"/>
          </w:tcPr>
          <w:p>
            <w:pPr>
              <w:rPr>
                <w:color w:val="000000"/>
                <w:sz w:val="21"/>
                <w:szCs w:val="21"/>
              </w:rPr>
            </w:pPr>
            <w:r>
              <w:rPr>
                <w:rFonts w:hint="eastAsia"/>
                <w:color w:val="000000"/>
                <w:sz w:val="21"/>
                <w:szCs w:val="21"/>
              </w:rPr>
              <w:t>包括用户身份认证机制模块、业务重要数据安全传输模块、服务器虚拟机设备日志/访问控制信息完整性模块、重要可执行程序签名验签模块等应用功能软件开发。“</w:t>
            </w:r>
          </w:p>
        </w:tc>
      </w:tr>
    </w:tbl>
    <w:p>
      <w:pPr>
        <w:ind w:firstLine="420"/>
      </w:pPr>
      <w:r>
        <w:rPr>
          <w:rFonts w:hint="eastAsia"/>
        </w:rPr>
        <w:t>其他功能性要求：自动快照归档，统一查询。</w:t>
      </w:r>
    </w:p>
    <w:p>
      <w:pPr>
        <w:ind w:firstLine="480" w:firstLineChars="200"/>
      </w:pPr>
      <w:r>
        <w:rPr>
          <w:rFonts w:hint="eastAsia"/>
        </w:rPr>
        <w:t>在各业务流程的最终节点，按规范标准对相关业务信息、流程信息自动生成快照和并纳入统一存储，并在业务系统增加快照浏览入口，调用统一快照浏览页面。</w:t>
      </w:r>
    </w:p>
    <w:p/>
    <w:p>
      <w:pPr>
        <w:pStyle w:val="2"/>
      </w:pPr>
      <w:bookmarkStart w:id="16" w:name="_Toc63785502"/>
      <w:r>
        <w:rPr>
          <w:rFonts w:hint="eastAsia"/>
        </w:rPr>
        <w:t>电子政务云资源需求</w:t>
      </w:r>
      <w:bookmarkEnd w:id="16"/>
    </w:p>
    <w:p>
      <w:pPr>
        <w:spacing w:line="360" w:lineRule="auto"/>
        <w:ind w:firstLine="420"/>
      </w:pPr>
      <w:r>
        <w:rPr>
          <w:rFonts w:hint="eastAsia"/>
        </w:rPr>
        <w:t>根据项目前期资源需求，</w:t>
      </w:r>
      <w:bookmarkStart w:id="17" w:name="_Hlk154667745"/>
      <w:r>
        <w:rPr>
          <w:rFonts w:hint="eastAsia"/>
        </w:rPr>
        <w:t>供应商应</w:t>
      </w:r>
      <w:r>
        <w:t>免费</w:t>
      </w:r>
      <w:r>
        <w:rPr>
          <w:rFonts w:hint="eastAsia"/>
        </w:rPr>
        <w:t>向上海市大数据中心申请市级电子政务信创云资源</w:t>
      </w:r>
      <w:bookmarkEnd w:id="17"/>
      <w:r>
        <w:rPr>
          <w:rFonts w:hint="eastAsia"/>
        </w:rPr>
        <w:t>，具体清单如下：</w:t>
      </w:r>
    </w:p>
    <w:p/>
    <w:p>
      <w:pPr>
        <w:numPr>
          <w:ilvl w:val="0"/>
          <w:numId w:val="8"/>
        </w:numPr>
      </w:pPr>
      <w:r>
        <w:rPr>
          <w:rFonts w:hint="eastAsia"/>
        </w:rPr>
        <w:t>主机资源</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2"/>
        <w:gridCol w:w="1038"/>
        <w:gridCol w:w="1038"/>
        <w:gridCol w:w="1038"/>
        <w:gridCol w:w="103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val="0"/>
              <w:jc w:val="center"/>
              <w:rPr>
                <w:b/>
                <w:bCs/>
              </w:rPr>
            </w:pPr>
            <w:r>
              <w:rPr>
                <w:rFonts w:hint="eastAsia"/>
                <w:b/>
                <w:bCs/>
              </w:rPr>
              <w:t>序号</w:t>
            </w:r>
          </w:p>
        </w:tc>
        <w:tc>
          <w:tcPr>
            <w:tcW w:w="1276" w:type="dxa"/>
          </w:tcPr>
          <w:p>
            <w:pPr>
              <w:widowControl w:val="0"/>
              <w:jc w:val="center"/>
              <w:rPr>
                <w:b/>
                <w:bCs/>
              </w:rPr>
            </w:pPr>
            <w:r>
              <w:rPr>
                <w:rFonts w:hint="eastAsia"/>
                <w:b/>
                <w:bCs/>
              </w:rPr>
              <w:t>资源类型</w:t>
            </w:r>
          </w:p>
        </w:tc>
        <w:tc>
          <w:tcPr>
            <w:tcW w:w="1132" w:type="dxa"/>
          </w:tcPr>
          <w:p>
            <w:pPr>
              <w:widowControl w:val="0"/>
              <w:jc w:val="center"/>
              <w:rPr>
                <w:b/>
                <w:bCs/>
              </w:rPr>
            </w:pPr>
            <w:r>
              <w:rPr>
                <w:rFonts w:hint="eastAsia"/>
                <w:b/>
                <w:bCs/>
              </w:rPr>
              <w:t>资源名称</w:t>
            </w:r>
          </w:p>
        </w:tc>
        <w:tc>
          <w:tcPr>
            <w:tcW w:w="1038" w:type="dxa"/>
          </w:tcPr>
          <w:p>
            <w:pPr>
              <w:widowControl w:val="0"/>
              <w:jc w:val="center"/>
              <w:rPr>
                <w:b/>
                <w:bCs/>
              </w:rPr>
            </w:pPr>
            <w:r>
              <w:rPr>
                <w:rFonts w:hint="eastAsia"/>
                <w:b/>
                <w:bCs/>
              </w:rPr>
              <w:t>资源说明</w:t>
            </w:r>
          </w:p>
        </w:tc>
        <w:tc>
          <w:tcPr>
            <w:tcW w:w="1038" w:type="dxa"/>
          </w:tcPr>
          <w:p>
            <w:pPr>
              <w:widowControl w:val="0"/>
              <w:jc w:val="center"/>
              <w:rPr>
                <w:b/>
                <w:bCs/>
              </w:rPr>
            </w:pPr>
            <w:r>
              <w:rPr>
                <w:rFonts w:hint="eastAsia"/>
                <w:b/>
                <w:bCs/>
              </w:rPr>
              <w:t>资源核心（核）</w:t>
            </w:r>
          </w:p>
        </w:tc>
        <w:tc>
          <w:tcPr>
            <w:tcW w:w="1038" w:type="dxa"/>
          </w:tcPr>
          <w:p>
            <w:pPr>
              <w:widowControl w:val="0"/>
              <w:jc w:val="center"/>
              <w:rPr>
                <w:b/>
                <w:bCs/>
              </w:rPr>
            </w:pPr>
            <w:r>
              <w:rPr>
                <w:b/>
                <w:bCs/>
              </w:rPr>
              <w:t>资源内存(GB)</w:t>
            </w:r>
          </w:p>
        </w:tc>
        <w:tc>
          <w:tcPr>
            <w:tcW w:w="1038" w:type="dxa"/>
          </w:tcPr>
          <w:p>
            <w:pPr>
              <w:widowControl w:val="0"/>
              <w:jc w:val="center"/>
              <w:rPr>
                <w:b/>
                <w:bCs/>
              </w:rPr>
            </w:pPr>
            <w:r>
              <w:rPr>
                <w:b/>
                <w:bCs/>
              </w:rPr>
              <w:t>存储数量(GB)</w:t>
            </w:r>
          </w:p>
        </w:tc>
        <w:tc>
          <w:tcPr>
            <w:tcW w:w="1038" w:type="dxa"/>
          </w:tcPr>
          <w:p>
            <w:pPr>
              <w:widowControl w:val="0"/>
              <w:jc w:val="center"/>
              <w:rPr>
                <w:b/>
                <w:bCs/>
              </w:rPr>
            </w:pPr>
            <w:r>
              <w:rPr>
                <w:b/>
                <w:bCs/>
              </w:rPr>
              <w:t>资源数量(台)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val="0"/>
              <w:jc w:val="center"/>
            </w:pPr>
            <w:r>
              <w:rPr>
                <w:rFonts w:hint="eastAsia"/>
              </w:rPr>
              <w:t>1</w:t>
            </w:r>
          </w:p>
        </w:tc>
        <w:tc>
          <w:tcPr>
            <w:tcW w:w="1276" w:type="dxa"/>
          </w:tcPr>
          <w:p>
            <w:pPr>
              <w:widowControl w:val="0"/>
              <w:jc w:val="center"/>
            </w:pPr>
            <w:r>
              <w:rPr>
                <w:rFonts w:hint="eastAsia"/>
              </w:rPr>
              <w:t>虚拟机</w:t>
            </w:r>
          </w:p>
        </w:tc>
        <w:tc>
          <w:tcPr>
            <w:tcW w:w="1132" w:type="dxa"/>
          </w:tcPr>
          <w:p>
            <w:pPr>
              <w:widowControl w:val="0"/>
              <w:jc w:val="center"/>
            </w:pPr>
            <w:r>
              <w:rPr>
                <w:rFonts w:hint="eastAsia"/>
              </w:rPr>
              <w:t>应用服务器</w:t>
            </w:r>
          </w:p>
        </w:tc>
        <w:tc>
          <w:tcPr>
            <w:tcW w:w="1038" w:type="dxa"/>
          </w:tcPr>
          <w:p>
            <w:pPr>
              <w:widowControl w:val="0"/>
              <w:jc w:val="center"/>
            </w:pPr>
            <w:r>
              <w:rPr>
                <w:rFonts w:hint="eastAsia"/>
              </w:rPr>
              <w:t>应用服务器</w:t>
            </w:r>
          </w:p>
        </w:tc>
        <w:tc>
          <w:tcPr>
            <w:tcW w:w="1038" w:type="dxa"/>
          </w:tcPr>
          <w:p>
            <w:pPr>
              <w:widowControl w:val="0"/>
              <w:jc w:val="center"/>
            </w:pPr>
            <w:r>
              <w:rPr>
                <w:rFonts w:hint="eastAsia"/>
              </w:rPr>
              <w:t>8</w:t>
            </w:r>
          </w:p>
        </w:tc>
        <w:tc>
          <w:tcPr>
            <w:tcW w:w="1038" w:type="dxa"/>
          </w:tcPr>
          <w:p>
            <w:pPr>
              <w:widowControl w:val="0"/>
              <w:jc w:val="center"/>
            </w:pPr>
            <w:r>
              <w:rPr>
                <w:rFonts w:hint="eastAsia"/>
              </w:rPr>
              <w:t>1</w:t>
            </w:r>
            <w:r>
              <w:t>6</w:t>
            </w:r>
          </w:p>
        </w:tc>
        <w:tc>
          <w:tcPr>
            <w:tcW w:w="1038" w:type="dxa"/>
          </w:tcPr>
          <w:p>
            <w:pPr>
              <w:widowControl w:val="0"/>
              <w:jc w:val="center"/>
            </w:pPr>
            <w:r>
              <w:rPr>
                <w:rFonts w:hint="eastAsia"/>
              </w:rPr>
              <w:t>2</w:t>
            </w:r>
            <w:r>
              <w:t>00</w:t>
            </w:r>
          </w:p>
        </w:tc>
        <w:tc>
          <w:tcPr>
            <w:tcW w:w="1038" w:type="dxa"/>
          </w:tcPr>
          <w:p>
            <w:pPr>
              <w:widowControl w:val="0"/>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val="0"/>
              <w:jc w:val="center"/>
            </w:pPr>
            <w:r>
              <w:rPr>
                <w:rFonts w:hint="eastAsia"/>
              </w:rPr>
              <w:t>2</w:t>
            </w:r>
          </w:p>
        </w:tc>
        <w:tc>
          <w:tcPr>
            <w:tcW w:w="1276" w:type="dxa"/>
          </w:tcPr>
          <w:p>
            <w:pPr>
              <w:widowControl w:val="0"/>
              <w:jc w:val="center"/>
            </w:pPr>
            <w:r>
              <w:rPr>
                <w:rFonts w:hint="eastAsia"/>
              </w:rPr>
              <w:t>虚拟机</w:t>
            </w:r>
          </w:p>
        </w:tc>
        <w:tc>
          <w:tcPr>
            <w:tcW w:w="1132" w:type="dxa"/>
          </w:tcPr>
          <w:p>
            <w:pPr>
              <w:widowControl w:val="0"/>
              <w:jc w:val="center"/>
            </w:pPr>
            <w:r>
              <w:rPr>
                <w:rFonts w:hint="eastAsia"/>
              </w:rPr>
              <w:t>应用服务器</w:t>
            </w:r>
          </w:p>
        </w:tc>
        <w:tc>
          <w:tcPr>
            <w:tcW w:w="1038" w:type="dxa"/>
          </w:tcPr>
          <w:p>
            <w:pPr>
              <w:widowControl w:val="0"/>
              <w:jc w:val="center"/>
            </w:pPr>
            <w:r>
              <w:rPr>
                <w:rFonts w:hint="eastAsia"/>
              </w:rPr>
              <w:t>应用服务器</w:t>
            </w:r>
          </w:p>
        </w:tc>
        <w:tc>
          <w:tcPr>
            <w:tcW w:w="1038" w:type="dxa"/>
          </w:tcPr>
          <w:p>
            <w:pPr>
              <w:widowControl w:val="0"/>
              <w:jc w:val="center"/>
            </w:pPr>
            <w:r>
              <w:rPr>
                <w:rFonts w:hint="eastAsia"/>
              </w:rPr>
              <w:t>8</w:t>
            </w:r>
          </w:p>
        </w:tc>
        <w:tc>
          <w:tcPr>
            <w:tcW w:w="1038" w:type="dxa"/>
          </w:tcPr>
          <w:p>
            <w:pPr>
              <w:widowControl w:val="0"/>
              <w:jc w:val="center"/>
            </w:pPr>
            <w:r>
              <w:rPr>
                <w:rFonts w:hint="eastAsia"/>
              </w:rPr>
              <w:t>1</w:t>
            </w:r>
            <w:r>
              <w:t>6</w:t>
            </w:r>
          </w:p>
        </w:tc>
        <w:tc>
          <w:tcPr>
            <w:tcW w:w="1038" w:type="dxa"/>
          </w:tcPr>
          <w:p>
            <w:pPr>
              <w:widowControl w:val="0"/>
              <w:jc w:val="center"/>
            </w:pPr>
            <w:r>
              <w:rPr>
                <w:rFonts w:hint="eastAsia"/>
              </w:rPr>
              <w:t>2</w:t>
            </w:r>
            <w:r>
              <w:t>00</w:t>
            </w:r>
          </w:p>
        </w:tc>
        <w:tc>
          <w:tcPr>
            <w:tcW w:w="1038" w:type="dxa"/>
          </w:tcPr>
          <w:p>
            <w:pPr>
              <w:widowControl w:val="0"/>
              <w:jc w:val="center"/>
            </w:pPr>
            <w:r>
              <w:rPr>
                <w:rFonts w:hint="eastAsia"/>
              </w:rPr>
              <w:t>1</w:t>
            </w:r>
          </w:p>
        </w:tc>
      </w:tr>
    </w:tbl>
    <w:p/>
    <w:p>
      <w:pPr>
        <w:numPr>
          <w:ilvl w:val="0"/>
          <w:numId w:val="8"/>
        </w:numPr>
      </w:pPr>
      <w:r>
        <w:t xml:space="preserve"> PaaS服务资源</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27"/>
        <w:gridCol w:w="1553"/>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jc w:val="center"/>
              <w:rPr>
                <w:b/>
                <w:bCs/>
              </w:rPr>
            </w:pPr>
            <w:r>
              <w:rPr>
                <w:rFonts w:hint="eastAsia"/>
                <w:b/>
                <w:bCs/>
              </w:rPr>
              <w:t>序号</w:t>
            </w:r>
          </w:p>
        </w:tc>
        <w:tc>
          <w:tcPr>
            <w:tcW w:w="3827" w:type="dxa"/>
          </w:tcPr>
          <w:p>
            <w:pPr>
              <w:widowControl w:val="0"/>
              <w:jc w:val="center"/>
              <w:rPr>
                <w:b/>
                <w:bCs/>
              </w:rPr>
            </w:pPr>
            <w:r>
              <w:rPr>
                <w:rFonts w:hint="eastAsia"/>
                <w:b/>
                <w:bCs/>
              </w:rPr>
              <w:t>资源名称</w:t>
            </w:r>
          </w:p>
        </w:tc>
        <w:tc>
          <w:tcPr>
            <w:tcW w:w="1553" w:type="dxa"/>
          </w:tcPr>
          <w:p>
            <w:pPr>
              <w:widowControl w:val="0"/>
              <w:jc w:val="center"/>
              <w:rPr>
                <w:b/>
                <w:bCs/>
              </w:rPr>
            </w:pPr>
            <w:r>
              <w:rPr>
                <w:rFonts w:hint="eastAsia"/>
                <w:b/>
                <w:bCs/>
              </w:rPr>
              <w:t>数量</w:t>
            </w:r>
          </w:p>
        </w:tc>
        <w:tc>
          <w:tcPr>
            <w:tcW w:w="2076" w:type="dxa"/>
          </w:tcPr>
          <w:p>
            <w:pPr>
              <w:widowControl w:val="0"/>
              <w:jc w:val="center"/>
              <w:rPr>
                <w:b/>
                <w:bCs/>
              </w:rPr>
            </w:pPr>
            <w:r>
              <w:rPr>
                <w:rFonts w:hint="eastAsia"/>
                <w:b/>
                <w:bC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jc w:val="center"/>
            </w:pPr>
            <w:r>
              <w:rPr>
                <w:rFonts w:hint="eastAsia"/>
              </w:rPr>
              <w:t>1</w:t>
            </w:r>
          </w:p>
        </w:tc>
        <w:tc>
          <w:tcPr>
            <w:tcW w:w="3827" w:type="dxa"/>
          </w:tcPr>
          <w:p>
            <w:pPr>
              <w:widowControl w:val="0"/>
              <w:jc w:val="both"/>
            </w:pPr>
            <w:r>
              <w:t>操作系统服务-统信UOS、麒麟</w:t>
            </w:r>
          </w:p>
        </w:tc>
        <w:tc>
          <w:tcPr>
            <w:tcW w:w="1553" w:type="dxa"/>
          </w:tcPr>
          <w:p>
            <w:pPr>
              <w:widowControl w:val="0"/>
              <w:jc w:val="center"/>
            </w:pPr>
            <w:r>
              <w:rPr>
                <w:rFonts w:hint="eastAsia"/>
              </w:rPr>
              <w:t>2</w:t>
            </w:r>
          </w:p>
        </w:tc>
        <w:tc>
          <w:tcPr>
            <w:tcW w:w="2076" w:type="dxa"/>
          </w:tcPr>
          <w:p>
            <w:pPr>
              <w:widowControl w:val="0"/>
              <w:jc w:val="center"/>
            </w:pPr>
            <w:r>
              <w:t>套*年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jc w:val="center"/>
            </w:pPr>
            <w:r>
              <w:rPr>
                <w:rFonts w:hint="eastAsia"/>
              </w:rPr>
              <w:t>2</w:t>
            </w:r>
          </w:p>
        </w:tc>
        <w:tc>
          <w:tcPr>
            <w:tcW w:w="3827" w:type="dxa"/>
          </w:tcPr>
          <w:p>
            <w:pPr>
              <w:widowControl w:val="0"/>
              <w:jc w:val="both"/>
            </w:pPr>
            <w:r>
              <w:t>中间件-东方通、普元、金蝶</w:t>
            </w:r>
          </w:p>
        </w:tc>
        <w:tc>
          <w:tcPr>
            <w:tcW w:w="1553" w:type="dxa"/>
          </w:tcPr>
          <w:p>
            <w:pPr>
              <w:widowControl w:val="0"/>
              <w:jc w:val="center"/>
            </w:pPr>
            <w:r>
              <w:rPr>
                <w:rFonts w:hint="eastAsia"/>
              </w:rPr>
              <w:t>2</w:t>
            </w:r>
          </w:p>
        </w:tc>
        <w:tc>
          <w:tcPr>
            <w:tcW w:w="2076" w:type="dxa"/>
          </w:tcPr>
          <w:p>
            <w:pPr>
              <w:widowControl w:val="0"/>
              <w:jc w:val="center"/>
            </w:pPr>
            <w:r>
              <w:t>套*年</w:t>
            </w:r>
          </w:p>
        </w:tc>
      </w:tr>
    </w:tbl>
    <w:p/>
    <w:p>
      <w:pPr>
        <w:pStyle w:val="2"/>
      </w:pPr>
      <w:bookmarkStart w:id="18" w:name="_Toc63785503"/>
      <w:r>
        <w:rPr>
          <w:rFonts w:hint="eastAsia"/>
        </w:rPr>
        <w:t>其他工作要求</w:t>
      </w:r>
      <w:bookmarkEnd w:id="18"/>
      <w:bookmarkStart w:id="19" w:name="_Toc61968111"/>
      <w:bookmarkEnd w:id="19"/>
      <w:bookmarkStart w:id="20" w:name="_Toc63585480"/>
      <w:bookmarkEnd w:id="20"/>
      <w:bookmarkStart w:id="21" w:name="_Toc62209488"/>
      <w:bookmarkEnd w:id="21"/>
      <w:bookmarkStart w:id="22" w:name="_Toc63151871"/>
      <w:bookmarkEnd w:id="22"/>
      <w:bookmarkStart w:id="23" w:name="_Toc63762370"/>
      <w:bookmarkEnd w:id="23"/>
      <w:bookmarkStart w:id="24" w:name="_Toc63785439"/>
      <w:bookmarkEnd w:id="24"/>
      <w:bookmarkStart w:id="25" w:name="_Toc62219358"/>
      <w:bookmarkEnd w:id="25"/>
      <w:bookmarkStart w:id="26" w:name="_Toc63785504"/>
      <w:bookmarkEnd w:id="26"/>
      <w:bookmarkStart w:id="27" w:name="_Toc63785505"/>
    </w:p>
    <w:p>
      <w:pPr>
        <w:pStyle w:val="3"/>
        <w:ind w:left="567" w:leftChars="0" w:firstLine="0" w:firstLineChars="0"/>
      </w:pPr>
      <w:r>
        <w:rPr>
          <w:rFonts w:hint="eastAsia"/>
        </w:rPr>
        <w:t>售后服务要求</w:t>
      </w:r>
      <w:bookmarkEnd w:id="27"/>
    </w:p>
    <w:p>
      <w:pPr>
        <w:pStyle w:val="107"/>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pPr>
        <w:pStyle w:val="107"/>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pStyle w:val="107"/>
        <w:snapToGrid w:val="0"/>
        <w:spacing w:line="360" w:lineRule="auto"/>
        <w:ind w:firstLine="480"/>
        <w:rPr>
          <w:rFonts w:ascii="宋体" w:hAnsi="宋体"/>
          <w:sz w:val="24"/>
          <w:szCs w:val="24"/>
        </w:rPr>
      </w:pPr>
      <w:r>
        <w:rPr>
          <w:rFonts w:hint="eastAsia" w:ascii="宋体" w:hAnsi="宋体"/>
          <w:sz w:val="24"/>
          <w:szCs w:val="24"/>
        </w:rPr>
        <w:t>在质量保证期内，供应商免费负责信息系统的运行维护工作，确保信息系统安全、稳定、可靠地运行。本项目涉及的运行维护工作范围为：</w:t>
      </w:r>
    </w:p>
    <w:p>
      <w:pPr>
        <w:pStyle w:val="107"/>
        <w:snapToGrid w:val="0"/>
        <w:spacing w:line="360" w:lineRule="auto"/>
        <w:ind w:firstLine="482"/>
        <w:rPr>
          <w:rFonts w:ascii="宋体" w:hAnsi="宋体"/>
          <w:b/>
          <w:bCs/>
          <w:sz w:val="24"/>
          <w:szCs w:val="24"/>
        </w:rPr>
      </w:pPr>
      <w:r>
        <w:rPr>
          <w:rFonts w:hint="eastAsia" w:ascii="宋体" w:hAnsi="宋体"/>
          <w:b/>
          <w:bCs/>
          <w:sz w:val="24"/>
          <w:szCs w:val="24"/>
        </w:rPr>
        <w:t>1</w:t>
      </w:r>
      <w:r>
        <w:rPr>
          <w:rFonts w:ascii="宋体" w:hAnsi="宋体"/>
          <w:b/>
          <w:bCs/>
          <w:sz w:val="24"/>
          <w:szCs w:val="24"/>
        </w:rPr>
        <w:t>.</w:t>
      </w:r>
      <w:r>
        <w:rPr>
          <w:rFonts w:hint="eastAsia" w:ascii="宋体" w:hAnsi="宋体"/>
          <w:b/>
          <w:bCs/>
          <w:sz w:val="24"/>
          <w:szCs w:val="24"/>
        </w:rPr>
        <w:t>日常的应用维护服务</w:t>
      </w:r>
    </w:p>
    <w:p>
      <w:pPr>
        <w:pStyle w:val="107"/>
        <w:snapToGrid w:val="0"/>
        <w:spacing w:line="360" w:lineRule="auto"/>
        <w:ind w:firstLine="480"/>
        <w:rPr>
          <w:rFonts w:ascii="宋体" w:hAnsi="宋体"/>
          <w:sz w:val="24"/>
          <w:szCs w:val="24"/>
        </w:rPr>
      </w:pPr>
      <w:r>
        <w:rPr>
          <w:rFonts w:hint="eastAsia" w:ascii="宋体" w:hAnsi="宋体"/>
          <w:sz w:val="24"/>
          <w:szCs w:val="24"/>
        </w:rPr>
        <w:t>供应商在接到相关的日常维护要求后，诊断问题，分别提供各类日常维护服务，并将维修结果及时回复。提供的日常服务包括：</w:t>
      </w:r>
    </w:p>
    <w:p>
      <w:pPr>
        <w:numPr>
          <w:ilvl w:val="0"/>
          <w:numId w:val="9"/>
        </w:numPr>
        <w:adjustRightInd w:val="0"/>
        <w:spacing w:line="360" w:lineRule="auto"/>
        <w:ind w:left="874"/>
        <w:textAlignment w:val="baseline"/>
      </w:pPr>
      <w:r>
        <w:rPr>
          <w:rFonts w:hint="eastAsia"/>
        </w:rPr>
        <w:t>供应商应设立专门的技术支持小组，指派专人常驻现场，为建设单位提供全面专业的技术支持。</w:t>
      </w:r>
    </w:p>
    <w:p>
      <w:pPr>
        <w:numPr>
          <w:ilvl w:val="0"/>
          <w:numId w:val="9"/>
        </w:numPr>
        <w:adjustRightInd w:val="0"/>
        <w:spacing w:line="360" w:lineRule="auto"/>
        <w:ind w:left="874"/>
        <w:textAlignment w:val="baseline"/>
      </w:pPr>
      <w:r>
        <w:rPr>
          <w:rFonts w:hint="eastAsia"/>
        </w:rPr>
        <w:t>对应用系统提供相关技术咨询、系统调整、应用升级、性能调优和定期（每月）检测维护的服务。</w:t>
      </w:r>
    </w:p>
    <w:p>
      <w:pPr>
        <w:numPr>
          <w:ilvl w:val="0"/>
          <w:numId w:val="9"/>
        </w:numPr>
        <w:adjustRightInd w:val="0"/>
        <w:spacing w:line="360" w:lineRule="auto"/>
        <w:ind w:left="874"/>
        <w:textAlignment w:val="baseline"/>
      </w:pPr>
      <w:r>
        <w:rPr>
          <w:rFonts w:hint="eastAsia"/>
        </w:rPr>
        <w:t>提供</w:t>
      </w:r>
      <w:r>
        <w:t>7</w:t>
      </w:r>
      <w:r>
        <w:rPr>
          <w:rFonts w:hint="eastAsia"/>
        </w:rPr>
        <w:t>*24*365小时专人电话支持服务。对于应用系统故障情况，查找原因，提出解决方案，并工作至故障消除，完全恢复正常服务为止。</w:t>
      </w:r>
    </w:p>
    <w:p>
      <w:pPr>
        <w:pStyle w:val="139"/>
        <w:numPr>
          <w:ilvl w:val="0"/>
          <w:numId w:val="9"/>
        </w:numPr>
        <w:spacing w:after="0"/>
        <w:ind w:left="874" w:firstLineChars="0"/>
        <w:rPr>
          <w:rFonts w:ascii="宋体" w:hAnsi="宋体"/>
          <w:szCs w:val="24"/>
        </w:rPr>
      </w:pPr>
      <w:r>
        <w:rPr>
          <w:rFonts w:hint="eastAsia" w:ascii="宋体" w:hAnsi="宋体"/>
          <w:szCs w:val="24"/>
        </w:rPr>
        <w:t>无推诿承诺。即无论由于哪一方产生的问题而使系统发生不正常情况时，在得到通知后，项目开发小组与公司立刻响应派工程师到场，全力配合厂商和其他供应商，使系统尽快恢复正常。</w:t>
      </w:r>
    </w:p>
    <w:p>
      <w:pPr>
        <w:pStyle w:val="139"/>
        <w:numPr>
          <w:ilvl w:val="0"/>
          <w:numId w:val="9"/>
        </w:numPr>
        <w:spacing w:after="0"/>
        <w:ind w:left="874" w:firstLineChars="0"/>
        <w:rPr>
          <w:rFonts w:ascii="宋体" w:hAnsi="宋体"/>
          <w:szCs w:val="24"/>
        </w:rPr>
      </w:pPr>
      <w:r>
        <w:rPr>
          <w:rFonts w:hint="eastAsia" w:ascii="宋体" w:hAnsi="宋体"/>
          <w:szCs w:val="24"/>
        </w:rPr>
        <w:t>保修期结束前，进行一次全面检查，任何与要求不符的缺陷将由项目开发小组与公司负责修理，在修理之后，将缺陷原因、修理内容、完成修理及恢复正常的时间和日期等制成报告，报告一式两份；如在</w:t>
      </w:r>
      <w:r>
        <w:rPr>
          <w:rFonts w:hint="eastAsia"/>
        </w:rPr>
        <w:t>保修期结束时仍未完成修理的，则保修期自动顺延到修理工作完成之后</w:t>
      </w:r>
      <w:r>
        <w:rPr>
          <w:rFonts w:hint="eastAsia" w:ascii="宋体" w:hAnsi="宋体"/>
          <w:szCs w:val="24"/>
        </w:rPr>
        <w:t>。</w:t>
      </w:r>
    </w:p>
    <w:p>
      <w:pPr>
        <w:pStyle w:val="107"/>
        <w:snapToGrid w:val="0"/>
        <w:spacing w:line="360" w:lineRule="auto"/>
        <w:ind w:firstLine="482"/>
        <w:rPr>
          <w:rFonts w:ascii="宋体" w:hAnsi="宋体"/>
          <w:b/>
          <w:bCs/>
          <w:sz w:val="24"/>
          <w:szCs w:val="24"/>
        </w:rPr>
      </w:pPr>
      <w:r>
        <w:rPr>
          <w:rFonts w:hint="eastAsia" w:ascii="宋体" w:hAnsi="宋体"/>
          <w:b/>
          <w:bCs/>
          <w:sz w:val="24"/>
          <w:szCs w:val="24"/>
        </w:rPr>
        <w:t>2</w:t>
      </w:r>
      <w:r>
        <w:rPr>
          <w:rFonts w:ascii="宋体" w:hAnsi="宋体"/>
          <w:b/>
          <w:bCs/>
          <w:sz w:val="24"/>
          <w:szCs w:val="24"/>
        </w:rPr>
        <w:t>.</w:t>
      </w:r>
      <w:r>
        <w:rPr>
          <w:rFonts w:hint="eastAsia" w:ascii="宋体" w:hAnsi="宋体"/>
          <w:b/>
          <w:bCs/>
          <w:sz w:val="24"/>
          <w:szCs w:val="24"/>
        </w:rPr>
        <w:t>应用系统功能调整服务</w:t>
      </w:r>
    </w:p>
    <w:p>
      <w:pPr>
        <w:spacing w:line="360" w:lineRule="auto"/>
        <w:ind w:firstLine="470" w:firstLineChars="196"/>
      </w:pPr>
      <w:r>
        <w:rPr>
          <w:rFonts w:hint="eastAsia"/>
        </w:rPr>
        <w:t>供应商在接到相关业务部门书面形式描述的部分更改要求后，与相关业务部门一起对需求进行确认，并对应用系统修改功能的实现提出书面的方案，由相关业务部门协调对应用修改方案进行确认并反馈给维护单位。</w:t>
      </w:r>
    </w:p>
    <w:p>
      <w:pPr>
        <w:spacing w:line="360" w:lineRule="auto"/>
        <w:ind w:firstLine="470" w:firstLineChars="196"/>
        <w:rPr>
          <w:b/>
        </w:rPr>
      </w:pPr>
      <w:r>
        <w:rPr>
          <w:rFonts w:hint="eastAsia"/>
        </w:rPr>
        <w:t>由于业务调整，维护单位需要对应用系统进行相应的功能调整服务。提供的服务包括：</w:t>
      </w:r>
    </w:p>
    <w:p>
      <w:pPr>
        <w:pStyle w:val="139"/>
        <w:numPr>
          <w:ilvl w:val="0"/>
          <w:numId w:val="10"/>
        </w:numPr>
        <w:spacing w:after="0"/>
        <w:ind w:left="874" w:firstLineChars="0"/>
        <w:rPr>
          <w:rFonts w:ascii="宋体" w:hAnsi="宋体"/>
          <w:szCs w:val="24"/>
        </w:rPr>
      </w:pPr>
      <w:r>
        <w:rPr>
          <w:rFonts w:hint="eastAsia" w:ascii="宋体" w:hAnsi="宋体"/>
          <w:szCs w:val="24"/>
        </w:rPr>
        <w:t>应用方案的提出和论证：结合系统原来设计的结构和总体框架，对变化的需求或增加的需求进行可行性分析，整理并提出可行的方案，并与业务部门或其他用户一起对方案进行论证和确认。</w:t>
      </w:r>
    </w:p>
    <w:p>
      <w:pPr>
        <w:pStyle w:val="139"/>
        <w:numPr>
          <w:ilvl w:val="0"/>
          <w:numId w:val="10"/>
        </w:numPr>
        <w:spacing w:after="0"/>
        <w:ind w:left="874" w:firstLineChars="0"/>
        <w:rPr>
          <w:rFonts w:ascii="宋体" w:hAnsi="宋体"/>
          <w:szCs w:val="24"/>
        </w:rPr>
      </w:pPr>
      <w:r>
        <w:rPr>
          <w:rFonts w:hint="eastAsia" w:ascii="宋体" w:hAnsi="宋体"/>
          <w:szCs w:val="24"/>
        </w:rPr>
        <w:t>修改应用系统相关的技术文档：根据应用修改的实际情况变更相关的应用技术文档，包括需求文档、分析设计文档、测试文档、使用手册。</w:t>
      </w:r>
    </w:p>
    <w:p>
      <w:pPr>
        <w:pStyle w:val="139"/>
        <w:numPr>
          <w:ilvl w:val="0"/>
          <w:numId w:val="10"/>
        </w:numPr>
        <w:spacing w:after="0"/>
        <w:ind w:left="874" w:firstLineChars="0"/>
        <w:rPr>
          <w:rFonts w:ascii="宋体" w:hAnsi="宋体"/>
          <w:szCs w:val="24"/>
        </w:rPr>
      </w:pPr>
      <w:r>
        <w:rPr>
          <w:rFonts w:hint="eastAsia" w:ascii="宋体" w:hAnsi="宋体"/>
          <w:szCs w:val="24"/>
        </w:rPr>
        <w:t>应用实现包括对应用程序进行修改或增加功能，对实际运行的数据库结构进行修改，修改数据的复制逻辑，修改、调整相关的字典设置，应用系统功能的测试。</w:t>
      </w:r>
    </w:p>
    <w:p>
      <w:pPr>
        <w:pStyle w:val="139"/>
        <w:numPr>
          <w:ilvl w:val="0"/>
          <w:numId w:val="10"/>
        </w:numPr>
        <w:spacing w:after="0"/>
        <w:ind w:left="874" w:firstLineChars="0"/>
        <w:rPr>
          <w:rFonts w:ascii="宋体" w:hAnsi="宋体"/>
          <w:szCs w:val="24"/>
        </w:rPr>
      </w:pPr>
      <w:r>
        <w:rPr>
          <w:rFonts w:hint="eastAsia" w:ascii="宋体" w:hAnsi="宋体"/>
          <w:szCs w:val="24"/>
        </w:rPr>
        <w:t>调整后功能推广包括版本的升级、编写功能更新的说明、必要的用户培训、功能试用期间的支持。</w:t>
      </w:r>
    </w:p>
    <w:p>
      <w:pPr>
        <w:pStyle w:val="107"/>
        <w:snapToGrid w:val="0"/>
        <w:spacing w:line="360" w:lineRule="auto"/>
        <w:ind w:firstLine="482"/>
        <w:rPr>
          <w:rFonts w:ascii="宋体" w:hAnsi="宋体"/>
          <w:b/>
          <w:bCs/>
          <w:sz w:val="24"/>
          <w:szCs w:val="24"/>
        </w:rPr>
      </w:pPr>
      <w:r>
        <w:rPr>
          <w:rFonts w:hint="eastAsia" w:ascii="宋体" w:hAnsi="宋体"/>
          <w:b/>
          <w:bCs/>
          <w:sz w:val="24"/>
          <w:szCs w:val="24"/>
        </w:rPr>
        <w:t>3</w:t>
      </w:r>
      <w:r>
        <w:rPr>
          <w:rFonts w:ascii="宋体" w:hAnsi="宋体"/>
          <w:b/>
          <w:bCs/>
          <w:sz w:val="24"/>
          <w:szCs w:val="24"/>
        </w:rPr>
        <w:t>.</w:t>
      </w:r>
      <w:r>
        <w:rPr>
          <w:rFonts w:hint="eastAsia" w:ascii="宋体" w:hAnsi="宋体"/>
          <w:b/>
          <w:bCs/>
          <w:sz w:val="24"/>
          <w:szCs w:val="24"/>
        </w:rPr>
        <w:t>系统接口支持配合服务</w:t>
      </w:r>
    </w:p>
    <w:p>
      <w:pPr>
        <w:pStyle w:val="107"/>
        <w:snapToGrid w:val="0"/>
        <w:spacing w:line="360" w:lineRule="auto"/>
        <w:ind w:firstLine="480"/>
        <w:rPr>
          <w:rFonts w:ascii="宋体" w:hAnsi="宋体"/>
          <w:sz w:val="24"/>
          <w:szCs w:val="24"/>
        </w:rPr>
      </w:pPr>
      <w:r>
        <w:rPr>
          <w:rFonts w:hint="eastAsia" w:ascii="宋体" w:hAnsi="宋体"/>
          <w:sz w:val="24"/>
          <w:szCs w:val="24"/>
        </w:rPr>
        <w:t>本系统涉及与上海市各委办局信息系统、市大数据中心相关信息系统及其他可能的开发等对接，供应商需提供相关接口部分的技术支持服务。</w:t>
      </w:r>
    </w:p>
    <w:p>
      <w:pPr>
        <w:pStyle w:val="3"/>
        <w:ind w:left="567" w:leftChars="0" w:firstLine="0" w:firstLineChars="0"/>
      </w:pPr>
      <w:bookmarkStart w:id="28" w:name="_Toc63785506"/>
      <w:r>
        <w:rPr>
          <w:rFonts w:hint="eastAsia"/>
        </w:rPr>
        <w:t>应急响应要求</w:t>
      </w:r>
      <w:bookmarkEnd w:id="28"/>
    </w:p>
    <w:p>
      <w:pPr>
        <w:pStyle w:val="107"/>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30分钟之内响应，专业工程师1小时内到达现场</w:t>
      </w:r>
      <w:r>
        <w:rPr>
          <w:rFonts w:hint="eastAsia" w:ascii="宋体" w:hAnsi="宋体"/>
          <w:sz w:val="24"/>
          <w:szCs w:val="24"/>
        </w:rPr>
        <w:t>。特殊故障与客户沟通协商后，按照协商的方式制定解决方</w:t>
      </w:r>
      <w:bookmarkStart w:id="33" w:name="_GoBack"/>
      <w:bookmarkEnd w:id="33"/>
      <w:r>
        <w:rPr>
          <w:rFonts w:hint="eastAsia" w:ascii="宋体" w:hAnsi="宋体"/>
          <w:sz w:val="24"/>
          <w:szCs w:val="24"/>
        </w:rPr>
        <w:t>案并进行处理。</w:t>
      </w:r>
    </w:p>
    <w:p>
      <w:pPr>
        <w:pStyle w:val="107"/>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pPr>
        <w:pStyle w:val="107"/>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pPr>
        <w:pStyle w:val="107"/>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pPr>
        <w:pStyle w:val="107"/>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pPr>
        <w:pStyle w:val="3"/>
        <w:ind w:left="567" w:leftChars="0" w:firstLine="0" w:firstLineChars="0"/>
      </w:pPr>
      <w:r>
        <w:rPr>
          <w:rFonts w:hint="eastAsia"/>
        </w:rPr>
        <w:t>培训要求</w:t>
      </w:r>
    </w:p>
    <w:p>
      <w:pPr>
        <w:pStyle w:val="107"/>
        <w:snapToGrid w:val="0"/>
        <w:spacing w:line="360" w:lineRule="auto"/>
        <w:ind w:firstLine="480"/>
        <w:rPr>
          <w:rFonts w:ascii="宋体" w:hAnsi="宋体"/>
          <w:sz w:val="24"/>
          <w:szCs w:val="24"/>
        </w:rPr>
      </w:pPr>
      <w:r>
        <w:rPr>
          <w:rFonts w:hint="eastAsia" w:ascii="宋体" w:hAnsi="宋体"/>
          <w:sz w:val="24"/>
          <w:szCs w:val="24"/>
        </w:rPr>
        <w:t>供应商对系统使用单位提供业务操作培训，应提供详细培训方案。</w:t>
      </w:r>
    </w:p>
    <w:p>
      <w:pPr>
        <w:pStyle w:val="107"/>
        <w:snapToGrid w:val="0"/>
        <w:spacing w:line="360" w:lineRule="auto"/>
        <w:ind w:firstLine="480"/>
        <w:rPr>
          <w:rFonts w:ascii="宋体" w:hAnsi="宋体"/>
          <w:sz w:val="24"/>
          <w:szCs w:val="24"/>
        </w:rPr>
      </w:pPr>
      <w:r>
        <w:rPr>
          <w:rFonts w:hint="eastAsia" w:ascii="宋体" w:hAnsi="宋体"/>
          <w:sz w:val="24"/>
          <w:szCs w:val="24"/>
        </w:rPr>
        <w:t>(1)在12个月的质量保证期内，提供1次与项目相关的必要培训。</w:t>
      </w:r>
    </w:p>
    <w:p>
      <w:pPr>
        <w:pStyle w:val="107"/>
        <w:snapToGrid w:val="0"/>
        <w:spacing w:line="360" w:lineRule="auto"/>
        <w:ind w:firstLine="480"/>
        <w:rPr>
          <w:rFonts w:ascii="宋体" w:hAnsi="宋体"/>
          <w:sz w:val="24"/>
          <w:szCs w:val="24"/>
        </w:rPr>
      </w:pPr>
      <w:r>
        <w:rPr>
          <w:rFonts w:hint="eastAsia" w:ascii="宋体" w:hAnsi="宋体"/>
          <w:sz w:val="24"/>
          <w:szCs w:val="24"/>
        </w:rPr>
        <w:t>(2)供应商需要开展分层次的人员培训工作，每次培训后应对参加培训人员进行测试，评估培训成果。培训应具有培训教材、培训环境和高水平的培训讲师。</w:t>
      </w:r>
    </w:p>
    <w:p>
      <w:pPr>
        <w:pStyle w:val="107"/>
        <w:snapToGrid w:val="0"/>
        <w:spacing w:line="360" w:lineRule="auto"/>
        <w:ind w:firstLine="480"/>
        <w:rPr>
          <w:rFonts w:ascii="宋体" w:hAnsi="宋体"/>
          <w:sz w:val="24"/>
          <w:szCs w:val="24"/>
        </w:rPr>
      </w:pPr>
      <w:r>
        <w:rPr>
          <w:rFonts w:hint="eastAsia" w:ascii="宋体" w:hAnsi="宋体"/>
          <w:sz w:val="24"/>
          <w:szCs w:val="24"/>
        </w:rPr>
        <w:t>(3)供应商应提供一般用户的基础操作培训和部门信息管理员的日常应用维护的培训，确保用户对象能够掌握对应的操作技能。</w:t>
      </w:r>
    </w:p>
    <w:p>
      <w:pPr>
        <w:pStyle w:val="3"/>
        <w:ind w:left="567" w:leftChars="0" w:firstLine="0" w:firstLineChars="0"/>
      </w:pPr>
      <w:r>
        <w:rPr>
          <w:rFonts w:hint="eastAsia"/>
        </w:rPr>
        <w:t>验收要求</w:t>
      </w:r>
    </w:p>
    <w:p>
      <w:pPr>
        <w:pStyle w:val="107"/>
        <w:snapToGrid w:val="0"/>
        <w:spacing w:line="360" w:lineRule="auto"/>
        <w:ind w:firstLine="480"/>
        <w:rPr>
          <w:rFonts w:ascii="宋体" w:hAnsi="宋体"/>
          <w:sz w:val="24"/>
          <w:szCs w:val="24"/>
        </w:rPr>
      </w:pPr>
      <w:r>
        <w:rPr>
          <w:rFonts w:hint="eastAsia" w:ascii="宋体" w:hAnsi="宋体"/>
          <w:sz w:val="24"/>
          <w:szCs w:val="24"/>
        </w:rPr>
        <w:t>本项目按下述方式开展验收</w:t>
      </w:r>
      <w:r>
        <w:rPr>
          <w:rFonts w:ascii="宋体" w:hAnsi="宋体"/>
          <w:sz w:val="24"/>
          <w:szCs w:val="24"/>
        </w:rPr>
        <w:t>。</w:t>
      </w:r>
    </w:p>
    <w:p>
      <w:pPr>
        <w:pStyle w:val="107"/>
        <w:snapToGrid w:val="0"/>
        <w:spacing w:line="360" w:lineRule="auto"/>
        <w:ind w:firstLine="480"/>
        <w:rPr>
          <w:rFonts w:ascii="宋体" w:hAnsi="宋体"/>
          <w:sz w:val="24"/>
          <w:szCs w:val="24"/>
        </w:rPr>
      </w:pPr>
      <w:r>
        <w:rPr>
          <w:rFonts w:hint="eastAsia" w:ascii="宋体" w:hAnsi="宋体"/>
          <w:sz w:val="24"/>
          <w:szCs w:val="24"/>
        </w:rPr>
        <w:t>（</w:t>
      </w:r>
      <w:r>
        <w:rPr>
          <w:rFonts w:ascii="宋体" w:hAnsi="宋体"/>
          <w:sz w:val="24"/>
          <w:szCs w:val="24"/>
        </w:rPr>
        <w:t>1）验收分初验和终验。</w:t>
      </w:r>
    </w:p>
    <w:p>
      <w:pPr>
        <w:pStyle w:val="107"/>
        <w:snapToGrid w:val="0"/>
        <w:spacing w:line="360" w:lineRule="auto"/>
        <w:ind w:firstLine="48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初验前</w:t>
      </w:r>
      <w:r>
        <w:rPr>
          <w:rFonts w:ascii="宋体" w:hAnsi="宋体"/>
          <w:sz w:val="24"/>
          <w:szCs w:val="24"/>
        </w:rPr>
        <w:t>，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pPr>
        <w:pStyle w:val="107"/>
        <w:snapToGrid w:val="0"/>
        <w:spacing w:line="360" w:lineRule="auto"/>
        <w:ind w:firstLine="48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初验</w:t>
      </w:r>
      <w:r>
        <w:rPr>
          <w:rFonts w:ascii="宋体" w:hAnsi="宋体"/>
          <w:sz w:val="24"/>
          <w:szCs w:val="24"/>
        </w:rPr>
        <w:t>时，供应商须提供软件文档包括《用户需求说明书》、《系统概要设计说明书》、《系统详细设计说明书》、</w:t>
      </w:r>
      <w:r>
        <w:rPr>
          <w:rFonts w:hint="eastAsia" w:ascii="宋体" w:hAnsi="宋体"/>
          <w:sz w:val="24"/>
          <w:szCs w:val="24"/>
        </w:rPr>
        <w:t>《三方功能需求确认单》、</w:t>
      </w:r>
      <w:r>
        <w:rPr>
          <w:rFonts w:ascii="宋体" w:hAnsi="宋体"/>
          <w:sz w:val="24"/>
          <w:szCs w:val="24"/>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pPr>
        <w:pStyle w:val="107"/>
        <w:snapToGrid w:val="0"/>
        <w:spacing w:line="360" w:lineRule="auto"/>
        <w:ind w:firstLine="480"/>
        <w:rPr>
          <w:rFonts w:ascii="宋体" w:hAnsi="宋体"/>
          <w:sz w:val="24"/>
          <w:szCs w:val="24"/>
        </w:rPr>
      </w:pPr>
      <w:r>
        <w:rPr>
          <w:rFonts w:hint="eastAsia" w:ascii="宋体" w:hAnsi="宋体"/>
          <w:sz w:val="24"/>
          <w:szCs w:val="24"/>
        </w:rPr>
        <w:t>（</w:t>
      </w:r>
      <w:r>
        <w:rPr>
          <w:rFonts w:ascii="宋体" w:hAnsi="宋体"/>
          <w:sz w:val="24"/>
          <w:szCs w:val="24"/>
        </w:rPr>
        <w:t>4）自</w:t>
      </w:r>
      <w:r>
        <w:rPr>
          <w:rFonts w:hint="eastAsia" w:ascii="宋体" w:hAnsi="宋体"/>
          <w:sz w:val="24"/>
          <w:szCs w:val="24"/>
        </w:rPr>
        <w:t>验收</w:t>
      </w:r>
      <w:r>
        <w:rPr>
          <w:rFonts w:ascii="宋体" w:hAnsi="宋体"/>
          <w:sz w:val="24"/>
          <w:szCs w:val="24"/>
        </w:rPr>
        <w:t>通过之日起，招标方享有供应商免费提供的1</w:t>
      </w:r>
      <w:r>
        <w:rPr>
          <w:rFonts w:hint="eastAsia" w:ascii="宋体" w:hAnsi="宋体"/>
          <w:sz w:val="24"/>
          <w:szCs w:val="24"/>
        </w:rPr>
        <w:t>个月</w:t>
      </w:r>
      <w:r>
        <w:rPr>
          <w:rFonts w:ascii="宋体" w:hAnsi="宋体"/>
          <w:sz w:val="24"/>
          <w:szCs w:val="24"/>
        </w:rPr>
        <w:t>的信息系统试运行现场驻场服务期。该期间内，供应商应当按照招标方的要求提供现场技术支持服务，解决信息系统试运行期间可能出现的各类问题，或进一步提高与完善信息系统运行水平。</w:t>
      </w:r>
    </w:p>
    <w:p>
      <w:pPr>
        <w:pStyle w:val="107"/>
        <w:snapToGrid w:val="0"/>
        <w:spacing w:line="360" w:lineRule="auto"/>
        <w:ind w:firstLine="48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初验</w:t>
      </w:r>
      <w:r>
        <w:rPr>
          <w:rFonts w:ascii="宋体" w:hAnsi="宋体"/>
          <w:sz w:val="24"/>
          <w:szCs w:val="24"/>
        </w:rPr>
        <w:t>通过且信息系统试运行期已经达到本项目约定的时间，经供应商确认信息系统具备正常运行条件，且信息系统通过运行测试，供应商应以书面形式通知招标方信息系统已准备就绪等待终验。招标方在收到终验通知后的发起组织专家验收会。</w:t>
      </w:r>
    </w:p>
    <w:p>
      <w:pPr>
        <w:pStyle w:val="107"/>
        <w:snapToGrid w:val="0"/>
        <w:spacing w:line="360" w:lineRule="auto"/>
        <w:ind w:firstLine="480"/>
        <w:rPr>
          <w:rFonts w:ascii="宋体" w:hAnsi="宋体"/>
          <w:sz w:val="24"/>
          <w:szCs w:val="24"/>
        </w:rPr>
      </w:pPr>
      <w:r>
        <w:rPr>
          <w:rFonts w:hint="eastAsia" w:ascii="宋体" w:hAnsi="宋体"/>
          <w:sz w:val="24"/>
          <w:szCs w:val="24"/>
        </w:rPr>
        <w:t>（6</w:t>
      </w:r>
      <w:r>
        <w:rPr>
          <w:rFonts w:ascii="宋体" w:hAnsi="宋体"/>
          <w:sz w:val="24"/>
          <w:szCs w:val="24"/>
        </w:rPr>
        <w:t>）如果属于供应商原因致使本项目未能通过</w:t>
      </w:r>
      <w:r>
        <w:rPr>
          <w:rFonts w:hint="eastAsia" w:ascii="宋体" w:hAnsi="宋体"/>
          <w:sz w:val="24"/>
          <w:szCs w:val="24"/>
        </w:rPr>
        <w:t>终验</w:t>
      </w:r>
      <w:r>
        <w:rPr>
          <w:rFonts w:ascii="宋体" w:hAnsi="宋体"/>
          <w:sz w:val="24"/>
          <w:szCs w:val="24"/>
        </w:rPr>
        <w:t>，供应商应当排除缺陷，直至本项目完全符合验收标准，由上述情形而产生的相关费用应由供应商自行承担。</w:t>
      </w:r>
    </w:p>
    <w:p>
      <w:pPr>
        <w:pStyle w:val="107"/>
        <w:snapToGrid w:val="0"/>
        <w:spacing w:line="360" w:lineRule="auto"/>
        <w:ind w:firstLine="480"/>
        <w:rPr>
          <w:rFonts w:ascii="宋体" w:hAnsi="宋体"/>
          <w:sz w:val="24"/>
          <w:szCs w:val="24"/>
        </w:rPr>
      </w:pPr>
      <w:r>
        <w:rPr>
          <w:rFonts w:hint="eastAsia" w:ascii="宋体" w:hAnsi="宋体"/>
          <w:sz w:val="24"/>
          <w:szCs w:val="24"/>
        </w:rPr>
        <w:t>（7</w:t>
      </w:r>
      <w:r>
        <w:rPr>
          <w:rFonts w:ascii="宋体" w:hAnsi="宋体"/>
          <w:sz w:val="24"/>
          <w:szCs w:val="24"/>
        </w:rPr>
        <w:t>）如果由于招标方原因导致本项目在</w:t>
      </w:r>
      <w:r>
        <w:rPr>
          <w:rFonts w:hint="eastAsia" w:ascii="宋体" w:hAnsi="宋体"/>
          <w:sz w:val="24"/>
          <w:szCs w:val="24"/>
        </w:rPr>
        <w:t>验收</w:t>
      </w:r>
      <w:r>
        <w:rPr>
          <w:rFonts w:ascii="宋体" w:hAnsi="宋体"/>
          <w:sz w:val="24"/>
          <w:szCs w:val="24"/>
        </w:rPr>
        <w:t>通过前出现故障或问题，供应商应及时配合排除该方面的故障或问题。</w:t>
      </w:r>
    </w:p>
    <w:p>
      <w:pPr>
        <w:pStyle w:val="107"/>
        <w:snapToGrid w:val="0"/>
        <w:spacing w:line="360" w:lineRule="auto"/>
        <w:ind w:firstLine="480"/>
        <w:rPr>
          <w:rFonts w:ascii="宋体" w:hAnsi="宋体"/>
          <w:sz w:val="24"/>
          <w:szCs w:val="24"/>
        </w:rPr>
      </w:pPr>
      <w:r>
        <w:rPr>
          <w:rFonts w:hint="eastAsia" w:ascii="宋体" w:hAnsi="宋体"/>
          <w:sz w:val="24"/>
          <w:szCs w:val="24"/>
        </w:rPr>
        <w:t>（8</w:t>
      </w:r>
      <w:r>
        <w:rPr>
          <w:rFonts w:ascii="宋体" w:hAnsi="宋体"/>
          <w:sz w:val="24"/>
          <w:szCs w:val="24"/>
        </w:rPr>
        <w:t>）如本项目连续3次验收未通过（含初验未通过或终验未通过），招标方有权解除项目，并有权依照本项目约定的违约条款追究供应商的违约责任。</w:t>
      </w:r>
    </w:p>
    <w:p>
      <w:pPr>
        <w:pStyle w:val="3"/>
        <w:ind w:left="567" w:leftChars="0" w:firstLine="0" w:firstLineChars="0"/>
      </w:pPr>
      <w:r>
        <w:rPr>
          <w:rFonts w:hint="eastAsia"/>
        </w:rPr>
        <w:t>进度要求</w:t>
      </w:r>
    </w:p>
    <w:p>
      <w:pPr>
        <w:pStyle w:val="107"/>
        <w:snapToGrid w:val="0"/>
        <w:spacing w:line="360" w:lineRule="auto"/>
        <w:ind w:firstLine="480"/>
        <w:rPr>
          <w:rFonts w:ascii="宋体" w:hAnsi="宋体"/>
          <w:sz w:val="24"/>
          <w:szCs w:val="24"/>
        </w:rPr>
      </w:pPr>
      <w:r>
        <w:rPr>
          <w:rFonts w:hint="eastAsia" w:ascii="宋体" w:hAnsi="宋体"/>
          <w:sz w:val="24"/>
          <w:szCs w:val="24"/>
        </w:rPr>
        <w:t>供应商应根据建设内容，分阶段制定合理的时间进度，并且应根据采购人要求进行调整和细化。本项目于合同签订后10个月内，完成项目建设和验收工作。</w:t>
      </w:r>
    </w:p>
    <w:p>
      <w:pPr>
        <w:pStyle w:val="107"/>
        <w:snapToGrid w:val="0"/>
        <w:spacing w:line="360" w:lineRule="auto"/>
        <w:ind w:firstLine="480"/>
        <w:rPr>
          <w:rFonts w:ascii="宋体" w:hAnsi="宋体"/>
          <w:sz w:val="24"/>
          <w:szCs w:val="24"/>
        </w:rPr>
      </w:pPr>
      <w:r>
        <w:rPr>
          <w:rFonts w:hint="eastAsia" w:ascii="宋体" w:hAnsi="宋体"/>
          <w:sz w:val="24"/>
          <w:szCs w:val="24"/>
        </w:rPr>
        <w:t>总建设周期分为三个阶段。</w:t>
      </w:r>
    </w:p>
    <w:p>
      <w:pPr>
        <w:pStyle w:val="107"/>
        <w:snapToGrid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第一阶段为合同签订之日起90天内，完成规划设计：</w:t>
      </w:r>
    </w:p>
    <w:p>
      <w:pPr>
        <w:pStyle w:val="107"/>
        <w:snapToGrid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第二阶段为合同签订之日起240天内,完成开发测试：</w:t>
      </w:r>
    </w:p>
    <w:p>
      <w:pPr>
        <w:pStyle w:val="107"/>
        <w:snapToGrid w:val="0"/>
        <w:spacing w:line="360" w:lineRule="auto"/>
        <w:ind w:firstLine="480"/>
        <w:rPr>
          <w:rFonts w:ascii="宋体" w:hAnsi="宋体"/>
          <w:sz w:val="24"/>
          <w:szCs w:val="24"/>
        </w:rPr>
      </w:pPr>
      <w:r>
        <w:rPr>
          <w:rFonts w:hint="eastAsia" w:asciiTheme="minorEastAsia" w:hAnsiTheme="minorEastAsia" w:eastAsiaTheme="minorEastAsia" w:cstheme="minorEastAsia"/>
          <w:sz w:val="24"/>
          <w:szCs w:val="24"/>
        </w:rPr>
        <w:t>第三阶段为合同签订之日起300天内，完成试运行和迭代</w:t>
      </w:r>
      <w:r>
        <w:rPr>
          <w:rFonts w:hint="eastAsia" w:ascii="宋体" w:hAnsi="宋体"/>
          <w:sz w:val="24"/>
          <w:szCs w:val="24"/>
        </w:rPr>
        <w:t>开发。</w:t>
      </w:r>
    </w:p>
    <w:p>
      <w:pPr>
        <w:pStyle w:val="3"/>
        <w:ind w:left="567" w:leftChars="0" w:firstLine="0" w:firstLineChars="0"/>
      </w:pPr>
      <w:r>
        <w:rPr>
          <w:rFonts w:hint="eastAsia"/>
        </w:rPr>
        <w:t>项目团队及驻场人员要求</w:t>
      </w:r>
    </w:p>
    <w:p>
      <w:pPr>
        <w:pStyle w:val="107"/>
        <w:numPr>
          <w:ilvl w:val="0"/>
          <w:numId w:val="11"/>
        </w:numPr>
        <w:snapToGrid w:val="0"/>
        <w:spacing w:line="360" w:lineRule="auto"/>
        <w:ind w:firstLineChars="0"/>
        <w:rPr>
          <w:rFonts w:ascii="宋体" w:hAnsi="宋体"/>
          <w:sz w:val="24"/>
          <w:szCs w:val="24"/>
        </w:rPr>
      </w:pPr>
      <w:r>
        <w:rPr>
          <w:rFonts w:ascii="宋体" w:hAnsi="宋体"/>
          <w:sz w:val="24"/>
          <w:szCs w:val="24"/>
        </w:rPr>
        <w:t>投标人须具有稳定的在职技术保障力量，能够提供及时的技术支援或服务，应针对本项目提供不少于10人的项目服务团队（包括项目经理、产品经理、技术负责人、研发等），投标单位的相关服务人员需具备相应的服务能力，需提供相关证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938"/>
        <w:gridCol w:w="709"/>
        <w:gridCol w:w="3529"/>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jc w:val="center"/>
              <w:rPr>
                <w:b/>
              </w:rPr>
            </w:pPr>
            <w:r>
              <w:rPr>
                <w:rFonts w:hint="eastAsia"/>
                <w:b/>
              </w:rPr>
              <w:t>角色</w:t>
            </w:r>
          </w:p>
        </w:tc>
        <w:tc>
          <w:tcPr>
            <w:tcW w:w="1938" w:type="dxa"/>
            <w:shd w:val="clear" w:color="auto" w:fill="auto"/>
            <w:noWrap/>
            <w:vAlign w:val="center"/>
          </w:tcPr>
          <w:p>
            <w:pPr>
              <w:jc w:val="center"/>
              <w:rPr>
                <w:b/>
              </w:rPr>
            </w:pPr>
            <w:r>
              <w:rPr>
                <w:rFonts w:hint="eastAsia"/>
                <w:b/>
              </w:rPr>
              <w:t>主要职责</w:t>
            </w:r>
          </w:p>
        </w:tc>
        <w:tc>
          <w:tcPr>
            <w:tcW w:w="709" w:type="dxa"/>
            <w:shd w:val="clear" w:color="auto" w:fill="auto"/>
            <w:noWrap/>
            <w:vAlign w:val="center"/>
          </w:tcPr>
          <w:p>
            <w:pPr>
              <w:jc w:val="center"/>
              <w:rPr>
                <w:b/>
              </w:rPr>
            </w:pPr>
            <w:r>
              <w:rPr>
                <w:rFonts w:hint="eastAsia"/>
                <w:b/>
              </w:rPr>
              <w:t>人员数量</w:t>
            </w:r>
          </w:p>
        </w:tc>
        <w:tc>
          <w:tcPr>
            <w:tcW w:w="3543" w:type="dxa"/>
            <w:vAlign w:val="center"/>
          </w:tcPr>
          <w:p>
            <w:pPr>
              <w:jc w:val="center"/>
              <w:rPr>
                <w:b/>
              </w:rPr>
            </w:pPr>
            <w:r>
              <w:rPr>
                <w:rFonts w:hint="eastAsia"/>
                <w:b/>
              </w:rPr>
              <w:t>人员要求</w:t>
            </w:r>
          </w:p>
        </w:tc>
        <w:tc>
          <w:tcPr>
            <w:tcW w:w="936" w:type="dxa"/>
            <w:shd w:val="clear" w:color="auto" w:fill="auto"/>
            <w:noWrap/>
            <w:vAlign w:val="center"/>
          </w:tcPr>
          <w:p>
            <w:pPr>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jc w:val="center"/>
            </w:pPr>
            <w:r>
              <w:rPr>
                <w:rFonts w:hint="eastAsia"/>
              </w:rPr>
              <w:t>项目经理</w:t>
            </w:r>
          </w:p>
        </w:tc>
        <w:tc>
          <w:tcPr>
            <w:tcW w:w="1938" w:type="dxa"/>
            <w:shd w:val="clear" w:color="auto" w:fill="auto"/>
            <w:vAlign w:val="center"/>
          </w:tcPr>
          <w:p>
            <w:pPr>
              <w:jc w:val="center"/>
            </w:pPr>
            <w:r>
              <w:rPr>
                <w:rFonts w:hint="eastAsia"/>
              </w:rPr>
              <w:t>负责项目质量和进度控制</w:t>
            </w:r>
          </w:p>
        </w:tc>
        <w:tc>
          <w:tcPr>
            <w:tcW w:w="709" w:type="dxa"/>
            <w:shd w:val="clear" w:color="auto" w:fill="auto"/>
            <w:noWrap/>
            <w:vAlign w:val="center"/>
          </w:tcPr>
          <w:p>
            <w:pPr>
              <w:jc w:val="center"/>
            </w:pPr>
            <w:r>
              <w:rPr>
                <w:rFonts w:hint="eastAsia"/>
              </w:rPr>
              <w:t>1人</w:t>
            </w:r>
          </w:p>
        </w:tc>
        <w:tc>
          <w:tcPr>
            <w:tcW w:w="3543" w:type="dxa"/>
            <w:vAlign w:val="center"/>
          </w:tcPr>
          <w:p>
            <w:pPr>
              <w:jc w:val="center"/>
            </w:pPr>
            <w:r>
              <w:rPr>
                <w:rFonts w:hint="eastAsia"/>
              </w:rPr>
              <w:t>具备</w:t>
            </w:r>
            <w:r>
              <w:t>信息系统项目管理师</w:t>
            </w:r>
            <w:r>
              <w:rPr>
                <w:rFonts w:hint="eastAsia"/>
              </w:rPr>
              <w:t>资质证书</w:t>
            </w:r>
          </w:p>
        </w:tc>
        <w:tc>
          <w:tcPr>
            <w:tcW w:w="936" w:type="dxa"/>
            <w:shd w:val="clear" w:color="auto" w:fill="auto"/>
            <w:noWrap/>
            <w:vAlign w:val="center"/>
          </w:tcPr>
          <w:p>
            <w:pPr>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jc w:val="center"/>
            </w:pPr>
            <w:r>
              <w:rPr>
                <w:rFonts w:hint="eastAsia"/>
              </w:rPr>
              <w:t>产品经理</w:t>
            </w:r>
          </w:p>
        </w:tc>
        <w:tc>
          <w:tcPr>
            <w:tcW w:w="1938" w:type="dxa"/>
            <w:shd w:val="clear" w:color="auto" w:fill="auto"/>
            <w:vAlign w:val="center"/>
          </w:tcPr>
          <w:p>
            <w:pPr>
              <w:jc w:val="center"/>
            </w:pPr>
            <w:r>
              <w:rPr>
                <w:rFonts w:hint="eastAsia"/>
              </w:rPr>
              <w:t>负责项目需求评估与产品设计</w:t>
            </w:r>
          </w:p>
        </w:tc>
        <w:tc>
          <w:tcPr>
            <w:tcW w:w="709" w:type="dxa"/>
            <w:shd w:val="clear" w:color="auto" w:fill="auto"/>
            <w:noWrap/>
            <w:vAlign w:val="center"/>
          </w:tcPr>
          <w:p>
            <w:pPr>
              <w:jc w:val="center"/>
            </w:pPr>
            <w:r>
              <w:rPr>
                <w:rFonts w:hint="eastAsia"/>
              </w:rPr>
              <w:t>1人</w:t>
            </w:r>
          </w:p>
        </w:tc>
        <w:tc>
          <w:tcPr>
            <w:tcW w:w="3543" w:type="dxa"/>
            <w:vAlign w:val="center"/>
          </w:tcPr>
          <w:p>
            <w:pPr>
              <w:jc w:val="center"/>
            </w:pPr>
            <w:r>
              <w:rPr>
                <w:rFonts w:hint="eastAsia"/>
              </w:rPr>
              <w:t>具备</w:t>
            </w:r>
            <w:r>
              <w:t>信息系统项目管理师</w:t>
            </w:r>
            <w:r>
              <w:rPr>
                <w:rFonts w:hint="eastAsia"/>
              </w:rPr>
              <w:t>资质证书</w:t>
            </w:r>
          </w:p>
        </w:tc>
        <w:tc>
          <w:tcPr>
            <w:tcW w:w="936" w:type="dxa"/>
            <w:shd w:val="clear" w:color="auto" w:fill="auto"/>
            <w:noWrap/>
            <w:vAlign w:val="center"/>
          </w:tcPr>
          <w:p>
            <w:pPr>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jc w:val="center"/>
            </w:pPr>
            <w:r>
              <w:rPr>
                <w:rFonts w:hint="eastAsia"/>
              </w:rPr>
              <w:t>技术负责人</w:t>
            </w:r>
          </w:p>
        </w:tc>
        <w:tc>
          <w:tcPr>
            <w:tcW w:w="1938" w:type="dxa"/>
            <w:shd w:val="clear" w:color="auto" w:fill="auto"/>
            <w:vAlign w:val="center"/>
          </w:tcPr>
          <w:p>
            <w:pPr>
              <w:jc w:val="center"/>
            </w:pPr>
            <w:r>
              <w:rPr>
                <w:rFonts w:hint="eastAsia"/>
              </w:rPr>
              <w:t>负责项目设计及框架建设</w:t>
            </w:r>
          </w:p>
        </w:tc>
        <w:tc>
          <w:tcPr>
            <w:tcW w:w="709" w:type="dxa"/>
            <w:shd w:val="clear" w:color="auto" w:fill="auto"/>
            <w:noWrap/>
            <w:vAlign w:val="center"/>
          </w:tcPr>
          <w:p>
            <w:pPr>
              <w:jc w:val="center"/>
            </w:pPr>
            <w:r>
              <w:rPr>
                <w:rFonts w:hint="eastAsia"/>
              </w:rPr>
              <w:t>1人</w:t>
            </w:r>
          </w:p>
        </w:tc>
        <w:tc>
          <w:tcPr>
            <w:tcW w:w="3543" w:type="dxa"/>
            <w:vAlign w:val="center"/>
          </w:tcPr>
          <w:p>
            <w:pPr>
              <w:jc w:val="center"/>
            </w:pPr>
            <w:r>
              <w:rPr>
                <w:rFonts w:hint="eastAsia"/>
              </w:rPr>
              <w:t>具备类似项目设计及框架建设经验</w:t>
            </w:r>
          </w:p>
        </w:tc>
        <w:tc>
          <w:tcPr>
            <w:tcW w:w="936" w:type="dxa"/>
            <w:shd w:val="clear" w:color="auto" w:fill="auto"/>
            <w:noWrap/>
            <w:vAlign w:val="center"/>
          </w:tcPr>
          <w:p>
            <w:pPr>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jc w:val="center"/>
            </w:pPr>
            <w:r>
              <w:rPr>
                <w:rFonts w:hint="eastAsia"/>
              </w:rPr>
              <w:t>研发</w:t>
            </w:r>
          </w:p>
        </w:tc>
        <w:tc>
          <w:tcPr>
            <w:tcW w:w="1938" w:type="dxa"/>
            <w:shd w:val="clear" w:color="auto" w:fill="auto"/>
            <w:noWrap/>
            <w:vAlign w:val="center"/>
          </w:tcPr>
          <w:p>
            <w:pPr>
              <w:jc w:val="center"/>
            </w:pPr>
            <w:r>
              <w:rPr>
                <w:rFonts w:hint="eastAsia"/>
              </w:rPr>
              <w:t>负责项目具体开发与实施</w:t>
            </w:r>
          </w:p>
        </w:tc>
        <w:tc>
          <w:tcPr>
            <w:tcW w:w="709" w:type="dxa"/>
            <w:shd w:val="clear" w:color="auto" w:fill="auto"/>
            <w:noWrap/>
            <w:vAlign w:val="center"/>
          </w:tcPr>
          <w:p>
            <w:pPr>
              <w:jc w:val="center"/>
            </w:pPr>
            <w:r>
              <w:rPr>
                <w:rFonts w:hint="eastAsia"/>
              </w:rPr>
              <w:t>6人</w:t>
            </w:r>
          </w:p>
        </w:tc>
        <w:tc>
          <w:tcPr>
            <w:tcW w:w="3543" w:type="dxa"/>
            <w:vAlign w:val="center"/>
          </w:tcPr>
          <w:p>
            <w:pPr>
              <w:jc w:val="center"/>
            </w:pPr>
            <w:r>
              <w:rPr>
                <w:rFonts w:hint="eastAsia"/>
              </w:rPr>
              <w:t>具备类似信息系统开发经验</w:t>
            </w:r>
          </w:p>
        </w:tc>
        <w:tc>
          <w:tcPr>
            <w:tcW w:w="936" w:type="dxa"/>
            <w:shd w:val="clear" w:color="auto" w:fill="auto"/>
            <w:noWrap/>
            <w:vAlign w:val="center"/>
          </w:tcPr>
          <w:p>
            <w:pPr>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jc w:val="center"/>
            </w:pPr>
            <w:r>
              <w:rPr>
                <w:rFonts w:hint="eastAsia"/>
              </w:rPr>
              <w:t>质量管理</w:t>
            </w:r>
          </w:p>
        </w:tc>
        <w:tc>
          <w:tcPr>
            <w:tcW w:w="1938" w:type="dxa"/>
            <w:shd w:val="clear" w:color="auto" w:fill="auto"/>
            <w:noWrap/>
            <w:vAlign w:val="center"/>
          </w:tcPr>
          <w:p>
            <w:pPr>
              <w:jc w:val="center"/>
            </w:pPr>
            <w:r>
              <w:rPr>
                <w:rFonts w:hint="eastAsia"/>
              </w:rPr>
              <w:t>负责项目质量管理及质量控制</w:t>
            </w:r>
          </w:p>
        </w:tc>
        <w:tc>
          <w:tcPr>
            <w:tcW w:w="709" w:type="dxa"/>
            <w:shd w:val="clear" w:color="auto" w:fill="auto"/>
            <w:noWrap/>
            <w:vAlign w:val="center"/>
          </w:tcPr>
          <w:p>
            <w:pPr>
              <w:jc w:val="center"/>
            </w:pPr>
            <w:r>
              <w:rPr>
                <w:rFonts w:hint="eastAsia"/>
              </w:rPr>
              <w:t>1人</w:t>
            </w:r>
          </w:p>
        </w:tc>
        <w:tc>
          <w:tcPr>
            <w:tcW w:w="3543" w:type="dxa"/>
            <w:vAlign w:val="center"/>
          </w:tcPr>
          <w:p>
            <w:r>
              <w:rPr>
                <w:rFonts w:hint="eastAsia"/>
              </w:rPr>
              <w:t>具备类似信息系统质量管理经验</w:t>
            </w:r>
          </w:p>
        </w:tc>
        <w:tc>
          <w:tcPr>
            <w:tcW w:w="936" w:type="dxa"/>
            <w:shd w:val="clear" w:color="auto" w:fill="auto"/>
            <w:noWrap/>
            <w:vAlign w:val="center"/>
          </w:tcPr>
          <w:p>
            <w:pPr>
              <w:jc w:val="center"/>
            </w:pPr>
            <w:r>
              <w:rPr>
                <w:rFonts w:hint="eastAsia"/>
              </w:rPr>
              <w:t>不驻场</w:t>
            </w:r>
          </w:p>
        </w:tc>
      </w:tr>
    </w:tbl>
    <w:p>
      <w:pPr>
        <w:pStyle w:val="107"/>
        <w:numPr>
          <w:ilvl w:val="0"/>
          <w:numId w:val="11"/>
        </w:numPr>
        <w:snapToGrid w:val="0"/>
        <w:spacing w:line="360" w:lineRule="auto"/>
        <w:ind w:firstLineChars="0"/>
        <w:rPr>
          <w:rFonts w:ascii="宋体" w:hAnsi="宋体"/>
          <w:sz w:val="24"/>
          <w:szCs w:val="24"/>
        </w:rPr>
      </w:pPr>
      <w:r>
        <w:rPr>
          <w:rFonts w:ascii="宋体" w:hAnsi="宋体"/>
          <w:sz w:val="24"/>
          <w:szCs w:val="24"/>
        </w:rPr>
        <w:t>投标人应针对本项目提供不少于4人的质保期间支撑团队（其中技术经理1人，产品经理1人，技术工程师不少于2人）；投标人的相关服务人员需具备相应的服务能力，需提供相关证明（最近一个季度依法缴纳社保费的证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698"/>
        <w:gridCol w:w="709"/>
        <w:gridCol w:w="3543"/>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0" w:type="auto"/>
            <w:shd w:val="clear" w:color="auto" w:fill="auto"/>
            <w:noWrap/>
            <w:vAlign w:val="center"/>
          </w:tcPr>
          <w:p>
            <w:pPr>
              <w:jc w:val="center"/>
              <w:rPr>
                <w:b/>
              </w:rPr>
            </w:pPr>
            <w:r>
              <w:rPr>
                <w:rFonts w:hint="eastAsia"/>
                <w:b/>
              </w:rPr>
              <w:t>角色</w:t>
            </w:r>
          </w:p>
        </w:tc>
        <w:tc>
          <w:tcPr>
            <w:tcW w:w="1698" w:type="dxa"/>
            <w:shd w:val="clear" w:color="auto" w:fill="auto"/>
            <w:noWrap/>
            <w:vAlign w:val="center"/>
          </w:tcPr>
          <w:p>
            <w:pPr>
              <w:jc w:val="center"/>
              <w:rPr>
                <w:b/>
              </w:rPr>
            </w:pPr>
            <w:r>
              <w:rPr>
                <w:rFonts w:hint="eastAsia"/>
                <w:b/>
              </w:rPr>
              <w:t>主要职责</w:t>
            </w:r>
          </w:p>
        </w:tc>
        <w:tc>
          <w:tcPr>
            <w:tcW w:w="709" w:type="dxa"/>
            <w:shd w:val="clear" w:color="auto" w:fill="auto"/>
            <w:noWrap/>
            <w:vAlign w:val="center"/>
          </w:tcPr>
          <w:p>
            <w:pPr>
              <w:jc w:val="center"/>
              <w:rPr>
                <w:b/>
              </w:rPr>
            </w:pPr>
            <w:r>
              <w:rPr>
                <w:rFonts w:hint="eastAsia"/>
                <w:b/>
              </w:rPr>
              <w:t>人员数量</w:t>
            </w:r>
          </w:p>
        </w:tc>
        <w:tc>
          <w:tcPr>
            <w:tcW w:w="3543" w:type="dxa"/>
            <w:vAlign w:val="center"/>
          </w:tcPr>
          <w:p>
            <w:pPr>
              <w:jc w:val="center"/>
              <w:rPr>
                <w:b/>
              </w:rPr>
            </w:pPr>
            <w:r>
              <w:rPr>
                <w:rFonts w:hint="eastAsia"/>
                <w:b/>
              </w:rPr>
              <w:t>人员要求</w:t>
            </w:r>
          </w:p>
        </w:tc>
        <w:tc>
          <w:tcPr>
            <w:tcW w:w="936" w:type="dxa"/>
            <w:shd w:val="clear" w:color="auto" w:fill="auto"/>
            <w:noWrap/>
            <w:vAlign w:val="center"/>
          </w:tcPr>
          <w:p>
            <w:pPr>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jc w:val="center"/>
            </w:pPr>
            <w:r>
              <w:rPr>
                <w:rFonts w:hint="eastAsia"/>
              </w:rPr>
              <w:t>项目经理</w:t>
            </w:r>
          </w:p>
        </w:tc>
        <w:tc>
          <w:tcPr>
            <w:tcW w:w="1698" w:type="dxa"/>
            <w:shd w:val="clear" w:color="auto" w:fill="auto"/>
            <w:vAlign w:val="center"/>
          </w:tcPr>
          <w:p>
            <w:pPr>
              <w:jc w:val="center"/>
            </w:pPr>
            <w:r>
              <w:rPr>
                <w:rFonts w:hint="eastAsia"/>
              </w:rPr>
              <w:t>负责项目质量和进度控制</w:t>
            </w:r>
          </w:p>
        </w:tc>
        <w:tc>
          <w:tcPr>
            <w:tcW w:w="709" w:type="dxa"/>
            <w:shd w:val="clear" w:color="auto" w:fill="auto"/>
            <w:noWrap/>
            <w:vAlign w:val="center"/>
          </w:tcPr>
          <w:p>
            <w:pPr>
              <w:jc w:val="center"/>
            </w:pPr>
            <w:r>
              <w:rPr>
                <w:rFonts w:hint="eastAsia"/>
              </w:rPr>
              <w:t>1人</w:t>
            </w:r>
          </w:p>
        </w:tc>
        <w:tc>
          <w:tcPr>
            <w:tcW w:w="3543" w:type="dxa"/>
            <w:vAlign w:val="center"/>
          </w:tcPr>
          <w:p>
            <w:pPr>
              <w:jc w:val="center"/>
            </w:pPr>
            <w:r>
              <w:rPr>
                <w:rFonts w:hint="eastAsia"/>
              </w:rPr>
              <w:t>具备</w:t>
            </w:r>
            <w:r>
              <w:t>信息系统项目管理师</w:t>
            </w:r>
            <w:r>
              <w:rPr>
                <w:rFonts w:hint="eastAsia"/>
              </w:rPr>
              <w:t>资质证书</w:t>
            </w:r>
          </w:p>
        </w:tc>
        <w:tc>
          <w:tcPr>
            <w:tcW w:w="936" w:type="dxa"/>
            <w:shd w:val="clear" w:color="auto" w:fill="auto"/>
            <w:noWrap/>
            <w:vAlign w:val="center"/>
          </w:tcPr>
          <w:p>
            <w:pPr>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jc w:val="center"/>
            </w:pPr>
            <w:r>
              <w:rPr>
                <w:rFonts w:hint="eastAsia"/>
              </w:rPr>
              <w:t>产品经理</w:t>
            </w:r>
          </w:p>
        </w:tc>
        <w:tc>
          <w:tcPr>
            <w:tcW w:w="1698" w:type="dxa"/>
            <w:shd w:val="clear" w:color="auto" w:fill="auto"/>
            <w:vAlign w:val="center"/>
          </w:tcPr>
          <w:p>
            <w:pPr>
              <w:jc w:val="center"/>
            </w:pPr>
            <w:r>
              <w:rPr>
                <w:rFonts w:hint="eastAsia"/>
              </w:rPr>
              <w:t>负责项目需求评估与产品设计</w:t>
            </w:r>
          </w:p>
        </w:tc>
        <w:tc>
          <w:tcPr>
            <w:tcW w:w="709" w:type="dxa"/>
            <w:shd w:val="clear" w:color="auto" w:fill="auto"/>
            <w:noWrap/>
            <w:vAlign w:val="center"/>
          </w:tcPr>
          <w:p>
            <w:pPr>
              <w:jc w:val="center"/>
            </w:pPr>
            <w:r>
              <w:rPr>
                <w:rFonts w:hint="eastAsia"/>
              </w:rPr>
              <w:t>1人</w:t>
            </w:r>
          </w:p>
        </w:tc>
        <w:tc>
          <w:tcPr>
            <w:tcW w:w="3543" w:type="dxa"/>
            <w:vAlign w:val="center"/>
          </w:tcPr>
          <w:p>
            <w:pPr>
              <w:jc w:val="center"/>
            </w:pPr>
            <w:r>
              <w:rPr>
                <w:rFonts w:hint="eastAsia"/>
              </w:rPr>
              <w:t>具备</w:t>
            </w:r>
            <w:r>
              <w:t>信息系统项目管理师</w:t>
            </w:r>
            <w:r>
              <w:rPr>
                <w:rFonts w:hint="eastAsia"/>
              </w:rPr>
              <w:t>资质证书</w:t>
            </w:r>
          </w:p>
        </w:tc>
        <w:tc>
          <w:tcPr>
            <w:tcW w:w="936" w:type="dxa"/>
            <w:shd w:val="clear" w:color="auto" w:fill="auto"/>
            <w:noWrap/>
            <w:vAlign w:val="center"/>
          </w:tcPr>
          <w:p>
            <w:pPr>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jc w:val="center"/>
            </w:pPr>
            <w:r>
              <w:rPr>
                <w:rFonts w:hint="eastAsia"/>
              </w:rPr>
              <w:t>技术工程师</w:t>
            </w:r>
          </w:p>
        </w:tc>
        <w:tc>
          <w:tcPr>
            <w:tcW w:w="1698" w:type="dxa"/>
            <w:shd w:val="clear" w:color="auto" w:fill="auto"/>
            <w:noWrap/>
            <w:vAlign w:val="center"/>
          </w:tcPr>
          <w:p>
            <w:pPr>
              <w:jc w:val="center"/>
            </w:pPr>
            <w:r>
              <w:rPr>
                <w:rFonts w:hint="eastAsia"/>
              </w:rPr>
              <w:t>负责项目运行维护</w:t>
            </w:r>
          </w:p>
        </w:tc>
        <w:tc>
          <w:tcPr>
            <w:tcW w:w="709" w:type="dxa"/>
            <w:shd w:val="clear" w:color="auto" w:fill="auto"/>
            <w:noWrap/>
            <w:vAlign w:val="center"/>
          </w:tcPr>
          <w:p>
            <w:pPr>
              <w:jc w:val="center"/>
            </w:pPr>
            <w:r>
              <w:t>2</w:t>
            </w:r>
            <w:r>
              <w:rPr>
                <w:rFonts w:hint="eastAsia"/>
              </w:rPr>
              <w:t>人</w:t>
            </w:r>
          </w:p>
        </w:tc>
        <w:tc>
          <w:tcPr>
            <w:tcW w:w="3543" w:type="dxa"/>
            <w:vAlign w:val="center"/>
          </w:tcPr>
          <w:p>
            <w:pPr>
              <w:jc w:val="center"/>
            </w:pPr>
            <w:r>
              <w:rPr>
                <w:rFonts w:cs="仿宋"/>
              </w:rPr>
              <w:t>具备类似项目维护经验</w:t>
            </w:r>
          </w:p>
        </w:tc>
        <w:tc>
          <w:tcPr>
            <w:tcW w:w="936" w:type="dxa"/>
            <w:shd w:val="clear" w:color="auto" w:fill="auto"/>
            <w:noWrap/>
            <w:vAlign w:val="center"/>
          </w:tcPr>
          <w:p>
            <w:pPr>
              <w:jc w:val="center"/>
            </w:pPr>
            <w:r>
              <w:rPr>
                <w:rFonts w:hint="eastAsia"/>
              </w:rPr>
              <w:t>驻场</w:t>
            </w:r>
          </w:p>
        </w:tc>
      </w:tr>
    </w:tbl>
    <w:p/>
    <w:p>
      <w:pPr>
        <w:pStyle w:val="3"/>
        <w:ind w:left="567" w:leftChars="0" w:firstLine="0" w:firstLineChars="0"/>
      </w:pPr>
      <w:r>
        <w:t>等级保护要求</w:t>
      </w:r>
    </w:p>
    <w:p>
      <w:pPr>
        <w:pStyle w:val="107"/>
        <w:snapToGrid w:val="0"/>
        <w:spacing w:line="360" w:lineRule="auto"/>
        <w:ind w:firstLine="480"/>
        <w:rPr>
          <w:rFonts w:ascii="宋体" w:hAnsi="宋体"/>
          <w:sz w:val="24"/>
          <w:szCs w:val="24"/>
        </w:rPr>
      </w:pPr>
      <w:r>
        <w:rPr>
          <w:rFonts w:hint="eastAsia" w:ascii="宋体" w:hAnsi="宋体"/>
          <w:sz w:val="24"/>
          <w:szCs w:val="24"/>
        </w:rPr>
        <w:t>本项目应满足三级等保的安全规范要求。供应商应配合第三方测评机构完成等保测评工作。</w:t>
      </w:r>
    </w:p>
    <w:p>
      <w:pPr>
        <w:pStyle w:val="3"/>
        <w:ind w:left="567" w:leftChars="0" w:firstLine="0" w:firstLineChars="0"/>
      </w:pPr>
      <w:r>
        <w:rPr>
          <w:rFonts w:hint="eastAsia"/>
        </w:rPr>
        <w:t>商业密码应用要求</w:t>
      </w:r>
    </w:p>
    <w:p>
      <w:pPr>
        <w:pStyle w:val="107"/>
        <w:snapToGrid w:val="0"/>
        <w:spacing w:line="360" w:lineRule="auto"/>
        <w:ind w:firstLine="480"/>
        <w:rPr>
          <w:rFonts w:ascii="宋体" w:hAnsi="宋体"/>
          <w:sz w:val="24"/>
          <w:szCs w:val="24"/>
        </w:rPr>
      </w:pPr>
      <w:r>
        <w:rPr>
          <w:rFonts w:hint="eastAsia" w:ascii="宋体" w:hAnsi="宋体"/>
          <w:sz w:val="24"/>
          <w:szCs w:val="24"/>
        </w:rPr>
        <w:t>本项目应满足GB/T 39786-2021《信息安全技术 信息系统密码应用基本要求》第三级信息系统要求。供应商应免费协助建设单位向上海市大数据中心申请商业密码应用的相关资源。供应商应配合第三方测评机构完成商用密码测评工作。</w:t>
      </w:r>
    </w:p>
    <w:p>
      <w:pPr>
        <w:pStyle w:val="107"/>
        <w:snapToGrid w:val="0"/>
        <w:spacing w:line="360" w:lineRule="auto"/>
        <w:ind w:firstLine="480"/>
        <w:rPr>
          <w:rFonts w:ascii="宋体" w:hAnsi="宋体"/>
          <w:sz w:val="24"/>
          <w:szCs w:val="24"/>
        </w:rPr>
      </w:pPr>
    </w:p>
    <w:tbl>
      <w:tblPr>
        <w:tblStyle w:val="36"/>
        <w:tblW w:w="4998" w:type="pct"/>
        <w:tblInd w:w="0" w:type="dxa"/>
        <w:tblLayout w:type="autofit"/>
        <w:tblCellMar>
          <w:top w:w="0" w:type="dxa"/>
          <w:left w:w="108" w:type="dxa"/>
          <w:bottom w:w="0" w:type="dxa"/>
          <w:right w:w="108" w:type="dxa"/>
        </w:tblCellMar>
      </w:tblPr>
      <w:tblGrid>
        <w:gridCol w:w="1218"/>
        <w:gridCol w:w="1217"/>
        <w:gridCol w:w="1218"/>
        <w:gridCol w:w="1218"/>
        <w:gridCol w:w="1218"/>
        <w:gridCol w:w="1218"/>
        <w:gridCol w:w="1218"/>
      </w:tblGrid>
      <w:tr>
        <w:tblPrEx>
          <w:tblCellMar>
            <w:top w:w="0" w:type="dxa"/>
            <w:left w:w="108" w:type="dxa"/>
            <w:bottom w:w="0" w:type="dxa"/>
            <w:right w:w="108" w:type="dxa"/>
          </w:tblCellMar>
        </w:tblPrEx>
        <w:trPr>
          <w:trHeight w:val="320" w:hRule="atLeast"/>
          <w:tblHeader/>
        </w:trPr>
        <w:tc>
          <w:tcPr>
            <w:tcW w:w="715"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jc w:val="center"/>
              <w:rPr>
                <w:rFonts w:asciiTheme="minorEastAsia" w:hAnsiTheme="minorEastAsia" w:eastAsiaTheme="minorEastAsia"/>
                <w:b/>
                <w:bCs/>
                <w:color w:val="000000"/>
              </w:rPr>
            </w:pPr>
            <w:r>
              <w:rPr>
                <w:rFonts w:hint="eastAsia" w:asciiTheme="minorEastAsia" w:hAnsiTheme="minorEastAsia" w:eastAsiaTheme="minorEastAsia"/>
                <w:b/>
                <w:bCs/>
                <w:color w:val="000000"/>
              </w:rPr>
              <w:t>指标要求</w:t>
            </w:r>
          </w:p>
        </w:tc>
        <w:tc>
          <w:tcPr>
            <w:tcW w:w="714"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jc w:val="center"/>
              <w:rPr>
                <w:rFonts w:asciiTheme="minorEastAsia" w:hAnsiTheme="minorEastAsia" w:eastAsiaTheme="minorEastAsia"/>
                <w:b/>
                <w:bCs/>
                <w:color w:val="000000"/>
              </w:rPr>
            </w:pPr>
            <w:r>
              <w:rPr>
                <w:rFonts w:hint="eastAsia" w:asciiTheme="minorEastAsia" w:hAnsiTheme="minorEastAsia" w:eastAsiaTheme="minorEastAsia"/>
                <w:b/>
                <w:bCs/>
                <w:color w:val="000000"/>
              </w:rPr>
              <w:t>密码技术应用点</w:t>
            </w:r>
          </w:p>
        </w:tc>
        <w:tc>
          <w:tcPr>
            <w:tcW w:w="714"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jc w:val="center"/>
              <w:rPr>
                <w:rFonts w:asciiTheme="minorEastAsia" w:hAnsiTheme="minorEastAsia" w:eastAsiaTheme="minorEastAsia"/>
                <w:b/>
                <w:bCs/>
                <w:color w:val="000000"/>
              </w:rPr>
            </w:pPr>
            <w:r>
              <w:rPr>
                <w:rFonts w:hint="eastAsia" w:asciiTheme="minorEastAsia" w:hAnsiTheme="minorEastAsia" w:eastAsiaTheme="minorEastAsia"/>
                <w:b/>
                <w:bCs/>
                <w:color w:val="000000"/>
              </w:rPr>
              <w:t>GB/T 39786密码应用基本要求</w:t>
            </w:r>
          </w:p>
        </w:tc>
        <w:tc>
          <w:tcPr>
            <w:tcW w:w="714" w:type="pct"/>
            <w:tcBorders>
              <w:top w:val="single" w:color="auto" w:sz="8" w:space="0"/>
              <w:left w:val="nil"/>
              <w:bottom w:val="nil"/>
              <w:right w:val="single" w:color="auto" w:sz="8" w:space="0"/>
            </w:tcBorders>
            <w:shd w:val="clear" w:color="auto" w:fill="auto"/>
            <w:vAlign w:val="center"/>
          </w:tcPr>
          <w:p>
            <w:pPr>
              <w:jc w:val="center"/>
              <w:rPr>
                <w:rFonts w:asciiTheme="minorEastAsia" w:hAnsiTheme="minorEastAsia" w:eastAsiaTheme="minorEastAsia"/>
                <w:b/>
                <w:bCs/>
                <w:color w:val="000000"/>
              </w:rPr>
            </w:pPr>
            <w:r>
              <w:rPr>
                <w:rFonts w:hint="eastAsia" w:asciiTheme="minorEastAsia" w:hAnsiTheme="minorEastAsia" w:eastAsiaTheme="minorEastAsia"/>
                <w:b/>
                <w:bCs/>
                <w:color w:val="000000"/>
              </w:rPr>
              <w:t>适用情况</w:t>
            </w:r>
          </w:p>
        </w:tc>
        <w:tc>
          <w:tcPr>
            <w:tcW w:w="714"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jc w:val="center"/>
              <w:rPr>
                <w:rFonts w:asciiTheme="minorEastAsia" w:hAnsiTheme="minorEastAsia" w:eastAsiaTheme="minorEastAsia"/>
                <w:b/>
                <w:bCs/>
                <w:color w:val="000000"/>
              </w:rPr>
            </w:pPr>
            <w:r>
              <w:rPr>
                <w:rFonts w:hint="eastAsia" w:asciiTheme="minorEastAsia" w:hAnsiTheme="minorEastAsia" w:eastAsiaTheme="minorEastAsia"/>
                <w:b/>
                <w:bCs/>
                <w:color w:val="000000"/>
              </w:rPr>
              <w:t>采取的密码保障措施</w:t>
            </w:r>
          </w:p>
        </w:tc>
        <w:tc>
          <w:tcPr>
            <w:tcW w:w="714" w:type="pct"/>
            <w:tcBorders>
              <w:top w:val="single" w:color="auto" w:sz="8" w:space="0"/>
              <w:left w:val="nil"/>
              <w:bottom w:val="nil"/>
              <w:right w:val="single" w:color="auto" w:sz="8" w:space="0"/>
            </w:tcBorders>
            <w:shd w:val="clear" w:color="auto" w:fill="auto"/>
            <w:vAlign w:val="center"/>
          </w:tcPr>
          <w:p>
            <w:pPr>
              <w:jc w:val="center"/>
              <w:rPr>
                <w:rFonts w:asciiTheme="minorEastAsia" w:hAnsiTheme="minorEastAsia" w:eastAsiaTheme="minorEastAsia"/>
                <w:b/>
                <w:bCs/>
                <w:color w:val="000000"/>
              </w:rPr>
            </w:pPr>
            <w:r>
              <w:rPr>
                <w:rFonts w:hint="eastAsia" w:asciiTheme="minorEastAsia" w:hAnsiTheme="minorEastAsia" w:eastAsiaTheme="minorEastAsia"/>
                <w:b/>
                <w:bCs/>
                <w:color w:val="000000"/>
              </w:rPr>
              <w:t>说明</w:t>
            </w:r>
          </w:p>
        </w:tc>
        <w:tc>
          <w:tcPr>
            <w:tcW w:w="714" w:type="pct"/>
            <w:tcBorders>
              <w:top w:val="single" w:color="auto" w:sz="8" w:space="0"/>
              <w:left w:val="nil"/>
              <w:bottom w:val="nil"/>
              <w:right w:val="single" w:color="auto" w:sz="8" w:space="0"/>
            </w:tcBorders>
            <w:shd w:val="clear" w:color="auto" w:fill="auto"/>
            <w:vAlign w:val="center"/>
          </w:tcPr>
          <w:p>
            <w:pPr>
              <w:jc w:val="center"/>
              <w:rPr>
                <w:rFonts w:asciiTheme="minorEastAsia" w:hAnsiTheme="minorEastAsia" w:eastAsiaTheme="minorEastAsia"/>
                <w:b/>
                <w:bCs/>
                <w:color w:val="000000"/>
              </w:rPr>
            </w:pPr>
            <w:r>
              <w:rPr>
                <w:rFonts w:hint="eastAsia" w:asciiTheme="minorEastAsia" w:hAnsiTheme="minorEastAsia" w:eastAsiaTheme="minorEastAsia"/>
                <w:b/>
                <w:bCs/>
                <w:color w:val="000000"/>
              </w:rPr>
              <w:t>自评结果</w:t>
            </w:r>
          </w:p>
        </w:tc>
      </w:tr>
      <w:tr>
        <w:tblPrEx>
          <w:tblCellMar>
            <w:top w:w="0" w:type="dxa"/>
            <w:left w:w="108" w:type="dxa"/>
            <w:bottom w:w="0" w:type="dxa"/>
            <w:right w:w="108" w:type="dxa"/>
          </w:tblCellMar>
        </w:tblPrEx>
        <w:trPr>
          <w:trHeight w:val="980" w:hRule="atLeast"/>
          <w:tblHeader/>
        </w:trPr>
        <w:tc>
          <w:tcPr>
            <w:tcW w:w="715" w:type="pct"/>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eastAsiaTheme="minorEastAsia"/>
                <w:b/>
                <w:bCs/>
                <w:color w:val="000000"/>
              </w:rPr>
            </w:pPr>
          </w:p>
        </w:tc>
        <w:tc>
          <w:tcPr>
            <w:tcW w:w="714" w:type="pct"/>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eastAsiaTheme="minorEastAsia"/>
                <w:b/>
                <w:bCs/>
                <w:color w:val="000000"/>
              </w:rPr>
            </w:pPr>
          </w:p>
        </w:tc>
        <w:tc>
          <w:tcPr>
            <w:tcW w:w="714" w:type="pct"/>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eastAsiaTheme="minorEastAsia"/>
                <w:b/>
                <w:bCs/>
                <w:color w:val="000000"/>
              </w:rPr>
            </w:pP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b/>
                <w:bCs/>
                <w:color w:val="000000"/>
              </w:rPr>
            </w:pPr>
            <w:r>
              <w:rPr>
                <w:rFonts w:hint="eastAsia" w:asciiTheme="minorEastAsia" w:hAnsiTheme="minorEastAsia" w:eastAsiaTheme="minorEastAsia"/>
                <w:b/>
                <w:bCs/>
                <w:color w:val="000000"/>
              </w:rPr>
              <w:t>（适用/不适用）</w:t>
            </w:r>
          </w:p>
        </w:tc>
        <w:tc>
          <w:tcPr>
            <w:tcW w:w="714" w:type="pct"/>
            <w:vMerge w:val="continue"/>
            <w:tcBorders>
              <w:top w:val="single" w:color="auto" w:sz="8" w:space="0"/>
              <w:left w:val="single" w:color="auto" w:sz="8" w:space="0"/>
              <w:bottom w:val="single" w:color="000000" w:sz="8" w:space="0"/>
              <w:right w:val="single" w:color="auto" w:sz="8" w:space="0"/>
            </w:tcBorders>
            <w:vAlign w:val="center"/>
          </w:tcPr>
          <w:p>
            <w:pPr>
              <w:rPr>
                <w:rFonts w:asciiTheme="minorEastAsia" w:hAnsiTheme="minorEastAsia" w:eastAsiaTheme="minorEastAsia"/>
                <w:b/>
                <w:bCs/>
                <w:color w:val="000000"/>
              </w:rPr>
            </w:pP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b/>
                <w:bCs/>
                <w:color w:val="000000"/>
              </w:rPr>
            </w:pPr>
            <w:r>
              <w:rPr>
                <w:rFonts w:hint="eastAsia" w:asciiTheme="minorEastAsia" w:hAnsiTheme="minorEastAsia" w:eastAsiaTheme="minorEastAsia"/>
                <w:b/>
                <w:bCs/>
                <w:color w:val="000000"/>
              </w:rPr>
              <w:t>（如采取的缓解及替代性措施）</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b/>
                <w:bCs/>
                <w:color w:val="000000"/>
              </w:rPr>
            </w:pPr>
            <w:r>
              <w:rPr>
                <w:rFonts w:hint="eastAsia" w:asciiTheme="minorEastAsia" w:hAnsiTheme="minorEastAsia" w:eastAsiaTheme="minorEastAsia"/>
                <w:b/>
                <w:bCs/>
                <w:color w:val="000000"/>
              </w:rPr>
              <w:t>（通过/未通过）</w:t>
            </w:r>
          </w:p>
        </w:tc>
      </w:tr>
      <w:tr>
        <w:tblPrEx>
          <w:tblCellMar>
            <w:top w:w="0" w:type="dxa"/>
            <w:left w:w="108" w:type="dxa"/>
            <w:bottom w:w="0" w:type="dxa"/>
            <w:right w:w="108" w:type="dxa"/>
          </w:tblCellMar>
        </w:tblPrEx>
        <w:trPr>
          <w:trHeight w:val="1620" w:hRule="atLeast"/>
        </w:trPr>
        <w:tc>
          <w:tcPr>
            <w:tcW w:w="715" w:type="pct"/>
            <w:vMerge w:val="restart"/>
            <w:tcBorders>
              <w:top w:val="nil"/>
              <w:left w:val="single" w:color="auto" w:sz="8" w:space="0"/>
              <w:bottom w:val="single" w:color="000000"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物理和环境安全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身份鉴别</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由云平台提供安全保障。复用云平台密评结果。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98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电子门禁记录数据存储完整性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vMerge w:val="restart"/>
            <w:tcBorders>
              <w:top w:val="nil"/>
              <w:left w:val="single" w:color="auto" w:sz="8" w:space="0"/>
              <w:bottom w:val="single" w:color="000000"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由云平台提供安全保障。复用云平台密评结果。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98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视频监控记录数据存储完整性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2560" w:hRule="atLeast"/>
        </w:trPr>
        <w:tc>
          <w:tcPr>
            <w:tcW w:w="715" w:type="pct"/>
            <w:vMerge w:val="restart"/>
            <w:tcBorders>
              <w:top w:val="nil"/>
              <w:left w:val="single" w:color="auto" w:sz="8" w:space="0"/>
              <w:bottom w:val="single" w:color="000000"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网络和通信安全</w:t>
            </w:r>
          </w:p>
        </w:tc>
        <w:tc>
          <w:tcPr>
            <w:tcW w:w="714" w:type="pct"/>
            <w:vMerge w:val="restart"/>
            <w:tcBorders>
              <w:top w:val="nil"/>
              <w:left w:val="single" w:color="auto" w:sz="8" w:space="0"/>
              <w:bottom w:val="single" w:color="000000"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身份鉴别</w:t>
            </w:r>
          </w:p>
        </w:tc>
        <w:tc>
          <w:tcPr>
            <w:tcW w:w="714" w:type="pct"/>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nil"/>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通过调用密码支撑平台部署的安全认证网关服务，对业务通信链路的服务端进行身份鉴别；</w:t>
            </w:r>
          </w:p>
        </w:tc>
        <w:tc>
          <w:tcPr>
            <w:tcW w:w="714" w:type="pct"/>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354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通过调用云平台部署的SSL VPN，对运维管理链路的服务端进行身份鉴别。（远程运维通信信道复用云平台密评结果。）</w:t>
            </w:r>
          </w:p>
        </w:tc>
        <w:tc>
          <w:tcPr>
            <w:tcW w:w="714"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r>
      <w:tr>
        <w:tblPrEx>
          <w:tblCellMar>
            <w:top w:w="0" w:type="dxa"/>
            <w:left w:w="108" w:type="dxa"/>
            <w:bottom w:w="0" w:type="dxa"/>
            <w:right w:w="108" w:type="dxa"/>
          </w:tblCellMar>
        </w:tblPrEx>
        <w:trPr>
          <w:trHeight w:val="354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通信数据完整性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nil"/>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通过调用密码支撑平台部署的安全认证网关服务，通过TLCP通信协议实现用户与系统通信数据的机密性和完整性保护；</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418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通信过程中重要数据的机密性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通过调用云平台部署的SSL VPN，基于TLCP通信协议对运维管理数据进行传输机密性和完整性保护。（远程运维通信信道复用云平台密评结果。）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386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网络边界访问控制信息的完整性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由安全认证网关服务、SSL VPN等密码产品提供网络边界访问控制信息完整性保护。（远程运维通信信道复用云平台密评结果。）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98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安全接入认证</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可</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不适用</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无外部设备接入本系统的需求。</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2640" w:hRule="atLeast"/>
        </w:trPr>
        <w:tc>
          <w:tcPr>
            <w:tcW w:w="715" w:type="pct"/>
            <w:vMerge w:val="restart"/>
            <w:tcBorders>
              <w:top w:val="nil"/>
              <w:left w:val="single" w:color="auto" w:sz="8" w:space="0"/>
              <w:bottom w:val="single" w:color="000000"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设备和计算安全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身份鉴别</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vMerge w:val="restart"/>
            <w:tcBorders>
              <w:top w:val="nil"/>
              <w:left w:val="single" w:color="auto" w:sz="8" w:space="0"/>
              <w:bottom w:val="single" w:color="000000"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对访问堡垒机、服务器、数据库的用户进行身份鉴别，并通过调用云平台部署的SSL VPN建立安全的远程管理信息传输通道。</w:t>
            </w:r>
          </w:p>
        </w:tc>
        <w:tc>
          <w:tcPr>
            <w:tcW w:w="714" w:type="pct"/>
            <w:vMerge w:val="restart"/>
            <w:tcBorders>
              <w:top w:val="nil"/>
              <w:left w:val="single" w:color="auto" w:sz="8" w:space="0"/>
              <w:bottom w:val="single" w:color="000000"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堡垒机、服务器虚拟机、数据库登录时的身份鉴别未使用密码技术，通过云平台部署的SSL VPN双向鉴别降低风险。</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66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远程管理通道安全</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578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系统资源访问控制信息完整性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通过调用密码支撑平台提供的签名验签服务，基于SM4密码算法对服务器虚拟机、数据库等设备的访问控制信息进行完整性保护。密码服务访问控制信息的完整性保护由其配套的密码产品自身实现。</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130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重要信息资源安全标记完整性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不适用</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本系统不涉及重要信息资源的安全标记。</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514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日志记录完整性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通过调用密码支撑平台提供的签名验签服务，基于SM4密码算法对服务器虚拟机、数据库等设备的日志进行完整性保护。密码服务日志记录完整性保护由其配套的密码产品自身实现。</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642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重要可执行程序完整性、重要可执行程序来源真实性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过调用密码支撑平台提供的签名验签服务，使用基于SM4密码算法的数字证书及其SM4密码算法对应用服务器中重要可执行程序和文件进行数字签名，实现应用服务器中重要可执行程序和文件完整性保护和来源真实性保护。</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1940" w:hRule="atLeast"/>
        </w:trPr>
        <w:tc>
          <w:tcPr>
            <w:tcW w:w="715" w:type="pct"/>
            <w:vMerge w:val="restart"/>
            <w:tcBorders>
              <w:top w:val="nil"/>
              <w:left w:val="single" w:color="auto" w:sz="8" w:space="0"/>
              <w:bottom w:val="single" w:color="000000"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应用和数据安全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身份鉴别</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基于安全认证网关，采用SM4算法的数字证书实现身份鉴别</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322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访问控制信息完整性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通过调用密码支撑平台的签名验签服务，使用SM4密码算法对应用用户访问权限控制列表进行完整性保护。</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130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重要信息资源安全标记完整性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不适用</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本系统不涉及重要信息资源的安全标记。</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354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重要数据传输机密性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nil"/>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通过调用密码支撑平台的数据加解密服务，使用基于SM4密码算法的数字信封用户身份鉴别等数据进行存储机密性保护。</w:t>
            </w:r>
          </w:p>
        </w:tc>
        <w:tc>
          <w:tcPr>
            <w:tcW w:w="714" w:type="pct"/>
            <w:vMerge w:val="restart"/>
            <w:tcBorders>
              <w:top w:val="nil"/>
              <w:left w:val="single" w:color="auto" w:sz="8" w:space="0"/>
              <w:bottom w:val="single" w:color="000000"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通过网络和通信层面的密码技术，对重要数据的传输机密性和完整性进行弥补和降低风险。</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354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重要数据存储机密性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nil"/>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通过调用密码支撑平台的签名验签服务，使用SM4密码算法对用户身份鉴别数据和业务日志数据进行存储完整性保护。</w:t>
            </w:r>
          </w:p>
        </w:tc>
        <w:tc>
          <w:tcPr>
            <w:tcW w:w="714"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322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重要数据传输完整性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nil"/>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通过调用密码支撑平台的安全认证网关服务实现身份鉴别数据业务日志数据等重要数据的安全传输防护。</w:t>
            </w:r>
          </w:p>
        </w:tc>
        <w:tc>
          <w:tcPr>
            <w:tcW w:w="714"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66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重要数据存储完整性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rPr>
                <w:rFonts w:asciiTheme="minorEastAsia" w:hAnsiTheme="minorEastAsia" w:eastAsiaTheme="minorEastAsia"/>
                <w:color w:val="000000"/>
              </w:rPr>
            </w:pPr>
            <w:r>
              <w:rPr>
                <w:rFonts w:hint="eastAsia" w:asciiTheme="minorEastAsia" w:hAnsiTheme="minorEastAsia" w:eastAsiaTheme="minorEastAsia"/>
                <w:color w:val="000000"/>
              </w:rPr>
              <w:t>　</w:t>
            </w:r>
          </w:p>
        </w:tc>
        <w:tc>
          <w:tcPr>
            <w:tcW w:w="714"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514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不可否认性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宜</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通过调用密码支撑平台提供的电子签章服务、时间戳服务，基于SM4密码算法数字签名，并加盖时间戳，实现文件数据的完整性保护以及文件签发人操作行为的不可否认性。</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980" w:hRule="atLeast"/>
        </w:trPr>
        <w:tc>
          <w:tcPr>
            <w:tcW w:w="715" w:type="pct"/>
            <w:vMerge w:val="restart"/>
            <w:tcBorders>
              <w:top w:val="nil"/>
              <w:left w:val="single" w:color="auto" w:sz="8" w:space="0"/>
              <w:bottom w:val="single" w:color="000000"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管理制度</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具备密码应用安全管理制度</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制定密码应用安全管理制度</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66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密钥管理规则</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制定密钥管理规则</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66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建立操作规程</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建立操作规程</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66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定期修订安全管理制度</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定期修订安全管理制度</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66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明确管理制度发布流程</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明确管理制度发布流程</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66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制度执行过程记录留存</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留存制度执行过程记录</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1620" w:hRule="atLeast"/>
        </w:trPr>
        <w:tc>
          <w:tcPr>
            <w:tcW w:w="715" w:type="pct"/>
            <w:vMerge w:val="restart"/>
            <w:tcBorders>
              <w:top w:val="nil"/>
              <w:left w:val="single" w:color="auto" w:sz="8" w:space="0"/>
              <w:bottom w:val="single" w:color="000000"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人员管理</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了解并遵守密码相关法律法规和密码管理制度</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对密码相关法律法规和密码管理制度进行定期培训</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98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建立密码应用岗位责任制度</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建立密码应用岗位责任制度</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66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建立上岗人员培训制度</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建立上岗人员培训制度</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98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定期进行安全岗位人员考核</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定期对安全岗位人员进行考核</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130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建立关键岗位人员保密制度和调离制度</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建立关键岗位人员保密制度和调离制度</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660" w:hRule="atLeast"/>
        </w:trPr>
        <w:tc>
          <w:tcPr>
            <w:tcW w:w="715" w:type="pct"/>
            <w:vMerge w:val="restart"/>
            <w:tcBorders>
              <w:top w:val="nil"/>
              <w:left w:val="single" w:color="auto" w:sz="8" w:space="0"/>
              <w:bottom w:val="single" w:color="000000"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建设运行</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制定密码应用方案</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制定密码应用方案</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66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制定密钥安全管理策略</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制定密钥安全管理策略</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98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依据密码应用方案实施建设</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依据密码应用方案实施建设</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130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投入运行前进行密码应用安全性评估</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系统投入运行前进行密码应用安全性评估</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130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定期开展密码应用安全性评估及攻防对抗演习</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定期开展密码应用安全性评估及攻防对抗演习</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660" w:hRule="atLeast"/>
        </w:trPr>
        <w:tc>
          <w:tcPr>
            <w:tcW w:w="715" w:type="pct"/>
            <w:vMerge w:val="restart"/>
            <w:tcBorders>
              <w:top w:val="nil"/>
              <w:left w:val="single" w:color="auto" w:sz="8" w:space="0"/>
              <w:bottom w:val="single" w:color="000000"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应急处置</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应急策略</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制定密码应用应急策略</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98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事件处置</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制定密码应用事件处置规范</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r>
        <w:tblPrEx>
          <w:tblCellMar>
            <w:top w:w="0" w:type="dxa"/>
            <w:left w:w="108" w:type="dxa"/>
            <w:bottom w:w="0" w:type="dxa"/>
            <w:right w:w="108" w:type="dxa"/>
          </w:tblCellMar>
        </w:tblPrEx>
        <w:trPr>
          <w:trHeight w:val="980" w:hRule="atLeast"/>
        </w:trPr>
        <w:tc>
          <w:tcPr>
            <w:tcW w:w="715" w:type="pct"/>
            <w:vMerge w:val="continue"/>
            <w:tcBorders>
              <w:top w:val="nil"/>
              <w:left w:val="single" w:color="auto" w:sz="8" w:space="0"/>
              <w:bottom w:val="single" w:color="000000" w:sz="8" w:space="0"/>
              <w:right w:val="single" w:color="auto" w:sz="8" w:space="0"/>
            </w:tcBorders>
            <w:vAlign w:val="center"/>
          </w:tcPr>
          <w:p>
            <w:pPr>
              <w:rPr>
                <w:rFonts w:asciiTheme="minorEastAsia" w:hAnsiTheme="minorEastAsia" w:eastAsiaTheme="minorEastAsia"/>
                <w:color w:val="000000"/>
              </w:rPr>
            </w:pP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向有关主管部门上报处置情况</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应</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适用</w:t>
            </w:r>
          </w:p>
        </w:tc>
        <w:tc>
          <w:tcPr>
            <w:tcW w:w="714" w:type="pct"/>
            <w:tcBorders>
              <w:top w:val="nil"/>
              <w:left w:val="nil"/>
              <w:bottom w:val="single" w:color="auto" w:sz="8" w:space="0"/>
              <w:right w:val="single" w:color="auto" w:sz="8" w:space="0"/>
            </w:tcBorders>
            <w:shd w:val="clear" w:color="auto" w:fill="auto"/>
            <w:vAlign w:val="center"/>
          </w:tcPr>
          <w:p>
            <w:pPr>
              <w:jc w:val="both"/>
              <w:rPr>
                <w:rFonts w:asciiTheme="minorEastAsia" w:hAnsiTheme="minorEastAsia" w:eastAsiaTheme="minorEastAsia"/>
                <w:color w:val="000000"/>
              </w:rPr>
            </w:pPr>
            <w:r>
              <w:rPr>
                <w:rFonts w:hint="eastAsia" w:asciiTheme="minorEastAsia" w:hAnsiTheme="minorEastAsia" w:eastAsiaTheme="minorEastAsia"/>
                <w:color w:val="000000"/>
              </w:rPr>
              <w:t>向有关主管部门上报处置情况</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w:t>
            </w:r>
          </w:p>
        </w:tc>
        <w:tc>
          <w:tcPr>
            <w:tcW w:w="714" w:type="pct"/>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通过</w:t>
            </w:r>
          </w:p>
        </w:tc>
      </w:tr>
    </w:tbl>
    <w:p/>
    <w:p>
      <w:pPr>
        <w:pStyle w:val="3"/>
        <w:ind w:left="567" w:leftChars="0" w:firstLine="0" w:firstLineChars="0"/>
      </w:pPr>
      <w:r>
        <w:rPr>
          <w:rFonts w:hint="eastAsia"/>
        </w:rPr>
        <w:t>技术文件要求</w:t>
      </w:r>
    </w:p>
    <w:p>
      <w:pPr>
        <w:pStyle w:val="107"/>
        <w:snapToGrid w:val="0"/>
        <w:spacing w:line="360" w:lineRule="auto"/>
        <w:ind w:firstLine="480"/>
        <w:rPr>
          <w:rFonts w:ascii="宋体" w:hAnsi="宋体"/>
          <w:sz w:val="24"/>
          <w:szCs w:val="24"/>
        </w:rPr>
      </w:pPr>
      <w:r>
        <w:rPr>
          <w:rFonts w:hint="eastAsia" w:ascii="宋体" w:hAnsi="宋体"/>
          <w:sz w:val="24"/>
          <w:szCs w:val="24"/>
        </w:rPr>
        <w:t>投标人提供的书面技术资料应能确保系统正常运行所需的管理、运营及维护有关的全套文件。技术文件应该全面、完整、详细。投标人提供的技术文件包括但不限于以下文档：</w:t>
      </w:r>
    </w:p>
    <w:p>
      <w:pPr>
        <w:pStyle w:val="107"/>
        <w:snapToGrid w:val="0"/>
        <w:spacing w:line="360" w:lineRule="auto"/>
        <w:ind w:firstLine="480"/>
        <w:rPr>
          <w:rFonts w:ascii="宋体" w:hAnsi="宋体"/>
          <w:sz w:val="24"/>
          <w:szCs w:val="24"/>
        </w:rPr>
      </w:pPr>
      <w:r>
        <w:rPr>
          <w:rFonts w:hint="eastAsia" w:ascii="宋体" w:hAnsi="宋体"/>
          <w:sz w:val="24"/>
          <w:szCs w:val="24"/>
        </w:rPr>
        <w:t>1）</w:t>
      </w:r>
      <w:r>
        <w:rPr>
          <w:rFonts w:ascii="宋体" w:hAnsi="宋体"/>
          <w:sz w:val="24"/>
          <w:szCs w:val="24"/>
        </w:rPr>
        <w:t xml:space="preserve">系统说明文件； </w:t>
      </w:r>
    </w:p>
    <w:p>
      <w:pPr>
        <w:pStyle w:val="107"/>
        <w:snapToGrid w:val="0"/>
        <w:spacing w:line="360" w:lineRule="auto"/>
        <w:ind w:firstLine="480"/>
        <w:rPr>
          <w:rFonts w:ascii="宋体" w:hAnsi="宋体"/>
          <w:sz w:val="24"/>
          <w:szCs w:val="24"/>
        </w:rPr>
      </w:pPr>
      <w:r>
        <w:rPr>
          <w:rFonts w:hint="eastAsia" w:ascii="宋体" w:hAnsi="宋体"/>
          <w:sz w:val="24"/>
          <w:szCs w:val="24"/>
        </w:rPr>
        <w:t>2）</w:t>
      </w:r>
      <w:r>
        <w:rPr>
          <w:rFonts w:ascii="宋体" w:hAnsi="宋体"/>
          <w:sz w:val="24"/>
          <w:szCs w:val="24"/>
        </w:rPr>
        <w:t xml:space="preserve">技术手册(安装、测试、操作、维护、故障排除等)； </w:t>
      </w:r>
    </w:p>
    <w:p>
      <w:pPr>
        <w:pStyle w:val="107"/>
        <w:snapToGrid w:val="0"/>
        <w:spacing w:line="360" w:lineRule="auto"/>
        <w:ind w:firstLine="480"/>
        <w:rPr>
          <w:rFonts w:ascii="宋体" w:hAnsi="宋体"/>
          <w:sz w:val="24"/>
          <w:szCs w:val="24"/>
        </w:rPr>
      </w:pPr>
      <w:r>
        <w:rPr>
          <w:rFonts w:hint="eastAsia" w:ascii="宋体" w:hAnsi="宋体"/>
          <w:sz w:val="24"/>
          <w:szCs w:val="24"/>
        </w:rPr>
        <w:t>3）</w:t>
      </w:r>
      <w:r>
        <w:rPr>
          <w:rFonts w:ascii="宋体" w:hAnsi="宋体"/>
          <w:sz w:val="24"/>
          <w:szCs w:val="24"/>
        </w:rPr>
        <w:t>项目文档，应该包括：</w:t>
      </w:r>
    </w:p>
    <w:p>
      <w:pPr>
        <w:pStyle w:val="107"/>
        <w:snapToGrid w:val="0"/>
        <w:spacing w:line="360" w:lineRule="auto"/>
        <w:ind w:firstLine="480"/>
        <w:rPr>
          <w:rFonts w:ascii="宋体" w:hAnsi="宋体"/>
          <w:sz w:val="24"/>
          <w:szCs w:val="24"/>
        </w:rPr>
      </w:pPr>
      <w:r>
        <w:rPr>
          <w:rFonts w:hint="eastAsia" w:ascii="宋体" w:hAnsi="宋体"/>
          <w:sz w:val="24"/>
          <w:szCs w:val="24"/>
        </w:rPr>
        <w:t>（1）方案报审文档，包括实施技术方案等</w:t>
      </w:r>
    </w:p>
    <w:p>
      <w:pPr>
        <w:pStyle w:val="107"/>
        <w:snapToGrid w:val="0"/>
        <w:spacing w:line="360" w:lineRule="auto"/>
        <w:ind w:firstLine="480"/>
        <w:rPr>
          <w:rFonts w:ascii="宋体" w:hAnsi="宋体"/>
          <w:sz w:val="24"/>
          <w:szCs w:val="24"/>
        </w:rPr>
      </w:pPr>
      <w:r>
        <w:rPr>
          <w:rFonts w:hint="eastAsia" w:ascii="宋体" w:hAnsi="宋体"/>
          <w:sz w:val="24"/>
          <w:szCs w:val="24"/>
        </w:rPr>
        <w:t>（2）需求报审文档，包括《</w:t>
      </w:r>
      <w:r>
        <w:rPr>
          <w:rFonts w:ascii="宋体" w:hAnsi="宋体"/>
          <w:sz w:val="24"/>
          <w:szCs w:val="24"/>
        </w:rPr>
        <w:t>软件需求说明书</w:t>
      </w:r>
      <w:r>
        <w:rPr>
          <w:rFonts w:hint="eastAsia" w:ascii="宋体" w:hAnsi="宋体"/>
          <w:sz w:val="24"/>
          <w:szCs w:val="24"/>
        </w:rPr>
        <w:t>》</w:t>
      </w:r>
      <w:r>
        <w:rPr>
          <w:rFonts w:ascii="宋体" w:hAnsi="宋体"/>
          <w:sz w:val="24"/>
          <w:szCs w:val="24"/>
        </w:rPr>
        <w:t>等</w:t>
      </w:r>
    </w:p>
    <w:p>
      <w:pPr>
        <w:pStyle w:val="107"/>
        <w:snapToGrid w:val="0"/>
        <w:spacing w:line="360" w:lineRule="auto"/>
        <w:ind w:firstLine="48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）设计报审文档，包括《系统设计说明书》（概要设计</w:t>
      </w:r>
      <w:r>
        <w:rPr>
          <w:rFonts w:ascii="宋体" w:hAnsi="宋体"/>
          <w:sz w:val="24"/>
          <w:szCs w:val="24"/>
        </w:rPr>
        <w:t>/详细设计）、《数据库设计说明书》（概要设计/详细设计）等</w:t>
      </w:r>
    </w:p>
    <w:p>
      <w:pPr>
        <w:pStyle w:val="107"/>
        <w:snapToGrid w:val="0"/>
        <w:spacing w:line="360" w:lineRule="auto"/>
        <w:ind w:firstLine="48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）测试方案报审文档，包括测试方案、测试计划、测试用例等</w:t>
      </w:r>
    </w:p>
    <w:p>
      <w:pPr>
        <w:pStyle w:val="107"/>
        <w:snapToGrid w:val="0"/>
        <w:spacing w:line="360" w:lineRule="auto"/>
        <w:ind w:firstLine="48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）培训报审文档（包括用户培训方案</w:t>
      </w:r>
      <w:r>
        <w:rPr>
          <w:rFonts w:ascii="宋体" w:hAnsi="宋体"/>
          <w:sz w:val="24"/>
          <w:szCs w:val="24"/>
        </w:rPr>
        <w:t>/计划等）、培训小结文档（包括培训记录、培训用户报告等）</w:t>
      </w:r>
    </w:p>
    <w:p>
      <w:pPr>
        <w:pStyle w:val="107"/>
        <w:snapToGrid w:val="0"/>
        <w:spacing w:line="360" w:lineRule="auto"/>
        <w:ind w:firstLine="480"/>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）试运行报审文档（包括试运行方案</w:t>
      </w:r>
      <w:r>
        <w:rPr>
          <w:rFonts w:ascii="宋体" w:hAnsi="宋体"/>
          <w:sz w:val="24"/>
          <w:szCs w:val="24"/>
        </w:rPr>
        <w:t>/计划等）、试运行小结文档（包括问题记录、试运行用户报告等）</w:t>
      </w:r>
    </w:p>
    <w:p>
      <w:pPr>
        <w:pStyle w:val="107"/>
        <w:snapToGrid w:val="0"/>
        <w:spacing w:line="360" w:lineRule="auto"/>
        <w:ind w:firstLine="480"/>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）项目总结报告</w:t>
      </w:r>
    </w:p>
    <w:p>
      <w:pPr>
        <w:pStyle w:val="107"/>
        <w:snapToGrid w:val="0"/>
        <w:spacing w:line="360" w:lineRule="auto"/>
        <w:ind w:firstLine="480"/>
        <w:rPr>
          <w:rFonts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）软件功能清单对照表</w:t>
      </w:r>
    </w:p>
    <w:p>
      <w:pPr>
        <w:pStyle w:val="107"/>
        <w:snapToGrid w:val="0"/>
        <w:spacing w:line="360" w:lineRule="auto"/>
        <w:ind w:firstLine="480"/>
        <w:rPr>
          <w:rFonts w:ascii="宋体" w:hAnsi="宋体"/>
          <w:sz w:val="24"/>
          <w:szCs w:val="24"/>
        </w:rPr>
      </w:pPr>
      <w:r>
        <w:rPr>
          <w:rFonts w:ascii="宋体" w:hAnsi="宋体"/>
          <w:sz w:val="24"/>
          <w:szCs w:val="24"/>
        </w:rPr>
        <w:t>4</w:t>
      </w:r>
      <w:r>
        <w:rPr>
          <w:rFonts w:hint="eastAsia" w:ascii="宋体" w:hAnsi="宋体"/>
          <w:sz w:val="24"/>
          <w:szCs w:val="24"/>
        </w:rPr>
        <w:t>）用户使用</w:t>
      </w:r>
      <w:r>
        <w:rPr>
          <w:rFonts w:ascii="宋体" w:hAnsi="宋体"/>
          <w:sz w:val="24"/>
          <w:szCs w:val="24"/>
        </w:rPr>
        <w:t>/评价报告</w:t>
      </w:r>
    </w:p>
    <w:p>
      <w:pPr>
        <w:pStyle w:val="107"/>
        <w:snapToGrid w:val="0"/>
        <w:spacing w:line="360" w:lineRule="auto"/>
        <w:ind w:firstLine="480"/>
        <w:rPr>
          <w:rFonts w:ascii="宋体" w:hAnsi="宋体"/>
          <w:sz w:val="24"/>
          <w:szCs w:val="24"/>
        </w:rPr>
      </w:pPr>
      <w:r>
        <w:rPr>
          <w:rFonts w:hint="eastAsia" w:ascii="宋体" w:hAnsi="宋体"/>
          <w:sz w:val="24"/>
          <w:szCs w:val="24"/>
        </w:rPr>
        <w:t>提供全套技术文件纸介质3</w:t>
      </w:r>
      <w:r>
        <w:rPr>
          <w:rFonts w:ascii="宋体" w:hAnsi="宋体"/>
          <w:sz w:val="24"/>
          <w:szCs w:val="24"/>
        </w:rPr>
        <w:t>套以及电子文件1套。</w:t>
      </w:r>
    </w:p>
    <w:p>
      <w:pPr>
        <w:pStyle w:val="107"/>
        <w:snapToGrid w:val="0"/>
        <w:spacing w:line="360" w:lineRule="auto"/>
        <w:ind w:firstLine="480"/>
        <w:rPr>
          <w:rFonts w:ascii="宋体" w:hAnsi="宋体"/>
          <w:sz w:val="24"/>
          <w:szCs w:val="24"/>
        </w:rPr>
      </w:pPr>
    </w:p>
    <w:p>
      <w:pPr>
        <w:pStyle w:val="83"/>
        <w:ind w:firstLine="480"/>
        <w:rPr>
          <w:sz w:val="24"/>
          <w:szCs w:val="24"/>
        </w:rPr>
      </w:pPr>
      <w:bookmarkStart w:id="29" w:name="_Toc63785512"/>
    </w:p>
    <w:p>
      <w:pPr>
        <w:pStyle w:val="2"/>
      </w:pPr>
      <w:r>
        <w:rPr>
          <w:rFonts w:hint="eastAsia"/>
        </w:rPr>
        <w:t>供应商管理要求</w:t>
      </w:r>
      <w:bookmarkEnd w:id="29"/>
    </w:p>
    <w:p>
      <w:pPr>
        <w:pStyle w:val="83"/>
        <w:ind w:firstLine="480"/>
        <w:rPr>
          <w:sz w:val="24"/>
          <w:szCs w:val="24"/>
        </w:rPr>
      </w:pPr>
      <w:r>
        <w:rPr>
          <w:rFonts w:hint="eastAsia"/>
          <w:sz w:val="24"/>
          <w:szCs w:val="24"/>
        </w:rPr>
        <w:t>1</w:t>
      </w:r>
      <w:r>
        <w:rPr>
          <w:rFonts w:hint="eastAsia"/>
        </w:rPr>
        <w:t>．</w:t>
      </w:r>
      <w:r>
        <w:rPr>
          <w:rFonts w:hint="eastAsia"/>
          <w:sz w:val="24"/>
          <w:szCs w:val="24"/>
        </w:rPr>
        <w:t>在项目实施期间，中标人应严格执行国家、地方、行业有关本项目业务管理和安全作业的法律、法规和制度并按规定承担相应的费用。中标人因违反规定等原因造成的一切损失和责任由中标人自行承担。</w:t>
      </w:r>
    </w:p>
    <w:p>
      <w:pPr>
        <w:pStyle w:val="83"/>
        <w:ind w:firstLine="480"/>
        <w:rPr>
          <w:sz w:val="24"/>
          <w:szCs w:val="24"/>
        </w:rPr>
      </w:pPr>
      <w:r>
        <w:rPr>
          <w:rFonts w:hint="eastAsia"/>
          <w:sz w:val="24"/>
          <w:szCs w:val="24"/>
        </w:rPr>
        <w:t>2</w:t>
      </w:r>
      <w:r>
        <w:rPr>
          <w:rFonts w:hint="eastAsia"/>
        </w:rPr>
        <w:t>．</w:t>
      </w:r>
      <w:r>
        <w:rPr>
          <w:rFonts w:hint="eastAsia"/>
          <w:sz w:val="24"/>
          <w:szCs w:val="24"/>
        </w:rPr>
        <w:t>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pPr>
        <w:pStyle w:val="83"/>
        <w:ind w:firstLine="480"/>
        <w:rPr>
          <w:sz w:val="24"/>
          <w:szCs w:val="24"/>
        </w:rPr>
      </w:pPr>
      <w:r>
        <w:rPr>
          <w:rFonts w:hint="eastAsia"/>
          <w:sz w:val="24"/>
          <w:szCs w:val="24"/>
        </w:rPr>
        <w:t>3</w:t>
      </w:r>
      <w:r>
        <w:rPr>
          <w:rFonts w:hint="eastAsia"/>
        </w:rPr>
        <w:t>．</w:t>
      </w:r>
      <w:r>
        <w:rPr>
          <w:rFonts w:hint="eastAsia"/>
          <w:sz w:val="24"/>
          <w:szCs w:val="24"/>
        </w:rPr>
        <w:t>中标人在项目实施期间，应按项目实际进度与环节落实所对应项目整体及各环节管理工作，按照规范做好项目实施期间相关管理与实施记录。</w:t>
      </w:r>
    </w:p>
    <w:p>
      <w:pPr>
        <w:pStyle w:val="83"/>
        <w:ind w:firstLine="480"/>
        <w:rPr>
          <w:sz w:val="24"/>
          <w:szCs w:val="24"/>
        </w:rPr>
      </w:pPr>
      <w:r>
        <w:rPr>
          <w:rFonts w:hint="eastAsia"/>
          <w:sz w:val="24"/>
          <w:szCs w:val="24"/>
        </w:rPr>
        <w:t>4</w:t>
      </w:r>
      <w:r>
        <w:rPr>
          <w:rFonts w:hint="eastAsia"/>
        </w:rPr>
        <w:t>．</w:t>
      </w:r>
      <w:r>
        <w:rPr>
          <w:rFonts w:hint="eastAsia"/>
          <w:sz w:val="24"/>
          <w:szCs w:val="24"/>
        </w:rPr>
        <w:t>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pPr>
        <w:pStyle w:val="83"/>
        <w:ind w:firstLine="480"/>
        <w:rPr>
          <w:sz w:val="24"/>
          <w:szCs w:val="24"/>
        </w:rPr>
      </w:pPr>
      <w:r>
        <w:rPr>
          <w:rFonts w:hint="eastAsia"/>
          <w:sz w:val="24"/>
          <w:szCs w:val="24"/>
        </w:rPr>
        <w:t>5</w:t>
      </w:r>
      <w:r>
        <w:rPr>
          <w:rFonts w:hint="eastAsia"/>
        </w:rPr>
        <w:t>．</w:t>
      </w:r>
      <w:r>
        <w:rPr>
          <w:rFonts w:hint="eastAsia"/>
          <w:sz w:val="24"/>
          <w:szCs w:val="24"/>
        </w:rPr>
        <w:t>中标人在项目实施期间必须遵守采购人的规章制度并提供实施人员名单。</w:t>
      </w:r>
    </w:p>
    <w:p>
      <w:pPr>
        <w:pStyle w:val="83"/>
        <w:ind w:firstLine="480"/>
        <w:rPr>
          <w:sz w:val="24"/>
          <w:szCs w:val="24"/>
        </w:rPr>
      </w:pPr>
      <w:r>
        <w:rPr>
          <w:rFonts w:hint="eastAsia"/>
          <w:sz w:val="24"/>
          <w:szCs w:val="24"/>
        </w:rPr>
        <w:t>6</w:t>
      </w:r>
      <w:r>
        <w:rPr>
          <w:rFonts w:hint="eastAsia"/>
        </w:rPr>
        <w:t>．</w:t>
      </w:r>
      <w:r>
        <w:rPr>
          <w:rFonts w:hint="eastAsia"/>
          <w:sz w:val="24"/>
          <w:szCs w:val="24"/>
        </w:rPr>
        <w:t>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pPr>
        <w:pStyle w:val="83"/>
        <w:ind w:firstLine="480"/>
      </w:pPr>
      <w:r>
        <w:rPr>
          <w:rFonts w:hint="eastAsia"/>
          <w:sz w:val="24"/>
          <w:szCs w:val="24"/>
        </w:rPr>
        <w:t>7</w:t>
      </w:r>
      <w:r>
        <w:rPr>
          <w:rFonts w:hint="eastAsia"/>
        </w:rPr>
        <w:t>．</w:t>
      </w:r>
      <w:r>
        <w:rPr>
          <w:rFonts w:hint="eastAsia"/>
          <w:sz w:val="24"/>
          <w:szCs w:val="24"/>
        </w:rPr>
        <w:t>本项目软件开发及调试将纳入采购人的管理范围，中标人在此过程中须服从上述单位的管理协调。</w:t>
      </w:r>
    </w:p>
    <w:p>
      <w:pPr>
        <w:pStyle w:val="83"/>
        <w:ind w:firstLine="420"/>
      </w:pPr>
    </w:p>
    <w:p>
      <w:pPr>
        <w:pStyle w:val="2"/>
      </w:pPr>
      <w:bookmarkStart w:id="30" w:name="_Toc63785513"/>
      <w:r>
        <w:rPr>
          <w:rFonts w:hint="eastAsia"/>
        </w:rPr>
        <w:t>关于转让和分包的规定</w:t>
      </w:r>
    </w:p>
    <w:p>
      <w:pPr>
        <w:pStyle w:val="107"/>
        <w:snapToGrid w:val="0"/>
        <w:spacing w:line="360" w:lineRule="auto"/>
        <w:ind w:firstLine="480"/>
        <w:rPr>
          <w:rFonts w:ascii="宋体" w:hAnsi="宋体"/>
          <w:sz w:val="24"/>
          <w:szCs w:val="24"/>
        </w:rPr>
      </w:pPr>
      <w:r>
        <w:rPr>
          <w:rFonts w:hint="eastAsia" w:ascii="宋体" w:hAnsi="宋体"/>
          <w:sz w:val="24"/>
          <w:szCs w:val="24"/>
        </w:rPr>
        <w:t>本项目不得转让、不得分包。</w:t>
      </w:r>
    </w:p>
    <w:p>
      <w:pPr>
        <w:pStyle w:val="2"/>
      </w:pPr>
      <w:r>
        <w:rPr>
          <w:rFonts w:hint="eastAsia"/>
        </w:rPr>
        <w:t>知识产权及保密要求</w:t>
      </w:r>
      <w:bookmarkEnd w:id="30"/>
    </w:p>
    <w:p>
      <w:pPr>
        <w:pStyle w:val="107"/>
        <w:snapToGrid w:val="0"/>
        <w:spacing w:line="360" w:lineRule="auto"/>
        <w:ind w:firstLine="480"/>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中标人数据、文件、资料知识产权</w:t>
      </w:r>
    </w:p>
    <w:p>
      <w:pPr>
        <w:pStyle w:val="107"/>
        <w:snapToGrid w:val="0"/>
        <w:spacing w:line="360" w:lineRule="auto"/>
        <w:ind w:firstLine="480"/>
        <w:rPr>
          <w:rFonts w:ascii="宋体" w:hAnsi="宋体"/>
          <w:sz w:val="24"/>
          <w:szCs w:val="24"/>
        </w:rPr>
      </w:pPr>
      <w:r>
        <w:rPr>
          <w:rFonts w:hint="eastAsia" w:ascii="宋体" w:hAnsi="宋体"/>
          <w:sz w:val="24"/>
          <w:szCs w:val="24"/>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pPr>
        <w:pStyle w:val="107"/>
        <w:snapToGrid w:val="0"/>
        <w:spacing w:line="360" w:lineRule="auto"/>
        <w:ind w:firstLine="480"/>
        <w:rPr>
          <w:rFonts w:ascii="宋体" w:hAnsi="宋体"/>
          <w:sz w:val="24"/>
          <w:szCs w:val="24"/>
        </w:rPr>
      </w:pPr>
      <w:r>
        <w:rPr>
          <w:rFonts w:hint="eastAsia" w:ascii="宋体" w:hAnsi="宋体"/>
          <w:sz w:val="24"/>
          <w:szCs w:val="24"/>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pPr>
        <w:pStyle w:val="107"/>
        <w:snapToGrid w:val="0"/>
        <w:spacing w:line="360" w:lineRule="auto"/>
        <w:ind w:firstLine="480"/>
        <w:rPr>
          <w:rFonts w:ascii="宋体" w:hAnsi="宋体"/>
          <w:sz w:val="24"/>
          <w:szCs w:val="24"/>
        </w:rPr>
      </w:pPr>
      <w:r>
        <w:rPr>
          <w:rFonts w:hint="eastAsia" w:ascii="宋体" w:hAnsi="宋体"/>
          <w:sz w:val="24"/>
          <w:szCs w:val="24"/>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pPr>
        <w:pStyle w:val="107"/>
        <w:snapToGrid w:val="0"/>
        <w:spacing w:line="360" w:lineRule="auto"/>
        <w:ind w:firstLine="480"/>
        <w:rPr>
          <w:rFonts w:ascii="宋体" w:hAnsi="宋体"/>
          <w:sz w:val="24"/>
          <w:szCs w:val="24"/>
        </w:rPr>
      </w:pPr>
      <w:r>
        <w:rPr>
          <w:rFonts w:ascii="宋体" w:hAnsi="宋体"/>
          <w:sz w:val="24"/>
          <w:szCs w:val="24"/>
        </w:rPr>
        <w:t>2、项目保密要求</w:t>
      </w:r>
    </w:p>
    <w:p>
      <w:pPr>
        <w:pStyle w:val="107"/>
        <w:snapToGrid w:val="0"/>
        <w:spacing w:line="360" w:lineRule="auto"/>
        <w:ind w:firstLine="480"/>
        <w:rPr>
          <w:rFonts w:ascii="宋体" w:hAnsi="宋体"/>
          <w:sz w:val="24"/>
          <w:szCs w:val="24"/>
        </w:rPr>
      </w:pPr>
      <w:r>
        <w:rPr>
          <w:rFonts w:hint="eastAsia" w:ascii="宋体" w:hAnsi="宋体"/>
          <w:sz w:val="24"/>
          <w:szCs w:val="24"/>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pPr>
        <w:pStyle w:val="107"/>
        <w:snapToGrid w:val="0"/>
        <w:spacing w:line="360" w:lineRule="auto"/>
        <w:ind w:firstLine="480"/>
        <w:rPr>
          <w:rFonts w:ascii="宋体" w:hAnsi="宋体"/>
          <w:sz w:val="24"/>
          <w:szCs w:val="24"/>
        </w:rPr>
      </w:pPr>
      <w:r>
        <w:rPr>
          <w:rFonts w:hint="eastAsia" w:ascii="宋体" w:hAnsi="宋体"/>
          <w:sz w:val="24"/>
          <w:szCs w:val="24"/>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pPr>
        <w:pStyle w:val="107"/>
        <w:snapToGrid w:val="0"/>
        <w:spacing w:line="360" w:lineRule="auto"/>
        <w:ind w:firstLine="480"/>
        <w:rPr>
          <w:rFonts w:ascii="宋体" w:hAnsi="宋体"/>
          <w:sz w:val="24"/>
          <w:szCs w:val="24"/>
        </w:rPr>
      </w:pPr>
      <w:r>
        <w:rPr>
          <w:rFonts w:hint="eastAsia" w:ascii="宋体" w:hAnsi="宋体"/>
          <w:sz w:val="24"/>
          <w:szCs w:val="24"/>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pPr>
        <w:pStyle w:val="107"/>
        <w:snapToGrid w:val="0"/>
        <w:spacing w:line="360" w:lineRule="auto"/>
        <w:ind w:firstLine="480"/>
        <w:rPr>
          <w:rFonts w:ascii="宋体" w:hAnsi="宋体"/>
          <w:sz w:val="24"/>
          <w:szCs w:val="24"/>
        </w:rPr>
      </w:pPr>
      <w:r>
        <w:rPr>
          <w:rFonts w:hint="eastAsia" w:ascii="宋体" w:hAnsi="宋体"/>
          <w:sz w:val="24"/>
          <w:szCs w:val="24"/>
        </w:rPr>
        <w:t>以上内容的保密期限自中标人知悉保密信息起始至保密信息被合法公开之日止。</w:t>
      </w:r>
    </w:p>
    <w:p>
      <w:pPr>
        <w:pStyle w:val="107"/>
        <w:snapToGrid w:val="0"/>
        <w:spacing w:line="360" w:lineRule="auto"/>
        <w:ind w:firstLine="480"/>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临时账号等使用要求</w:t>
      </w:r>
    </w:p>
    <w:p>
      <w:pPr>
        <w:pStyle w:val="107"/>
        <w:snapToGrid w:val="0"/>
        <w:spacing w:line="360" w:lineRule="auto"/>
        <w:ind w:firstLine="480"/>
        <w:rPr>
          <w:rFonts w:ascii="宋体" w:hAnsi="宋体"/>
          <w:sz w:val="24"/>
          <w:szCs w:val="24"/>
        </w:rPr>
      </w:pPr>
      <w:r>
        <w:rPr>
          <w:rFonts w:hint="eastAsia" w:ascii="宋体" w:hAnsi="宋体"/>
          <w:sz w:val="24"/>
          <w:szCs w:val="24"/>
        </w:rPr>
        <w:t>中标人对采购人提拱的临时使用账号要保密，不得公开，对组件开发的账号密码需进行加密，避免信息安全的泄露。未经采购人的同意不得利用采购人的网络及平台进行短信、彩信、微信发送</w:t>
      </w:r>
      <w:r>
        <w:rPr>
          <w:rFonts w:ascii="宋体" w:hAnsi="宋体"/>
          <w:sz w:val="24"/>
          <w:szCs w:val="24"/>
        </w:rPr>
        <w:t>,造成的一切后果由中标人负责。</w:t>
      </w:r>
    </w:p>
    <w:p>
      <w:pPr>
        <w:pStyle w:val="2"/>
      </w:pPr>
      <w:bookmarkStart w:id="31" w:name="_Toc65170093"/>
      <w:r>
        <w:t>项目的变更、解除和终止</w:t>
      </w:r>
    </w:p>
    <w:p>
      <w:pPr>
        <w:pStyle w:val="107"/>
        <w:snapToGrid w:val="0"/>
        <w:spacing w:line="360" w:lineRule="auto"/>
        <w:ind w:firstLine="480"/>
        <w:rPr>
          <w:rFonts w:ascii="宋体" w:hAnsi="宋体"/>
          <w:sz w:val="24"/>
          <w:szCs w:val="24"/>
        </w:rPr>
      </w:pPr>
      <w:r>
        <w:rPr>
          <w:rFonts w:hint="eastAsia" w:ascii="宋体" w:hAnsi="宋体"/>
          <w:sz w:val="24"/>
          <w:szCs w:val="24"/>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pPr>
        <w:pStyle w:val="107"/>
        <w:snapToGrid w:val="0"/>
        <w:spacing w:line="360" w:lineRule="auto"/>
        <w:ind w:firstLine="480"/>
        <w:rPr>
          <w:rFonts w:ascii="宋体" w:hAnsi="宋体"/>
          <w:sz w:val="24"/>
          <w:szCs w:val="24"/>
        </w:rPr>
      </w:pPr>
      <w:r>
        <w:rPr>
          <w:rFonts w:hint="eastAsia" w:ascii="宋体" w:hAnsi="宋体"/>
          <w:sz w:val="24"/>
          <w:szCs w:val="24"/>
        </w:rPr>
        <w:t>如遇国家、行业管理部门等机构的有关标准和规定调整的，导致本项目内容须做相应调整时，双方应按照公平、合理的原则共同协商修改本项目对应的合同的相关条款。</w:t>
      </w:r>
    </w:p>
    <w:p>
      <w:pPr>
        <w:pStyle w:val="2"/>
      </w:pPr>
      <w:r>
        <w:rPr>
          <w:rFonts w:hint="eastAsia"/>
        </w:rPr>
        <w:t>违约责任</w:t>
      </w:r>
      <w:bookmarkEnd w:id="31"/>
    </w:p>
    <w:p>
      <w:pPr>
        <w:pStyle w:val="107"/>
        <w:snapToGrid w:val="0"/>
        <w:spacing w:line="360" w:lineRule="auto"/>
        <w:ind w:firstLine="480"/>
        <w:rPr>
          <w:rFonts w:ascii="宋体" w:hAnsi="宋体"/>
          <w:sz w:val="24"/>
          <w:szCs w:val="24"/>
        </w:rPr>
      </w:pPr>
      <w:r>
        <w:rPr>
          <w:rFonts w:ascii="宋体" w:hAnsi="宋体"/>
          <w:sz w:val="24"/>
          <w:szCs w:val="24"/>
        </w:rPr>
        <w:t>1、如中标人未按约定的时间或服务标准完成建设工作，采购人可要求中标人在规定的时间内采取补救措施。中标人还应向采购人支付本项目费用总额30%的违约金，违约金不足以弥补采购人损失的，采购人有权要求中标人赔偿超过部分。</w:t>
      </w:r>
    </w:p>
    <w:p>
      <w:pPr>
        <w:pStyle w:val="107"/>
        <w:snapToGrid w:val="0"/>
        <w:spacing w:line="360" w:lineRule="auto"/>
        <w:ind w:firstLine="480"/>
        <w:rPr>
          <w:rFonts w:ascii="宋体" w:hAnsi="宋体"/>
          <w:sz w:val="24"/>
          <w:szCs w:val="24"/>
        </w:rPr>
      </w:pPr>
      <w:r>
        <w:rPr>
          <w:rFonts w:ascii="宋体" w:hAnsi="宋体"/>
          <w:sz w:val="24"/>
          <w:szCs w:val="24"/>
        </w:rPr>
        <w:t>2、因中标人违反保密义务或知识产权约定的，采购人有权要求中标人支付本项目费用总额30%的违约金，违约金不足以弥补采购人损失的，采购人有权要求中标人赔偿超过部分。若中标人违反保密义务，采购人还有权立即单方解除合同而不承担任何违约责任。</w:t>
      </w:r>
    </w:p>
    <w:p>
      <w:pPr>
        <w:pStyle w:val="107"/>
        <w:snapToGrid w:val="0"/>
        <w:spacing w:line="360" w:lineRule="auto"/>
        <w:ind w:firstLine="480"/>
        <w:rPr>
          <w:rFonts w:ascii="宋体" w:hAnsi="宋体"/>
          <w:sz w:val="24"/>
          <w:szCs w:val="24"/>
        </w:rPr>
      </w:pPr>
      <w:r>
        <w:rPr>
          <w:rFonts w:ascii="宋体" w:hAnsi="宋体"/>
          <w:sz w:val="24"/>
          <w:szCs w:val="24"/>
        </w:rPr>
        <w:t>3、中标人有其他违反本项目合同约定的行为，中标人应当支付本项目总价款金额的20%作为违约金，违约金不足以弥补采购人损失的，采购人有权要求中标人赔偿超过部分。</w:t>
      </w:r>
    </w:p>
    <w:p>
      <w:pPr>
        <w:pStyle w:val="107"/>
        <w:snapToGrid w:val="0"/>
        <w:spacing w:line="360" w:lineRule="auto"/>
        <w:ind w:firstLine="480"/>
        <w:rPr>
          <w:rFonts w:ascii="宋体" w:hAnsi="宋体"/>
          <w:sz w:val="24"/>
          <w:szCs w:val="24"/>
        </w:rPr>
      </w:pPr>
      <w:r>
        <w:rPr>
          <w:rFonts w:ascii="宋体" w:hAnsi="宋体"/>
          <w:sz w:val="24"/>
          <w:szCs w:val="24"/>
        </w:rPr>
        <w:t>4、中标人有下列情形之一，采购人有权解除合同：</w:t>
      </w:r>
    </w:p>
    <w:p>
      <w:pPr>
        <w:pStyle w:val="107"/>
        <w:snapToGrid w:val="0"/>
        <w:spacing w:line="360" w:lineRule="auto"/>
        <w:ind w:firstLine="480"/>
        <w:rPr>
          <w:rFonts w:ascii="宋体" w:hAnsi="宋体"/>
          <w:sz w:val="24"/>
          <w:szCs w:val="24"/>
        </w:rPr>
      </w:pPr>
      <w:r>
        <w:rPr>
          <w:rFonts w:hint="eastAsia" w:ascii="宋体" w:hAnsi="宋体"/>
          <w:sz w:val="24"/>
          <w:szCs w:val="24"/>
        </w:rPr>
        <w:t>（1</w:t>
      </w:r>
      <w:r>
        <w:rPr>
          <w:rFonts w:ascii="宋体" w:hAnsi="宋体"/>
          <w:sz w:val="24"/>
          <w:szCs w:val="24"/>
        </w:rPr>
        <w:t>）因中标人服务质量问题导致采购人无法实现目的；</w:t>
      </w:r>
    </w:p>
    <w:p>
      <w:pPr>
        <w:pStyle w:val="107"/>
        <w:snapToGrid w:val="0"/>
        <w:spacing w:line="360" w:lineRule="auto"/>
        <w:ind w:firstLine="480"/>
        <w:rPr>
          <w:rFonts w:ascii="宋体" w:hAnsi="宋体"/>
          <w:sz w:val="24"/>
          <w:szCs w:val="24"/>
        </w:rPr>
      </w:pPr>
      <w:r>
        <w:rPr>
          <w:rFonts w:hint="eastAsia" w:ascii="宋体" w:hAnsi="宋体"/>
          <w:sz w:val="24"/>
          <w:szCs w:val="24"/>
        </w:rPr>
        <w:t>（2</w:t>
      </w:r>
      <w:r>
        <w:rPr>
          <w:rFonts w:ascii="宋体" w:hAnsi="宋体"/>
          <w:sz w:val="24"/>
          <w:szCs w:val="24"/>
        </w:rPr>
        <w:t>）擅自转让或者分包其应履行的义务的；</w:t>
      </w:r>
    </w:p>
    <w:p>
      <w:pPr>
        <w:pStyle w:val="107"/>
        <w:snapToGrid w:val="0"/>
        <w:spacing w:line="360" w:lineRule="auto"/>
        <w:ind w:firstLine="480"/>
        <w:rPr>
          <w:rFonts w:ascii="宋体" w:hAnsi="宋体"/>
          <w:sz w:val="24"/>
          <w:szCs w:val="24"/>
        </w:rPr>
      </w:pPr>
      <w:r>
        <w:rPr>
          <w:rFonts w:hint="eastAsia" w:ascii="宋体" w:hAnsi="宋体"/>
          <w:sz w:val="24"/>
          <w:szCs w:val="24"/>
        </w:rPr>
        <w:t>（3</w:t>
      </w:r>
      <w:r>
        <w:rPr>
          <w:rFonts w:ascii="宋体" w:hAnsi="宋体"/>
          <w:sz w:val="24"/>
          <w:szCs w:val="24"/>
        </w:rPr>
        <w:t>）违反或者未履行本项目合同约定的其他相关义务，且在采购人要求的合理时间内未能纠正的。</w:t>
      </w:r>
    </w:p>
    <w:p>
      <w:pPr>
        <w:pStyle w:val="2"/>
      </w:pPr>
      <w:r>
        <w:rPr>
          <w:rFonts w:hint="eastAsia"/>
        </w:rPr>
        <w:t>付款方式</w:t>
      </w:r>
    </w:p>
    <w:p>
      <w:pPr>
        <w:pStyle w:val="107"/>
        <w:snapToGrid w:val="0"/>
        <w:spacing w:line="360" w:lineRule="auto"/>
        <w:ind w:firstLine="480"/>
        <w:rPr>
          <w:rFonts w:ascii="宋体" w:hAnsi="宋体"/>
          <w:sz w:val="24"/>
          <w:szCs w:val="24"/>
        </w:rPr>
      </w:pPr>
      <w:bookmarkStart w:id="32" w:name="PO_付款方法9"/>
      <w:r>
        <w:rPr>
          <w:rFonts w:hint="eastAsia" w:ascii="宋体" w:hAnsi="宋体"/>
          <w:sz w:val="24"/>
          <w:szCs w:val="24"/>
        </w:rPr>
        <w:t>本合同采用两期分期付款：</w:t>
      </w:r>
    </w:p>
    <w:p>
      <w:pPr>
        <w:pStyle w:val="107"/>
        <w:numPr>
          <w:ilvl w:val="0"/>
          <w:numId w:val="12"/>
        </w:numPr>
        <w:snapToGrid w:val="0"/>
        <w:spacing w:line="360" w:lineRule="auto"/>
        <w:ind w:firstLine="480"/>
        <w:rPr>
          <w:rFonts w:ascii="宋体" w:hAnsi="宋体"/>
          <w:sz w:val="24"/>
          <w:szCs w:val="24"/>
        </w:rPr>
      </w:pPr>
      <w:r>
        <w:rPr>
          <w:rFonts w:hint="eastAsia" w:ascii="宋体" w:hAnsi="宋体"/>
          <w:sz w:val="24"/>
          <w:szCs w:val="24"/>
        </w:rPr>
        <w:t>合同签定生效后10个工作日内，支付合同总价款的70%；</w:t>
      </w:r>
    </w:p>
    <w:p>
      <w:pPr>
        <w:pStyle w:val="107"/>
        <w:numPr>
          <w:ilvl w:val="0"/>
          <w:numId w:val="12"/>
        </w:numPr>
        <w:snapToGrid w:val="0"/>
        <w:spacing w:line="360" w:lineRule="auto"/>
        <w:ind w:firstLine="480"/>
        <w:rPr>
          <w:rFonts w:ascii="宋体" w:hAnsi="宋体"/>
          <w:sz w:val="24"/>
          <w:szCs w:val="24"/>
        </w:rPr>
      </w:pPr>
      <w:r>
        <w:rPr>
          <w:rFonts w:hint="eastAsia" w:ascii="宋体" w:hAnsi="宋体"/>
          <w:sz w:val="24"/>
          <w:szCs w:val="24"/>
        </w:rPr>
        <w:t>通过最终验收后10个工作日内，支付合同尾款。</w:t>
      </w:r>
    </w:p>
    <w:p>
      <w:pPr>
        <w:pStyle w:val="107"/>
        <w:snapToGrid w:val="0"/>
        <w:spacing w:line="360" w:lineRule="auto"/>
        <w:ind w:firstLine="480"/>
        <w:rPr>
          <w:bCs/>
        </w:rPr>
      </w:pPr>
      <w:r>
        <w:rPr>
          <w:rFonts w:hint="eastAsia" w:ascii="宋体" w:hAnsi="宋体" w:eastAsiaTheme="minorEastAsia" w:cstheme="minorEastAsia"/>
          <w:sz w:val="24"/>
          <w:szCs w:val="24"/>
        </w:rPr>
        <w:t>付款条件备注：服务提供方应当在采购方每次付款前提前至少10个工作</w:t>
      </w:r>
      <w:r>
        <w:rPr>
          <w:rFonts w:ascii="宋体" w:hAnsi="宋体" w:eastAsiaTheme="minorEastAsia" w:cstheme="minorEastAsia"/>
          <w:sz w:val="24"/>
          <w:szCs w:val="24"/>
        </w:rPr>
        <w:t>日向采购方提供有效发票。</w:t>
      </w:r>
      <w:bookmarkEnd w:id="32"/>
    </w:p>
    <w:sectPr>
      <w:footerReference r:id="rId9" w:type="first"/>
      <w:pgSz w:w="11906" w:h="16838"/>
      <w:pgMar w:top="1134" w:right="1797" w:bottom="1135" w:left="1797" w:header="340" w:footer="7" w:gutter="0"/>
      <w:pgNumType w:start="1"/>
      <w:cols w:space="720" w:num="1"/>
      <w:titlePg/>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A00002EF" w:usb1="4000004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1F00FF" w:csb1="FFFF0000"/>
  </w:font>
  <w:font w:name="仿宋">
    <w:altName w:val="Arial Unicode MS"/>
    <w:panose1 w:val="02010609060101010101"/>
    <w:charset w:val="86"/>
    <w:family w:val="modern"/>
    <w:pitch w:val="default"/>
    <w:sig w:usb0="00000000" w:usb1="00000000" w:usb2="00000016" w:usb3="00000000" w:csb0="00040001" w:csb1="00000000"/>
  </w:font>
  <w:font w:name="Calibri Light">
    <w:altName w:val="Century Gothic"/>
    <w:panose1 w:val="020F0302020204030204"/>
    <w:charset w:val="00"/>
    <w:family w:val="swiss"/>
    <w:pitch w:val="default"/>
    <w:sig w:usb0="00000000" w:usb1="00000000"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Arial Unicode MS">
    <w:panose1 w:val="020B0604020202020204"/>
    <w:charset w:val="80"/>
    <w:family w:val="swiss"/>
    <w:pitch w:val="default"/>
    <w:sig w:usb0="FFFFFFFF" w:usb1="E9FFFFFF" w:usb2="0000003F" w:usb3="00000000" w:csb0="601F00FF" w:csb1="FFFF0000"/>
  </w:font>
  <w:font w:name="等线 Light">
    <w:altName w:val="書體坊顏體㊣"/>
    <w:panose1 w:val="02010600030101010101"/>
    <w:charset w:val="86"/>
    <w:family w:val="auto"/>
    <w:pitch w:val="default"/>
    <w:sig w:usb0="00000000" w:usb1="00000000" w:usb2="00000016" w:usb3="00000000" w:csb0="0004000F" w:csb1="00000000"/>
  </w:font>
  <w:font w:name="書體坊顏體㊣">
    <w:panose1 w:val="02010600030101010101"/>
    <w:charset w:val="86"/>
    <w:family w:val="auto"/>
    <w:pitch w:val="default"/>
    <w:sig w:usb0="00000001" w:usb1="080E0000" w:usb2="00000000" w:usb3="00000000" w:csb0="00040000" w:csb1="00000000"/>
  </w:font>
  <w:font w:name="time">
    <w:altName w:val="Arial Unicode MS"/>
    <w:panose1 w:val="020B0604020202020204"/>
    <w:charset w:val="00"/>
    <w:family w:val="roman"/>
    <w:pitch w:val="default"/>
    <w:sig w:usb0="00000000" w:usb1="00000000" w:usb2="00000000" w:usb3="00000000" w:csb0="00040001" w:csb1="00000000"/>
  </w:font>
  <w:font w:name="Microsoft YaHei UI">
    <w:altName w:val="微软雅黑"/>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A0F3C52" w:usb2="00000016" w:usb3="00000000" w:csb0="0004001F" w:csb1="00000000"/>
  </w:font>
  <w:font w:name="Microsoft Sans Serif">
    <w:panose1 w:val="020B0604020202020204"/>
    <w:charset w:val="00"/>
    <w:family w:val="swiss"/>
    <w:pitch w:val="default"/>
    <w:sig w:usb0="61007BDF"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24</w:t>
    </w:r>
    <w:r>
      <w:rPr>
        <w:lang w:val="zh-CN"/>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89CF6"/>
    <w:multiLevelType w:val="singleLevel"/>
    <w:tmpl w:val="82C89CF6"/>
    <w:lvl w:ilvl="0" w:tentative="0">
      <w:start w:val="1"/>
      <w:numFmt w:val="lowerLetter"/>
      <w:lvlText w:val="%1."/>
      <w:lvlJc w:val="left"/>
      <w:pPr>
        <w:tabs>
          <w:tab w:val="left" w:pos="312"/>
        </w:tabs>
      </w:pPr>
    </w:lvl>
  </w:abstractNum>
  <w:abstractNum w:abstractNumId="1">
    <w:nsid w:val="D12C4BCE"/>
    <w:multiLevelType w:val="singleLevel"/>
    <w:tmpl w:val="D12C4BCE"/>
    <w:lvl w:ilvl="0" w:tentative="0">
      <w:start w:val="1"/>
      <w:numFmt w:val="bullet"/>
      <w:lvlText w:val=""/>
      <w:lvlJc w:val="left"/>
      <w:pPr>
        <w:ind w:left="420" w:hanging="420"/>
      </w:pPr>
      <w:rPr>
        <w:rFonts w:hint="default" w:ascii="Wingdings" w:hAnsi="Wingdings"/>
      </w:rPr>
    </w:lvl>
  </w:abstractNum>
  <w:abstractNum w:abstractNumId="2">
    <w:nsid w:val="22AF5309"/>
    <w:multiLevelType w:val="multilevel"/>
    <w:tmpl w:val="22AF5309"/>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321016C0"/>
    <w:multiLevelType w:val="singleLevel"/>
    <w:tmpl w:val="321016C0"/>
    <w:lvl w:ilvl="0" w:tentative="0">
      <w:start w:val="1"/>
      <w:numFmt w:val="decimal"/>
      <w:lvlText w:val="%1."/>
      <w:lvlJc w:val="left"/>
      <w:pPr>
        <w:ind w:left="425" w:hanging="425"/>
      </w:pPr>
      <w:rPr>
        <w:rFonts w:hint="default"/>
      </w:rPr>
    </w:lvl>
  </w:abstractNum>
  <w:abstractNum w:abstractNumId="4">
    <w:nsid w:val="3413581A"/>
    <w:multiLevelType w:val="singleLevel"/>
    <w:tmpl w:val="3413581A"/>
    <w:lvl w:ilvl="0" w:tentative="0">
      <w:start w:val="1"/>
      <w:numFmt w:val="bullet"/>
      <w:lvlText w:val=""/>
      <w:lvlJc w:val="left"/>
      <w:pPr>
        <w:ind w:left="420" w:hanging="420"/>
      </w:pPr>
      <w:rPr>
        <w:rFonts w:hint="default" w:ascii="Wingdings" w:hAnsi="Wingdings"/>
      </w:rPr>
    </w:lvl>
  </w:abstractNum>
  <w:abstractNum w:abstractNumId="5">
    <w:nsid w:val="368E0C26"/>
    <w:multiLevelType w:val="singleLevel"/>
    <w:tmpl w:val="368E0C26"/>
    <w:lvl w:ilvl="0" w:tentative="0">
      <w:start w:val="1"/>
      <w:numFmt w:val="chineseCounting"/>
      <w:suff w:val="nothing"/>
      <w:lvlText w:val="（%1）"/>
      <w:lvlJc w:val="left"/>
      <w:pPr>
        <w:ind w:left="0" w:firstLine="420"/>
      </w:pPr>
      <w:rPr>
        <w:rFonts w:hint="eastAsia"/>
      </w:rPr>
    </w:lvl>
  </w:abstractNum>
  <w:abstractNum w:abstractNumId="6">
    <w:nsid w:val="37C07906"/>
    <w:multiLevelType w:val="multilevel"/>
    <w:tmpl w:val="37C07906"/>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538F556E"/>
    <w:multiLevelType w:val="multilevel"/>
    <w:tmpl w:val="538F556E"/>
    <w:lvl w:ilvl="0" w:tentative="0">
      <w:start w:val="1"/>
      <w:numFmt w:val="chineseCountingThousand"/>
      <w:pStyle w:val="144"/>
      <w:lvlText w:val="%1、"/>
      <w:lvlJc w:val="left"/>
      <w:pPr>
        <w:ind w:left="1002" w:hanging="440"/>
      </w:p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8">
    <w:nsid w:val="6350366A"/>
    <w:multiLevelType w:val="multilevel"/>
    <w:tmpl w:val="6350366A"/>
    <w:lvl w:ilvl="0" w:tentative="0">
      <w:start w:val="1"/>
      <w:numFmt w:val="none"/>
      <w:pStyle w:val="11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2694" w:hanging="567"/>
      </w:pPr>
      <w:rPr>
        <w:rFonts w:hint="eastAsia"/>
      </w:r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rPr>
        <w:rFonts w:hint="eastAsia"/>
      </w:r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9"/>
  </w:num>
  <w:num w:numId="2">
    <w:abstractNumId w:val="8"/>
  </w:num>
  <w:num w:numId="3">
    <w:abstractNumId w:val="7"/>
  </w:num>
  <w:num w:numId="4">
    <w:abstractNumId w:val="2"/>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28E4"/>
    <w:rsid w:val="00003516"/>
    <w:rsid w:val="000037DF"/>
    <w:rsid w:val="0000380E"/>
    <w:rsid w:val="00005AFD"/>
    <w:rsid w:val="00006563"/>
    <w:rsid w:val="000074F1"/>
    <w:rsid w:val="00007A41"/>
    <w:rsid w:val="00007DA7"/>
    <w:rsid w:val="00012EF0"/>
    <w:rsid w:val="000156DE"/>
    <w:rsid w:val="000165AD"/>
    <w:rsid w:val="000179E9"/>
    <w:rsid w:val="00017A95"/>
    <w:rsid w:val="00020C18"/>
    <w:rsid w:val="00021EE6"/>
    <w:rsid w:val="0002280E"/>
    <w:rsid w:val="00022C74"/>
    <w:rsid w:val="00025122"/>
    <w:rsid w:val="000252D5"/>
    <w:rsid w:val="00026997"/>
    <w:rsid w:val="00027A64"/>
    <w:rsid w:val="00030AF4"/>
    <w:rsid w:val="00032D27"/>
    <w:rsid w:val="00035325"/>
    <w:rsid w:val="00035D5B"/>
    <w:rsid w:val="000375AB"/>
    <w:rsid w:val="000378D0"/>
    <w:rsid w:val="00037DCD"/>
    <w:rsid w:val="00037F2C"/>
    <w:rsid w:val="00042C2A"/>
    <w:rsid w:val="000430EC"/>
    <w:rsid w:val="000447CB"/>
    <w:rsid w:val="00047915"/>
    <w:rsid w:val="00047D06"/>
    <w:rsid w:val="000505E3"/>
    <w:rsid w:val="00050FBD"/>
    <w:rsid w:val="0005107A"/>
    <w:rsid w:val="0005192C"/>
    <w:rsid w:val="00052929"/>
    <w:rsid w:val="0005299F"/>
    <w:rsid w:val="000541D7"/>
    <w:rsid w:val="000545C0"/>
    <w:rsid w:val="0005586D"/>
    <w:rsid w:val="00056C0E"/>
    <w:rsid w:val="000574A8"/>
    <w:rsid w:val="000574F8"/>
    <w:rsid w:val="00057544"/>
    <w:rsid w:val="00057A49"/>
    <w:rsid w:val="00060F40"/>
    <w:rsid w:val="0006231F"/>
    <w:rsid w:val="00062A05"/>
    <w:rsid w:val="00062EE6"/>
    <w:rsid w:val="0006344E"/>
    <w:rsid w:val="000649E6"/>
    <w:rsid w:val="000675B3"/>
    <w:rsid w:val="0006794B"/>
    <w:rsid w:val="00067DCA"/>
    <w:rsid w:val="00070063"/>
    <w:rsid w:val="0007087A"/>
    <w:rsid w:val="000710EC"/>
    <w:rsid w:val="00071E8D"/>
    <w:rsid w:val="00072237"/>
    <w:rsid w:val="00072ABE"/>
    <w:rsid w:val="00080B39"/>
    <w:rsid w:val="00081550"/>
    <w:rsid w:val="0008201B"/>
    <w:rsid w:val="00083950"/>
    <w:rsid w:val="00083C67"/>
    <w:rsid w:val="0008452F"/>
    <w:rsid w:val="00084805"/>
    <w:rsid w:val="00084E8E"/>
    <w:rsid w:val="00085A68"/>
    <w:rsid w:val="00086CB7"/>
    <w:rsid w:val="00087D6A"/>
    <w:rsid w:val="00090625"/>
    <w:rsid w:val="00090948"/>
    <w:rsid w:val="00091CD1"/>
    <w:rsid w:val="00093BD4"/>
    <w:rsid w:val="0009460E"/>
    <w:rsid w:val="000951D4"/>
    <w:rsid w:val="00095FF5"/>
    <w:rsid w:val="00096665"/>
    <w:rsid w:val="000A2146"/>
    <w:rsid w:val="000A2930"/>
    <w:rsid w:val="000A3276"/>
    <w:rsid w:val="000A3C35"/>
    <w:rsid w:val="000A3E30"/>
    <w:rsid w:val="000A5876"/>
    <w:rsid w:val="000A61D0"/>
    <w:rsid w:val="000A6C67"/>
    <w:rsid w:val="000A6DB8"/>
    <w:rsid w:val="000A7596"/>
    <w:rsid w:val="000A7932"/>
    <w:rsid w:val="000B11A8"/>
    <w:rsid w:val="000B162B"/>
    <w:rsid w:val="000B1959"/>
    <w:rsid w:val="000B2E1C"/>
    <w:rsid w:val="000B4459"/>
    <w:rsid w:val="000B4B46"/>
    <w:rsid w:val="000B5363"/>
    <w:rsid w:val="000B53BA"/>
    <w:rsid w:val="000B642F"/>
    <w:rsid w:val="000B6C99"/>
    <w:rsid w:val="000C3F3C"/>
    <w:rsid w:val="000C5A75"/>
    <w:rsid w:val="000C759D"/>
    <w:rsid w:val="000C75F7"/>
    <w:rsid w:val="000D0AB2"/>
    <w:rsid w:val="000D225C"/>
    <w:rsid w:val="000D36F2"/>
    <w:rsid w:val="000D4B26"/>
    <w:rsid w:val="000D646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0480"/>
    <w:rsid w:val="00111701"/>
    <w:rsid w:val="00112A29"/>
    <w:rsid w:val="001167F6"/>
    <w:rsid w:val="00116C86"/>
    <w:rsid w:val="00121ACF"/>
    <w:rsid w:val="00121D8F"/>
    <w:rsid w:val="00122037"/>
    <w:rsid w:val="0012210C"/>
    <w:rsid w:val="00122A7F"/>
    <w:rsid w:val="0012360D"/>
    <w:rsid w:val="00123F98"/>
    <w:rsid w:val="001242A5"/>
    <w:rsid w:val="00124531"/>
    <w:rsid w:val="00126EDF"/>
    <w:rsid w:val="00127BBE"/>
    <w:rsid w:val="00130184"/>
    <w:rsid w:val="0013085F"/>
    <w:rsid w:val="00131D52"/>
    <w:rsid w:val="001329C1"/>
    <w:rsid w:val="00132C16"/>
    <w:rsid w:val="00134C7A"/>
    <w:rsid w:val="00136320"/>
    <w:rsid w:val="00136FFA"/>
    <w:rsid w:val="00137AC6"/>
    <w:rsid w:val="00145512"/>
    <w:rsid w:val="001465BD"/>
    <w:rsid w:val="001466D9"/>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6755D"/>
    <w:rsid w:val="001707CB"/>
    <w:rsid w:val="00171477"/>
    <w:rsid w:val="00172A1A"/>
    <w:rsid w:val="00173251"/>
    <w:rsid w:val="0017333A"/>
    <w:rsid w:val="00176BED"/>
    <w:rsid w:val="0017759D"/>
    <w:rsid w:val="001804A5"/>
    <w:rsid w:val="00181C94"/>
    <w:rsid w:val="00182C84"/>
    <w:rsid w:val="00187031"/>
    <w:rsid w:val="001870C7"/>
    <w:rsid w:val="00191EA4"/>
    <w:rsid w:val="00192B6C"/>
    <w:rsid w:val="00192C30"/>
    <w:rsid w:val="0019381E"/>
    <w:rsid w:val="00194CF5"/>
    <w:rsid w:val="0019503C"/>
    <w:rsid w:val="00195D94"/>
    <w:rsid w:val="0019608D"/>
    <w:rsid w:val="00196F7B"/>
    <w:rsid w:val="001971CB"/>
    <w:rsid w:val="0019795C"/>
    <w:rsid w:val="001A053A"/>
    <w:rsid w:val="001A1B07"/>
    <w:rsid w:val="001A22A2"/>
    <w:rsid w:val="001A2971"/>
    <w:rsid w:val="001A3D52"/>
    <w:rsid w:val="001A460A"/>
    <w:rsid w:val="001A4A4C"/>
    <w:rsid w:val="001A5C32"/>
    <w:rsid w:val="001B0230"/>
    <w:rsid w:val="001B13AB"/>
    <w:rsid w:val="001B3907"/>
    <w:rsid w:val="001B3B49"/>
    <w:rsid w:val="001B420C"/>
    <w:rsid w:val="001B4907"/>
    <w:rsid w:val="001B4DC5"/>
    <w:rsid w:val="001B4DEB"/>
    <w:rsid w:val="001B5505"/>
    <w:rsid w:val="001C2180"/>
    <w:rsid w:val="001C29CC"/>
    <w:rsid w:val="001C3217"/>
    <w:rsid w:val="001C3B98"/>
    <w:rsid w:val="001C4FF5"/>
    <w:rsid w:val="001C5EAB"/>
    <w:rsid w:val="001C6028"/>
    <w:rsid w:val="001C6365"/>
    <w:rsid w:val="001C6EF2"/>
    <w:rsid w:val="001C7F57"/>
    <w:rsid w:val="001D0E79"/>
    <w:rsid w:val="001D6049"/>
    <w:rsid w:val="001D7339"/>
    <w:rsid w:val="001E2750"/>
    <w:rsid w:val="001E4343"/>
    <w:rsid w:val="001E52BB"/>
    <w:rsid w:val="001E660A"/>
    <w:rsid w:val="001E7504"/>
    <w:rsid w:val="001F05D6"/>
    <w:rsid w:val="001F5B0A"/>
    <w:rsid w:val="001F640F"/>
    <w:rsid w:val="001F6794"/>
    <w:rsid w:val="001F6F65"/>
    <w:rsid w:val="002002DF"/>
    <w:rsid w:val="0020213B"/>
    <w:rsid w:val="00203A6F"/>
    <w:rsid w:val="00205646"/>
    <w:rsid w:val="002063F7"/>
    <w:rsid w:val="002129E5"/>
    <w:rsid w:val="00212AA4"/>
    <w:rsid w:val="00212E13"/>
    <w:rsid w:val="00215DE9"/>
    <w:rsid w:val="002163C8"/>
    <w:rsid w:val="002179FE"/>
    <w:rsid w:val="00217E42"/>
    <w:rsid w:val="00220710"/>
    <w:rsid w:val="00220CC0"/>
    <w:rsid w:val="00221A36"/>
    <w:rsid w:val="00223296"/>
    <w:rsid w:val="0022329B"/>
    <w:rsid w:val="002240F7"/>
    <w:rsid w:val="0022486F"/>
    <w:rsid w:val="00225314"/>
    <w:rsid w:val="00225DF4"/>
    <w:rsid w:val="00225E52"/>
    <w:rsid w:val="00226C70"/>
    <w:rsid w:val="00230C8A"/>
    <w:rsid w:val="00231F98"/>
    <w:rsid w:val="002324F8"/>
    <w:rsid w:val="00232AF9"/>
    <w:rsid w:val="002348B0"/>
    <w:rsid w:val="00235CDC"/>
    <w:rsid w:val="00237E76"/>
    <w:rsid w:val="00240BBE"/>
    <w:rsid w:val="00241525"/>
    <w:rsid w:val="00241D87"/>
    <w:rsid w:val="00243C55"/>
    <w:rsid w:val="00243D5E"/>
    <w:rsid w:val="002451EC"/>
    <w:rsid w:val="00245ED4"/>
    <w:rsid w:val="00246B41"/>
    <w:rsid w:val="0025002B"/>
    <w:rsid w:val="002500DE"/>
    <w:rsid w:val="00251BFC"/>
    <w:rsid w:val="00252457"/>
    <w:rsid w:val="00252581"/>
    <w:rsid w:val="002535B5"/>
    <w:rsid w:val="002538CB"/>
    <w:rsid w:val="002542BD"/>
    <w:rsid w:val="0025774E"/>
    <w:rsid w:val="00257D64"/>
    <w:rsid w:val="00260E0E"/>
    <w:rsid w:val="0026340A"/>
    <w:rsid w:val="002654EA"/>
    <w:rsid w:val="002704EA"/>
    <w:rsid w:val="0027061A"/>
    <w:rsid w:val="002719CC"/>
    <w:rsid w:val="002730C5"/>
    <w:rsid w:val="0027337C"/>
    <w:rsid w:val="0027602B"/>
    <w:rsid w:val="00277F5E"/>
    <w:rsid w:val="00280084"/>
    <w:rsid w:val="00280490"/>
    <w:rsid w:val="0028584C"/>
    <w:rsid w:val="002860B8"/>
    <w:rsid w:val="00291831"/>
    <w:rsid w:val="00291C75"/>
    <w:rsid w:val="0029206E"/>
    <w:rsid w:val="00293382"/>
    <w:rsid w:val="00294F51"/>
    <w:rsid w:val="002A2342"/>
    <w:rsid w:val="002A279E"/>
    <w:rsid w:val="002A4FA3"/>
    <w:rsid w:val="002A54CB"/>
    <w:rsid w:val="002B3606"/>
    <w:rsid w:val="002B3D80"/>
    <w:rsid w:val="002B4402"/>
    <w:rsid w:val="002B4946"/>
    <w:rsid w:val="002B4C41"/>
    <w:rsid w:val="002B588D"/>
    <w:rsid w:val="002C1839"/>
    <w:rsid w:val="002C20B5"/>
    <w:rsid w:val="002C214A"/>
    <w:rsid w:val="002C28E8"/>
    <w:rsid w:val="002C3027"/>
    <w:rsid w:val="002C674D"/>
    <w:rsid w:val="002C7648"/>
    <w:rsid w:val="002C7DC4"/>
    <w:rsid w:val="002D0821"/>
    <w:rsid w:val="002D0883"/>
    <w:rsid w:val="002D1929"/>
    <w:rsid w:val="002D1B73"/>
    <w:rsid w:val="002D3CB0"/>
    <w:rsid w:val="002D4800"/>
    <w:rsid w:val="002D5B21"/>
    <w:rsid w:val="002D6F6D"/>
    <w:rsid w:val="002E1D45"/>
    <w:rsid w:val="002E1FE6"/>
    <w:rsid w:val="002E2EA7"/>
    <w:rsid w:val="002E36D2"/>
    <w:rsid w:val="002E748B"/>
    <w:rsid w:val="002F15C1"/>
    <w:rsid w:val="002F2002"/>
    <w:rsid w:val="002F21EE"/>
    <w:rsid w:val="002F335D"/>
    <w:rsid w:val="002F4E32"/>
    <w:rsid w:val="002F503F"/>
    <w:rsid w:val="002F51DD"/>
    <w:rsid w:val="002F5D08"/>
    <w:rsid w:val="002F6305"/>
    <w:rsid w:val="002F6895"/>
    <w:rsid w:val="002F6D13"/>
    <w:rsid w:val="0030030F"/>
    <w:rsid w:val="003038D3"/>
    <w:rsid w:val="003049C7"/>
    <w:rsid w:val="00304D25"/>
    <w:rsid w:val="00305F0E"/>
    <w:rsid w:val="0030667A"/>
    <w:rsid w:val="003106DE"/>
    <w:rsid w:val="003107CC"/>
    <w:rsid w:val="00311530"/>
    <w:rsid w:val="00312D31"/>
    <w:rsid w:val="00313AB8"/>
    <w:rsid w:val="00315216"/>
    <w:rsid w:val="0031691C"/>
    <w:rsid w:val="00317AEF"/>
    <w:rsid w:val="00317F49"/>
    <w:rsid w:val="0032089B"/>
    <w:rsid w:val="00320F83"/>
    <w:rsid w:val="00323450"/>
    <w:rsid w:val="00323D93"/>
    <w:rsid w:val="0032489B"/>
    <w:rsid w:val="0032525B"/>
    <w:rsid w:val="00326A7A"/>
    <w:rsid w:val="00326FEE"/>
    <w:rsid w:val="003315D7"/>
    <w:rsid w:val="00333C24"/>
    <w:rsid w:val="00334DE6"/>
    <w:rsid w:val="0033536D"/>
    <w:rsid w:val="003353FF"/>
    <w:rsid w:val="003366D2"/>
    <w:rsid w:val="003370B1"/>
    <w:rsid w:val="00337C79"/>
    <w:rsid w:val="00337FEF"/>
    <w:rsid w:val="0034084C"/>
    <w:rsid w:val="00340C19"/>
    <w:rsid w:val="00340D5E"/>
    <w:rsid w:val="003415BC"/>
    <w:rsid w:val="003420B5"/>
    <w:rsid w:val="00343646"/>
    <w:rsid w:val="003439E9"/>
    <w:rsid w:val="00344CCB"/>
    <w:rsid w:val="00345897"/>
    <w:rsid w:val="00351BFC"/>
    <w:rsid w:val="00354B04"/>
    <w:rsid w:val="0035575E"/>
    <w:rsid w:val="003563B9"/>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5A15"/>
    <w:rsid w:val="00376B39"/>
    <w:rsid w:val="003772C0"/>
    <w:rsid w:val="00377BAC"/>
    <w:rsid w:val="00380142"/>
    <w:rsid w:val="00380558"/>
    <w:rsid w:val="0038065E"/>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1378"/>
    <w:rsid w:val="003B2167"/>
    <w:rsid w:val="003B5F5D"/>
    <w:rsid w:val="003B62C8"/>
    <w:rsid w:val="003B71C2"/>
    <w:rsid w:val="003B730F"/>
    <w:rsid w:val="003C0C62"/>
    <w:rsid w:val="003C12DC"/>
    <w:rsid w:val="003C2CDA"/>
    <w:rsid w:val="003D000A"/>
    <w:rsid w:val="003D1641"/>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CA6"/>
    <w:rsid w:val="003F6F35"/>
    <w:rsid w:val="003F7768"/>
    <w:rsid w:val="00400E8C"/>
    <w:rsid w:val="004015FD"/>
    <w:rsid w:val="004017DC"/>
    <w:rsid w:val="00401B53"/>
    <w:rsid w:val="00401EA7"/>
    <w:rsid w:val="00402668"/>
    <w:rsid w:val="00404FEC"/>
    <w:rsid w:val="0040534D"/>
    <w:rsid w:val="00405FAD"/>
    <w:rsid w:val="004117AB"/>
    <w:rsid w:val="00412B2F"/>
    <w:rsid w:val="00415281"/>
    <w:rsid w:val="00415716"/>
    <w:rsid w:val="0041604D"/>
    <w:rsid w:val="00417842"/>
    <w:rsid w:val="00417A6E"/>
    <w:rsid w:val="004203FB"/>
    <w:rsid w:val="004220AB"/>
    <w:rsid w:val="0042285D"/>
    <w:rsid w:val="00427D2B"/>
    <w:rsid w:val="0043030B"/>
    <w:rsid w:val="00430B13"/>
    <w:rsid w:val="00430CE5"/>
    <w:rsid w:val="0043153C"/>
    <w:rsid w:val="00431D0F"/>
    <w:rsid w:val="0043481C"/>
    <w:rsid w:val="0044014F"/>
    <w:rsid w:val="00444307"/>
    <w:rsid w:val="0044436F"/>
    <w:rsid w:val="004443EB"/>
    <w:rsid w:val="00444432"/>
    <w:rsid w:val="00444673"/>
    <w:rsid w:val="0044621E"/>
    <w:rsid w:val="00447BF1"/>
    <w:rsid w:val="00450964"/>
    <w:rsid w:val="00450BA4"/>
    <w:rsid w:val="004511FC"/>
    <w:rsid w:val="00456784"/>
    <w:rsid w:val="00456DCA"/>
    <w:rsid w:val="00461140"/>
    <w:rsid w:val="004611DB"/>
    <w:rsid w:val="004658B0"/>
    <w:rsid w:val="0046614B"/>
    <w:rsid w:val="00467FD7"/>
    <w:rsid w:val="00470073"/>
    <w:rsid w:val="004730F8"/>
    <w:rsid w:val="00473697"/>
    <w:rsid w:val="00474353"/>
    <w:rsid w:val="00474555"/>
    <w:rsid w:val="004750F4"/>
    <w:rsid w:val="00476CB1"/>
    <w:rsid w:val="00480A48"/>
    <w:rsid w:val="00482501"/>
    <w:rsid w:val="00482E7D"/>
    <w:rsid w:val="00484395"/>
    <w:rsid w:val="004865FB"/>
    <w:rsid w:val="00486C03"/>
    <w:rsid w:val="00491AB3"/>
    <w:rsid w:val="00492FB6"/>
    <w:rsid w:val="00496007"/>
    <w:rsid w:val="00497A33"/>
    <w:rsid w:val="004A1112"/>
    <w:rsid w:val="004A1DA0"/>
    <w:rsid w:val="004A1F20"/>
    <w:rsid w:val="004A2393"/>
    <w:rsid w:val="004A3243"/>
    <w:rsid w:val="004A3569"/>
    <w:rsid w:val="004A452A"/>
    <w:rsid w:val="004A4D54"/>
    <w:rsid w:val="004A5EA1"/>
    <w:rsid w:val="004A5F2C"/>
    <w:rsid w:val="004A6E4F"/>
    <w:rsid w:val="004A720D"/>
    <w:rsid w:val="004A7826"/>
    <w:rsid w:val="004B00D0"/>
    <w:rsid w:val="004B02A6"/>
    <w:rsid w:val="004B0345"/>
    <w:rsid w:val="004B6084"/>
    <w:rsid w:val="004B6A9D"/>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43C"/>
    <w:rsid w:val="004E06E7"/>
    <w:rsid w:val="004E0AE3"/>
    <w:rsid w:val="004E20D3"/>
    <w:rsid w:val="004E2C82"/>
    <w:rsid w:val="004E4FAE"/>
    <w:rsid w:val="004E62C7"/>
    <w:rsid w:val="004E68FF"/>
    <w:rsid w:val="004E7A1B"/>
    <w:rsid w:val="004F0322"/>
    <w:rsid w:val="004F0B7F"/>
    <w:rsid w:val="004F1193"/>
    <w:rsid w:val="004F11DC"/>
    <w:rsid w:val="004F2124"/>
    <w:rsid w:val="004F271B"/>
    <w:rsid w:val="004F3A52"/>
    <w:rsid w:val="004F449F"/>
    <w:rsid w:val="004F4E7E"/>
    <w:rsid w:val="004F63AB"/>
    <w:rsid w:val="004F6B76"/>
    <w:rsid w:val="004F6C7C"/>
    <w:rsid w:val="004F7F1A"/>
    <w:rsid w:val="004F7FBB"/>
    <w:rsid w:val="00502831"/>
    <w:rsid w:val="005042B3"/>
    <w:rsid w:val="005045AB"/>
    <w:rsid w:val="00507D43"/>
    <w:rsid w:val="005100BC"/>
    <w:rsid w:val="005103F2"/>
    <w:rsid w:val="00510E2C"/>
    <w:rsid w:val="00511FDC"/>
    <w:rsid w:val="005124C6"/>
    <w:rsid w:val="00513EBC"/>
    <w:rsid w:val="00514CE1"/>
    <w:rsid w:val="00517155"/>
    <w:rsid w:val="00517DB3"/>
    <w:rsid w:val="005200DC"/>
    <w:rsid w:val="005200F2"/>
    <w:rsid w:val="0052369D"/>
    <w:rsid w:val="00524244"/>
    <w:rsid w:val="005262AC"/>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0F2A"/>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3133"/>
    <w:rsid w:val="00584221"/>
    <w:rsid w:val="00584EB6"/>
    <w:rsid w:val="00586B68"/>
    <w:rsid w:val="005875AF"/>
    <w:rsid w:val="0058774E"/>
    <w:rsid w:val="005878CF"/>
    <w:rsid w:val="00590CA0"/>
    <w:rsid w:val="0059231B"/>
    <w:rsid w:val="00595B01"/>
    <w:rsid w:val="00596D98"/>
    <w:rsid w:val="005979A5"/>
    <w:rsid w:val="005A0021"/>
    <w:rsid w:val="005A017B"/>
    <w:rsid w:val="005A2AEC"/>
    <w:rsid w:val="005A412D"/>
    <w:rsid w:val="005A5212"/>
    <w:rsid w:val="005A6474"/>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5C13"/>
    <w:rsid w:val="005C774A"/>
    <w:rsid w:val="005D1172"/>
    <w:rsid w:val="005D3734"/>
    <w:rsid w:val="005D4F16"/>
    <w:rsid w:val="005D5A53"/>
    <w:rsid w:val="005D5DA0"/>
    <w:rsid w:val="005D7FBD"/>
    <w:rsid w:val="005E19B4"/>
    <w:rsid w:val="005E1D6B"/>
    <w:rsid w:val="005E227A"/>
    <w:rsid w:val="005E2CF8"/>
    <w:rsid w:val="005E3126"/>
    <w:rsid w:val="005E7075"/>
    <w:rsid w:val="005E75A7"/>
    <w:rsid w:val="005F2F2A"/>
    <w:rsid w:val="005F38E2"/>
    <w:rsid w:val="005F3EE6"/>
    <w:rsid w:val="005F6736"/>
    <w:rsid w:val="00602B47"/>
    <w:rsid w:val="00602C10"/>
    <w:rsid w:val="00602EBD"/>
    <w:rsid w:val="00604CF2"/>
    <w:rsid w:val="00605830"/>
    <w:rsid w:val="00606DFF"/>
    <w:rsid w:val="00606FB7"/>
    <w:rsid w:val="00610533"/>
    <w:rsid w:val="006110F6"/>
    <w:rsid w:val="00611E57"/>
    <w:rsid w:val="00611FA1"/>
    <w:rsid w:val="00612522"/>
    <w:rsid w:val="00612DA6"/>
    <w:rsid w:val="0061365B"/>
    <w:rsid w:val="006138B6"/>
    <w:rsid w:val="00614BC6"/>
    <w:rsid w:val="00614E33"/>
    <w:rsid w:val="006158B8"/>
    <w:rsid w:val="0061706D"/>
    <w:rsid w:val="006173DA"/>
    <w:rsid w:val="00617EF9"/>
    <w:rsid w:val="00620295"/>
    <w:rsid w:val="006219FB"/>
    <w:rsid w:val="00622F8E"/>
    <w:rsid w:val="00626AC8"/>
    <w:rsid w:val="00627912"/>
    <w:rsid w:val="0063164B"/>
    <w:rsid w:val="0063195F"/>
    <w:rsid w:val="00631AC8"/>
    <w:rsid w:val="00633BDB"/>
    <w:rsid w:val="00636C0A"/>
    <w:rsid w:val="00637EC6"/>
    <w:rsid w:val="00642303"/>
    <w:rsid w:val="0064240C"/>
    <w:rsid w:val="00642FF5"/>
    <w:rsid w:val="006430FB"/>
    <w:rsid w:val="00643992"/>
    <w:rsid w:val="00644DBC"/>
    <w:rsid w:val="00645988"/>
    <w:rsid w:val="00646FE6"/>
    <w:rsid w:val="006474CD"/>
    <w:rsid w:val="00647744"/>
    <w:rsid w:val="006479A0"/>
    <w:rsid w:val="006500D9"/>
    <w:rsid w:val="00650A7D"/>
    <w:rsid w:val="00653B54"/>
    <w:rsid w:val="006541A3"/>
    <w:rsid w:val="00654FAD"/>
    <w:rsid w:val="00655C9F"/>
    <w:rsid w:val="006567FF"/>
    <w:rsid w:val="00656867"/>
    <w:rsid w:val="00656FEE"/>
    <w:rsid w:val="0066109F"/>
    <w:rsid w:val="00664B26"/>
    <w:rsid w:val="0066596B"/>
    <w:rsid w:val="00667D60"/>
    <w:rsid w:val="00670295"/>
    <w:rsid w:val="006704F5"/>
    <w:rsid w:val="00672894"/>
    <w:rsid w:val="00674229"/>
    <w:rsid w:val="00674B47"/>
    <w:rsid w:val="0067609E"/>
    <w:rsid w:val="00677749"/>
    <w:rsid w:val="00680E07"/>
    <w:rsid w:val="00682B9D"/>
    <w:rsid w:val="00683806"/>
    <w:rsid w:val="006863B4"/>
    <w:rsid w:val="00686AF9"/>
    <w:rsid w:val="006910C0"/>
    <w:rsid w:val="00691954"/>
    <w:rsid w:val="00692CC8"/>
    <w:rsid w:val="0069320E"/>
    <w:rsid w:val="00693CCB"/>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19BF"/>
    <w:rsid w:val="006B238C"/>
    <w:rsid w:val="006B27CF"/>
    <w:rsid w:val="006B2D67"/>
    <w:rsid w:val="006B41BD"/>
    <w:rsid w:val="006B5678"/>
    <w:rsid w:val="006B62B2"/>
    <w:rsid w:val="006C0AF4"/>
    <w:rsid w:val="006C1C57"/>
    <w:rsid w:val="006C5760"/>
    <w:rsid w:val="006C58C0"/>
    <w:rsid w:val="006C633D"/>
    <w:rsid w:val="006C6B44"/>
    <w:rsid w:val="006C6D6F"/>
    <w:rsid w:val="006D0D78"/>
    <w:rsid w:val="006D1128"/>
    <w:rsid w:val="006D2848"/>
    <w:rsid w:val="006D30E0"/>
    <w:rsid w:val="006D5521"/>
    <w:rsid w:val="006D5FE9"/>
    <w:rsid w:val="006D6CBB"/>
    <w:rsid w:val="006D76A9"/>
    <w:rsid w:val="006D77F4"/>
    <w:rsid w:val="006E0898"/>
    <w:rsid w:val="006E0BEB"/>
    <w:rsid w:val="006E0F53"/>
    <w:rsid w:val="006E2F54"/>
    <w:rsid w:val="006E328B"/>
    <w:rsid w:val="006E41CD"/>
    <w:rsid w:val="006E7F76"/>
    <w:rsid w:val="006F3BEC"/>
    <w:rsid w:val="00703C00"/>
    <w:rsid w:val="007057CC"/>
    <w:rsid w:val="007066F2"/>
    <w:rsid w:val="00706AE5"/>
    <w:rsid w:val="0070740A"/>
    <w:rsid w:val="00711F93"/>
    <w:rsid w:val="00712940"/>
    <w:rsid w:val="0071428C"/>
    <w:rsid w:val="00715A16"/>
    <w:rsid w:val="007164B0"/>
    <w:rsid w:val="007166FF"/>
    <w:rsid w:val="00720B5B"/>
    <w:rsid w:val="007260CC"/>
    <w:rsid w:val="00726543"/>
    <w:rsid w:val="0073353E"/>
    <w:rsid w:val="00736633"/>
    <w:rsid w:val="0074199E"/>
    <w:rsid w:val="00741EE7"/>
    <w:rsid w:val="00743A79"/>
    <w:rsid w:val="007444D4"/>
    <w:rsid w:val="0074594D"/>
    <w:rsid w:val="007459F3"/>
    <w:rsid w:val="00746E35"/>
    <w:rsid w:val="007470E2"/>
    <w:rsid w:val="0075060D"/>
    <w:rsid w:val="0075232F"/>
    <w:rsid w:val="00753132"/>
    <w:rsid w:val="007550B3"/>
    <w:rsid w:val="00760451"/>
    <w:rsid w:val="00761F8F"/>
    <w:rsid w:val="00767D61"/>
    <w:rsid w:val="0077182A"/>
    <w:rsid w:val="00771913"/>
    <w:rsid w:val="00772718"/>
    <w:rsid w:val="00775BCF"/>
    <w:rsid w:val="007818AA"/>
    <w:rsid w:val="007818CC"/>
    <w:rsid w:val="00783140"/>
    <w:rsid w:val="007838B6"/>
    <w:rsid w:val="00783E77"/>
    <w:rsid w:val="007906F1"/>
    <w:rsid w:val="0079243D"/>
    <w:rsid w:val="00794A9B"/>
    <w:rsid w:val="0079583B"/>
    <w:rsid w:val="00796602"/>
    <w:rsid w:val="00797185"/>
    <w:rsid w:val="007976B7"/>
    <w:rsid w:val="00797A7E"/>
    <w:rsid w:val="00797D6F"/>
    <w:rsid w:val="007A3DC7"/>
    <w:rsid w:val="007A4729"/>
    <w:rsid w:val="007A5285"/>
    <w:rsid w:val="007B014B"/>
    <w:rsid w:val="007B0D88"/>
    <w:rsid w:val="007B17EE"/>
    <w:rsid w:val="007B306F"/>
    <w:rsid w:val="007B4714"/>
    <w:rsid w:val="007B4E82"/>
    <w:rsid w:val="007C1996"/>
    <w:rsid w:val="007C3773"/>
    <w:rsid w:val="007C3F1F"/>
    <w:rsid w:val="007C7DC9"/>
    <w:rsid w:val="007D2D0D"/>
    <w:rsid w:val="007D3325"/>
    <w:rsid w:val="007D3818"/>
    <w:rsid w:val="007D6DC5"/>
    <w:rsid w:val="007D7425"/>
    <w:rsid w:val="007E018C"/>
    <w:rsid w:val="007E0B2A"/>
    <w:rsid w:val="007E320E"/>
    <w:rsid w:val="007E3280"/>
    <w:rsid w:val="007E4A02"/>
    <w:rsid w:val="007E595C"/>
    <w:rsid w:val="007E59A5"/>
    <w:rsid w:val="007F3B8C"/>
    <w:rsid w:val="007F41D0"/>
    <w:rsid w:val="007F4B8B"/>
    <w:rsid w:val="007F5957"/>
    <w:rsid w:val="007F70B6"/>
    <w:rsid w:val="007F74CA"/>
    <w:rsid w:val="00800E98"/>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267F"/>
    <w:rsid w:val="008243F1"/>
    <w:rsid w:val="008250A2"/>
    <w:rsid w:val="00825D64"/>
    <w:rsid w:val="008263A7"/>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E6E"/>
    <w:rsid w:val="00857F7B"/>
    <w:rsid w:val="00863DA1"/>
    <w:rsid w:val="008654A6"/>
    <w:rsid w:val="00865D86"/>
    <w:rsid w:val="00867AF4"/>
    <w:rsid w:val="00870495"/>
    <w:rsid w:val="00870EA1"/>
    <w:rsid w:val="008710C5"/>
    <w:rsid w:val="008720DC"/>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5A3"/>
    <w:rsid w:val="00892955"/>
    <w:rsid w:val="00893628"/>
    <w:rsid w:val="008941EB"/>
    <w:rsid w:val="0089545A"/>
    <w:rsid w:val="00895A02"/>
    <w:rsid w:val="008A01EE"/>
    <w:rsid w:val="008A05EA"/>
    <w:rsid w:val="008A0DAC"/>
    <w:rsid w:val="008A3B78"/>
    <w:rsid w:val="008A4166"/>
    <w:rsid w:val="008A7DBF"/>
    <w:rsid w:val="008B09EC"/>
    <w:rsid w:val="008B136C"/>
    <w:rsid w:val="008B36FE"/>
    <w:rsid w:val="008B55EF"/>
    <w:rsid w:val="008B5EC0"/>
    <w:rsid w:val="008B6910"/>
    <w:rsid w:val="008C0728"/>
    <w:rsid w:val="008C0B5C"/>
    <w:rsid w:val="008C1343"/>
    <w:rsid w:val="008C3912"/>
    <w:rsid w:val="008C5598"/>
    <w:rsid w:val="008C69EA"/>
    <w:rsid w:val="008C6F8B"/>
    <w:rsid w:val="008C7AB7"/>
    <w:rsid w:val="008C7FB4"/>
    <w:rsid w:val="008D0045"/>
    <w:rsid w:val="008D036F"/>
    <w:rsid w:val="008D03F9"/>
    <w:rsid w:val="008D2C8C"/>
    <w:rsid w:val="008D3040"/>
    <w:rsid w:val="008D3ECD"/>
    <w:rsid w:val="008D5C03"/>
    <w:rsid w:val="008D7580"/>
    <w:rsid w:val="008D7C35"/>
    <w:rsid w:val="008E37F3"/>
    <w:rsid w:val="008E5698"/>
    <w:rsid w:val="008E5733"/>
    <w:rsid w:val="008E77D2"/>
    <w:rsid w:val="008E78FD"/>
    <w:rsid w:val="008F199D"/>
    <w:rsid w:val="008F38A0"/>
    <w:rsid w:val="008F39C9"/>
    <w:rsid w:val="008F5EB5"/>
    <w:rsid w:val="008F678C"/>
    <w:rsid w:val="008F75A7"/>
    <w:rsid w:val="008F7E5A"/>
    <w:rsid w:val="00900A7F"/>
    <w:rsid w:val="00900F4E"/>
    <w:rsid w:val="009021FC"/>
    <w:rsid w:val="009036EE"/>
    <w:rsid w:val="00903B94"/>
    <w:rsid w:val="00905815"/>
    <w:rsid w:val="00905D1D"/>
    <w:rsid w:val="0091016D"/>
    <w:rsid w:val="00910C98"/>
    <w:rsid w:val="00911910"/>
    <w:rsid w:val="00912A58"/>
    <w:rsid w:val="00913908"/>
    <w:rsid w:val="00913D26"/>
    <w:rsid w:val="0091438B"/>
    <w:rsid w:val="009147E3"/>
    <w:rsid w:val="00920FD2"/>
    <w:rsid w:val="00922A31"/>
    <w:rsid w:val="00923A43"/>
    <w:rsid w:val="0092439C"/>
    <w:rsid w:val="0092498E"/>
    <w:rsid w:val="00925B91"/>
    <w:rsid w:val="00930225"/>
    <w:rsid w:val="00934461"/>
    <w:rsid w:val="00934F7E"/>
    <w:rsid w:val="00936A1C"/>
    <w:rsid w:val="009375D8"/>
    <w:rsid w:val="00941D4F"/>
    <w:rsid w:val="0094353D"/>
    <w:rsid w:val="00943E35"/>
    <w:rsid w:val="00945278"/>
    <w:rsid w:val="0094658D"/>
    <w:rsid w:val="0094714F"/>
    <w:rsid w:val="00947678"/>
    <w:rsid w:val="00947878"/>
    <w:rsid w:val="009504C2"/>
    <w:rsid w:val="0095254A"/>
    <w:rsid w:val="0095273B"/>
    <w:rsid w:val="009559E1"/>
    <w:rsid w:val="009565DD"/>
    <w:rsid w:val="009568D5"/>
    <w:rsid w:val="00957CD3"/>
    <w:rsid w:val="0096269B"/>
    <w:rsid w:val="00963FB0"/>
    <w:rsid w:val="00964C86"/>
    <w:rsid w:val="00965E82"/>
    <w:rsid w:val="009664BB"/>
    <w:rsid w:val="009669F8"/>
    <w:rsid w:val="00966F89"/>
    <w:rsid w:val="00973B5D"/>
    <w:rsid w:val="00974C5F"/>
    <w:rsid w:val="0097755E"/>
    <w:rsid w:val="00981467"/>
    <w:rsid w:val="00981C24"/>
    <w:rsid w:val="009852F6"/>
    <w:rsid w:val="00985DE5"/>
    <w:rsid w:val="00986254"/>
    <w:rsid w:val="0098729E"/>
    <w:rsid w:val="00990067"/>
    <w:rsid w:val="00991BB8"/>
    <w:rsid w:val="00992977"/>
    <w:rsid w:val="009937D4"/>
    <w:rsid w:val="00993C78"/>
    <w:rsid w:val="009948C7"/>
    <w:rsid w:val="00995850"/>
    <w:rsid w:val="0099796C"/>
    <w:rsid w:val="009A194E"/>
    <w:rsid w:val="009A1EA2"/>
    <w:rsid w:val="009A209E"/>
    <w:rsid w:val="009A3FD7"/>
    <w:rsid w:val="009A455E"/>
    <w:rsid w:val="009A6652"/>
    <w:rsid w:val="009A6A5B"/>
    <w:rsid w:val="009A74FD"/>
    <w:rsid w:val="009B0315"/>
    <w:rsid w:val="009B25D8"/>
    <w:rsid w:val="009B42E3"/>
    <w:rsid w:val="009B5859"/>
    <w:rsid w:val="009C338A"/>
    <w:rsid w:val="009C6D07"/>
    <w:rsid w:val="009C7CEC"/>
    <w:rsid w:val="009D154D"/>
    <w:rsid w:val="009D18EF"/>
    <w:rsid w:val="009D3BE8"/>
    <w:rsid w:val="009D44E0"/>
    <w:rsid w:val="009D564F"/>
    <w:rsid w:val="009D573B"/>
    <w:rsid w:val="009D59A0"/>
    <w:rsid w:val="009D716A"/>
    <w:rsid w:val="009E1AC4"/>
    <w:rsid w:val="009E20B8"/>
    <w:rsid w:val="009E29A0"/>
    <w:rsid w:val="009E41B5"/>
    <w:rsid w:val="009E55D7"/>
    <w:rsid w:val="009E627C"/>
    <w:rsid w:val="009F110B"/>
    <w:rsid w:val="009F1498"/>
    <w:rsid w:val="009F1E9F"/>
    <w:rsid w:val="009F3793"/>
    <w:rsid w:val="009F4A41"/>
    <w:rsid w:val="009F54F2"/>
    <w:rsid w:val="00A0056B"/>
    <w:rsid w:val="00A01657"/>
    <w:rsid w:val="00A01C65"/>
    <w:rsid w:val="00A0213D"/>
    <w:rsid w:val="00A04C73"/>
    <w:rsid w:val="00A05B55"/>
    <w:rsid w:val="00A0679A"/>
    <w:rsid w:val="00A07A2B"/>
    <w:rsid w:val="00A12375"/>
    <w:rsid w:val="00A125B8"/>
    <w:rsid w:val="00A13124"/>
    <w:rsid w:val="00A14C85"/>
    <w:rsid w:val="00A15370"/>
    <w:rsid w:val="00A156AB"/>
    <w:rsid w:val="00A16B8D"/>
    <w:rsid w:val="00A21293"/>
    <w:rsid w:val="00A2134B"/>
    <w:rsid w:val="00A21623"/>
    <w:rsid w:val="00A220EB"/>
    <w:rsid w:val="00A22302"/>
    <w:rsid w:val="00A2581B"/>
    <w:rsid w:val="00A25F1B"/>
    <w:rsid w:val="00A325F3"/>
    <w:rsid w:val="00A33103"/>
    <w:rsid w:val="00A33294"/>
    <w:rsid w:val="00A35DCB"/>
    <w:rsid w:val="00A3690E"/>
    <w:rsid w:val="00A37751"/>
    <w:rsid w:val="00A406B1"/>
    <w:rsid w:val="00A4113E"/>
    <w:rsid w:val="00A42435"/>
    <w:rsid w:val="00A438BA"/>
    <w:rsid w:val="00A446FD"/>
    <w:rsid w:val="00A46F46"/>
    <w:rsid w:val="00A477D5"/>
    <w:rsid w:val="00A52CB6"/>
    <w:rsid w:val="00A52F99"/>
    <w:rsid w:val="00A538BB"/>
    <w:rsid w:val="00A54164"/>
    <w:rsid w:val="00A54E59"/>
    <w:rsid w:val="00A56737"/>
    <w:rsid w:val="00A60002"/>
    <w:rsid w:val="00A603D8"/>
    <w:rsid w:val="00A60AE2"/>
    <w:rsid w:val="00A61834"/>
    <w:rsid w:val="00A618B0"/>
    <w:rsid w:val="00A62790"/>
    <w:rsid w:val="00A6291F"/>
    <w:rsid w:val="00A63F53"/>
    <w:rsid w:val="00A67203"/>
    <w:rsid w:val="00A67526"/>
    <w:rsid w:val="00A70F1A"/>
    <w:rsid w:val="00A7111E"/>
    <w:rsid w:val="00A755B6"/>
    <w:rsid w:val="00A75B1A"/>
    <w:rsid w:val="00A80ED4"/>
    <w:rsid w:val="00A816C4"/>
    <w:rsid w:val="00A82981"/>
    <w:rsid w:val="00A86F10"/>
    <w:rsid w:val="00A879EE"/>
    <w:rsid w:val="00A87AF2"/>
    <w:rsid w:val="00A90B23"/>
    <w:rsid w:val="00A93193"/>
    <w:rsid w:val="00A93C2B"/>
    <w:rsid w:val="00A94556"/>
    <w:rsid w:val="00A974CB"/>
    <w:rsid w:val="00AA1EAC"/>
    <w:rsid w:val="00AA45E2"/>
    <w:rsid w:val="00AA5A7B"/>
    <w:rsid w:val="00AA6747"/>
    <w:rsid w:val="00AA7AC1"/>
    <w:rsid w:val="00AB6327"/>
    <w:rsid w:val="00AB6B8F"/>
    <w:rsid w:val="00AC0C65"/>
    <w:rsid w:val="00AC0DD6"/>
    <w:rsid w:val="00AC0FB2"/>
    <w:rsid w:val="00AC3721"/>
    <w:rsid w:val="00AC41C6"/>
    <w:rsid w:val="00AC5398"/>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0B4B"/>
    <w:rsid w:val="00B11AB7"/>
    <w:rsid w:val="00B12213"/>
    <w:rsid w:val="00B13710"/>
    <w:rsid w:val="00B20A13"/>
    <w:rsid w:val="00B22881"/>
    <w:rsid w:val="00B2303E"/>
    <w:rsid w:val="00B23EFC"/>
    <w:rsid w:val="00B24B72"/>
    <w:rsid w:val="00B25DB8"/>
    <w:rsid w:val="00B2656C"/>
    <w:rsid w:val="00B2669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6FC"/>
    <w:rsid w:val="00B80ABC"/>
    <w:rsid w:val="00B80E3A"/>
    <w:rsid w:val="00B814C2"/>
    <w:rsid w:val="00B900FE"/>
    <w:rsid w:val="00B9064C"/>
    <w:rsid w:val="00B91D06"/>
    <w:rsid w:val="00B923D2"/>
    <w:rsid w:val="00B97E2B"/>
    <w:rsid w:val="00BA0A14"/>
    <w:rsid w:val="00BA228D"/>
    <w:rsid w:val="00BA398D"/>
    <w:rsid w:val="00BA39D3"/>
    <w:rsid w:val="00BA5C56"/>
    <w:rsid w:val="00BA6C84"/>
    <w:rsid w:val="00BA6D2D"/>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39FC"/>
    <w:rsid w:val="00BE4AB1"/>
    <w:rsid w:val="00BF16C3"/>
    <w:rsid w:val="00BF38E0"/>
    <w:rsid w:val="00BF44FA"/>
    <w:rsid w:val="00BF57E1"/>
    <w:rsid w:val="00BF6B0A"/>
    <w:rsid w:val="00C003B4"/>
    <w:rsid w:val="00C00A5F"/>
    <w:rsid w:val="00C02F49"/>
    <w:rsid w:val="00C042E0"/>
    <w:rsid w:val="00C051D9"/>
    <w:rsid w:val="00C06333"/>
    <w:rsid w:val="00C06F68"/>
    <w:rsid w:val="00C075BA"/>
    <w:rsid w:val="00C10A3A"/>
    <w:rsid w:val="00C11E20"/>
    <w:rsid w:val="00C15D16"/>
    <w:rsid w:val="00C17136"/>
    <w:rsid w:val="00C20015"/>
    <w:rsid w:val="00C2055A"/>
    <w:rsid w:val="00C2202D"/>
    <w:rsid w:val="00C247DD"/>
    <w:rsid w:val="00C25B43"/>
    <w:rsid w:val="00C26A54"/>
    <w:rsid w:val="00C3261C"/>
    <w:rsid w:val="00C330A9"/>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6B73"/>
    <w:rsid w:val="00C67473"/>
    <w:rsid w:val="00C67AA4"/>
    <w:rsid w:val="00C7148C"/>
    <w:rsid w:val="00C72192"/>
    <w:rsid w:val="00C732E5"/>
    <w:rsid w:val="00C73D0B"/>
    <w:rsid w:val="00C74AAF"/>
    <w:rsid w:val="00C75017"/>
    <w:rsid w:val="00C765B4"/>
    <w:rsid w:val="00C813EA"/>
    <w:rsid w:val="00C81496"/>
    <w:rsid w:val="00C82CE6"/>
    <w:rsid w:val="00C82E22"/>
    <w:rsid w:val="00C85144"/>
    <w:rsid w:val="00C86738"/>
    <w:rsid w:val="00C86A27"/>
    <w:rsid w:val="00C91517"/>
    <w:rsid w:val="00C929BD"/>
    <w:rsid w:val="00C931A2"/>
    <w:rsid w:val="00C95839"/>
    <w:rsid w:val="00CA02E1"/>
    <w:rsid w:val="00CA15DA"/>
    <w:rsid w:val="00CA224E"/>
    <w:rsid w:val="00CA41C5"/>
    <w:rsid w:val="00CA42B7"/>
    <w:rsid w:val="00CA4A53"/>
    <w:rsid w:val="00CA4EA1"/>
    <w:rsid w:val="00CA51F5"/>
    <w:rsid w:val="00CB218A"/>
    <w:rsid w:val="00CB225A"/>
    <w:rsid w:val="00CB2585"/>
    <w:rsid w:val="00CB637B"/>
    <w:rsid w:val="00CB69E6"/>
    <w:rsid w:val="00CB761B"/>
    <w:rsid w:val="00CB7E33"/>
    <w:rsid w:val="00CC0571"/>
    <w:rsid w:val="00CC13DF"/>
    <w:rsid w:val="00CC163E"/>
    <w:rsid w:val="00CC1EEE"/>
    <w:rsid w:val="00CC562B"/>
    <w:rsid w:val="00CC58BF"/>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20D7"/>
    <w:rsid w:val="00D140A0"/>
    <w:rsid w:val="00D203D1"/>
    <w:rsid w:val="00D2057A"/>
    <w:rsid w:val="00D21D51"/>
    <w:rsid w:val="00D21D98"/>
    <w:rsid w:val="00D2317F"/>
    <w:rsid w:val="00D231A9"/>
    <w:rsid w:val="00D24391"/>
    <w:rsid w:val="00D2472B"/>
    <w:rsid w:val="00D253DD"/>
    <w:rsid w:val="00D26FFA"/>
    <w:rsid w:val="00D3215D"/>
    <w:rsid w:val="00D33352"/>
    <w:rsid w:val="00D33AA8"/>
    <w:rsid w:val="00D347D9"/>
    <w:rsid w:val="00D35565"/>
    <w:rsid w:val="00D36A19"/>
    <w:rsid w:val="00D40DCF"/>
    <w:rsid w:val="00D41075"/>
    <w:rsid w:val="00D41C76"/>
    <w:rsid w:val="00D41DD8"/>
    <w:rsid w:val="00D4222C"/>
    <w:rsid w:val="00D425CE"/>
    <w:rsid w:val="00D42F40"/>
    <w:rsid w:val="00D4396C"/>
    <w:rsid w:val="00D43A98"/>
    <w:rsid w:val="00D4446F"/>
    <w:rsid w:val="00D44B55"/>
    <w:rsid w:val="00D45490"/>
    <w:rsid w:val="00D457B8"/>
    <w:rsid w:val="00D457E1"/>
    <w:rsid w:val="00D45B06"/>
    <w:rsid w:val="00D47BEB"/>
    <w:rsid w:val="00D50487"/>
    <w:rsid w:val="00D50563"/>
    <w:rsid w:val="00D50F50"/>
    <w:rsid w:val="00D52185"/>
    <w:rsid w:val="00D5235F"/>
    <w:rsid w:val="00D52F50"/>
    <w:rsid w:val="00D55A98"/>
    <w:rsid w:val="00D56B49"/>
    <w:rsid w:val="00D6053F"/>
    <w:rsid w:val="00D6073D"/>
    <w:rsid w:val="00D618D6"/>
    <w:rsid w:val="00D62426"/>
    <w:rsid w:val="00D62804"/>
    <w:rsid w:val="00D6679C"/>
    <w:rsid w:val="00D679DF"/>
    <w:rsid w:val="00D70F55"/>
    <w:rsid w:val="00D70FA5"/>
    <w:rsid w:val="00D74171"/>
    <w:rsid w:val="00D741C8"/>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44A4"/>
    <w:rsid w:val="00DC6F54"/>
    <w:rsid w:val="00DD0C00"/>
    <w:rsid w:val="00DD0DA1"/>
    <w:rsid w:val="00DD0F8C"/>
    <w:rsid w:val="00DD116C"/>
    <w:rsid w:val="00DD23D5"/>
    <w:rsid w:val="00DD2AF1"/>
    <w:rsid w:val="00DD4514"/>
    <w:rsid w:val="00DD46DA"/>
    <w:rsid w:val="00DD4A03"/>
    <w:rsid w:val="00DD6072"/>
    <w:rsid w:val="00DD62BE"/>
    <w:rsid w:val="00DD77D9"/>
    <w:rsid w:val="00DD7CA4"/>
    <w:rsid w:val="00DE167C"/>
    <w:rsid w:val="00DE195F"/>
    <w:rsid w:val="00DE3B70"/>
    <w:rsid w:val="00DE5813"/>
    <w:rsid w:val="00DF10B1"/>
    <w:rsid w:val="00DF1FDA"/>
    <w:rsid w:val="00DF3DD0"/>
    <w:rsid w:val="00DF4C28"/>
    <w:rsid w:val="00DF4D50"/>
    <w:rsid w:val="00DF538C"/>
    <w:rsid w:val="00E021C2"/>
    <w:rsid w:val="00E024A3"/>
    <w:rsid w:val="00E0423D"/>
    <w:rsid w:val="00E045A8"/>
    <w:rsid w:val="00E057B5"/>
    <w:rsid w:val="00E0581E"/>
    <w:rsid w:val="00E079C5"/>
    <w:rsid w:val="00E07CBD"/>
    <w:rsid w:val="00E07F56"/>
    <w:rsid w:val="00E10A16"/>
    <w:rsid w:val="00E1112F"/>
    <w:rsid w:val="00E1318F"/>
    <w:rsid w:val="00E13B3B"/>
    <w:rsid w:val="00E13E29"/>
    <w:rsid w:val="00E16857"/>
    <w:rsid w:val="00E16C3A"/>
    <w:rsid w:val="00E201B9"/>
    <w:rsid w:val="00E20651"/>
    <w:rsid w:val="00E2107C"/>
    <w:rsid w:val="00E21E70"/>
    <w:rsid w:val="00E224DE"/>
    <w:rsid w:val="00E23DCE"/>
    <w:rsid w:val="00E26363"/>
    <w:rsid w:val="00E272A4"/>
    <w:rsid w:val="00E273A4"/>
    <w:rsid w:val="00E305F9"/>
    <w:rsid w:val="00E306AC"/>
    <w:rsid w:val="00E320E7"/>
    <w:rsid w:val="00E34446"/>
    <w:rsid w:val="00E3633B"/>
    <w:rsid w:val="00E36870"/>
    <w:rsid w:val="00E374E1"/>
    <w:rsid w:val="00E417AB"/>
    <w:rsid w:val="00E43D48"/>
    <w:rsid w:val="00E442C1"/>
    <w:rsid w:val="00E4542D"/>
    <w:rsid w:val="00E45BE0"/>
    <w:rsid w:val="00E45E7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021A"/>
    <w:rsid w:val="00E71C7A"/>
    <w:rsid w:val="00E73119"/>
    <w:rsid w:val="00E73E1E"/>
    <w:rsid w:val="00E767FF"/>
    <w:rsid w:val="00E8134E"/>
    <w:rsid w:val="00E84C91"/>
    <w:rsid w:val="00E84E60"/>
    <w:rsid w:val="00E8556E"/>
    <w:rsid w:val="00E86B2D"/>
    <w:rsid w:val="00E86F4D"/>
    <w:rsid w:val="00E87D08"/>
    <w:rsid w:val="00E90D0E"/>
    <w:rsid w:val="00E91B2D"/>
    <w:rsid w:val="00E91FB9"/>
    <w:rsid w:val="00E924D2"/>
    <w:rsid w:val="00E92FCA"/>
    <w:rsid w:val="00E95CAA"/>
    <w:rsid w:val="00EA0A39"/>
    <w:rsid w:val="00EA0EB2"/>
    <w:rsid w:val="00EA1588"/>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24BD"/>
    <w:rsid w:val="00ED3134"/>
    <w:rsid w:val="00ED38E2"/>
    <w:rsid w:val="00ED5C44"/>
    <w:rsid w:val="00ED635B"/>
    <w:rsid w:val="00EE50F5"/>
    <w:rsid w:val="00EE742D"/>
    <w:rsid w:val="00EF0906"/>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9DA"/>
    <w:rsid w:val="00F24EA4"/>
    <w:rsid w:val="00F27087"/>
    <w:rsid w:val="00F27304"/>
    <w:rsid w:val="00F2773C"/>
    <w:rsid w:val="00F300B3"/>
    <w:rsid w:val="00F30DB9"/>
    <w:rsid w:val="00F30FB8"/>
    <w:rsid w:val="00F31D68"/>
    <w:rsid w:val="00F33152"/>
    <w:rsid w:val="00F338F2"/>
    <w:rsid w:val="00F349D3"/>
    <w:rsid w:val="00F3533E"/>
    <w:rsid w:val="00F35B84"/>
    <w:rsid w:val="00F402B5"/>
    <w:rsid w:val="00F4072F"/>
    <w:rsid w:val="00F42839"/>
    <w:rsid w:val="00F42A3D"/>
    <w:rsid w:val="00F44CC0"/>
    <w:rsid w:val="00F450BA"/>
    <w:rsid w:val="00F4684B"/>
    <w:rsid w:val="00F46BE9"/>
    <w:rsid w:val="00F46C16"/>
    <w:rsid w:val="00F477F1"/>
    <w:rsid w:val="00F47C3B"/>
    <w:rsid w:val="00F506CA"/>
    <w:rsid w:val="00F53A7A"/>
    <w:rsid w:val="00F53D67"/>
    <w:rsid w:val="00F54FCD"/>
    <w:rsid w:val="00F569A1"/>
    <w:rsid w:val="00F5785C"/>
    <w:rsid w:val="00F6178D"/>
    <w:rsid w:val="00F63C7E"/>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97C61"/>
    <w:rsid w:val="00FA0109"/>
    <w:rsid w:val="00FA2912"/>
    <w:rsid w:val="00FA458B"/>
    <w:rsid w:val="00FA5EC5"/>
    <w:rsid w:val="00FA7016"/>
    <w:rsid w:val="00FA7174"/>
    <w:rsid w:val="00FA793D"/>
    <w:rsid w:val="00FB020E"/>
    <w:rsid w:val="00FB0F17"/>
    <w:rsid w:val="00FB4B9D"/>
    <w:rsid w:val="00FB4DD9"/>
    <w:rsid w:val="00FB50ED"/>
    <w:rsid w:val="00FB6E18"/>
    <w:rsid w:val="00FC144B"/>
    <w:rsid w:val="00FC2169"/>
    <w:rsid w:val="00FC28E2"/>
    <w:rsid w:val="00FC3BF6"/>
    <w:rsid w:val="00FC3D22"/>
    <w:rsid w:val="00FC6FE1"/>
    <w:rsid w:val="00FD0830"/>
    <w:rsid w:val="00FD0915"/>
    <w:rsid w:val="00FD0C3D"/>
    <w:rsid w:val="00FD257B"/>
    <w:rsid w:val="00FD2711"/>
    <w:rsid w:val="00FD2F6B"/>
    <w:rsid w:val="00FE064A"/>
    <w:rsid w:val="00FE0B55"/>
    <w:rsid w:val="00FE1E98"/>
    <w:rsid w:val="00FE2452"/>
    <w:rsid w:val="00FE5469"/>
    <w:rsid w:val="00FE66C2"/>
    <w:rsid w:val="00FE684A"/>
    <w:rsid w:val="00FE6F23"/>
    <w:rsid w:val="00FF0F8C"/>
    <w:rsid w:val="00FF408B"/>
    <w:rsid w:val="00FF43E1"/>
    <w:rsid w:val="00FF5620"/>
    <w:rsid w:val="03430854"/>
    <w:rsid w:val="039F5FA6"/>
    <w:rsid w:val="09305ADA"/>
    <w:rsid w:val="0E8013B7"/>
    <w:rsid w:val="0E8A4BBF"/>
    <w:rsid w:val="10D604C6"/>
    <w:rsid w:val="11B515E0"/>
    <w:rsid w:val="122D06D5"/>
    <w:rsid w:val="12540DF6"/>
    <w:rsid w:val="13A53267"/>
    <w:rsid w:val="13F970D2"/>
    <w:rsid w:val="14AA4136"/>
    <w:rsid w:val="163A420B"/>
    <w:rsid w:val="19413B26"/>
    <w:rsid w:val="1C6D3688"/>
    <w:rsid w:val="1CC63D0A"/>
    <w:rsid w:val="1DC2081A"/>
    <w:rsid w:val="1DD94266"/>
    <w:rsid w:val="1F9D0947"/>
    <w:rsid w:val="1FFB29C6"/>
    <w:rsid w:val="20C877E0"/>
    <w:rsid w:val="22AF3620"/>
    <w:rsid w:val="22E70AD4"/>
    <w:rsid w:val="24F1508D"/>
    <w:rsid w:val="266F634F"/>
    <w:rsid w:val="291059EA"/>
    <w:rsid w:val="2BBD5DDB"/>
    <w:rsid w:val="2BBF12EC"/>
    <w:rsid w:val="2BC649D9"/>
    <w:rsid w:val="2FA7DD40"/>
    <w:rsid w:val="351057AA"/>
    <w:rsid w:val="3515160D"/>
    <w:rsid w:val="391D7797"/>
    <w:rsid w:val="3C7D00D8"/>
    <w:rsid w:val="3CA06C0C"/>
    <w:rsid w:val="3EA25851"/>
    <w:rsid w:val="3ECB2A50"/>
    <w:rsid w:val="3F6C3757"/>
    <w:rsid w:val="405D6A10"/>
    <w:rsid w:val="40742D1F"/>
    <w:rsid w:val="41DA6594"/>
    <w:rsid w:val="428A38B6"/>
    <w:rsid w:val="444C1A75"/>
    <w:rsid w:val="44A3526F"/>
    <w:rsid w:val="44B032F4"/>
    <w:rsid w:val="457D25F7"/>
    <w:rsid w:val="459C1DC7"/>
    <w:rsid w:val="468341CD"/>
    <w:rsid w:val="472C2589"/>
    <w:rsid w:val="4A760AEB"/>
    <w:rsid w:val="4F3162CA"/>
    <w:rsid w:val="4FF43293"/>
    <w:rsid w:val="509064E0"/>
    <w:rsid w:val="50D95873"/>
    <w:rsid w:val="522E1C73"/>
    <w:rsid w:val="526102AF"/>
    <w:rsid w:val="528444DA"/>
    <w:rsid w:val="537745D5"/>
    <w:rsid w:val="552306F6"/>
    <w:rsid w:val="56E352D5"/>
    <w:rsid w:val="57E435FE"/>
    <w:rsid w:val="582D0655"/>
    <w:rsid w:val="5951205C"/>
    <w:rsid w:val="59D079E8"/>
    <w:rsid w:val="59D40847"/>
    <w:rsid w:val="5AE37F25"/>
    <w:rsid w:val="5BB64468"/>
    <w:rsid w:val="5CB23D47"/>
    <w:rsid w:val="5F7BA494"/>
    <w:rsid w:val="5FAF09C4"/>
    <w:rsid w:val="5FF83DB4"/>
    <w:rsid w:val="608C4642"/>
    <w:rsid w:val="62795572"/>
    <w:rsid w:val="64DD6417"/>
    <w:rsid w:val="66004745"/>
    <w:rsid w:val="6A567F20"/>
    <w:rsid w:val="6BFF57E9"/>
    <w:rsid w:val="6CD97953"/>
    <w:rsid w:val="6E2E3943"/>
    <w:rsid w:val="6ED30FD7"/>
    <w:rsid w:val="727D78FD"/>
    <w:rsid w:val="73CC655F"/>
    <w:rsid w:val="751F2B24"/>
    <w:rsid w:val="75957445"/>
    <w:rsid w:val="75D01AE1"/>
    <w:rsid w:val="77524363"/>
    <w:rsid w:val="77B917B5"/>
    <w:rsid w:val="78703975"/>
    <w:rsid w:val="7ADF0D66"/>
    <w:rsid w:val="7BE420FD"/>
    <w:rsid w:val="7BF5B850"/>
    <w:rsid w:val="7D0D296B"/>
    <w:rsid w:val="7D493060"/>
    <w:rsid w:val="7D4E0B54"/>
    <w:rsid w:val="7D503E78"/>
    <w:rsid w:val="7E0160D4"/>
    <w:rsid w:val="7FFBD53C"/>
    <w:rsid w:val="BF9FF18C"/>
    <w:rsid w:val="CEF60C84"/>
    <w:rsid w:val="D4FF9A5E"/>
    <w:rsid w:val="DDBB1404"/>
    <w:rsid w:val="DFFF236E"/>
    <w:rsid w:val="E53EB105"/>
    <w:rsid w:val="ED17783F"/>
    <w:rsid w:val="F72B55C9"/>
    <w:rsid w:val="FAFD6CF0"/>
    <w:rsid w:val="FC9F26FB"/>
    <w:rsid w:val="FFFC7AC6"/>
    <w:rsid w:val="FFFFF6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78"/>
    <w:qFormat/>
    <w:uiPriority w:val="9"/>
    <w:pPr>
      <w:keepNext/>
      <w:keepLines/>
      <w:widowControl w:val="0"/>
      <w:numPr>
        <w:ilvl w:val="0"/>
        <w:numId w:val="1"/>
      </w:numPr>
      <w:spacing w:before="120" w:after="120" w:line="360" w:lineRule="auto"/>
      <w:jc w:val="both"/>
      <w:outlineLvl w:val="0"/>
    </w:pPr>
    <w:rPr>
      <w:rFonts w:eastAsia="黑体" w:cs="Times New Roman"/>
      <w:b/>
      <w:bCs/>
      <w:kern w:val="44"/>
      <w:sz w:val="32"/>
      <w:szCs w:val="28"/>
    </w:rPr>
  </w:style>
  <w:style w:type="paragraph" w:styleId="3">
    <w:name w:val="heading 2"/>
    <w:basedOn w:val="1"/>
    <w:next w:val="1"/>
    <w:link w:val="89"/>
    <w:qFormat/>
    <w:uiPriority w:val="9"/>
    <w:pPr>
      <w:keepNext/>
      <w:keepLines/>
      <w:widowControl w:val="0"/>
      <w:numPr>
        <w:ilvl w:val="1"/>
        <w:numId w:val="1"/>
      </w:numPr>
      <w:spacing w:after="120" w:line="360" w:lineRule="auto"/>
      <w:jc w:val="both"/>
      <w:outlineLvl w:val="1"/>
    </w:pPr>
    <w:rPr>
      <w:rFonts w:cs="Times New Roman"/>
      <w:b/>
      <w:bCs/>
      <w:kern w:val="2"/>
      <w:sz w:val="30"/>
      <w:szCs w:val="32"/>
    </w:rPr>
  </w:style>
  <w:style w:type="paragraph" w:styleId="4">
    <w:name w:val="heading 3"/>
    <w:basedOn w:val="1"/>
    <w:next w:val="1"/>
    <w:link w:val="44"/>
    <w:qFormat/>
    <w:uiPriority w:val="9"/>
    <w:pPr>
      <w:keepNext/>
      <w:keepLines/>
      <w:widowControl w:val="0"/>
      <w:numPr>
        <w:ilvl w:val="2"/>
        <w:numId w:val="1"/>
      </w:numPr>
      <w:spacing w:before="120" w:after="120" w:line="360" w:lineRule="auto"/>
      <w:ind w:left="0" w:firstLine="0"/>
      <w:jc w:val="both"/>
      <w:outlineLvl w:val="2"/>
    </w:pPr>
    <w:rPr>
      <w:rFonts w:cs="Times New Roman"/>
      <w:b/>
      <w:bCs/>
      <w:kern w:val="2"/>
      <w:sz w:val="28"/>
      <w:szCs w:val="28"/>
    </w:rPr>
  </w:style>
  <w:style w:type="paragraph" w:styleId="5">
    <w:name w:val="heading 4"/>
    <w:basedOn w:val="1"/>
    <w:next w:val="1"/>
    <w:link w:val="61"/>
    <w:qFormat/>
    <w:uiPriority w:val="9"/>
    <w:pPr>
      <w:keepNext/>
      <w:keepLines/>
      <w:widowControl w:val="0"/>
      <w:numPr>
        <w:ilvl w:val="3"/>
        <w:numId w:val="1"/>
      </w:numPr>
      <w:spacing w:before="120" w:after="120" w:line="360" w:lineRule="auto"/>
      <w:ind w:firstLine="0"/>
      <w:jc w:val="both"/>
      <w:outlineLvl w:val="3"/>
    </w:pPr>
    <w:rPr>
      <w:rFonts w:cs="Times New Roman"/>
      <w:b/>
      <w:bCs/>
      <w:kern w:val="2"/>
      <w:sz w:val="30"/>
      <w:szCs w:val="30"/>
    </w:rPr>
  </w:style>
  <w:style w:type="paragraph" w:styleId="6">
    <w:name w:val="heading 5"/>
    <w:basedOn w:val="1"/>
    <w:next w:val="1"/>
    <w:link w:val="87"/>
    <w:qFormat/>
    <w:uiPriority w:val="9"/>
    <w:pPr>
      <w:keepNext/>
      <w:keepLines/>
      <w:widowControl w:val="0"/>
      <w:numPr>
        <w:ilvl w:val="4"/>
        <w:numId w:val="1"/>
      </w:numPr>
      <w:spacing w:before="120" w:after="120" w:line="360" w:lineRule="auto"/>
      <w:ind w:firstLine="0"/>
      <w:jc w:val="both"/>
      <w:outlineLvl w:val="4"/>
    </w:pPr>
    <w:rPr>
      <w:rFonts w:cs="Times New Roman"/>
      <w:b/>
      <w:bCs/>
      <w:kern w:val="2"/>
      <w:szCs w:val="28"/>
    </w:rPr>
  </w:style>
  <w:style w:type="paragraph" w:styleId="7">
    <w:name w:val="heading 6"/>
    <w:basedOn w:val="1"/>
    <w:next w:val="1"/>
    <w:link w:val="100"/>
    <w:qFormat/>
    <w:uiPriority w:val="9"/>
    <w:pPr>
      <w:keepNext/>
      <w:keepLines/>
      <w:widowControl w:val="0"/>
      <w:numPr>
        <w:ilvl w:val="5"/>
        <w:numId w:val="1"/>
      </w:numPr>
      <w:spacing w:before="120" w:after="120" w:line="360" w:lineRule="auto"/>
      <w:ind w:firstLine="0"/>
      <w:jc w:val="both"/>
      <w:outlineLvl w:val="5"/>
    </w:pPr>
    <w:rPr>
      <w:rFonts w:ascii="Cambria" w:hAnsi="Cambria" w:cs="Times New Roman"/>
      <w:b/>
      <w:bCs/>
      <w:kern w:val="2"/>
    </w:rPr>
  </w:style>
  <w:style w:type="paragraph" w:styleId="8">
    <w:name w:val="heading 7"/>
    <w:basedOn w:val="1"/>
    <w:next w:val="1"/>
    <w:link w:val="75"/>
    <w:qFormat/>
    <w:uiPriority w:val="9"/>
    <w:pPr>
      <w:keepNext/>
      <w:keepLines/>
      <w:widowControl w:val="0"/>
      <w:spacing w:before="240" w:after="64" w:line="319" w:lineRule="auto"/>
      <w:jc w:val="both"/>
      <w:outlineLvl w:val="6"/>
    </w:pPr>
    <w:rPr>
      <w:rFonts w:ascii="Times New Roman" w:hAnsi="Times New Roman" w:cs="Times New Roman"/>
      <w:b/>
      <w:bCs/>
      <w:kern w:val="2"/>
      <w:sz w:val="21"/>
    </w:rPr>
  </w:style>
  <w:style w:type="paragraph" w:styleId="9">
    <w:name w:val="heading 8"/>
    <w:basedOn w:val="1"/>
    <w:next w:val="1"/>
    <w:link w:val="99"/>
    <w:qFormat/>
    <w:uiPriority w:val="9"/>
    <w:pPr>
      <w:keepNext/>
      <w:keepLines/>
      <w:widowControl w:val="0"/>
      <w:spacing w:before="240" w:after="64" w:line="319" w:lineRule="auto"/>
      <w:jc w:val="both"/>
      <w:outlineLvl w:val="7"/>
    </w:pPr>
    <w:rPr>
      <w:rFonts w:ascii="Cambria" w:hAnsi="Cambria" w:cs="Times New Roman"/>
      <w:kern w:val="2"/>
      <w:sz w:val="21"/>
    </w:rPr>
  </w:style>
  <w:style w:type="paragraph" w:styleId="10">
    <w:name w:val="heading 9"/>
    <w:basedOn w:val="1"/>
    <w:next w:val="1"/>
    <w:link w:val="51"/>
    <w:qFormat/>
    <w:uiPriority w:val="9"/>
    <w:pPr>
      <w:keepNext/>
      <w:keepLines/>
      <w:widowControl w:val="0"/>
      <w:spacing w:before="240" w:after="64" w:line="319" w:lineRule="auto"/>
      <w:jc w:val="both"/>
      <w:outlineLvl w:val="8"/>
    </w:pPr>
    <w:rPr>
      <w:rFonts w:ascii="Cambria" w:hAnsi="Cambria" w:cs="Times New Roman"/>
      <w:kern w:val="2"/>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line="360" w:lineRule="auto"/>
      <w:ind w:left="2520" w:leftChars="1200" w:firstLine="480" w:firstLineChars="200"/>
      <w:jc w:val="both"/>
    </w:pPr>
    <w:rPr>
      <w:rFonts w:ascii="等线" w:hAnsi="等线" w:eastAsia="等线" w:cs="Times New Roman"/>
      <w:kern w:val="2"/>
      <w:szCs w:val="22"/>
    </w:rPr>
  </w:style>
  <w:style w:type="paragraph" w:styleId="12">
    <w:name w:val="Normal Indent"/>
    <w:basedOn w:val="1"/>
    <w:unhideWhenUsed/>
    <w:qFormat/>
    <w:uiPriority w:val="99"/>
    <w:pPr>
      <w:widowControl w:val="0"/>
      <w:ind w:firstLine="420" w:firstLineChars="200"/>
      <w:jc w:val="both"/>
    </w:pPr>
    <w:rPr>
      <w:rFonts w:ascii="Calibri" w:hAnsi="Calibri" w:cs="Times New Roman"/>
      <w:kern w:val="2"/>
      <w:sz w:val="21"/>
    </w:rPr>
  </w:style>
  <w:style w:type="paragraph" w:styleId="13">
    <w:name w:val="caption"/>
    <w:basedOn w:val="1"/>
    <w:next w:val="1"/>
    <w:link w:val="57"/>
    <w:qFormat/>
    <w:uiPriority w:val="0"/>
    <w:pPr>
      <w:widowControl w:val="0"/>
      <w:spacing w:afterLines="50" w:line="360" w:lineRule="auto"/>
      <w:ind w:firstLine="200" w:firstLineChars="200"/>
      <w:jc w:val="both"/>
    </w:pPr>
    <w:rPr>
      <w:rFonts w:ascii="Arial" w:hAnsi="Arial" w:eastAsia="黑体" w:cs="Times New Roman"/>
      <w:kern w:val="2"/>
      <w:sz w:val="20"/>
      <w:szCs w:val="20"/>
    </w:rPr>
  </w:style>
  <w:style w:type="paragraph" w:styleId="14">
    <w:name w:val="Document Map"/>
    <w:basedOn w:val="1"/>
    <w:link w:val="92"/>
    <w:qFormat/>
    <w:uiPriority w:val="0"/>
    <w:pPr>
      <w:widowControl w:val="0"/>
      <w:spacing w:line="360" w:lineRule="auto"/>
      <w:ind w:firstLine="480" w:firstLineChars="200"/>
      <w:jc w:val="both"/>
    </w:pPr>
    <w:rPr>
      <w:rFonts w:hAnsi="Times New Roman" w:cs="Times New Roman"/>
      <w:kern w:val="2"/>
      <w:sz w:val="18"/>
      <w:szCs w:val="18"/>
    </w:rPr>
  </w:style>
  <w:style w:type="paragraph" w:styleId="15">
    <w:name w:val="annotation text"/>
    <w:basedOn w:val="1"/>
    <w:link w:val="48"/>
    <w:qFormat/>
    <w:uiPriority w:val="99"/>
    <w:pPr>
      <w:widowControl w:val="0"/>
      <w:spacing w:line="360" w:lineRule="auto"/>
      <w:ind w:firstLine="480" w:firstLineChars="200"/>
    </w:pPr>
    <w:rPr>
      <w:rFonts w:ascii="Times New Roman" w:hAnsi="Times New Roman" w:eastAsia="仿宋" w:cs="Times New Roman"/>
      <w:kern w:val="2"/>
      <w:sz w:val="28"/>
    </w:rPr>
  </w:style>
  <w:style w:type="paragraph" w:styleId="16">
    <w:name w:val="Body Text"/>
    <w:basedOn w:val="1"/>
    <w:link w:val="62"/>
    <w:unhideWhenUsed/>
    <w:qFormat/>
    <w:uiPriority w:val="0"/>
    <w:pPr>
      <w:widowControl w:val="0"/>
      <w:spacing w:after="120"/>
      <w:jc w:val="both"/>
    </w:pPr>
    <w:rPr>
      <w:rFonts w:ascii="Times New Roman" w:hAnsi="Times New Roman" w:cs="Times New Roman"/>
      <w:kern w:val="2"/>
      <w:sz w:val="21"/>
    </w:rPr>
  </w:style>
  <w:style w:type="paragraph" w:styleId="17">
    <w:name w:val="Body Text Indent"/>
    <w:basedOn w:val="1"/>
    <w:link w:val="86"/>
    <w:qFormat/>
    <w:uiPriority w:val="0"/>
    <w:pPr>
      <w:widowControl w:val="0"/>
      <w:spacing w:after="120" w:line="360" w:lineRule="auto"/>
      <w:ind w:firstLine="200" w:firstLineChars="200"/>
      <w:jc w:val="both"/>
    </w:pPr>
    <w:rPr>
      <w:rFonts w:ascii="Times New Roman" w:hAnsi="Times New Roman" w:cs="Times New Roman"/>
      <w:kern w:val="2"/>
      <w:sz w:val="21"/>
      <w:szCs w:val="20"/>
    </w:rPr>
  </w:style>
  <w:style w:type="paragraph" w:styleId="18">
    <w:name w:val="toc 5"/>
    <w:basedOn w:val="1"/>
    <w:next w:val="1"/>
    <w:unhideWhenUsed/>
    <w:qFormat/>
    <w:uiPriority w:val="39"/>
    <w:pPr>
      <w:widowControl w:val="0"/>
      <w:spacing w:line="360" w:lineRule="auto"/>
      <w:ind w:left="1680" w:leftChars="800" w:firstLine="480" w:firstLineChars="200"/>
      <w:jc w:val="both"/>
    </w:pPr>
    <w:rPr>
      <w:rFonts w:ascii="等线" w:hAnsi="等线" w:eastAsia="等线" w:cs="Times New Roman"/>
      <w:kern w:val="2"/>
      <w:szCs w:val="22"/>
    </w:rPr>
  </w:style>
  <w:style w:type="paragraph" w:styleId="19">
    <w:name w:val="toc 3"/>
    <w:basedOn w:val="1"/>
    <w:next w:val="1"/>
    <w:qFormat/>
    <w:uiPriority w:val="39"/>
    <w:pPr>
      <w:widowControl w:val="0"/>
      <w:tabs>
        <w:tab w:val="right" w:leader="dot" w:pos="8302"/>
      </w:tabs>
      <w:spacing w:line="360" w:lineRule="auto"/>
      <w:ind w:left="840" w:leftChars="400" w:firstLine="480" w:firstLineChars="200"/>
      <w:jc w:val="both"/>
    </w:pPr>
    <w:rPr>
      <w:rFonts w:cs="Times New Roman"/>
      <w:kern w:val="2"/>
    </w:rPr>
  </w:style>
  <w:style w:type="paragraph" w:styleId="20">
    <w:name w:val="Plain Text"/>
    <w:basedOn w:val="1"/>
    <w:link w:val="69"/>
    <w:qFormat/>
    <w:uiPriority w:val="0"/>
    <w:pPr>
      <w:widowControl w:val="0"/>
      <w:jc w:val="both"/>
    </w:pPr>
    <w:rPr>
      <w:rFonts w:hAnsi="Courier New" w:cs="Times New Roman"/>
      <w:kern w:val="2"/>
      <w:sz w:val="21"/>
      <w:szCs w:val="20"/>
    </w:rPr>
  </w:style>
  <w:style w:type="paragraph" w:styleId="21">
    <w:name w:val="toc 8"/>
    <w:basedOn w:val="1"/>
    <w:next w:val="1"/>
    <w:unhideWhenUsed/>
    <w:qFormat/>
    <w:uiPriority w:val="39"/>
    <w:pPr>
      <w:widowControl w:val="0"/>
      <w:spacing w:line="360" w:lineRule="auto"/>
      <w:ind w:left="2940" w:leftChars="1400" w:firstLine="480" w:firstLineChars="200"/>
      <w:jc w:val="both"/>
    </w:pPr>
    <w:rPr>
      <w:rFonts w:ascii="等线" w:hAnsi="等线" w:eastAsia="等线" w:cs="Times New Roman"/>
      <w:kern w:val="2"/>
      <w:szCs w:val="22"/>
    </w:rPr>
  </w:style>
  <w:style w:type="paragraph" w:styleId="22">
    <w:name w:val="Date"/>
    <w:basedOn w:val="1"/>
    <w:next w:val="1"/>
    <w:link w:val="50"/>
    <w:qFormat/>
    <w:uiPriority w:val="0"/>
    <w:pPr>
      <w:widowControl w:val="0"/>
      <w:spacing w:line="360" w:lineRule="auto"/>
      <w:ind w:left="100" w:leftChars="2500" w:firstLine="480" w:firstLineChars="200"/>
      <w:jc w:val="both"/>
    </w:pPr>
    <w:rPr>
      <w:rFonts w:ascii="Times New Roman" w:hAnsi="Times New Roman" w:cs="Times New Roman"/>
      <w:kern w:val="2"/>
      <w:sz w:val="21"/>
    </w:rPr>
  </w:style>
  <w:style w:type="paragraph" w:styleId="23">
    <w:name w:val="Balloon Text"/>
    <w:basedOn w:val="1"/>
    <w:link w:val="97"/>
    <w:qFormat/>
    <w:uiPriority w:val="0"/>
    <w:pPr>
      <w:widowControl w:val="0"/>
      <w:spacing w:line="360" w:lineRule="auto"/>
      <w:ind w:firstLine="480" w:firstLineChars="200"/>
      <w:jc w:val="both"/>
    </w:pPr>
    <w:rPr>
      <w:rFonts w:ascii="Times New Roman" w:hAnsi="Times New Roman" w:cs="Times New Roman"/>
      <w:kern w:val="2"/>
      <w:sz w:val="18"/>
      <w:szCs w:val="18"/>
    </w:rPr>
  </w:style>
  <w:style w:type="paragraph" w:styleId="24">
    <w:name w:val="footer"/>
    <w:basedOn w:val="1"/>
    <w:link w:val="90"/>
    <w:qFormat/>
    <w:uiPriority w:val="99"/>
    <w:pPr>
      <w:widowControl w:val="0"/>
      <w:tabs>
        <w:tab w:val="center" w:pos="4153"/>
        <w:tab w:val="right" w:pos="8306"/>
      </w:tabs>
      <w:snapToGrid w:val="0"/>
      <w:spacing w:line="360" w:lineRule="auto"/>
      <w:ind w:firstLine="480" w:firstLineChars="200"/>
      <w:jc w:val="center"/>
    </w:pPr>
    <w:rPr>
      <w:rFonts w:ascii="Times New Roman" w:hAnsi="Times New Roman" w:cs="Times New Roman"/>
      <w:kern w:val="2"/>
      <w:sz w:val="18"/>
      <w:szCs w:val="18"/>
    </w:rPr>
  </w:style>
  <w:style w:type="paragraph" w:styleId="25">
    <w:name w:val="header"/>
    <w:basedOn w:val="1"/>
    <w:link w:val="98"/>
    <w:qFormat/>
    <w:uiPriority w:val="99"/>
    <w:pPr>
      <w:widowControl w:val="0"/>
      <w:pBdr>
        <w:bottom w:val="single" w:color="auto" w:sz="4" w:space="0"/>
      </w:pBdr>
      <w:tabs>
        <w:tab w:val="center" w:pos="4153"/>
        <w:tab w:val="right" w:pos="8306"/>
      </w:tabs>
      <w:snapToGrid w:val="0"/>
      <w:spacing w:line="360" w:lineRule="auto"/>
      <w:ind w:firstLine="480" w:firstLineChars="200"/>
      <w:jc w:val="center"/>
    </w:pPr>
    <w:rPr>
      <w:rFonts w:ascii="Times New Roman" w:hAnsi="Times New Roman" w:cs="Times New Roman"/>
      <w:kern w:val="2"/>
      <w:sz w:val="18"/>
      <w:szCs w:val="18"/>
    </w:rPr>
  </w:style>
  <w:style w:type="paragraph" w:styleId="26">
    <w:name w:val="toc 1"/>
    <w:basedOn w:val="1"/>
    <w:next w:val="1"/>
    <w:qFormat/>
    <w:uiPriority w:val="39"/>
    <w:pPr>
      <w:widowControl w:val="0"/>
      <w:spacing w:line="360" w:lineRule="auto"/>
      <w:ind w:firstLine="480" w:firstLineChars="200"/>
      <w:jc w:val="both"/>
    </w:pPr>
    <w:rPr>
      <w:rFonts w:cs="Times New Roman"/>
      <w:kern w:val="2"/>
    </w:rPr>
  </w:style>
  <w:style w:type="paragraph" w:styleId="27">
    <w:name w:val="toc 4"/>
    <w:basedOn w:val="1"/>
    <w:next w:val="1"/>
    <w:unhideWhenUsed/>
    <w:qFormat/>
    <w:uiPriority w:val="39"/>
    <w:pPr>
      <w:widowControl w:val="0"/>
      <w:spacing w:line="360" w:lineRule="auto"/>
      <w:ind w:left="1260" w:leftChars="600" w:firstLine="480" w:firstLineChars="200"/>
      <w:jc w:val="both"/>
    </w:pPr>
    <w:rPr>
      <w:rFonts w:ascii="等线" w:hAnsi="等线" w:eastAsia="等线" w:cs="Times New Roman"/>
      <w:kern w:val="2"/>
      <w:szCs w:val="22"/>
    </w:rPr>
  </w:style>
  <w:style w:type="paragraph" w:styleId="28">
    <w:name w:val="Subtitle"/>
    <w:basedOn w:val="1"/>
    <w:next w:val="1"/>
    <w:link w:val="88"/>
    <w:qFormat/>
    <w:uiPriority w:val="11"/>
    <w:pPr>
      <w:widowControl w:val="0"/>
      <w:spacing w:before="240" w:after="60" w:line="312" w:lineRule="auto"/>
      <w:ind w:firstLine="480" w:firstLineChars="200"/>
      <w:jc w:val="center"/>
      <w:outlineLvl w:val="1"/>
    </w:pPr>
    <w:rPr>
      <w:rFonts w:ascii="Calibri Light" w:hAnsi="Calibri Light" w:cs="Times New Roman"/>
      <w:b/>
      <w:bCs/>
      <w:kern w:val="28"/>
      <w:sz w:val="32"/>
      <w:szCs w:val="32"/>
    </w:rPr>
  </w:style>
  <w:style w:type="paragraph" w:styleId="29">
    <w:name w:val="toc 6"/>
    <w:basedOn w:val="1"/>
    <w:next w:val="1"/>
    <w:unhideWhenUsed/>
    <w:qFormat/>
    <w:uiPriority w:val="39"/>
    <w:pPr>
      <w:widowControl w:val="0"/>
      <w:spacing w:line="360" w:lineRule="auto"/>
      <w:ind w:left="2100" w:leftChars="1000" w:firstLine="480" w:firstLineChars="200"/>
      <w:jc w:val="both"/>
    </w:pPr>
    <w:rPr>
      <w:rFonts w:ascii="等线" w:hAnsi="等线" w:eastAsia="等线" w:cs="Times New Roman"/>
      <w:kern w:val="2"/>
      <w:szCs w:val="22"/>
    </w:rPr>
  </w:style>
  <w:style w:type="paragraph" w:styleId="30">
    <w:name w:val="toc 2"/>
    <w:basedOn w:val="1"/>
    <w:next w:val="1"/>
    <w:qFormat/>
    <w:uiPriority w:val="39"/>
    <w:pPr>
      <w:widowControl w:val="0"/>
      <w:tabs>
        <w:tab w:val="right" w:leader="dot" w:pos="8302"/>
      </w:tabs>
      <w:spacing w:line="360" w:lineRule="auto"/>
      <w:ind w:left="420" w:leftChars="200" w:firstLine="480" w:firstLineChars="200"/>
      <w:jc w:val="both"/>
    </w:pPr>
    <w:rPr>
      <w:rFonts w:cs="Times New Roman"/>
      <w:kern w:val="2"/>
    </w:rPr>
  </w:style>
  <w:style w:type="paragraph" w:styleId="31">
    <w:name w:val="toc 9"/>
    <w:basedOn w:val="1"/>
    <w:next w:val="1"/>
    <w:unhideWhenUsed/>
    <w:qFormat/>
    <w:uiPriority w:val="39"/>
    <w:pPr>
      <w:widowControl w:val="0"/>
      <w:spacing w:line="360" w:lineRule="auto"/>
      <w:ind w:left="3360" w:leftChars="1600" w:firstLine="480" w:firstLineChars="200"/>
      <w:jc w:val="both"/>
    </w:pPr>
    <w:rPr>
      <w:rFonts w:ascii="等线" w:hAnsi="等线" w:eastAsia="等线" w:cs="Times New Roman"/>
      <w:kern w:val="2"/>
      <w:szCs w:val="22"/>
    </w:rPr>
  </w:style>
  <w:style w:type="paragraph" w:styleId="32">
    <w:name w:val="Normal (Web)"/>
    <w:basedOn w:val="1"/>
    <w:qFormat/>
    <w:uiPriority w:val="99"/>
    <w:pPr>
      <w:spacing w:before="100" w:after="100" w:line="360" w:lineRule="auto"/>
      <w:ind w:firstLine="480" w:firstLineChars="200"/>
    </w:pPr>
    <w:rPr>
      <w:rFonts w:hint="eastAsia" w:ascii="Arial Unicode MS" w:hAnsi="Arial Unicode MS" w:eastAsia="Arial Unicode MS" w:cs="Times New Roman"/>
    </w:rPr>
  </w:style>
  <w:style w:type="paragraph" w:styleId="33">
    <w:name w:val="Title"/>
    <w:basedOn w:val="1"/>
    <w:next w:val="1"/>
    <w:link w:val="96"/>
    <w:qFormat/>
    <w:uiPriority w:val="0"/>
    <w:pPr>
      <w:widowControl w:val="0"/>
      <w:spacing w:before="240" w:after="60" w:line="960" w:lineRule="auto"/>
      <w:ind w:firstLine="480" w:firstLineChars="200"/>
      <w:jc w:val="center"/>
    </w:pPr>
    <w:rPr>
      <w:rFonts w:ascii="Cambria" w:hAnsi="Cambria" w:eastAsia="黑体" w:cs="Times New Roman"/>
      <w:b/>
      <w:bCs/>
      <w:kern w:val="2"/>
      <w:sz w:val="52"/>
      <w:szCs w:val="32"/>
    </w:rPr>
  </w:style>
  <w:style w:type="paragraph" w:styleId="34">
    <w:name w:val="annotation subject"/>
    <w:basedOn w:val="15"/>
    <w:next w:val="15"/>
    <w:link w:val="84"/>
    <w:qFormat/>
    <w:uiPriority w:val="0"/>
    <w:rPr>
      <w:b/>
      <w:bCs/>
      <w:sz w:val="21"/>
    </w:rPr>
  </w:style>
  <w:style w:type="paragraph" w:styleId="35">
    <w:name w:val="Body Text First Indent"/>
    <w:basedOn w:val="16"/>
    <w:link w:val="140"/>
    <w:semiHidden/>
    <w:unhideWhenUsed/>
    <w:qFormat/>
    <w:uiPriority w:val="0"/>
    <w:pPr>
      <w:spacing w:line="360" w:lineRule="auto"/>
      <w:ind w:firstLine="420" w:firstLineChars="100"/>
    </w:pPr>
    <w:rPr>
      <w:rFonts w:ascii="宋体" w:hAnsi="宋体"/>
      <w:sz w:val="24"/>
    </w:rPr>
  </w:style>
  <w:style w:type="table" w:styleId="37">
    <w:name w:val="Table Grid"/>
    <w:basedOn w:val="3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FollowedHyperlink"/>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character" w:customStyle="1" w:styleId="43">
    <w:name w:val="标题 4 字符"/>
    <w:semiHidden/>
    <w:qFormat/>
    <w:uiPriority w:val="9"/>
    <w:rPr>
      <w:rFonts w:ascii="等线 Light" w:hAnsi="等线 Light" w:eastAsia="等线 Light" w:cs="Times New Roman"/>
      <w:b/>
      <w:bCs/>
      <w:kern w:val="2"/>
      <w:sz w:val="28"/>
      <w:szCs w:val="28"/>
    </w:rPr>
  </w:style>
  <w:style w:type="character" w:customStyle="1" w:styleId="44">
    <w:name w:val="标题 3 字符2"/>
    <w:link w:val="4"/>
    <w:qFormat/>
    <w:uiPriority w:val="0"/>
    <w:rPr>
      <w:rFonts w:ascii="宋体" w:hAnsi="宋体" w:eastAsia="宋体"/>
      <w:b/>
      <w:bCs/>
      <w:kern w:val="2"/>
      <w:sz w:val="28"/>
      <w:szCs w:val="28"/>
    </w:rPr>
  </w:style>
  <w:style w:type="character" w:customStyle="1" w:styleId="45">
    <w:name w:val="标题 3 字符1"/>
    <w:qFormat/>
    <w:uiPriority w:val="0"/>
    <w:rPr>
      <w:rFonts w:ascii="宋体" w:hAnsi="宋体"/>
      <w:b/>
      <w:bCs/>
      <w:kern w:val="2"/>
      <w:sz w:val="28"/>
      <w:szCs w:val="28"/>
    </w:rPr>
  </w:style>
  <w:style w:type="character" w:customStyle="1" w:styleId="46">
    <w:name w:val="首行缩进正文 Char"/>
    <w:link w:val="47"/>
    <w:qFormat/>
    <w:uiPriority w:val="0"/>
    <w:rPr>
      <w:kern w:val="2"/>
      <w:sz w:val="24"/>
    </w:rPr>
  </w:style>
  <w:style w:type="paragraph" w:customStyle="1" w:styleId="47">
    <w:name w:val="首行缩进正文"/>
    <w:basedOn w:val="1"/>
    <w:link w:val="46"/>
    <w:qFormat/>
    <w:uiPriority w:val="0"/>
    <w:pPr>
      <w:adjustRightInd w:val="0"/>
      <w:snapToGrid w:val="0"/>
      <w:spacing w:afterLines="50" w:line="276" w:lineRule="auto"/>
      <w:ind w:firstLine="420"/>
    </w:pPr>
    <w:rPr>
      <w:rFonts w:ascii="Times New Roman" w:hAnsi="Times New Roman" w:cs="Times New Roman"/>
      <w:kern w:val="2"/>
      <w:szCs w:val="20"/>
    </w:rPr>
  </w:style>
  <w:style w:type="character" w:customStyle="1" w:styleId="48">
    <w:name w:val="批注文字 字符1"/>
    <w:link w:val="15"/>
    <w:qFormat/>
    <w:uiPriority w:val="99"/>
    <w:rPr>
      <w:rFonts w:eastAsia="仿宋"/>
      <w:kern w:val="2"/>
      <w:sz w:val="28"/>
      <w:szCs w:val="24"/>
    </w:rPr>
  </w:style>
  <w:style w:type="character" w:customStyle="1" w:styleId="49">
    <w:name w:val="日期 字符"/>
    <w:semiHidden/>
    <w:qFormat/>
    <w:uiPriority w:val="99"/>
    <w:rPr>
      <w:rFonts w:ascii="宋体" w:hAnsi="宋体"/>
      <w:kern w:val="2"/>
      <w:sz w:val="24"/>
      <w:szCs w:val="24"/>
    </w:rPr>
  </w:style>
  <w:style w:type="character" w:customStyle="1" w:styleId="50">
    <w:name w:val="日期 字符1"/>
    <w:link w:val="22"/>
    <w:qFormat/>
    <w:uiPriority w:val="0"/>
    <w:rPr>
      <w:kern w:val="2"/>
      <w:sz w:val="21"/>
      <w:szCs w:val="24"/>
    </w:rPr>
  </w:style>
  <w:style w:type="character" w:customStyle="1" w:styleId="51">
    <w:name w:val="标题 9 字符"/>
    <w:link w:val="10"/>
    <w:qFormat/>
    <w:uiPriority w:val="9"/>
    <w:rPr>
      <w:rFonts w:ascii="Cambria" w:hAnsi="Cambria"/>
      <w:kern w:val="2"/>
      <w:sz w:val="21"/>
      <w:szCs w:val="21"/>
    </w:rPr>
  </w:style>
  <w:style w:type="character" w:customStyle="1" w:styleId="52">
    <w:name w:val="未处理的提及1"/>
    <w:unhideWhenUsed/>
    <w:qFormat/>
    <w:uiPriority w:val="99"/>
    <w:rPr>
      <w:color w:val="605E5C"/>
      <w:shd w:val="clear" w:color="auto" w:fill="E1DFDD"/>
    </w:rPr>
  </w:style>
  <w:style w:type="character" w:customStyle="1" w:styleId="53">
    <w:name w:val="标题 1 字符"/>
    <w:qFormat/>
    <w:uiPriority w:val="9"/>
    <w:rPr>
      <w:rFonts w:ascii="宋体" w:hAnsi="宋体"/>
      <w:b/>
      <w:bCs/>
      <w:kern w:val="44"/>
      <w:sz w:val="44"/>
      <w:szCs w:val="44"/>
    </w:rPr>
  </w:style>
  <w:style w:type="character" w:customStyle="1" w:styleId="54">
    <w:name w:val="标题 3 字符"/>
    <w:semiHidden/>
    <w:qFormat/>
    <w:uiPriority w:val="9"/>
    <w:rPr>
      <w:rFonts w:ascii="宋体" w:hAnsi="宋体"/>
      <w:b/>
      <w:bCs/>
      <w:kern w:val="2"/>
      <w:sz w:val="32"/>
      <w:szCs w:val="32"/>
    </w:rPr>
  </w:style>
  <w:style w:type="character" w:customStyle="1" w:styleId="55">
    <w:name w:val="页脚 字符"/>
    <w:qFormat/>
    <w:uiPriority w:val="99"/>
  </w:style>
  <w:style w:type="character" w:customStyle="1" w:styleId="56">
    <w:name w:val="标题 5 字符"/>
    <w:semiHidden/>
    <w:qFormat/>
    <w:uiPriority w:val="9"/>
    <w:rPr>
      <w:rFonts w:ascii="宋体" w:hAnsi="宋体"/>
      <w:b/>
      <w:bCs/>
      <w:kern w:val="2"/>
      <w:sz w:val="28"/>
      <w:szCs w:val="28"/>
    </w:rPr>
  </w:style>
  <w:style w:type="character" w:customStyle="1" w:styleId="57">
    <w:name w:val="题注 字符"/>
    <w:link w:val="13"/>
    <w:qFormat/>
    <w:locked/>
    <w:uiPriority w:val="0"/>
    <w:rPr>
      <w:rFonts w:ascii="Arial" w:hAnsi="Arial" w:eastAsia="黑体"/>
      <w:kern w:val="2"/>
    </w:rPr>
  </w:style>
  <w:style w:type="character" w:customStyle="1" w:styleId="58">
    <w:name w:val="标题 2 字符"/>
    <w:semiHidden/>
    <w:qFormat/>
    <w:uiPriority w:val="9"/>
    <w:rPr>
      <w:rFonts w:ascii="等线 Light" w:hAnsi="等线 Light" w:eastAsia="等线 Light" w:cs="Times New Roman"/>
      <w:b/>
      <w:bCs/>
      <w:kern w:val="2"/>
      <w:sz w:val="32"/>
      <w:szCs w:val="32"/>
    </w:rPr>
  </w:style>
  <w:style w:type="character" w:customStyle="1" w:styleId="59">
    <w:name w:val="纯文本 字符"/>
    <w:qFormat/>
    <w:uiPriority w:val="0"/>
    <w:rPr>
      <w:rFonts w:ascii="宋体" w:hAnsi="Courier New" w:cs="Courier New"/>
      <w:kern w:val="2"/>
      <w:sz w:val="21"/>
      <w:szCs w:val="21"/>
    </w:rPr>
  </w:style>
  <w:style w:type="character" w:customStyle="1" w:styleId="60">
    <w:name w:val="列表段落 字符"/>
    <w:qFormat/>
    <w:uiPriority w:val="34"/>
    <w:rPr>
      <w:kern w:val="2"/>
      <w:sz w:val="21"/>
      <w:szCs w:val="22"/>
    </w:rPr>
  </w:style>
  <w:style w:type="character" w:customStyle="1" w:styleId="61">
    <w:name w:val="标题 4 字符1"/>
    <w:link w:val="5"/>
    <w:qFormat/>
    <w:uiPriority w:val="0"/>
    <w:rPr>
      <w:rFonts w:ascii="宋体" w:hAnsi="宋体"/>
      <w:b/>
      <w:bCs/>
      <w:kern w:val="2"/>
      <w:sz w:val="30"/>
      <w:szCs w:val="30"/>
    </w:rPr>
  </w:style>
  <w:style w:type="character" w:customStyle="1" w:styleId="62">
    <w:name w:val="正文文本 字符"/>
    <w:link w:val="16"/>
    <w:qFormat/>
    <w:uiPriority w:val="0"/>
    <w:rPr>
      <w:kern w:val="2"/>
      <w:sz w:val="21"/>
      <w:szCs w:val="24"/>
    </w:rPr>
  </w:style>
  <w:style w:type="character" w:customStyle="1" w:styleId="63">
    <w:name w:val="列表段落 字符1"/>
    <w:link w:val="64"/>
    <w:qFormat/>
    <w:uiPriority w:val="34"/>
    <w:rPr>
      <w:kern w:val="2"/>
      <w:sz w:val="21"/>
      <w:szCs w:val="24"/>
    </w:rPr>
  </w:style>
  <w:style w:type="paragraph" w:styleId="64">
    <w:name w:val="List Paragraph"/>
    <w:basedOn w:val="1"/>
    <w:link w:val="63"/>
    <w:qFormat/>
    <w:uiPriority w:val="34"/>
    <w:pPr>
      <w:widowControl w:val="0"/>
      <w:spacing w:line="360" w:lineRule="auto"/>
      <w:ind w:firstLine="420" w:firstLineChars="200"/>
      <w:jc w:val="both"/>
    </w:pPr>
    <w:rPr>
      <w:rFonts w:ascii="Times New Roman" w:hAnsi="Times New Roman" w:cs="Times New Roman"/>
      <w:kern w:val="2"/>
      <w:sz w:val="21"/>
    </w:rPr>
  </w:style>
  <w:style w:type="character" w:customStyle="1" w:styleId="65">
    <w:name w:val="font21"/>
    <w:qFormat/>
    <w:uiPriority w:val="0"/>
    <w:rPr>
      <w:rFonts w:ascii="Calibri" w:hAnsi="Calibri" w:cs="Calibri"/>
      <w:color w:val="000000"/>
      <w:sz w:val="21"/>
      <w:szCs w:val="21"/>
      <w:u w:val="none"/>
    </w:rPr>
  </w:style>
  <w:style w:type="character" w:customStyle="1" w:styleId="66">
    <w:name w:val="*正文 Char"/>
    <w:link w:val="67"/>
    <w:qFormat/>
    <w:uiPriority w:val="0"/>
    <w:rPr>
      <w:rFonts w:ascii="time" w:hAnsi="time"/>
      <w:sz w:val="24"/>
      <w:szCs w:val="24"/>
      <w:lang w:bidi="en-US"/>
    </w:rPr>
  </w:style>
  <w:style w:type="paragraph" w:customStyle="1" w:styleId="67">
    <w:name w:val="*正文"/>
    <w:basedOn w:val="1"/>
    <w:link w:val="66"/>
    <w:qFormat/>
    <w:uiPriority w:val="0"/>
    <w:pPr>
      <w:spacing w:line="360" w:lineRule="auto"/>
      <w:ind w:firstLine="200" w:firstLineChars="200"/>
      <w:contextualSpacing/>
      <w:jc w:val="both"/>
    </w:pPr>
    <w:rPr>
      <w:rFonts w:ascii="time" w:hAnsi="time" w:cs="Times New Roman"/>
      <w:lang w:bidi="en-US"/>
    </w:rPr>
  </w:style>
  <w:style w:type="character" w:customStyle="1" w:styleId="68">
    <w:name w:val="正文文本缩进 字符"/>
    <w:semiHidden/>
    <w:qFormat/>
    <w:uiPriority w:val="99"/>
    <w:rPr>
      <w:rFonts w:ascii="宋体" w:hAnsi="宋体"/>
      <w:kern w:val="2"/>
      <w:sz w:val="24"/>
      <w:szCs w:val="24"/>
    </w:rPr>
  </w:style>
  <w:style w:type="character" w:customStyle="1" w:styleId="69">
    <w:name w:val="纯文本 字符1"/>
    <w:link w:val="20"/>
    <w:qFormat/>
    <w:locked/>
    <w:uiPriority w:val="0"/>
    <w:rPr>
      <w:rFonts w:ascii="宋体" w:hAnsi="Courier New"/>
      <w:kern w:val="2"/>
      <w:sz w:val="21"/>
    </w:rPr>
  </w:style>
  <w:style w:type="character" w:customStyle="1" w:styleId="70">
    <w:name w:val="my正文 Char"/>
    <w:link w:val="71"/>
    <w:qFormat/>
    <w:uiPriority w:val="0"/>
    <w:rPr>
      <w:kern w:val="2"/>
      <w:sz w:val="21"/>
      <w:szCs w:val="24"/>
    </w:rPr>
  </w:style>
  <w:style w:type="paragraph" w:customStyle="1" w:styleId="71">
    <w:name w:val="my正文"/>
    <w:basedOn w:val="1"/>
    <w:link w:val="70"/>
    <w:qFormat/>
    <w:uiPriority w:val="0"/>
    <w:pPr>
      <w:widowControl w:val="0"/>
      <w:jc w:val="both"/>
    </w:pPr>
    <w:rPr>
      <w:rFonts w:ascii="Times New Roman" w:hAnsi="Times New Roman" w:cs="Times New Roman"/>
      <w:kern w:val="2"/>
      <w:sz w:val="21"/>
    </w:rPr>
  </w:style>
  <w:style w:type="character" w:customStyle="1" w:styleId="72">
    <w:name w:val="正文2 字符"/>
    <w:link w:val="73"/>
    <w:qFormat/>
    <w:uiPriority w:val="0"/>
    <w:rPr>
      <w:kern w:val="2"/>
      <w:sz w:val="21"/>
      <w:szCs w:val="24"/>
    </w:rPr>
  </w:style>
  <w:style w:type="paragraph" w:customStyle="1" w:styleId="73">
    <w:name w:val="正文2"/>
    <w:basedOn w:val="1"/>
    <w:link w:val="72"/>
    <w:qFormat/>
    <w:uiPriority w:val="0"/>
    <w:pPr>
      <w:widowControl w:val="0"/>
      <w:spacing w:line="360" w:lineRule="auto"/>
      <w:ind w:firstLine="420" w:firstLineChars="200"/>
      <w:jc w:val="both"/>
    </w:pPr>
    <w:rPr>
      <w:rFonts w:ascii="Times New Roman" w:hAnsi="Times New Roman" w:cs="Times New Roman"/>
      <w:kern w:val="2"/>
      <w:sz w:val="21"/>
    </w:rPr>
  </w:style>
  <w:style w:type="character" w:customStyle="1" w:styleId="74">
    <w:name w:val="font41"/>
    <w:qFormat/>
    <w:uiPriority w:val="0"/>
    <w:rPr>
      <w:rFonts w:hint="eastAsia" w:ascii="宋体" w:hAnsi="宋体" w:eastAsia="宋体" w:cs="宋体"/>
      <w:color w:val="000000"/>
      <w:sz w:val="21"/>
      <w:szCs w:val="21"/>
      <w:u w:val="none"/>
    </w:rPr>
  </w:style>
  <w:style w:type="character" w:customStyle="1" w:styleId="75">
    <w:name w:val="标题 7 字符"/>
    <w:link w:val="8"/>
    <w:qFormat/>
    <w:uiPriority w:val="9"/>
    <w:rPr>
      <w:b/>
      <w:bCs/>
      <w:kern w:val="2"/>
      <w:sz w:val="21"/>
      <w:szCs w:val="24"/>
    </w:rPr>
  </w:style>
  <w:style w:type="character" w:customStyle="1" w:styleId="76">
    <w:name w:val="批注框文本 字符"/>
    <w:semiHidden/>
    <w:qFormat/>
    <w:uiPriority w:val="99"/>
    <w:rPr>
      <w:rFonts w:ascii="宋体" w:hAnsi="宋体"/>
      <w:kern w:val="2"/>
      <w:sz w:val="18"/>
      <w:szCs w:val="18"/>
    </w:rPr>
  </w:style>
  <w:style w:type="character" w:customStyle="1" w:styleId="77">
    <w:name w:val="副标题 Char1"/>
    <w:qFormat/>
    <w:uiPriority w:val="0"/>
    <w:rPr>
      <w:rFonts w:ascii="Calibri Light" w:hAnsi="Calibri Light" w:cs="Times New Roman"/>
      <w:b/>
      <w:bCs/>
      <w:kern w:val="28"/>
      <w:sz w:val="32"/>
      <w:szCs w:val="32"/>
    </w:rPr>
  </w:style>
  <w:style w:type="character" w:customStyle="1" w:styleId="78">
    <w:name w:val="标题 1 字符1"/>
    <w:link w:val="2"/>
    <w:qFormat/>
    <w:uiPriority w:val="0"/>
    <w:rPr>
      <w:rFonts w:ascii="宋体" w:hAnsi="宋体" w:eastAsia="黑体"/>
      <w:b/>
      <w:bCs/>
      <w:kern w:val="44"/>
      <w:sz w:val="32"/>
      <w:szCs w:val="28"/>
    </w:rPr>
  </w:style>
  <w:style w:type="character" w:customStyle="1" w:styleId="79">
    <w:name w:val="批注文字 字符"/>
    <w:qFormat/>
    <w:uiPriority w:val="99"/>
    <w:rPr>
      <w:rFonts w:ascii="宋体" w:hAnsi="宋体"/>
      <w:kern w:val="2"/>
      <w:sz w:val="24"/>
      <w:szCs w:val="24"/>
    </w:rPr>
  </w:style>
  <w:style w:type="character" w:customStyle="1" w:styleId="80">
    <w:name w:val="文档结构图 字符"/>
    <w:semiHidden/>
    <w:qFormat/>
    <w:uiPriority w:val="99"/>
    <w:rPr>
      <w:rFonts w:ascii="Microsoft YaHei UI" w:hAnsi="宋体" w:eastAsia="Microsoft YaHei UI"/>
      <w:kern w:val="2"/>
      <w:sz w:val="18"/>
      <w:szCs w:val="18"/>
    </w:rPr>
  </w:style>
  <w:style w:type="character" w:customStyle="1" w:styleId="81">
    <w:name w:val="标题 6 字符"/>
    <w:semiHidden/>
    <w:qFormat/>
    <w:uiPriority w:val="9"/>
    <w:rPr>
      <w:rFonts w:ascii="等线 Light" w:hAnsi="等线 Light" w:eastAsia="等线 Light" w:cs="Times New Roman"/>
      <w:b/>
      <w:bCs/>
      <w:kern w:val="2"/>
      <w:sz w:val="24"/>
      <w:szCs w:val="24"/>
    </w:rPr>
  </w:style>
  <w:style w:type="character" w:customStyle="1" w:styleId="82">
    <w:name w:val="正文正文2 Char"/>
    <w:link w:val="83"/>
    <w:qFormat/>
    <w:uiPriority w:val="0"/>
    <w:rPr>
      <w:rFonts w:ascii="宋体" w:hAnsi="宋体"/>
      <w:kern w:val="2"/>
      <w:sz w:val="21"/>
      <w:szCs w:val="21"/>
    </w:rPr>
  </w:style>
  <w:style w:type="paragraph" w:customStyle="1" w:styleId="83">
    <w:name w:val="正文正文2"/>
    <w:basedOn w:val="1"/>
    <w:link w:val="82"/>
    <w:qFormat/>
    <w:uiPriority w:val="0"/>
    <w:pPr>
      <w:widowControl w:val="0"/>
      <w:spacing w:line="360" w:lineRule="auto"/>
      <w:ind w:firstLine="460" w:firstLineChars="200"/>
      <w:jc w:val="both"/>
    </w:pPr>
    <w:rPr>
      <w:rFonts w:cs="Times New Roman"/>
      <w:kern w:val="2"/>
      <w:sz w:val="21"/>
      <w:szCs w:val="21"/>
    </w:rPr>
  </w:style>
  <w:style w:type="character" w:customStyle="1" w:styleId="84">
    <w:name w:val="批注主题 字符1"/>
    <w:link w:val="34"/>
    <w:qFormat/>
    <w:uiPriority w:val="0"/>
    <w:rPr>
      <w:rFonts w:eastAsia="仿宋"/>
      <w:b/>
      <w:bCs/>
      <w:kern w:val="2"/>
      <w:sz w:val="21"/>
      <w:szCs w:val="24"/>
    </w:rPr>
  </w:style>
  <w:style w:type="character" w:customStyle="1" w:styleId="85">
    <w:name w:val="页眉 字符"/>
    <w:semiHidden/>
    <w:qFormat/>
    <w:uiPriority w:val="99"/>
    <w:rPr>
      <w:rFonts w:ascii="宋体" w:hAnsi="宋体"/>
      <w:kern w:val="2"/>
      <w:sz w:val="18"/>
      <w:szCs w:val="18"/>
    </w:rPr>
  </w:style>
  <w:style w:type="character" w:customStyle="1" w:styleId="86">
    <w:name w:val="正文文本缩进 字符1"/>
    <w:link w:val="17"/>
    <w:qFormat/>
    <w:uiPriority w:val="0"/>
    <w:rPr>
      <w:kern w:val="2"/>
      <w:sz w:val="21"/>
    </w:rPr>
  </w:style>
  <w:style w:type="character" w:customStyle="1" w:styleId="87">
    <w:name w:val="标题 5 字符1"/>
    <w:link w:val="6"/>
    <w:qFormat/>
    <w:uiPriority w:val="0"/>
    <w:rPr>
      <w:rFonts w:ascii="宋体" w:hAnsi="宋体"/>
      <w:b/>
      <w:bCs/>
      <w:kern w:val="2"/>
      <w:sz w:val="24"/>
      <w:szCs w:val="28"/>
    </w:rPr>
  </w:style>
  <w:style w:type="character" w:customStyle="1" w:styleId="88">
    <w:name w:val="副标题 字符1"/>
    <w:link w:val="28"/>
    <w:qFormat/>
    <w:uiPriority w:val="0"/>
    <w:rPr>
      <w:rFonts w:ascii="Calibri Light" w:hAnsi="Calibri Light"/>
      <w:b/>
      <w:bCs/>
      <w:kern w:val="28"/>
      <w:sz w:val="32"/>
      <w:szCs w:val="32"/>
    </w:rPr>
  </w:style>
  <w:style w:type="character" w:customStyle="1" w:styleId="89">
    <w:name w:val="标题 2 字符1"/>
    <w:link w:val="3"/>
    <w:qFormat/>
    <w:uiPriority w:val="9"/>
    <w:rPr>
      <w:rFonts w:ascii="宋体" w:hAnsi="宋体"/>
      <w:b/>
      <w:bCs/>
      <w:kern w:val="2"/>
      <w:sz w:val="30"/>
      <w:szCs w:val="32"/>
    </w:rPr>
  </w:style>
  <w:style w:type="character" w:customStyle="1" w:styleId="90">
    <w:name w:val="页脚 字符1"/>
    <w:link w:val="24"/>
    <w:qFormat/>
    <w:uiPriority w:val="99"/>
    <w:rPr>
      <w:kern w:val="2"/>
      <w:sz w:val="18"/>
      <w:szCs w:val="18"/>
    </w:rPr>
  </w:style>
  <w:style w:type="character" w:customStyle="1" w:styleId="91">
    <w:name w:val="批注主题 字符"/>
    <w:semiHidden/>
    <w:qFormat/>
    <w:uiPriority w:val="99"/>
    <w:rPr>
      <w:rFonts w:ascii="宋体" w:hAnsi="宋体"/>
      <w:b/>
      <w:bCs/>
      <w:kern w:val="2"/>
      <w:sz w:val="24"/>
      <w:szCs w:val="24"/>
    </w:rPr>
  </w:style>
  <w:style w:type="character" w:customStyle="1" w:styleId="92">
    <w:name w:val="文档结构图 字符1"/>
    <w:link w:val="14"/>
    <w:qFormat/>
    <w:uiPriority w:val="0"/>
    <w:rPr>
      <w:rFonts w:ascii="宋体"/>
      <w:kern w:val="2"/>
      <w:sz w:val="18"/>
      <w:szCs w:val="18"/>
    </w:rPr>
  </w:style>
  <w:style w:type="character" w:customStyle="1" w:styleId="93">
    <w:name w:val="font31"/>
    <w:qFormat/>
    <w:uiPriority w:val="0"/>
    <w:rPr>
      <w:rFonts w:hint="eastAsia" w:ascii="宋体" w:hAnsi="宋体" w:eastAsia="宋体" w:cs="宋体"/>
      <w:color w:val="000000"/>
      <w:sz w:val="21"/>
      <w:szCs w:val="21"/>
      <w:u w:val="none"/>
    </w:rPr>
  </w:style>
  <w:style w:type="character" w:customStyle="1" w:styleId="94">
    <w:name w:val="标准正文 Char"/>
    <w:link w:val="95"/>
    <w:qFormat/>
    <w:uiPriority w:val="0"/>
    <w:rPr>
      <w:rFonts w:ascii="Arial" w:hAnsi="Arial"/>
      <w:kern w:val="2"/>
      <w:sz w:val="24"/>
    </w:rPr>
  </w:style>
  <w:style w:type="paragraph" w:customStyle="1" w:styleId="95">
    <w:name w:val="标准正文"/>
    <w:basedOn w:val="17"/>
    <w:link w:val="94"/>
    <w:qFormat/>
    <w:uiPriority w:val="0"/>
    <w:pPr>
      <w:spacing w:before="60" w:after="60"/>
      <w:ind w:firstLine="482" w:firstLineChars="0"/>
    </w:pPr>
    <w:rPr>
      <w:rFonts w:ascii="Arial" w:hAnsi="Arial"/>
      <w:sz w:val="24"/>
    </w:rPr>
  </w:style>
  <w:style w:type="character" w:customStyle="1" w:styleId="96">
    <w:name w:val="标题 字符1"/>
    <w:link w:val="33"/>
    <w:qFormat/>
    <w:uiPriority w:val="0"/>
    <w:rPr>
      <w:rFonts w:ascii="Cambria" w:hAnsi="Cambria" w:eastAsia="黑体"/>
      <w:b/>
      <w:bCs/>
      <w:kern w:val="2"/>
      <w:sz w:val="52"/>
      <w:szCs w:val="32"/>
    </w:rPr>
  </w:style>
  <w:style w:type="character" w:customStyle="1" w:styleId="97">
    <w:name w:val="批注框文本 字符1"/>
    <w:link w:val="23"/>
    <w:qFormat/>
    <w:uiPriority w:val="0"/>
    <w:rPr>
      <w:kern w:val="2"/>
      <w:sz w:val="18"/>
      <w:szCs w:val="18"/>
    </w:rPr>
  </w:style>
  <w:style w:type="character" w:customStyle="1" w:styleId="98">
    <w:name w:val="页眉 字符1"/>
    <w:link w:val="25"/>
    <w:qFormat/>
    <w:uiPriority w:val="99"/>
    <w:rPr>
      <w:kern w:val="2"/>
      <w:sz w:val="18"/>
      <w:szCs w:val="18"/>
    </w:rPr>
  </w:style>
  <w:style w:type="character" w:customStyle="1" w:styleId="99">
    <w:name w:val="标题 8 字符"/>
    <w:link w:val="9"/>
    <w:qFormat/>
    <w:uiPriority w:val="9"/>
    <w:rPr>
      <w:rFonts w:ascii="Cambria" w:hAnsi="Cambria"/>
      <w:kern w:val="2"/>
      <w:sz w:val="21"/>
      <w:szCs w:val="24"/>
    </w:rPr>
  </w:style>
  <w:style w:type="character" w:customStyle="1" w:styleId="100">
    <w:name w:val="标题 6 字符1"/>
    <w:link w:val="7"/>
    <w:qFormat/>
    <w:uiPriority w:val="0"/>
    <w:rPr>
      <w:rFonts w:ascii="Cambria" w:hAnsi="Cambria"/>
      <w:b/>
      <w:bCs/>
      <w:kern w:val="2"/>
      <w:sz w:val="24"/>
      <w:szCs w:val="24"/>
    </w:rPr>
  </w:style>
  <w:style w:type="character" w:customStyle="1" w:styleId="101">
    <w:name w:val="标题 字符"/>
    <w:qFormat/>
    <w:uiPriority w:val="10"/>
    <w:rPr>
      <w:rFonts w:ascii="等线 Light" w:hAnsi="等线 Light" w:eastAsia="等线 Light" w:cs="Times New Roman"/>
      <w:b/>
      <w:bCs/>
      <w:kern w:val="2"/>
      <w:sz w:val="32"/>
      <w:szCs w:val="32"/>
    </w:rPr>
  </w:style>
  <w:style w:type="character" w:customStyle="1" w:styleId="102">
    <w:name w:val="副标题 字符"/>
    <w:qFormat/>
    <w:uiPriority w:val="11"/>
    <w:rPr>
      <w:rFonts w:ascii="等线" w:hAnsi="等线" w:eastAsia="等线" w:cs="Times New Roman"/>
      <w:b/>
      <w:bCs/>
      <w:kern w:val="28"/>
      <w:sz w:val="32"/>
      <w:szCs w:val="32"/>
    </w:rPr>
  </w:style>
  <w:style w:type="paragraph" w:customStyle="1" w:styleId="103">
    <w:name w:val="xl72"/>
    <w:basedOn w:val="1"/>
    <w:qFormat/>
    <w:uiPriority w:val="0"/>
    <w:pPr>
      <w:spacing w:before="100" w:beforeAutospacing="1" w:after="100" w:afterAutospacing="1"/>
      <w:jc w:val="center"/>
    </w:pPr>
  </w:style>
  <w:style w:type="paragraph" w:customStyle="1" w:styleId="104">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5">
    <w:name w:val="xl70"/>
    <w:basedOn w:val="1"/>
    <w:qFormat/>
    <w:uiPriority w:val="0"/>
    <w:pPr>
      <w:pBdr>
        <w:bottom w:val="single" w:color="auto" w:sz="4" w:space="0"/>
        <w:right w:val="single" w:color="auto" w:sz="4" w:space="0"/>
      </w:pBdr>
      <w:spacing w:before="100" w:beforeAutospacing="1" w:after="100" w:afterAutospacing="1"/>
      <w:jc w:val="right"/>
      <w:textAlignment w:val="center"/>
    </w:pPr>
    <w:rPr>
      <w:rFonts w:ascii="Microsoft Sans Serif" w:hAnsi="Microsoft Sans Serif" w:cs="Microsoft Sans Serif"/>
      <w:sz w:val="18"/>
      <w:szCs w:val="18"/>
    </w:rPr>
  </w:style>
  <w:style w:type="paragraph" w:customStyle="1" w:styleId="106">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7">
    <w:name w:val="正文缩进1"/>
    <w:basedOn w:val="1"/>
    <w:qFormat/>
    <w:uiPriority w:val="0"/>
    <w:pPr>
      <w:widowControl w:val="0"/>
      <w:ind w:firstLine="420" w:firstLineChars="200"/>
      <w:jc w:val="both"/>
    </w:pPr>
    <w:rPr>
      <w:rFonts w:ascii="Times New Roman" w:hAnsi="Times New Roman" w:cs="Times New Roman"/>
      <w:kern w:val="2"/>
      <w:sz w:val="21"/>
      <w:szCs w:val="20"/>
    </w:rPr>
  </w:style>
  <w:style w:type="paragraph" w:customStyle="1" w:styleId="108">
    <w:name w:val="xl68"/>
    <w:basedOn w:val="1"/>
    <w:qFormat/>
    <w:uiPriority w:val="0"/>
    <w:pPr>
      <w:pBdr>
        <w:bottom w:val="single" w:color="auto" w:sz="4" w:space="0"/>
        <w:right w:val="single" w:color="auto" w:sz="4" w:space="0"/>
      </w:pBdr>
      <w:spacing w:before="100" w:beforeAutospacing="1" w:after="100" w:afterAutospacing="1"/>
      <w:textAlignment w:val="center"/>
    </w:pPr>
    <w:rPr>
      <w:rFonts w:ascii="Microsoft Sans Serif" w:hAnsi="Microsoft Sans Serif" w:cs="Microsoft Sans Serif"/>
      <w:sz w:val="18"/>
      <w:szCs w:val="18"/>
    </w:rPr>
  </w:style>
  <w:style w:type="paragraph" w:customStyle="1" w:styleId="109">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0">
    <w:name w:val="Indent Normal"/>
    <w:basedOn w:val="1"/>
    <w:qFormat/>
    <w:uiPriority w:val="0"/>
    <w:pPr>
      <w:widowControl w:val="0"/>
      <w:spacing w:line="360" w:lineRule="auto"/>
      <w:ind w:firstLine="150" w:firstLineChars="150"/>
      <w:jc w:val="both"/>
    </w:pPr>
    <w:rPr>
      <w:rFonts w:cs="Times New Roman"/>
      <w:kern w:val="2"/>
    </w:rPr>
  </w:style>
  <w:style w:type="paragraph" w:customStyle="1" w:styleId="111">
    <w:name w:val="msonormal"/>
    <w:basedOn w:val="1"/>
    <w:qFormat/>
    <w:uiPriority w:val="0"/>
    <w:pPr>
      <w:spacing w:before="100" w:beforeAutospacing="1" w:after="100" w:afterAutospacing="1"/>
    </w:pPr>
  </w:style>
  <w:style w:type="paragraph" w:customStyle="1" w:styleId="112">
    <w:name w:val="正文 缩进2字符"/>
    <w:basedOn w:val="1"/>
    <w:qFormat/>
    <w:uiPriority w:val="0"/>
    <w:pPr>
      <w:widowControl w:val="0"/>
      <w:spacing w:afterLines="50"/>
      <w:jc w:val="both"/>
    </w:pPr>
    <w:rPr>
      <w:rFonts w:ascii="Times New Roman" w:hAnsi="Times New Roman"/>
      <w:kern w:val="2"/>
      <w:sz w:val="21"/>
      <w:szCs w:val="20"/>
    </w:rPr>
  </w:style>
  <w:style w:type="paragraph" w:customStyle="1" w:styleId="113">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4">
    <w:name w:val="助手文本"/>
    <w:basedOn w:val="1"/>
    <w:qFormat/>
    <w:uiPriority w:val="0"/>
    <w:pPr>
      <w:widowControl w:val="0"/>
      <w:autoSpaceDE w:val="0"/>
      <w:autoSpaceDN w:val="0"/>
      <w:adjustRightInd w:val="0"/>
      <w:spacing w:beforeLines="50" w:afterLines="50" w:line="360" w:lineRule="auto"/>
      <w:ind w:left="14" w:firstLine="434" w:firstLineChars="200"/>
      <w:jc w:val="both"/>
      <w:textAlignment w:val="baseline"/>
    </w:pPr>
    <w:rPr>
      <w:rFonts w:ascii="楷体_GB2312" w:eastAsia="楷体_GB2312" w:cs="Times New Roman"/>
      <w:szCs w:val="20"/>
      <w:u w:val="single"/>
    </w:rPr>
  </w:style>
  <w:style w:type="paragraph" w:customStyle="1" w:styleId="115">
    <w:name w:val="xl67"/>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b/>
      <w:bCs/>
      <w:sz w:val="18"/>
      <w:szCs w:val="18"/>
    </w:rPr>
  </w:style>
  <w:style w:type="paragraph" w:customStyle="1" w:styleId="116">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18">
    <w:name w:val="Char Char Char Char Char Char1 Char"/>
    <w:basedOn w:val="1"/>
    <w:qFormat/>
    <w:uiPriority w:val="0"/>
    <w:pPr>
      <w:spacing w:after="160" w:line="240" w:lineRule="exact"/>
      <w:ind w:firstLine="480" w:firstLineChars="200"/>
    </w:pPr>
    <w:rPr>
      <w:rFonts w:cs="Times New Roman"/>
      <w:kern w:val="2"/>
    </w:rPr>
  </w:style>
  <w:style w:type="paragraph" w:customStyle="1" w:styleId="119">
    <w:name w:val="PM_Body"/>
    <w:basedOn w:val="1"/>
    <w:qFormat/>
    <w:locked/>
    <w:uiPriority w:val="0"/>
    <w:pPr>
      <w:widowControl w:val="0"/>
      <w:spacing w:line="360" w:lineRule="auto"/>
      <w:ind w:firstLine="480" w:firstLineChars="200"/>
      <w:jc w:val="both"/>
    </w:pPr>
    <w:rPr>
      <w:rFonts w:cs="Times New Roman"/>
      <w:kern w:val="2"/>
      <w:szCs w:val="21"/>
    </w:rPr>
  </w:style>
  <w:style w:type="paragraph" w:customStyle="1" w:styleId="120">
    <w:name w:val="Char Char1"/>
    <w:basedOn w:val="1"/>
    <w:qFormat/>
    <w:uiPriority w:val="0"/>
    <w:pPr>
      <w:spacing w:before="120" w:after="120" w:line="360" w:lineRule="auto"/>
      <w:ind w:firstLine="480" w:firstLineChars="200"/>
      <w:jc w:val="both"/>
    </w:pPr>
    <w:rPr>
      <w:rFonts w:ascii="Times New Roman" w:hAnsi="Times New Roman"/>
      <w:kern w:val="2"/>
    </w:rPr>
  </w:style>
  <w:style w:type="paragraph" w:customStyle="1" w:styleId="121">
    <w:name w:val="xl71"/>
    <w:basedOn w:val="1"/>
    <w:qFormat/>
    <w:uiPriority w:val="0"/>
    <w:pPr>
      <w:spacing w:before="100" w:beforeAutospacing="1" w:after="100" w:afterAutospacing="1"/>
      <w:jc w:val="right"/>
      <w:textAlignment w:val="center"/>
    </w:pPr>
    <w:rPr>
      <w:rFonts w:ascii="Microsoft Sans Serif" w:hAnsi="Microsoft Sans Serif" w:cs="Microsoft Sans Serif"/>
      <w:sz w:val="18"/>
      <w:szCs w:val="18"/>
    </w:rPr>
  </w:style>
  <w:style w:type="paragraph" w:customStyle="1" w:styleId="122">
    <w:name w:val="修订1"/>
    <w:unhideWhenUsed/>
    <w:qFormat/>
    <w:uiPriority w:val="99"/>
    <w:rPr>
      <w:rFonts w:ascii="宋体" w:hAnsi="宋体" w:eastAsia="宋体" w:cs="Times New Roman"/>
      <w:kern w:val="2"/>
      <w:sz w:val="24"/>
      <w:szCs w:val="24"/>
      <w:lang w:val="en-US" w:eastAsia="zh-CN" w:bidi="ar-SA"/>
    </w:rPr>
  </w:style>
  <w:style w:type="paragraph" w:customStyle="1" w:styleId="123">
    <w:name w:val="列出段落2"/>
    <w:basedOn w:val="1"/>
    <w:qFormat/>
    <w:uiPriority w:val="0"/>
    <w:pPr>
      <w:widowControl w:val="0"/>
      <w:ind w:firstLine="420" w:firstLineChars="200"/>
      <w:jc w:val="both"/>
    </w:pPr>
    <w:rPr>
      <w:rFonts w:ascii="等线" w:hAnsi="等线" w:eastAsia="等线" w:cs="等线"/>
      <w:kern w:val="2"/>
      <w:sz w:val="21"/>
      <w:szCs w:val="21"/>
    </w:rPr>
  </w:style>
  <w:style w:type="paragraph" w:customStyle="1" w:styleId="124">
    <w:name w:val="xl69"/>
    <w:basedOn w:val="1"/>
    <w:qFormat/>
    <w:uiPriority w:val="0"/>
    <w:pPr>
      <w:pBdr>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sz w:val="18"/>
      <w:szCs w:val="18"/>
    </w:rPr>
  </w:style>
  <w:style w:type="paragraph" w:customStyle="1" w:styleId="12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b/>
      <w:bCs/>
      <w:sz w:val="18"/>
      <w:szCs w:val="18"/>
    </w:rPr>
  </w:style>
  <w:style w:type="paragraph" w:customStyle="1" w:styleId="126">
    <w:name w:val="文档正文文本（中安网脉）"/>
    <w:basedOn w:val="1"/>
    <w:qFormat/>
    <w:uiPriority w:val="0"/>
    <w:pPr>
      <w:widowControl w:val="0"/>
      <w:spacing w:line="360" w:lineRule="auto"/>
      <w:ind w:firstLine="200" w:firstLineChars="200"/>
      <w:jc w:val="both"/>
    </w:pPr>
    <w:rPr>
      <w:rFonts w:ascii="Times New Roman" w:hAnsi="Times New Roman" w:eastAsia="仿宋_GB2312" w:cs="Times New Roman"/>
      <w:color w:val="000000"/>
      <w:kern w:val="2"/>
      <w:szCs w:val="28"/>
    </w:rPr>
  </w:style>
  <w:style w:type="paragraph" w:customStyle="1" w:styleId="127">
    <w:name w:val="xl65"/>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Microsoft Sans Serif" w:hAnsi="Microsoft Sans Serif" w:cs="Microsoft Sans Serif"/>
      <w:sz w:val="18"/>
      <w:szCs w:val="18"/>
    </w:rPr>
  </w:style>
  <w:style w:type="paragraph" w:customStyle="1" w:styleId="128">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9">
    <w:name w:val="样式 行距: 1.5 倍行距 首行缩进:  2 字符"/>
    <w:basedOn w:val="1"/>
    <w:qFormat/>
    <w:uiPriority w:val="0"/>
    <w:pPr>
      <w:widowControl w:val="0"/>
      <w:spacing w:line="360" w:lineRule="auto"/>
      <w:ind w:firstLine="560" w:firstLineChars="200"/>
    </w:pPr>
    <w:rPr>
      <w:rFonts w:ascii="仿宋" w:hAnsi="仿宋" w:eastAsia="仿宋"/>
      <w:kern w:val="2"/>
      <w:sz w:val="28"/>
      <w:szCs w:val="20"/>
    </w:rPr>
  </w:style>
  <w:style w:type="paragraph" w:customStyle="1" w:styleId="130">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1">
    <w:name w:val="!我的表格1"/>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1"/>
    <w:basedOn w:val="36"/>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标题 1 Char"/>
    <w:qFormat/>
    <w:uiPriority w:val="0"/>
    <w:rPr>
      <w:rFonts w:ascii="宋体" w:hAnsi="宋体" w:eastAsia="黑体"/>
      <w:b/>
      <w:bCs/>
      <w:kern w:val="44"/>
      <w:sz w:val="32"/>
      <w:szCs w:val="28"/>
    </w:rPr>
  </w:style>
  <w:style w:type="character" w:customStyle="1" w:styleId="134">
    <w:name w:val="纯文本 Char2"/>
    <w:qFormat/>
    <w:uiPriority w:val="0"/>
    <w:rPr>
      <w:rFonts w:ascii="宋体" w:hAnsi="宋体" w:eastAsia="宋体" w:cs="Times New Roman"/>
      <w:color w:val="000000"/>
      <w:kern w:val="0"/>
      <w:sz w:val="24"/>
      <w:szCs w:val="24"/>
    </w:rPr>
  </w:style>
  <w:style w:type="paragraph" w:customStyle="1" w:styleId="135">
    <w:name w:val="列表段落1"/>
    <w:basedOn w:val="1"/>
    <w:qFormat/>
    <w:uiPriority w:val="99"/>
    <w:pPr>
      <w:widowControl w:val="0"/>
      <w:spacing w:line="360" w:lineRule="auto"/>
      <w:ind w:firstLine="420" w:firstLineChars="200"/>
      <w:jc w:val="both"/>
    </w:pPr>
    <w:rPr>
      <w:rFonts w:ascii="等线" w:hAnsi="等线" w:cs="Times New Roman"/>
      <w:kern w:val="2"/>
      <w:szCs w:val="22"/>
    </w:rPr>
  </w:style>
  <w:style w:type="paragraph" w:customStyle="1" w:styleId="136">
    <w:name w:val="可研正文"/>
    <w:basedOn w:val="1"/>
    <w:link w:val="137"/>
    <w:qFormat/>
    <w:uiPriority w:val="0"/>
    <w:pPr>
      <w:widowControl w:val="0"/>
      <w:spacing w:line="360" w:lineRule="auto"/>
      <w:ind w:firstLine="200" w:firstLineChars="200"/>
      <w:jc w:val="both"/>
    </w:pPr>
    <w:rPr>
      <w:rFonts w:ascii="仿宋" w:hAnsi="仿宋" w:eastAsia="仿宋" w:cs="Times New Roman"/>
      <w:kern w:val="2"/>
      <w:sz w:val="28"/>
      <w:szCs w:val="28"/>
      <w:lang w:val="zh-CN"/>
    </w:rPr>
  </w:style>
  <w:style w:type="character" w:customStyle="1" w:styleId="137">
    <w:name w:val="可研正文 Char"/>
    <w:link w:val="136"/>
    <w:qFormat/>
    <w:uiPriority w:val="0"/>
    <w:rPr>
      <w:rFonts w:ascii="仿宋" w:hAnsi="仿宋" w:eastAsia="仿宋"/>
      <w:kern w:val="2"/>
      <w:sz w:val="28"/>
      <w:szCs w:val="28"/>
      <w:lang w:val="zh-CN" w:eastAsia="zh-CN"/>
    </w:rPr>
  </w:style>
  <w:style w:type="character" w:customStyle="1" w:styleId="138">
    <w:name w:val="标题 8 Char"/>
    <w:qFormat/>
    <w:uiPriority w:val="9"/>
    <w:rPr>
      <w:rFonts w:ascii="Cambria" w:hAnsi="Cambria"/>
      <w:kern w:val="2"/>
      <w:sz w:val="21"/>
      <w:szCs w:val="24"/>
    </w:rPr>
  </w:style>
  <w:style w:type="paragraph" w:customStyle="1" w:styleId="139">
    <w:name w:val="_Style 145"/>
    <w:basedOn w:val="16"/>
    <w:next w:val="35"/>
    <w:unhideWhenUsed/>
    <w:qFormat/>
    <w:uiPriority w:val="0"/>
    <w:pPr>
      <w:spacing w:line="360" w:lineRule="auto"/>
      <w:ind w:firstLine="420" w:firstLineChars="100"/>
    </w:pPr>
    <w:rPr>
      <w:rFonts w:ascii="等线" w:hAnsi="等线"/>
      <w:sz w:val="24"/>
      <w:szCs w:val="22"/>
      <w:lang w:val="zh-CN"/>
    </w:rPr>
  </w:style>
  <w:style w:type="character" w:customStyle="1" w:styleId="140">
    <w:name w:val="正文文本首行缩进 字符"/>
    <w:basedOn w:val="62"/>
    <w:link w:val="35"/>
    <w:semiHidden/>
    <w:qFormat/>
    <w:uiPriority w:val="0"/>
    <w:rPr>
      <w:rFonts w:ascii="宋体" w:hAnsi="宋体"/>
      <w:kern w:val="2"/>
      <w:sz w:val="24"/>
      <w:szCs w:val="24"/>
    </w:rPr>
  </w:style>
  <w:style w:type="character" w:customStyle="1" w:styleId="141">
    <w:name w:val="未处理的提及2"/>
    <w:basedOn w:val="38"/>
    <w:semiHidden/>
    <w:unhideWhenUsed/>
    <w:qFormat/>
    <w:uiPriority w:val="99"/>
    <w:rPr>
      <w:color w:val="605E5C"/>
      <w:shd w:val="clear" w:color="auto" w:fill="E1DFDD"/>
    </w:rPr>
  </w:style>
  <w:style w:type="paragraph" w:customStyle="1" w:styleId="142">
    <w:name w:val="修订2"/>
    <w:hidden/>
    <w:unhideWhenUsed/>
    <w:qFormat/>
    <w:uiPriority w:val="99"/>
    <w:rPr>
      <w:rFonts w:ascii="宋体" w:hAnsi="宋体" w:eastAsia="宋体" w:cs="Times New Roman"/>
      <w:kern w:val="2"/>
      <w:sz w:val="24"/>
      <w:szCs w:val="24"/>
      <w:lang w:val="en-US" w:eastAsia="zh-CN" w:bidi="ar-SA"/>
    </w:rPr>
  </w:style>
  <w:style w:type="paragraph" w:customStyle="1" w:styleId="143">
    <w:name w:val="修订3"/>
    <w:hidden/>
    <w:semiHidden/>
    <w:qFormat/>
    <w:uiPriority w:val="99"/>
    <w:rPr>
      <w:rFonts w:ascii="宋体" w:hAnsi="宋体" w:eastAsia="宋体" w:cs="Times New Roman"/>
      <w:kern w:val="2"/>
      <w:sz w:val="24"/>
      <w:szCs w:val="24"/>
      <w:lang w:val="en-US" w:eastAsia="zh-CN" w:bidi="ar-SA"/>
    </w:rPr>
  </w:style>
  <w:style w:type="paragraph" w:customStyle="1" w:styleId="144">
    <w:name w:val="格式 一"/>
    <w:basedOn w:val="1"/>
    <w:qFormat/>
    <w:uiPriority w:val="0"/>
    <w:pPr>
      <w:numPr>
        <w:ilvl w:val="0"/>
        <w:numId w:val="3"/>
      </w:numPr>
      <w:adjustRightInd w:val="0"/>
      <w:spacing w:line="500" w:lineRule="exact"/>
      <w:jc w:val="both"/>
    </w:pPr>
    <w:rPr>
      <w:rFonts w:ascii="仿宋" w:eastAsia="仿宋" w:cs="Times New Roman"/>
      <w:sz w:val="28"/>
      <w:szCs w:val="28"/>
    </w:rPr>
  </w:style>
  <w:style w:type="character" w:customStyle="1" w:styleId="145">
    <w:name w:val="未处理的提及3"/>
    <w:basedOn w:val="38"/>
    <w:semiHidden/>
    <w:unhideWhenUsed/>
    <w:qFormat/>
    <w:uiPriority w:val="99"/>
    <w:rPr>
      <w:color w:val="605E5C"/>
      <w:shd w:val="clear" w:color="auto" w:fill="E1DFDD"/>
    </w:rPr>
  </w:style>
  <w:style w:type="character" w:customStyle="1" w:styleId="146">
    <w:name w:val="NormalCharacter"/>
    <w:qFormat/>
    <w:uiPriority w:val="0"/>
  </w:style>
  <w:style w:type="paragraph" w:customStyle="1" w:styleId="147">
    <w:name w:val="修订4"/>
    <w:hidden/>
    <w:semiHidden/>
    <w:qFormat/>
    <w:uiPriority w:val="99"/>
    <w:rPr>
      <w:rFonts w:ascii="宋体" w:hAnsi="宋体" w:eastAsia="宋体" w:cs="宋体"/>
      <w:sz w:val="24"/>
      <w:szCs w:val="24"/>
      <w:lang w:val="en-US" w:eastAsia="zh-CN" w:bidi="ar-SA"/>
    </w:rPr>
  </w:style>
  <w:style w:type="paragraph" w:customStyle="1" w:styleId="148">
    <w:name w:val="修订5"/>
    <w:hidden/>
    <w:semiHidden/>
    <w:qFormat/>
    <w:uiPriority w:val="99"/>
    <w:rPr>
      <w:rFonts w:ascii="宋体" w:hAnsi="宋体" w:eastAsia="宋体" w:cs="宋体"/>
      <w:sz w:val="24"/>
      <w:szCs w:val="24"/>
      <w:lang w:val="en-US" w:eastAsia="zh-CN" w:bidi="ar-SA"/>
    </w:rPr>
  </w:style>
  <w:style w:type="paragraph" w:customStyle="1" w:styleId="149">
    <w:name w:val="表格"/>
    <w:basedOn w:val="1"/>
    <w:qFormat/>
    <w:uiPriority w:val="0"/>
    <w:pPr>
      <w:jc w:val="center"/>
    </w:pPr>
    <w:rPr>
      <w:rFonts w:hAnsi="仿宋"/>
      <w:color w:val="000000"/>
      <w:sz w:val="21"/>
      <w:szCs w:val="21"/>
    </w:rPr>
  </w:style>
  <w:style w:type="paragraph" w:customStyle="1" w:styleId="150">
    <w:name w:val="修订6"/>
    <w:hidden/>
    <w:semiHidden/>
    <w:qFormat/>
    <w:uiPriority w:val="99"/>
    <w:rPr>
      <w:rFonts w:ascii="宋体" w:hAnsi="宋体" w:eastAsia="宋体" w:cs="宋体"/>
      <w:sz w:val="24"/>
      <w:szCs w:val="24"/>
      <w:lang w:val="en-US" w:eastAsia="zh-CN" w:bidi="ar-SA"/>
    </w:rPr>
  </w:style>
  <w:style w:type="paragraph" w:customStyle="1" w:styleId="151">
    <w:name w:val="修订7"/>
    <w:hidden/>
    <w:semiHidden/>
    <w:qFormat/>
    <w:uiPriority w:val="99"/>
    <w:rPr>
      <w:rFonts w:ascii="宋体" w:hAnsi="宋体" w:eastAsia="宋体" w:cs="宋体"/>
      <w:sz w:val="24"/>
      <w:szCs w:val="24"/>
      <w:lang w:val="en-US" w:eastAsia="zh-CN" w:bidi="ar-SA"/>
    </w:rPr>
  </w:style>
  <w:style w:type="paragraph" w:customStyle="1" w:styleId="152">
    <w:name w:val="修订8"/>
    <w:hidden/>
    <w:semiHidden/>
    <w:qFormat/>
    <w:uiPriority w:val="99"/>
    <w:rPr>
      <w:rFonts w:ascii="宋体" w:hAnsi="宋体" w:eastAsia="宋体" w:cs="宋体"/>
      <w:sz w:val="24"/>
      <w:szCs w:val="24"/>
      <w:lang w:val="en-US" w:eastAsia="zh-CN" w:bidi="ar-SA"/>
    </w:rPr>
  </w:style>
  <w:style w:type="paragraph" w:customStyle="1" w:styleId="153">
    <w:name w:val="Revision"/>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C70DF8FB-CBDA-43C6-BA50-1D18231AF652}">
  <ds:schemaRefs/>
</ds:datastoreItem>
</file>

<file path=docProps/app.xml><?xml version="1.0" encoding="utf-8"?>
<Properties xmlns="http://schemas.openxmlformats.org/officeDocument/2006/extended-properties" xmlns:vt="http://schemas.openxmlformats.org/officeDocument/2006/docPropsVTypes">
  <Template>Normal.dotm</Template>
  <Pages>61</Pages>
  <Words>4960</Words>
  <Characters>5112</Characters>
  <Lines>181</Lines>
  <Paragraphs>51</Paragraphs>
  <TotalTime>5</TotalTime>
  <ScaleCrop>false</ScaleCrop>
  <LinksUpToDate>false</LinksUpToDate>
  <CharactersWithSpaces>5136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2025-01-22T11:22:00Z</dcterms:created>
  <dc:creator>gtig_tzb</dc:creator>
  <cp:lastModifiedBy>高际航</cp:lastModifiedBy>
  <cp:lastPrinted>2023-12-30T06:28:00Z</cp:lastPrinted>
  <dcterms:modified xsi:type="dcterms:W3CDTF">2025-01-22T14:47:37Z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1C40712491DC9DDA899490676EF2E366_43</vt:lpwstr>
  </property>
  <property fmtid="{D5CDD505-2E9C-101B-9397-08002B2CF9AE}" pid="4" name="KSOTemplateDocerSaveRecord">
    <vt:lpwstr>eyJoZGlkIjoiOWU2YjQ5MTdhNTM5Yjc3ZTAwNTk4ODM3ZDNjYzBhODMiLCJ1c2VySWQiOiIyNTk0ODE4NTQifQ==</vt:lpwstr>
  </property>
</Properties>
</file>