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B8982">
      <w:pPr>
        <w:ind w:firstLine="0" w:firstLineChars="0"/>
        <w:rPr>
          <w:rFonts w:hint="eastAsia" w:ascii="华文中宋" w:hAnsi="华文中宋" w:eastAsia="华文中宋" w:cs="华文中宋"/>
          <w:sz w:val="40"/>
          <w:szCs w:val="40"/>
        </w:rPr>
      </w:pPr>
    </w:p>
    <w:p w14:paraId="2CC6E28C">
      <w:pPr>
        <w:ind w:firstLine="0" w:firstLineChars="0"/>
        <w:rPr>
          <w:rFonts w:hint="eastAsia" w:ascii="华文中宋" w:hAnsi="华文中宋" w:eastAsia="华文中宋" w:cs="华文中宋"/>
          <w:sz w:val="40"/>
          <w:szCs w:val="40"/>
        </w:rPr>
      </w:pPr>
    </w:p>
    <w:p w14:paraId="64EDCFAE">
      <w:pPr>
        <w:ind w:firstLine="0" w:firstLineChars="0"/>
        <w:rPr>
          <w:rFonts w:hint="eastAsia" w:ascii="华文中宋" w:hAnsi="华文中宋" w:eastAsia="华文中宋" w:cs="华文中宋"/>
          <w:sz w:val="40"/>
          <w:szCs w:val="40"/>
        </w:rPr>
      </w:pPr>
    </w:p>
    <w:p w14:paraId="0EA6F3B2">
      <w:pPr>
        <w:ind w:firstLine="0" w:firstLineChars="0"/>
        <w:jc w:val="center"/>
        <w:rPr>
          <w:rFonts w:hint="eastAsia" w:ascii="华文中宋" w:hAnsi="华文中宋" w:eastAsia="华文中宋" w:cs="华文中宋"/>
          <w:b/>
          <w:bCs/>
          <w:sz w:val="40"/>
          <w:szCs w:val="40"/>
        </w:rPr>
      </w:pPr>
      <w:r>
        <w:rPr>
          <w:rFonts w:hint="eastAsia" w:ascii="华文中宋" w:hAnsi="华文中宋" w:eastAsia="华文中宋" w:cs="华文中宋"/>
          <w:b/>
          <w:bCs/>
          <w:sz w:val="40"/>
          <w:szCs w:val="40"/>
        </w:rPr>
        <w:t>上海市医疗保障基金财务系统</w:t>
      </w:r>
    </w:p>
    <w:p w14:paraId="1245273F">
      <w:pPr>
        <w:ind w:firstLine="0" w:firstLineChars="0"/>
        <w:jc w:val="center"/>
        <w:rPr>
          <w:rFonts w:hint="eastAsia" w:ascii="黑体" w:hAnsi="黑体" w:eastAsia="黑体"/>
          <w:sz w:val="52"/>
          <w:szCs w:val="52"/>
        </w:rPr>
      </w:pPr>
      <w:r>
        <w:rPr>
          <w:rFonts w:hint="eastAsia" w:ascii="华文中宋" w:hAnsi="华文中宋" w:eastAsia="华文中宋" w:cs="华文中宋"/>
          <w:b/>
          <w:bCs/>
          <w:sz w:val="40"/>
          <w:szCs w:val="40"/>
        </w:rPr>
        <w:t>(</w:t>
      </w:r>
      <w:r>
        <w:rPr>
          <w:rFonts w:ascii="Times New Roman Bold" w:hAnsi="Times New Roman Bold" w:eastAsia="华文中宋" w:cs="Times New Roman Bold"/>
          <w:b/>
          <w:sz w:val="40"/>
          <w:szCs w:val="40"/>
        </w:rPr>
        <w:t>2024</w:t>
      </w:r>
      <w:r>
        <w:rPr>
          <w:rFonts w:hint="eastAsia" w:ascii="华文中宋" w:hAnsi="华文中宋" w:eastAsia="华文中宋" w:cs="华文中宋"/>
          <w:b/>
          <w:bCs/>
          <w:sz w:val="40"/>
          <w:szCs w:val="40"/>
        </w:rPr>
        <w:t>年升级改造)项目采购需求</w:t>
      </w:r>
    </w:p>
    <w:p w14:paraId="01FF57FC">
      <w:pPr>
        <w:ind w:firstLine="0" w:firstLineChars="0"/>
        <w:jc w:val="center"/>
        <w:rPr>
          <w:rFonts w:hint="eastAsia" w:ascii="黑体" w:hAnsi="黑体" w:eastAsia="黑体"/>
          <w:sz w:val="72"/>
          <w:szCs w:val="72"/>
        </w:rPr>
      </w:pPr>
    </w:p>
    <w:p w14:paraId="3BDF0596">
      <w:pPr>
        <w:ind w:firstLine="0" w:firstLineChars="0"/>
        <w:jc w:val="center"/>
        <w:rPr>
          <w:rFonts w:hint="eastAsia" w:ascii="黑体" w:hAnsi="黑体" w:eastAsia="黑体"/>
          <w:sz w:val="48"/>
          <w:szCs w:val="48"/>
        </w:rPr>
      </w:pPr>
    </w:p>
    <w:p w14:paraId="75E61752">
      <w:pPr>
        <w:ind w:firstLine="0" w:firstLineChars="0"/>
        <w:jc w:val="center"/>
        <w:rPr>
          <w:rFonts w:hint="eastAsia" w:ascii="黑体" w:hAnsi="黑体" w:eastAsia="黑体"/>
          <w:sz w:val="52"/>
          <w:szCs w:val="52"/>
        </w:rPr>
      </w:pPr>
    </w:p>
    <w:p w14:paraId="17198EBE">
      <w:pPr>
        <w:ind w:firstLine="1040"/>
        <w:rPr>
          <w:rFonts w:hint="eastAsia" w:ascii="黑体" w:hAnsi="黑体" w:eastAsia="黑体"/>
          <w:sz w:val="52"/>
          <w:szCs w:val="52"/>
        </w:rPr>
      </w:pPr>
    </w:p>
    <w:p w14:paraId="4A85BC81">
      <w:pPr>
        <w:rPr>
          <w:rFonts w:hint="eastAsia"/>
        </w:rPr>
      </w:pPr>
    </w:p>
    <w:p w14:paraId="079D8486">
      <w:pPr>
        <w:rPr>
          <w:rFonts w:hint="eastAsia"/>
        </w:rPr>
      </w:pPr>
    </w:p>
    <w:p w14:paraId="40F1AC1F">
      <w:pPr>
        <w:rPr>
          <w:rFonts w:hint="eastAsia"/>
        </w:rPr>
      </w:pPr>
    </w:p>
    <w:p w14:paraId="1264F7E2">
      <w:pPr>
        <w:rPr>
          <w:rFonts w:hint="eastAsia"/>
        </w:rPr>
      </w:pPr>
    </w:p>
    <w:p w14:paraId="46864BAE">
      <w:pPr>
        <w:ind w:firstLine="0" w:firstLineChars="0"/>
        <w:rPr>
          <w:rFonts w:hint="eastAsia" w:ascii="黑体" w:hAnsi="黑体" w:eastAsia="黑体"/>
          <w:sz w:val="52"/>
          <w:szCs w:val="52"/>
        </w:rPr>
      </w:pPr>
    </w:p>
    <w:p w14:paraId="29121CFE">
      <w:pPr>
        <w:ind w:firstLine="1040"/>
        <w:rPr>
          <w:rFonts w:hint="eastAsia" w:ascii="黑体" w:hAnsi="黑体" w:eastAsia="黑体"/>
          <w:sz w:val="52"/>
          <w:szCs w:val="52"/>
        </w:rPr>
      </w:pPr>
    </w:p>
    <w:p w14:paraId="36EEFA64">
      <w:pPr>
        <w:ind w:firstLine="0" w:firstLineChars="0"/>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340" w:footer="7" w:gutter="0"/>
          <w:pgNumType w:start="1"/>
          <w:cols w:space="720" w:num="1"/>
          <w:titlePg/>
          <w:docGrid w:type="linesAndChars" w:linePitch="326" w:charSpace="0"/>
        </w:sectPr>
      </w:pPr>
      <w:r>
        <w:rPr>
          <w:rFonts w:hint="eastAsia" w:ascii="华文中宋" w:hAnsi="华文中宋" w:eastAsia="华文中宋" w:cs="华文中宋"/>
          <w:sz w:val="32"/>
          <w:szCs w:val="40"/>
        </w:rPr>
        <w:t>上海市医疗保险事业管理中心</w:t>
      </w:r>
    </w:p>
    <w:sdt>
      <w:sdtPr>
        <w:rPr>
          <w:sz w:val="21"/>
        </w:rPr>
        <w:id w:val="414068242"/>
        <w15:color w:val="DBDBDB"/>
        <w:docPartObj>
          <w:docPartGallery w:val="Table of Contents"/>
          <w:docPartUnique/>
        </w:docPartObj>
      </w:sdtPr>
      <w:sdtEndPr>
        <w:rPr>
          <w:rFonts w:hint="eastAsia"/>
          <w:sz w:val="24"/>
        </w:rPr>
      </w:sdtEndPr>
      <w:sdtContent>
        <w:p w14:paraId="09089810">
          <w:pPr>
            <w:spacing w:line="240" w:lineRule="auto"/>
            <w:ind w:firstLine="0" w:firstLineChars="0"/>
            <w:jc w:val="center"/>
            <w:rPr>
              <w:rFonts w:hint="eastAsia" w:ascii="仿宋_GB2312" w:hAnsi="仿宋_GB2312" w:eastAsia="仿宋_GB2312" w:cs="仿宋_GB2312"/>
              <w:b/>
              <w:bCs/>
              <w:sz w:val="28"/>
              <w:szCs w:val="28"/>
            </w:rPr>
          </w:pPr>
          <w:bookmarkStart w:id="0" w:name="_Toc63785461"/>
          <w:r>
            <w:rPr>
              <w:rFonts w:hint="eastAsia" w:ascii="仿宋_GB2312" w:hAnsi="仿宋_GB2312" w:eastAsia="仿宋_GB2312" w:cs="仿宋_GB2312"/>
              <w:b/>
              <w:bCs/>
              <w:sz w:val="28"/>
              <w:szCs w:val="28"/>
            </w:rPr>
            <w:t>目录</w:t>
          </w:r>
        </w:p>
        <w:p w14:paraId="27027522">
          <w:pPr>
            <w:pStyle w:val="26"/>
            <w:tabs>
              <w:tab w:val="right" w:leader="dot" w:pos="8312"/>
            </w:tabs>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TOC \o "1-3" \h \u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_Toc8485 </w:instrText>
          </w:r>
          <w:r>
            <w:rPr>
              <w:rFonts w:hint="eastAsia" w:ascii="仿宋_GB2312" w:hAnsi="仿宋_GB2312" w:eastAsia="仿宋_GB2312" w:cs="仿宋_GB2312"/>
            </w:rPr>
            <w:fldChar w:fldCharType="separate"/>
          </w:r>
          <w:r>
            <w:rPr>
              <w:rFonts w:hint="eastAsia" w:ascii="黑体" w:hAnsi="黑体" w:eastAsia="黑体" w:cs="黑体"/>
              <w:szCs w:val="32"/>
            </w:rPr>
            <w:t xml:space="preserve">一、 </w:t>
          </w:r>
          <w:r>
            <w:rPr>
              <w:rFonts w:hint="eastAsia"/>
            </w:rPr>
            <w:t>项目概况</w:t>
          </w:r>
          <w:r>
            <w:tab/>
          </w:r>
          <w:r>
            <w:fldChar w:fldCharType="begin"/>
          </w:r>
          <w:r>
            <w:instrText xml:space="preserve"> PAGEREF _Toc8485 \h </w:instrText>
          </w:r>
          <w:r>
            <w:fldChar w:fldCharType="separate"/>
          </w:r>
          <w:r>
            <w:t>1</w:t>
          </w:r>
          <w:r>
            <w:fldChar w:fldCharType="end"/>
          </w:r>
          <w:r>
            <w:rPr>
              <w:rFonts w:hint="eastAsia" w:ascii="仿宋_GB2312" w:hAnsi="仿宋_GB2312" w:eastAsia="仿宋_GB2312" w:cs="仿宋_GB2312"/>
            </w:rPr>
            <w:fldChar w:fldCharType="end"/>
          </w:r>
        </w:p>
        <w:p w14:paraId="054F224A">
          <w:pPr>
            <w:pStyle w:val="30"/>
            <w:tabs>
              <w:tab w:val="right" w:leader="dot" w:pos="8312"/>
              <w:tab w:val="clear" w:pos="830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_Toc4345 </w:instrText>
          </w:r>
          <w:r>
            <w:rPr>
              <w:rFonts w:hint="eastAsia" w:ascii="仿宋_GB2312" w:hAnsi="仿宋_GB2312" w:eastAsia="仿宋_GB2312" w:cs="仿宋_GB2312"/>
            </w:rPr>
            <w:fldChar w:fldCharType="separate"/>
          </w:r>
          <w:r>
            <w:rPr>
              <w:rFonts w:hint="eastAsia" w:ascii="楷体_GB2312" w:hAnsi="楷体_GB2312" w:eastAsia="楷体_GB2312" w:cs="楷体_GB2312"/>
              <w:szCs w:val="32"/>
            </w:rPr>
            <w:t xml:space="preserve">（一） </w:t>
          </w:r>
          <w:r>
            <w:rPr>
              <w:rFonts w:hint="eastAsia" w:ascii="楷体_GB2312" w:hAnsi="楷体_GB2312" w:eastAsia="楷体_GB2312" w:cs="楷体_GB2312"/>
            </w:rPr>
            <w:t>项目背景</w:t>
          </w:r>
          <w:r>
            <w:tab/>
          </w:r>
          <w:r>
            <w:fldChar w:fldCharType="begin"/>
          </w:r>
          <w:r>
            <w:instrText xml:space="preserve"> PAGEREF _Toc4345 \h </w:instrText>
          </w:r>
          <w:r>
            <w:fldChar w:fldCharType="separate"/>
          </w:r>
          <w:r>
            <w:t>1</w:t>
          </w:r>
          <w:r>
            <w:fldChar w:fldCharType="end"/>
          </w:r>
          <w:r>
            <w:rPr>
              <w:rFonts w:hint="eastAsia" w:ascii="仿宋_GB2312" w:hAnsi="仿宋_GB2312" w:eastAsia="仿宋_GB2312" w:cs="仿宋_GB2312"/>
            </w:rPr>
            <w:fldChar w:fldCharType="end"/>
          </w:r>
        </w:p>
        <w:p w14:paraId="7E4AFD60">
          <w:pPr>
            <w:pStyle w:val="30"/>
            <w:tabs>
              <w:tab w:val="right" w:leader="dot" w:pos="8312"/>
              <w:tab w:val="clear" w:pos="830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_Toc21967 </w:instrText>
          </w:r>
          <w:r>
            <w:rPr>
              <w:rFonts w:hint="eastAsia" w:ascii="仿宋_GB2312" w:hAnsi="仿宋_GB2312" w:eastAsia="仿宋_GB2312" w:cs="仿宋_GB2312"/>
            </w:rPr>
            <w:fldChar w:fldCharType="separate"/>
          </w:r>
          <w:r>
            <w:rPr>
              <w:rFonts w:hint="eastAsia" w:ascii="楷体_GB2312" w:hAnsi="楷体_GB2312" w:eastAsia="楷体_GB2312" w:cs="楷体_GB2312"/>
              <w:szCs w:val="32"/>
            </w:rPr>
            <w:t xml:space="preserve">（二） </w:t>
          </w:r>
          <w:r>
            <w:rPr>
              <w:rFonts w:hint="eastAsia" w:ascii="楷体_GB2312" w:hAnsi="楷体_GB2312" w:eastAsia="楷体_GB2312" w:cs="楷体_GB2312"/>
            </w:rPr>
            <w:t>建设目标</w:t>
          </w:r>
          <w:r>
            <w:tab/>
          </w:r>
          <w:r>
            <w:fldChar w:fldCharType="begin"/>
          </w:r>
          <w:r>
            <w:instrText xml:space="preserve"> PAGEREF _Toc21967 \h </w:instrText>
          </w:r>
          <w:r>
            <w:fldChar w:fldCharType="separate"/>
          </w:r>
          <w:r>
            <w:t>1</w:t>
          </w:r>
          <w:r>
            <w:fldChar w:fldCharType="end"/>
          </w:r>
          <w:r>
            <w:rPr>
              <w:rFonts w:hint="eastAsia" w:ascii="仿宋_GB2312" w:hAnsi="仿宋_GB2312" w:eastAsia="仿宋_GB2312" w:cs="仿宋_GB2312"/>
            </w:rPr>
            <w:fldChar w:fldCharType="end"/>
          </w:r>
        </w:p>
        <w:p w14:paraId="22D52F29">
          <w:pPr>
            <w:pStyle w:val="26"/>
            <w:tabs>
              <w:tab w:val="right" w:leader="dot" w:pos="831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_Toc22732 </w:instrText>
          </w:r>
          <w:r>
            <w:rPr>
              <w:rFonts w:hint="eastAsia" w:ascii="仿宋_GB2312" w:hAnsi="仿宋_GB2312" w:eastAsia="仿宋_GB2312" w:cs="仿宋_GB2312"/>
            </w:rPr>
            <w:fldChar w:fldCharType="separate"/>
          </w:r>
          <w:r>
            <w:rPr>
              <w:rFonts w:hint="eastAsia" w:ascii="黑体" w:hAnsi="黑体" w:eastAsia="黑体" w:cs="黑体"/>
              <w:szCs w:val="32"/>
            </w:rPr>
            <w:t xml:space="preserve">二、 </w:t>
          </w:r>
          <w:r>
            <w:rPr>
              <w:rFonts w:hint="eastAsia"/>
            </w:rPr>
            <w:t>项目建设内容</w:t>
          </w:r>
          <w:r>
            <w:tab/>
          </w:r>
          <w:r>
            <w:fldChar w:fldCharType="begin"/>
          </w:r>
          <w:r>
            <w:instrText xml:space="preserve"> PAGEREF _Toc22732 \h </w:instrText>
          </w:r>
          <w:r>
            <w:fldChar w:fldCharType="separate"/>
          </w:r>
          <w:r>
            <w:t>2</w:t>
          </w:r>
          <w:r>
            <w:fldChar w:fldCharType="end"/>
          </w:r>
          <w:r>
            <w:rPr>
              <w:rFonts w:hint="eastAsia" w:ascii="仿宋_GB2312" w:hAnsi="仿宋_GB2312" w:eastAsia="仿宋_GB2312" w:cs="仿宋_GB2312"/>
            </w:rPr>
            <w:fldChar w:fldCharType="end"/>
          </w:r>
        </w:p>
        <w:p w14:paraId="3C32A97F">
          <w:pPr>
            <w:pStyle w:val="30"/>
            <w:tabs>
              <w:tab w:val="right" w:leader="dot" w:pos="8312"/>
              <w:tab w:val="clear" w:pos="830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_Toc28685 </w:instrText>
          </w:r>
          <w:r>
            <w:rPr>
              <w:rFonts w:hint="eastAsia" w:ascii="仿宋_GB2312" w:hAnsi="仿宋_GB2312" w:eastAsia="仿宋_GB2312" w:cs="仿宋_GB2312"/>
            </w:rPr>
            <w:fldChar w:fldCharType="separate"/>
          </w:r>
          <w:r>
            <w:rPr>
              <w:rFonts w:hint="eastAsia" w:ascii="楷体_GB2312" w:hAnsi="楷体_GB2312" w:eastAsia="楷体_GB2312" w:cs="楷体_GB2312"/>
              <w:szCs w:val="32"/>
            </w:rPr>
            <w:t xml:space="preserve">（一） </w:t>
          </w:r>
          <w:r>
            <w:rPr>
              <w:rFonts w:hint="eastAsia" w:ascii="楷体_GB2312" w:hAnsi="楷体_GB2312" w:eastAsia="楷体_GB2312" w:cs="楷体_GB2312"/>
            </w:rPr>
            <w:t>总体要求</w:t>
          </w:r>
          <w:r>
            <w:tab/>
          </w:r>
          <w:r>
            <w:fldChar w:fldCharType="begin"/>
          </w:r>
          <w:r>
            <w:instrText xml:space="preserve"> PAGEREF _Toc28685 \h </w:instrText>
          </w:r>
          <w:r>
            <w:fldChar w:fldCharType="separate"/>
          </w:r>
          <w:r>
            <w:t>2</w:t>
          </w:r>
          <w:r>
            <w:fldChar w:fldCharType="end"/>
          </w:r>
          <w:r>
            <w:rPr>
              <w:rFonts w:hint="eastAsia" w:ascii="仿宋_GB2312" w:hAnsi="仿宋_GB2312" w:eastAsia="仿宋_GB2312" w:cs="仿宋_GB2312"/>
            </w:rPr>
            <w:fldChar w:fldCharType="end"/>
          </w:r>
        </w:p>
        <w:p w14:paraId="61DE7634">
          <w:pPr>
            <w:pStyle w:val="19"/>
            <w:tabs>
              <w:tab w:val="right" w:leader="dot" w:pos="8312"/>
              <w:tab w:val="clear" w:pos="830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_Toc19346 </w:instrText>
          </w:r>
          <w:r>
            <w:rPr>
              <w:rFonts w:hint="eastAsia" w:ascii="仿宋_GB2312" w:hAnsi="仿宋_GB2312" w:eastAsia="仿宋_GB2312" w:cs="仿宋_GB2312"/>
            </w:rPr>
            <w:fldChar w:fldCharType="separate"/>
          </w:r>
          <w:r>
            <w:rPr>
              <w:rFonts w:hint="default" w:ascii="仿宋_GB2312" w:hAnsi="仿宋_GB2312" w:eastAsia="仿宋_GB2312" w:cs="仿宋_GB2312"/>
              <w:szCs w:val="32"/>
            </w:rPr>
            <w:t xml:space="preserve">1. </w:t>
          </w:r>
          <w:r>
            <w:rPr>
              <w:rFonts w:hint="eastAsia" w:eastAsia="仿宋_GB2312"/>
              <w:szCs w:val="32"/>
            </w:rPr>
            <w:t>技术要求</w:t>
          </w:r>
          <w:r>
            <w:tab/>
          </w:r>
          <w:r>
            <w:fldChar w:fldCharType="begin"/>
          </w:r>
          <w:r>
            <w:instrText xml:space="preserve"> PAGEREF _Toc19346 \h </w:instrText>
          </w:r>
          <w:r>
            <w:fldChar w:fldCharType="separate"/>
          </w:r>
          <w:r>
            <w:t>2</w:t>
          </w:r>
          <w:r>
            <w:fldChar w:fldCharType="end"/>
          </w:r>
          <w:r>
            <w:rPr>
              <w:rFonts w:hint="eastAsia" w:ascii="仿宋_GB2312" w:hAnsi="仿宋_GB2312" w:eastAsia="仿宋_GB2312" w:cs="仿宋_GB2312"/>
            </w:rPr>
            <w:fldChar w:fldCharType="end"/>
          </w:r>
        </w:p>
        <w:p w14:paraId="3E3C4669">
          <w:pPr>
            <w:pStyle w:val="19"/>
            <w:tabs>
              <w:tab w:val="right" w:leader="dot" w:pos="8312"/>
              <w:tab w:val="clear" w:pos="830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_Toc3928 </w:instrText>
          </w:r>
          <w:r>
            <w:rPr>
              <w:rFonts w:hint="eastAsia" w:ascii="仿宋_GB2312" w:hAnsi="仿宋_GB2312" w:eastAsia="仿宋_GB2312" w:cs="仿宋_GB2312"/>
            </w:rPr>
            <w:fldChar w:fldCharType="separate"/>
          </w:r>
          <w:r>
            <w:rPr>
              <w:rFonts w:hint="default" w:ascii="仿宋_GB2312" w:hAnsi="仿宋_GB2312" w:eastAsia="仿宋_GB2312" w:cs="仿宋_GB2312"/>
              <w:szCs w:val="32"/>
            </w:rPr>
            <w:t xml:space="preserve">2. </w:t>
          </w:r>
          <w:r>
            <w:rPr>
              <w:rFonts w:hint="eastAsia" w:eastAsia="仿宋_GB2312"/>
            </w:rPr>
            <w:t>性能需求</w:t>
          </w:r>
          <w:r>
            <w:tab/>
          </w:r>
          <w:r>
            <w:fldChar w:fldCharType="begin"/>
          </w:r>
          <w:r>
            <w:instrText xml:space="preserve"> PAGEREF _Toc3928 \h </w:instrText>
          </w:r>
          <w:r>
            <w:fldChar w:fldCharType="separate"/>
          </w:r>
          <w:r>
            <w:t>2</w:t>
          </w:r>
          <w:r>
            <w:fldChar w:fldCharType="end"/>
          </w:r>
          <w:r>
            <w:rPr>
              <w:rFonts w:hint="eastAsia" w:ascii="仿宋_GB2312" w:hAnsi="仿宋_GB2312" w:eastAsia="仿宋_GB2312" w:cs="仿宋_GB2312"/>
            </w:rPr>
            <w:fldChar w:fldCharType="end"/>
          </w:r>
        </w:p>
        <w:p w14:paraId="6A3E4277">
          <w:pPr>
            <w:pStyle w:val="30"/>
            <w:tabs>
              <w:tab w:val="right" w:leader="dot" w:pos="8312"/>
              <w:tab w:val="clear" w:pos="830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_Toc21108 </w:instrText>
          </w:r>
          <w:r>
            <w:rPr>
              <w:rFonts w:hint="eastAsia" w:ascii="仿宋_GB2312" w:hAnsi="仿宋_GB2312" w:eastAsia="仿宋_GB2312" w:cs="仿宋_GB2312"/>
            </w:rPr>
            <w:fldChar w:fldCharType="separate"/>
          </w:r>
          <w:r>
            <w:rPr>
              <w:rFonts w:hint="eastAsia" w:ascii="楷体_GB2312" w:hAnsi="楷体_GB2312" w:eastAsia="楷体_GB2312" w:cs="楷体_GB2312"/>
              <w:szCs w:val="32"/>
            </w:rPr>
            <w:t xml:space="preserve">（二） </w:t>
          </w:r>
          <w:r>
            <w:rPr>
              <w:rFonts w:hint="eastAsia" w:ascii="楷体_GB2312" w:hAnsi="楷体_GB2312" w:eastAsia="楷体_GB2312" w:cs="楷体_GB2312"/>
            </w:rPr>
            <w:t>项目建设内容要求</w:t>
          </w:r>
          <w:r>
            <w:tab/>
          </w:r>
          <w:r>
            <w:fldChar w:fldCharType="begin"/>
          </w:r>
          <w:r>
            <w:instrText xml:space="preserve"> PAGEREF _Toc21108 \h </w:instrText>
          </w:r>
          <w:r>
            <w:fldChar w:fldCharType="separate"/>
          </w:r>
          <w:r>
            <w:t>2</w:t>
          </w:r>
          <w:r>
            <w:fldChar w:fldCharType="end"/>
          </w:r>
          <w:r>
            <w:rPr>
              <w:rFonts w:hint="eastAsia" w:ascii="仿宋_GB2312" w:hAnsi="仿宋_GB2312" w:eastAsia="仿宋_GB2312" w:cs="仿宋_GB2312"/>
            </w:rPr>
            <w:fldChar w:fldCharType="end"/>
          </w:r>
        </w:p>
        <w:p w14:paraId="678492B7">
          <w:pPr>
            <w:pStyle w:val="30"/>
            <w:tabs>
              <w:tab w:val="right" w:leader="dot" w:pos="8312"/>
              <w:tab w:val="clear" w:pos="830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_Toc27012 </w:instrText>
          </w:r>
          <w:r>
            <w:rPr>
              <w:rFonts w:hint="eastAsia" w:ascii="仿宋_GB2312" w:hAnsi="仿宋_GB2312" w:eastAsia="仿宋_GB2312" w:cs="仿宋_GB2312"/>
            </w:rPr>
            <w:fldChar w:fldCharType="separate"/>
          </w:r>
          <w:r>
            <w:rPr>
              <w:rFonts w:hint="eastAsia" w:ascii="楷体_GB2312" w:hAnsi="楷体_GB2312" w:eastAsia="楷体_GB2312" w:cs="楷体_GB2312"/>
              <w:szCs w:val="32"/>
            </w:rPr>
            <w:t xml:space="preserve">（三） </w:t>
          </w:r>
          <w:r>
            <w:rPr>
              <w:rFonts w:hint="eastAsia" w:ascii="楷体_GB2312" w:hAnsi="楷体_GB2312" w:eastAsia="楷体_GB2312" w:cs="楷体_GB2312"/>
            </w:rPr>
            <w:t>商业密码应用需求</w:t>
          </w:r>
          <w:r>
            <w:tab/>
          </w:r>
          <w:r>
            <w:fldChar w:fldCharType="begin"/>
          </w:r>
          <w:r>
            <w:instrText xml:space="preserve"> PAGEREF _Toc27012 \h </w:instrText>
          </w:r>
          <w:r>
            <w:fldChar w:fldCharType="separate"/>
          </w:r>
          <w:r>
            <w:t>21</w:t>
          </w:r>
          <w:r>
            <w:fldChar w:fldCharType="end"/>
          </w:r>
          <w:r>
            <w:rPr>
              <w:rFonts w:hint="eastAsia" w:ascii="仿宋_GB2312" w:hAnsi="仿宋_GB2312" w:eastAsia="仿宋_GB2312" w:cs="仿宋_GB2312"/>
            </w:rPr>
            <w:fldChar w:fldCharType="end"/>
          </w:r>
        </w:p>
        <w:p w14:paraId="2ECDC86E">
          <w:pPr>
            <w:pStyle w:val="30"/>
            <w:tabs>
              <w:tab w:val="right" w:leader="dot" w:pos="8312"/>
              <w:tab w:val="clear" w:pos="830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_Toc8220 </w:instrText>
          </w:r>
          <w:r>
            <w:rPr>
              <w:rFonts w:hint="eastAsia" w:ascii="仿宋_GB2312" w:hAnsi="仿宋_GB2312" w:eastAsia="仿宋_GB2312" w:cs="仿宋_GB2312"/>
            </w:rPr>
            <w:fldChar w:fldCharType="separate"/>
          </w:r>
          <w:r>
            <w:rPr>
              <w:rFonts w:hint="eastAsia" w:ascii="楷体_GB2312" w:hAnsi="楷体_GB2312" w:eastAsia="楷体_GB2312" w:cs="楷体_GB2312"/>
              <w:szCs w:val="32"/>
            </w:rPr>
            <w:t xml:space="preserve">（四） </w:t>
          </w:r>
          <w:r>
            <w:rPr>
              <w:rFonts w:hint="eastAsia" w:ascii="楷体_GB2312" w:hAnsi="楷体_GB2312" w:eastAsia="楷体_GB2312" w:cs="楷体_GB2312"/>
            </w:rPr>
            <w:t>项目部署要求</w:t>
          </w:r>
          <w:r>
            <w:tab/>
          </w:r>
          <w:r>
            <w:fldChar w:fldCharType="begin"/>
          </w:r>
          <w:r>
            <w:instrText xml:space="preserve"> PAGEREF _Toc8220 \h </w:instrText>
          </w:r>
          <w:r>
            <w:fldChar w:fldCharType="separate"/>
          </w:r>
          <w:r>
            <w:t>21</w:t>
          </w:r>
          <w:r>
            <w:fldChar w:fldCharType="end"/>
          </w:r>
          <w:r>
            <w:rPr>
              <w:rFonts w:hint="eastAsia" w:ascii="仿宋_GB2312" w:hAnsi="仿宋_GB2312" w:eastAsia="仿宋_GB2312" w:cs="仿宋_GB2312"/>
            </w:rPr>
            <w:fldChar w:fldCharType="end"/>
          </w:r>
        </w:p>
        <w:p w14:paraId="784071F8">
          <w:pPr>
            <w:pStyle w:val="26"/>
            <w:tabs>
              <w:tab w:val="right" w:leader="dot" w:pos="831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_Toc29228 </w:instrText>
          </w:r>
          <w:r>
            <w:rPr>
              <w:rFonts w:hint="eastAsia" w:ascii="仿宋_GB2312" w:hAnsi="仿宋_GB2312" w:eastAsia="仿宋_GB2312" w:cs="仿宋_GB2312"/>
            </w:rPr>
            <w:fldChar w:fldCharType="separate"/>
          </w:r>
          <w:r>
            <w:rPr>
              <w:rFonts w:hint="eastAsia" w:ascii="黑体" w:hAnsi="黑体" w:eastAsia="黑体" w:cs="黑体"/>
              <w:szCs w:val="32"/>
            </w:rPr>
            <w:t xml:space="preserve">三、 </w:t>
          </w:r>
          <w:r>
            <w:rPr>
              <w:rFonts w:hint="eastAsia"/>
            </w:rPr>
            <w:t>项目实施、培训、售后服务等要求</w:t>
          </w:r>
          <w:r>
            <w:tab/>
          </w:r>
          <w:r>
            <w:fldChar w:fldCharType="begin"/>
          </w:r>
          <w:r>
            <w:instrText xml:space="preserve"> PAGEREF _Toc29228 \h </w:instrText>
          </w:r>
          <w:r>
            <w:fldChar w:fldCharType="separate"/>
          </w:r>
          <w:r>
            <w:t>22</w:t>
          </w:r>
          <w:r>
            <w:fldChar w:fldCharType="end"/>
          </w:r>
          <w:r>
            <w:rPr>
              <w:rFonts w:hint="eastAsia" w:ascii="仿宋_GB2312" w:hAnsi="仿宋_GB2312" w:eastAsia="仿宋_GB2312" w:cs="仿宋_GB2312"/>
            </w:rPr>
            <w:fldChar w:fldCharType="end"/>
          </w:r>
        </w:p>
        <w:p w14:paraId="3CAEB785">
          <w:pPr>
            <w:pStyle w:val="30"/>
            <w:tabs>
              <w:tab w:val="right" w:leader="dot" w:pos="8312"/>
              <w:tab w:val="clear" w:pos="830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_Toc7912 </w:instrText>
          </w:r>
          <w:r>
            <w:rPr>
              <w:rFonts w:hint="eastAsia" w:ascii="仿宋_GB2312" w:hAnsi="仿宋_GB2312" w:eastAsia="仿宋_GB2312" w:cs="仿宋_GB2312"/>
            </w:rPr>
            <w:fldChar w:fldCharType="separate"/>
          </w:r>
          <w:r>
            <w:rPr>
              <w:rFonts w:hint="eastAsia" w:ascii="楷体_GB2312" w:hAnsi="楷体_GB2312" w:eastAsia="楷体_GB2312" w:cs="楷体_GB2312"/>
              <w:szCs w:val="32"/>
            </w:rPr>
            <w:t xml:space="preserve">（一） </w:t>
          </w:r>
          <w:r>
            <w:rPr>
              <w:rFonts w:hint="eastAsia" w:ascii="楷体_GB2312" w:hAnsi="楷体_GB2312" w:eastAsia="楷体_GB2312" w:cs="楷体_GB2312"/>
            </w:rPr>
            <w:t>项目实施要求</w:t>
          </w:r>
          <w:r>
            <w:tab/>
          </w:r>
          <w:r>
            <w:fldChar w:fldCharType="begin"/>
          </w:r>
          <w:r>
            <w:instrText xml:space="preserve"> PAGEREF _Toc7912 \h </w:instrText>
          </w:r>
          <w:r>
            <w:fldChar w:fldCharType="separate"/>
          </w:r>
          <w:r>
            <w:t>22</w:t>
          </w:r>
          <w:r>
            <w:fldChar w:fldCharType="end"/>
          </w:r>
          <w:r>
            <w:rPr>
              <w:rFonts w:hint="eastAsia" w:ascii="仿宋_GB2312" w:hAnsi="仿宋_GB2312" w:eastAsia="仿宋_GB2312" w:cs="仿宋_GB2312"/>
            </w:rPr>
            <w:fldChar w:fldCharType="end"/>
          </w:r>
        </w:p>
        <w:p w14:paraId="2D2F2AE7">
          <w:pPr>
            <w:pStyle w:val="30"/>
            <w:tabs>
              <w:tab w:val="right" w:leader="dot" w:pos="8312"/>
              <w:tab w:val="clear" w:pos="830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_Toc25244 </w:instrText>
          </w:r>
          <w:r>
            <w:rPr>
              <w:rFonts w:hint="eastAsia" w:ascii="仿宋_GB2312" w:hAnsi="仿宋_GB2312" w:eastAsia="仿宋_GB2312" w:cs="仿宋_GB2312"/>
            </w:rPr>
            <w:fldChar w:fldCharType="separate"/>
          </w:r>
          <w:r>
            <w:rPr>
              <w:rFonts w:hint="eastAsia" w:ascii="楷体_GB2312" w:hAnsi="楷体_GB2312" w:eastAsia="楷体_GB2312" w:cs="楷体_GB2312"/>
              <w:szCs w:val="32"/>
            </w:rPr>
            <w:t xml:space="preserve">（二） </w:t>
          </w:r>
          <w:r>
            <w:rPr>
              <w:rFonts w:hint="eastAsia" w:ascii="楷体_GB2312" w:hAnsi="楷体_GB2312" w:eastAsia="楷体_GB2312" w:cs="楷体_GB2312"/>
            </w:rPr>
            <w:t>项目工期要求</w:t>
          </w:r>
          <w:r>
            <w:tab/>
          </w:r>
          <w:r>
            <w:fldChar w:fldCharType="begin"/>
          </w:r>
          <w:r>
            <w:instrText xml:space="preserve"> PAGEREF _Toc25244 \h </w:instrText>
          </w:r>
          <w:r>
            <w:fldChar w:fldCharType="separate"/>
          </w:r>
          <w:r>
            <w:t>22</w:t>
          </w:r>
          <w:r>
            <w:fldChar w:fldCharType="end"/>
          </w:r>
          <w:r>
            <w:rPr>
              <w:rFonts w:hint="eastAsia" w:ascii="仿宋_GB2312" w:hAnsi="仿宋_GB2312" w:eastAsia="仿宋_GB2312" w:cs="仿宋_GB2312"/>
            </w:rPr>
            <w:fldChar w:fldCharType="end"/>
          </w:r>
        </w:p>
        <w:p w14:paraId="7B266FD5">
          <w:pPr>
            <w:pStyle w:val="30"/>
            <w:tabs>
              <w:tab w:val="right" w:leader="dot" w:pos="8312"/>
              <w:tab w:val="clear" w:pos="830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_Toc25014 </w:instrText>
          </w:r>
          <w:r>
            <w:rPr>
              <w:rFonts w:hint="eastAsia" w:ascii="仿宋_GB2312" w:hAnsi="仿宋_GB2312" w:eastAsia="仿宋_GB2312" w:cs="仿宋_GB2312"/>
            </w:rPr>
            <w:fldChar w:fldCharType="separate"/>
          </w:r>
          <w:r>
            <w:rPr>
              <w:rFonts w:hint="eastAsia" w:ascii="楷体_GB2312" w:hAnsi="楷体_GB2312" w:eastAsia="楷体_GB2312" w:cs="楷体_GB2312"/>
              <w:szCs w:val="32"/>
            </w:rPr>
            <w:t xml:space="preserve">（三） </w:t>
          </w:r>
          <w:r>
            <w:rPr>
              <w:rFonts w:hint="eastAsia" w:ascii="楷体_GB2312" w:hAnsi="楷体_GB2312" w:eastAsia="楷体_GB2312" w:cs="楷体_GB2312"/>
            </w:rPr>
            <w:t>项目团队及驻场人员要求</w:t>
          </w:r>
          <w:r>
            <w:tab/>
          </w:r>
          <w:r>
            <w:fldChar w:fldCharType="begin"/>
          </w:r>
          <w:r>
            <w:instrText xml:space="preserve"> PAGEREF _Toc25014 \h </w:instrText>
          </w:r>
          <w:r>
            <w:fldChar w:fldCharType="separate"/>
          </w:r>
          <w:r>
            <w:t>23</w:t>
          </w:r>
          <w:r>
            <w:fldChar w:fldCharType="end"/>
          </w:r>
          <w:r>
            <w:rPr>
              <w:rFonts w:hint="eastAsia" w:ascii="仿宋_GB2312" w:hAnsi="仿宋_GB2312" w:eastAsia="仿宋_GB2312" w:cs="仿宋_GB2312"/>
            </w:rPr>
            <w:fldChar w:fldCharType="end"/>
          </w:r>
        </w:p>
        <w:p w14:paraId="2263D962">
          <w:pPr>
            <w:pStyle w:val="30"/>
            <w:tabs>
              <w:tab w:val="right" w:leader="dot" w:pos="8312"/>
              <w:tab w:val="clear" w:pos="8302"/>
            </w:tabs>
          </w:pPr>
          <w:bookmarkStart w:id="56" w:name="_GoBack"/>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_Toc19964 </w:instrText>
          </w:r>
          <w:r>
            <w:rPr>
              <w:rFonts w:hint="eastAsia" w:ascii="仿宋_GB2312" w:hAnsi="仿宋_GB2312" w:eastAsia="仿宋_GB2312" w:cs="仿宋_GB2312"/>
            </w:rPr>
            <w:fldChar w:fldCharType="separate"/>
          </w:r>
          <w:r>
            <w:rPr>
              <w:rFonts w:hint="eastAsia" w:ascii="楷体_GB2312" w:hAnsi="楷体_GB2312" w:eastAsia="楷体_GB2312" w:cs="楷体_GB2312"/>
              <w:szCs w:val="32"/>
            </w:rPr>
            <w:t xml:space="preserve">（四） </w:t>
          </w:r>
          <w:r>
            <w:rPr>
              <w:rFonts w:hint="eastAsia" w:ascii="楷体_GB2312" w:hAnsi="楷体_GB2312" w:eastAsia="楷体_GB2312" w:cs="楷体_GB2312"/>
            </w:rPr>
            <w:t>项目培训要求</w:t>
          </w:r>
          <w:r>
            <w:tab/>
          </w:r>
          <w:r>
            <w:fldChar w:fldCharType="begin"/>
          </w:r>
          <w:r>
            <w:instrText xml:space="preserve"> PAGEREF _Toc19964 \h </w:instrText>
          </w:r>
          <w:r>
            <w:fldChar w:fldCharType="separate"/>
          </w:r>
          <w:r>
            <w:t>23</w:t>
          </w:r>
          <w:r>
            <w:fldChar w:fldCharType="end"/>
          </w:r>
          <w:r>
            <w:rPr>
              <w:rFonts w:hint="eastAsia" w:ascii="仿宋_GB2312" w:hAnsi="仿宋_GB2312" w:eastAsia="仿宋_GB2312" w:cs="仿宋_GB2312"/>
            </w:rPr>
            <w:fldChar w:fldCharType="end"/>
          </w:r>
        </w:p>
        <w:bookmarkEnd w:id="56"/>
        <w:p w14:paraId="74828436">
          <w:pPr>
            <w:pStyle w:val="30"/>
            <w:tabs>
              <w:tab w:val="right" w:leader="dot" w:pos="8312"/>
              <w:tab w:val="clear" w:pos="830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_Toc13280 </w:instrText>
          </w:r>
          <w:r>
            <w:rPr>
              <w:rFonts w:hint="eastAsia" w:ascii="仿宋_GB2312" w:hAnsi="仿宋_GB2312" w:eastAsia="仿宋_GB2312" w:cs="仿宋_GB2312"/>
            </w:rPr>
            <w:fldChar w:fldCharType="separate"/>
          </w:r>
          <w:r>
            <w:rPr>
              <w:rFonts w:hint="eastAsia" w:ascii="楷体_GB2312" w:hAnsi="楷体_GB2312" w:eastAsia="楷体_GB2312" w:cs="楷体_GB2312"/>
              <w:szCs w:val="32"/>
            </w:rPr>
            <w:t xml:space="preserve">（五） </w:t>
          </w:r>
          <w:r>
            <w:rPr>
              <w:rFonts w:hint="eastAsia" w:ascii="楷体_GB2312" w:hAnsi="楷体_GB2312" w:eastAsia="楷体_GB2312" w:cs="楷体_GB2312"/>
            </w:rPr>
            <w:t>项目验收要求</w:t>
          </w:r>
          <w:r>
            <w:tab/>
          </w:r>
          <w:r>
            <w:fldChar w:fldCharType="begin"/>
          </w:r>
          <w:r>
            <w:instrText xml:space="preserve"> PAGEREF _Toc13280 \h </w:instrText>
          </w:r>
          <w:r>
            <w:fldChar w:fldCharType="separate"/>
          </w:r>
          <w:r>
            <w:t>24</w:t>
          </w:r>
          <w:r>
            <w:fldChar w:fldCharType="end"/>
          </w:r>
          <w:r>
            <w:rPr>
              <w:rFonts w:hint="eastAsia" w:ascii="仿宋_GB2312" w:hAnsi="仿宋_GB2312" w:eastAsia="仿宋_GB2312" w:cs="仿宋_GB2312"/>
            </w:rPr>
            <w:fldChar w:fldCharType="end"/>
          </w:r>
        </w:p>
        <w:p w14:paraId="0367C69D">
          <w:pPr>
            <w:pStyle w:val="30"/>
            <w:tabs>
              <w:tab w:val="right" w:leader="dot" w:pos="8312"/>
              <w:tab w:val="clear" w:pos="830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_Toc3006 </w:instrText>
          </w:r>
          <w:r>
            <w:rPr>
              <w:rFonts w:hint="eastAsia" w:ascii="仿宋_GB2312" w:hAnsi="仿宋_GB2312" w:eastAsia="仿宋_GB2312" w:cs="仿宋_GB2312"/>
            </w:rPr>
            <w:fldChar w:fldCharType="separate"/>
          </w:r>
          <w:r>
            <w:rPr>
              <w:rFonts w:hint="eastAsia" w:ascii="楷体_GB2312" w:hAnsi="楷体_GB2312" w:eastAsia="楷体_GB2312" w:cs="楷体_GB2312"/>
              <w:szCs w:val="32"/>
            </w:rPr>
            <w:t xml:space="preserve">（六） </w:t>
          </w:r>
          <w:r>
            <w:rPr>
              <w:rFonts w:hint="eastAsia" w:ascii="楷体_GB2312" w:hAnsi="楷体_GB2312" w:eastAsia="楷体_GB2312" w:cs="楷体_GB2312"/>
            </w:rPr>
            <w:t>售后服务要求</w:t>
          </w:r>
          <w:r>
            <w:tab/>
          </w:r>
          <w:r>
            <w:fldChar w:fldCharType="begin"/>
          </w:r>
          <w:r>
            <w:instrText xml:space="preserve"> PAGEREF _Toc3006 \h </w:instrText>
          </w:r>
          <w:r>
            <w:fldChar w:fldCharType="separate"/>
          </w:r>
          <w:r>
            <w:t>25</w:t>
          </w:r>
          <w:r>
            <w:fldChar w:fldCharType="end"/>
          </w:r>
          <w:r>
            <w:rPr>
              <w:rFonts w:hint="eastAsia" w:ascii="仿宋_GB2312" w:hAnsi="仿宋_GB2312" w:eastAsia="仿宋_GB2312" w:cs="仿宋_GB2312"/>
            </w:rPr>
            <w:fldChar w:fldCharType="end"/>
          </w:r>
        </w:p>
        <w:p w14:paraId="3F00D2B0">
          <w:pPr>
            <w:pStyle w:val="30"/>
            <w:tabs>
              <w:tab w:val="right" w:leader="dot" w:pos="8312"/>
              <w:tab w:val="clear" w:pos="830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_Toc2672 </w:instrText>
          </w:r>
          <w:r>
            <w:rPr>
              <w:rFonts w:hint="eastAsia" w:ascii="仿宋_GB2312" w:hAnsi="仿宋_GB2312" w:eastAsia="仿宋_GB2312" w:cs="仿宋_GB2312"/>
            </w:rPr>
            <w:fldChar w:fldCharType="separate"/>
          </w:r>
          <w:r>
            <w:rPr>
              <w:rFonts w:hint="eastAsia" w:ascii="楷体_GB2312" w:hAnsi="楷体_GB2312" w:eastAsia="楷体_GB2312" w:cs="楷体_GB2312"/>
              <w:szCs w:val="32"/>
            </w:rPr>
            <w:t xml:space="preserve">（七） </w:t>
          </w:r>
          <w:r>
            <w:rPr>
              <w:rFonts w:hint="eastAsia" w:ascii="楷体_GB2312" w:hAnsi="楷体_GB2312" w:eastAsia="楷体_GB2312" w:cs="楷体_GB2312"/>
            </w:rPr>
            <w:t>应急响应要求</w:t>
          </w:r>
          <w:r>
            <w:tab/>
          </w:r>
          <w:r>
            <w:fldChar w:fldCharType="begin"/>
          </w:r>
          <w:r>
            <w:instrText xml:space="preserve"> PAGEREF _Toc2672 \h </w:instrText>
          </w:r>
          <w:r>
            <w:fldChar w:fldCharType="separate"/>
          </w:r>
          <w:r>
            <w:t>26</w:t>
          </w:r>
          <w:r>
            <w:fldChar w:fldCharType="end"/>
          </w:r>
          <w:r>
            <w:rPr>
              <w:rFonts w:hint="eastAsia" w:ascii="仿宋_GB2312" w:hAnsi="仿宋_GB2312" w:eastAsia="仿宋_GB2312" w:cs="仿宋_GB2312"/>
            </w:rPr>
            <w:fldChar w:fldCharType="end"/>
          </w:r>
        </w:p>
        <w:p w14:paraId="5E6F35F4">
          <w:pPr>
            <w:pStyle w:val="30"/>
            <w:tabs>
              <w:tab w:val="right" w:leader="dot" w:pos="8312"/>
              <w:tab w:val="clear" w:pos="830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_Toc21159 </w:instrText>
          </w:r>
          <w:r>
            <w:rPr>
              <w:rFonts w:hint="eastAsia" w:ascii="仿宋_GB2312" w:hAnsi="仿宋_GB2312" w:eastAsia="仿宋_GB2312" w:cs="仿宋_GB2312"/>
            </w:rPr>
            <w:fldChar w:fldCharType="separate"/>
          </w:r>
          <w:r>
            <w:rPr>
              <w:rFonts w:hint="eastAsia" w:ascii="楷体_GB2312" w:hAnsi="楷体_GB2312" w:eastAsia="楷体_GB2312" w:cs="楷体_GB2312"/>
              <w:szCs w:val="32"/>
            </w:rPr>
            <w:t xml:space="preserve">（八） </w:t>
          </w:r>
          <w:r>
            <w:rPr>
              <w:rFonts w:hint="eastAsia" w:ascii="楷体_GB2312" w:hAnsi="楷体_GB2312" w:eastAsia="楷体_GB2312" w:cs="楷体_GB2312"/>
            </w:rPr>
            <w:t>供应商资质要求</w:t>
          </w:r>
          <w:r>
            <w:tab/>
          </w:r>
          <w:r>
            <w:fldChar w:fldCharType="begin"/>
          </w:r>
          <w:r>
            <w:instrText xml:space="preserve"> PAGEREF _Toc21159 \h </w:instrText>
          </w:r>
          <w:r>
            <w:fldChar w:fldCharType="separate"/>
          </w:r>
          <w:r>
            <w:t>26</w:t>
          </w:r>
          <w:r>
            <w:fldChar w:fldCharType="end"/>
          </w:r>
          <w:r>
            <w:rPr>
              <w:rFonts w:hint="eastAsia" w:ascii="仿宋_GB2312" w:hAnsi="仿宋_GB2312" w:eastAsia="仿宋_GB2312" w:cs="仿宋_GB2312"/>
            </w:rPr>
            <w:fldChar w:fldCharType="end"/>
          </w:r>
        </w:p>
        <w:p w14:paraId="5BE1F5E1">
          <w:pPr>
            <w:pStyle w:val="30"/>
            <w:tabs>
              <w:tab w:val="right" w:leader="dot" w:pos="8312"/>
              <w:tab w:val="clear" w:pos="830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_Toc26510 </w:instrText>
          </w:r>
          <w:r>
            <w:rPr>
              <w:rFonts w:hint="eastAsia" w:ascii="仿宋_GB2312" w:hAnsi="仿宋_GB2312" w:eastAsia="仿宋_GB2312" w:cs="仿宋_GB2312"/>
            </w:rPr>
            <w:fldChar w:fldCharType="separate"/>
          </w:r>
          <w:r>
            <w:rPr>
              <w:rFonts w:hint="eastAsia" w:ascii="楷体_GB2312" w:hAnsi="楷体_GB2312" w:eastAsia="楷体_GB2312" w:cs="楷体_GB2312"/>
              <w:szCs w:val="32"/>
            </w:rPr>
            <w:t xml:space="preserve">（九） </w:t>
          </w:r>
          <w:r>
            <w:rPr>
              <w:rFonts w:hint="eastAsia" w:ascii="楷体_GB2312" w:hAnsi="楷体_GB2312" w:eastAsia="楷体_GB2312" w:cs="楷体_GB2312"/>
            </w:rPr>
            <w:t>等级保护</w:t>
          </w:r>
          <w:r>
            <w:rPr>
              <w:rFonts w:hint="eastAsia" w:ascii="楷体_GB2312" w:hAnsi="楷体_GB2312" w:eastAsia="楷体_GB2312" w:cs="楷体_GB2312"/>
              <w:lang w:val="en-US" w:eastAsia="zh-CN"/>
            </w:rPr>
            <w:t>和密码测评</w:t>
          </w:r>
          <w:r>
            <w:rPr>
              <w:rFonts w:hint="eastAsia" w:ascii="楷体_GB2312" w:hAnsi="楷体_GB2312" w:eastAsia="楷体_GB2312" w:cs="楷体_GB2312"/>
            </w:rPr>
            <w:t>要求</w:t>
          </w:r>
          <w:r>
            <w:tab/>
          </w:r>
          <w:r>
            <w:fldChar w:fldCharType="begin"/>
          </w:r>
          <w:r>
            <w:instrText xml:space="preserve"> PAGEREF _Toc26510 \h </w:instrText>
          </w:r>
          <w:r>
            <w:fldChar w:fldCharType="separate"/>
          </w:r>
          <w:r>
            <w:t>27</w:t>
          </w:r>
          <w:r>
            <w:fldChar w:fldCharType="end"/>
          </w:r>
          <w:r>
            <w:rPr>
              <w:rFonts w:hint="eastAsia" w:ascii="仿宋_GB2312" w:hAnsi="仿宋_GB2312" w:eastAsia="仿宋_GB2312" w:cs="仿宋_GB2312"/>
            </w:rPr>
            <w:fldChar w:fldCharType="end"/>
          </w:r>
        </w:p>
        <w:p w14:paraId="412CE8E4">
          <w:pPr>
            <w:pStyle w:val="30"/>
            <w:tabs>
              <w:tab w:val="right" w:leader="dot" w:pos="8312"/>
              <w:tab w:val="clear" w:pos="830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_Toc28901 </w:instrText>
          </w:r>
          <w:r>
            <w:rPr>
              <w:rFonts w:hint="eastAsia" w:ascii="仿宋_GB2312" w:hAnsi="仿宋_GB2312" w:eastAsia="仿宋_GB2312" w:cs="仿宋_GB2312"/>
            </w:rPr>
            <w:fldChar w:fldCharType="separate"/>
          </w:r>
          <w:r>
            <w:rPr>
              <w:rFonts w:hint="eastAsia" w:ascii="楷体_GB2312" w:hAnsi="楷体_GB2312" w:eastAsia="楷体_GB2312" w:cs="楷体_GB2312"/>
              <w:szCs w:val="32"/>
            </w:rPr>
            <w:t xml:space="preserve">（十） </w:t>
          </w:r>
          <w:r>
            <w:rPr>
              <w:rFonts w:hint="eastAsia" w:ascii="楷体_GB2312" w:hAnsi="楷体_GB2312" w:eastAsia="楷体_GB2312" w:cs="楷体_GB2312"/>
            </w:rPr>
            <w:t>技术文件要求</w:t>
          </w:r>
          <w:r>
            <w:tab/>
          </w:r>
          <w:r>
            <w:fldChar w:fldCharType="begin"/>
          </w:r>
          <w:r>
            <w:instrText xml:space="preserve"> PAGEREF _Toc28901 \h </w:instrText>
          </w:r>
          <w:r>
            <w:fldChar w:fldCharType="separate"/>
          </w:r>
          <w:r>
            <w:t>27</w:t>
          </w:r>
          <w:r>
            <w:fldChar w:fldCharType="end"/>
          </w:r>
          <w:r>
            <w:rPr>
              <w:rFonts w:hint="eastAsia" w:ascii="仿宋_GB2312" w:hAnsi="仿宋_GB2312" w:eastAsia="仿宋_GB2312" w:cs="仿宋_GB2312"/>
            </w:rPr>
            <w:fldChar w:fldCharType="end"/>
          </w:r>
        </w:p>
        <w:p w14:paraId="006B2219">
          <w:pPr>
            <w:pStyle w:val="30"/>
            <w:tabs>
              <w:tab w:val="right" w:leader="dot" w:pos="8312"/>
              <w:tab w:val="clear" w:pos="830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_Toc2736 </w:instrText>
          </w:r>
          <w:r>
            <w:rPr>
              <w:rFonts w:hint="eastAsia" w:ascii="仿宋_GB2312" w:hAnsi="仿宋_GB2312" w:eastAsia="仿宋_GB2312" w:cs="仿宋_GB2312"/>
            </w:rPr>
            <w:fldChar w:fldCharType="separate"/>
          </w:r>
          <w:r>
            <w:rPr>
              <w:rFonts w:hint="eastAsia" w:ascii="楷体_GB2312" w:hAnsi="楷体_GB2312" w:eastAsia="楷体_GB2312" w:cs="楷体_GB2312"/>
              <w:szCs w:val="32"/>
            </w:rPr>
            <w:t xml:space="preserve">（十一） </w:t>
          </w:r>
          <w:r>
            <w:rPr>
              <w:rFonts w:hint="eastAsia" w:ascii="楷体_GB2312" w:hAnsi="楷体_GB2312" w:eastAsia="楷体_GB2312" w:cs="楷体_GB2312"/>
            </w:rPr>
            <w:t>知识产权及保密要求</w:t>
          </w:r>
          <w:r>
            <w:tab/>
          </w:r>
          <w:r>
            <w:fldChar w:fldCharType="begin"/>
          </w:r>
          <w:r>
            <w:instrText xml:space="preserve"> PAGEREF _Toc2736 \h </w:instrText>
          </w:r>
          <w:r>
            <w:fldChar w:fldCharType="separate"/>
          </w:r>
          <w:r>
            <w:t>28</w:t>
          </w:r>
          <w:r>
            <w:fldChar w:fldCharType="end"/>
          </w:r>
          <w:r>
            <w:rPr>
              <w:rFonts w:hint="eastAsia" w:ascii="仿宋_GB2312" w:hAnsi="仿宋_GB2312" w:eastAsia="仿宋_GB2312" w:cs="仿宋_GB2312"/>
            </w:rPr>
            <w:fldChar w:fldCharType="end"/>
          </w:r>
        </w:p>
        <w:p w14:paraId="3B200D37">
          <w:pPr>
            <w:ind w:firstLine="0" w:firstLineChars="0"/>
            <w:rPr>
              <w:rFonts w:hint="eastAsia"/>
            </w:rPr>
            <w:sectPr>
              <w:footerReference r:id="rId12" w:type="first"/>
              <w:footerReference r:id="rId11" w:type="default"/>
              <w:pgSz w:w="11906" w:h="16838"/>
              <w:pgMar w:top="1134" w:right="1797" w:bottom="1135" w:left="1797" w:header="340" w:footer="7" w:gutter="0"/>
              <w:pgNumType w:start="1"/>
              <w:cols w:space="720" w:num="1"/>
              <w:titlePg/>
              <w:docGrid w:type="linesAndChars" w:linePitch="326" w:charSpace="0"/>
            </w:sectPr>
          </w:pPr>
          <w:r>
            <w:rPr>
              <w:rFonts w:hint="eastAsia" w:ascii="仿宋_GB2312" w:hAnsi="仿宋_GB2312" w:eastAsia="仿宋_GB2312" w:cs="仿宋_GB2312"/>
            </w:rPr>
            <w:fldChar w:fldCharType="end"/>
          </w:r>
        </w:p>
      </w:sdtContent>
    </w:sdt>
    <w:p w14:paraId="57A7BA44">
      <w:pPr>
        <w:pStyle w:val="2"/>
        <w:spacing w:before="0" w:after="0"/>
        <w:ind w:left="0" w:firstLine="640" w:firstLineChars="200"/>
        <w:rPr>
          <w:rFonts w:hint="eastAsia"/>
        </w:rPr>
      </w:pPr>
      <w:bookmarkStart w:id="1" w:name="_Toc8485"/>
      <w:r>
        <w:rPr>
          <w:rFonts w:hint="eastAsia"/>
        </w:rPr>
        <w:t>项目概况</w:t>
      </w:r>
      <w:bookmarkEnd w:id="0"/>
      <w:bookmarkEnd w:id="1"/>
    </w:p>
    <w:p w14:paraId="58A1A0E3">
      <w:pPr>
        <w:pStyle w:val="3"/>
        <w:numPr>
          <w:ilvl w:val="0"/>
          <w:numId w:val="3"/>
        </w:numPr>
        <w:spacing w:before="0" w:after="0"/>
        <w:ind w:firstLine="640" w:firstLineChars="200"/>
        <w:rPr>
          <w:rFonts w:hint="eastAsia" w:ascii="楷体_GB2312" w:hAnsi="楷体_GB2312" w:eastAsia="楷体_GB2312" w:cs="楷体_GB2312"/>
          <w:sz w:val="32"/>
        </w:rPr>
      </w:pPr>
      <w:bookmarkStart w:id="2" w:name="_Toc184485784"/>
      <w:bookmarkStart w:id="3" w:name="_Toc4345"/>
      <w:r>
        <w:rPr>
          <w:rFonts w:hint="eastAsia" w:ascii="楷体_GB2312" w:hAnsi="楷体_GB2312" w:eastAsia="楷体_GB2312" w:cs="楷体_GB2312"/>
          <w:sz w:val="32"/>
        </w:rPr>
        <w:t>项目背景</w:t>
      </w:r>
      <w:bookmarkEnd w:id="2"/>
      <w:bookmarkEnd w:id="3"/>
    </w:p>
    <w:p w14:paraId="4BA60AAB">
      <w:pPr>
        <w:ind w:firstLine="560"/>
        <w:rPr>
          <w:rFonts w:hint="eastAsia" w:eastAsia="仿宋_GB2312"/>
          <w:sz w:val="32"/>
        </w:rPr>
      </w:pPr>
      <w:r>
        <w:rPr>
          <w:rFonts w:ascii="Times New Roman Regular" w:hAnsi="Times New Roman Regular" w:eastAsia="仿宋_GB2312" w:cs="Times New Roman Regular"/>
          <w:sz w:val="28"/>
          <w:szCs w:val="22"/>
        </w:rPr>
        <w:t>根据《国务院办公厅关于印发“十四五”全民医疗保障规划的通知》（国办发〔2021〕36号）、财政部及国家医保局《关于编报2023年社会保险基金预算的通知》（财社〔2022〕117号）、《关于印发上海市DRGDIP支付方式改革三年行动计划实施方案的通知》（沪医保医管发〔2022〕14号）、《国家医疗保障局办公室关于进一步做好定点零售药店纳入门诊统筹管理的通知》（医保办发〔2023〕4号）、《关于2022至2024年本市职工基本医疗保险基金等预算中期财政规划的报告》（沪医保中心〔2023〕2号）以及《社会保障资金信息管理系统纳入预算管理一体化整合实施方案》（财办发〔2023〕91号）等相关文件要求，对现有医保基金财务系统进行升级改造。</w:t>
      </w:r>
    </w:p>
    <w:p w14:paraId="3BF412AB">
      <w:pPr>
        <w:pStyle w:val="3"/>
        <w:numPr>
          <w:ilvl w:val="0"/>
          <w:numId w:val="3"/>
        </w:numPr>
        <w:spacing w:before="0" w:after="0"/>
        <w:ind w:firstLine="0"/>
        <w:rPr>
          <w:rFonts w:hint="eastAsia" w:ascii="楷体_GB2312" w:hAnsi="楷体_GB2312" w:eastAsia="楷体_GB2312" w:cs="楷体_GB2312"/>
          <w:sz w:val="32"/>
        </w:rPr>
      </w:pPr>
      <w:bookmarkStart w:id="4" w:name="_Toc47536644"/>
      <w:bookmarkEnd w:id="4"/>
      <w:bookmarkStart w:id="5" w:name="_Toc47531634"/>
      <w:bookmarkEnd w:id="5"/>
      <w:bookmarkStart w:id="6" w:name="_Toc47539070"/>
      <w:bookmarkEnd w:id="6"/>
      <w:bookmarkStart w:id="7" w:name="_Toc47536272"/>
      <w:bookmarkEnd w:id="7"/>
      <w:bookmarkStart w:id="8" w:name="_Toc47532891"/>
      <w:bookmarkEnd w:id="8"/>
      <w:bookmarkStart w:id="9" w:name="_Toc47533256"/>
      <w:bookmarkEnd w:id="9"/>
      <w:bookmarkStart w:id="10" w:name="_Toc47537134"/>
      <w:bookmarkEnd w:id="10"/>
      <w:bookmarkStart w:id="11" w:name="_Toc47532255"/>
      <w:bookmarkEnd w:id="11"/>
      <w:bookmarkStart w:id="12" w:name="_Toc63785463"/>
      <w:bookmarkStart w:id="13" w:name="_Toc48223882"/>
      <w:bookmarkStart w:id="14" w:name="_Toc21967"/>
      <w:r>
        <w:rPr>
          <w:rFonts w:hint="eastAsia" w:ascii="楷体_GB2312" w:hAnsi="楷体_GB2312" w:eastAsia="楷体_GB2312" w:cs="楷体_GB2312"/>
          <w:sz w:val="32"/>
        </w:rPr>
        <w:t>建设目标</w:t>
      </w:r>
      <w:bookmarkEnd w:id="12"/>
      <w:bookmarkEnd w:id="13"/>
      <w:bookmarkEnd w:id="14"/>
    </w:p>
    <w:p w14:paraId="1D7D0E14">
      <w:pPr>
        <w:ind w:firstLine="560"/>
        <w:rPr>
          <w:rFonts w:hint="eastAsia" w:ascii="仿宋_GB2312" w:hAnsi="仿宋_GB2312" w:eastAsia="仿宋_GB2312" w:cs="仿宋_GB2312"/>
          <w:sz w:val="28"/>
          <w:szCs w:val="22"/>
        </w:rPr>
      </w:pPr>
      <w:r>
        <w:rPr>
          <w:rFonts w:ascii="Times New Roman Regular" w:hAnsi="Times New Roman Regular" w:eastAsia="仿宋_GB2312" w:cs="Times New Roman Regular"/>
          <w:sz w:val="28"/>
          <w:szCs w:val="22"/>
        </w:rPr>
        <w:t>本次升级改造要以医保基金“事前有目标、事中有监控、事后有评价、结果有应用”的框架原则，对内建立以医保基金收支项目为基础，以细化预算管理为目标，从经办层面对医保基金预算编制、执行、调整、决算、监督实施全程管理，完整支撑DRG/DIP、门诊统筹、大病保险等新基金财务管理需求，从管理层面构建起医保基金预算管理及考核从目标细化、运行监控、综合评价、结果应用等融为一体的业务管理闭环。对外建立与财政相衔接的全过程、全方位、全覆盖的医保基金协同管理系统，提高预算编制水平，规范基金收支管理，严肃基金预算执行、全面实施基金预算动态监督管理，大幅提升预算管理水平和政</w:t>
      </w:r>
      <w:r>
        <w:rPr>
          <w:rFonts w:hint="eastAsia" w:ascii="仿宋_GB2312" w:hAnsi="仿宋_GB2312" w:eastAsia="仿宋_GB2312" w:cs="仿宋_GB2312"/>
          <w:sz w:val="28"/>
          <w:szCs w:val="22"/>
        </w:rPr>
        <w:t>策实施效果。</w:t>
      </w:r>
      <w:bookmarkStart w:id="15" w:name="_Toc47536304"/>
      <w:bookmarkEnd w:id="15"/>
      <w:bookmarkStart w:id="16" w:name="_Toc47537166"/>
      <w:bookmarkEnd w:id="16"/>
      <w:bookmarkStart w:id="17" w:name="_Toc47536676"/>
      <w:bookmarkEnd w:id="17"/>
      <w:bookmarkStart w:id="18" w:name="_Toc47532923"/>
      <w:bookmarkEnd w:id="18"/>
      <w:bookmarkStart w:id="19" w:name="_Toc47533288"/>
      <w:bookmarkEnd w:id="19"/>
      <w:bookmarkStart w:id="20" w:name="_Toc47539102"/>
      <w:bookmarkEnd w:id="20"/>
    </w:p>
    <w:p w14:paraId="6191D494">
      <w:pPr>
        <w:pStyle w:val="2"/>
        <w:spacing w:before="0" w:after="0"/>
        <w:ind w:left="0" w:firstLine="640" w:firstLineChars="200"/>
        <w:rPr>
          <w:rFonts w:hint="eastAsia"/>
        </w:rPr>
      </w:pPr>
      <w:bookmarkStart w:id="21" w:name="_Toc22732"/>
      <w:r>
        <w:rPr>
          <w:rFonts w:hint="eastAsia"/>
        </w:rPr>
        <w:t>项目建设内容</w:t>
      </w:r>
      <w:bookmarkEnd w:id="21"/>
    </w:p>
    <w:p w14:paraId="32951E43">
      <w:pPr>
        <w:pStyle w:val="3"/>
        <w:numPr>
          <w:ilvl w:val="0"/>
          <w:numId w:val="4"/>
        </w:numPr>
        <w:spacing w:before="0" w:after="0"/>
        <w:ind w:firstLine="640" w:firstLineChars="200"/>
        <w:rPr>
          <w:rFonts w:hint="eastAsia" w:ascii="楷体_GB2312" w:hAnsi="楷体_GB2312" w:eastAsia="楷体_GB2312" w:cs="楷体_GB2312"/>
          <w:sz w:val="32"/>
        </w:rPr>
      </w:pPr>
      <w:bookmarkStart w:id="22" w:name="_Toc557751552"/>
      <w:bookmarkStart w:id="23" w:name="_Toc28685"/>
      <w:r>
        <w:rPr>
          <w:rFonts w:hint="eastAsia" w:ascii="楷体_GB2312" w:hAnsi="楷体_GB2312" w:eastAsia="楷体_GB2312" w:cs="楷体_GB2312"/>
          <w:sz w:val="32"/>
        </w:rPr>
        <w:t>总体要求</w:t>
      </w:r>
      <w:bookmarkEnd w:id="22"/>
      <w:bookmarkEnd w:id="23"/>
    </w:p>
    <w:p w14:paraId="1DB6CAC8">
      <w:pPr>
        <w:pStyle w:val="4"/>
        <w:numPr>
          <w:ilvl w:val="0"/>
          <w:numId w:val="5"/>
        </w:numPr>
        <w:spacing w:before="0" w:after="0"/>
        <w:ind w:left="0" w:firstLine="643"/>
        <w:rPr>
          <w:rFonts w:hint="eastAsia" w:eastAsia="仿宋_GB2312"/>
          <w:sz w:val="32"/>
          <w:szCs w:val="32"/>
        </w:rPr>
      </w:pPr>
      <w:bookmarkStart w:id="24" w:name="_Toc19346"/>
      <w:r>
        <w:rPr>
          <w:rFonts w:hint="eastAsia" w:eastAsia="仿宋_GB2312"/>
          <w:sz w:val="32"/>
          <w:szCs w:val="32"/>
        </w:rPr>
        <w:t>技术要求</w:t>
      </w:r>
      <w:bookmarkEnd w:id="24"/>
    </w:p>
    <w:p w14:paraId="088E175A">
      <w:pPr>
        <w:numPr>
          <w:ilvl w:val="0"/>
          <w:numId w:val="6"/>
        </w:numPr>
        <w:ind w:left="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投标人提供的软件必须是企业级的解决方案，支持可分布的、可伸缩的体系结构。支持部署在国产主流的操作系统和硬件平台上，支持B/S 结构，支持云数据库、云存储、云缓存等云架构。</w:t>
      </w:r>
    </w:p>
    <w:p w14:paraId="4E22901E">
      <w:pPr>
        <w:numPr>
          <w:ilvl w:val="0"/>
          <w:numId w:val="6"/>
        </w:numPr>
        <w:ind w:left="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投标人提供的软件必须是模块化设计，并且保证任何软件模块的维护和更新都不影响其它软件模块，软件具有容错能力。</w:t>
      </w:r>
    </w:p>
    <w:p w14:paraId="1EFFA020">
      <w:pPr>
        <w:numPr>
          <w:ilvl w:val="0"/>
          <w:numId w:val="6"/>
        </w:numPr>
        <w:ind w:left="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投标人提供的软件应具有自身故障监视和诊断能力，即软件能及时发现故障并发出告警。 </w:t>
      </w:r>
    </w:p>
    <w:p w14:paraId="4FAE9B34">
      <w:pPr>
        <w:numPr>
          <w:ilvl w:val="0"/>
          <w:numId w:val="6"/>
        </w:numPr>
        <w:ind w:left="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投标人提供的软件在不同时期软件版本必须能向下兼容，软件版本易于升级，且在升级的过程中不影响业务的性能与运行。</w:t>
      </w:r>
    </w:p>
    <w:p w14:paraId="788500D7">
      <w:pPr>
        <w:numPr>
          <w:ilvl w:val="0"/>
          <w:numId w:val="6"/>
        </w:numPr>
        <w:ind w:left="0" w:firstLine="560"/>
        <w:rPr>
          <w:rFonts w:hint="eastAsia" w:ascii="仿宋_GB2312" w:hAnsi="仿宋_GB2312" w:eastAsia="仿宋_GB2312" w:cs="仿宋_GB2312"/>
          <w:sz w:val="28"/>
          <w:szCs w:val="28"/>
        </w:rPr>
      </w:pPr>
      <w:r>
        <w:rPr>
          <w:rFonts w:hint="eastAsia" w:eastAsia="仿宋_GB2312"/>
          <w:sz w:val="28"/>
          <w:szCs w:val="22"/>
        </w:rPr>
        <w:t>投标人</w:t>
      </w:r>
      <w:r>
        <w:rPr>
          <w:rFonts w:hint="eastAsia" w:ascii="仿宋_GB2312" w:hAnsi="仿宋_GB2312" w:eastAsia="仿宋_GB2312" w:cs="仿宋_GB2312"/>
          <w:sz w:val="28"/>
          <w:szCs w:val="28"/>
        </w:rPr>
        <w:t>提供的软件应</w:t>
      </w:r>
      <w:r>
        <w:rPr>
          <w:rFonts w:hint="eastAsia" w:eastAsia="仿宋_GB2312"/>
          <w:sz w:val="28"/>
          <w:szCs w:val="22"/>
        </w:rPr>
        <w:t>与现有基金财务系统实现无缝对接，保障数据的完整性和系统的稳定性。</w:t>
      </w:r>
    </w:p>
    <w:p w14:paraId="217E27FA">
      <w:pPr>
        <w:pStyle w:val="4"/>
        <w:numPr>
          <w:ilvl w:val="0"/>
          <w:numId w:val="5"/>
        </w:numPr>
        <w:spacing w:before="0" w:after="0"/>
        <w:ind w:left="0" w:firstLine="643"/>
        <w:rPr>
          <w:rFonts w:hint="eastAsia" w:eastAsia="仿宋_GB2312"/>
          <w:sz w:val="32"/>
        </w:rPr>
      </w:pPr>
      <w:bookmarkStart w:id="25" w:name="_Toc181958295"/>
      <w:bookmarkStart w:id="26" w:name="_Toc1538044776"/>
      <w:bookmarkStart w:id="27" w:name="_Toc1593791097"/>
      <w:bookmarkStart w:id="28" w:name="_Toc25616"/>
      <w:bookmarkStart w:id="29" w:name="_Toc3928"/>
      <w:r>
        <w:rPr>
          <w:rFonts w:hint="eastAsia" w:eastAsia="仿宋_GB2312"/>
          <w:sz w:val="32"/>
        </w:rPr>
        <w:t>性能需求</w:t>
      </w:r>
      <w:bookmarkEnd w:id="25"/>
      <w:bookmarkEnd w:id="26"/>
      <w:bookmarkEnd w:id="27"/>
      <w:bookmarkEnd w:id="28"/>
      <w:bookmarkEnd w:id="29"/>
    </w:p>
    <w:p w14:paraId="7FD05CA3">
      <w:pPr>
        <w:ind w:firstLine="560"/>
        <w:rPr>
          <w:rFonts w:hint="eastAsia" w:eastAsia="仿宋_GB2312"/>
          <w:sz w:val="28"/>
          <w:szCs w:val="22"/>
        </w:rPr>
      </w:pPr>
      <w:r>
        <w:rPr>
          <w:rFonts w:hint="eastAsia" w:eastAsia="仿宋_GB2312"/>
          <w:sz w:val="28"/>
          <w:szCs w:val="22"/>
        </w:rPr>
        <w:t>系统在开发测试</w:t>
      </w:r>
      <w:r>
        <w:rPr>
          <w:rFonts w:ascii="Times New Roman Regular" w:hAnsi="Times New Roman Regular" w:eastAsia="仿宋_GB2312" w:cs="Times New Roman Regular"/>
          <w:sz w:val="28"/>
          <w:szCs w:val="22"/>
        </w:rPr>
        <w:t>完毕后，系统响应时间小于等于5秒，系统支持的并发业务量大于50笔/秒，系统支持的并发用户数大于100</w:t>
      </w:r>
      <w:r>
        <w:rPr>
          <w:rFonts w:hint="eastAsia" w:eastAsia="仿宋_GB2312"/>
          <w:sz w:val="28"/>
          <w:szCs w:val="22"/>
        </w:rPr>
        <w:t>。</w:t>
      </w:r>
    </w:p>
    <w:p w14:paraId="777EC99B">
      <w:pPr>
        <w:pStyle w:val="3"/>
        <w:numPr>
          <w:ilvl w:val="0"/>
          <w:numId w:val="4"/>
        </w:numPr>
        <w:spacing w:before="0" w:after="0"/>
        <w:ind w:firstLine="640" w:firstLineChars="200"/>
        <w:rPr>
          <w:rFonts w:hint="eastAsia" w:ascii="楷体_GB2312" w:hAnsi="楷体_GB2312" w:eastAsia="楷体_GB2312" w:cs="楷体_GB2312"/>
          <w:sz w:val="32"/>
        </w:rPr>
      </w:pPr>
      <w:bookmarkStart w:id="30" w:name="_Toc21108"/>
      <w:r>
        <w:rPr>
          <w:rFonts w:hint="eastAsia" w:ascii="楷体_GB2312" w:hAnsi="楷体_GB2312" w:eastAsia="楷体_GB2312" w:cs="楷体_GB2312"/>
          <w:sz w:val="32"/>
        </w:rPr>
        <w:t>项目建设内容要求</w:t>
      </w:r>
      <w:bookmarkEnd w:id="30"/>
    </w:p>
    <w:p w14:paraId="56092AD4">
      <w:pPr>
        <w:ind w:firstLine="560"/>
        <w:rPr>
          <w:rFonts w:hint="eastAsia" w:eastAsia="仿宋_GB2312"/>
          <w:sz w:val="28"/>
          <w:szCs w:val="22"/>
        </w:rPr>
      </w:pPr>
      <w:r>
        <w:rPr>
          <w:rFonts w:hint="eastAsia" w:eastAsia="仿宋_GB2312"/>
          <w:sz w:val="28"/>
          <w:szCs w:val="22"/>
        </w:rPr>
        <w:t>全面推进区域总额预算支付方式改革，以区域总额预算的管理方式实现职工医保、居民医保的区域总额预付管理；对药店门诊统筹支付、生育保险线上退费、两定机构清算冲回、网上帮困缴费、长护险现金代发、门诊共济新规则拆分、门诊共济缴退费等内容建立电子化管理流程；加强支付审核管理，实现全面业财协同，确保基金的安全运行。</w:t>
      </w:r>
    </w:p>
    <w:p w14:paraId="38BCFA08">
      <w:pPr>
        <w:ind w:firstLine="560"/>
        <w:rPr>
          <w:rFonts w:hint="eastAsia" w:eastAsia="仿宋_GB2312"/>
          <w:sz w:val="28"/>
          <w:szCs w:val="22"/>
        </w:rPr>
      </w:pPr>
      <w:r>
        <w:rPr>
          <w:rFonts w:hint="eastAsia" w:eastAsia="仿宋_GB2312"/>
          <w:sz w:val="28"/>
          <w:szCs w:val="22"/>
        </w:rPr>
        <w:t>基于医保基础数据以及历史数据参考，结合智能测算技术的医保基金预算填报以及预算管理目标推荐的管理功能，按月对预算目标明细进行预测和监测，并将结果进行下发，各机构、部门根据下发意见进行整改并反馈。</w:t>
      </w:r>
    </w:p>
    <w:p w14:paraId="44D0D7C7">
      <w:pPr>
        <w:ind w:firstLine="560"/>
        <w:rPr>
          <w:rFonts w:hint="eastAsia" w:eastAsia="仿宋_GB2312"/>
          <w:sz w:val="28"/>
          <w:szCs w:val="22"/>
        </w:rPr>
      </w:pPr>
      <w:r>
        <w:rPr>
          <w:rFonts w:hint="eastAsia" w:eastAsia="仿宋_GB2312"/>
          <w:sz w:val="28"/>
          <w:szCs w:val="22"/>
        </w:rPr>
        <w:t>以医保基金预算项目为基本管理单元，构建能够与上海市财政部门相衔接的，医保财政分工明确、口径一致的医保基金预算管理、预算执行、指标管理、会计核算、决算管理体系。</w:t>
      </w:r>
    </w:p>
    <w:p w14:paraId="1AF2C317">
      <w:pPr>
        <w:ind w:firstLine="560"/>
        <w:rPr>
          <w:rFonts w:hint="eastAsia" w:eastAsia="仿宋_GB2312"/>
          <w:sz w:val="28"/>
          <w:szCs w:val="22"/>
        </w:rPr>
      </w:pPr>
      <w:r>
        <w:rPr>
          <w:rFonts w:hint="eastAsia" w:eastAsia="仿宋_GB2312"/>
          <w:sz w:val="28"/>
          <w:szCs w:val="22"/>
        </w:rPr>
        <w:t>通过系统建设不断完善指标库、规则库、档案资料库、政策制度资料库、宏观经济资料库等辅助支持系统，有效支持预算测算、执行监控、综合评价及反馈结果应用等各环节的预算管理工作，提升预算管理的质量。</w:t>
      </w:r>
    </w:p>
    <w:p w14:paraId="6E32FC01">
      <w:pPr>
        <w:ind w:firstLine="560"/>
        <w:rPr>
          <w:rFonts w:hint="eastAsia"/>
        </w:rPr>
      </w:pPr>
      <w:r>
        <w:rPr>
          <w:rFonts w:hint="eastAsia" w:eastAsia="仿宋_GB2312"/>
          <w:sz w:val="28"/>
          <w:szCs w:val="22"/>
        </w:rPr>
        <w:t>具体应用功能如下：</w:t>
      </w:r>
    </w:p>
    <w:tbl>
      <w:tblPr>
        <w:tblStyle w:val="36"/>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209"/>
        <w:gridCol w:w="1718"/>
        <w:gridCol w:w="5176"/>
      </w:tblGrid>
      <w:tr w14:paraId="28E9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shd w:val="clear" w:color="auto" w:fill="F1F1F1" w:themeFill="background1" w:themeFillShade="F2"/>
            <w:vAlign w:val="center"/>
          </w:tcPr>
          <w:p w14:paraId="34FAAA79">
            <w:pPr>
              <w:pStyle w:val="138"/>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序号</w:t>
            </w:r>
          </w:p>
        </w:tc>
        <w:tc>
          <w:tcPr>
            <w:tcW w:w="681" w:type="pct"/>
            <w:shd w:val="clear" w:color="auto" w:fill="F1F1F1" w:themeFill="background1" w:themeFillShade="F2"/>
            <w:vAlign w:val="center"/>
          </w:tcPr>
          <w:p w14:paraId="0F6AC465">
            <w:pPr>
              <w:pStyle w:val="138"/>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子系统/模块名称</w:t>
            </w:r>
          </w:p>
        </w:tc>
        <w:tc>
          <w:tcPr>
            <w:tcW w:w="968" w:type="pct"/>
            <w:shd w:val="clear" w:color="auto" w:fill="F1F1F1" w:themeFill="background1" w:themeFillShade="F2"/>
            <w:vAlign w:val="center"/>
          </w:tcPr>
          <w:p w14:paraId="0DFD0167">
            <w:pPr>
              <w:pStyle w:val="138"/>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功能名称</w:t>
            </w:r>
          </w:p>
        </w:tc>
        <w:tc>
          <w:tcPr>
            <w:tcW w:w="2916" w:type="pct"/>
            <w:shd w:val="clear" w:color="auto" w:fill="F1F1F1" w:themeFill="background1" w:themeFillShade="F2"/>
            <w:vAlign w:val="center"/>
          </w:tcPr>
          <w:p w14:paraId="3E2B946D">
            <w:pPr>
              <w:pStyle w:val="138"/>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功能要求</w:t>
            </w:r>
          </w:p>
        </w:tc>
      </w:tr>
      <w:tr w14:paraId="5640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FA05EB8">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tcPr>
          <w:p w14:paraId="365E7AA2">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医保基金预付管理（职工）（改造）</w:t>
            </w:r>
          </w:p>
        </w:tc>
        <w:tc>
          <w:tcPr>
            <w:tcW w:w="968" w:type="pct"/>
            <w:vAlign w:val="center"/>
          </w:tcPr>
          <w:p w14:paraId="61935EC2">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职工区域总额预付管理（改造）</w:t>
            </w:r>
          </w:p>
        </w:tc>
        <w:tc>
          <w:tcPr>
            <w:tcW w:w="2916" w:type="pct"/>
          </w:tcPr>
          <w:p w14:paraId="6DA7245F">
            <w:pPr>
              <w:pStyle w:val="138"/>
              <w:spacing w:line="240" w:lineRule="auto"/>
              <w:rPr>
                <w:rFonts w:hint="default" w:ascii="Times New Roman Regular" w:hAnsi="Times New Roman Regular" w:eastAsia="仿宋_GB2312" w:cs="Times New Roman Regular"/>
                <w:lang w:eastAsia="zh-Hans"/>
              </w:rPr>
            </w:pPr>
            <w:r>
              <w:rPr>
                <w:rFonts w:hint="default" w:ascii="Times New Roman Regular" w:hAnsi="Times New Roman Regular" w:eastAsia="仿宋_GB2312" w:cs="Times New Roman Regular"/>
                <w:lang w:eastAsia="zh-Hans"/>
              </w:rPr>
              <w:t>系统根据国家医保局、上海市医保局点数法和区域总额预算结合的管理规定，促进医保基金的有效利用，调动医疗机构积极性。系统对职工区域总额预付管理业务进行全流程改造。</w:t>
            </w:r>
          </w:p>
          <w:p w14:paraId="402B3FEE">
            <w:pPr>
              <w:pStyle w:val="138"/>
              <w:spacing w:line="240" w:lineRule="auto"/>
              <w:rPr>
                <w:rFonts w:hint="default" w:ascii="Times New Roman Regular" w:hAnsi="Times New Roman Regular" w:eastAsia="仿宋_GB2312" w:cs="Times New Roman Regular"/>
                <w:lang w:eastAsia="zh-Hans"/>
              </w:rPr>
            </w:pPr>
            <w:r>
              <w:rPr>
                <w:rFonts w:hint="default" w:ascii="Times New Roman Regular" w:hAnsi="Times New Roman Regular" w:eastAsia="仿宋_GB2312" w:cs="Times New Roman Regular"/>
                <w:lang w:eastAsia="zh-Hans"/>
              </w:rPr>
              <w:t>实现职工区域总额预付管理。主要功能包括职工区域总额预拨额度区初审、职工区域总额预拨额度市汇总审核、职工区域总额预拨额度分摊、职工区域总额预付清算接入、职工区域总额预付清算区初审、职工区域总额预付清算市汇总审核、职工区域总额预付扣减数据接入、职工区域总额预付结算接入、职工区域总额预付结算区初审、职工区域总额预付结算市汇总审核、职工区域总额预付缓付、职工预付指标核定、职工区域总额次月预付区申请、职工区域总额次月预付市汇总审核、职工区域总额预付核定、职工区域总额预拨额度变更、职工区域总额预付缓付黑名单、职工区域总额预付入账、职工区域总额预付三类基金及附表拆分、职工区域总额预付支付文件生成、职工区域总额预付支付及职工区域总额预付数据统计功能。</w:t>
            </w:r>
          </w:p>
        </w:tc>
      </w:tr>
      <w:tr w14:paraId="0C82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05D3FEC">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restart"/>
          </w:tcPr>
          <w:p w14:paraId="146A03A6">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医保费用支出交易管理（职工）（改造）</w:t>
            </w:r>
          </w:p>
        </w:tc>
        <w:tc>
          <w:tcPr>
            <w:tcW w:w="968" w:type="pct"/>
            <w:vAlign w:val="center"/>
          </w:tcPr>
          <w:p w14:paraId="421AB2A6">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职工区域总控实付管理（改造）</w:t>
            </w:r>
          </w:p>
        </w:tc>
        <w:tc>
          <w:tcPr>
            <w:tcW w:w="2916" w:type="pct"/>
          </w:tcPr>
          <w:p w14:paraId="15446D1F">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系统根据国家医保局、上海市医保局点数法和区域总额预算结合的管理规定，促进医保基金的有效利用，调动医疗机构积极性。对职工区域职工区域总控实付管理进行全流程改造。</w:t>
            </w:r>
          </w:p>
          <w:p w14:paraId="7D1AE9A4">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职工区域总控实付管理。主要功能包括职工区域总控实付接入、职工区域总控实付审核、职工区域总控支付文件生成、职工区域总控实付支付、职工区域总控实付入账、职工区域总控实付拆分入附表及职工区域总控实付数据统计功能。</w:t>
            </w:r>
          </w:p>
        </w:tc>
      </w:tr>
      <w:tr w14:paraId="7E0D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7BC33739">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tcPr>
          <w:p w14:paraId="0B2A8623">
            <w:pPr>
              <w:pStyle w:val="138"/>
              <w:spacing w:line="240" w:lineRule="auto"/>
              <w:rPr>
                <w:rFonts w:hint="default" w:ascii="Times New Roman Regular" w:hAnsi="Times New Roman Regular" w:eastAsia="仿宋_GB2312" w:cs="Times New Roman Regular"/>
              </w:rPr>
            </w:pPr>
          </w:p>
        </w:tc>
        <w:tc>
          <w:tcPr>
            <w:tcW w:w="968" w:type="pct"/>
            <w:vAlign w:val="center"/>
          </w:tcPr>
          <w:p w14:paraId="7968AD13">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两定机构清算冲回管理（改造）</w:t>
            </w:r>
          </w:p>
        </w:tc>
        <w:tc>
          <w:tcPr>
            <w:tcW w:w="2916" w:type="pct"/>
          </w:tcPr>
          <w:p w14:paraId="3FC4B33B">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为满足医保基金管理过程中的突发特殊业务，满足医保基金管理全方位留痕、可追溯要求，提升突发特殊业务的解决效率。系统应管理要求建立两定机构清算冲回管理模块。</w:t>
            </w:r>
          </w:p>
          <w:p w14:paraId="781CA5B0">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两定机构清算冲回管理。主要功能包括预付收回接入、预付收回确认、总控实付预收回接入、总控实付预收回确认、预拨付资金抵扣后的实付管理（预付总控）、预拨付资金抵扣后的实付管理（面上总控）、预拨付资金剩余待抵扣资金管理、预拨付资金抵扣后实付的区汇总管理（预付总控）及预拨付资金抵扣后实付的区汇总管理（面上总控）。</w:t>
            </w:r>
          </w:p>
        </w:tc>
      </w:tr>
      <w:tr w14:paraId="152B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E705519">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tcPr>
          <w:p w14:paraId="167D9280">
            <w:pPr>
              <w:pStyle w:val="138"/>
              <w:spacing w:line="240" w:lineRule="auto"/>
              <w:rPr>
                <w:rFonts w:hint="default" w:ascii="Times New Roman Regular" w:hAnsi="Times New Roman Regular" w:eastAsia="仿宋_GB2312" w:cs="Times New Roman Regular"/>
              </w:rPr>
            </w:pPr>
          </w:p>
        </w:tc>
        <w:tc>
          <w:tcPr>
            <w:tcW w:w="968" w:type="pct"/>
            <w:vAlign w:val="center"/>
          </w:tcPr>
          <w:p w14:paraId="6A69F9FC">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支付冲账管理（改造）</w:t>
            </w:r>
          </w:p>
        </w:tc>
        <w:tc>
          <w:tcPr>
            <w:tcW w:w="2916" w:type="pct"/>
          </w:tcPr>
          <w:p w14:paraId="7EA82F4E">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应规范财务会计核算和管理冲账调整工作要求，提高财务管理水平，保证会计数据的真实性和准确性。系统升级医保费用支出交易管理模块，实现帮困支付冲账入账及帮困支付冲账方案等功能。完善财务会计制度，进一步提升财务核算的精准度与效率。</w:t>
            </w:r>
          </w:p>
        </w:tc>
      </w:tr>
      <w:tr w14:paraId="5588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4A66BD66">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restart"/>
          </w:tcPr>
          <w:p w14:paraId="627CDDCD">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居民区域总额支付管理（改造）</w:t>
            </w:r>
          </w:p>
        </w:tc>
        <w:tc>
          <w:tcPr>
            <w:tcW w:w="968" w:type="pct"/>
            <w:vAlign w:val="center"/>
          </w:tcPr>
          <w:p w14:paraId="6B55E2F4">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居民区域总额预付管理（改造）</w:t>
            </w:r>
          </w:p>
        </w:tc>
        <w:tc>
          <w:tcPr>
            <w:tcW w:w="2916" w:type="pct"/>
          </w:tcPr>
          <w:p w14:paraId="58F0908B">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按照支付改革要求，新增居保总额预付模块，建立电子化管理流程，结合相关的业务数据，加强支付智能审核管理，完善基金监管机制，完成全市300多家预付机构居保总额预付结算拨付资金管理的支付过程管理、记账管理工作。</w:t>
            </w:r>
          </w:p>
          <w:p w14:paraId="1FE5FF89">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居民区域总额预付管理功能。主要包括居民区域总额预拨额度管理（接入、区初审、市汇总审核、额度分摊）、预付清算（接入、区初审、市汇总审核）、预付扣减数据接入、预付结算（接入、区初审、市汇总审核）、预付缓付、指标核定、次月预付（区申请、市汇总审核）、预付核定、预拨额度变更、预付缓付黑名单、预付入账、预付住院拆分、预付支付文件生成、预付支付、预付数据统计。</w:t>
            </w:r>
          </w:p>
        </w:tc>
      </w:tr>
      <w:tr w14:paraId="4AD1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2BF5AA7">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tcPr>
          <w:p w14:paraId="02056687">
            <w:pPr>
              <w:pStyle w:val="138"/>
              <w:spacing w:line="240" w:lineRule="auto"/>
              <w:rPr>
                <w:rFonts w:hint="default" w:ascii="Times New Roman Regular" w:hAnsi="Times New Roman Regular" w:eastAsia="仿宋_GB2312" w:cs="Times New Roman Regular"/>
              </w:rPr>
            </w:pPr>
          </w:p>
        </w:tc>
        <w:tc>
          <w:tcPr>
            <w:tcW w:w="968" w:type="pct"/>
            <w:vAlign w:val="center"/>
          </w:tcPr>
          <w:p w14:paraId="243B02D1">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居民区域总控实付管理（改造）</w:t>
            </w:r>
          </w:p>
        </w:tc>
        <w:tc>
          <w:tcPr>
            <w:tcW w:w="2916" w:type="pct"/>
          </w:tcPr>
          <w:p w14:paraId="06E7D821">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按照支付改革要求，新增居民区域总控实付管理模块，建立电子化管理流程，结合相关的业务数据，加强支付智能审核管理，完善基金监管机制，完成全市400多家实付机构的居民区域总控实付管理的支付过程管理、记账管理工作。</w:t>
            </w:r>
          </w:p>
          <w:p w14:paraId="075B0B69">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实现居保区域总控实付管理。主要功能包括居民区域总控实付审核、居民区域总控实付文件生成、居民区域总控实付支付、居民区域总控实付入账、居民区域总控实付拆分入附表及居民区域总控实付数据统计。</w:t>
            </w:r>
          </w:p>
        </w:tc>
      </w:tr>
      <w:tr w14:paraId="2FF9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F9EDAA8">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restart"/>
            <w:vAlign w:val="center"/>
          </w:tcPr>
          <w:p w14:paraId="6C37460E">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药店门诊统筹支付管理（改造）</w:t>
            </w:r>
          </w:p>
        </w:tc>
        <w:tc>
          <w:tcPr>
            <w:tcW w:w="968" w:type="pct"/>
            <w:vAlign w:val="center"/>
          </w:tcPr>
          <w:p w14:paraId="1F877DED">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药店门诊统筹数据接入（改造）</w:t>
            </w:r>
          </w:p>
        </w:tc>
        <w:tc>
          <w:tcPr>
            <w:tcW w:w="2916" w:type="pct"/>
          </w:tcPr>
          <w:p w14:paraId="2BF6A3DF">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改造职工、居民、帮困险种的药店统筹数据接入接口，实现购药费用信息的接入。实现数据接口的配置管理，并提供了接口配置、数据接入规则制定以及数据接入等功能。各险种接入界面展示已接入历史数据，接入过程中核验单位信息、文件格式、文件字段个数等因素，同时接入的文件会备份在文件服务器上。后续可根据接入的数据进行批量删除再重新接入，也支持同名文件覆盖接入。</w:t>
            </w:r>
          </w:p>
        </w:tc>
      </w:tr>
      <w:tr w14:paraId="4BEA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FCC5A7C">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2DB7FF65">
            <w:pPr>
              <w:pStyle w:val="138"/>
              <w:spacing w:line="240" w:lineRule="auto"/>
              <w:rPr>
                <w:rFonts w:hint="default" w:ascii="Times New Roman Regular" w:hAnsi="Times New Roman Regular" w:eastAsia="仿宋_GB2312" w:cs="Times New Roman Regular"/>
              </w:rPr>
            </w:pPr>
          </w:p>
        </w:tc>
        <w:tc>
          <w:tcPr>
            <w:tcW w:w="968" w:type="pct"/>
            <w:vAlign w:val="center"/>
          </w:tcPr>
          <w:p w14:paraId="06CD8FF3">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药店门诊统筹数据审核（改造）</w:t>
            </w:r>
          </w:p>
        </w:tc>
        <w:tc>
          <w:tcPr>
            <w:tcW w:w="2916" w:type="pct"/>
          </w:tcPr>
          <w:p w14:paraId="171810FB">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改造药店统筹数据审核接口，实现对不同险种药店门诊统筹费用的审核。不同险种的药店门诊统筹数据并入到指定凭证分类中。其中职保数据并入非总控，居保数据并入居保费用，帮困数据并入帮困门急诊进行相关审核操作。</w:t>
            </w:r>
          </w:p>
          <w:p w14:paraId="11502D66">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界面展示根据已接入的药店统筹数据按照机构代码、年月、凭证分类进行分组汇总的数据，包括年月、机构编码、机构名称、支付金额、摘要等。可根据年月、凭证分类、支付类型查询数据。支持审核、销审、凭证编号穿透查看机构不同费项明细数据等功能。</w:t>
            </w:r>
          </w:p>
        </w:tc>
      </w:tr>
      <w:tr w14:paraId="3350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7BB447FA">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4E3A295F">
            <w:pPr>
              <w:pStyle w:val="138"/>
              <w:spacing w:line="240" w:lineRule="auto"/>
              <w:rPr>
                <w:rFonts w:hint="default" w:ascii="Times New Roman Regular" w:hAnsi="Times New Roman Regular" w:eastAsia="仿宋_GB2312" w:cs="Times New Roman Regular"/>
              </w:rPr>
            </w:pPr>
          </w:p>
        </w:tc>
        <w:tc>
          <w:tcPr>
            <w:tcW w:w="968" w:type="pct"/>
            <w:vAlign w:val="center"/>
          </w:tcPr>
          <w:p w14:paraId="2851FC8D">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药店门诊统筹数据支付数据生成（改造）</w:t>
            </w:r>
          </w:p>
        </w:tc>
        <w:tc>
          <w:tcPr>
            <w:tcW w:w="2916" w:type="pct"/>
            <w:vAlign w:val="center"/>
          </w:tcPr>
          <w:p w14:paraId="6C527B4C">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改造药店统筹支付数据生成接口，实现不同险种的药店统筹数据支付文件生成，用于后续与银行线上交互的支付文件。展示已审核的药店门诊统筹费用数据按照年月、区划代码分组的汇总数据，按年月、险种生成医银直联可使用的支付文件，支付数据格式符合医银直联规范。</w:t>
            </w:r>
          </w:p>
        </w:tc>
      </w:tr>
      <w:tr w14:paraId="43D9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441877AD">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79B40EF2">
            <w:pPr>
              <w:pStyle w:val="138"/>
              <w:spacing w:line="240" w:lineRule="auto"/>
              <w:rPr>
                <w:rFonts w:hint="default" w:ascii="Times New Roman Regular" w:hAnsi="Times New Roman Regular" w:eastAsia="仿宋_GB2312" w:cs="Times New Roman Regular"/>
              </w:rPr>
            </w:pPr>
          </w:p>
        </w:tc>
        <w:tc>
          <w:tcPr>
            <w:tcW w:w="968" w:type="pct"/>
            <w:vAlign w:val="center"/>
          </w:tcPr>
          <w:p w14:paraId="0BAE57B9">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药店门诊统筹数据支付（改造）</w:t>
            </w:r>
          </w:p>
        </w:tc>
        <w:tc>
          <w:tcPr>
            <w:tcW w:w="2916" w:type="pct"/>
            <w:vAlign w:val="center"/>
          </w:tcPr>
          <w:p w14:paraId="3A6806C9">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改造药店统筹支付功能，支持药店统筹数据的支付功能。通过银医直连查询已生成的药店统筹支付数据，支持线上一键查询对应险种支付户账户余额及付款后余额信息。再次点击确认后，生成支付报文发送给商业银行，同时将支付文件进行加密发送银行。实现药店统筹的线上支付功能，并对支付回盘结果进行更新，同步管理支付情况。接收支付异常退票信息，并将信息反馈业务。</w:t>
            </w:r>
          </w:p>
        </w:tc>
      </w:tr>
      <w:tr w14:paraId="132B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7A72D196">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21DF5796">
            <w:pPr>
              <w:pStyle w:val="138"/>
              <w:spacing w:line="240" w:lineRule="auto"/>
              <w:rPr>
                <w:rFonts w:hint="default" w:ascii="Times New Roman Regular" w:hAnsi="Times New Roman Regular" w:eastAsia="仿宋_GB2312" w:cs="Times New Roman Regular"/>
              </w:rPr>
            </w:pPr>
          </w:p>
        </w:tc>
        <w:tc>
          <w:tcPr>
            <w:tcW w:w="968" w:type="pct"/>
            <w:vAlign w:val="center"/>
          </w:tcPr>
          <w:p w14:paraId="102FE525">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药店门诊统筹数据入账（改造）</w:t>
            </w:r>
          </w:p>
        </w:tc>
        <w:tc>
          <w:tcPr>
            <w:tcW w:w="2916" w:type="pct"/>
            <w:vAlign w:val="center"/>
          </w:tcPr>
          <w:p w14:paraId="18767324">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改造药店统筹入账功能，实现药店统筹数据在支付结果反馈后生成财务记账功能。建立药店统筹入账规则，实现对入账信息项的定义，包括单据号、凭证日期、会计科目、借贷方等。通过新建药店统筹入账模板，支持对入账模板进行新建、调整。包括支付成功数据、支付失败数据及退票数据的入账规则。依据配置规则及界面数据，实现不同险种药店统筹数据在银行反馈支付结果后，业务手工点击入账按钮自动生成对应险种账套的财务记账凭证。</w:t>
            </w:r>
          </w:p>
        </w:tc>
      </w:tr>
      <w:tr w14:paraId="5FE6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189BB4B0">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286F7BE9">
            <w:pPr>
              <w:pStyle w:val="138"/>
              <w:spacing w:line="240" w:lineRule="auto"/>
              <w:rPr>
                <w:rFonts w:hint="default" w:ascii="Times New Roman Regular" w:hAnsi="Times New Roman Regular" w:eastAsia="仿宋_GB2312" w:cs="Times New Roman Regular"/>
              </w:rPr>
            </w:pPr>
          </w:p>
        </w:tc>
        <w:tc>
          <w:tcPr>
            <w:tcW w:w="968" w:type="pct"/>
            <w:vAlign w:val="center"/>
          </w:tcPr>
          <w:p w14:paraId="57F1676B">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药店门诊统筹数据统计（改造）</w:t>
            </w:r>
          </w:p>
        </w:tc>
        <w:tc>
          <w:tcPr>
            <w:tcW w:w="2916" w:type="pct"/>
            <w:vAlign w:val="center"/>
          </w:tcPr>
          <w:p w14:paraId="6319628A">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改造药店统筹报表统计功能，支持按职保、居保、帮困不同业务类型分别对药店门诊统筹费用数据进行统计分析，实现对各业务的接入信息、审核信息、支付信息及入账信息的统计。</w:t>
            </w:r>
          </w:p>
        </w:tc>
      </w:tr>
      <w:tr w14:paraId="7886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1C52EC61">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34430886">
            <w:pPr>
              <w:pStyle w:val="138"/>
              <w:spacing w:line="240" w:lineRule="auto"/>
              <w:rPr>
                <w:rFonts w:hint="default" w:ascii="Times New Roman Regular" w:hAnsi="Times New Roman Regular" w:eastAsia="仿宋_GB2312" w:cs="Times New Roman Regular"/>
              </w:rPr>
            </w:pPr>
          </w:p>
        </w:tc>
        <w:tc>
          <w:tcPr>
            <w:tcW w:w="968" w:type="pct"/>
            <w:vAlign w:val="center"/>
          </w:tcPr>
          <w:p w14:paraId="0AAADADE">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药店门诊统筹数据拆分入附表（改造）</w:t>
            </w:r>
          </w:p>
        </w:tc>
        <w:tc>
          <w:tcPr>
            <w:tcW w:w="2916" w:type="pct"/>
            <w:vAlign w:val="center"/>
          </w:tcPr>
          <w:p w14:paraId="579B367C">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改造药店统筹数据拆分入附表规则，实现对药店门诊统筹数据按人群分组进入会计附表，根据附表统计内容需要分别生成职保、居保、帮困药店统筹数据。</w:t>
            </w:r>
          </w:p>
        </w:tc>
      </w:tr>
      <w:tr w14:paraId="0A06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4E047FF5">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Align w:val="center"/>
          </w:tcPr>
          <w:p w14:paraId="1DADBFD5">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帮困网上缴费清分（改造）</w:t>
            </w:r>
          </w:p>
        </w:tc>
        <w:tc>
          <w:tcPr>
            <w:tcW w:w="968" w:type="pct"/>
            <w:vAlign w:val="center"/>
          </w:tcPr>
          <w:p w14:paraId="2DA52273">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网上帮困缴费管理（改造）</w:t>
            </w:r>
          </w:p>
        </w:tc>
        <w:tc>
          <w:tcPr>
            <w:tcW w:w="2916" w:type="pct"/>
            <w:vAlign w:val="center"/>
          </w:tcPr>
          <w:p w14:paraId="332767FA">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为响应国家医保局及上海医保局政策要求，以服务人民群众的办事需求、改善人民群众的办事体验和保障人民群众的信息安全为宗旨。实现了“群众减跑动、申报减材料，业务减流程、服务增效能”的“三减一增”目标，让互助帮困人员切实享受到免跑即申的便捷感。</w:t>
            </w:r>
          </w:p>
          <w:p w14:paraId="09CC9F44">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网上帮困缴费管理。主要功能包括网上帮困缴费签收、网上帮困缴费数据自动上传财政公共平台、网上帮困自动下载财政公共平台缴费清分、网上帮困缴费确认、网上帮困缴费入账、帮困网上缴费清分及网上帮困缴费数据统计。</w:t>
            </w:r>
          </w:p>
        </w:tc>
      </w:tr>
      <w:tr w14:paraId="1AEF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3BF7E501">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Align w:val="center"/>
          </w:tcPr>
          <w:p w14:paraId="3019310E">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生育支付系统（改造）</w:t>
            </w:r>
          </w:p>
        </w:tc>
        <w:tc>
          <w:tcPr>
            <w:tcW w:w="968" w:type="pct"/>
            <w:vAlign w:val="center"/>
          </w:tcPr>
          <w:p w14:paraId="517BA9D2">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生育保险线上退费管理（改造）</w:t>
            </w:r>
          </w:p>
        </w:tc>
        <w:tc>
          <w:tcPr>
            <w:tcW w:w="2916" w:type="pct"/>
            <w:vAlign w:val="center"/>
          </w:tcPr>
          <w:p w14:paraId="102EBEED">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原生育保险退费仅支持现金和银行卡退费的线下模式，为提升参保人满意度，后续将增加随申办退费入口，并衔接财政公共支付平台，实现线上退费生育线上退费服务，打破了技术壁垒，实现了“不见面办理”，用户可以通过一网通办平台轻松完成退费操作，提升了用户体验‌。</w:t>
            </w:r>
          </w:p>
          <w:p w14:paraId="6C5F3135">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生育线上退费管理。主要功能包括生育线上退费数据自动上传财政公共平台、生育线上退费自动下载财政公共平台缴费清分、生育线上退费自动反馈业务清分、生育线上退费确认、生育线上退费入账及生育线上退费明细数据统计。</w:t>
            </w:r>
          </w:p>
        </w:tc>
      </w:tr>
      <w:tr w14:paraId="5D8C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795C2C67">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restart"/>
            <w:vAlign w:val="center"/>
          </w:tcPr>
          <w:p w14:paraId="602075E2">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针对门诊共济财务管理系统功能建设（改造）</w:t>
            </w:r>
          </w:p>
        </w:tc>
        <w:tc>
          <w:tcPr>
            <w:tcW w:w="968" w:type="pct"/>
            <w:vAlign w:val="center"/>
          </w:tcPr>
          <w:p w14:paraId="585752B7">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门诊共济缴退费管理（改造）</w:t>
            </w:r>
          </w:p>
        </w:tc>
        <w:tc>
          <w:tcPr>
            <w:tcW w:w="2916" w:type="pct"/>
            <w:vAlign w:val="center"/>
          </w:tcPr>
          <w:p w14:paraId="290D1ABC">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上海响应国务院办公厅提出健全门诊共济保障机制的意见，进一步健全上海市职工基本医疗保险制度，深化互助共济、责任共担机制，推动上海职工医保制度不断完善。规范个人账户使用范围，探索个人账户用于配偶、父母、子女参加城乡居民基本医疗保险等的个人缴费。</w:t>
            </w:r>
          </w:p>
          <w:p w14:paraId="76C7797B">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为调整个人账户使用结构，实现门诊共济退费管理。主要功能包含门诊共济缴费业务数据接入、门诊共济缴费税务平台数据拆分处理、门诊共济缴费税务平台业务校验修正管理、门诊共济缴费税务平台复核校验申报管理、门诊共济缴费校验结果核定、门诊共济缴费核定结果确认、共济缴费税务申报支付汇总管理、共济缴费税务申报支付失败统计确认、共济缴费税务申报支付成功统计确认及个人账户共济缴费税务申报情况反馈通知。</w:t>
            </w:r>
          </w:p>
        </w:tc>
      </w:tr>
      <w:tr w14:paraId="2092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E342962">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62248FEF">
            <w:pPr>
              <w:pStyle w:val="138"/>
              <w:spacing w:line="240" w:lineRule="auto"/>
              <w:rPr>
                <w:rFonts w:hint="default" w:ascii="Times New Roman Regular" w:hAnsi="Times New Roman Regular" w:eastAsia="仿宋_GB2312" w:cs="Times New Roman Regular"/>
              </w:rPr>
            </w:pPr>
          </w:p>
        </w:tc>
        <w:tc>
          <w:tcPr>
            <w:tcW w:w="968" w:type="pct"/>
            <w:vAlign w:val="center"/>
          </w:tcPr>
          <w:p w14:paraId="2FB29D11">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门诊共济拆分规则管理（改造）</w:t>
            </w:r>
          </w:p>
        </w:tc>
        <w:tc>
          <w:tcPr>
            <w:tcW w:w="2916" w:type="pct"/>
            <w:vAlign w:val="center"/>
          </w:tcPr>
          <w:p w14:paraId="72405576">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为保障门诊共济整体管理的科学规范性，解决月度数据缺乏足够细分的业务现状，系统建立门诊共济新规则拆分管理模块，通过历年数据的管理分析，有序的实现门诊共济全面过程管理。</w:t>
            </w:r>
          </w:p>
          <w:p w14:paraId="291B8A3A">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实现门诊共济拆分规则管理。主要功能包含门诊共济实际发生登记管理、门诊共济实际发生测算管理及门诊共济年末分摊管理。</w:t>
            </w:r>
          </w:p>
        </w:tc>
      </w:tr>
      <w:tr w14:paraId="41F6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33D29168">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Align w:val="center"/>
          </w:tcPr>
          <w:p w14:paraId="30211607">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长期护理保险系统（改造）</w:t>
            </w:r>
          </w:p>
        </w:tc>
        <w:tc>
          <w:tcPr>
            <w:tcW w:w="968" w:type="pct"/>
            <w:vAlign w:val="center"/>
          </w:tcPr>
          <w:p w14:paraId="0056DCD2">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长护险现金代发管理（改造）</w:t>
            </w:r>
          </w:p>
        </w:tc>
        <w:tc>
          <w:tcPr>
            <w:tcW w:w="2916" w:type="pct"/>
            <w:vAlign w:val="center"/>
          </w:tcPr>
          <w:p w14:paraId="1F620256">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随着人口老龄化趋势不断加剧，居家养老已成为老年人普遍关注的问题。上海市政府为了更好地保障老年人的生活质量，面向65岁及以上老年人实施的一项社会保险制度，旨在为老年人提供长期护理保障，从而缓解老年人家庭照料的负担，促进老年人健康和幸福感的提升。</w:t>
            </w:r>
          </w:p>
          <w:p w14:paraId="0E0070DE">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为减轻老年人负担，提高基金支付效率。系统改造长期护理保险系统，实现长护险现金代发接入、长护险现金代发审核、长护险现金代发支付及长护险现金代发结果上传等功能。</w:t>
            </w:r>
          </w:p>
        </w:tc>
      </w:tr>
      <w:tr w14:paraId="6980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F1B1F9C">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restart"/>
            <w:vAlign w:val="center"/>
          </w:tcPr>
          <w:p w14:paraId="3E986130">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系统级基础信息管理（翻建）</w:t>
            </w:r>
          </w:p>
        </w:tc>
        <w:tc>
          <w:tcPr>
            <w:tcW w:w="968" w:type="pct"/>
            <w:vAlign w:val="center"/>
          </w:tcPr>
          <w:p w14:paraId="76D54D25">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职工基本医疗保险分类管理（翻建）</w:t>
            </w:r>
          </w:p>
        </w:tc>
        <w:tc>
          <w:tcPr>
            <w:tcW w:w="2916" w:type="pct"/>
            <w:vAlign w:val="center"/>
          </w:tcPr>
          <w:p w14:paraId="6FFD750E">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实现对职工基本医疗保险分类项目信息的管理，维护基础分类资料供预算管理各环节使用。主要功能包括：职工基本医疗保险外部数据同步管理、职工基本医疗保险收支数据同步管理。</w:t>
            </w:r>
          </w:p>
        </w:tc>
      </w:tr>
      <w:tr w14:paraId="4B3F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5B75A1E">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6608DA68">
            <w:pPr>
              <w:pStyle w:val="138"/>
              <w:spacing w:line="240" w:lineRule="auto"/>
              <w:rPr>
                <w:rFonts w:hint="default" w:ascii="Times New Roman Regular" w:hAnsi="Times New Roman Regular" w:eastAsia="仿宋_GB2312" w:cs="Times New Roman Regular"/>
              </w:rPr>
            </w:pPr>
          </w:p>
        </w:tc>
        <w:tc>
          <w:tcPr>
            <w:tcW w:w="968" w:type="pct"/>
            <w:vAlign w:val="center"/>
          </w:tcPr>
          <w:p w14:paraId="7CAFB9BE">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居民基本医疗保险分类管理（翻建）</w:t>
            </w:r>
          </w:p>
        </w:tc>
        <w:tc>
          <w:tcPr>
            <w:tcW w:w="2916" w:type="pct"/>
            <w:vAlign w:val="center"/>
          </w:tcPr>
          <w:p w14:paraId="7C75B8CA">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实现对居民基本医疗保险分类项目信息的管理，维护基础分类资料供预算管理各环节使用。主要功能包括：居民基本医疗保险外部数据同步管理、居民基本医疗保险收支数据同步管理。</w:t>
            </w:r>
          </w:p>
        </w:tc>
      </w:tr>
      <w:tr w14:paraId="7E10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4BE97D12">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576FFF31">
            <w:pPr>
              <w:pStyle w:val="138"/>
              <w:spacing w:line="240" w:lineRule="auto"/>
              <w:rPr>
                <w:rFonts w:hint="default" w:ascii="Times New Roman Regular" w:hAnsi="Times New Roman Regular" w:eastAsia="仿宋_GB2312" w:cs="Times New Roman Regular"/>
              </w:rPr>
            </w:pPr>
          </w:p>
        </w:tc>
        <w:tc>
          <w:tcPr>
            <w:tcW w:w="968" w:type="pct"/>
            <w:vAlign w:val="center"/>
          </w:tcPr>
          <w:p w14:paraId="7E9DEAF7">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生育保险分类管理（翻建）</w:t>
            </w:r>
          </w:p>
        </w:tc>
        <w:tc>
          <w:tcPr>
            <w:tcW w:w="2916" w:type="pct"/>
            <w:vAlign w:val="center"/>
          </w:tcPr>
          <w:p w14:paraId="0B4C02B7">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实现对生育保险分类项目信息的管理，维护基础分类资料供预算管理各环节使用。主要功能包括：生育保险外部数据同步管理、生育保险收支数据同步管理。</w:t>
            </w:r>
          </w:p>
        </w:tc>
      </w:tr>
      <w:tr w14:paraId="6E5E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763DF3A">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7D7798B2">
            <w:pPr>
              <w:pStyle w:val="138"/>
              <w:spacing w:line="240" w:lineRule="auto"/>
              <w:rPr>
                <w:rFonts w:hint="default" w:ascii="Times New Roman Regular" w:hAnsi="Times New Roman Regular" w:eastAsia="仿宋_GB2312" w:cs="Times New Roman Regular"/>
              </w:rPr>
            </w:pPr>
          </w:p>
        </w:tc>
        <w:tc>
          <w:tcPr>
            <w:tcW w:w="968" w:type="pct"/>
            <w:vAlign w:val="center"/>
          </w:tcPr>
          <w:p w14:paraId="7029E2B1">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长期护理保险分类管理（翻建）</w:t>
            </w:r>
          </w:p>
        </w:tc>
        <w:tc>
          <w:tcPr>
            <w:tcW w:w="2916" w:type="pct"/>
            <w:vAlign w:val="center"/>
          </w:tcPr>
          <w:p w14:paraId="11EA8E39">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实现对长期护理保险分类项目信息的管理，维护基础分类资料供预算管理各环节使用。主要功能包括：长期护理保险外部数据同步管理、长期护理保险收支数据同步管理。</w:t>
            </w:r>
          </w:p>
        </w:tc>
      </w:tr>
      <w:tr w14:paraId="3C62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49B0C1B5">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1D041EB0">
            <w:pPr>
              <w:pStyle w:val="138"/>
              <w:spacing w:line="240" w:lineRule="auto"/>
              <w:rPr>
                <w:rFonts w:hint="default" w:ascii="Times New Roman Regular" w:hAnsi="Times New Roman Regular" w:eastAsia="仿宋_GB2312" w:cs="Times New Roman Regular"/>
              </w:rPr>
            </w:pPr>
          </w:p>
        </w:tc>
        <w:tc>
          <w:tcPr>
            <w:tcW w:w="968" w:type="pct"/>
            <w:vAlign w:val="center"/>
          </w:tcPr>
          <w:p w14:paraId="421A08EC">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医疗救助保险分类管理（翻建）</w:t>
            </w:r>
          </w:p>
        </w:tc>
        <w:tc>
          <w:tcPr>
            <w:tcW w:w="2916" w:type="pct"/>
            <w:vAlign w:val="center"/>
          </w:tcPr>
          <w:p w14:paraId="7BD52E68">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实现对医疗救助保险分类项目信息的管理，维护基础分类资料供预算管理各环节使用。主要功能包括：医疗救助保险外部数据同步管理、医疗救助保险收支数据同步管理。</w:t>
            </w:r>
          </w:p>
        </w:tc>
      </w:tr>
      <w:tr w14:paraId="2AB6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09CC4A5">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3930B99F">
            <w:pPr>
              <w:pStyle w:val="138"/>
              <w:spacing w:line="240" w:lineRule="auto"/>
              <w:rPr>
                <w:rFonts w:hint="default" w:ascii="Times New Roman Regular" w:hAnsi="Times New Roman Regular" w:eastAsia="仿宋_GB2312" w:cs="Times New Roman Regular"/>
              </w:rPr>
            </w:pPr>
          </w:p>
        </w:tc>
        <w:tc>
          <w:tcPr>
            <w:tcW w:w="968" w:type="pct"/>
            <w:vAlign w:val="center"/>
          </w:tcPr>
          <w:p w14:paraId="1D4DCDC6">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互助帮困保险分类管理（翻建）</w:t>
            </w:r>
          </w:p>
        </w:tc>
        <w:tc>
          <w:tcPr>
            <w:tcW w:w="2916" w:type="pct"/>
            <w:vAlign w:val="center"/>
          </w:tcPr>
          <w:p w14:paraId="4CDBE392">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实现对互助帮困分类项目信息的管理，维护基础分类资料供预算管理各环节使用。主要功能包括：互助帮困保险外部数据同步管理、互助帮困保险收支数据同步管理。</w:t>
            </w:r>
          </w:p>
        </w:tc>
      </w:tr>
      <w:tr w14:paraId="3E3B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9C9E03E">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40AC63D8">
            <w:pPr>
              <w:pStyle w:val="138"/>
              <w:spacing w:line="240" w:lineRule="auto"/>
              <w:rPr>
                <w:rFonts w:hint="default" w:ascii="Times New Roman Regular" w:hAnsi="Times New Roman Regular" w:eastAsia="仿宋_GB2312" w:cs="Times New Roman Regular"/>
              </w:rPr>
            </w:pPr>
          </w:p>
        </w:tc>
        <w:tc>
          <w:tcPr>
            <w:tcW w:w="968" w:type="pct"/>
            <w:vAlign w:val="center"/>
          </w:tcPr>
          <w:p w14:paraId="307F2D96">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医保基金项目管理（翻建）</w:t>
            </w:r>
          </w:p>
        </w:tc>
        <w:tc>
          <w:tcPr>
            <w:tcW w:w="2916" w:type="pct"/>
            <w:vAlign w:val="center"/>
          </w:tcPr>
          <w:p w14:paraId="1A049E59">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根据财政部、国家医保局对医保基金收支项目的管理要求，实现对医保基金各险种收支项目的维护管理。主要功能包括：医保基金收入项目管理、医保基金支出项目管理。</w:t>
            </w:r>
          </w:p>
        </w:tc>
      </w:tr>
      <w:tr w14:paraId="240F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BE0AB7C">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restart"/>
            <w:vAlign w:val="center"/>
          </w:tcPr>
          <w:p w14:paraId="451F5DB5">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医保基金预算编制管理（翻建）</w:t>
            </w:r>
          </w:p>
        </w:tc>
        <w:tc>
          <w:tcPr>
            <w:tcW w:w="968" w:type="pct"/>
            <w:vAlign w:val="center"/>
          </w:tcPr>
          <w:p w14:paraId="5F5AC24B">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预算编制流程管理（翻建）</w:t>
            </w:r>
          </w:p>
        </w:tc>
        <w:tc>
          <w:tcPr>
            <w:tcW w:w="2916" w:type="pct"/>
            <w:vAlign w:val="center"/>
          </w:tcPr>
          <w:p w14:paraId="37DC9369">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通过对医保基金预算基础信息历年数据的采集及执行过程、执行参数的测算核定，以国家医保局对医保基金的管理口径为基础形成医保基金的年度预算，每个填报项均需对应财政部下发的基金收支项目，并对医保基金预算的编报流程进行管理。主要功能包括：全市统筹险种预算编制管理、区级统筹险种预算编制管理。</w:t>
            </w:r>
          </w:p>
        </w:tc>
      </w:tr>
      <w:tr w14:paraId="2630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111087C3">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4234F751">
            <w:pPr>
              <w:pStyle w:val="138"/>
              <w:spacing w:line="240" w:lineRule="auto"/>
              <w:rPr>
                <w:rFonts w:hint="default" w:ascii="Times New Roman Regular" w:hAnsi="Times New Roman Regular" w:eastAsia="仿宋_GB2312" w:cs="Times New Roman Regular"/>
              </w:rPr>
            </w:pPr>
          </w:p>
        </w:tc>
        <w:tc>
          <w:tcPr>
            <w:tcW w:w="968" w:type="pct"/>
            <w:vAlign w:val="center"/>
          </w:tcPr>
          <w:p w14:paraId="0500B01A">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预算编制历年数据采集管理（翻建）</w:t>
            </w:r>
          </w:p>
        </w:tc>
        <w:tc>
          <w:tcPr>
            <w:tcW w:w="2916" w:type="pct"/>
            <w:vAlign w:val="center"/>
          </w:tcPr>
          <w:p w14:paraId="0670887A">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主要功能包括：职工基本医疗保险历年收支数据采集管理、居民基本医疗保险历年收支数据采集管理、生育保险收支历年数据管理、长期护理保险基金财务历年数据管理、医疗救助基金财务历年数据管理、互助帮困基金财务历年数据管理。</w:t>
            </w:r>
          </w:p>
        </w:tc>
      </w:tr>
      <w:tr w14:paraId="0C2F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7B3CED4">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381266FE">
            <w:pPr>
              <w:pStyle w:val="138"/>
              <w:spacing w:line="240" w:lineRule="auto"/>
              <w:rPr>
                <w:rFonts w:hint="default" w:ascii="Times New Roman Regular" w:hAnsi="Times New Roman Regular" w:eastAsia="仿宋_GB2312" w:cs="Times New Roman Regular"/>
              </w:rPr>
            </w:pPr>
          </w:p>
        </w:tc>
        <w:tc>
          <w:tcPr>
            <w:tcW w:w="968" w:type="pct"/>
            <w:vAlign w:val="center"/>
          </w:tcPr>
          <w:p w14:paraId="3505FF28">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医保基金预算编制设计管理（翻建）</w:t>
            </w:r>
          </w:p>
        </w:tc>
        <w:tc>
          <w:tcPr>
            <w:tcW w:w="2916" w:type="pct"/>
            <w:vAlign w:val="center"/>
          </w:tcPr>
          <w:p w14:paraId="421A760D">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主要功能包括：填报页面设计管理、数据源定义管理、预算流程定义管理、输出报表设计管理。</w:t>
            </w:r>
          </w:p>
        </w:tc>
      </w:tr>
      <w:tr w14:paraId="4E3F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1B0E2F3B">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0A369E10">
            <w:pPr>
              <w:pStyle w:val="138"/>
              <w:spacing w:line="240" w:lineRule="auto"/>
              <w:rPr>
                <w:rFonts w:hint="default" w:ascii="Times New Roman Regular" w:hAnsi="Times New Roman Regular" w:eastAsia="仿宋_GB2312" w:cs="Times New Roman Regular"/>
              </w:rPr>
            </w:pPr>
          </w:p>
        </w:tc>
        <w:tc>
          <w:tcPr>
            <w:tcW w:w="968" w:type="pct"/>
            <w:vAlign w:val="center"/>
          </w:tcPr>
          <w:p w14:paraId="6C5A850E">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预算因素管理（翻建）</w:t>
            </w:r>
          </w:p>
        </w:tc>
        <w:tc>
          <w:tcPr>
            <w:tcW w:w="2916" w:type="pct"/>
            <w:vAlign w:val="center"/>
          </w:tcPr>
          <w:p w14:paraId="67AF6198">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预算因素是影响医保基金的重要因素，系统支持对政策因素、非政策因素进行维护，包括因素维护、因素数据录入。预算因素维护包括预算因素的新增、修改、删除等操作。支持录入预算因素的名称、说明、是否政策因素以及数量单位。支持对未使用的预算因素进行修改和删除。已经使用的预算因素不支持修改和删除操作，可以冻结，不再应用于后续的计算。预算因素数据录入可以点击打开预算因素后，按照数量单位录入相关数据，以便于后续计算。在录入预算因素数据时，支持分险种、分年度、分区进行录入。</w:t>
            </w:r>
          </w:p>
        </w:tc>
      </w:tr>
      <w:tr w14:paraId="05C1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33" w:type="pct"/>
          </w:tcPr>
          <w:p w14:paraId="07588788">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6A54316A">
            <w:pPr>
              <w:pStyle w:val="138"/>
              <w:spacing w:line="240" w:lineRule="auto"/>
              <w:rPr>
                <w:rFonts w:hint="default" w:ascii="Times New Roman Regular" w:hAnsi="Times New Roman Regular" w:eastAsia="仿宋_GB2312" w:cs="Times New Roman Regular"/>
              </w:rPr>
            </w:pPr>
          </w:p>
        </w:tc>
        <w:tc>
          <w:tcPr>
            <w:tcW w:w="968" w:type="pct"/>
            <w:vAlign w:val="center"/>
          </w:tcPr>
          <w:p w14:paraId="3AF89483">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医保基金本年执行测算管理（改造）</w:t>
            </w:r>
          </w:p>
        </w:tc>
        <w:tc>
          <w:tcPr>
            <w:tcW w:w="2916" w:type="pct"/>
            <w:vAlign w:val="center"/>
          </w:tcPr>
          <w:p w14:paraId="6D6639BB">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主要功能包括：医保基金本年执行测算管理、初审确认管理、复审确认管理、上报情况管理、催报管理。</w:t>
            </w:r>
          </w:p>
        </w:tc>
      </w:tr>
      <w:tr w14:paraId="6A24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741B20B3">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4FC25914">
            <w:pPr>
              <w:pStyle w:val="138"/>
              <w:spacing w:line="240" w:lineRule="auto"/>
              <w:rPr>
                <w:rFonts w:hint="default" w:ascii="Times New Roman Regular" w:hAnsi="Times New Roman Regular" w:eastAsia="仿宋_GB2312" w:cs="Times New Roman Regular"/>
              </w:rPr>
            </w:pPr>
          </w:p>
        </w:tc>
        <w:tc>
          <w:tcPr>
            <w:tcW w:w="968" w:type="pct"/>
            <w:vAlign w:val="center"/>
          </w:tcPr>
          <w:p w14:paraId="6DE03D63">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医保基金因素分解表管理（翻建）</w:t>
            </w:r>
          </w:p>
        </w:tc>
        <w:tc>
          <w:tcPr>
            <w:tcW w:w="2916" w:type="pct"/>
            <w:vAlign w:val="center"/>
          </w:tcPr>
          <w:p w14:paraId="4E9FF919">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对医疗保险基金因素分解表生成管理，结合医保基金历年收支信息、本年执行测算信息及预算影响因素信息进行医保基金因素分解表的编报。包括职工医疗保险财务收支计划因素分解表、城乡居民医疗保险财务收支计划因素分解表、长期护理险基金收支计划因素分解表、医疗救助基金收支计划因素分解表及互助帮困基金收支计划因素分解表，提供数据填报、计算、提交功能。主要功能包括：医保基金本收支计划因素分解表编制管理、初审确认管理、复审确认管理、上报情况管理、催报管理。</w:t>
            </w:r>
          </w:p>
        </w:tc>
      </w:tr>
      <w:tr w14:paraId="4D58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4A9E33D">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047F42CD">
            <w:pPr>
              <w:pStyle w:val="138"/>
              <w:spacing w:line="240" w:lineRule="auto"/>
              <w:rPr>
                <w:rFonts w:hint="default" w:ascii="Times New Roman Regular" w:hAnsi="Times New Roman Regular" w:eastAsia="仿宋_GB2312" w:cs="Times New Roman Regular"/>
              </w:rPr>
            </w:pPr>
          </w:p>
        </w:tc>
        <w:tc>
          <w:tcPr>
            <w:tcW w:w="968" w:type="pct"/>
            <w:vAlign w:val="center"/>
          </w:tcPr>
          <w:p w14:paraId="21326953">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医保基金预算底稿生成管理（国家版）（翻建）</w:t>
            </w:r>
          </w:p>
        </w:tc>
        <w:tc>
          <w:tcPr>
            <w:tcW w:w="2916" w:type="pct"/>
            <w:vAlign w:val="center"/>
          </w:tcPr>
          <w:p w14:paraId="25FF4722">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对基本医疗保险基金预算信息的填报，结合预算基础信息、本年执行测算信息及下一年度参数核定信息及预算收支影响因素信息进行医保基金预算的编报，提供数据填报、计算、提交功能，满足经办机构填报后向上报送及上级审核退回后修订的管理需要。</w:t>
            </w:r>
          </w:p>
        </w:tc>
      </w:tr>
      <w:tr w14:paraId="36C9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B822A78">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2BA42AB1">
            <w:pPr>
              <w:pStyle w:val="138"/>
              <w:spacing w:line="240" w:lineRule="auto"/>
              <w:rPr>
                <w:rFonts w:hint="default" w:ascii="Times New Roman Regular" w:hAnsi="Times New Roman Regular" w:eastAsia="仿宋_GB2312" w:cs="Times New Roman Regular"/>
              </w:rPr>
            </w:pPr>
          </w:p>
        </w:tc>
        <w:tc>
          <w:tcPr>
            <w:tcW w:w="968" w:type="pct"/>
            <w:vAlign w:val="center"/>
          </w:tcPr>
          <w:p w14:paraId="54068DC2">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医保基金预算审核管理（翻建）</w:t>
            </w:r>
          </w:p>
        </w:tc>
        <w:tc>
          <w:tcPr>
            <w:tcW w:w="2916" w:type="pct"/>
            <w:vAlign w:val="center"/>
          </w:tcPr>
          <w:p w14:paraId="1A7933EE">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实现对各项医保基金预算信息的审核确认功能，主要功能包括：初审确认管理、复审确认管理、预算上报情况管理、预算催报管理、预算填报信息汇总管理。</w:t>
            </w:r>
          </w:p>
        </w:tc>
      </w:tr>
      <w:tr w14:paraId="4E23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7B914F26">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restart"/>
            <w:vAlign w:val="center"/>
          </w:tcPr>
          <w:p w14:paraId="109655BA">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医保基金预算指标管理（翻建）</w:t>
            </w:r>
          </w:p>
        </w:tc>
        <w:tc>
          <w:tcPr>
            <w:tcW w:w="968" w:type="pct"/>
            <w:vAlign w:val="center"/>
          </w:tcPr>
          <w:p w14:paraId="726369DA">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医保基金预算指标接收管理（翻建）</w:t>
            </w:r>
          </w:p>
        </w:tc>
        <w:tc>
          <w:tcPr>
            <w:tcW w:w="2916" w:type="pct"/>
            <w:vAlign w:val="center"/>
          </w:tcPr>
          <w:p w14:paraId="6AE0D39E">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市财政部门根据人大批准的预算会同市行政部门生成预算指标批复给市经办机构，并在年度执行中按照预算指标控制基金总额，年度终了指标清零。主要功能包括：年初预拨指标接收管理、年初指标接收管理、预拨指标核销管理。</w:t>
            </w:r>
          </w:p>
        </w:tc>
      </w:tr>
      <w:tr w14:paraId="1601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3A270413">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05D429F8">
            <w:pPr>
              <w:pStyle w:val="138"/>
              <w:spacing w:line="240" w:lineRule="auto"/>
              <w:rPr>
                <w:rFonts w:hint="default" w:ascii="Times New Roman Regular" w:hAnsi="Times New Roman Regular" w:eastAsia="仿宋_GB2312" w:cs="Times New Roman Regular"/>
              </w:rPr>
            </w:pPr>
          </w:p>
        </w:tc>
        <w:tc>
          <w:tcPr>
            <w:tcW w:w="968" w:type="pct"/>
            <w:vAlign w:val="center"/>
          </w:tcPr>
          <w:p w14:paraId="375AB323">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预算指标方案管理（翻建）</w:t>
            </w:r>
          </w:p>
        </w:tc>
        <w:tc>
          <w:tcPr>
            <w:tcW w:w="2916" w:type="pct"/>
            <w:vAlign w:val="center"/>
          </w:tcPr>
          <w:p w14:paraId="2D97075A">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根据医保基金监控跟踪及监测管理需要定义预算指标方案，按照险种、收入项目、支出项目分别形成收入指标方案及支出指标方案。支持自定义指标方案管理口径，包括险种、项目、科目、单位维度。</w:t>
            </w:r>
          </w:p>
        </w:tc>
      </w:tr>
      <w:tr w14:paraId="2AD0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1E28EAE">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4B8897E1">
            <w:pPr>
              <w:pStyle w:val="138"/>
              <w:spacing w:line="240" w:lineRule="auto"/>
              <w:rPr>
                <w:rFonts w:hint="default" w:ascii="Times New Roman Regular" w:hAnsi="Times New Roman Regular" w:eastAsia="仿宋_GB2312" w:cs="Times New Roman Regular"/>
              </w:rPr>
            </w:pPr>
          </w:p>
        </w:tc>
        <w:tc>
          <w:tcPr>
            <w:tcW w:w="968" w:type="pct"/>
            <w:vAlign w:val="center"/>
          </w:tcPr>
          <w:p w14:paraId="52377771">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基金预算指标细化分解管理（翻建）</w:t>
            </w:r>
          </w:p>
        </w:tc>
        <w:tc>
          <w:tcPr>
            <w:tcW w:w="2916" w:type="pct"/>
            <w:vAlign w:val="center"/>
          </w:tcPr>
          <w:p w14:paraId="34EE08B0">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提供指标细化分解功能，在预算执行过程中需要对指标进行细化监测时可在源头预算指标中对其进行分解，分解后预算指标形成总指标与明细指标。在实际监控中即可对总指标进行监控，也可对明细指标进行监控。提供预算指标分解的登记、确认、查询功能。</w:t>
            </w:r>
          </w:p>
        </w:tc>
      </w:tr>
      <w:tr w14:paraId="34DE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A4B67E5">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09DD7C09">
            <w:pPr>
              <w:pStyle w:val="138"/>
              <w:spacing w:line="240" w:lineRule="auto"/>
              <w:rPr>
                <w:rFonts w:hint="default" w:ascii="Times New Roman Regular" w:hAnsi="Times New Roman Regular" w:eastAsia="仿宋_GB2312" w:cs="Times New Roman Regular"/>
              </w:rPr>
            </w:pPr>
          </w:p>
        </w:tc>
        <w:tc>
          <w:tcPr>
            <w:tcW w:w="968" w:type="pct"/>
            <w:vAlign w:val="center"/>
          </w:tcPr>
          <w:p w14:paraId="10EC0F75">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基金预算指标填报管理（翻建）</w:t>
            </w:r>
          </w:p>
        </w:tc>
        <w:tc>
          <w:tcPr>
            <w:tcW w:w="2916" w:type="pct"/>
            <w:vAlign w:val="center"/>
          </w:tcPr>
          <w:p w14:paraId="4B19B918">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按照指标方案的管理口径对财政部门批复的医保基金预算进行指标填报，支持批量导入功能，将批复的预算按照方案管理口径形成预算指标，提供导入、修改、上报、查询功能。</w:t>
            </w:r>
          </w:p>
        </w:tc>
      </w:tr>
      <w:tr w14:paraId="33D9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E951630">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188109E1">
            <w:pPr>
              <w:pStyle w:val="138"/>
              <w:spacing w:line="240" w:lineRule="auto"/>
              <w:rPr>
                <w:rFonts w:hint="default" w:ascii="Times New Roman Regular" w:hAnsi="Times New Roman Regular" w:eastAsia="仿宋_GB2312" w:cs="Times New Roman Regular"/>
              </w:rPr>
            </w:pPr>
          </w:p>
        </w:tc>
        <w:tc>
          <w:tcPr>
            <w:tcW w:w="968" w:type="pct"/>
            <w:vAlign w:val="center"/>
          </w:tcPr>
          <w:p w14:paraId="2964B96F">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基金预算指标审核管理（翻建）</w:t>
            </w:r>
          </w:p>
        </w:tc>
        <w:tc>
          <w:tcPr>
            <w:tcW w:w="2916" w:type="pct"/>
            <w:vAlign w:val="center"/>
          </w:tcPr>
          <w:p w14:paraId="182A8FBF">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提供预算指标审核功能，对提交后的预算指标可以进行审核或批量审核，支持对已审核的预算指标进行销审，销审后指标进入未审核状态。提供预算指标的审核、销审、作废、还原功能。</w:t>
            </w:r>
          </w:p>
        </w:tc>
      </w:tr>
      <w:tr w14:paraId="4C9B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35CF2D9E">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6815C6FC">
            <w:pPr>
              <w:pStyle w:val="138"/>
              <w:spacing w:line="240" w:lineRule="auto"/>
              <w:rPr>
                <w:rFonts w:hint="default" w:ascii="Times New Roman Regular" w:hAnsi="Times New Roman Regular" w:eastAsia="仿宋_GB2312" w:cs="Times New Roman Regular"/>
              </w:rPr>
            </w:pPr>
          </w:p>
        </w:tc>
        <w:tc>
          <w:tcPr>
            <w:tcW w:w="968" w:type="pct"/>
            <w:vAlign w:val="center"/>
          </w:tcPr>
          <w:p w14:paraId="267FA16B">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基金预算指标控制设置管理（翻建）</w:t>
            </w:r>
          </w:p>
        </w:tc>
        <w:tc>
          <w:tcPr>
            <w:tcW w:w="2916" w:type="pct"/>
            <w:vAlign w:val="center"/>
          </w:tcPr>
          <w:p w14:paraId="0960409E">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提供医保基金预算指标控制阈值的设置功能，能够对各项指标分别设置其控制方式、控制比例、控制金额内容。实现指标功能的登记、确认及查询功能。</w:t>
            </w:r>
          </w:p>
        </w:tc>
      </w:tr>
      <w:tr w14:paraId="1EEA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BCD6827">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62214601">
            <w:pPr>
              <w:pStyle w:val="138"/>
              <w:spacing w:line="240" w:lineRule="auto"/>
              <w:rPr>
                <w:rFonts w:hint="default" w:ascii="Times New Roman Regular" w:hAnsi="Times New Roman Regular" w:eastAsia="仿宋_GB2312" w:cs="Times New Roman Regular"/>
              </w:rPr>
            </w:pPr>
          </w:p>
        </w:tc>
        <w:tc>
          <w:tcPr>
            <w:tcW w:w="968" w:type="pct"/>
            <w:vAlign w:val="center"/>
          </w:tcPr>
          <w:p w14:paraId="31878A27">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基金预算指标授权管理（翻建）</w:t>
            </w:r>
          </w:p>
        </w:tc>
        <w:tc>
          <w:tcPr>
            <w:tcW w:w="2916" w:type="pct"/>
            <w:vAlign w:val="center"/>
          </w:tcPr>
          <w:p w14:paraId="37CBC253">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提供基金预算指标管理权限的授权应用，可将指标下放给下级财务操作人员进行管理，包括指标查询、监控及控制方式。实现对指标授权人员、授权范围的管理，提供授权登记、取消及查询功能。</w:t>
            </w:r>
          </w:p>
        </w:tc>
      </w:tr>
      <w:tr w14:paraId="00E8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EF7DE40">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7615FFC9">
            <w:pPr>
              <w:pStyle w:val="138"/>
              <w:spacing w:line="240" w:lineRule="auto"/>
              <w:rPr>
                <w:rFonts w:hint="default" w:ascii="Times New Roman Regular" w:hAnsi="Times New Roman Regular" w:eastAsia="仿宋_GB2312" w:cs="Times New Roman Regular"/>
              </w:rPr>
            </w:pPr>
          </w:p>
        </w:tc>
        <w:tc>
          <w:tcPr>
            <w:tcW w:w="968" w:type="pct"/>
            <w:vAlign w:val="center"/>
          </w:tcPr>
          <w:p w14:paraId="4502A73F">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基金预算指标台账管理（翻建）</w:t>
            </w:r>
          </w:p>
        </w:tc>
        <w:tc>
          <w:tcPr>
            <w:tcW w:w="2916" w:type="pct"/>
            <w:vAlign w:val="center"/>
          </w:tcPr>
          <w:p w14:paraId="11D70504">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分险种建立医保基金预算指标台账，实现对指标的查询统计管理功能。</w:t>
            </w:r>
          </w:p>
        </w:tc>
      </w:tr>
      <w:tr w14:paraId="6FB8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2E82F9B">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0077419A">
            <w:pPr>
              <w:pStyle w:val="138"/>
              <w:spacing w:line="240" w:lineRule="auto"/>
              <w:rPr>
                <w:rFonts w:hint="default" w:ascii="Times New Roman Regular" w:hAnsi="Times New Roman Regular" w:eastAsia="仿宋_GB2312" w:cs="Times New Roman Regular"/>
              </w:rPr>
            </w:pPr>
          </w:p>
        </w:tc>
        <w:tc>
          <w:tcPr>
            <w:tcW w:w="968" w:type="pct"/>
            <w:vAlign w:val="center"/>
          </w:tcPr>
          <w:p w14:paraId="7A1C6C49">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基金预算指标执行管理（翻建）</w:t>
            </w:r>
          </w:p>
        </w:tc>
        <w:tc>
          <w:tcPr>
            <w:tcW w:w="2916" w:type="pct"/>
            <w:vAlign w:val="center"/>
          </w:tcPr>
          <w:p w14:paraId="2F732754">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通过各险种基金收支预算指标实现预算执行情况的实时统计，实现指标的动态查询分析与管理。按照用户定义的查询条件（分指标类型、险种、基金收入项目、基金支出项目、时间口径）来进行统计，可以查询各类型指标的汇总和明细数据。对输出结果可以方便的设置打印格式，支持导出为EXCEL、XML、TXT格式。</w:t>
            </w:r>
          </w:p>
        </w:tc>
      </w:tr>
      <w:tr w14:paraId="429A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183E02F5">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1E0431AB">
            <w:pPr>
              <w:pStyle w:val="138"/>
              <w:spacing w:line="240" w:lineRule="auto"/>
              <w:rPr>
                <w:rFonts w:hint="default" w:ascii="Times New Roman Regular" w:hAnsi="Times New Roman Regular" w:eastAsia="仿宋_GB2312" w:cs="Times New Roman Regular"/>
              </w:rPr>
            </w:pPr>
          </w:p>
        </w:tc>
        <w:tc>
          <w:tcPr>
            <w:tcW w:w="968" w:type="pct"/>
            <w:vAlign w:val="center"/>
          </w:tcPr>
          <w:p w14:paraId="21F23D99">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基金预算指标执行比对管理（翻建）</w:t>
            </w:r>
          </w:p>
        </w:tc>
        <w:tc>
          <w:tcPr>
            <w:tcW w:w="2916" w:type="pct"/>
            <w:vAlign w:val="center"/>
          </w:tcPr>
          <w:p w14:paraId="6531CD34">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市经办机构通过与财政部门的数据共享平台定期获取财政医保基金预算指标执行情况，包括年初指标、指标调增、指标调减、已执行指标、已占用指标、指标余额以及执行进度等信息。读取财政医保基金预算指标执行数据后，与医保基金预算指标执行进行比对，系统自动标记不一致的执行指标，并显示差异。</w:t>
            </w:r>
          </w:p>
        </w:tc>
      </w:tr>
      <w:tr w14:paraId="2111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FD7A50F">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7EE40E68">
            <w:pPr>
              <w:pStyle w:val="138"/>
              <w:spacing w:line="240" w:lineRule="auto"/>
              <w:rPr>
                <w:rFonts w:hint="default" w:ascii="Times New Roman Regular" w:hAnsi="Times New Roman Regular" w:eastAsia="仿宋_GB2312" w:cs="Times New Roman Regular"/>
              </w:rPr>
            </w:pPr>
          </w:p>
        </w:tc>
        <w:tc>
          <w:tcPr>
            <w:tcW w:w="968" w:type="pct"/>
            <w:vAlign w:val="center"/>
          </w:tcPr>
          <w:p w14:paraId="0E09A372">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医保基金指标调剂管理（翻建）</w:t>
            </w:r>
          </w:p>
        </w:tc>
        <w:tc>
          <w:tcPr>
            <w:tcW w:w="2916" w:type="pct"/>
            <w:vAlign w:val="center"/>
          </w:tcPr>
          <w:p w14:paraId="22D0030A">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指标调剂是对预算执行过程中的内容的调整，是对年初预算的修订。当发生指标调剂时，需要对指标数进行调增或者调减，以便形成新的预算指标控制方案，预算控制根据最新的控制方案对日常的业务支出进行控制和监管。主要功能包括：医保基金预算指标调剂编制管理、医保基金预算指标调剂审核管理、医保基金预算指标调剂上报财政管理、医保基金调整情况综合统计管理。</w:t>
            </w:r>
          </w:p>
        </w:tc>
      </w:tr>
      <w:tr w14:paraId="64E7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31B92A4C">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restart"/>
            <w:vAlign w:val="center"/>
          </w:tcPr>
          <w:p w14:paraId="27988392">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医保基金预算年中调整管理（新建）</w:t>
            </w:r>
          </w:p>
        </w:tc>
        <w:tc>
          <w:tcPr>
            <w:tcW w:w="968" w:type="pct"/>
            <w:vAlign w:val="center"/>
          </w:tcPr>
          <w:p w14:paraId="20FC4957">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医保基金预算年中调整申请管理（新建）</w:t>
            </w:r>
          </w:p>
        </w:tc>
        <w:tc>
          <w:tcPr>
            <w:tcW w:w="2916" w:type="pct"/>
            <w:vAlign w:val="center"/>
          </w:tcPr>
          <w:p w14:paraId="09964528">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提供预算年中调整申请功能，系统通过与财政部门衔接获取医保基金预算年中调整申请单样式，由经办机构填制预算年中调整申请表并初审后，通过附件上传的功能对预算年中调整申请进行补充说明。医保基金预算年中调整申请要附带测算过程，即申请表的测算依据。系统支持从工作底表编辑中自动提取相关数据生成申请表。</w:t>
            </w:r>
          </w:p>
        </w:tc>
      </w:tr>
      <w:tr w14:paraId="786C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B89E5E2">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6444C652">
            <w:pPr>
              <w:pStyle w:val="138"/>
              <w:spacing w:line="240" w:lineRule="auto"/>
              <w:rPr>
                <w:rFonts w:hint="default" w:ascii="Times New Roman Regular" w:hAnsi="Times New Roman Regular" w:eastAsia="仿宋_GB2312" w:cs="Times New Roman Regular"/>
              </w:rPr>
            </w:pPr>
          </w:p>
        </w:tc>
        <w:tc>
          <w:tcPr>
            <w:tcW w:w="968" w:type="pct"/>
            <w:vAlign w:val="center"/>
          </w:tcPr>
          <w:p w14:paraId="3D7932F9">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医保基金预算年中调整申请初审管理（新建）</w:t>
            </w:r>
          </w:p>
        </w:tc>
        <w:tc>
          <w:tcPr>
            <w:tcW w:w="2916" w:type="pct"/>
            <w:vAlign w:val="center"/>
          </w:tcPr>
          <w:p w14:paraId="6DA5459C">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市行政部门提供审核、消审、批量审核、审核意见填写以及跟踪审核流程等功能，完成医保基金预算年中调整申请的审核。如申请表由工作底表生成，则系统执行表间审核，协助用户对年中调整数据进行合规性、合理性检查。</w:t>
            </w:r>
          </w:p>
        </w:tc>
      </w:tr>
      <w:tr w14:paraId="53E3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EAAC620">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287F9929">
            <w:pPr>
              <w:pStyle w:val="138"/>
              <w:spacing w:line="240" w:lineRule="auto"/>
              <w:rPr>
                <w:rFonts w:hint="default" w:ascii="Times New Roman Regular" w:hAnsi="Times New Roman Regular" w:eastAsia="仿宋_GB2312" w:cs="Times New Roman Regular"/>
              </w:rPr>
            </w:pPr>
          </w:p>
        </w:tc>
        <w:tc>
          <w:tcPr>
            <w:tcW w:w="968" w:type="pct"/>
            <w:vAlign w:val="center"/>
          </w:tcPr>
          <w:p w14:paraId="42238426">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医保基金预算年中调整申请提交管理（新建）</w:t>
            </w:r>
          </w:p>
        </w:tc>
        <w:tc>
          <w:tcPr>
            <w:tcW w:w="2916" w:type="pct"/>
            <w:vAlign w:val="center"/>
          </w:tcPr>
          <w:p w14:paraId="67917FDE">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市经办机构通过与财政信息共享平台提交医保基金预算年中调整申请，可以查询提交状态、提交人、提交时间以及是否得到批复等信息。</w:t>
            </w:r>
          </w:p>
        </w:tc>
      </w:tr>
      <w:tr w14:paraId="6364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23CD419">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02A1926F">
            <w:pPr>
              <w:pStyle w:val="138"/>
              <w:spacing w:line="240" w:lineRule="auto"/>
              <w:rPr>
                <w:rFonts w:hint="default" w:ascii="Times New Roman Regular" w:hAnsi="Times New Roman Regular" w:eastAsia="仿宋_GB2312" w:cs="Times New Roman Regular"/>
              </w:rPr>
            </w:pPr>
          </w:p>
        </w:tc>
        <w:tc>
          <w:tcPr>
            <w:tcW w:w="968" w:type="pct"/>
            <w:vAlign w:val="center"/>
          </w:tcPr>
          <w:p w14:paraId="0B7B6D84">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医保基金预算年中调整申请批复管理（新建）</w:t>
            </w:r>
          </w:p>
        </w:tc>
        <w:tc>
          <w:tcPr>
            <w:tcW w:w="2916" w:type="pct"/>
            <w:vAlign w:val="center"/>
          </w:tcPr>
          <w:p w14:paraId="1925157C">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财政部门得到医保基金预算年中调整政府及人大批复后，会同行政及财政等部门将预算下发给经办机构，根据批复结果自动生成调整后的指标，并将指标通过与市经办机构的数据共享平台下发至市经办机构。</w:t>
            </w:r>
          </w:p>
          <w:p w14:paraId="3EB5E6D1">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市经办机构接收预算调整批复后的指标信息，更新年度的指标台账信息。市经办机构可以查看指标台账。</w:t>
            </w:r>
          </w:p>
        </w:tc>
      </w:tr>
      <w:tr w14:paraId="4201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95B7FCF">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restart"/>
            <w:vAlign w:val="center"/>
          </w:tcPr>
          <w:p w14:paraId="3642E711">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医保基金年报管理（翻建）</w:t>
            </w:r>
          </w:p>
        </w:tc>
        <w:tc>
          <w:tcPr>
            <w:tcW w:w="968" w:type="pct"/>
            <w:vAlign w:val="center"/>
          </w:tcPr>
          <w:p w14:paraId="3FA739DD">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医保基金年报生成管理（翻建）</w:t>
            </w:r>
          </w:p>
        </w:tc>
        <w:tc>
          <w:tcPr>
            <w:tcW w:w="2916" w:type="pct"/>
            <w:vAlign w:val="center"/>
          </w:tcPr>
          <w:p w14:paraId="0D63A017">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主要功能包括：职工基本医疗保险（含生育保险）基金年报管理、当年职工基本医疗保险参保和缴费人数预计执行数年报管理、职工基本医疗保险年报参数表管理、当年职工基本医疗保险住院和门诊有关指标年报管理、职工基本医疗保险待遇支出年报参数表管理、居民基本医疗保险基金年报管理、居民基本医疗保险基金年报管理、当年居民基本医疗保险参保人数年报管理、居民基本医疗保险收入年报参数表管理、当年居民基本医疗保险住院和门诊有关指标年报管理、居民基本医疗保险待遇支出年报参数表管理、居民基本医疗保险基金年报调整情况表管理、当年生育保险支出预计执行数年报管理、生育保险支出年报管理等。</w:t>
            </w:r>
          </w:p>
        </w:tc>
      </w:tr>
      <w:tr w14:paraId="40C1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46EC2206">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6BE219F1">
            <w:pPr>
              <w:pStyle w:val="138"/>
              <w:spacing w:line="240" w:lineRule="auto"/>
              <w:rPr>
                <w:rFonts w:hint="default" w:ascii="Times New Roman Regular" w:hAnsi="Times New Roman Regular" w:eastAsia="仿宋_GB2312" w:cs="Times New Roman Regular"/>
              </w:rPr>
            </w:pPr>
          </w:p>
        </w:tc>
        <w:tc>
          <w:tcPr>
            <w:tcW w:w="968" w:type="pct"/>
            <w:vAlign w:val="center"/>
          </w:tcPr>
          <w:p w14:paraId="5C0A239E">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医保基金年报初审（翻建）</w:t>
            </w:r>
          </w:p>
        </w:tc>
        <w:tc>
          <w:tcPr>
            <w:tcW w:w="2916" w:type="pct"/>
            <w:vAlign w:val="center"/>
          </w:tcPr>
          <w:p w14:paraId="0C0541FD">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实现市区经办机构对各项医保基金年报信息的初审确认功能，可对编制完成的年报信息进行查询、初审、提交及追回，支持附件佐证材料的提交功能，满足上下级单位之间医保基金年报信息的初审确认管理需要。</w:t>
            </w:r>
          </w:p>
        </w:tc>
      </w:tr>
      <w:tr w14:paraId="16A9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4F29224D">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7815C4ED">
            <w:pPr>
              <w:pStyle w:val="138"/>
              <w:spacing w:line="240" w:lineRule="auto"/>
              <w:rPr>
                <w:rFonts w:hint="default" w:ascii="Times New Roman Regular" w:hAnsi="Times New Roman Regular" w:eastAsia="仿宋_GB2312" w:cs="Times New Roman Regular"/>
              </w:rPr>
            </w:pPr>
          </w:p>
        </w:tc>
        <w:tc>
          <w:tcPr>
            <w:tcW w:w="968" w:type="pct"/>
            <w:vAlign w:val="center"/>
          </w:tcPr>
          <w:p w14:paraId="7630B9F2">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年报复审确认管理（翻建）</w:t>
            </w:r>
          </w:p>
        </w:tc>
        <w:tc>
          <w:tcPr>
            <w:tcW w:w="2916" w:type="pct"/>
            <w:vAlign w:val="center"/>
          </w:tcPr>
          <w:p w14:paraId="465A70E0">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市行政部门及区行政部门内部各处室对市经办机构提交的决算信息的复审确认功能，可对市经办机构提交的各项预算信息进行查询、复审、退回。支持附件查阅、下载功能。复审确认后给予预算复审意见，预算信息复审、报送和接收支持多上多下管理。</w:t>
            </w:r>
          </w:p>
        </w:tc>
      </w:tr>
      <w:tr w14:paraId="3569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F6C2B53">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23C6FCC6">
            <w:pPr>
              <w:pStyle w:val="138"/>
              <w:spacing w:line="240" w:lineRule="auto"/>
              <w:rPr>
                <w:rFonts w:hint="default" w:ascii="Times New Roman Regular" w:hAnsi="Times New Roman Regular" w:eastAsia="仿宋_GB2312" w:cs="Times New Roman Regular"/>
              </w:rPr>
            </w:pPr>
          </w:p>
        </w:tc>
        <w:tc>
          <w:tcPr>
            <w:tcW w:w="968" w:type="pct"/>
            <w:vAlign w:val="center"/>
          </w:tcPr>
          <w:p w14:paraId="23DC07E1">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年报上报情况管理（翻建）</w:t>
            </w:r>
          </w:p>
        </w:tc>
        <w:tc>
          <w:tcPr>
            <w:tcW w:w="2916" w:type="pct"/>
            <w:vAlign w:val="center"/>
          </w:tcPr>
          <w:p w14:paraId="4B27154F">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通过预算上报情况功能，直观的查看当前用户的各项待处理业务，包括：已上报数据、待上报数据、已审批数据、待审批数据、可退回数据。通过点击查看相应数据的具体情况，并支持进行各项后续处理。从而方便各用户直观的进行各项业务处理。</w:t>
            </w:r>
          </w:p>
        </w:tc>
      </w:tr>
      <w:tr w14:paraId="6FE4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56121AF">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restart"/>
            <w:vAlign w:val="center"/>
          </w:tcPr>
          <w:p w14:paraId="1A5606D3">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医保基金三年中期规划预算编制管理（新建）</w:t>
            </w:r>
          </w:p>
        </w:tc>
        <w:tc>
          <w:tcPr>
            <w:tcW w:w="968" w:type="pct"/>
            <w:vAlign w:val="center"/>
          </w:tcPr>
          <w:p w14:paraId="715094BB">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医保基金三年中期规划预算编制流程管理（新建）</w:t>
            </w:r>
          </w:p>
        </w:tc>
        <w:tc>
          <w:tcPr>
            <w:tcW w:w="2916" w:type="pct"/>
            <w:vAlign w:val="center"/>
          </w:tcPr>
          <w:p w14:paraId="3B66C019">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实现对医保基金三年中期规划预算编制的流程管理。</w:t>
            </w:r>
          </w:p>
        </w:tc>
      </w:tr>
      <w:tr w14:paraId="4F1F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3098BE1">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4047F501">
            <w:pPr>
              <w:pStyle w:val="138"/>
              <w:spacing w:line="240" w:lineRule="auto"/>
              <w:rPr>
                <w:rFonts w:hint="default" w:ascii="Times New Roman Regular" w:hAnsi="Times New Roman Regular" w:eastAsia="仿宋_GB2312" w:cs="Times New Roman Regular"/>
              </w:rPr>
            </w:pPr>
          </w:p>
        </w:tc>
        <w:tc>
          <w:tcPr>
            <w:tcW w:w="968" w:type="pct"/>
            <w:vAlign w:val="center"/>
          </w:tcPr>
          <w:p w14:paraId="238EFF08">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医保基金三年中期规划预算编制任务接收管理（新建）</w:t>
            </w:r>
          </w:p>
        </w:tc>
        <w:tc>
          <w:tcPr>
            <w:tcW w:w="2916" w:type="pct"/>
            <w:vAlign w:val="center"/>
          </w:tcPr>
          <w:p w14:paraId="3FDA9D50">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根据上海市财政要求，下载并在本系统中加载医保基金预算编制任务。系统接收下发的预算套表后，在本系统中自动实现加载和配置，并可以按职工医保以及居民医保的统筹级次，直接向市经办机构发送预算表。市经办机构按照险种权限查看职工医保和居民医保预算编制内容和编制要求。</w:t>
            </w:r>
          </w:p>
          <w:p w14:paraId="40D1E3DF">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预算编制任务接收的具体功能包括：接收、查询、导入、导出、授权等。</w:t>
            </w:r>
          </w:p>
        </w:tc>
      </w:tr>
      <w:tr w14:paraId="688C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11D7D074">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1F64ADDC">
            <w:pPr>
              <w:pStyle w:val="138"/>
              <w:spacing w:line="240" w:lineRule="auto"/>
              <w:rPr>
                <w:rFonts w:hint="default" w:ascii="Times New Roman Regular" w:hAnsi="Times New Roman Regular" w:eastAsia="仿宋_GB2312" w:cs="Times New Roman Regular"/>
              </w:rPr>
            </w:pPr>
          </w:p>
        </w:tc>
        <w:tc>
          <w:tcPr>
            <w:tcW w:w="968" w:type="pct"/>
            <w:vAlign w:val="center"/>
          </w:tcPr>
          <w:p w14:paraId="746EA1D7">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医保基金三年中期财政规划管理（新建）</w:t>
            </w:r>
          </w:p>
        </w:tc>
        <w:tc>
          <w:tcPr>
            <w:tcW w:w="2916" w:type="pct"/>
            <w:vAlign w:val="center"/>
          </w:tcPr>
          <w:p w14:paraId="5343BBE7">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中期财政补贴收入是影响医保基金的重要因素，因此设置中期财政规划补贴收入，用于后续计算基金中期规划。主要功能包括：职工医保基金中期财政规划管理设置管理、职工医保基金中期财政规划计算管理、居民医保基金中期财政规划管理设置管理、居民医保基金中期财政规划计算管理。</w:t>
            </w:r>
          </w:p>
        </w:tc>
      </w:tr>
      <w:tr w14:paraId="7C99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C018126">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10C479E1">
            <w:pPr>
              <w:pStyle w:val="138"/>
              <w:spacing w:line="240" w:lineRule="auto"/>
              <w:rPr>
                <w:rFonts w:hint="default" w:ascii="Times New Roman Regular" w:hAnsi="Times New Roman Regular" w:eastAsia="仿宋_GB2312" w:cs="Times New Roman Regular"/>
              </w:rPr>
            </w:pPr>
          </w:p>
        </w:tc>
        <w:tc>
          <w:tcPr>
            <w:tcW w:w="968" w:type="pct"/>
            <w:vAlign w:val="center"/>
          </w:tcPr>
          <w:p w14:paraId="5C8475F1">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医保基金三年中期规划预算编制管理（新建）</w:t>
            </w:r>
          </w:p>
        </w:tc>
        <w:tc>
          <w:tcPr>
            <w:tcW w:w="2916" w:type="pct"/>
            <w:vAlign w:val="center"/>
          </w:tcPr>
          <w:p w14:paraId="60AD8A25">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编制医保基金三年中期规划预算，将预算安排的期限从1年扩展到3年，有利于提高上海市医保基金管理工作的前瞻性，增强上海市经办机构的统筹能力，提高年度预算的可执行性，促进建立全面规范、公开透明的预收支预算编制管理、居民基本医疗保险基金三年中期收算制度。主要功能包括：职工基本医疗保险三年中期收支预算编制管理、居民基本医疗保险基金三年中期收支预算编制管理。</w:t>
            </w:r>
          </w:p>
        </w:tc>
      </w:tr>
      <w:tr w14:paraId="4357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DB5EF7A">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37B0F5C2">
            <w:pPr>
              <w:pStyle w:val="138"/>
              <w:spacing w:line="240" w:lineRule="auto"/>
              <w:rPr>
                <w:rFonts w:hint="default" w:ascii="Times New Roman Regular" w:hAnsi="Times New Roman Regular" w:eastAsia="仿宋_GB2312" w:cs="Times New Roman Regular"/>
              </w:rPr>
            </w:pPr>
          </w:p>
        </w:tc>
        <w:tc>
          <w:tcPr>
            <w:tcW w:w="968" w:type="pct"/>
            <w:vAlign w:val="center"/>
          </w:tcPr>
          <w:p w14:paraId="1AD0F689">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医保基金三年中期收支预算初审管理（新建）</w:t>
            </w:r>
          </w:p>
        </w:tc>
        <w:tc>
          <w:tcPr>
            <w:tcW w:w="2916" w:type="pct"/>
            <w:vAlign w:val="center"/>
          </w:tcPr>
          <w:p w14:paraId="5D8E9E30">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医保基金预算套表编制完成后，分险种进行市经办机构初审，如初审不通过，则退回重新进行编制，初审支持预算合规性计算管理、初审管理、填写初审意见管理、初审销审管理功能设计。</w:t>
            </w:r>
          </w:p>
        </w:tc>
      </w:tr>
      <w:tr w14:paraId="3857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1116AF20">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2E491F37">
            <w:pPr>
              <w:pStyle w:val="138"/>
              <w:spacing w:line="240" w:lineRule="auto"/>
              <w:rPr>
                <w:rFonts w:hint="default" w:ascii="Times New Roman Regular" w:hAnsi="Times New Roman Regular" w:eastAsia="仿宋_GB2312" w:cs="Times New Roman Regular"/>
              </w:rPr>
            </w:pPr>
          </w:p>
        </w:tc>
        <w:tc>
          <w:tcPr>
            <w:tcW w:w="968" w:type="pct"/>
            <w:vAlign w:val="center"/>
          </w:tcPr>
          <w:p w14:paraId="463F4A7C">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医保基金三年中期收支预算复审管理（新建）</w:t>
            </w:r>
          </w:p>
        </w:tc>
        <w:tc>
          <w:tcPr>
            <w:tcW w:w="2916" w:type="pct"/>
            <w:vAlign w:val="center"/>
          </w:tcPr>
          <w:p w14:paraId="05195828">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医保基金预算套表完成初审后，分险种提交至市行政部门进行复审，如复审不通过，则退回市经办机构重新进行编制，复审支持复审管理、填写复审意见管理、复审销审管理功能设计。</w:t>
            </w:r>
          </w:p>
        </w:tc>
      </w:tr>
      <w:tr w14:paraId="49D0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1877C580">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45E08BB4">
            <w:pPr>
              <w:pStyle w:val="138"/>
              <w:spacing w:line="240" w:lineRule="auto"/>
              <w:rPr>
                <w:rFonts w:hint="default" w:ascii="Times New Roman Regular" w:hAnsi="Times New Roman Regular" w:eastAsia="仿宋_GB2312" w:cs="Times New Roman Regular"/>
              </w:rPr>
            </w:pPr>
          </w:p>
        </w:tc>
        <w:tc>
          <w:tcPr>
            <w:tcW w:w="968" w:type="pct"/>
            <w:vAlign w:val="center"/>
          </w:tcPr>
          <w:p w14:paraId="525C47D0">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医保基金三年中期收支预算确认管理（新建）</w:t>
            </w:r>
          </w:p>
        </w:tc>
        <w:tc>
          <w:tcPr>
            <w:tcW w:w="2916" w:type="pct"/>
            <w:vAlign w:val="center"/>
          </w:tcPr>
          <w:p w14:paraId="393BE515">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医保基金预算通过复审后，返回市经办机构，市经办机构进行确认。</w:t>
            </w:r>
          </w:p>
        </w:tc>
      </w:tr>
      <w:tr w14:paraId="67E0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26A6291">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56543D93">
            <w:pPr>
              <w:pStyle w:val="138"/>
              <w:spacing w:line="240" w:lineRule="auto"/>
              <w:rPr>
                <w:rFonts w:hint="default" w:ascii="Times New Roman Regular" w:hAnsi="Times New Roman Regular" w:eastAsia="仿宋_GB2312" w:cs="Times New Roman Regular"/>
              </w:rPr>
            </w:pPr>
          </w:p>
        </w:tc>
        <w:tc>
          <w:tcPr>
            <w:tcW w:w="968" w:type="pct"/>
            <w:vAlign w:val="center"/>
          </w:tcPr>
          <w:p w14:paraId="78CB15A1">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医保基金三年中期收支规划表上报管理（新建）</w:t>
            </w:r>
          </w:p>
        </w:tc>
        <w:tc>
          <w:tcPr>
            <w:tcW w:w="2916" w:type="pct"/>
            <w:vAlign w:val="center"/>
          </w:tcPr>
          <w:p w14:paraId="2209AA8A">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医保基金三年中期收支规划表编制完毕后，点击上报，选择上报节点，即可按照医保基金三年中期收支规划编制任务将所有报表和报告完成报送。可查询报送状态和报送时间。如在财政未接收之前，可以选择撤回，如已接收，则不能执行撤回操作。</w:t>
            </w:r>
          </w:p>
        </w:tc>
      </w:tr>
      <w:tr w14:paraId="19DC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0943D60">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restart"/>
            <w:vAlign w:val="center"/>
          </w:tcPr>
          <w:p w14:paraId="7203512E">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医保基金预算收支余管理（翻建）</w:t>
            </w:r>
          </w:p>
        </w:tc>
        <w:tc>
          <w:tcPr>
            <w:tcW w:w="968" w:type="pct"/>
            <w:vAlign w:val="center"/>
          </w:tcPr>
          <w:p w14:paraId="044E5297">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收入管理（翻建）</w:t>
            </w:r>
          </w:p>
        </w:tc>
        <w:tc>
          <w:tcPr>
            <w:tcW w:w="2916" w:type="pct"/>
            <w:vAlign w:val="center"/>
          </w:tcPr>
          <w:p w14:paraId="4BC32E84">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以财政部下发的医保基金收入项目为口径的全流程收入管理功能。主要功能包括：医保基金收入数据接入管理、国库收入日报数据接入管理、财政专户流水单数据接入管理、医保基金收入预算指标自动关联管理、医保基金收入预算指标关联变更管理、医保基金预算收入指标手工关联管理。</w:t>
            </w:r>
          </w:p>
        </w:tc>
      </w:tr>
      <w:tr w14:paraId="7231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354076FF">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0521E710">
            <w:pPr>
              <w:pStyle w:val="138"/>
              <w:spacing w:line="240" w:lineRule="auto"/>
              <w:rPr>
                <w:rFonts w:hint="default" w:ascii="Times New Roman Regular" w:hAnsi="Times New Roman Regular" w:eastAsia="仿宋_GB2312" w:cs="Times New Roman Regular"/>
              </w:rPr>
            </w:pPr>
          </w:p>
        </w:tc>
        <w:tc>
          <w:tcPr>
            <w:tcW w:w="968" w:type="pct"/>
            <w:vAlign w:val="center"/>
          </w:tcPr>
          <w:p w14:paraId="00A9FCCD">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支出管理（翻建）</w:t>
            </w:r>
          </w:p>
        </w:tc>
        <w:tc>
          <w:tcPr>
            <w:tcW w:w="2916" w:type="pct"/>
            <w:vAlign w:val="center"/>
          </w:tcPr>
          <w:p w14:paraId="1453E97D">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结合医保基金支出预算指标与实际支付数据形成预算指标与支付数据的关联，建立预算指标关联关系配置，为预算指标执行情况提供基础支撑。通过关联关系与获取的支付数据形成预算指标完成率及执行情况的统计信息。</w:t>
            </w:r>
          </w:p>
        </w:tc>
      </w:tr>
      <w:tr w14:paraId="472D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407D845">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1C00B067">
            <w:pPr>
              <w:pStyle w:val="138"/>
              <w:spacing w:line="240" w:lineRule="auto"/>
              <w:rPr>
                <w:rFonts w:hint="default" w:ascii="Times New Roman Regular" w:hAnsi="Times New Roman Regular" w:eastAsia="仿宋_GB2312" w:cs="Times New Roman Regular"/>
              </w:rPr>
            </w:pPr>
          </w:p>
        </w:tc>
        <w:tc>
          <w:tcPr>
            <w:tcW w:w="968" w:type="pct"/>
            <w:vAlign w:val="center"/>
          </w:tcPr>
          <w:p w14:paraId="617C1105">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医保基金收支数据推送管理（翻建）</w:t>
            </w:r>
          </w:p>
        </w:tc>
        <w:tc>
          <w:tcPr>
            <w:tcW w:w="2916" w:type="pct"/>
            <w:vAlign w:val="center"/>
          </w:tcPr>
          <w:p w14:paraId="6FA5D018">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在医保经办机构完成医保基金收支数据确认后，需要按月完成医保基金收支数据推送财政部门的工作。选择当月要推送的数据，系统支持批量选择，按险种选择，按收支项目选择等等。选择完毕后，点击推送，医保基金收支数据将通过医保财政数据共享平台发送给财政预算一体化系统。支持用户对医保基金收支数据进行推送状态查询，包括已推送、未推送两种状态。如在数据推送后发生医保基金收支数据调整，则可以再次推送以覆盖历史推送版本。</w:t>
            </w:r>
          </w:p>
        </w:tc>
      </w:tr>
      <w:tr w14:paraId="588E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8A7AD01">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43A4D66E">
            <w:pPr>
              <w:pStyle w:val="138"/>
              <w:spacing w:line="240" w:lineRule="auto"/>
              <w:rPr>
                <w:rFonts w:hint="default" w:ascii="Times New Roman Regular" w:hAnsi="Times New Roman Regular" w:eastAsia="仿宋_GB2312" w:cs="Times New Roman Regular"/>
              </w:rPr>
            </w:pPr>
          </w:p>
        </w:tc>
        <w:tc>
          <w:tcPr>
            <w:tcW w:w="968" w:type="pct"/>
            <w:vAlign w:val="center"/>
          </w:tcPr>
          <w:p w14:paraId="25C31659">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医保基金收支结余查询管理（翻建）</w:t>
            </w:r>
          </w:p>
        </w:tc>
        <w:tc>
          <w:tcPr>
            <w:tcW w:w="2916" w:type="pct"/>
            <w:vAlign w:val="center"/>
          </w:tcPr>
          <w:p w14:paraId="483D2CBF">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医保基金收支结余在完成期末结账后，会自动计算完整会计期间的一般基金结余金额。但是医保基金通常未能按月结账，在按年度结账时，为了便于用户随时查询医保基金收支结余情况，设置本功能。</w:t>
            </w:r>
          </w:p>
          <w:p w14:paraId="6DEA821C">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系统根据医保基金收入当期发生额，按照对应险种基金收入核算类型进行分类；系统根据医保基金支出当期发生额，按照对应险种基金支出核算类型进行分类；在医保基金收支数据确认后，系统按照计算公式计算对应险种的基金结余，并提供用户查询。系统支持用户随时查询医保基金收支结余金额，因此医保基金收支结余数据是实时更新的当年累计结余，可随时更新查询。支持用户分险种进行查询。</w:t>
            </w:r>
          </w:p>
        </w:tc>
      </w:tr>
      <w:tr w14:paraId="21D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B0B8EC1">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restart"/>
            <w:vAlign w:val="center"/>
          </w:tcPr>
          <w:p w14:paraId="3570785A">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医保基金月、季、年预算执行情况管理（翻建）</w:t>
            </w:r>
          </w:p>
        </w:tc>
        <w:tc>
          <w:tcPr>
            <w:tcW w:w="968" w:type="pct"/>
            <w:vAlign w:val="center"/>
          </w:tcPr>
          <w:p w14:paraId="36C5E073">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职工医保基金月、季、年度预算执行情况管理（翻建）</w:t>
            </w:r>
          </w:p>
        </w:tc>
        <w:tc>
          <w:tcPr>
            <w:tcW w:w="2916" w:type="pct"/>
            <w:vAlign w:val="center"/>
          </w:tcPr>
          <w:p w14:paraId="604067C1">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重新定制职工医保基金月、季、年度预算执行情况上报模板并获取医保基金预算执行数据，经办人员核实确认并补充相关信息及资料后生成基金预算执行信息并确认。包括职工基本医疗保险(含生育保险)基金月、季、年度执行情况基础信息、上报信息、当月合计信息、累计合计信息、当月同期对比、环比、累计同比及职工医疗保险基金收支指标信息。针对异常指标，支持佐证材料上传和文字描述录入。</w:t>
            </w:r>
          </w:p>
        </w:tc>
      </w:tr>
      <w:tr w14:paraId="02C6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5460628">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0A67022E">
            <w:pPr>
              <w:pStyle w:val="138"/>
              <w:spacing w:line="240" w:lineRule="auto"/>
              <w:rPr>
                <w:rFonts w:hint="default" w:ascii="Times New Roman Regular" w:hAnsi="Times New Roman Regular" w:eastAsia="仿宋_GB2312" w:cs="Times New Roman Regular"/>
              </w:rPr>
            </w:pPr>
          </w:p>
        </w:tc>
        <w:tc>
          <w:tcPr>
            <w:tcW w:w="968" w:type="pct"/>
            <w:vAlign w:val="center"/>
          </w:tcPr>
          <w:p w14:paraId="2CCB436D">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居民医保基金月、季、年度预算执行情况管理（翻建）</w:t>
            </w:r>
          </w:p>
        </w:tc>
        <w:tc>
          <w:tcPr>
            <w:tcW w:w="2916" w:type="pct"/>
            <w:vAlign w:val="center"/>
          </w:tcPr>
          <w:p w14:paraId="0CE68697">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重新定制居民医保基金月、季、年度预算执行情况上报模板并获取医保基金预算执行数据，经办人员核实确认并补充相关信息及资料后生成基金预算执行信息并确认。包括居民基本医疗保险基金月、季、年度执行情况基础信息、上报信息、累计合计信息、累计同比及城乡居民保险基金收支指标信息。针对异常指标，支持佐证材料上传和文字描述录入。</w:t>
            </w:r>
          </w:p>
        </w:tc>
      </w:tr>
      <w:tr w14:paraId="0176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2319E99">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449DFC32">
            <w:pPr>
              <w:pStyle w:val="138"/>
              <w:spacing w:line="240" w:lineRule="auto"/>
              <w:rPr>
                <w:rFonts w:hint="default" w:ascii="Times New Roman Regular" w:hAnsi="Times New Roman Regular" w:eastAsia="仿宋_GB2312" w:cs="Times New Roman Regular"/>
              </w:rPr>
            </w:pPr>
          </w:p>
        </w:tc>
        <w:tc>
          <w:tcPr>
            <w:tcW w:w="968" w:type="pct"/>
            <w:vAlign w:val="center"/>
          </w:tcPr>
          <w:p w14:paraId="7BE0E5DE">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长期护理保险基金月、季、年度预算执行情况管理（翻建）</w:t>
            </w:r>
          </w:p>
        </w:tc>
        <w:tc>
          <w:tcPr>
            <w:tcW w:w="2916" w:type="pct"/>
            <w:vAlign w:val="center"/>
          </w:tcPr>
          <w:p w14:paraId="7DDF7ACB">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重新定制长期护理保险基金月、季、年度预算执行情况上报模板并获取长期护理保险基金预算执行数据，经办人员核实确认并补充相关信息及资料后生成基金预算执行信息并确认。包括一类人群及二类人群基金月、季、年度执行情况基础信息、上报信息、累计合计信息、累计同比及长期护理保险基金收支指标信息。针对异常指标，支持佐证材料上传和文字描述录入。</w:t>
            </w:r>
          </w:p>
        </w:tc>
      </w:tr>
      <w:tr w14:paraId="6B1E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421A33C4">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0240D002">
            <w:pPr>
              <w:pStyle w:val="138"/>
              <w:spacing w:line="240" w:lineRule="auto"/>
              <w:rPr>
                <w:rFonts w:hint="default" w:ascii="Times New Roman Regular" w:hAnsi="Times New Roman Regular" w:eastAsia="仿宋_GB2312" w:cs="Times New Roman Regular"/>
              </w:rPr>
            </w:pPr>
          </w:p>
        </w:tc>
        <w:tc>
          <w:tcPr>
            <w:tcW w:w="968" w:type="pct"/>
            <w:vAlign w:val="center"/>
          </w:tcPr>
          <w:p w14:paraId="0B788797">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医疗救助保险基金月、季、年度预算执行情况管理（翻建）</w:t>
            </w:r>
          </w:p>
        </w:tc>
        <w:tc>
          <w:tcPr>
            <w:tcW w:w="2916" w:type="pct"/>
            <w:vAlign w:val="center"/>
          </w:tcPr>
          <w:p w14:paraId="29F65B70">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重新定制医疗救助保险基金月、季、年度预算执行情况上报模板并获取医疗救助保险基金预算执行数据，经办人员核实确认并补充相关信息及资料后生成基金预算执行信息并确认。包括基金月、季、年度执行情况基础信息、上报信息、累计合计信息、累计同比及医疗救助保险基金收支指标信息。针对异常指标，支持佐证材料上传和文字描述录入。</w:t>
            </w:r>
          </w:p>
        </w:tc>
      </w:tr>
      <w:tr w14:paraId="04A5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1336C1A0">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36AEC103">
            <w:pPr>
              <w:pStyle w:val="138"/>
              <w:spacing w:line="240" w:lineRule="auto"/>
              <w:rPr>
                <w:rFonts w:hint="default" w:ascii="Times New Roman Regular" w:hAnsi="Times New Roman Regular" w:eastAsia="仿宋_GB2312" w:cs="Times New Roman Regular"/>
              </w:rPr>
            </w:pPr>
          </w:p>
        </w:tc>
        <w:tc>
          <w:tcPr>
            <w:tcW w:w="968" w:type="pct"/>
            <w:vAlign w:val="center"/>
          </w:tcPr>
          <w:p w14:paraId="692F582B">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互助帮困保险基金月、季、年度预算执行情况管理（翻建）</w:t>
            </w:r>
          </w:p>
        </w:tc>
        <w:tc>
          <w:tcPr>
            <w:tcW w:w="2916" w:type="pct"/>
            <w:vAlign w:val="center"/>
          </w:tcPr>
          <w:p w14:paraId="58565FC8">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重新定制互助帮困保险基金月、季、年度预算执行情况上报模板并获取互助帮困保险基金预算执行数据，经办人员核实确认并补充相关信息及资料后生成基金预算执行信息并确认。包括基金月、季、年度执行情况基础信息、上报信息、累计合计信息、累计同比及互助帮困保险基金收支指标信息。针对异常指标，支持佐证材料上传和文字描述录入。</w:t>
            </w:r>
          </w:p>
        </w:tc>
      </w:tr>
      <w:tr w14:paraId="3404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85FFD31">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restart"/>
            <w:vAlign w:val="center"/>
          </w:tcPr>
          <w:p w14:paraId="7581298C">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医保基金使用效率监控跟踪管理（翻建）</w:t>
            </w:r>
          </w:p>
        </w:tc>
        <w:tc>
          <w:tcPr>
            <w:tcW w:w="968" w:type="pct"/>
            <w:vAlign w:val="center"/>
          </w:tcPr>
          <w:p w14:paraId="7723DD83">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使用效率目标库管理（翻建）</w:t>
            </w:r>
          </w:p>
        </w:tc>
        <w:tc>
          <w:tcPr>
            <w:tcW w:w="2916" w:type="pct"/>
            <w:vAlign w:val="center"/>
          </w:tcPr>
          <w:p w14:paraId="35F5DBF5">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实现医保基金预算使用效率的全过程监控跟踪管理，包括医保基金使用效率目标及目标值管理、使用效率的跟踪及综合评价、评价结果应用等。</w:t>
            </w:r>
          </w:p>
        </w:tc>
      </w:tr>
      <w:tr w14:paraId="1572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1C43BEC8">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6DFACB4E">
            <w:pPr>
              <w:pStyle w:val="138"/>
              <w:spacing w:line="240" w:lineRule="auto"/>
              <w:rPr>
                <w:rFonts w:hint="default" w:ascii="Times New Roman Regular" w:hAnsi="Times New Roman Regular" w:eastAsia="仿宋_GB2312" w:cs="Times New Roman Regular"/>
              </w:rPr>
            </w:pPr>
          </w:p>
        </w:tc>
        <w:tc>
          <w:tcPr>
            <w:tcW w:w="968" w:type="pct"/>
            <w:vAlign w:val="center"/>
          </w:tcPr>
          <w:p w14:paraId="49566892">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使用效率目标值管理（翻建）</w:t>
            </w:r>
          </w:p>
        </w:tc>
        <w:tc>
          <w:tcPr>
            <w:tcW w:w="2916" w:type="pct"/>
            <w:vAlign w:val="center"/>
          </w:tcPr>
          <w:p w14:paraId="12F67EFC">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主要功能包括：目标值设置、共性目标值维护、个性目标值维护、目标推荐方案维护。</w:t>
            </w:r>
          </w:p>
        </w:tc>
      </w:tr>
      <w:tr w14:paraId="1AEA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C92EA38">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0B304774">
            <w:pPr>
              <w:pStyle w:val="138"/>
              <w:spacing w:line="240" w:lineRule="auto"/>
              <w:rPr>
                <w:rFonts w:hint="default" w:ascii="Times New Roman Regular" w:hAnsi="Times New Roman Regular" w:eastAsia="仿宋_GB2312" w:cs="Times New Roman Regular"/>
              </w:rPr>
            </w:pPr>
          </w:p>
        </w:tc>
        <w:tc>
          <w:tcPr>
            <w:tcW w:w="968" w:type="pct"/>
            <w:vAlign w:val="center"/>
          </w:tcPr>
          <w:p w14:paraId="5631F033">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国家医保局基金使用效率指标确认（翻建）</w:t>
            </w:r>
          </w:p>
        </w:tc>
        <w:tc>
          <w:tcPr>
            <w:tcW w:w="2916" w:type="pct"/>
            <w:vAlign w:val="center"/>
          </w:tcPr>
          <w:p w14:paraId="54D8C42B">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主要功能包括：关键目标管理、关键目标填报、关键目标审核、关键目标填报结果查询</w:t>
            </w:r>
          </w:p>
        </w:tc>
      </w:tr>
      <w:tr w14:paraId="6A14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34DD38DD">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25DB3E71">
            <w:pPr>
              <w:pStyle w:val="138"/>
              <w:spacing w:line="240" w:lineRule="auto"/>
              <w:rPr>
                <w:rFonts w:hint="default" w:ascii="Times New Roman Regular" w:hAnsi="Times New Roman Regular" w:eastAsia="仿宋_GB2312" w:cs="Times New Roman Regular"/>
              </w:rPr>
            </w:pPr>
          </w:p>
        </w:tc>
        <w:tc>
          <w:tcPr>
            <w:tcW w:w="968" w:type="pct"/>
            <w:vAlign w:val="center"/>
          </w:tcPr>
          <w:p w14:paraId="66F74BD1">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目标值监测管理（翻建）</w:t>
            </w:r>
          </w:p>
        </w:tc>
        <w:tc>
          <w:tcPr>
            <w:tcW w:w="2916" w:type="pct"/>
            <w:vAlign w:val="center"/>
          </w:tcPr>
          <w:p w14:paraId="382477CE">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目标值监测管理是指通过规则设定，系统可自动测算实际值与目标值之间的差异，并分差异等级予以相应自动提示，并可形成简要的自查跟踪报告，市行政部门有关人员对提示信息及跟踪报告相关内容进行审视，分类提出相应的处理或建设意见，通过系统反馈到下级医保局或经办机构，并可以产生相应规定格式的“处理意见单”，供打印使用。医保局可定期对下级经办机构目标措施的制定和落实情况、执行情况和目标实现情况进行检查，提出改进意见和措施。</w:t>
            </w:r>
          </w:p>
        </w:tc>
      </w:tr>
      <w:tr w14:paraId="7C86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3D570DBE">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4FB6F4B6">
            <w:pPr>
              <w:pStyle w:val="138"/>
              <w:spacing w:line="240" w:lineRule="auto"/>
              <w:rPr>
                <w:rFonts w:hint="default" w:ascii="Times New Roman Regular" w:hAnsi="Times New Roman Regular" w:eastAsia="仿宋_GB2312" w:cs="Times New Roman Regular"/>
              </w:rPr>
            </w:pPr>
          </w:p>
        </w:tc>
        <w:tc>
          <w:tcPr>
            <w:tcW w:w="968" w:type="pct"/>
            <w:vAlign w:val="center"/>
          </w:tcPr>
          <w:p w14:paraId="38D6B6EB">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医保基金使用效率综合评价（翻建）</w:t>
            </w:r>
          </w:p>
        </w:tc>
        <w:tc>
          <w:tcPr>
            <w:tcW w:w="2916" w:type="pct"/>
            <w:vAlign w:val="center"/>
          </w:tcPr>
          <w:p w14:paraId="2034362E">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综合结果评价是目标执行完毕后，按照相关要求，运用科学、合理的评价指标、评价标准和方法，依据设定的目标，对目标实现程度、政策产出效果进行客观公正的测量、分析和评判，形成评价结果的活动。</w:t>
            </w:r>
          </w:p>
          <w:p w14:paraId="0E0F5044">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综合评价包括经办机构自评和上级部门复评。上级部门复评根据工作需要及相关规定，可委托第三方机构具体实施，采用定量与定性评价相结合的方式，并出具评估报告。</w:t>
            </w:r>
          </w:p>
        </w:tc>
      </w:tr>
      <w:tr w14:paraId="21C7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04F7A83">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641BD12C">
            <w:pPr>
              <w:pStyle w:val="138"/>
              <w:spacing w:line="240" w:lineRule="auto"/>
              <w:rPr>
                <w:rFonts w:hint="default" w:ascii="Times New Roman Regular" w:hAnsi="Times New Roman Regular" w:eastAsia="仿宋_GB2312" w:cs="Times New Roman Regular"/>
              </w:rPr>
            </w:pPr>
          </w:p>
        </w:tc>
        <w:tc>
          <w:tcPr>
            <w:tcW w:w="968" w:type="pct"/>
            <w:vAlign w:val="center"/>
          </w:tcPr>
          <w:p w14:paraId="1A34802B">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医保基金动态对比分析管理（翻建）</w:t>
            </w:r>
          </w:p>
        </w:tc>
        <w:tc>
          <w:tcPr>
            <w:tcW w:w="2916" w:type="pct"/>
            <w:vAlign w:val="center"/>
          </w:tcPr>
          <w:p w14:paraId="6B25BCC6">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对医保基金历年收支情况、区域目标动态情况、目标问题情况、问题整改情况及跟踪过程情况的统计分析。主要功能包括：历年职工医保收支比对分析、历年城乡居保收支比对分析、医保基金目标问题统计分析、医保基金问题整改统计分析、医保基金跟踪过程统计分析。</w:t>
            </w:r>
          </w:p>
        </w:tc>
      </w:tr>
      <w:tr w14:paraId="6580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AD8581B">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restart"/>
            <w:vAlign w:val="center"/>
          </w:tcPr>
          <w:p w14:paraId="28B8BCE8">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医保基金财务探查管理（翻建）</w:t>
            </w:r>
          </w:p>
        </w:tc>
        <w:tc>
          <w:tcPr>
            <w:tcW w:w="968" w:type="pct"/>
            <w:vAlign w:val="center"/>
          </w:tcPr>
          <w:p w14:paraId="5233D37E">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重点指标监测总览（翻建）</w:t>
            </w:r>
          </w:p>
        </w:tc>
        <w:tc>
          <w:tcPr>
            <w:tcW w:w="2916" w:type="pct"/>
            <w:vAlign w:val="center"/>
          </w:tcPr>
          <w:p w14:paraId="29455FFE">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通过收集各类基本医疗保险基金运行相关的各类数据和信息，对收集的重点数据进行加工、分析和比较，能够及时发现基金运行中的异常情况，如基金收支不平衡、基金结余过多或过少等，从而提前发出预警信号，提醒决策者采取相应措施，防范基金风险。重点指标监测主要包括职工基金收入、职工医院支出、职工生育待遇支出、职工总额预算、职工基金结余、职工累计滚存结余、居保总额预算、居保基金结余、长护险基金支出、长护险养老机构照护待遇支出、医疗救助资助参保支出、医疗救助人次及互助帮困资金收入等。</w:t>
            </w:r>
          </w:p>
        </w:tc>
      </w:tr>
      <w:tr w14:paraId="1773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79F68F9">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098AD993">
            <w:pPr>
              <w:pStyle w:val="138"/>
              <w:spacing w:line="240" w:lineRule="auto"/>
              <w:rPr>
                <w:rFonts w:hint="default" w:ascii="Times New Roman Regular" w:hAnsi="Times New Roman Regular" w:eastAsia="仿宋_GB2312" w:cs="Times New Roman Regular"/>
              </w:rPr>
            </w:pPr>
          </w:p>
        </w:tc>
        <w:tc>
          <w:tcPr>
            <w:tcW w:w="968" w:type="pct"/>
            <w:vAlign w:val="center"/>
          </w:tcPr>
          <w:p w14:paraId="2EC989F6">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职工指标监测（翻建）</w:t>
            </w:r>
          </w:p>
        </w:tc>
        <w:tc>
          <w:tcPr>
            <w:tcW w:w="2916" w:type="pct"/>
            <w:vAlign w:val="center"/>
          </w:tcPr>
          <w:p w14:paraId="04BE66A1">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通过收集与职工基本医疗保险基金运行相关的市级各类数据和信息，对收集的数据进行加工、分析和比较，能够及时发现基金运行中的异常情况，如基金收支不平衡、基金结余过多或过少等，从而提前发出预警信号，提醒决策者采取相应措施，防范基金风险。职工基金监测指标主要包括基金收入、财政补贴收入、基本医疗保险费收入、利息收入、其他收入、参保人数、基金支出、门急诊支出、住院支出、离休、结余留用、及生育支出等。</w:t>
            </w:r>
          </w:p>
        </w:tc>
      </w:tr>
      <w:tr w14:paraId="3389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66B12FA">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64C3D63D">
            <w:pPr>
              <w:pStyle w:val="138"/>
              <w:spacing w:line="240" w:lineRule="auto"/>
              <w:rPr>
                <w:rFonts w:hint="default" w:ascii="Times New Roman Regular" w:hAnsi="Times New Roman Regular" w:eastAsia="仿宋_GB2312" w:cs="Times New Roman Regular"/>
              </w:rPr>
            </w:pPr>
          </w:p>
        </w:tc>
        <w:tc>
          <w:tcPr>
            <w:tcW w:w="968" w:type="pct"/>
            <w:vAlign w:val="center"/>
          </w:tcPr>
          <w:p w14:paraId="47FEBEB2">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居民指标监测（翻建）</w:t>
            </w:r>
          </w:p>
        </w:tc>
        <w:tc>
          <w:tcPr>
            <w:tcW w:w="2916" w:type="pct"/>
            <w:vAlign w:val="center"/>
          </w:tcPr>
          <w:p w14:paraId="12E69905">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通过收集与城乡居民医疗保险基金运行相关的市级各类数据和信息，对收集的数据进行加工、分析和比较，根据月、季、年、人群、同比及环比等多维度分析数据，防范基金风险。城乡居民医疗保险基金监测指标主要包括基金收入、财政补贴收入、基本医疗保险费收入、利息收入、70周岁以上人员参保人数、60-69周岁人员、个人缴费达标率、财政补助达标率、基金支出、大病保险支出、基本医疗保险待遇支出、非医院支出、家庭签约服务费、门诊慢特病人次及门诊慢特病金额等。</w:t>
            </w:r>
          </w:p>
        </w:tc>
      </w:tr>
      <w:tr w14:paraId="6C0D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BC22EE7">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538E13FB">
            <w:pPr>
              <w:pStyle w:val="138"/>
              <w:spacing w:line="240" w:lineRule="auto"/>
              <w:rPr>
                <w:rFonts w:hint="default" w:ascii="Times New Roman Regular" w:hAnsi="Times New Roman Regular" w:eastAsia="仿宋_GB2312" w:cs="Times New Roman Regular"/>
              </w:rPr>
            </w:pPr>
          </w:p>
        </w:tc>
        <w:tc>
          <w:tcPr>
            <w:tcW w:w="968" w:type="pct"/>
            <w:vAlign w:val="center"/>
          </w:tcPr>
          <w:p w14:paraId="0CA169A4">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长护险指标监测（翻建）</w:t>
            </w:r>
          </w:p>
        </w:tc>
        <w:tc>
          <w:tcPr>
            <w:tcW w:w="2916" w:type="pct"/>
            <w:vAlign w:val="center"/>
          </w:tcPr>
          <w:p w14:paraId="275E69CF">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通过收集与长期护理保险基金运行相关的市级各类数据和信息，对收集的数据进行加工、分析和比较，根据月、季、年、人群、同比及环比等多维度分析数据，防范基金风险。长期护理保险基金监测指标主要包括一类人员基金收入、二类人员基金收入、一类人员基金支、一类人员基金结余、一类人员评估结果二至六级人数、二类人员评估结果二至六级人数、一类人员评估人次、一类人员经评估享受人次、长护险评估费用增速及长护险服务费用增速等。</w:t>
            </w:r>
          </w:p>
        </w:tc>
      </w:tr>
      <w:tr w14:paraId="0C41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CEF5125">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3408E1DE">
            <w:pPr>
              <w:pStyle w:val="138"/>
              <w:spacing w:line="240" w:lineRule="auto"/>
              <w:rPr>
                <w:rFonts w:hint="default" w:ascii="Times New Roman Regular" w:hAnsi="Times New Roman Regular" w:eastAsia="仿宋_GB2312" w:cs="Times New Roman Regular"/>
              </w:rPr>
            </w:pPr>
          </w:p>
        </w:tc>
        <w:tc>
          <w:tcPr>
            <w:tcW w:w="968" w:type="pct"/>
            <w:vAlign w:val="center"/>
          </w:tcPr>
          <w:p w14:paraId="53CDCB01">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医疗救助指标监测（翻建）</w:t>
            </w:r>
          </w:p>
        </w:tc>
        <w:tc>
          <w:tcPr>
            <w:tcW w:w="2916" w:type="pct"/>
            <w:vAlign w:val="center"/>
          </w:tcPr>
          <w:p w14:paraId="18F1B889">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通过收集与医疗救助基金相关的市级各类数据和信息，对收集的数据进行加工、分析和比较，根据月、季、年、人群、同比及环比等多维度分析数据，防范基金风险。医疗救助基金监测指标主要包括中央财政补助收入、省级财政补助收入、一般公共预算安排、其他资金收入、资助参保支出、住院救助支出、门诊救助支出及医疗救助人次等。</w:t>
            </w:r>
          </w:p>
        </w:tc>
      </w:tr>
      <w:tr w14:paraId="0296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3B1E406F">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129AB593">
            <w:pPr>
              <w:pStyle w:val="138"/>
              <w:spacing w:line="240" w:lineRule="auto"/>
              <w:rPr>
                <w:rFonts w:hint="default" w:ascii="Times New Roman Regular" w:hAnsi="Times New Roman Regular" w:eastAsia="仿宋_GB2312" w:cs="Times New Roman Regular"/>
              </w:rPr>
            </w:pPr>
          </w:p>
        </w:tc>
        <w:tc>
          <w:tcPr>
            <w:tcW w:w="968" w:type="pct"/>
            <w:vAlign w:val="center"/>
          </w:tcPr>
          <w:p w14:paraId="5434744F">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互助帮困指标监测（翻建）</w:t>
            </w:r>
          </w:p>
        </w:tc>
        <w:tc>
          <w:tcPr>
            <w:tcW w:w="2916" w:type="pct"/>
            <w:vAlign w:val="center"/>
          </w:tcPr>
          <w:p w14:paraId="7B5EE578">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通过收集与互助帮困基金相关的市级各类数据和信息，对收集的数据进行加工、分析和比较，根据月、季、年、人群、同比及环比等多维度分析数据，防范基金风险。互助帮困基金监测指标主要包括中个人缴费收入、市级政府拨款收入、区级政府拨款收入、利息收入、门诊医疗费用补贴支出、门诊医疗费用补助支出、社区居家照护支出及养老机构照护支出等。</w:t>
            </w:r>
          </w:p>
        </w:tc>
      </w:tr>
      <w:tr w14:paraId="0F3A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552CA84">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6430001F">
            <w:pPr>
              <w:pStyle w:val="138"/>
              <w:spacing w:line="240" w:lineRule="auto"/>
              <w:rPr>
                <w:rFonts w:hint="default" w:ascii="Times New Roman Regular" w:hAnsi="Times New Roman Regular" w:eastAsia="仿宋_GB2312" w:cs="Times New Roman Regular"/>
              </w:rPr>
            </w:pPr>
          </w:p>
        </w:tc>
        <w:tc>
          <w:tcPr>
            <w:tcW w:w="968" w:type="pct"/>
            <w:vAlign w:val="center"/>
          </w:tcPr>
          <w:p w14:paraId="208191C3">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各区职工指标监测（翻建）</w:t>
            </w:r>
          </w:p>
        </w:tc>
        <w:tc>
          <w:tcPr>
            <w:tcW w:w="2916" w:type="pct"/>
            <w:vAlign w:val="center"/>
          </w:tcPr>
          <w:p w14:paraId="25C199EB">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通过收集与职工医疗保险基金相关的区级各类数据和信息，对收集的数据进行加工、分析和比较，根据月、季、年、人群、同比及环比等多维度分析数据，防范基金风险。职工医疗保险基金监测指标主要包括职工参保人数、职工在职退休比、职工门急诊人次、职工住院人次、职工门诊慢特病人次、职工享受生育医疗费人数及职工享受生育津贴人数等。</w:t>
            </w:r>
          </w:p>
        </w:tc>
      </w:tr>
      <w:tr w14:paraId="3407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3A90999">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16E203CF">
            <w:pPr>
              <w:pStyle w:val="138"/>
              <w:spacing w:line="240" w:lineRule="auto"/>
              <w:rPr>
                <w:rFonts w:hint="default" w:ascii="Times New Roman Regular" w:hAnsi="Times New Roman Regular" w:eastAsia="仿宋_GB2312" w:cs="Times New Roman Regular"/>
              </w:rPr>
            </w:pPr>
          </w:p>
        </w:tc>
        <w:tc>
          <w:tcPr>
            <w:tcW w:w="968" w:type="pct"/>
            <w:vAlign w:val="center"/>
          </w:tcPr>
          <w:p w14:paraId="77B8CBC7">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各区居民指标监测（翻建）</w:t>
            </w:r>
          </w:p>
        </w:tc>
        <w:tc>
          <w:tcPr>
            <w:tcW w:w="2916" w:type="pct"/>
            <w:vAlign w:val="center"/>
          </w:tcPr>
          <w:p w14:paraId="076E7840">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通过收集与城乡居民医疗保险基金相关的区级各类数据和信息，对收集的数据进行加工、分析和比较，根据月、季、年、人群、同比及环比等多维度分析数据，防范基金风险。城乡居民医疗保险基金监测指标主要包括门急诊人次、门急诊医疗费用结算、住院人次、门诊慢特病人次等。</w:t>
            </w:r>
          </w:p>
        </w:tc>
      </w:tr>
      <w:tr w14:paraId="114C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B24E72E">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41C58A88">
            <w:pPr>
              <w:pStyle w:val="138"/>
              <w:spacing w:line="240" w:lineRule="auto"/>
              <w:rPr>
                <w:rFonts w:hint="default" w:ascii="Times New Roman Regular" w:hAnsi="Times New Roman Regular" w:eastAsia="仿宋_GB2312" w:cs="Times New Roman Regular"/>
              </w:rPr>
            </w:pPr>
          </w:p>
        </w:tc>
        <w:tc>
          <w:tcPr>
            <w:tcW w:w="968" w:type="pct"/>
            <w:vAlign w:val="center"/>
          </w:tcPr>
          <w:p w14:paraId="52604D6F">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各区长护险指标监测（翻建）</w:t>
            </w:r>
          </w:p>
        </w:tc>
        <w:tc>
          <w:tcPr>
            <w:tcW w:w="2916" w:type="pct"/>
            <w:vAlign w:val="center"/>
          </w:tcPr>
          <w:p w14:paraId="538786D8">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通过收集与长期护理保险基金相关的区级各类数据和信息，对收集的数据进行加工、分析和比较，根据月、季、年、人群、同比及环比等多维度分析数据，防范基金风险。长期护理保险基金监测指标主要包括居家上门照护服务人数、养老机构照护服务人数、社区日间照护服务人数、现金补助人数、居家上门照护待遇支出、养老机构照护待遇支及社区日间照护待遇支出等。</w:t>
            </w:r>
          </w:p>
        </w:tc>
      </w:tr>
      <w:tr w14:paraId="3132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1EF2B0C">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5F534546">
            <w:pPr>
              <w:pStyle w:val="138"/>
              <w:spacing w:line="240" w:lineRule="auto"/>
              <w:rPr>
                <w:rFonts w:hint="default" w:ascii="Times New Roman Regular" w:hAnsi="Times New Roman Regular" w:eastAsia="仿宋_GB2312" w:cs="Times New Roman Regular"/>
              </w:rPr>
            </w:pPr>
          </w:p>
        </w:tc>
        <w:tc>
          <w:tcPr>
            <w:tcW w:w="968" w:type="pct"/>
            <w:vAlign w:val="center"/>
          </w:tcPr>
          <w:p w14:paraId="18956713">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各区医疗救助指标监测（翻建）</w:t>
            </w:r>
          </w:p>
        </w:tc>
        <w:tc>
          <w:tcPr>
            <w:tcW w:w="2916" w:type="pct"/>
            <w:vAlign w:val="center"/>
          </w:tcPr>
          <w:p w14:paraId="369FF2CF">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通过收集与医疗救助保险基金相关的区级各类数据和信息，对收集的数据进行加工、分析和比较，根据月、季、年、人群、同比及环比等多维度分析数据，防范基金风险。医疗救助保险基金监测指标主要包括财政补助收入、其他资金收入、省级财政补助收入、资助参保支出、住院救助支出、门诊救助支出及其他支出等。</w:t>
            </w:r>
          </w:p>
        </w:tc>
      </w:tr>
      <w:tr w14:paraId="7B56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2A829B5">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0854BC21">
            <w:pPr>
              <w:pStyle w:val="138"/>
              <w:spacing w:line="240" w:lineRule="auto"/>
              <w:rPr>
                <w:rFonts w:hint="default" w:ascii="Times New Roman Regular" w:hAnsi="Times New Roman Regular" w:eastAsia="仿宋_GB2312" w:cs="Times New Roman Regular"/>
              </w:rPr>
            </w:pPr>
          </w:p>
        </w:tc>
        <w:tc>
          <w:tcPr>
            <w:tcW w:w="968" w:type="pct"/>
            <w:vAlign w:val="center"/>
          </w:tcPr>
          <w:p w14:paraId="35C1FA62">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各区互助帮困指标监测（翻建）</w:t>
            </w:r>
          </w:p>
        </w:tc>
        <w:tc>
          <w:tcPr>
            <w:tcW w:w="2916" w:type="pct"/>
            <w:vAlign w:val="center"/>
          </w:tcPr>
          <w:p w14:paraId="6DAF5B81">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通过收集与互助帮困保险基金相关的区级各类数据和信息，对收集的数据进行加工、分析和比较，根据月、季、年、人群、同比及环比等多维度分析数据，防范基金风险。互助帮困保险基金监测指标主要包括评估结果二至六级人数、评估人次、养老机构照护服务人数、医疗费用结算情况、居家上门照护服务人数、社区日间照护服务人数、医疗费用结算情况及现金补助人数等。</w:t>
            </w:r>
          </w:p>
        </w:tc>
      </w:tr>
      <w:tr w14:paraId="7A97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39D14E60">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restart"/>
            <w:vAlign w:val="center"/>
          </w:tcPr>
          <w:p w14:paraId="2DB88B39">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国家医保局基金预算共享配置管理（翻建）</w:t>
            </w:r>
          </w:p>
        </w:tc>
        <w:tc>
          <w:tcPr>
            <w:tcW w:w="968" w:type="pct"/>
            <w:vAlign w:val="center"/>
          </w:tcPr>
          <w:p w14:paraId="1BC1D516">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国家医保局预算数据同步及确认管理（翻建）</w:t>
            </w:r>
          </w:p>
        </w:tc>
        <w:tc>
          <w:tcPr>
            <w:tcW w:w="2916" w:type="pct"/>
            <w:vAlign w:val="center"/>
          </w:tcPr>
          <w:p w14:paraId="76187C7D">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国家医保信息平台制定医保基金预决算任务后通过交换区下发至上海市医保信息平台交换区，上海市医保基金财务管理子系统从交换区读取医保基金预决算编制任务。读取时，交换区记录预决算编制任务的状态，并将之改写为已接收。</w:t>
            </w:r>
          </w:p>
          <w:p w14:paraId="246CBCE6">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上海市医保基金财务管理子系统完成预决算编制后，点击上报按钮，将基金预决算数据向国家局上报，上海市医保信息平台家交换区接收医保基金预决算报表。国家医保信息平台通过交换区读取上海医保基金预决算报表，读取后同步至国家医保信息平台，在读取的同时改写医保基金预决算报表的状态为已上报。</w:t>
            </w:r>
          </w:p>
        </w:tc>
      </w:tr>
      <w:tr w14:paraId="3334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46A09C8">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1305FCD3">
            <w:pPr>
              <w:pStyle w:val="138"/>
              <w:spacing w:line="240" w:lineRule="auto"/>
              <w:rPr>
                <w:rFonts w:hint="default" w:ascii="Times New Roman Regular" w:hAnsi="Times New Roman Regular" w:eastAsia="仿宋_GB2312" w:cs="Times New Roman Regular"/>
              </w:rPr>
            </w:pPr>
          </w:p>
        </w:tc>
        <w:tc>
          <w:tcPr>
            <w:tcW w:w="968" w:type="pct"/>
            <w:vAlign w:val="center"/>
          </w:tcPr>
          <w:p w14:paraId="67C0E2D9">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外部数据日志管理（翻建）</w:t>
            </w:r>
          </w:p>
        </w:tc>
        <w:tc>
          <w:tcPr>
            <w:tcW w:w="2916" w:type="pct"/>
            <w:vAlign w:val="center"/>
          </w:tcPr>
          <w:p w14:paraId="6DCB8183">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对接入的外部数据进行日志管理，实现日志的统一留存、查询及授权管理，做到记录留痕。</w:t>
            </w:r>
          </w:p>
        </w:tc>
      </w:tr>
      <w:tr w14:paraId="1039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7B761704">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7C5DEEE2">
            <w:pPr>
              <w:pStyle w:val="138"/>
              <w:spacing w:line="240" w:lineRule="auto"/>
              <w:rPr>
                <w:rFonts w:hint="default" w:ascii="Times New Roman Regular" w:hAnsi="Times New Roman Regular" w:eastAsia="仿宋_GB2312" w:cs="Times New Roman Regular"/>
              </w:rPr>
            </w:pPr>
          </w:p>
        </w:tc>
        <w:tc>
          <w:tcPr>
            <w:tcW w:w="968" w:type="pct"/>
            <w:vAlign w:val="center"/>
          </w:tcPr>
          <w:p w14:paraId="3AA24CD0">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外部文件服务配置管理（翻建）</w:t>
            </w:r>
          </w:p>
        </w:tc>
        <w:tc>
          <w:tcPr>
            <w:tcW w:w="2916" w:type="pct"/>
            <w:vAlign w:val="center"/>
          </w:tcPr>
          <w:p w14:paraId="7F699303">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用于配置外部文件服务相关信息，包括服务类型、服务地址、端口、验证方式、文件路径、服务标识信息。实现文件服务的统一联通及管理。</w:t>
            </w:r>
          </w:p>
        </w:tc>
      </w:tr>
      <w:tr w14:paraId="1C7C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15F6E6E4">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3C04736C">
            <w:pPr>
              <w:pStyle w:val="138"/>
              <w:spacing w:line="240" w:lineRule="auto"/>
              <w:rPr>
                <w:rFonts w:hint="default" w:ascii="Times New Roman Regular" w:hAnsi="Times New Roman Regular" w:eastAsia="仿宋_GB2312" w:cs="Times New Roman Regular"/>
              </w:rPr>
            </w:pPr>
          </w:p>
        </w:tc>
        <w:tc>
          <w:tcPr>
            <w:tcW w:w="968" w:type="pct"/>
            <w:vAlign w:val="center"/>
          </w:tcPr>
          <w:p w14:paraId="11CCD1BA">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国家医保平台集成管理（翻建）</w:t>
            </w:r>
          </w:p>
        </w:tc>
        <w:tc>
          <w:tcPr>
            <w:tcW w:w="2916" w:type="pct"/>
            <w:vAlign w:val="center"/>
          </w:tcPr>
          <w:p w14:paraId="799677BA">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实现与国家医保信息平台的集成衔接，通过接口实现组织机构、用户、角色、权限信息的同步管理，实现统一入口登录、统一门户管理。</w:t>
            </w:r>
          </w:p>
        </w:tc>
      </w:tr>
      <w:tr w14:paraId="61AD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DF40881">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restart"/>
            <w:vAlign w:val="center"/>
          </w:tcPr>
          <w:p w14:paraId="75F73532">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上海市财政预算管理一体化共享配置管理（新建）</w:t>
            </w:r>
          </w:p>
        </w:tc>
        <w:tc>
          <w:tcPr>
            <w:tcW w:w="968" w:type="pct"/>
            <w:vAlign w:val="center"/>
          </w:tcPr>
          <w:p w14:paraId="27C0B46E">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医保基金财政基础资料同步管理（新建）</w:t>
            </w:r>
          </w:p>
        </w:tc>
        <w:tc>
          <w:tcPr>
            <w:tcW w:w="2916" w:type="pct"/>
            <w:vAlign w:val="center"/>
          </w:tcPr>
          <w:p w14:paraId="26D69DC7">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在保障数据安全的前提下，建立“标准统一、交换及时、信息完整、安全可控”的数据交换机制，实现市行政部门与财政部门的数据共享。</w:t>
            </w:r>
          </w:p>
          <w:p w14:paraId="126FAF84">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通过与上海市财政预算管理一体化衔接，将生成的用款申请、收入确认、支出结报、银行流水、基金财务科目余额账和生成科目明细账的记账凭证数据等自动传递到一体化社保模块中，同步将财政统一规范的收入科目、支出科目、预算绩效指标等与基金预算管理相关信息同步到系统中。</w:t>
            </w:r>
          </w:p>
        </w:tc>
      </w:tr>
      <w:tr w14:paraId="5F7D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4800D8C5">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6388D60E">
            <w:pPr>
              <w:pStyle w:val="138"/>
              <w:spacing w:line="240" w:lineRule="auto"/>
              <w:rPr>
                <w:rFonts w:hint="default" w:ascii="Times New Roman Regular" w:hAnsi="Times New Roman Regular" w:eastAsia="仿宋_GB2312" w:cs="Times New Roman Regular"/>
              </w:rPr>
            </w:pPr>
          </w:p>
        </w:tc>
        <w:tc>
          <w:tcPr>
            <w:tcW w:w="968" w:type="pct"/>
            <w:vAlign w:val="center"/>
          </w:tcPr>
          <w:p w14:paraId="1388C4C9">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医保基金财政预算底稿接收管理（新建）</w:t>
            </w:r>
          </w:p>
        </w:tc>
        <w:tc>
          <w:tcPr>
            <w:tcW w:w="2916" w:type="pct"/>
            <w:vAlign w:val="center"/>
          </w:tcPr>
          <w:p w14:paraId="00F20381">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通过财政部门与医保部门的数据共享接口接收财政医保基金预算工作底表，主要包括以下工作底表（示例）：职工基本医疗保险(含生育保险)基金收支预算表、城乡居民基本医疗保险基金收支预算表、长期护理险基金收支预算表、医疗救助基金收支预算表、互助帮困基金收支预算表、基本医疗保险基础资料表、社会保险基金补助情况表。</w:t>
            </w:r>
          </w:p>
        </w:tc>
      </w:tr>
      <w:tr w14:paraId="3A15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B67DDF6">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3ABB176F">
            <w:pPr>
              <w:pStyle w:val="138"/>
              <w:spacing w:line="240" w:lineRule="auto"/>
              <w:rPr>
                <w:rFonts w:hint="default" w:ascii="Times New Roman Regular" w:hAnsi="Times New Roman Regular" w:eastAsia="仿宋_GB2312" w:cs="Times New Roman Regular"/>
              </w:rPr>
            </w:pPr>
          </w:p>
        </w:tc>
        <w:tc>
          <w:tcPr>
            <w:tcW w:w="968" w:type="pct"/>
            <w:vAlign w:val="center"/>
          </w:tcPr>
          <w:p w14:paraId="367EDAD6">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医保基金财政预算底稿编制管理（新建）</w:t>
            </w:r>
          </w:p>
        </w:tc>
        <w:tc>
          <w:tcPr>
            <w:tcW w:w="2916" w:type="pct"/>
            <w:vAlign w:val="center"/>
          </w:tcPr>
          <w:p w14:paraId="3B9E1198">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主要功能包括：职工基本医疗保险(含生育保险)基金收支预算表管理、城乡居民基本医疗保险基金收支预算表管理、长期护理险基金收支预算表、医疗救助基金收支预算表、互助帮困基金收支预算表、社会保险基金补助情况表管理、基本医疗保险基础资料表管理。</w:t>
            </w:r>
          </w:p>
        </w:tc>
      </w:tr>
      <w:tr w14:paraId="23BD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FF9995A">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557D1711">
            <w:pPr>
              <w:pStyle w:val="138"/>
              <w:spacing w:line="240" w:lineRule="auto"/>
              <w:rPr>
                <w:rFonts w:hint="default" w:ascii="Times New Roman Regular" w:hAnsi="Times New Roman Regular" w:eastAsia="仿宋_GB2312" w:cs="Times New Roman Regular"/>
              </w:rPr>
            </w:pPr>
          </w:p>
        </w:tc>
        <w:tc>
          <w:tcPr>
            <w:tcW w:w="968" w:type="pct"/>
            <w:vAlign w:val="center"/>
          </w:tcPr>
          <w:p w14:paraId="3AEACD4E">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医保基金财政预算底稿审核管理（新建）</w:t>
            </w:r>
          </w:p>
        </w:tc>
        <w:tc>
          <w:tcPr>
            <w:tcW w:w="2916" w:type="pct"/>
            <w:vAlign w:val="center"/>
          </w:tcPr>
          <w:p w14:paraId="5CD2F2EA">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在市经办机构完成医保基金预算编制后，将医保基金预算底稿推送财政部门进行审核。选择要推送的数据，系统支持批量选择，按险种选择等等。选择完毕后，点击推送，医保基金预算底稿数据将通过医保财政数据共享平台发送给财政预算一体化系统。</w:t>
            </w:r>
          </w:p>
        </w:tc>
      </w:tr>
      <w:tr w14:paraId="5936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46BD81EF">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6F2E777A">
            <w:pPr>
              <w:pStyle w:val="138"/>
              <w:spacing w:line="240" w:lineRule="auto"/>
              <w:rPr>
                <w:rFonts w:hint="default" w:ascii="Times New Roman Regular" w:hAnsi="Times New Roman Regular" w:eastAsia="仿宋_GB2312" w:cs="Times New Roman Regular"/>
              </w:rPr>
            </w:pPr>
          </w:p>
        </w:tc>
        <w:tc>
          <w:tcPr>
            <w:tcW w:w="968" w:type="pct"/>
            <w:vAlign w:val="center"/>
          </w:tcPr>
          <w:p w14:paraId="64AA725D">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医保基金财政预算底稿汇总上报管理（新建）</w:t>
            </w:r>
          </w:p>
        </w:tc>
        <w:tc>
          <w:tcPr>
            <w:tcW w:w="2916" w:type="pct"/>
            <w:vAlign w:val="center"/>
          </w:tcPr>
          <w:p w14:paraId="79F23B1D">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工作底表汇总上报的具体功能包括：汇总、上报、上报状态查询。</w:t>
            </w:r>
          </w:p>
          <w:p w14:paraId="5CD2C5DD">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汇总：对下级经办机构审核通过工作底表进行汇总。</w:t>
            </w:r>
          </w:p>
          <w:p w14:paraId="1CFD92B8">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上报：将审核通过的工作底表上报至财政部门审核。</w:t>
            </w:r>
          </w:p>
          <w:p w14:paraId="46F251BE">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上报状态查询：对上报的状态进行查询，包括已上报、未上报。</w:t>
            </w:r>
          </w:p>
        </w:tc>
      </w:tr>
      <w:tr w14:paraId="2FE3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25CA032E">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51E8D10E">
            <w:pPr>
              <w:pStyle w:val="138"/>
              <w:spacing w:line="240" w:lineRule="auto"/>
              <w:rPr>
                <w:rFonts w:hint="default" w:ascii="Times New Roman Regular" w:hAnsi="Times New Roman Regular" w:eastAsia="仿宋_GB2312" w:cs="Times New Roman Regular"/>
              </w:rPr>
            </w:pPr>
          </w:p>
        </w:tc>
        <w:tc>
          <w:tcPr>
            <w:tcW w:w="968" w:type="pct"/>
            <w:vAlign w:val="center"/>
          </w:tcPr>
          <w:p w14:paraId="6BA8DBA7">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医保基金财政预算草案接收管理（新建）</w:t>
            </w:r>
          </w:p>
        </w:tc>
        <w:tc>
          <w:tcPr>
            <w:tcW w:w="2916" w:type="pct"/>
            <w:vAlign w:val="center"/>
          </w:tcPr>
          <w:p w14:paraId="47FF8024">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上海市财政医保基金预算草案只在市级编制，因此通过财政部门与医保部门的数据共享接口接收财政医保基金预算草案任务。</w:t>
            </w:r>
          </w:p>
        </w:tc>
      </w:tr>
      <w:tr w14:paraId="494D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4FC6C78B">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17E1F00C">
            <w:pPr>
              <w:pStyle w:val="138"/>
              <w:spacing w:line="240" w:lineRule="auto"/>
              <w:rPr>
                <w:rFonts w:hint="default" w:ascii="Times New Roman Regular" w:hAnsi="Times New Roman Regular" w:eastAsia="仿宋_GB2312" w:cs="Times New Roman Regular"/>
              </w:rPr>
            </w:pPr>
          </w:p>
        </w:tc>
        <w:tc>
          <w:tcPr>
            <w:tcW w:w="968" w:type="pct"/>
            <w:vAlign w:val="center"/>
          </w:tcPr>
          <w:p w14:paraId="51C2B9F3">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医保基金财政预算草案编制管理（新建）</w:t>
            </w:r>
          </w:p>
        </w:tc>
        <w:tc>
          <w:tcPr>
            <w:tcW w:w="2916" w:type="pct"/>
            <w:vAlign w:val="center"/>
          </w:tcPr>
          <w:p w14:paraId="366484F5">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医保基金预算草案与财政医保基金预算工作底表一一对应，因此基于财政医保基金预算工作底表汇总数据，系统能自动生成医保基金预算草案。当预算草案需要修改时，建议修改工作底表而不是直接修改草案数据。</w:t>
            </w:r>
          </w:p>
        </w:tc>
      </w:tr>
      <w:tr w14:paraId="696F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3AFA2627">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2996893A">
            <w:pPr>
              <w:pStyle w:val="138"/>
              <w:spacing w:line="240" w:lineRule="auto"/>
              <w:rPr>
                <w:rFonts w:hint="default" w:ascii="Times New Roman Regular" w:hAnsi="Times New Roman Regular" w:eastAsia="仿宋_GB2312" w:cs="Times New Roman Regular"/>
              </w:rPr>
            </w:pPr>
          </w:p>
        </w:tc>
        <w:tc>
          <w:tcPr>
            <w:tcW w:w="968" w:type="pct"/>
            <w:vAlign w:val="center"/>
          </w:tcPr>
          <w:p w14:paraId="0F1B2E7F">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医保基金财政预算草案审核管理（新建）</w:t>
            </w:r>
          </w:p>
        </w:tc>
        <w:tc>
          <w:tcPr>
            <w:tcW w:w="2916" w:type="pct"/>
            <w:vAlign w:val="center"/>
          </w:tcPr>
          <w:p w14:paraId="20D368FF">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完成财政医保基金预算草案编制后，进行预算草案的审核。审核具体功能包括：审核、填写审核意见、撤销审核、查看审核公式、审批过程查看。</w:t>
            </w:r>
          </w:p>
        </w:tc>
      </w:tr>
      <w:tr w14:paraId="0879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23B18B9">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3030145A">
            <w:pPr>
              <w:pStyle w:val="138"/>
              <w:spacing w:line="240" w:lineRule="auto"/>
              <w:rPr>
                <w:rFonts w:hint="default" w:ascii="Times New Roman Regular" w:hAnsi="Times New Roman Regular" w:eastAsia="仿宋_GB2312" w:cs="Times New Roman Regular"/>
              </w:rPr>
            </w:pPr>
          </w:p>
        </w:tc>
        <w:tc>
          <w:tcPr>
            <w:tcW w:w="968" w:type="pct"/>
            <w:vAlign w:val="center"/>
          </w:tcPr>
          <w:p w14:paraId="3F897B71">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医保基金财政预算草案汇总上报管理（新建）</w:t>
            </w:r>
          </w:p>
        </w:tc>
        <w:tc>
          <w:tcPr>
            <w:tcW w:w="2916" w:type="pct"/>
            <w:vAlign w:val="center"/>
          </w:tcPr>
          <w:p w14:paraId="1851781E">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完成财政医保基金预算草案审核后，向财政部门报送。汇总上报的具体功能包括：汇总、上报、上报状态查询。</w:t>
            </w:r>
          </w:p>
        </w:tc>
      </w:tr>
      <w:tr w14:paraId="27E3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453E4090">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003FA3AA">
            <w:pPr>
              <w:pStyle w:val="138"/>
              <w:spacing w:line="240" w:lineRule="auto"/>
              <w:rPr>
                <w:rFonts w:hint="default" w:ascii="Times New Roman Regular" w:hAnsi="Times New Roman Regular" w:eastAsia="仿宋_GB2312" w:cs="Times New Roman Regular"/>
              </w:rPr>
            </w:pPr>
          </w:p>
        </w:tc>
        <w:tc>
          <w:tcPr>
            <w:tcW w:w="968" w:type="pct"/>
            <w:vAlign w:val="center"/>
          </w:tcPr>
          <w:p w14:paraId="247671F3">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医保基金财政暂付款向财政备案管理（新建）</w:t>
            </w:r>
          </w:p>
        </w:tc>
        <w:tc>
          <w:tcPr>
            <w:tcW w:w="2916" w:type="pct"/>
            <w:vAlign w:val="center"/>
          </w:tcPr>
          <w:p w14:paraId="6EFE2BCD">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主要功能包括：医保基金暂付款申请管理、医保基金暂付款报备管理、清理医保基金暂付款通知管理。</w:t>
            </w:r>
          </w:p>
        </w:tc>
      </w:tr>
      <w:tr w14:paraId="0F7B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5F54D0C">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3E99A737">
            <w:pPr>
              <w:pStyle w:val="138"/>
              <w:spacing w:line="240" w:lineRule="auto"/>
              <w:rPr>
                <w:rFonts w:hint="default" w:ascii="Times New Roman Regular" w:hAnsi="Times New Roman Regular" w:eastAsia="仿宋_GB2312" w:cs="Times New Roman Regular"/>
              </w:rPr>
            </w:pPr>
          </w:p>
        </w:tc>
        <w:tc>
          <w:tcPr>
            <w:tcW w:w="968" w:type="pct"/>
            <w:vAlign w:val="center"/>
          </w:tcPr>
          <w:p w14:paraId="27B0CB5D">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医保基金财政预算执行情况管理（新建）</w:t>
            </w:r>
          </w:p>
        </w:tc>
        <w:tc>
          <w:tcPr>
            <w:tcW w:w="2916" w:type="pct"/>
            <w:vAlign w:val="center"/>
          </w:tcPr>
          <w:p w14:paraId="44767538">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主要功能包括：月度执行情况与财政衔接管理、季度执行情况与财政衔接管理、年度执行情况与财政衔接管理。</w:t>
            </w:r>
          </w:p>
        </w:tc>
      </w:tr>
      <w:tr w14:paraId="1F89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17E6D0D2">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0CE5C236">
            <w:pPr>
              <w:pStyle w:val="138"/>
              <w:spacing w:line="240" w:lineRule="auto"/>
              <w:rPr>
                <w:rFonts w:hint="default" w:ascii="Times New Roman Regular" w:hAnsi="Times New Roman Regular" w:eastAsia="仿宋_GB2312" w:cs="Times New Roman Regular"/>
              </w:rPr>
            </w:pPr>
          </w:p>
        </w:tc>
        <w:tc>
          <w:tcPr>
            <w:tcW w:w="968" w:type="pct"/>
            <w:vAlign w:val="center"/>
          </w:tcPr>
          <w:p w14:paraId="655854C0">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医保基金财政决算上报管理（新建）</w:t>
            </w:r>
          </w:p>
        </w:tc>
        <w:tc>
          <w:tcPr>
            <w:tcW w:w="2916" w:type="pct"/>
            <w:vAlign w:val="center"/>
          </w:tcPr>
          <w:p w14:paraId="08B8405D">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主要功能包括：医保基金决算初审、决算复审确认管理、决算上报情况管理、医保基金决算底稿生成管理。</w:t>
            </w:r>
          </w:p>
        </w:tc>
      </w:tr>
      <w:tr w14:paraId="134C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AF6CF73">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3981336A">
            <w:pPr>
              <w:pStyle w:val="138"/>
              <w:spacing w:line="240" w:lineRule="auto"/>
              <w:rPr>
                <w:rFonts w:hint="default" w:ascii="Times New Roman Regular" w:hAnsi="Times New Roman Regular" w:eastAsia="仿宋_GB2312" w:cs="Times New Roman Regular"/>
              </w:rPr>
            </w:pPr>
          </w:p>
        </w:tc>
        <w:tc>
          <w:tcPr>
            <w:tcW w:w="968" w:type="pct"/>
            <w:vAlign w:val="center"/>
          </w:tcPr>
          <w:p w14:paraId="2C9E2BAC">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长期护理保险、城乡医疗救助及疾病应急救助基金统计报表管理（新建）</w:t>
            </w:r>
          </w:p>
        </w:tc>
        <w:tc>
          <w:tcPr>
            <w:tcW w:w="2916" w:type="pct"/>
            <w:vAlign w:val="center"/>
          </w:tcPr>
          <w:p w14:paraId="4AFE27DF">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主要功能包括：专项资金报表任务接收管理、专项资金报表任务设置管理、专项资金报表任务填报管理、专项资金报表审批流设置管理、专项资金报表上报管理。</w:t>
            </w:r>
          </w:p>
        </w:tc>
      </w:tr>
      <w:tr w14:paraId="0E24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760A1443">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restart"/>
            <w:vAlign w:val="center"/>
          </w:tcPr>
          <w:p w14:paraId="7BB840C1">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全国财政医保政策信息库管理（翻建）</w:t>
            </w:r>
          </w:p>
        </w:tc>
        <w:tc>
          <w:tcPr>
            <w:tcW w:w="968" w:type="pct"/>
            <w:vAlign w:val="center"/>
          </w:tcPr>
          <w:p w14:paraId="66991409">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政策文件库同步（翻建）</w:t>
            </w:r>
          </w:p>
        </w:tc>
        <w:tc>
          <w:tcPr>
            <w:tcW w:w="2916" w:type="pct"/>
            <w:vAlign w:val="center"/>
          </w:tcPr>
          <w:p w14:paraId="19A29B14">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可以通过政策文件库同步实现从财政部门下载医保相关政策文件，也可以向财政部门共享医保部门相关政策文件。具体功能包括数据源设置、数据同步、政策文件查询、新增、修改、删除、保存、上传等功能。</w:t>
            </w:r>
          </w:p>
        </w:tc>
      </w:tr>
      <w:tr w14:paraId="25EE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163E4961">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6E91D079">
            <w:pPr>
              <w:pStyle w:val="138"/>
              <w:spacing w:line="240" w:lineRule="auto"/>
              <w:rPr>
                <w:rFonts w:hint="default" w:ascii="Times New Roman Regular" w:hAnsi="Times New Roman Regular" w:eastAsia="仿宋_GB2312" w:cs="Times New Roman Regular"/>
              </w:rPr>
            </w:pPr>
          </w:p>
        </w:tc>
        <w:tc>
          <w:tcPr>
            <w:tcW w:w="968" w:type="pct"/>
            <w:vAlign w:val="center"/>
          </w:tcPr>
          <w:p w14:paraId="6AF7A1AC">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全国医保政策维护（翻建）</w:t>
            </w:r>
          </w:p>
        </w:tc>
        <w:tc>
          <w:tcPr>
            <w:tcW w:w="2916" w:type="pct"/>
            <w:vAlign w:val="center"/>
          </w:tcPr>
          <w:p w14:paraId="39023D18">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对财政部、国家医保局下发或上海市医保局考核管理需要的政策资料、公开信息、公开数据内容的登记、维护管理，包括文件标题、文号、发布时间、发文单位、正文、概要内容。支持文件检索标签建立与政策文件关联关系建立。</w:t>
            </w:r>
          </w:p>
        </w:tc>
      </w:tr>
      <w:tr w14:paraId="77BE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4CB31B8E">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0E34E617">
            <w:pPr>
              <w:pStyle w:val="138"/>
              <w:spacing w:line="240" w:lineRule="auto"/>
              <w:rPr>
                <w:rFonts w:hint="default" w:ascii="Times New Roman Regular" w:hAnsi="Times New Roman Regular" w:eastAsia="仿宋_GB2312" w:cs="Times New Roman Regular"/>
              </w:rPr>
            </w:pPr>
          </w:p>
        </w:tc>
        <w:tc>
          <w:tcPr>
            <w:tcW w:w="968" w:type="pct"/>
            <w:vAlign w:val="center"/>
          </w:tcPr>
          <w:p w14:paraId="1E6BA91E">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全国医保政策审核（翻建）</w:t>
            </w:r>
          </w:p>
        </w:tc>
        <w:tc>
          <w:tcPr>
            <w:tcW w:w="2916" w:type="pct"/>
            <w:vAlign w:val="center"/>
          </w:tcPr>
          <w:p w14:paraId="2343B68C">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对登记维护后的医保政策文件进行审核，审定文件的有效情况、有效期、发布范围内容，对过期或作废的文件进行归档标记。审核后的政策文件不可进行修改，只能进行作废或过期标记，标记时记录标记时间。审核后政策文件可以在政策发布中进行调用。</w:t>
            </w:r>
          </w:p>
        </w:tc>
      </w:tr>
      <w:tr w14:paraId="2098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FB459C3">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74E484E6">
            <w:pPr>
              <w:pStyle w:val="138"/>
              <w:spacing w:line="240" w:lineRule="auto"/>
              <w:rPr>
                <w:rFonts w:hint="default" w:ascii="Times New Roman Regular" w:hAnsi="Times New Roman Regular" w:eastAsia="仿宋_GB2312" w:cs="Times New Roman Regular"/>
              </w:rPr>
            </w:pPr>
          </w:p>
        </w:tc>
        <w:tc>
          <w:tcPr>
            <w:tcW w:w="968" w:type="pct"/>
            <w:vAlign w:val="center"/>
          </w:tcPr>
          <w:p w14:paraId="7DCB5D84">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全国医保政策政策发布（翻建）</w:t>
            </w:r>
          </w:p>
        </w:tc>
        <w:tc>
          <w:tcPr>
            <w:tcW w:w="2916" w:type="pct"/>
            <w:vAlign w:val="center"/>
          </w:tcPr>
          <w:p w14:paraId="7DCF9BCB">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实现对审核后的医保政策文件、制度、数据内容的信息发布，可根据政策文件要求或管理需要选择发布的对象、范围、时间，并可对发布后的政策文件进行取消发布或变更发布范围的管理。在发布时记录发布部门、时间相关信息。</w:t>
            </w:r>
          </w:p>
        </w:tc>
      </w:tr>
      <w:tr w14:paraId="795A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1BE1A9B4">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3B3817F0">
            <w:pPr>
              <w:pStyle w:val="138"/>
              <w:spacing w:line="240" w:lineRule="auto"/>
              <w:rPr>
                <w:rFonts w:hint="default" w:ascii="Times New Roman Regular" w:hAnsi="Times New Roman Regular" w:eastAsia="仿宋_GB2312" w:cs="Times New Roman Regular"/>
              </w:rPr>
            </w:pPr>
          </w:p>
        </w:tc>
        <w:tc>
          <w:tcPr>
            <w:tcW w:w="968" w:type="pct"/>
            <w:vAlign w:val="center"/>
          </w:tcPr>
          <w:p w14:paraId="71FB18D8">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全国医保政策查询（翻建）</w:t>
            </w:r>
          </w:p>
        </w:tc>
        <w:tc>
          <w:tcPr>
            <w:tcW w:w="2916" w:type="pct"/>
            <w:vAlign w:val="center"/>
          </w:tcPr>
          <w:p w14:paraId="48F4FB52">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对全市范围的经办机构财务人员提供医保政策文件、制度、数据的查询服务。根据人员的权限实现对发布政策内容的查询、检索，提供文件的查阅、下载功能。并对查询使用情况进行登记，统计各政策文件的查阅及下载情况。</w:t>
            </w:r>
          </w:p>
        </w:tc>
      </w:tr>
      <w:tr w14:paraId="6059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1BF51B93">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252F86E2">
            <w:pPr>
              <w:pStyle w:val="138"/>
              <w:spacing w:line="240" w:lineRule="auto"/>
              <w:rPr>
                <w:rFonts w:hint="default" w:ascii="Times New Roman Regular" w:hAnsi="Times New Roman Regular" w:eastAsia="仿宋_GB2312" w:cs="Times New Roman Regular"/>
              </w:rPr>
            </w:pPr>
          </w:p>
        </w:tc>
        <w:tc>
          <w:tcPr>
            <w:tcW w:w="968" w:type="pct"/>
            <w:vAlign w:val="center"/>
          </w:tcPr>
          <w:p w14:paraId="2B565396">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上海医保政策查询（翻建）</w:t>
            </w:r>
          </w:p>
        </w:tc>
        <w:tc>
          <w:tcPr>
            <w:tcW w:w="2916" w:type="pct"/>
            <w:vAlign w:val="center"/>
          </w:tcPr>
          <w:p w14:paraId="29D15FE9">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对全市范围的经办机构财务人员提供医保政策文件、制度、数据的查询服务。根据人员的权限实现对发布政策内容的查询、检索，提供文件的查阅、下载功能。并对查询使用情况进行登记，统计各政策文件的查阅及下载情况。</w:t>
            </w:r>
          </w:p>
        </w:tc>
      </w:tr>
      <w:tr w14:paraId="4CFB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433" w:type="pct"/>
          </w:tcPr>
          <w:p w14:paraId="581BBFA1">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restart"/>
            <w:vAlign w:val="center"/>
          </w:tcPr>
          <w:p w14:paraId="3B93620C">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密码应用改造开发</w:t>
            </w:r>
          </w:p>
        </w:tc>
        <w:tc>
          <w:tcPr>
            <w:tcW w:w="968" w:type="pct"/>
            <w:vAlign w:val="center"/>
          </w:tcPr>
          <w:p w14:paraId="2025490B">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密码应用改造开发-用户身份认证机制模块</w:t>
            </w:r>
          </w:p>
        </w:tc>
        <w:tc>
          <w:tcPr>
            <w:tcW w:w="2916" w:type="pct"/>
            <w:vAlign w:val="center"/>
          </w:tcPr>
          <w:p w14:paraId="516FE6F0">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开发用户身份认证机制模块，调用云平台提供的安全认证网关服务接口，并在终端部署用户证书、服务端部署站点证书，绑定应用用户数字证书和应用用户ID，实现对终端和服务端身份的鉴别。</w:t>
            </w:r>
          </w:p>
        </w:tc>
      </w:tr>
      <w:tr w14:paraId="5987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4454C85">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519582E0">
            <w:pPr>
              <w:pStyle w:val="138"/>
              <w:spacing w:line="240" w:lineRule="auto"/>
              <w:rPr>
                <w:rFonts w:hint="default" w:ascii="Times New Roman Regular" w:hAnsi="Times New Roman Regular" w:eastAsia="仿宋_GB2312" w:cs="Times New Roman Regular"/>
              </w:rPr>
            </w:pPr>
          </w:p>
        </w:tc>
        <w:tc>
          <w:tcPr>
            <w:tcW w:w="968" w:type="pct"/>
            <w:vAlign w:val="center"/>
          </w:tcPr>
          <w:p w14:paraId="6FCAAF2D">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密码应用改造开发-用户访问控制信息签名验签模块</w:t>
            </w:r>
          </w:p>
        </w:tc>
        <w:tc>
          <w:tcPr>
            <w:tcW w:w="2916" w:type="pct"/>
            <w:vAlign w:val="center"/>
          </w:tcPr>
          <w:p w14:paraId="4DAF4F74">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开发用户访问控制信息签名验签模块，调用云平台提供的签名验签服务接口，实现应用系统登录用户的访问控制列表完整性保护。</w:t>
            </w:r>
          </w:p>
        </w:tc>
      </w:tr>
      <w:tr w14:paraId="4096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4D32F883">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37749F91">
            <w:pPr>
              <w:pStyle w:val="138"/>
              <w:spacing w:line="240" w:lineRule="auto"/>
              <w:rPr>
                <w:rFonts w:hint="default" w:ascii="Times New Roman Regular" w:hAnsi="Times New Roman Regular" w:eastAsia="仿宋_GB2312" w:cs="Times New Roman Regular"/>
              </w:rPr>
            </w:pPr>
          </w:p>
        </w:tc>
        <w:tc>
          <w:tcPr>
            <w:tcW w:w="968" w:type="pct"/>
            <w:vAlign w:val="center"/>
          </w:tcPr>
          <w:p w14:paraId="101A5FAF">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密码应用改造开发-应用系统重要数据签名验签模块</w:t>
            </w:r>
          </w:p>
        </w:tc>
        <w:tc>
          <w:tcPr>
            <w:tcW w:w="2916" w:type="pct"/>
            <w:vAlign w:val="center"/>
          </w:tcPr>
          <w:p w14:paraId="5ED58687">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开发应用系统重要数据签名验签模块，调用云平台提供的签名验签服务接口，实现登录用户身份鉴别数据、业务日志、重要业务数据的存储完整性保护。</w:t>
            </w:r>
          </w:p>
        </w:tc>
      </w:tr>
      <w:tr w14:paraId="28C7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745A3747">
            <w:pPr>
              <w:pStyle w:val="138"/>
              <w:numPr>
                <w:ilvl w:val="0"/>
                <w:numId w:val="7"/>
              </w:numPr>
              <w:spacing w:line="240" w:lineRule="auto"/>
              <w:jc w:val="center"/>
              <w:rPr>
                <w:rFonts w:hint="default" w:ascii="Times New Roman Regular" w:hAnsi="Times New Roman Regular" w:eastAsia="仿宋_GB2312" w:cs="Times New Roman Regular"/>
              </w:rPr>
            </w:pPr>
          </w:p>
        </w:tc>
        <w:tc>
          <w:tcPr>
            <w:tcW w:w="681" w:type="pct"/>
            <w:vMerge w:val="continue"/>
            <w:vAlign w:val="center"/>
          </w:tcPr>
          <w:p w14:paraId="440790AF">
            <w:pPr>
              <w:pStyle w:val="138"/>
              <w:spacing w:line="240" w:lineRule="auto"/>
              <w:rPr>
                <w:rFonts w:hint="default" w:ascii="Times New Roman Regular" w:hAnsi="Times New Roman Regular" w:eastAsia="仿宋_GB2312" w:cs="Times New Roman Regular"/>
              </w:rPr>
            </w:pPr>
          </w:p>
        </w:tc>
        <w:tc>
          <w:tcPr>
            <w:tcW w:w="968" w:type="pct"/>
            <w:vAlign w:val="center"/>
          </w:tcPr>
          <w:p w14:paraId="71466702">
            <w:pPr>
              <w:widowControl/>
              <w:spacing w:line="240" w:lineRule="auto"/>
              <w:ind w:firstLine="0" w:firstLineChars="0"/>
              <w:jc w:val="left"/>
              <w:textAlignment w:val="center"/>
              <w:rPr>
                <w:rFonts w:ascii="Times New Roman Regular" w:hAnsi="Times New Roman Regular" w:eastAsia="仿宋_GB2312" w:cs="Times New Roman Regular"/>
              </w:rPr>
            </w:pPr>
            <w:r>
              <w:rPr>
                <w:rFonts w:ascii="Times New Roman Regular" w:hAnsi="Times New Roman Regular" w:eastAsia="仿宋_GB2312" w:cs="Times New Roman Regular"/>
              </w:rPr>
              <w:t>密码应用改造开发-应用系统重要数据加密解密模块</w:t>
            </w:r>
          </w:p>
        </w:tc>
        <w:tc>
          <w:tcPr>
            <w:tcW w:w="2916" w:type="pct"/>
            <w:vAlign w:val="center"/>
          </w:tcPr>
          <w:p w14:paraId="34EAA4F9">
            <w:pPr>
              <w:pStyle w:val="138"/>
              <w:spacing w:line="240" w:lineRule="auto"/>
              <w:rPr>
                <w:rFonts w:hint="default" w:ascii="Times New Roman Regular" w:hAnsi="Times New Roman Regular" w:eastAsia="仿宋_GB2312" w:cs="Times New Roman Regular"/>
              </w:rPr>
            </w:pPr>
            <w:r>
              <w:rPr>
                <w:rFonts w:hint="default" w:ascii="Times New Roman Regular" w:hAnsi="Times New Roman Regular" w:eastAsia="仿宋_GB2312" w:cs="Times New Roman Regular"/>
              </w:rPr>
              <w:t>开发应用系统重要数据加解密模块，实现登录用户身份鉴别数据、重要业务数据等结构化数据的存储机密性保护。</w:t>
            </w:r>
          </w:p>
        </w:tc>
      </w:tr>
    </w:tbl>
    <w:p w14:paraId="10EAC626">
      <w:pPr>
        <w:ind w:firstLine="0" w:firstLineChars="0"/>
        <w:rPr>
          <w:rFonts w:hint="eastAsia"/>
        </w:rPr>
      </w:pPr>
    </w:p>
    <w:p w14:paraId="19C053BC">
      <w:pPr>
        <w:pStyle w:val="3"/>
        <w:numPr>
          <w:ilvl w:val="0"/>
          <w:numId w:val="4"/>
        </w:numPr>
        <w:spacing w:before="0" w:after="0"/>
        <w:ind w:firstLine="640" w:firstLineChars="200"/>
        <w:rPr>
          <w:rFonts w:hint="eastAsia" w:ascii="楷体_GB2312" w:hAnsi="楷体_GB2312" w:eastAsia="楷体_GB2312" w:cs="楷体_GB2312"/>
          <w:sz w:val="32"/>
        </w:rPr>
      </w:pPr>
      <w:bookmarkStart w:id="31" w:name="_Toc2145657369"/>
      <w:bookmarkStart w:id="32" w:name="_Toc27012"/>
      <w:r>
        <w:rPr>
          <w:rFonts w:hint="eastAsia" w:ascii="楷体_GB2312" w:hAnsi="楷体_GB2312" w:eastAsia="楷体_GB2312" w:cs="楷体_GB2312"/>
          <w:sz w:val="32"/>
        </w:rPr>
        <w:t>商业密码应用需求</w:t>
      </w:r>
      <w:bookmarkEnd w:id="31"/>
      <w:bookmarkEnd w:id="32"/>
    </w:p>
    <w:p w14:paraId="0259020E">
      <w:pPr>
        <w:ind w:firstLine="560"/>
        <w:rPr>
          <w:rFonts w:hint="eastAsia" w:eastAsia="仿宋_GB2312"/>
          <w:sz w:val="28"/>
          <w:szCs w:val="22"/>
        </w:rPr>
      </w:pPr>
      <w:r>
        <w:rPr>
          <w:rFonts w:hint="eastAsia" w:eastAsia="仿宋_GB2312"/>
          <w:sz w:val="28"/>
          <w:szCs w:val="22"/>
        </w:rPr>
        <w:t>基于云平台提供的安全认证网关、签名验签等密码服务以及系统的应用功能，开发适配密码应用功能模块，以实现网络和通信、设备和计算、应用和数据等层面的各密码应用功能。</w:t>
      </w:r>
    </w:p>
    <w:p w14:paraId="2BB093C0">
      <w:pPr>
        <w:pStyle w:val="3"/>
        <w:numPr>
          <w:ilvl w:val="0"/>
          <w:numId w:val="4"/>
        </w:numPr>
        <w:spacing w:before="0" w:after="0"/>
        <w:ind w:firstLine="640" w:firstLineChars="200"/>
        <w:rPr>
          <w:rFonts w:hint="eastAsia" w:ascii="楷体_GB2312" w:hAnsi="楷体_GB2312" w:eastAsia="楷体_GB2312" w:cs="楷体_GB2312"/>
          <w:sz w:val="32"/>
        </w:rPr>
      </w:pPr>
      <w:bookmarkStart w:id="33" w:name="_Toc8220"/>
      <w:r>
        <w:rPr>
          <w:rFonts w:hint="eastAsia" w:ascii="楷体_GB2312" w:hAnsi="楷体_GB2312" w:eastAsia="楷体_GB2312" w:cs="楷体_GB2312"/>
          <w:sz w:val="32"/>
        </w:rPr>
        <w:t>项目部署要求</w:t>
      </w:r>
      <w:bookmarkEnd w:id="33"/>
    </w:p>
    <w:p w14:paraId="3020FD3A">
      <w:pPr>
        <w:ind w:firstLine="560"/>
        <w:rPr>
          <w:rFonts w:hint="eastAsia" w:eastAsia="仿宋_GB2312"/>
          <w:sz w:val="28"/>
          <w:szCs w:val="22"/>
        </w:rPr>
      </w:pPr>
      <w:r>
        <w:rPr>
          <w:rFonts w:hint="eastAsia" w:eastAsia="仿宋_GB2312"/>
          <w:sz w:val="28"/>
          <w:szCs w:val="22"/>
        </w:rPr>
        <w:t>本项目全面依托上海市电子政务云建设，包括云服务器、存储、网络等基础设施由市电子政务云统一提供。系统需依据信创要求实现，按照上海市电子政务云相关管理要求，以及项目安全及密码应用需要完成环境及应用部署。</w:t>
      </w:r>
    </w:p>
    <w:p w14:paraId="7C9F67B1">
      <w:pPr>
        <w:ind w:firstLine="560"/>
        <w:rPr>
          <w:rFonts w:hint="eastAsia" w:eastAsia="仿宋_GB2312"/>
          <w:sz w:val="28"/>
          <w:szCs w:val="22"/>
        </w:rPr>
      </w:pPr>
      <w:r>
        <w:rPr>
          <w:rFonts w:hint="eastAsia" w:eastAsia="仿宋_GB2312"/>
          <w:sz w:val="28"/>
          <w:szCs w:val="22"/>
        </w:rPr>
        <w:t>投标人需要根据项目要求结合当前业务量的估算对本项目所需要的云资源进行设计，并配置配套操作系统、防病毒软件，以及密码测评所需安全认证网关服务、签名验签服务、可信密码服务、数字证书服务、时间戳服务。投保人需提供系统的详细部署方案。</w:t>
      </w:r>
    </w:p>
    <w:p w14:paraId="0A59F866">
      <w:pPr>
        <w:ind w:firstLine="560"/>
        <w:rPr>
          <w:rFonts w:hint="eastAsia" w:eastAsia="仿宋_GB2312"/>
          <w:sz w:val="28"/>
          <w:szCs w:val="22"/>
        </w:rPr>
      </w:pPr>
      <w:r>
        <w:rPr>
          <w:rFonts w:hint="eastAsia" w:eastAsia="仿宋_GB2312"/>
          <w:sz w:val="28"/>
          <w:szCs w:val="22"/>
        </w:rPr>
        <w:t>本项目相关资源情况如下：</w:t>
      </w:r>
    </w:p>
    <w:tbl>
      <w:tblPr>
        <w:tblStyle w:val="35"/>
        <w:tblW w:w="5215" w:type="pct"/>
        <w:jc w:val="center"/>
        <w:tblLayout w:type="fixed"/>
        <w:tblCellMar>
          <w:top w:w="0" w:type="dxa"/>
          <w:left w:w="108" w:type="dxa"/>
          <w:bottom w:w="0" w:type="dxa"/>
          <w:right w:w="108" w:type="dxa"/>
        </w:tblCellMar>
      </w:tblPr>
      <w:tblGrid>
        <w:gridCol w:w="863"/>
        <w:gridCol w:w="1191"/>
        <w:gridCol w:w="4539"/>
        <w:gridCol w:w="1032"/>
        <w:gridCol w:w="1270"/>
      </w:tblGrid>
      <w:tr w14:paraId="0AB4BEF7">
        <w:tblPrEx>
          <w:tblCellMar>
            <w:top w:w="0" w:type="dxa"/>
            <w:left w:w="108" w:type="dxa"/>
            <w:bottom w:w="0" w:type="dxa"/>
            <w:right w:w="108" w:type="dxa"/>
          </w:tblCellMar>
        </w:tblPrEx>
        <w:trPr>
          <w:trHeight w:val="2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389B27B6">
            <w:pPr>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序号</w:t>
            </w:r>
          </w:p>
        </w:tc>
        <w:tc>
          <w:tcPr>
            <w:tcW w:w="118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34F55F9">
            <w:pPr>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名称</w:t>
            </w:r>
          </w:p>
        </w:tc>
        <w:tc>
          <w:tcPr>
            <w:tcW w:w="45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05A1F7AB">
            <w:pPr>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配置简述</w:t>
            </w:r>
          </w:p>
        </w:tc>
        <w:tc>
          <w:tcPr>
            <w:tcW w:w="102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1A7162A">
            <w:pPr>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数量</w:t>
            </w:r>
          </w:p>
        </w:tc>
        <w:tc>
          <w:tcPr>
            <w:tcW w:w="126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20A2830">
            <w:pPr>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备注</w:t>
            </w:r>
          </w:p>
        </w:tc>
      </w:tr>
      <w:tr w14:paraId="5256A3EE">
        <w:tblPrEx>
          <w:tblCellMar>
            <w:top w:w="0" w:type="dxa"/>
            <w:left w:w="108" w:type="dxa"/>
            <w:bottom w:w="0" w:type="dxa"/>
            <w:right w:w="108" w:type="dxa"/>
          </w:tblCellMar>
        </w:tblPrEx>
        <w:trPr>
          <w:trHeight w:val="2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0EB138">
            <w:pPr>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1</w:t>
            </w:r>
          </w:p>
        </w:tc>
        <w:tc>
          <w:tcPr>
            <w:tcW w:w="1188" w:type="dxa"/>
            <w:tcBorders>
              <w:top w:val="single" w:color="auto" w:sz="4" w:space="0"/>
              <w:left w:val="nil"/>
              <w:bottom w:val="single" w:color="auto" w:sz="4" w:space="0"/>
              <w:right w:val="single" w:color="auto" w:sz="4" w:space="0"/>
            </w:tcBorders>
            <w:shd w:val="clear" w:color="auto" w:fill="FFFFFF"/>
            <w:noWrap/>
            <w:vAlign w:val="center"/>
          </w:tcPr>
          <w:p w14:paraId="75B1809D">
            <w:pPr>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服务器</w:t>
            </w:r>
          </w:p>
        </w:tc>
        <w:tc>
          <w:tcPr>
            <w:tcW w:w="4551" w:type="dxa"/>
            <w:tcBorders>
              <w:top w:val="single" w:color="auto" w:sz="4" w:space="0"/>
              <w:left w:val="nil"/>
              <w:bottom w:val="single" w:color="auto" w:sz="4" w:space="0"/>
              <w:right w:val="single" w:color="auto" w:sz="4" w:space="0"/>
            </w:tcBorders>
            <w:shd w:val="clear" w:color="auto" w:fill="FFFFFF"/>
            <w:vAlign w:val="center"/>
          </w:tcPr>
          <w:p w14:paraId="35A00DFB">
            <w:pPr>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16核处理器，64GB内存, 500G硬盘。</w:t>
            </w:r>
          </w:p>
        </w:tc>
        <w:tc>
          <w:tcPr>
            <w:tcW w:w="1029" w:type="dxa"/>
            <w:tcBorders>
              <w:top w:val="single" w:color="auto" w:sz="4" w:space="0"/>
              <w:left w:val="nil"/>
              <w:bottom w:val="single" w:color="auto" w:sz="4" w:space="0"/>
              <w:right w:val="single" w:color="auto" w:sz="4" w:space="0"/>
            </w:tcBorders>
            <w:shd w:val="clear" w:color="auto" w:fill="FFFFFF"/>
            <w:noWrap/>
            <w:vAlign w:val="center"/>
          </w:tcPr>
          <w:p w14:paraId="58453544">
            <w:pPr>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2</w:t>
            </w:r>
          </w:p>
        </w:tc>
        <w:tc>
          <w:tcPr>
            <w:tcW w:w="1268" w:type="dxa"/>
            <w:tcBorders>
              <w:top w:val="single" w:color="auto" w:sz="4" w:space="0"/>
              <w:left w:val="nil"/>
              <w:bottom w:val="single" w:color="auto" w:sz="4" w:space="0"/>
              <w:right w:val="single" w:color="auto" w:sz="4" w:space="0"/>
            </w:tcBorders>
            <w:shd w:val="clear" w:color="auto" w:fill="FFFFFF"/>
            <w:noWrap/>
            <w:vAlign w:val="center"/>
          </w:tcPr>
          <w:p w14:paraId="72195ECC">
            <w:pPr>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云主机</w:t>
            </w:r>
          </w:p>
        </w:tc>
      </w:tr>
      <w:tr w14:paraId="1E3C8AD8">
        <w:tblPrEx>
          <w:tblCellMar>
            <w:top w:w="0" w:type="dxa"/>
            <w:left w:w="108" w:type="dxa"/>
            <w:bottom w:w="0" w:type="dxa"/>
            <w:right w:w="108" w:type="dxa"/>
          </w:tblCellMar>
        </w:tblPrEx>
        <w:trPr>
          <w:trHeight w:val="2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DBC9FC">
            <w:pPr>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2</w:t>
            </w:r>
          </w:p>
        </w:tc>
        <w:tc>
          <w:tcPr>
            <w:tcW w:w="1188" w:type="dxa"/>
            <w:tcBorders>
              <w:top w:val="single" w:color="auto" w:sz="4" w:space="0"/>
              <w:left w:val="nil"/>
              <w:bottom w:val="single" w:color="auto" w:sz="4" w:space="0"/>
              <w:right w:val="single" w:color="auto" w:sz="4" w:space="0"/>
            </w:tcBorders>
            <w:shd w:val="clear" w:color="auto" w:fill="FFFFFF"/>
            <w:noWrap/>
            <w:vAlign w:val="center"/>
          </w:tcPr>
          <w:p w14:paraId="6AE0B14B">
            <w:pPr>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服务器</w:t>
            </w:r>
          </w:p>
        </w:tc>
        <w:tc>
          <w:tcPr>
            <w:tcW w:w="4551" w:type="dxa"/>
            <w:tcBorders>
              <w:top w:val="single" w:color="auto" w:sz="4" w:space="0"/>
              <w:left w:val="nil"/>
              <w:bottom w:val="single" w:color="auto" w:sz="4" w:space="0"/>
              <w:right w:val="single" w:color="auto" w:sz="4" w:space="0"/>
            </w:tcBorders>
            <w:shd w:val="clear" w:color="auto" w:fill="FFFFFF"/>
            <w:vAlign w:val="center"/>
          </w:tcPr>
          <w:p w14:paraId="48FE87E7">
            <w:pPr>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8核处理器，32GB内存, 200G硬盘。</w:t>
            </w:r>
          </w:p>
        </w:tc>
        <w:tc>
          <w:tcPr>
            <w:tcW w:w="1029" w:type="dxa"/>
            <w:tcBorders>
              <w:top w:val="single" w:color="auto" w:sz="4" w:space="0"/>
              <w:left w:val="nil"/>
              <w:bottom w:val="single" w:color="auto" w:sz="4" w:space="0"/>
              <w:right w:val="single" w:color="auto" w:sz="4" w:space="0"/>
            </w:tcBorders>
            <w:shd w:val="clear" w:color="auto" w:fill="FFFFFF"/>
            <w:noWrap/>
            <w:vAlign w:val="center"/>
          </w:tcPr>
          <w:p w14:paraId="67B073EB">
            <w:pPr>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1</w:t>
            </w:r>
          </w:p>
        </w:tc>
        <w:tc>
          <w:tcPr>
            <w:tcW w:w="1268" w:type="dxa"/>
            <w:tcBorders>
              <w:top w:val="single" w:color="auto" w:sz="4" w:space="0"/>
              <w:left w:val="nil"/>
              <w:bottom w:val="single" w:color="auto" w:sz="4" w:space="0"/>
              <w:right w:val="single" w:color="auto" w:sz="4" w:space="0"/>
            </w:tcBorders>
            <w:shd w:val="clear" w:color="auto" w:fill="FFFFFF"/>
            <w:noWrap/>
            <w:vAlign w:val="center"/>
          </w:tcPr>
          <w:p w14:paraId="775BF7C0">
            <w:pPr>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云主机</w:t>
            </w:r>
          </w:p>
        </w:tc>
      </w:tr>
    </w:tbl>
    <w:p w14:paraId="13A75152">
      <w:pPr>
        <w:pStyle w:val="2"/>
        <w:spacing w:before="0" w:after="0"/>
        <w:ind w:left="0" w:firstLine="640" w:firstLineChars="200"/>
        <w:rPr>
          <w:rFonts w:hint="eastAsia"/>
          <w:b w:val="0"/>
        </w:rPr>
      </w:pPr>
      <w:bookmarkStart w:id="34" w:name="_Toc63785503"/>
      <w:bookmarkStart w:id="35" w:name="_Toc926307353"/>
      <w:bookmarkStart w:id="36" w:name="_Toc29228"/>
      <w:r>
        <w:rPr>
          <w:rFonts w:hint="eastAsia"/>
        </w:rPr>
        <w:t>项目</w:t>
      </w:r>
      <w:r>
        <w:rPr>
          <w:rFonts w:hint="eastAsia"/>
          <w:b w:val="0"/>
        </w:rPr>
        <w:t>实施、培训、售后服务等要求</w:t>
      </w:r>
      <w:bookmarkEnd w:id="34"/>
      <w:bookmarkEnd w:id="35"/>
      <w:bookmarkEnd w:id="36"/>
    </w:p>
    <w:p w14:paraId="14E769E5">
      <w:pPr>
        <w:pStyle w:val="3"/>
        <w:numPr>
          <w:ilvl w:val="0"/>
          <w:numId w:val="8"/>
        </w:numPr>
        <w:spacing w:before="0" w:after="0"/>
        <w:ind w:firstLine="640" w:firstLineChars="200"/>
        <w:rPr>
          <w:rFonts w:hint="eastAsia" w:ascii="楷体_GB2312" w:hAnsi="楷体_GB2312" w:eastAsia="楷体_GB2312" w:cs="楷体_GB2312"/>
          <w:sz w:val="32"/>
        </w:rPr>
      </w:pPr>
      <w:bookmarkStart w:id="37" w:name="_Toc7912"/>
      <w:bookmarkStart w:id="38" w:name="_Toc63785505"/>
      <w:r>
        <w:rPr>
          <w:rFonts w:hint="eastAsia" w:ascii="楷体_GB2312" w:hAnsi="楷体_GB2312" w:eastAsia="楷体_GB2312" w:cs="楷体_GB2312"/>
          <w:sz w:val="32"/>
        </w:rPr>
        <w:t>项目实施要求</w:t>
      </w:r>
      <w:bookmarkEnd w:id="37"/>
    </w:p>
    <w:p w14:paraId="0E571ED1">
      <w:pPr>
        <w:ind w:firstLine="560"/>
        <w:rPr>
          <w:rFonts w:hint="eastAsia" w:eastAsia="仿宋_GB2312"/>
          <w:sz w:val="28"/>
          <w:szCs w:val="22"/>
        </w:rPr>
      </w:pPr>
      <w:r>
        <w:rPr>
          <w:rFonts w:hint="eastAsia" w:eastAsia="仿宋_GB2312"/>
          <w:sz w:val="28"/>
          <w:szCs w:val="22"/>
        </w:rPr>
        <w:t>投标人应充分理解及考虑此次项目的建设要求及内容，提出完整且详细的项目实施、项目培训、项目管理、项目验收、售后服务方案等。</w:t>
      </w:r>
    </w:p>
    <w:p w14:paraId="3F45DDEA">
      <w:pPr>
        <w:ind w:firstLine="560"/>
        <w:rPr>
          <w:rFonts w:hint="eastAsia" w:eastAsia="仿宋_GB2312"/>
          <w:sz w:val="28"/>
          <w:szCs w:val="22"/>
        </w:rPr>
      </w:pPr>
      <w:r>
        <w:rPr>
          <w:rFonts w:hint="eastAsia" w:eastAsia="仿宋_GB2312"/>
          <w:sz w:val="28"/>
          <w:szCs w:val="22"/>
        </w:rPr>
        <w:t>根据对项目的理解做出项目的人员配置管理计划，包括组织结构、项目负责人、组成人员及分工职责。项目经理及项目成员一旦确定原则上不得更换。</w:t>
      </w:r>
    </w:p>
    <w:p w14:paraId="765F375E">
      <w:pPr>
        <w:ind w:firstLine="560"/>
        <w:rPr>
          <w:rFonts w:hint="eastAsia" w:eastAsia="仿宋_GB2312"/>
          <w:sz w:val="28"/>
          <w:szCs w:val="22"/>
        </w:rPr>
      </w:pPr>
      <w:r>
        <w:rPr>
          <w:rFonts w:hint="eastAsia" w:eastAsia="仿宋_GB2312"/>
          <w:sz w:val="28"/>
          <w:szCs w:val="22"/>
        </w:rPr>
        <w:t>招标人有权监督和管理此项目的开发、故障排错、测试及系统验收等各项工作，投标人应接受并服从招标人和监理方、测评方的监督和管理要求。</w:t>
      </w:r>
    </w:p>
    <w:p w14:paraId="3DDBF76D">
      <w:pPr>
        <w:ind w:firstLine="560"/>
        <w:rPr>
          <w:rFonts w:hint="eastAsia" w:eastAsia="仿宋_GB2312"/>
          <w:sz w:val="28"/>
          <w:szCs w:val="22"/>
        </w:rPr>
      </w:pPr>
      <w:r>
        <w:rPr>
          <w:rFonts w:hint="eastAsia" w:eastAsia="仿宋_GB2312"/>
          <w:sz w:val="28"/>
          <w:szCs w:val="22"/>
        </w:rPr>
        <w:t>项目开发地点在上海，投标人对上海医保基金财务系统进行升级改造并集中开发，投标人一旦中标后，应承担开发设备环境、开发人员的开发场地和食宿等相关内容和费用。</w:t>
      </w:r>
    </w:p>
    <w:p w14:paraId="3AAFE831">
      <w:pPr>
        <w:ind w:firstLine="560"/>
        <w:rPr>
          <w:rFonts w:hint="eastAsia" w:eastAsia="仿宋_GB2312"/>
          <w:sz w:val="28"/>
          <w:szCs w:val="22"/>
        </w:rPr>
      </w:pPr>
      <w:r>
        <w:rPr>
          <w:rFonts w:hint="eastAsia" w:eastAsia="仿宋_GB2312"/>
          <w:sz w:val="28"/>
          <w:szCs w:val="22"/>
        </w:rPr>
        <w:t>投标人需提供针对本项目的风险控制方案。</w:t>
      </w:r>
    </w:p>
    <w:p w14:paraId="096B603E">
      <w:pPr>
        <w:pStyle w:val="3"/>
        <w:numPr>
          <w:ilvl w:val="0"/>
          <w:numId w:val="8"/>
        </w:numPr>
        <w:spacing w:before="0" w:after="0"/>
        <w:ind w:firstLine="640" w:firstLineChars="200"/>
        <w:rPr>
          <w:rFonts w:hint="eastAsia" w:ascii="楷体_GB2312" w:hAnsi="楷体_GB2312" w:eastAsia="楷体_GB2312" w:cs="楷体_GB2312"/>
          <w:sz w:val="32"/>
        </w:rPr>
      </w:pPr>
      <w:bookmarkStart w:id="39" w:name="_Toc63785509"/>
      <w:bookmarkStart w:id="40" w:name="_Toc25244"/>
      <w:r>
        <w:rPr>
          <w:rFonts w:hint="eastAsia" w:ascii="楷体_GB2312" w:hAnsi="楷体_GB2312" w:eastAsia="楷体_GB2312" w:cs="楷体_GB2312"/>
          <w:sz w:val="32"/>
        </w:rPr>
        <w:t>项目工期要求</w:t>
      </w:r>
      <w:bookmarkEnd w:id="39"/>
      <w:bookmarkEnd w:id="40"/>
    </w:p>
    <w:p w14:paraId="7757E617">
      <w:pPr>
        <w:ind w:firstLine="560"/>
        <w:rPr>
          <w:rFonts w:hint="eastAsia" w:eastAsia="仿宋_GB2312"/>
          <w:sz w:val="28"/>
          <w:szCs w:val="22"/>
        </w:rPr>
      </w:pPr>
      <w:r>
        <w:rPr>
          <w:rFonts w:hint="eastAsia" w:eastAsia="仿宋_GB2312"/>
          <w:sz w:val="28"/>
          <w:szCs w:val="22"/>
        </w:rPr>
        <w:t>投标人应根据建设内容，分阶段制定合理的时间进度，并且应根据招标人要求进行调整和细化。</w:t>
      </w:r>
    </w:p>
    <w:p w14:paraId="0222E9B5">
      <w:pPr>
        <w:ind w:firstLine="560"/>
        <w:rPr>
          <w:rFonts w:hint="eastAsia" w:eastAsia="仿宋_GB2312"/>
          <w:sz w:val="32"/>
        </w:rPr>
      </w:pPr>
      <w:r>
        <w:rPr>
          <w:rFonts w:hint="eastAsia" w:eastAsia="仿宋_GB2312"/>
          <w:sz w:val="28"/>
          <w:szCs w:val="22"/>
        </w:rPr>
        <w:t>本项目要求自合同签订之日起6个月内完成项目建设并通过竣工验收，需包含一个月试运行，要求提供详细可行的项目实施进度及人员安排。</w:t>
      </w:r>
    </w:p>
    <w:p w14:paraId="106C8738">
      <w:pPr>
        <w:pStyle w:val="3"/>
        <w:numPr>
          <w:ilvl w:val="0"/>
          <w:numId w:val="8"/>
        </w:numPr>
        <w:spacing w:before="0" w:after="0"/>
        <w:ind w:firstLine="640" w:firstLineChars="200"/>
        <w:rPr>
          <w:rFonts w:hint="eastAsia" w:ascii="楷体_GB2312" w:hAnsi="楷体_GB2312" w:eastAsia="楷体_GB2312" w:cs="楷体_GB2312"/>
          <w:sz w:val="32"/>
        </w:rPr>
      </w:pPr>
      <w:bookmarkStart w:id="41" w:name="_Toc63785510"/>
      <w:bookmarkStart w:id="42" w:name="_Toc25014"/>
      <w:r>
        <w:rPr>
          <w:rFonts w:hint="eastAsia" w:ascii="楷体_GB2312" w:hAnsi="楷体_GB2312" w:eastAsia="楷体_GB2312" w:cs="楷体_GB2312"/>
          <w:sz w:val="32"/>
        </w:rPr>
        <w:t>项目团队及驻场人员要求</w:t>
      </w:r>
      <w:bookmarkEnd w:id="41"/>
      <w:bookmarkEnd w:id="42"/>
    </w:p>
    <w:p w14:paraId="2E8C273E">
      <w:pPr>
        <w:numPr>
          <w:ilvl w:val="0"/>
          <w:numId w:val="9"/>
        </w:numPr>
        <w:ind w:left="0" w:firstLine="560"/>
        <w:rPr>
          <w:rFonts w:hint="eastAsia" w:eastAsia="仿宋_GB2312"/>
          <w:sz w:val="28"/>
          <w:szCs w:val="22"/>
        </w:rPr>
      </w:pPr>
      <w:r>
        <w:rPr>
          <w:rFonts w:hint="eastAsia" w:eastAsia="仿宋_GB2312"/>
          <w:sz w:val="28"/>
          <w:szCs w:val="22"/>
        </w:rPr>
        <w:t>投标人须具有稳定的在职技术保障力量，能够提供及时的技术支援或服务，应针对本项目提供不少于</w:t>
      </w:r>
      <w:r>
        <w:rPr>
          <w:rFonts w:hint="eastAsia" w:ascii="Times New Roman Regular" w:hAnsi="Times New Roman Regular" w:eastAsia="仿宋_GB2312" w:cs="Times New Roman Regular"/>
          <w:sz w:val="28"/>
          <w:szCs w:val="22"/>
          <w:lang w:val="en-US" w:eastAsia="zh-CN"/>
        </w:rPr>
        <w:t>5</w:t>
      </w:r>
      <w:r>
        <w:rPr>
          <w:rFonts w:ascii="Times New Roman Regular" w:hAnsi="Times New Roman Regular" w:eastAsia="仿宋_GB2312" w:cs="Times New Roman Regular"/>
          <w:sz w:val="28"/>
          <w:szCs w:val="22"/>
        </w:rPr>
        <w:t>人</w:t>
      </w:r>
      <w:r>
        <w:rPr>
          <w:rFonts w:hint="eastAsia" w:eastAsia="仿宋_GB2312"/>
          <w:sz w:val="28"/>
          <w:szCs w:val="22"/>
        </w:rPr>
        <w:t>的项目服务团队（</w:t>
      </w:r>
      <w:r>
        <w:rPr>
          <w:rFonts w:hint="eastAsia" w:eastAsia="仿宋_GB2312"/>
          <w:sz w:val="28"/>
          <w:szCs w:val="22"/>
          <w:lang w:val="en-US" w:eastAsia="zh-CN"/>
        </w:rPr>
        <w:t>不含项目经理、产品经理，</w:t>
      </w:r>
      <w:r>
        <w:rPr>
          <w:rFonts w:hint="eastAsia" w:eastAsia="仿宋_GB2312"/>
          <w:sz w:val="28"/>
          <w:szCs w:val="22"/>
        </w:rPr>
        <w:t>包括技术负责人、研发等），投标单位的相关服务人员需具备相应的服务能力，需提供相关证明。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937"/>
        <w:gridCol w:w="1725"/>
        <w:gridCol w:w="1869"/>
        <w:gridCol w:w="1501"/>
      </w:tblGrid>
      <w:tr w14:paraId="3351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6" w:type="dxa"/>
            <w:shd w:val="clear" w:color="auto" w:fill="auto"/>
            <w:noWrap/>
            <w:vAlign w:val="center"/>
          </w:tcPr>
          <w:p w14:paraId="51CA5355">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角色</w:t>
            </w:r>
          </w:p>
        </w:tc>
        <w:tc>
          <w:tcPr>
            <w:tcW w:w="1937" w:type="dxa"/>
            <w:shd w:val="clear" w:color="auto" w:fill="auto"/>
            <w:noWrap/>
            <w:vAlign w:val="center"/>
          </w:tcPr>
          <w:p w14:paraId="59EBCD9A">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主要职责</w:t>
            </w:r>
          </w:p>
        </w:tc>
        <w:tc>
          <w:tcPr>
            <w:tcW w:w="1725" w:type="dxa"/>
            <w:shd w:val="clear" w:color="auto" w:fill="auto"/>
            <w:noWrap/>
            <w:vAlign w:val="center"/>
          </w:tcPr>
          <w:p w14:paraId="463B7219">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人员数量</w:t>
            </w:r>
          </w:p>
        </w:tc>
        <w:tc>
          <w:tcPr>
            <w:tcW w:w="1869" w:type="dxa"/>
            <w:vAlign w:val="center"/>
          </w:tcPr>
          <w:p w14:paraId="71950B29">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人员要求</w:t>
            </w:r>
          </w:p>
        </w:tc>
        <w:tc>
          <w:tcPr>
            <w:tcW w:w="1501" w:type="dxa"/>
            <w:shd w:val="clear" w:color="auto" w:fill="auto"/>
            <w:noWrap/>
            <w:vAlign w:val="center"/>
          </w:tcPr>
          <w:p w14:paraId="7DDA1B2D">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驻场要求</w:t>
            </w:r>
          </w:p>
        </w:tc>
      </w:tr>
      <w:tr w14:paraId="6F95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6" w:type="dxa"/>
            <w:shd w:val="clear" w:color="auto" w:fill="auto"/>
            <w:noWrap/>
            <w:vAlign w:val="center"/>
          </w:tcPr>
          <w:p w14:paraId="5BAD2096">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项目经理</w:t>
            </w:r>
          </w:p>
        </w:tc>
        <w:tc>
          <w:tcPr>
            <w:tcW w:w="1937" w:type="dxa"/>
            <w:shd w:val="clear" w:color="auto" w:fill="auto"/>
            <w:vAlign w:val="center"/>
          </w:tcPr>
          <w:p w14:paraId="1BC80FD5">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负责项目质量和进度控制</w:t>
            </w:r>
          </w:p>
        </w:tc>
        <w:tc>
          <w:tcPr>
            <w:tcW w:w="1725" w:type="dxa"/>
            <w:shd w:val="clear" w:color="auto" w:fill="auto"/>
            <w:noWrap/>
            <w:vAlign w:val="center"/>
          </w:tcPr>
          <w:p w14:paraId="65142316">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1人</w:t>
            </w:r>
          </w:p>
        </w:tc>
        <w:tc>
          <w:tcPr>
            <w:tcW w:w="1869" w:type="dxa"/>
            <w:vAlign w:val="center"/>
          </w:tcPr>
          <w:p w14:paraId="5092F27C">
            <w:pPr>
              <w:widowControl/>
              <w:spacing w:line="240" w:lineRule="auto"/>
              <w:ind w:firstLine="0" w:firstLineChars="0"/>
              <w:jc w:val="center"/>
              <w:rPr>
                <w:rFonts w:ascii="Times New Roman Regular" w:hAnsi="Times New Roman Regular" w:eastAsia="仿宋_GB2312" w:cs="Times New Roman Regular"/>
              </w:rPr>
            </w:pPr>
            <w:r>
              <w:rPr>
                <w:rFonts w:hint="eastAsia" w:ascii="Times New Roman Regular" w:hAnsi="Times New Roman Regular" w:eastAsia="仿宋_GB2312" w:cs="Times New Roman Regular"/>
              </w:rPr>
              <w:t>项目经理信息系统项目管理师（高级）证书、信息安全保障人员（CISAW）证书</w:t>
            </w:r>
          </w:p>
        </w:tc>
        <w:tc>
          <w:tcPr>
            <w:tcW w:w="1501" w:type="dxa"/>
            <w:shd w:val="clear" w:color="auto" w:fill="auto"/>
            <w:noWrap/>
            <w:vAlign w:val="center"/>
          </w:tcPr>
          <w:p w14:paraId="306D63AD">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驻场</w:t>
            </w:r>
          </w:p>
        </w:tc>
      </w:tr>
      <w:tr w14:paraId="1D48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6" w:type="dxa"/>
            <w:shd w:val="clear" w:color="auto" w:fill="auto"/>
            <w:noWrap/>
            <w:vAlign w:val="center"/>
          </w:tcPr>
          <w:p w14:paraId="5E477E5C">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产品经理</w:t>
            </w:r>
          </w:p>
        </w:tc>
        <w:tc>
          <w:tcPr>
            <w:tcW w:w="1937" w:type="dxa"/>
            <w:shd w:val="clear" w:color="auto" w:fill="auto"/>
            <w:vAlign w:val="center"/>
          </w:tcPr>
          <w:p w14:paraId="77C76D4E">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负责项目需求评估与产品设计</w:t>
            </w:r>
          </w:p>
        </w:tc>
        <w:tc>
          <w:tcPr>
            <w:tcW w:w="1725" w:type="dxa"/>
            <w:shd w:val="clear" w:color="auto" w:fill="auto"/>
            <w:noWrap/>
            <w:vAlign w:val="center"/>
          </w:tcPr>
          <w:p w14:paraId="38B93A07">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1人</w:t>
            </w:r>
          </w:p>
        </w:tc>
        <w:tc>
          <w:tcPr>
            <w:tcW w:w="1869" w:type="dxa"/>
            <w:vAlign w:val="center"/>
          </w:tcPr>
          <w:p w14:paraId="34F3FF93">
            <w:pPr>
              <w:widowControl/>
              <w:spacing w:line="240" w:lineRule="auto"/>
              <w:ind w:firstLine="0" w:firstLineChars="0"/>
              <w:jc w:val="center"/>
              <w:rPr>
                <w:rFonts w:ascii="Times New Roman Regular" w:hAnsi="Times New Roman Regular" w:eastAsia="仿宋_GB2312" w:cs="Times New Roman Regular"/>
              </w:rPr>
            </w:pPr>
            <w:r>
              <w:rPr>
                <w:rFonts w:hint="eastAsia" w:ascii="Times New Roman Regular" w:hAnsi="Times New Roman Regular" w:eastAsia="仿宋_GB2312" w:cs="Times New Roman Regular"/>
              </w:rPr>
              <w:t>系统架构设计师（高级）、系统分析师（高级）、数据库系统工程师（中级）证书</w:t>
            </w:r>
          </w:p>
        </w:tc>
        <w:tc>
          <w:tcPr>
            <w:tcW w:w="1501" w:type="dxa"/>
            <w:shd w:val="clear" w:color="auto" w:fill="auto"/>
            <w:noWrap/>
            <w:vAlign w:val="center"/>
          </w:tcPr>
          <w:p w14:paraId="0FA08CDD">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驻场</w:t>
            </w:r>
          </w:p>
        </w:tc>
      </w:tr>
      <w:tr w14:paraId="4C81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96" w:type="dxa"/>
            <w:shd w:val="clear" w:color="auto" w:fill="auto"/>
            <w:noWrap/>
            <w:vAlign w:val="center"/>
          </w:tcPr>
          <w:p w14:paraId="0661B8FC">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研发</w:t>
            </w:r>
          </w:p>
        </w:tc>
        <w:tc>
          <w:tcPr>
            <w:tcW w:w="1937" w:type="dxa"/>
            <w:shd w:val="clear" w:color="auto" w:fill="auto"/>
            <w:noWrap/>
            <w:vAlign w:val="center"/>
          </w:tcPr>
          <w:p w14:paraId="6E024820">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负责项目具体开发与实施</w:t>
            </w:r>
          </w:p>
        </w:tc>
        <w:tc>
          <w:tcPr>
            <w:tcW w:w="1725" w:type="dxa"/>
            <w:shd w:val="clear" w:color="auto" w:fill="auto"/>
            <w:noWrap/>
            <w:vAlign w:val="center"/>
          </w:tcPr>
          <w:p w14:paraId="6895F6BF">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5人</w:t>
            </w:r>
          </w:p>
        </w:tc>
        <w:tc>
          <w:tcPr>
            <w:tcW w:w="1869" w:type="dxa"/>
            <w:vAlign w:val="center"/>
          </w:tcPr>
          <w:p w14:paraId="5C27F8CB">
            <w:pPr>
              <w:widowControl/>
              <w:spacing w:line="240" w:lineRule="auto"/>
              <w:ind w:firstLine="0" w:firstLineChars="0"/>
              <w:jc w:val="center"/>
              <w:rPr>
                <w:rFonts w:ascii="Times New Roman Regular" w:hAnsi="Times New Roman Regular" w:eastAsia="仿宋_GB2312" w:cs="Times New Roman Regular"/>
              </w:rPr>
            </w:pPr>
          </w:p>
        </w:tc>
        <w:tc>
          <w:tcPr>
            <w:tcW w:w="1501" w:type="dxa"/>
            <w:shd w:val="clear" w:color="auto" w:fill="auto"/>
            <w:noWrap/>
            <w:vAlign w:val="center"/>
          </w:tcPr>
          <w:p w14:paraId="048063CF">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驻场</w:t>
            </w:r>
          </w:p>
        </w:tc>
      </w:tr>
    </w:tbl>
    <w:p w14:paraId="25741A93">
      <w:pPr>
        <w:numPr>
          <w:ilvl w:val="0"/>
          <w:numId w:val="9"/>
        </w:numPr>
        <w:ind w:left="0" w:firstLine="560"/>
        <w:rPr>
          <w:rFonts w:hint="eastAsia" w:eastAsia="仿宋_GB2312"/>
          <w:sz w:val="28"/>
          <w:szCs w:val="22"/>
        </w:rPr>
      </w:pPr>
      <w:r>
        <w:rPr>
          <w:rFonts w:hint="eastAsia" w:eastAsia="仿宋_GB2312"/>
          <w:sz w:val="28"/>
          <w:szCs w:val="22"/>
        </w:rPr>
        <w:t>投标人应针</w:t>
      </w:r>
      <w:r>
        <w:rPr>
          <w:rFonts w:ascii="Times New Roman Regular" w:hAnsi="Times New Roman Regular" w:eastAsia="仿宋_GB2312" w:cs="Times New Roman Regular"/>
          <w:sz w:val="28"/>
          <w:szCs w:val="22"/>
        </w:rPr>
        <w:t>对本项目提供不少于3人的质保期间支撑团队（其中技术经理1人，产品经理1人，技术工程师不少于1人）；投标人的相关服务人员需具备相应的服务能力，需提供相关证明（最近一个季度依法缴纳社保费的证</w:t>
      </w:r>
      <w:r>
        <w:rPr>
          <w:rFonts w:hint="eastAsia" w:eastAsia="仿宋_GB2312"/>
          <w:sz w:val="28"/>
          <w:szCs w:val="22"/>
        </w:rPr>
        <w:t>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3381"/>
        <w:gridCol w:w="1341"/>
        <w:gridCol w:w="1083"/>
        <w:gridCol w:w="1107"/>
      </w:tblGrid>
      <w:tr w14:paraId="319F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16" w:type="dxa"/>
            <w:shd w:val="clear" w:color="auto" w:fill="auto"/>
            <w:noWrap/>
            <w:vAlign w:val="center"/>
          </w:tcPr>
          <w:p w14:paraId="722C405B">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角色</w:t>
            </w:r>
          </w:p>
        </w:tc>
        <w:tc>
          <w:tcPr>
            <w:tcW w:w="3381" w:type="dxa"/>
            <w:shd w:val="clear" w:color="auto" w:fill="auto"/>
            <w:noWrap/>
            <w:vAlign w:val="center"/>
          </w:tcPr>
          <w:p w14:paraId="26ADE3CA">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主要职责</w:t>
            </w:r>
          </w:p>
        </w:tc>
        <w:tc>
          <w:tcPr>
            <w:tcW w:w="1341" w:type="dxa"/>
            <w:shd w:val="clear" w:color="auto" w:fill="auto"/>
            <w:noWrap/>
            <w:vAlign w:val="center"/>
          </w:tcPr>
          <w:p w14:paraId="78087241">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人员数量</w:t>
            </w:r>
          </w:p>
        </w:tc>
        <w:tc>
          <w:tcPr>
            <w:tcW w:w="1083" w:type="dxa"/>
            <w:vAlign w:val="center"/>
          </w:tcPr>
          <w:p w14:paraId="77141874">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人员要求</w:t>
            </w:r>
          </w:p>
        </w:tc>
        <w:tc>
          <w:tcPr>
            <w:tcW w:w="1107" w:type="dxa"/>
            <w:shd w:val="clear" w:color="auto" w:fill="auto"/>
            <w:noWrap/>
            <w:vAlign w:val="center"/>
          </w:tcPr>
          <w:p w14:paraId="58FB0942">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驻场要求</w:t>
            </w:r>
          </w:p>
        </w:tc>
      </w:tr>
      <w:tr w14:paraId="08C9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16" w:type="dxa"/>
            <w:shd w:val="clear" w:color="auto" w:fill="auto"/>
            <w:noWrap/>
            <w:vAlign w:val="center"/>
          </w:tcPr>
          <w:p w14:paraId="3E63C4C4">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技术经理</w:t>
            </w:r>
          </w:p>
        </w:tc>
        <w:tc>
          <w:tcPr>
            <w:tcW w:w="3381" w:type="dxa"/>
            <w:shd w:val="clear" w:color="auto" w:fill="auto"/>
            <w:vAlign w:val="center"/>
          </w:tcPr>
          <w:p w14:paraId="14807AFB">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负责项目质量和进度控制</w:t>
            </w:r>
          </w:p>
        </w:tc>
        <w:tc>
          <w:tcPr>
            <w:tcW w:w="1341" w:type="dxa"/>
            <w:shd w:val="clear" w:color="auto" w:fill="auto"/>
            <w:noWrap/>
            <w:vAlign w:val="center"/>
          </w:tcPr>
          <w:p w14:paraId="1FFAB89E">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1人</w:t>
            </w:r>
          </w:p>
        </w:tc>
        <w:tc>
          <w:tcPr>
            <w:tcW w:w="1083" w:type="dxa"/>
            <w:vAlign w:val="center"/>
          </w:tcPr>
          <w:p w14:paraId="7089392C">
            <w:pPr>
              <w:widowControl/>
              <w:spacing w:line="240" w:lineRule="auto"/>
              <w:ind w:firstLine="0" w:firstLineChars="0"/>
              <w:jc w:val="center"/>
              <w:rPr>
                <w:rFonts w:ascii="Times New Roman Regular" w:hAnsi="Times New Roman Regular" w:eastAsia="仿宋_GB2312" w:cs="Times New Roman Regular"/>
              </w:rPr>
            </w:pPr>
          </w:p>
        </w:tc>
        <w:tc>
          <w:tcPr>
            <w:tcW w:w="1107" w:type="dxa"/>
            <w:shd w:val="clear" w:color="auto" w:fill="auto"/>
            <w:noWrap/>
            <w:vAlign w:val="center"/>
          </w:tcPr>
          <w:p w14:paraId="5B633A87">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驻场</w:t>
            </w:r>
          </w:p>
        </w:tc>
      </w:tr>
      <w:tr w14:paraId="39D1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16" w:type="dxa"/>
            <w:shd w:val="clear" w:color="auto" w:fill="auto"/>
            <w:noWrap/>
            <w:vAlign w:val="center"/>
          </w:tcPr>
          <w:p w14:paraId="2B215887">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产品经理</w:t>
            </w:r>
          </w:p>
        </w:tc>
        <w:tc>
          <w:tcPr>
            <w:tcW w:w="3381" w:type="dxa"/>
            <w:shd w:val="clear" w:color="auto" w:fill="auto"/>
            <w:vAlign w:val="center"/>
          </w:tcPr>
          <w:p w14:paraId="394E0ED5">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负责项目需求评估与产品设计</w:t>
            </w:r>
          </w:p>
        </w:tc>
        <w:tc>
          <w:tcPr>
            <w:tcW w:w="1341" w:type="dxa"/>
            <w:shd w:val="clear" w:color="auto" w:fill="auto"/>
            <w:noWrap/>
            <w:vAlign w:val="center"/>
          </w:tcPr>
          <w:p w14:paraId="029BC86A">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1人</w:t>
            </w:r>
          </w:p>
        </w:tc>
        <w:tc>
          <w:tcPr>
            <w:tcW w:w="1083" w:type="dxa"/>
            <w:vAlign w:val="center"/>
          </w:tcPr>
          <w:p w14:paraId="2D64457A">
            <w:pPr>
              <w:widowControl/>
              <w:spacing w:line="240" w:lineRule="auto"/>
              <w:ind w:firstLine="0" w:firstLineChars="0"/>
              <w:jc w:val="center"/>
              <w:rPr>
                <w:rFonts w:ascii="Times New Roman Regular" w:hAnsi="Times New Roman Regular" w:eastAsia="仿宋_GB2312" w:cs="Times New Roman Regular"/>
              </w:rPr>
            </w:pPr>
          </w:p>
        </w:tc>
        <w:tc>
          <w:tcPr>
            <w:tcW w:w="1107" w:type="dxa"/>
            <w:shd w:val="clear" w:color="auto" w:fill="auto"/>
            <w:noWrap/>
            <w:vAlign w:val="center"/>
          </w:tcPr>
          <w:p w14:paraId="7ACA3149">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驻场</w:t>
            </w:r>
          </w:p>
        </w:tc>
      </w:tr>
      <w:tr w14:paraId="3D2A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16" w:type="dxa"/>
            <w:shd w:val="clear" w:color="auto" w:fill="auto"/>
            <w:noWrap/>
            <w:vAlign w:val="center"/>
          </w:tcPr>
          <w:p w14:paraId="3D851E19">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技术工程师</w:t>
            </w:r>
          </w:p>
        </w:tc>
        <w:tc>
          <w:tcPr>
            <w:tcW w:w="3381" w:type="dxa"/>
            <w:shd w:val="clear" w:color="auto" w:fill="auto"/>
            <w:noWrap/>
            <w:vAlign w:val="center"/>
          </w:tcPr>
          <w:p w14:paraId="36E06AC4">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负责项目运行维护</w:t>
            </w:r>
          </w:p>
        </w:tc>
        <w:tc>
          <w:tcPr>
            <w:tcW w:w="1341" w:type="dxa"/>
            <w:shd w:val="clear" w:color="auto" w:fill="auto"/>
            <w:noWrap/>
            <w:vAlign w:val="center"/>
          </w:tcPr>
          <w:p w14:paraId="5A6CB832">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1人</w:t>
            </w:r>
          </w:p>
        </w:tc>
        <w:tc>
          <w:tcPr>
            <w:tcW w:w="1083" w:type="dxa"/>
            <w:vAlign w:val="center"/>
          </w:tcPr>
          <w:p w14:paraId="17E32B96">
            <w:pPr>
              <w:widowControl/>
              <w:spacing w:line="240" w:lineRule="auto"/>
              <w:ind w:firstLine="0" w:firstLineChars="0"/>
              <w:jc w:val="center"/>
              <w:rPr>
                <w:rFonts w:ascii="Times New Roman Regular" w:hAnsi="Times New Roman Regular" w:eastAsia="仿宋_GB2312" w:cs="Times New Roman Regular"/>
              </w:rPr>
            </w:pPr>
          </w:p>
        </w:tc>
        <w:tc>
          <w:tcPr>
            <w:tcW w:w="1107" w:type="dxa"/>
            <w:shd w:val="clear" w:color="auto" w:fill="auto"/>
            <w:noWrap/>
            <w:vAlign w:val="center"/>
          </w:tcPr>
          <w:p w14:paraId="010BCFAB">
            <w:pPr>
              <w:widowControl/>
              <w:spacing w:line="240" w:lineRule="auto"/>
              <w:ind w:firstLine="0" w:firstLineChars="0"/>
              <w:jc w:val="center"/>
              <w:rPr>
                <w:rFonts w:ascii="Times New Roman Regular" w:hAnsi="Times New Roman Regular" w:eastAsia="仿宋_GB2312" w:cs="Times New Roman Regular"/>
              </w:rPr>
            </w:pPr>
            <w:r>
              <w:rPr>
                <w:rFonts w:ascii="Times New Roman Regular" w:hAnsi="Times New Roman Regular" w:eastAsia="仿宋_GB2312" w:cs="Times New Roman Regular"/>
              </w:rPr>
              <w:t>驻场</w:t>
            </w:r>
          </w:p>
        </w:tc>
      </w:tr>
    </w:tbl>
    <w:p w14:paraId="255A77A9">
      <w:pPr>
        <w:pStyle w:val="3"/>
        <w:numPr>
          <w:ilvl w:val="0"/>
          <w:numId w:val="8"/>
        </w:numPr>
        <w:spacing w:before="0" w:after="0"/>
        <w:ind w:firstLine="640" w:firstLineChars="200"/>
        <w:rPr>
          <w:rFonts w:hint="eastAsia" w:ascii="楷体_GB2312" w:hAnsi="楷体_GB2312" w:eastAsia="楷体_GB2312" w:cs="楷体_GB2312"/>
          <w:sz w:val="32"/>
        </w:rPr>
      </w:pPr>
      <w:bookmarkStart w:id="43" w:name="_Toc63785507"/>
      <w:bookmarkStart w:id="44" w:name="_Toc19964"/>
      <w:r>
        <w:rPr>
          <w:rFonts w:hint="eastAsia" w:ascii="楷体_GB2312" w:hAnsi="楷体_GB2312" w:eastAsia="楷体_GB2312" w:cs="楷体_GB2312"/>
          <w:sz w:val="32"/>
        </w:rPr>
        <w:t>项目培训要求</w:t>
      </w:r>
      <w:bookmarkEnd w:id="43"/>
      <w:bookmarkEnd w:id="44"/>
    </w:p>
    <w:p w14:paraId="1AAD4F36">
      <w:pPr>
        <w:ind w:firstLine="560"/>
        <w:rPr>
          <w:rFonts w:hint="eastAsia" w:eastAsia="仿宋_GB2312"/>
          <w:sz w:val="28"/>
          <w:szCs w:val="22"/>
        </w:rPr>
      </w:pPr>
      <w:r>
        <w:rPr>
          <w:rFonts w:hint="eastAsia" w:eastAsia="仿宋_GB2312"/>
          <w:sz w:val="28"/>
          <w:szCs w:val="22"/>
        </w:rPr>
        <w:t>本项目的培训，是指成交供应商对所开发内容的使用人员在上海进行培训。</w:t>
      </w:r>
    </w:p>
    <w:p w14:paraId="05C482AB">
      <w:pPr>
        <w:ind w:firstLine="560"/>
        <w:rPr>
          <w:rFonts w:hint="eastAsia" w:eastAsia="仿宋_GB2312"/>
          <w:sz w:val="28"/>
          <w:szCs w:val="22"/>
        </w:rPr>
      </w:pPr>
      <w:r>
        <w:rPr>
          <w:rFonts w:hint="eastAsia" w:eastAsia="仿宋_GB2312"/>
          <w:sz w:val="28"/>
          <w:szCs w:val="22"/>
        </w:rPr>
        <w:t>培训由成交供应商负责师资及教材，由用户提供场地和培训设备并负责组织实施。成交供应商应派出用户认可的具有相关专业资格和实际工作经验的教师及辅导人员进行培训。</w:t>
      </w:r>
    </w:p>
    <w:p w14:paraId="5ED58880">
      <w:pPr>
        <w:ind w:firstLine="560"/>
        <w:rPr>
          <w:rFonts w:hint="eastAsia" w:eastAsia="仿宋_GB2312"/>
          <w:sz w:val="28"/>
          <w:szCs w:val="22"/>
        </w:rPr>
      </w:pPr>
      <w:r>
        <w:rPr>
          <w:rFonts w:hint="eastAsia" w:eastAsia="仿宋_GB2312"/>
          <w:sz w:val="28"/>
          <w:szCs w:val="22"/>
        </w:rPr>
        <w:t>成交供应商应详细制定人员培训方案，包括培训目的、培训时间安排、人数、次数、教材编写(列出教材基本内容)、培训课程（包括课程介绍）、培训师资情况、培训组织方式等。</w:t>
      </w:r>
    </w:p>
    <w:p w14:paraId="40E2810C">
      <w:pPr>
        <w:pStyle w:val="3"/>
        <w:numPr>
          <w:ilvl w:val="0"/>
          <w:numId w:val="8"/>
        </w:numPr>
        <w:spacing w:before="0" w:after="0"/>
        <w:ind w:firstLine="640" w:firstLineChars="200"/>
        <w:rPr>
          <w:rFonts w:hint="eastAsia" w:ascii="楷体_GB2312" w:hAnsi="楷体_GB2312" w:eastAsia="楷体_GB2312" w:cs="楷体_GB2312"/>
          <w:sz w:val="32"/>
        </w:rPr>
      </w:pPr>
      <w:bookmarkStart w:id="45" w:name="_Toc63785508"/>
      <w:bookmarkStart w:id="46" w:name="_Toc13280"/>
      <w:r>
        <w:rPr>
          <w:rFonts w:hint="eastAsia" w:ascii="楷体_GB2312" w:hAnsi="楷体_GB2312" w:eastAsia="楷体_GB2312" w:cs="楷体_GB2312"/>
          <w:sz w:val="32"/>
        </w:rPr>
        <w:t>项目验收要求</w:t>
      </w:r>
      <w:bookmarkEnd w:id="45"/>
      <w:bookmarkEnd w:id="46"/>
    </w:p>
    <w:p w14:paraId="4C7D8E70">
      <w:pPr>
        <w:ind w:firstLine="560"/>
        <w:rPr>
          <w:rFonts w:hint="eastAsia" w:eastAsia="仿宋_GB2312"/>
          <w:sz w:val="28"/>
          <w:szCs w:val="22"/>
        </w:rPr>
      </w:pPr>
      <w:r>
        <w:rPr>
          <w:rFonts w:hint="eastAsia" w:eastAsia="仿宋_GB2312"/>
          <w:sz w:val="28"/>
          <w:szCs w:val="22"/>
        </w:rPr>
        <w:t>本项目按下述方式开展验收。</w:t>
      </w:r>
    </w:p>
    <w:p w14:paraId="07CE39CE">
      <w:pPr>
        <w:numPr>
          <w:ilvl w:val="0"/>
          <w:numId w:val="10"/>
        </w:numPr>
        <w:ind w:left="0" w:firstLine="560"/>
        <w:rPr>
          <w:rFonts w:hint="eastAsia" w:eastAsia="仿宋_GB2312"/>
          <w:sz w:val="28"/>
          <w:szCs w:val="22"/>
        </w:rPr>
      </w:pPr>
      <w:r>
        <w:rPr>
          <w:rFonts w:hint="eastAsia" w:eastAsia="仿宋_GB2312"/>
          <w:sz w:val="28"/>
          <w:szCs w:val="22"/>
        </w:rPr>
        <w:t>验收分初验和终验。</w:t>
      </w:r>
    </w:p>
    <w:p w14:paraId="0D8C4285">
      <w:pPr>
        <w:numPr>
          <w:ilvl w:val="0"/>
          <w:numId w:val="10"/>
        </w:numPr>
        <w:ind w:left="0" w:firstLine="560"/>
        <w:rPr>
          <w:rFonts w:hint="eastAsia" w:eastAsia="仿宋_GB2312"/>
          <w:sz w:val="28"/>
          <w:szCs w:val="22"/>
        </w:rPr>
      </w:pPr>
      <w:r>
        <w:rPr>
          <w:rFonts w:hint="eastAsia" w:eastAsia="仿宋_GB2312"/>
          <w:sz w:val="28"/>
          <w:szCs w:val="22"/>
        </w:rPr>
        <w:t>初验前，供应商须完成软件开发、软硬件安装和信息系统的调试等，并对本项目进行功能和运行检测，确保所有信息系统功能模块能够正常运行且已达到本项目约定的各类标准要求。供应商应以</w:t>
      </w:r>
      <w:r>
        <w:rPr>
          <w:rFonts w:ascii="Times New Roman Regular" w:hAnsi="Times New Roman Regular" w:eastAsia="仿宋_GB2312" w:cs="Times New Roman Regular"/>
          <w:sz w:val="28"/>
          <w:szCs w:val="22"/>
        </w:rPr>
        <w:t>书面形式向招标方递交初验通知书。招标方应当在接到通知后的5个</w:t>
      </w:r>
      <w:r>
        <w:rPr>
          <w:rFonts w:hint="eastAsia" w:eastAsia="仿宋_GB2312"/>
          <w:sz w:val="28"/>
          <w:szCs w:val="22"/>
        </w:rPr>
        <w:t>工作日内确定初验的具体日期，由双方按照本项目的约定完成本项目的初验。招标方有权委托第三方检测机构进行验收，对此供应商应当配合。</w:t>
      </w:r>
    </w:p>
    <w:p w14:paraId="58E0A203">
      <w:pPr>
        <w:numPr>
          <w:ilvl w:val="0"/>
          <w:numId w:val="10"/>
        </w:numPr>
        <w:ind w:left="0" w:firstLine="560"/>
        <w:rPr>
          <w:rFonts w:hint="eastAsia" w:eastAsia="仿宋_GB2312"/>
          <w:sz w:val="28"/>
          <w:szCs w:val="22"/>
        </w:rPr>
      </w:pPr>
      <w:r>
        <w:rPr>
          <w:rFonts w:hint="eastAsia" w:eastAsia="仿宋_GB2312"/>
          <w:sz w:val="28"/>
          <w:szCs w:val="22"/>
        </w:rPr>
        <w:t>初验时，供应商须提供软件文档包括《用户需求说明书》、《系统概要设计说明书》、《系统详细设计说明书》、《三方功能需求确认单》、《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3CB421AF">
      <w:pPr>
        <w:numPr>
          <w:ilvl w:val="0"/>
          <w:numId w:val="10"/>
        </w:numPr>
        <w:ind w:left="0" w:firstLine="560"/>
        <w:rPr>
          <w:rFonts w:hint="eastAsia" w:eastAsia="仿宋_GB2312"/>
          <w:sz w:val="28"/>
          <w:szCs w:val="22"/>
        </w:rPr>
      </w:pPr>
      <w:r>
        <w:rPr>
          <w:rFonts w:hint="eastAsia" w:eastAsia="仿宋_GB2312"/>
          <w:sz w:val="28"/>
          <w:szCs w:val="22"/>
        </w:rPr>
        <w:t>自初验通过之日起，招标方享有供应商免费提供的</w:t>
      </w:r>
      <w:r>
        <w:rPr>
          <w:rFonts w:ascii="Times New Roman Regular" w:hAnsi="Times New Roman Regular" w:eastAsia="仿宋_GB2312" w:cs="Times New Roman Regular"/>
          <w:sz w:val="28"/>
          <w:szCs w:val="22"/>
        </w:rPr>
        <w:t>30</w:t>
      </w:r>
      <w:r>
        <w:rPr>
          <w:rFonts w:hint="eastAsia" w:ascii="仿宋_GB2312" w:hAnsi="仿宋_GB2312" w:eastAsia="仿宋_GB2312" w:cs="仿宋_GB2312"/>
          <w:sz w:val="28"/>
          <w:szCs w:val="22"/>
        </w:rPr>
        <w:t>天</w:t>
      </w:r>
      <w:r>
        <w:rPr>
          <w:rFonts w:hint="eastAsia" w:eastAsia="仿宋_GB2312"/>
          <w:sz w:val="28"/>
          <w:szCs w:val="22"/>
        </w:rPr>
        <w:t>的信息系统试运行现场驻场服务期。该期间内，供应商应当按照招标方的要求提供现场技术支持服务，解决信息系统试运行期间可能出现的各类问题，或进一步提高与完善信息系统运行水平。</w:t>
      </w:r>
    </w:p>
    <w:p w14:paraId="657D132F">
      <w:pPr>
        <w:numPr>
          <w:ilvl w:val="0"/>
          <w:numId w:val="10"/>
        </w:numPr>
        <w:ind w:left="0" w:firstLine="560"/>
        <w:rPr>
          <w:rFonts w:hint="eastAsia" w:eastAsia="仿宋_GB2312"/>
          <w:sz w:val="28"/>
          <w:szCs w:val="22"/>
        </w:rPr>
      </w:pPr>
      <w:r>
        <w:rPr>
          <w:rFonts w:hint="eastAsia" w:eastAsia="仿宋_GB2312"/>
          <w:sz w:val="28"/>
          <w:szCs w:val="22"/>
        </w:rPr>
        <w:t>初验通过且信息系统试运行期已经达到本项目约定的时间，经供应商确认信息系统具备正常运行条件，且信息系统通过运行测试，供应商应以书面形式通知招标方信息系统已准备就绪等待终验。招标方在收到终验通知后</w:t>
      </w:r>
      <w:r>
        <w:rPr>
          <w:rFonts w:ascii="Times New Roman Regular" w:hAnsi="Times New Roman Regular" w:eastAsia="仿宋_GB2312" w:cs="Times New Roman Regular"/>
          <w:sz w:val="28"/>
          <w:szCs w:val="22"/>
        </w:rPr>
        <w:t>的5个</w:t>
      </w:r>
      <w:r>
        <w:rPr>
          <w:rFonts w:hint="eastAsia" w:eastAsia="仿宋_GB2312"/>
          <w:sz w:val="28"/>
          <w:szCs w:val="22"/>
        </w:rPr>
        <w:t>工作日内发起组织专家验收会。</w:t>
      </w:r>
    </w:p>
    <w:p w14:paraId="0A55DF66">
      <w:pPr>
        <w:numPr>
          <w:ilvl w:val="0"/>
          <w:numId w:val="10"/>
        </w:numPr>
        <w:ind w:left="0" w:firstLine="560"/>
        <w:rPr>
          <w:rFonts w:hint="eastAsia" w:eastAsia="仿宋_GB2312"/>
          <w:sz w:val="28"/>
          <w:szCs w:val="22"/>
        </w:rPr>
      </w:pPr>
      <w:r>
        <w:rPr>
          <w:rFonts w:hint="eastAsia" w:eastAsia="仿宋_GB2312"/>
          <w:sz w:val="28"/>
          <w:szCs w:val="22"/>
        </w:rPr>
        <w:t>如果属于供应商原因致使本项目未能通过终验，供应商应当排除缺陷，直至本项目完全符合验收标准，由上述情形而产生的相关费用应由供应商自行承担。</w:t>
      </w:r>
    </w:p>
    <w:p w14:paraId="1B68000F">
      <w:pPr>
        <w:numPr>
          <w:ilvl w:val="0"/>
          <w:numId w:val="10"/>
        </w:numPr>
        <w:ind w:left="0" w:firstLine="560"/>
        <w:rPr>
          <w:rFonts w:hint="eastAsia" w:eastAsia="仿宋_GB2312"/>
          <w:sz w:val="28"/>
          <w:szCs w:val="22"/>
        </w:rPr>
      </w:pPr>
      <w:r>
        <w:rPr>
          <w:rFonts w:hint="eastAsia" w:eastAsia="仿宋_GB2312"/>
          <w:sz w:val="28"/>
          <w:szCs w:val="22"/>
        </w:rPr>
        <w:t>如果由于招标方原因导致本项目在终验通过前出现故障或问题，供应商应及时配合排除该方面的故障或问题。</w:t>
      </w:r>
    </w:p>
    <w:p w14:paraId="7FD6F52B">
      <w:pPr>
        <w:numPr>
          <w:ilvl w:val="0"/>
          <w:numId w:val="10"/>
        </w:numPr>
        <w:ind w:left="0" w:firstLine="560"/>
        <w:rPr>
          <w:rFonts w:hint="eastAsia" w:eastAsia="仿宋_GB2312"/>
          <w:sz w:val="28"/>
          <w:szCs w:val="22"/>
        </w:rPr>
      </w:pPr>
      <w:r>
        <w:rPr>
          <w:rFonts w:hint="eastAsia" w:eastAsia="仿宋_GB2312"/>
          <w:sz w:val="28"/>
          <w:szCs w:val="22"/>
        </w:rPr>
        <w:t>如本项目连</w:t>
      </w:r>
      <w:r>
        <w:rPr>
          <w:rFonts w:ascii="Times New Roman Regular" w:hAnsi="Times New Roman Regular" w:eastAsia="仿宋_GB2312" w:cs="Times New Roman Regular"/>
          <w:sz w:val="28"/>
          <w:szCs w:val="22"/>
        </w:rPr>
        <w:t>续3次</w:t>
      </w:r>
      <w:r>
        <w:rPr>
          <w:rFonts w:hint="eastAsia" w:ascii="仿宋_GB2312" w:hAnsi="仿宋_GB2312" w:eastAsia="仿宋_GB2312" w:cs="仿宋_GB2312"/>
          <w:sz w:val="28"/>
          <w:szCs w:val="22"/>
        </w:rPr>
        <w:t>验</w:t>
      </w:r>
      <w:r>
        <w:rPr>
          <w:rFonts w:hint="eastAsia" w:eastAsia="仿宋_GB2312"/>
          <w:sz w:val="28"/>
          <w:szCs w:val="22"/>
        </w:rPr>
        <w:t>收未通过（含初验未通过或终验未通过），招标方有权解除项目，并有权依照本项目约定的违约条款追究供应商的违约责任。</w:t>
      </w:r>
    </w:p>
    <w:p w14:paraId="74887BE3">
      <w:pPr>
        <w:pStyle w:val="3"/>
        <w:numPr>
          <w:ilvl w:val="0"/>
          <w:numId w:val="8"/>
        </w:numPr>
        <w:spacing w:before="0" w:after="0"/>
        <w:ind w:firstLine="640" w:firstLineChars="200"/>
        <w:rPr>
          <w:rFonts w:hint="eastAsia" w:ascii="楷体_GB2312" w:hAnsi="楷体_GB2312" w:eastAsia="楷体_GB2312" w:cs="楷体_GB2312"/>
          <w:sz w:val="32"/>
        </w:rPr>
      </w:pPr>
      <w:bookmarkStart w:id="47" w:name="_Toc3006"/>
      <w:r>
        <w:rPr>
          <w:rFonts w:hint="eastAsia" w:ascii="楷体_GB2312" w:hAnsi="楷体_GB2312" w:eastAsia="楷体_GB2312" w:cs="楷体_GB2312"/>
          <w:sz w:val="32"/>
        </w:rPr>
        <w:t>售后服务要求</w:t>
      </w:r>
      <w:bookmarkEnd w:id="38"/>
      <w:bookmarkEnd w:id="47"/>
    </w:p>
    <w:p w14:paraId="3305AAAD">
      <w:pPr>
        <w:ind w:firstLine="560"/>
        <w:rPr>
          <w:rFonts w:hint="eastAsia" w:ascii="仿宋_GB2312" w:hAnsi="仿宋_GB2312" w:eastAsia="仿宋_GB2312" w:cs="仿宋_GB2312"/>
          <w:sz w:val="28"/>
          <w:szCs w:val="22"/>
        </w:rPr>
      </w:pPr>
      <w:r>
        <w:rPr>
          <w:rFonts w:hint="eastAsia" w:eastAsia="仿宋_GB2312"/>
          <w:sz w:val="28"/>
          <w:szCs w:val="22"/>
        </w:rPr>
        <w:t>本项目从</w:t>
      </w:r>
      <w:r>
        <w:rPr>
          <w:rFonts w:hint="eastAsia" w:ascii="仿宋_GB2312" w:hAnsi="仿宋_GB2312" w:eastAsia="仿宋_GB2312" w:cs="仿宋_GB2312"/>
          <w:sz w:val="28"/>
          <w:szCs w:val="22"/>
        </w:rPr>
        <w:t>系统验</w:t>
      </w:r>
      <w:r>
        <w:rPr>
          <w:rFonts w:ascii="Times New Roman Regular" w:hAnsi="Times New Roman Regular" w:eastAsia="仿宋_GB2312" w:cs="Times New Roman Regular"/>
          <w:sz w:val="28"/>
          <w:szCs w:val="22"/>
        </w:rPr>
        <w:t>收通过之日起1年内提供7*24小时免费技术支持和售后服务，1年后进</w:t>
      </w:r>
      <w:r>
        <w:rPr>
          <w:rFonts w:hint="eastAsia" w:ascii="仿宋_GB2312" w:hAnsi="仿宋_GB2312" w:eastAsia="仿宋_GB2312" w:cs="仿宋_GB2312"/>
          <w:sz w:val="28"/>
          <w:szCs w:val="22"/>
        </w:rPr>
        <w:t>入有偿维护期。</w:t>
      </w:r>
    </w:p>
    <w:p w14:paraId="7B718862">
      <w:pPr>
        <w:ind w:firstLine="560"/>
        <w:rPr>
          <w:rFonts w:hint="eastAsia" w:eastAsia="仿宋_GB2312"/>
          <w:sz w:val="28"/>
          <w:szCs w:val="22"/>
        </w:rPr>
      </w:pPr>
      <w:r>
        <w:rPr>
          <w:rFonts w:hint="eastAsia" w:ascii="仿宋_GB2312" w:hAnsi="仿宋_GB2312" w:eastAsia="仿宋_GB2312" w:cs="仿宋_GB2312"/>
          <w:sz w:val="28"/>
          <w:szCs w:val="22"/>
        </w:rPr>
        <w:t>供应商在上海应设立常驻售后服务机构，处理所有售后服务，软件产品的售后服务应包括对开发进行培训、现场安装及解决问题，同时可提供</w:t>
      </w:r>
      <w:r>
        <w:rPr>
          <w:rFonts w:ascii="Times New Roman Regular" w:hAnsi="Times New Roman Regular" w:eastAsia="仿宋_GB2312" w:cs="Times New Roman Regular"/>
          <w:sz w:val="28"/>
          <w:szCs w:val="22"/>
        </w:rPr>
        <w:t>7*24小</w:t>
      </w:r>
      <w:r>
        <w:rPr>
          <w:rFonts w:hint="eastAsia" w:ascii="仿宋_GB2312" w:hAnsi="仿宋_GB2312" w:eastAsia="仿宋_GB2312" w:cs="仿宋_GB2312"/>
          <w:sz w:val="28"/>
          <w:szCs w:val="22"/>
        </w:rPr>
        <w:t>时本</w:t>
      </w:r>
      <w:r>
        <w:rPr>
          <w:rFonts w:hint="eastAsia" w:eastAsia="仿宋_GB2312"/>
          <w:sz w:val="28"/>
          <w:szCs w:val="22"/>
        </w:rPr>
        <w:t>地语言（中文）支持。</w:t>
      </w:r>
    </w:p>
    <w:p w14:paraId="4D8A1A20">
      <w:pPr>
        <w:ind w:firstLine="560"/>
        <w:rPr>
          <w:rFonts w:hint="eastAsia" w:eastAsia="仿宋_GB2312"/>
          <w:sz w:val="28"/>
          <w:szCs w:val="22"/>
        </w:rPr>
      </w:pPr>
      <w:r>
        <w:rPr>
          <w:rFonts w:hint="eastAsia" w:eastAsia="仿宋_GB2312"/>
          <w:sz w:val="28"/>
          <w:szCs w:val="22"/>
        </w:rPr>
        <w:t>在项目进入维护期后，供应商应提供包括但不限于常驻、电话、远程、定期巡查等方式的系统支持服务，以保证系统正常、稳定运行。提供包括但不限于免费升级、故障排除、性能调优、功能适应性修改、完善性修改、技术咨询等服务内容；并处理和协调好与各相关系统软件、硬件等供应商的关系。成交供应商应提供详细的售后服务方案。</w:t>
      </w:r>
    </w:p>
    <w:p w14:paraId="461927A6">
      <w:pPr>
        <w:pStyle w:val="3"/>
        <w:numPr>
          <w:ilvl w:val="0"/>
          <w:numId w:val="8"/>
        </w:numPr>
        <w:spacing w:before="0" w:after="0"/>
        <w:ind w:firstLine="640" w:firstLineChars="200"/>
        <w:rPr>
          <w:rFonts w:eastAsia="楷体GB2312"/>
          <w:sz w:val="32"/>
        </w:rPr>
      </w:pPr>
      <w:bookmarkStart w:id="48" w:name="_Toc63785506"/>
      <w:bookmarkStart w:id="49" w:name="_Toc2672"/>
      <w:r>
        <w:rPr>
          <w:rFonts w:hint="eastAsia" w:ascii="楷体_GB2312" w:hAnsi="楷体_GB2312" w:eastAsia="楷体_GB2312" w:cs="楷体_GB2312"/>
          <w:sz w:val="32"/>
        </w:rPr>
        <w:t>应急响应要求</w:t>
      </w:r>
      <w:bookmarkEnd w:id="48"/>
      <w:bookmarkEnd w:id="49"/>
    </w:p>
    <w:p w14:paraId="4E12E5F8">
      <w:pPr>
        <w:ind w:firstLine="560"/>
        <w:rPr>
          <w:rFonts w:ascii="Times New Roman Regular" w:hAnsi="Times New Roman Regular" w:eastAsia="仿宋_GB2312" w:cs="Times New Roman Regular"/>
          <w:sz w:val="28"/>
          <w:szCs w:val="22"/>
        </w:rPr>
      </w:pPr>
      <w:r>
        <w:rPr>
          <w:rFonts w:ascii="Times New Roman Regular" w:hAnsi="Times New Roman Regular" w:eastAsia="仿宋_GB2312" w:cs="Times New Roman Regular"/>
          <w:sz w:val="28"/>
          <w:szCs w:val="22"/>
        </w:rPr>
        <w:t>供应商对系统故障应能够实时响应，若系统发生故障，接到通知后30分钟之内响应，专业工程师2小时内到达现场。特殊故障与客户沟通协商后，按照协商的方式制定解决方案并进行处理。</w:t>
      </w:r>
    </w:p>
    <w:p w14:paraId="460D2CB1">
      <w:pPr>
        <w:ind w:firstLine="560"/>
        <w:rPr>
          <w:rFonts w:ascii="Times New Roman Regular" w:hAnsi="Times New Roman Regular" w:eastAsia="仿宋_GB2312" w:cs="Times New Roman Regular"/>
          <w:sz w:val="28"/>
          <w:szCs w:val="22"/>
        </w:rPr>
      </w:pPr>
      <w:r>
        <w:rPr>
          <w:rFonts w:ascii="Times New Roman Regular" w:hAnsi="Times New Roman Regular" w:eastAsia="仿宋_GB2312" w:cs="Times New Roman Regular"/>
          <w:sz w:val="28"/>
          <w:szCs w:val="22"/>
        </w:rPr>
        <w:t>具体故障级别及对应的应急响应要求如下：</w:t>
      </w:r>
    </w:p>
    <w:p w14:paraId="027854BA">
      <w:pPr>
        <w:ind w:firstLine="560"/>
        <w:rPr>
          <w:rFonts w:ascii="Times New Roman Regular" w:hAnsi="Times New Roman Regular" w:eastAsia="仿宋_GB2312" w:cs="Times New Roman Regular"/>
          <w:sz w:val="28"/>
          <w:szCs w:val="22"/>
        </w:rPr>
      </w:pPr>
      <w:r>
        <w:rPr>
          <w:rFonts w:ascii="Times New Roman Regular" w:hAnsi="Times New Roman Regular" w:eastAsia="仿宋_GB2312" w:cs="Times New Roman Regular"/>
          <w:sz w:val="28"/>
          <w:szCs w:val="22"/>
        </w:rPr>
        <w:t>一级故障：在1小时内确诊，总故障解决时间不超过4小时。</w:t>
      </w:r>
    </w:p>
    <w:p w14:paraId="5D570F8D">
      <w:pPr>
        <w:ind w:firstLine="560"/>
        <w:rPr>
          <w:rFonts w:ascii="Times New Roman Regular" w:hAnsi="Times New Roman Regular" w:eastAsia="仿宋_GB2312" w:cs="Times New Roman Regular"/>
          <w:sz w:val="28"/>
          <w:szCs w:val="22"/>
        </w:rPr>
      </w:pPr>
      <w:r>
        <w:rPr>
          <w:rFonts w:ascii="Times New Roman Regular" w:hAnsi="Times New Roman Regular" w:eastAsia="仿宋_GB2312" w:cs="Times New Roman Regular"/>
          <w:sz w:val="28"/>
          <w:szCs w:val="22"/>
        </w:rPr>
        <w:t>二级故障：在2小时内确诊，并在4小时内由专家到达现场确诊并解决，总故障解决时间不超过8小时；</w:t>
      </w:r>
    </w:p>
    <w:p w14:paraId="6FFC85F7">
      <w:pPr>
        <w:ind w:firstLine="560"/>
        <w:rPr>
          <w:rFonts w:hint="eastAsia" w:ascii="仿宋_GB2312" w:hAnsi="仿宋_GB2312" w:eastAsia="仿宋_GB2312" w:cs="仿宋_GB2312"/>
          <w:sz w:val="32"/>
        </w:rPr>
      </w:pPr>
      <w:r>
        <w:rPr>
          <w:rFonts w:ascii="Times New Roman Regular" w:hAnsi="Times New Roman Regular" w:eastAsia="仿宋_GB2312" w:cs="Times New Roman Regular"/>
          <w:sz w:val="28"/>
          <w:szCs w:val="22"/>
        </w:rPr>
        <w:t>三、四级故障：在4小时内确诊故障，总故障解决时间不超过16小时。</w:t>
      </w:r>
    </w:p>
    <w:p w14:paraId="45AC3B3B">
      <w:pPr>
        <w:pStyle w:val="3"/>
        <w:numPr>
          <w:ilvl w:val="0"/>
          <w:numId w:val="8"/>
        </w:numPr>
        <w:spacing w:before="0" w:after="0"/>
        <w:ind w:firstLine="640" w:firstLineChars="200"/>
        <w:rPr>
          <w:rFonts w:hint="eastAsia" w:ascii="楷体_GB2312" w:hAnsi="楷体_GB2312" w:eastAsia="楷体_GB2312" w:cs="楷体_GB2312"/>
          <w:sz w:val="32"/>
        </w:rPr>
      </w:pPr>
      <w:bookmarkStart w:id="50" w:name="_Toc21159"/>
      <w:bookmarkStart w:id="51" w:name="_Toc63785511"/>
      <w:r>
        <w:rPr>
          <w:rFonts w:hint="eastAsia" w:ascii="楷体_GB2312" w:hAnsi="楷体_GB2312" w:eastAsia="楷体_GB2312" w:cs="楷体_GB2312"/>
          <w:sz w:val="32"/>
        </w:rPr>
        <w:t>供应商资质要求</w:t>
      </w:r>
      <w:bookmarkEnd w:id="50"/>
    </w:p>
    <w:p w14:paraId="7B6932DA">
      <w:pPr>
        <w:numPr>
          <w:ilvl w:val="0"/>
          <w:numId w:val="11"/>
        </w:numPr>
        <w:ind w:left="0" w:firstLine="560"/>
        <w:rPr>
          <w:rFonts w:hint="eastAsia" w:eastAsia="仿宋_GB2312"/>
          <w:sz w:val="28"/>
          <w:szCs w:val="22"/>
        </w:rPr>
      </w:pPr>
      <w:r>
        <w:rPr>
          <w:rFonts w:hint="eastAsia" w:eastAsia="仿宋_GB2312"/>
          <w:sz w:val="28"/>
          <w:szCs w:val="22"/>
        </w:rPr>
        <w:t>符合《中华人民共和国政府采购法》第二十二条规定的供应商。</w:t>
      </w:r>
    </w:p>
    <w:p w14:paraId="0DD0CF08">
      <w:pPr>
        <w:numPr>
          <w:ilvl w:val="0"/>
          <w:numId w:val="11"/>
        </w:numPr>
        <w:ind w:left="0" w:firstLine="560"/>
        <w:rPr>
          <w:rFonts w:hint="eastAsia" w:ascii="仿宋_GB2312" w:hAnsi="仿宋_GB2312" w:eastAsia="仿宋_GB2312" w:cs="仿宋_GB2312"/>
          <w:sz w:val="28"/>
          <w:szCs w:val="22"/>
        </w:rPr>
      </w:pPr>
      <w:r>
        <w:rPr>
          <w:rFonts w:hint="eastAsia" w:eastAsia="仿宋_GB2312"/>
          <w:sz w:val="28"/>
          <w:szCs w:val="22"/>
        </w:rPr>
        <w:t>根据《上海市政府采购供应</w:t>
      </w:r>
      <w:r>
        <w:rPr>
          <w:rFonts w:hint="eastAsia" w:ascii="仿宋_GB2312" w:hAnsi="仿宋_GB2312" w:eastAsia="仿宋_GB2312" w:cs="仿宋_GB2312"/>
          <w:sz w:val="28"/>
          <w:szCs w:val="22"/>
        </w:rPr>
        <w:t>商登记及诚信管理办法》已登记入库的供应商。</w:t>
      </w:r>
    </w:p>
    <w:p w14:paraId="1EA326DF">
      <w:pPr>
        <w:numPr>
          <w:ilvl w:val="0"/>
          <w:numId w:val="11"/>
        </w:numPr>
        <w:ind w:left="0" w:firstLine="56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其他资格要求：</w:t>
      </w:r>
    </w:p>
    <w:p w14:paraId="7416FEFE">
      <w:pPr>
        <w:ind w:firstLine="56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本项目面向大、中、小、微型等各类供应商采购。</w:t>
      </w:r>
    </w:p>
    <w:p w14:paraId="31414924">
      <w:pPr>
        <w:ind w:firstLine="560"/>
        <w:rPr>
          <w:rFonts w:hint="eastAsia" w:eastAsia="仿宋_GB2312"/>
          <w:sz w:val="28"/>
          <w:szCs w:val="22"/>
        </w:rPr>
      </w:pPr>
      <w:r>
        <w:rPr>
          <w:rFonts w:hint="eastAsia" w:ascii="仿宋_GB2312" w:hAnsi="仿宋_GB2312" w:eastAsia="仿宋_GB2312" w:cs="仿宋_GB2312"/>
          <w:sz w:val="28"/>
          <w:szCs w:val="22"/>
        </w:rPr>
        <w:t>未被</w:t>
      </w:r>
      <w:r>
        <w:rPr>
          <w:rFonts w:ascii="Times New Roman Regular" w:hAnsi="Times New Roman Regular" w:eastAsia="仿宋_GB2312" w:cs="Times New Roman Regular"/>
          <w:sz w:val="28"/>
          <w:szCs w:val="22"/>
        </w:rPr>
        <w:t>列入“信用中国”网站</w:t>
      </w:r>
      <w:r>
        <w:rPr>
          <w:rFonts w:hint="eastAsia" w:ascii="Times New Roman Regular" w:hAnsi="Times New Roman Regular" w:eastAsia="仿宋_GB2312" w:cs="Times New Roman Regular"/>
          <w:sz w:val="28"/>
          <w:szCs w:val="22"/>
        </w:rPr>
        <w:t>（</w:t>
      </w:r>
      <w:r>
        <w:rPr>
          <w:rFonts w:ascii="Times New Roman Regular" w:hAnsi="Times New Roman Regular" w:eastAsia="仿宋_GB2312" w:cs="Times New Roman Regular"/>
          <w:sz w:val="28"/>
          <w:szCs w:val="22"/>
        </w:rPr>
        <w:t>www.creditchina.gov.cn</w:t>
      </w:r>
      <w:r>
        <w:rPr>
          <w:rFonts w:hint="eastAsia" w:ascii="Times New Roman Regular" w:hAnsi="Times New Roman Regular" w:eastAsia="仿宋_GB2312" w:cs="Times New Roman Regular"/>
          <w:sz w:val="28"/>
          <w:szCs w:val="22"/>
        </w:rPr>
        <w:t>）</w:t>
      </w:r>
      <w:r>
        <w:rPr>
          <w:rFonts w:ascii="Times New Roman Regular" w:hAnsi="Times New Roman Regular" w:eastAsia="仿宋_GB2312" w:cs="Times New Roman Regular"/>
          <w:sz w:val="28"/>
          <w:szCs w:val="22"/>
        </w:rPr>
        <w:t>失信被执行人名单、重大税收违法案件当事人名单和中国政府采购网</w:t>
      </w:r>
      <w:r>
        <w:rPr>
          <w:rFonts w:hint="eastAsia" w:ascii="Times New Roman Regular" w:hAnsi="Times New Roman Regular" w:eastAsia="仿宋_GB2312" w:cs="Times New Roman Regular"/>
          <w:sz w:val="28"/>
          <w:szCs w:val="22"/>
        </w:rPr>
        <w:t>（</w:t>
      </w:r>
      <w:r>
        <w:rPr>
          <w:rFonts w:ascii="Times New Roman Regular" w:hAnsi="Times New Roman Regular" w:eastAsia="仿宋_GB2312" w:cs="Times New Roman Regular"/>
          <w:sz w:val="28"/>
          <w:szCs w:val="22"/>
        </w:rPr>
        <w:t>www.ccgp.gov.cn</w:t>
      </w:r>
      <w:r>
        <w:rPr>
          <w:rFonts w:hint="eastAsia" w:ascii="Times New Roman Regular" w:hAnsi="Times New Roman Regular" w:eastAsia="仿宋_GB2312" w:cs="Times New Roman Regular"/>
          <w:sz w:val="28"/>
          <w:szCs w:val="22"/>
        </w:rPr>
        <w:t>）</w:t>
      </w:r>
      <w:r>
        <w:rPr>
          <w:rFonts w:ascii="Times New Roman Regular" w:hAnsi="Times New Roman Regular" w:eastAsia="仿宋_GB2312" w:cs="Times New Roman Regular"/>
          <w:sz w:val="28"/>
          <w:szCs w:val="22"/>
        </w:rPr>
        <w:t>政府采购</w:t>
      </w:r>
      <w:r>
        <w:rPr>
          <w:rFonts w:hint="eastAsia" w:eastAsia="仿宋_GB2312"/>
          <w:sz w:val="28"/>
          <w:szCs w:val="22"/>
        </w:rPr>
        <w:t>严重违法失信行为记录名单。</w:t>
      </w:r>
    </w:p>
    <w:p w14:paraId="309FAF17">
      <w:pPr>
        <w:pStyle w:val="3"/>
        <w:numPr>
          <w:ilvl w:val="0"/>
          <w:numId w:val="8"/>
        </w:numPr>
        <w:spacing w:before="0" w:after="0"/>
        <w:ind w:firstLine="640" w:firstLineChars="200"/>
        <w:rPr>
          <w:rFonts w:hint="eastAsia" w:ascii="楷体_GB2312" w:hAnsi="楷体_GB2312" w:eastAsia="楷体_GB2312" w:cs="楷体_GB2312"/>
          <w:sz w:val="32"/>
        </w:rPr>
      </w:pPr>
      <w:bookmarkStart w:id="52" w:name="_Toc26510"/>
      <w:r>
        <w:rPr>
          <w:rFonts w:hint="eastAsia" w:ascii="楷体_GB2312" w:hAnsi="楷体_GB2312" w:eastAsia="楷体_GB2312" w:cs="楷体_GB2312"/>
          <w:sz w:val="32"/>
        </w:rPr>
        <w:t>等级保护</w:t>
      </w:r>
      <w:r>
        <w:rPr>
          <w:rFonts w:hint="eastAsia" w:ascii="楷体_GB2312" w:hAnsi="楷体_GB2312" w:eastAsia="楷体_GB2312" w:cs="楷体_GB2312"/>
          <w:sz w:val="32"/>
          <w:lang w:val="en-US" w:eastAsia="zh-CN"/>
        </w:rPr>
        <w:t>和密码测评</w:t>
      </w:r>
      <w:r>
        <w:rPr>
          <w:rFonts w:hint="eastAsia" w:ascii="楷体_GB2312" w:hAnsi="楷体_GB2312" w:eastAsia="楷体_GB2312" w:cs="楷体_GB2312"/>
          <w:sz w:val="32"/>
        </w:rPr>
        <w:t>要求</w:t>
      </w:r>
      <w:bookmarkEnd w:id="51"/>
      <w:bookmarkEnd w:id="52"/>
    </w:p>
    <w:p w14:paraId="790CC3FE">
      <w:pPr>
        <w:ind w:firstLine="560"/>
        <w:rPr>
          <w:rFonts w:hint="eastAsia" w:eastAsia="仿宋_GB2312"/>
          <w:sz w:val="28"/>
          <w:szCs w:val="22"/>
        </w:rPr>
      </w:pPr>
      <w:r>
        <w:rPr>
          <w:rFonts w:hint="eastAsia" w:eastAsia="仿宋_GB2312"/>
          <w:sz w:val="28"/>
          <w:szCs w:val="22"/>
        </w:rPr>
        <w:t>本项目按照信息系统网络安全等级保护三级建设</w:t>
      </w:r>
      <w:r>
        <w:rPr>
          <w:rFonts w:hint="eastAsia" w:eastAsia="仿宋_GB2312"/>
          <w:sz w:val="28"/>
          <w:szCs w:val="22"/>
          <w:lang w:eastAsia="zh-CN"/>
        </w:rPr>
        <w:t>，</w:t>
      </w:r>
      <w:r>
        <w:rPr>
          <w:rFonts w:hint="eastAsia" w:eastAsia="仿宋_GB2312"/>
          <w:sz w:val="28"/>
          <w:szCs w:val="22"/>
          <w:lang w:val="en-US" w:eastAsia="zh-CN"/>
        </w:rPr>
        <w:t>供应商需配合开展等级保护测评</w:t>
      </w:r>
      <w:r>
        <w:rPr>
          <w:rFonts w:hint="eastAsia" w:eastAsia="仿宋_GB2312"/>
          <w:sz w:val="28"/>
          <w:szCs w:val="22"/>
        </w:rPr>
        <w:t>。</w:t>
      </w:r>
    </w:p>
    <w:p w14:paraId="59A89BEF">
      <w:pPr>
        <w:ind w:firstLine="560"/>
        <w:rPr>
          <w:rFonts w:hint="eastAsia" w:eastAsia="仿宋_GB2312"/>
          <w:sz w:val="28"/>
          <w:szCs w:val="22"/>
          <w:lang w:eastAsia="zh-CN"/>
        </w:rPr>
      </w:pPr>
      <w:r>
        <w:rPr>
          <w:rFonts w:hint="eastAsia" w:eastAsia="仿宋_GB2312"/>
          <w:sz w:val="28"/>
          <w:szCs w:val="22"/>
        </w:rPr>
        <w:t>供应商</w:t>
      </w:r>
      <w:r>
        <w:rPr>
          <w:rFonts w:hint="eastAsia" w:eastAsia="仿宋_GB2312"/>
          <w:sz w:val="28"/>
          <w:szCs w:val="22"/>
          <w:lang w:val="en-US" w:eastAsia="zh-CN"/>
        </w:rPr>
        <w:t>需</w:t>
      </w:r>
      <w:r>
        <w:rPr>
          <w:rFonts w:hint="eastAsia" w:eastAsia="仿宋_GB2312"/>
          <w:sz w:val="28"/>
          <w:szCs w:val="22"/>
        </w:rPr>
        <w:t>承诺承建系统满足《国家政务信息化项目建设管理办法》中的密码应用要求、满足GB/T39786-2021《信息安全技术信息系统密码应用基本要求》中指标要求</w:t>
      </w:r>
      <w:r>
        <w:rPr>
          <w:rFonts w:hint="eastAsia" w:eastAsia="仿宋_GB2312"/>
          <w:sz w:val="28"/>
          <w:szCs w:val="22"/>
          <w:lang w:eastAsia="zh-CN"/>
        </w:rPr>
        <w:t>。</w:t>
      </w:r>
    </w:p>
    <w:p w14:paraId="79C7E1C7">
      <w:pPr>
        <w:pStyle w:val="3"/>
        <w:numPr>
          <w:ilvl w:val="0"/>
          <w:numId w:val="8"/>
        </w:numPr>
        <w:spacing w:before="0" w:after="0"/>
        <w:ind w:firstLine="640" w:firstLineChars="200"/>
        <w:rPr>
          <w:rFonts w:hint="eastAsia" w:ascii="楷体_GB2312" w:hAnsi="楷体_GB2312" w:eastAsia="楷体_GB2312" w:cs="楷体_GB2312"/>
          <w:sz w:val="32"/>
        </w:rPr>
      </w:pPr>
      <w:bookmarkStart w:id="53" w:name="_Toc28901"/>
      <w:r>
        <w:rPr>
          <w:rFonts w:hint="eastAsia" w:ascii="楷体_GB2312" w:hAnsi="楷体_GB2312" w:eastAsia="楷体_GB2312" w:cs="楷体_GB2312"/>
          <w:sz w:val="32"/>
        </w:rPr>
        <w:t>技术文件要求</w:t>
      </w:r>
      <w:bookmarkEnd w:id="53"/>
    </w:p>
    <w:p w14:paraId="042D8EE6">
      <w:pPr>
        <w:ind w:firstLine="560"/>
        <w:rPr>
          <w:rFonts w:hint="eastAsia" w:eastAsia="仿宋_GB2312"/>
          <w:sz w:val="28"/>
          <w:szCs w:val="22"/>
        </w:rPr>
      </w:pPr>
      <w:r>
        <w:rPr>
          <w:rFonts w:hint="eastAsia" w:eastAsia="仿宋_GB2312"/>
          <w:sz w:val="28"/>
          <w:szCs w:val="22"/>
        </w:rPr>
        <w:t>投标人提供的书面技术资料应能确保系统正常运行所需的管理、运营及维护有关的全套文件。技术文件应该全面、完整、详细。投标人提供的技术文件至少应包括：</w:t>
      </w:r>
    </w:p>
    <w:p w14:paraId="62CFCDEB">
      <w:pPr>
        <w:ind w:firstLine="560"/>
        <w:rPr>
          <w:rFonts w:hint="eastAsia" w:eastAsia="仿宋_GB2312"/>
          <w:sz w:val="28"/>
          <w:szCs w:val="22"/>
        </w:rPr>
      </w:pPr>
      <w:r>
        <w:rPr>
          <w:rFonts w:hint="eastAsia" w:eastAsia="仿宋_GB2312"/>
          <w:sz w:val="28"/>
          <w:szCs w:val="22"/>
        </w:rPr>
        <w:t xml:space="preserve">－ 系统说明文件； </w:t>
      </w:r>
    </w:p>
    <w:p w14:paraId="591B8B55">
      <w:pPr>
        <w:ind w:firstLine="560"/>
        <w:rPr>
          <w:rFonts w:hint="eastAsia" w:eastAsia="仿宋_GB2312"/>
          <w:sz w:val="28"/>
          <w:szCs w:val="22"/>
        </w:rPr>
      </w:pPr>
      <w:r>
        <w:rPr>
          <w:rFonts w:hint="eastAsia" w:eastAsia="仿宋_GB2312"/>
          <w:sz w:val="28"/>
          <w:szCs w:val="22"/>
        </w:rPr>
        <w:t xml:space="preserve">－ 技术手册(安装、测试、操作、维护、故障排除等)； </w:t>
      </w:r>
    </w:p>
    <w:p w14:paraId="10BD295A">
      <w:pPr>
        <w:ind w:firstLine="560"/>
        <w:rPr>
          <w:rFonts w:hint="eastAsia" w:eastAsia="仿宋_GB2312"/>
          <w:sz w:val="28"/>
          <w:szCs w:val="22"/>
        </w:rPr>
      </w:pPr>
      <w:r>
        <w:rPr>
          <w:rFonts w:hint="eastAsia" w:eastAsia="仿宋_GB2312"/>
          <w:sz w:val="28"/>
          <w:szCs w:val="22"/>
        </w:rPr>
        <w:t>－ 项目文档，应该包括：</w:t>
      </w:r>
    </w:p>
    <w:p w14:paraId="43E823A2">
      <w:pPr>
        <w:numPr>
          <w:ilvl w:val="0"/>
          <w:numId w:val="12"/>
        </w:numPr>
        <w:ind w:left="0" w:firstLine="560"/>
        <w:rPr>
          <w:rFonts w:hint="eastAsia" w:eastAsia="仿宋_GB2312"/>
          <w:sz w:val="28"/>
          <w:szCs w:val="22"/>
        </w:rPr>
      </w:pPr>
      <w:r>
        <w:rPr>
          <w:rFonts w:hint="eastAsia" w:eastAsia="仿宋_GB2312"/>
          <w:sz w:val="28"/>
          <w:szCs w:val="22"/>
        </w:rPr>
        <w:t>软件需求说明书及确认单</w:t>
      </w:r>
    </w:p>
    <w:p w14:paraId="3BABD1B2">
      <w:pPr>
        <w:numPr>
          <w:ilvl w:val="0"/>
          <w:numId w:val="12"/>
        </w:numPr>
        <w:ind w:left="0" w:firstLine="560"/>
        <w:rPr>
          <w:rFonts w:hint="eastAsia" w:eastAsia="仿宋_GB2312"/>
          <w:sz w:val="28"/>
          <w:szCs w:val="22"/>
        </w:rPr>
      </w:pPr>
      <w:r>
        <w:rPr>
          <w:rFonts w:hint="eastAsia" w:eastAsia="仿宋_GB2312"/>
          <w:sz w:val="28"/>
          <w:szCs w:val="22"/>
        </w:rPr>
        <w:t>系统总体设计说明书</w:t>
      </w:r>
    </w:p>
    <w:p w14:paraId="49987D52">
      <w:pPr>
        <w:numPr>
          <w:ilvl w:val="0"/>
          <w:numId w:val="12"/>
        </w:numPr>
        <w:ind w:left="0" w:firstLine="560"/>
        <w:rPr>
          <w:rFonts w:hint="eastAsia" w:eastAsia="仿宋_GB2312"/>
          <w:sz w:val="28"/>
          <w:szCs w:val="22"/>
        </w:rPr>
      </w:pPr>
      <w:r>
        <w:rPr>
          <w:rFonts w:hint="eastAsia" w:eastAsia="仿宋_GB2312"/>
          <w:sz w:val="28"/>
          <w:szCs w:val="22"/>
        </w:rPr>
        <w:t>应用软件功能清单</w:t>
      </w:r>
    </w:p>
    <w:p w14:paraId="7A0C7C97">
      <w:pPr>
        <w:numPr>
          <w:ilvl w:val="0"/>
          <w:numId w:val="12"/>
        </w:numPr>
        <w:ind w:left="0" w:firstLine="560"/>
        <w:rPr>
          <w:rFonts w:hint="eastAsia" w:eastAsia="仿宋_GB2312"/>
          <w:sz w:val="28"/>
          <w:szCs w:val="22"/>
        </w:rPr>
      </w:pPr>
      <w:r>
        <w:rPr>
          <w:rFonts w:hint="eastAsia" w:eastAsia="仿宋_GB2312"/>
          <w:sz w:val="28"/>
          <w:szCs w:val="22"/>
        </w:rPr>
        <w:t>系统测试方案及测试报告</w:t>
      </w:r>
    </w:p>
    <w:p w14:paraId="4C14A9D6">
      <w:pPr>
        <w:numPr>
          <w:ilvl w:val="0"/>
          <w:numId w:val="12"/>
        </w:numPr>
        <w:ind w:left="0" w:firstLine="560"/>
        <w:rPr>
          <w:rFonts w:hint="eastAsia" w:eastAsia="仿宋_GB2312"/>
          <w:sz w:val="28"/>
          <w:szCs w:val="22"/>
        </w:rPr>
      </w:pPr>
      <w:r>
        <w:rPr>
          <w:rFonts w:hint="eastAsia" w:eastAsia="仿宋_GB2312"/>
          <w:sz w:val="28"/>
          <w:szCs w:val="22"/>
        </w:rPr>
        <w:t>系统培训方案及报告</w:t>
      </w:r>
    </w:p>
    <w:p w14:paraId="4FC44FAE">
      <w:pPr>
        <w:numPr>
          <w:ilvl w:val="0"/>
          <w:numId w:val="12"/>
        </w:numPr>
        <w:ind w:left="0" w:firstLine="560"/>
        <w:rPr>
          <w:rFonts w:hint="eastAsia" w:eastAsia="仿宋_GB2312"/>
          <w:sz w:val="28"/>
          <w:szCs w:val="22"/>
        </w:rPr>
      </w:pPr>
      <w:r>
        <w:rPr>
          <w:rFonts w:hint="eastAsia" w:eastAsia="仿宋_GB2312"/>
          <w:sz w:val="28"/>
          <w:szCs w:val="22"/>
        </w:rPr>
        <w:t>系统试运行方案及报告</w:t>
      </w:r>
    </w:p>
    <w:p w14:paraId="3931B75A">
      <w:pPr>
        <w:numPr>
          <w:ilvl w:val="0"/>
          <w:numId w:val="12"/>
        </w:numPr>
        <w:ind w:left="0" w:firstLine="560"/>
        <w:rPr>
          <w:rFonts w:hint="eastAsia" w:eastAsia="仿宋_GB2312"/>
          <w:sz w:val="28"/>
          <w:szCs w:val="22"/>
        </w:rPr>
      </w:pPr>
      <w:r>
        <w:rPr>
          <w:rFonts w:hint="eastAsia" w:eastAsia="仿宋_GB2312"/>
          <w:sz w:val="28"/>
          <w:szCs w:val="22"/>
        </w:rPr>
        <w:t>系统操作手册</w:t>
      </w:r>
    </w:p>
    <w:p w14:paraId="4353DC2D">
      <w:pPr>
        <w:ind w:firstLine="560"/>
        <w:rPr>
          <w:rFonts w:hint="eastAsia" w:eastAsia="仿宋_GB2312"/>
          <w:sz w:val="28"/>
          <w:szCs w:val="22"/>
        </w:rPr>
      </w:pPr>
      <w:r>
        <w:rPr>
          <w:rFonts w:hint="eastAsia" w:eastAsia="仿宋_GB2312"/>
          <w:sz w:val="28"/>
          <w:szCs w:val="22"/>
        </w:rPr>
        <w:t>－招标人提出的其他项目验收文档。</w:t>
      </w:r>
    </w:p>
    <w:p w14:paraId="03327415">
      <w:pPr>
        <w:ind w:firstLine="560"/>
        <w:rPr>
          <w:rFonts w:hint="eastAsia" w:eastAsia="仿宋_GB2312"/>
          <w:sz w:val="28"/>
          <w:szCs w:val="22"/>
        </w:rPr>
      </w:pPr>
      <w:r>
        <w:rPr>
          <w:rFonts w:hint="eastAsia" w:eastAsia="仿宋_GB2312"/>
          <w:sz w:val="28"/>
          <w:szCs w:val="22"/>
        </w:rPr>
        <w:t>根据招</w:t>
      </w:r>
      <w:r>
        <w:rPr>
          <w:rFonts w:ascii="Times New Roman Regular" w:hAnsi="Times New Roman Regular" w:eastAsia="仿宋_GB2312" w:cs="Times New Roman Regular"/>
          <w:sz w:val="28"/>
          <w:szCs w:val="22"/>
        </w:rPr>
        <w:t>标人项目验收要求，提供全套技术文件纸介质1套以及电子文件1</w:t>
      </w:r>
      <w:r>
        <w:rPr>
          <w:rFonts w:hint="eastAsia" w:ascii="仿宋_GB2312" w:hAnsi="仿宋_GB2312" w:eastAsia="仿宋_GB2312" w:cs="仿宋_GB2312"/>
          <w:sz w:val="28"/>
          <w:szCs w:val="22"/>
        </w:rPr>
        <w:t>套</w:t>
      </w:r>
      <w:r>
        <w:rPr>
          <w:rFonts w:hint="eastAsia" w:eastAsia="仿宋_GB2312"/>
          <w:sz w:val="28"/>
          <w:szCs w:val="22"/>
        </w:rPr>
        <w:t>。</w:t>
      </w:r>
    </w:p>
    <w:p w14:paraId="419BF2EA">
      <w:pPr>
        <w:pStyle w:val="3"/>
        <w:numPr>
          <w:ilvl w:val="0"/>
          <w:numId w:val="8"/>
        </w:numPr>
        <w:spacing w:before="0" w:after="0"/>
        <w:ind w:firstLine="640" w:firstLineChars="200"/>
        <w:rPr>
          <w:rFonts w:eastAsia="楷体GB2312"/>
          <w:sz w:val="32"/>
        </w:rPr>
      </w:pPr>
      <w:bookmarkStart w:id="54" w:name="_Toc579031602"/>
      <w:bookmarkStart w:id="55" w:name="_Toc2736"/>
      <w:r>
        <w:rPr>
          <w:rFonts w:hint="eastAsia" w:ascii="楷体_GB2312" w:hAnsi="楷体_GB2312" w:eastAsia="楷体_GB2312" w:cs="楷体_GB2312"/>
          <w:sz w:val="32"/>
        </w:rPr>
        <w:t>知识产权及保密要求</w:t>
      </w:r>
      <w:bookmarkEnd w:id="54"/>
      <w:bookmarkEnd w:id="55"/>
    </w:p>
    <w:p w14:paraId="16C2D813">
      <w:pPr>
        <w:numPr>
          <w:ilvl w:val="0"/>
          <w:numId w:val="13"/>
        </w:numPr>
        <w:ind w:left="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知识产权要求如下：</w:t>
      </w:r>
    </w:p>
    <w:p w14:paraId="4BE80BF2">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招标人拥有上海市医疗保障基金财务系统（</w:t>
      </w:r>
      <w:r>
        <w:rPr>
          <w:rFonts w:ascii="Times New Roman Regular" w:hAnsi="Times New Roman Regular" w:eastAsia="仿宋_GB2312" w:cs="Times New Roman Regular"/>
          <w:sz w:val="28"/>
          <w:szCs w:val="28"/>
        </w:rPr>
        <w:t>2024</w:t>
      </w:r>
      <w:r>
        <w:rPr>
          <w:rFonts w:hint="eastAsia" w:ascii="仿宋_GB2312" w:hAnsi="仿宋_GB2312" w:eastAsia="仿宋_GB2312" w:cs="仿宋_GB2312"/>
          <w:sz w:val="28"/>
          <w:szCs w:val="28"/>
        </w:rPr>
        <w:t>年升级改造）除第三方产品外所有工作件、交付品文档、定制软件、应用系统软件、数据资源及其他附属产品的知识产权，未经招标人许可，中标人不得用于第三方。</w:t>
      </w:r>
    </w:p>
    <w:p w14:paraId="201F21DA">
      <w:pPr>
        <w:numPr>
          <w:ilvl w:val="0"/>
          <w:numId w:val="13"/>
        </w:numPr>
        <w:ind w:left="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保密要求</w:t>
      </w:r>
    </w:p>
    <w:p w14:paraId="656260FD">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同招标人签定保密协议，保证在此次项目建设中：由招标人向投标人提供的用户需求书、图纸、技术文档等所有资料，投标人获得后，应对其保密。除非招标人同意，投标人不得以任何形式向第三方透露或将其用于本次项目以外的任何用途。全部实施及验收工作完成后，所有资料应交回招标人。中标人驻场工作人员应签订保密承诺书，承诺内容需得到招标人认可，并与合同、保密协议一并提交给招标人。</w:t>
      </w:r>
    </w:p>
    <w:p w14:paraId="0834217E">
      <w:pPr>
        <w:rPr>
          <w:rFonts w:hint="eastAsia"/>
        </w:rPr>
      </w:pPr>
    </w:p>
    <w:sectPr>
      <w:footerReference r:id="rId14" w:type="first"/>
      <w:footerReference r:id="rId13" w:type="default"/>
      <w:pgSz w:w="11906" w:h="16838"/>
      <w:pgMar w:top="1134" w:right="1797" w:bottom="1135" w:left="1797" w:header="340" w:footer="7" w:gutter="0"/>
      <w:pgNumType w:start="1"/>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time">
    <w:altName w:val="思源宋体 CN"/>
    <w:panose1 w:val="00000000000000000000"/>
    <w:charset w:val="00"/>
    <w:family w:val="roman"/>
    <w:pitch w:val="default"/>
    <w:sig w:usb0="00000000" w:usb1="00000000" w:usb2="00000000" w:usb3="00000000" w:csb0="00040001" w:csb1="00000000"/>
  </w:font>
  <w:font w:name="思源宋体 CN">
    <w:panose1 w:val="02020400000000000000"/>
    <w:charset w:val="86"/>
    <w:family w:val="auto"/>
    <w:pitch w:val="default"/>
    <w:sig w:usb0="20000083" w:usb1="2ADF3C10" w:usb2="00000016" w:usb3="00000000" w:csb0="60060107" w:csb1="00000000"/>
  </w:font>
  <w:font w:name="Microsoft YaHei UI">
    <w:panose1 w:val="020B0503020204020204"/>
    <w:charset w:val="86"/>
    <w:family w:val="swiss"/>
    <w:pitch w:val="default"/>
    <w:sig w:usb0="80000287" w:usb1="2ACF3C50" w:usb2="00000016" w:usb3="00000000" w:csb0="0004001F" w:csb1="00000000"/>
  </w:font>
  <w:font w:name="Microsoft Sans Serif">
    <w:panose1 w:val="020B0604020202020204"/>
    <w:charset w:val="00"/>
    <w:family w:val="swiss"/>
    <w:pitch w:val="default"/>
    <w:sig w:usb0="E5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imes New Roman Bold">
    <w:altName w:val="Times New Roman"/>
    <w:panose1 w:val="02020803070505020304"/>
    <w:charset w:val="00"/>
    <w:family w:val="auto"/>
    <w:pitch w:val="default"/>
    <w:sig w:usb0="00000000" w:usb1="00000000" w:usb2="00000001" w:usb3="00000000" w:csb0="400001BF" w:csb1="DFF70000"/>
  </w:font>
  <w:font w:name="Times New Roman Regular">
    <w:altName w:val="Times New Roman"/>
    <w:panose1 w:val="00000000000000000000"/>
    <w:charset w:val="00"/>
    <w:family w:val="auto"/>
    <w:pitch w:val="default"/>
    <w:sig w:usb0="00000000" w:usb1="00000000" w:usb2="00000001" w:usb3="00000000" w:csb0="400001BF" w:csb1="DFF70000"/>
  </w:font>
  <w:font w:name="楷体GB2312">
    <w:altName w:val="楷体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F0F5E">
    <w:pPr>
      <w:ind w:firstLine="0" w:firstLineChars="0"/>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p w14:paraId="6A3D39D9">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44B2">
    <w:pPr>
      <w:rPr>
        <w:rFonts w:hint="eastAsia"/>
      </w:rPr>
    </w:pPr>
  </w:p>
  <w:p w14:paraId="12381D95">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0CAB">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02E3C">
    <w:pP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E186C">
    <w:pP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47AE6">
    <w:pPr>
      <w:ind w:firstLine="0" w:firstLineChars="0"/>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p w14:paraId="141BB514">
    <w:pP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E0660">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44F7446D">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B471B">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66DFE">
    <w:pPr>
      <w:rPr>
        <w:rFonts w:hint="eastAsia"/>
      </w:rPr>
    </w:pPr>
  </w:p>
  <w:p w14:paraId="60B675C6">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DF88B">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6B2A9"/>
    <w:multiLevelType w:val="singleLevel"/>
    <w:tmpl w:val="DFB6B2A9"/>
    <w:lvl w:ilvl="0" w:tentative="0">
      <w:start w:val="1"/>
      <w:numFmt w:val="decimal"/>
      <w:lvlText w:val="%1."/>
      <w:lvlJc w:val="left"/>
      <w:pPr>
        <w:ind w:left="425" w:hanging="425"/>
      </w:pPr>
      <w:rPr>
        <w:rFonts w:hint="default" w:ascii="仿宋_GB2312" w:hAnsi="仿宋_GB2312" w:eastAsia="仿宋_GB2312" w:cs="仿宋_GB2312"/>
        <w:sz w:val="28"/>
        <w:szCs w:val="28"/>
      </w:rPr>
    </w:lvl>
  </w:abstractNum>
  <w:abstractNum w:abstractNumId="1">
    <w:nsid w:val="DFB75441"/>
    <w:multiLevelType w:val="singleLevel"/>
    <w:tmpl w:val="DFB75441"/>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2">
    <w:nsid w:val="EDFA4504"/>
    <w:multiLevelType w:val="singleLevel"/>
    <w:tmpl w:val="EDFA4504"/>
    <w:lvl w:ilvl="0" w:tentative="0">
      <w:start w:val="1"/>
      <w:numFmt w:val="decimal"/>
      <w:lvlText w:val="%1."/>
      <w:lvlJc w:val="left"/>
      <w:pPr>
        <w:ind w:left="425" w:hanging="425"/>
      </w:pPr>
      <w:rPr>
        <w:rFonts w:hint="default" w:ascii="仿宋_GB2312" w:hAnsi="仿宋_GB2312" w:eastAsia="仿宋_GB2312" w:cs="仿宋_GB2312"/>
        <w:sz w:val="28"/>
        <w:szCs w:val="28"/>
      </w:rPr>
    </w:lvl>
  </w:abstractNum>
  <w:abstractNum w:abstractNumId="3">
    <w:nsid w:val="EFBF98C9"/>
    <w:multiLevelType w:val="singleLevel"/>
    <w:tmpl w:val="EFBF98C9"/>
    <w:lvl w:ilvl="0" w:tentative="0">
      <w:start w:val="1"/>
      <w:numFmt w:val="decimal"/>
      <w:lvlText w:val="%1."/>
      <w:lvlJc w:val="left"/>
      <w:pPr>
        <w:ind w:left="425" w:hanging="425"/>
      </w:pPr>
      <w:rPr>
        <w:rFonts w:hint="default" w:ascii="仿宋_GB2312" w:hAnsi="仿宋_GB2312" w:eastAsia="仿宋_GB2312" w:cs="仿宋_GB2312"/>
        <w:sz w:val="32"/>
        <w:szCs w:val="32"/>
      </w:rPr>
    </w:lvl>
  </w:abstractNum>
  <w:abstractNum w:abstractNumId="4">
    <w:nsid w:val="F6FFDD92"/>
    <w:multiLevelType w:val="singleLevel"/>
    <w:tmpl w:val="F6FFDD92"/>
    <w:lvl w:ilvl="0" w:tentative="0">
      <w:start w:val="1"/>
      <w:numFmt w:val="decimal"/>
      <w:lvlText w:val="(%1)"/>
      <w:lvlJc w:val="left"/>
      <w:pPr>
        <w:ind w:left="425" w:hanging="425"/>
      </w:pPr>
      <w:rPr>
        <w:rFonts w:hint="default"/>
      </w:rPr>
    </w:lvl>
  </w:abstractNum>
  <w:abstractNum w:abstractNumId="5">
    <w:nsid w:val="FB7FD3D7"/>
    <w:multiLevelType w:val="singleLevel"/>
    <w:tmpl w:val="FB7FD3D7"/>
    <w:lvl w:ilvl="0" w:tentative="0">
      <w:start w:val="1"/>
      <w:numFmt w:val="decimal"/>
      <w:lvlText w:val="%1."/>
      <w:lvlJc w:val="left"/>
      <w:pPr>
        <w:ind w:left="425" w:hanging="425"/>
      </w:pPr>
      <w:rPr>
        <w:rFonts w:hint="default" w:ascii="仿宋_GB2312" w:hAnsi="仿宋_GB2312" w:eastAsia="仿宋_GB2312" w:cs="仿宋_GB2312"/>
        <w:sz w:val="28"/>
        <w:szCs w:val="28"/>
      </w:rPr>
    </w:lvl>
  </w:abstractNum>
  <w:abstractNum w:abstractNumId="6">
    <w:nsid w:val="FBDD724F"/>
    <w:multiLevelType w:val="singleLevel"/>
    <w:tmpl w:val="FBDD724F"/>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7">
    <w:nsid w:val="FCFCD9DF"/>
    <w:multiLevelType w:val="singleLevel"/>
    <w:tmpl w:val="FCFCD9DF"/>
    <w:lvl w:ilvl="0" w:tentative="0">
      <w:start w:val="1"/>
      <w:numFmt w:val="decimal"/>
      <w:suff w:val="nothing"/>
      <w:lvlText w:val="%1"/>
      <w:lvlJc w:val="center"/>
      <w:pPr>
        <w:tabs>
          <w:tab w:val="left" w:pos="0"/>
        </w:tabs>
        <w:ind w:left="0" w:firstLine="0"/>
      </w:pPr>
      <w:rPr>
        <w:rFonts w:hint="default" w:ascii="华文仿宋" w:hAnsi="华文仿宋"/>
        <w:sz w:val="24"/>
        <w:szCs w:val="24"/>
      </w:rPr>
    </w:lvl>
  </w:abstractNum>
  <w:abstractNum w:abstractNumId="8">
    <w:nsid w:val="27FCAE97"/>
    <w:multiLevelType w:val="singleLevel"/>
    <w:tmpl w:val="27FCAE97"/>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9">
    <w:nsid w:val="2CE95E9F"/>
    <w:multiLevelType w:val="singleLevel"/>
    <w:tmpl w:val="2CE95E9F"/>
    <w:lvl w:ilvl="0" w:tentative="0">
      <w:start w:val="1"/>
      <w:numFmt w:val="decimal"/>
      <w:lvlText w:val="%1."/>
      <w:lvlJc w:val="left"/>
      <w:pPr>
        <w:ind w:left="425" w:hanging="425"/>
      </w:pPr>
      <w:rPr>
        <w:rFonts w:hint="default" w:ascii="仿宋_GB2312" w:hAnsi="仿宋_GB2312" w:eastAsia="仿宋_GB2312" w:cs="仿宋_GB2312"/>
        <w:sz w:val="28"/>
        <w:szCs w:val="28"/>
      </w:rPr>
    </w:lvl>
  </w:abstractNum>
  <w:abstractNum w:abstractNumId="10">
    <w:nsid w:val="58EEE684"/>
    <w:multiLevelType w:val="singleLevel"/>
    <w:tmpl w:val="58EEE684"/>
    <w:lvl w:ilvl="0" w:tentative="0">
      <w:start w:val="1"/>
      <w:numFmt w:val="decimal"/>
      <w:lvlText w:val="%1."/>
      <w:lvlJc w:val="left"/>
      <w:pPr>
        <w:ind w:left="425" w:hanging="425"/>
      </w:pPr>
      <w:rPr>
        <w:rFonts w:hint="default" w:ascii="仿宋_GB2312" w:hAnsi="仿宋_GB2312" w:eastAsia="仿宋_GB2312" w:cs="仿宋_GB2312"/>
        <w:sz w:val="28"/>
        <w:szCs w:val="28"/>
      </w:rPr>
    </w:lvl>
  </w:abstractNum>
  <w:abstractNum w:abstractNumId="11">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A2F4AB3"/>
    <w:multiLevelType w:val="multilevel"/>
    <w:tmpl w:val="6A2F4AB3"/>
    <w:lvl w:ilvl="0" w:tentative="0">
      <w:start w:val="1"/>
      <w:numFmt w:val="chineseCountingThousand"/>
      <w:pStyle w:val="2"/>
      <w:suff w:val="nothing"/>
      <w:lvlText w:val="%1、"/>
      <w:lvlJc w:val="left"/>
      <w:pPr>
        <w:ind w:left="425" w:hanging="425"/>
      </w:pPr>
      <w:rPr>
        <w:rFonts w:hint="eastAsia" w:ascii="黑体" w:hAnsi="黑体" w:eastAsia="黑体" w:cs="黑体"/>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12"/>
  </w:num>
  <w:num w:numId="2">
    <w:abstractNumId w:val="11"/>
  </w:num>
  <w:num w:numId="3">
    <w:abstractNumId w:val="1"/>
  </w:num>
  <w:num w:numId="4">
    <w:abstractNumId w:val="6"/>
  </w:num>
  <w:num w:numId="5">
    <w:abstractNumId w:val="3"/>
  </w:num>
  <w:num w:numId="6">
    <w:abstractNumId w:val="4"/>
  </w:num>
  <w:num w:numId="7">
    <w:abstractNumId w:val="7"/>
  </w:num>
  <w:num w:numId="8">
    <w:abstractNumId w:val="8"/>
  </w:num>
  <w:num w:numId="9">
    <w:abstractNumId w:val="5"/>
  </w:num>
  <w:num w:numId="10">
    <w:abstractNumId w:val="10"/>
  </w:num>
  <w:num w:numId="11">
    <w:abstractNumId w:val="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5DF"/>
    <w:rsid w:val="00027A64"/>
    <w:rsid w:val="00032D27"/>
    <w:rsid w:val="00035325"/>
    <w:rsid w:val="0003534E"/>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225C"/>
    <w:rsid w:val="000D36F2"/>
    <w:rsid w:val="000D4B26"/>
    <w:rsid w:val="000D74DB"/>
    <w:rsid w:val="000E24D6"/>
    <w:rsid w:val="000E6072"/>
    <w:rsid w:val="000E6D61"/>
    <w:rsid w:val="000E7A23"/>
    <w:rsid w:val="000F1C29"/>
    <w:rsid w:val="000F1E9E"/>
    <w:rsid w:val="000F2B10"/>
    <w:rsid w:val="000F3F72"/>
    <w:rsid w:val="000F5793"/>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110F"/>
    <w:rsid w:val="00145512"/>
    <w:rsid w:val="001465BD"/>
    <w:rsid w:val="00147B45"/>
    <w:rsid w:val="00150803"/>
    <w:rsid w:val="00151D83"/>
    <w:rsid w:val="001546C9"/>
    <w:rsid w:val="00154FAE"/>
    <w:rsid w:val="00155E77"/>
    <w:rsid w:val="00156A70"/>
    <w:rsid w:val="00160597"/>
    <w:rsid w:val="00160A61"/>
    <w:rsid w:val="00160FC0"/>
    <w:rsid w:val="00161C5A"/>
    <w:rsid w:val="0016429B"/>
    <w:rsid w:val="00164525"/>
    <w:rsid w:val="00164C50"/>
    <w:rsid w:val="00165CB2"/>
    <w:rsid w:val="00166767"/>
    <w:rsid w:val="001707CB"/>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E716C"/>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2733B"/>
    <w:rsid w:val="00230C8A"/>
    <w:rsid w:val="00231F98"/>
    <w:rsid w:val="002324F8"/>
    <w:rsid w:val="002348B0"/>
    <w:rsid w:val="00235CDC"/>
    <w:rsid w:val="002379A9"/>
    <w:rsid w:val="00237E76"/>
    <w:rsid w:val="00240BBE"/>
    <w:rsid w:val="00241525"/>
    <w:rsid w:val="00241D87"/>
    <w:rsid w:val="00243C55"/>
    <w:rsid w:val="00243D5E"/>
    <w:rsid w:val="002451EC"/>
    <w:rsid w:val="00245ACB"/>
    <w:rsid w:val="00245ED4"/>
    <w:rsid w:val="00246B41"/>
    <w:rsid w:val="0025002B"/>
    <w:rsid w:val="002500DE"/>
    <w:rsid w:val="00252457"/>
    <w:rsid w:val="00252581"/>
    <w:rsid w:val="002535B5"/>
    <w:rsid w:val="002538CB"/>
    <w:rsid w:val="002542BD"/>
    <w:rsid w:val="0025774E"/>
    <w:rsid w:val="00257D64"/>
    <w:rsid w:val="002631BC"/>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2B01"/>
    <w:rsid w:val="002B3606"/>
    <w:rsid w:val="002B3D80"/>
    <w:rsid w:val="002B4402"/>
    <w:rsid w:val="002B4946"/>
    <w:rsid w:val="002B4C41"/>
    <w:rsid w:val="002B588D"/>
    <w:rsid w:val="002C1839"/>
    <w:rsid w:val="002C214A"/>
    <w:rsid w:val="002C28E8"/>
    <w:rsid w:val="002C3027"/>
    <w:rsid w:val="002C674D"/>
    <w:rsid w:val="002C6881"/>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000"/>
    <w:rsid w:val="0032489B"/>
    <w:rsid w:val="0032525B"/>
    <w:rsid w:val="00326A7A"/>
    <w:rsid w:val="00326FEE"/>
    <w:rsid w:val="003315D7"/>
    <w:rsid w:val="00334DE6"/>
    <w:rsid w:val="003350C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174E"/>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261"/>
    <w:rsid w:val="003F1936"/>
    <w:rsid w:val="003F1B75"/>
    <w:rsid w:val="003F1BDD"/>
    <w:rsid w:val="003F2F85"/>
    <w:rsid w:val="003F3BA3"/>
    <w:rsid w:val="003F3BD5"/>
    <w:rsid w:val="003F400E"/>
    <w:rsid w:val="003F6F35"/>
    <w:rsid w:val="003F7768"/>
    <w:rsid w:val="00400E8C"/>
    <w:rsid w:val="004017DC"/>
    <w:rsid w:val="00401B53"/>
    <w:rsid w:val="00402668"/>
    <w:rsid w:val="0040429C"/>
    <w:rsid w:val="00404FEC"/>
    <w:rsid w:val="0040534D"/>
    <w:rsid w:val="00405FAD"/>
    <w:rsid w:val="004117AB"/>
    <w:rsid w:val="00412B2F"/>
    <w:rsid w:val="00415281"/>
    <w:rsid w:val="00415716"/>
    <w:rsid w:val="0041604D"/>
    <w:rsid w:val="00417842"/>
    <w:rsid w:val="00417A6E"/>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4B52"/>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C7F97"/>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2A0D"/>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75B"/>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7749"/>
    <w:rsid w:val="0068009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12D0"/>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2EC8"/>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0170"/>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4063"/>
    <w:rsid w:val="008250A2"/>
    <w:rsid w:val="00825D64"/>
    <w:rsid w:val="0082650B"/>
    <w:rsid w:val="008301CE"/>
    <w:rsid w:val="008312E3"/>
    <w:rsid w:val="00831D5B"/>
    <w:rsid w:val="00832DD6"/>
    <w:rsid w:val="00832F0C"/>
    <w:rsid w:val="00833010"/>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C98"/>
    <w:rsid w:val="00911910"/>
    <w:rsid w:val="00912202"/>
    <w:rsid w:val="00912A58"/>
    <w:rsid w:val="00913908"/>
    <w:rsid w:val="00913D26"/>
    <w:rsid w:val="0091438B"/>
    <w:rsid w:val="009147E3"/>
    <w:rsid w:val="00920FD2"/>
    <w:rsid w:val="00923A43"/>
    <w:rsid w:val="0092439C"/>
    <w:rsid w:val="0092498E"/>
    <w:rsid w:val="00925B91"/>
    <w:rsid w:val="00933047"/>
    <w:rsid w:val="00934461"/>
    <w:rsid w:val="00934F7E"/>
    <w:rsid w:val="00935D2E"/>
    <w:rsid w:val="00936A1C"/>
    <w:rsid w:val="00940D32"/>
    <w:rsid w:val="00943E35"/>
    <w:rsid w:val="00945278"/>
    <w:rsid w:val="0094658D"/>
    <w:rsid w:val="00947678"/>
    <w:rsid w:val="00947878"/>
    <w:rsid w:val="009504C2"/>
    <w:rsid w:val="0095254A"/>
    <w:rsid w:val="0095273B"/>
    <w:rsid w:val="009559E1"/>
    <w:rsid w:val="0095667C"/>
    <w:rsid w:val="009568D5"/>
    <w:rsid w:val="00957CD3"/>
    <w:rsid w:val="0096269B"/>
    <w:rsid w:val="00963FB0"/>
    <w:rsid w:val="00964C86"/>
    <w:rsid w:val="00965E82"/>
    <w:rsid w:val="009664BB"/>
    <w:rsid w:val="009669F8"/>
    <w:rsid w:val="00966F89"/>
    <w:rsid w:val="009715A6"/>
    <w:rsid w:val="00973B5D"/>
    <w:rsid w:val="0097755E"/>
    <w:rsid w:val="00981467"/>
    <w:rsid w:val="00981C24"/>
    <w:rsid w:val="009852F6"/>
    <w:rsid w:val="00985DE5"/>
    <w:rsid w:val="00986254"/>
    <w:rsid w:val="0098729E"/>
    <w:rsid w:val="00990067"/>
    <w:rsid w:val="00992977"/>
    <w:rsid w:val="009937D4"/>
    <w:rsid w:val="00993C78"/>
    <w:rsid w:val="009948C7"/>
    <w:rsid w:val="009955C4"/>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1E3"/>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1ED5"/>
    <w:rsid w:val="00AA45E2"/>
    <w:rsid w:val="00AA7AC1"/>
    <w:rsid w:val="00AB14E4"/>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6DD"/>
    <w:rsid w:val="00AD6A2B"/>
    <w:rsid w:val="00AD73D4"/>
    <w:rsid w:val="00AE1EA2"/>
    <w:rsid w:val="00AE2874"/>
    <w:rsid w:val="00AE2F98"/>
    <w:rsid w:val="00AE3602"/>
    <w:rsid w:val="00AE5342"/>
    <w:rsid w:val="00AE5987"/>
    <w:rsid w:val="00AE6472"/>
    <w:rsid w:val="00AF1345"/>
    <w:rsid w:val="00AF38A8"/>
    <w:rsid w:val="00AF63EB"/>
    <w:rsid w:val="00AF779D"/>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37A3C"/>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91553"/>
    <w:rsid w:val="00BA0A14"/>
    <w:rsid w:val="00BA210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E6281"/>
    <w:rsid w:val="00BF16C3"/>
    <w:rsid w:val="00BF38E0"/>
    <w:rsid w:val="00BF44FA"/>
    <w:rsid w:val="00BF57E1"/>
    <w:rsid w:val="00C003B4"/>
    <w:rsid w:val="00C00A5F"/>
    <w:rsid w:val="00C042E0"/>
    <w:rsid w:val="00C051D9"/>
    <w:rsid w:val="00C06333"/>
    <w:rsid w:val="00C069FF"/>
    <w:rsid w:val="00C06F68"/>
    <w:rsid w:val="00C075BA"/>
    <w:rsid w:val="00C10A3A"/>
    <w:rsid w:val="00C11E20"/>
    <w:rsid w:val="00C15D16"/>
    <w:rsid w:val="00C20015"/>
    <w:rsid w:val="00C247DD"/>
    <w:rsid w:val="00C25B43"/>
    <w:rsid w:val="00C26A54"/>
    <w:rsid w:val="00C27EC8"/>
    <w:rsid w:val="00C3261C"/>
    <w:rsid w:val="00C3318B"/>
    <w:rsid w:val="00C33C20"/>
    <w:rsid w:val="00C35362"/>
    <w:rsid w:val="00C357EA"/>
    <w:rsid w:val="00C379F8"/>
    <w:rsid w:val="00C37A1C"/>
    <w:rsid w:val="00C42323"/>
    <w:rsid w:val="00C4316E"/>
    <w:rsid w:val="00C453A9"/>
    <w:rsid w:val="00C46598"/>
    <w:rsid w:val="00C465D5"/>
    <w:rsid w:val="00C4756A"/>
    <w:rsid w:val="00C47C39"/>
    <w:rsid w:val="00C50649"/>
    <w:rsid w:val="00C50E1F"/>
    <w:rsid w:val="00C51C09"/>
    <w:rsid w:val="00C52BB6"/>
    <w:rsid w:val="00C53471"/>
    <w:rsid w:val="00C55143"/>
    <w:rsid w:val="00C5611B"/>
    <w:rsid w:val="00C5695E"/>
    <w:rsid w:val="00C56D08"/>
    <w:rsid w:val="00C61528"/>
    <w:rsid w:val="00C63457"/>
    <w:rsid w:val="00C64964"/>
    <w:rsid w:val="00C6631E"/>
    <w:rsid w:val="00C67473"/>
    <w:rsid w:val="00C67AA4"/>
    <w:rsid w:val="00C7148C"/>
    <w:rsid w:val="00C72192"/>
    <w:rsid w:val="00C732E5"/>
    <w:rsid w:val="00C73A78"/>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CF7BFA"/>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17F87"/>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3FE6"/>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473"/>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18EC"/>
    <w:rsid w:val="00F42839"/>
    <w:rsid w:val="00F44CC0"/>
    <w:rsid w:val="00F450BA"/>
    <w:rsid w:val="00F4684B"/>
    <w:rsid w:val="00F46BE9"/>
    <w:rsid w:val="00F47578"/>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3430854"/>
    <w:rsid w:val="039F5FA6"/>
    <w:rsid w:val="09305ADA"/>
    <w:rsid w:val="0E8013B7"/>
    <w:rsid w:val="10D604C6"/>
    <w:rsid w:val="11B515E0"/>
    <w:rsid w:val="12CB5CFA"/>
    <w:rsid w:val="13A53267"/>
    <w:rsid w:val="13F970D2"/>
    <w:rsid w:val="14AA4136"/>
    <w:rsid w:val="163A420B"/>
    <w:rsid w:val="19413B26"/>
    <w:rsid w:val="1C6D3688"/>
    <w:rsid w:val="1CC63D0A"/>
    <w:rsid w:val="1DC2081A"/>
    <w:rsid w:val="1DD94266"/>
    <w:rsid w:val="1F9D0947"/>
    <w:rsid w:val="1FAB7157"/>
    <w:rsid w:val="1FFB29C6"/>
    <w:rsid w:val="22AF3620"/>
    <w:rsid w:val="22E70AD4"/>
    <w:rsid w:val="237F3538"/>
    <w:rsid w:val="24F1508D"/>
    <w:rsid w:val="266F634F"/>
    <w:rsid w:val="291059EA"/>
    <w:rsid w:val="2BBF12EC"/>
    <w:rsid w:val="2BC649D9"/>
    <w:rsid w:val="33B7C2AA"/>
    <w:rsid w:val="345FBCF3"/>
    <w:rsid w:val="3515160D"/>
    <w:rsid w:val="35F5AE41"/>
    <w:rsid w:val="3C7D00D8"/>
    <w:rsid w:val="3CA06C0C"/>
    <w:rsid w:val="3DFB57CC"/>
    <w:rsid w:val="3EA25851"/>
    <w:rsid w:val="3F6C3757"/>
    <w:rsid w:val="405D6A10"/>
    <w:rsid w:val="41DA6594"/>
    <w:rsid w:val="444C1A75"/>
    <w:rsid w:val="44A3526F"/>
    <w:rsid w:val="44B032F4"/>
    <w:rsid w:val="457D25F7"/>
    <w:rsid w:val="468341CD"/>
    <w:rsid w:val="472C2589"/>
    <w:rsid w:val="4A760AEB"/>
    <w:rsid w:val="4BEEAE3C"/>
    <w:rsid w:val="4F3162CA"/>
    <w:rsid w:val="4FB4AA15"/>
    <w:rsid w:val="4FBFDD10"/>
    <w:rsid w:val="4FFBA4AF"/>
    <w:rsid w:val="50D95873"/>
    <w:rsid w:val="526102AF"/>
    <w:rsid w:val="528444DA"/>
    <w:rsid w:val="52DC5587"/>
    <w:rsid w:val="537745D5"/>
    <w:rsid w:val="552306F6"/>
    <w:rsid w:val="56E352D5"/>
    <w:rsid w:val="57E435FE"/>
    <w:rsid w:val="582D0655"/>
    <w:rsid w:val="5951205C"/>
    <w:rsid w:val="59D079E8"/>
    <w:rsid w:val="59D40847"/>
    <w:rsid w:val="5AE37F25"/>
    <w:rsid w:val="5BEC1FF7"/>
    <w:rsid w:val="5CB23D47"/>
    <w:rsid w:val="5FAF09C4"/>
    <w:rsid w:val="608C4642"/>
    <w:rsid w:val="62795572"/>
    <w:rsid w:val="64DD6417"/>
    <w:rsid w:val="66004745"/>
    <w:rsid w:val="6A567F20"/>
    <w:rsid w:val="6C7B6A94"/>
    <w:rsid w:val="6CD97953"/>
    <w:rsid w:val="6ED30FD7"/>
    <w:rsid w:val="6FDB8CA0"/>
    <w:rsid w:val="727D78FD"/>
    <w:rsid w:val="73CC655F"/>
    <w:rsid w:val="73CDA0B7"/>
    <w:rsid w:val="75957445"/>
    <w:rsid w:val="75D01AE1"/>
    <w:rsid w:val="77524363"/>
    <w:rsid w:val="77B917B5"/>
    <w:rsid w:val="78703975"/>
    <w:rsid w:val="78DFAC65"/>
    <w:rsid w:val="7B357768"/>
    <w:rsid w:val="7BE420FD"/>
    <w:rsid w:val="7D0D296B"/>
    <w:rsid w:val="7D4E0B54"/>
    <w:rsid w:val="7D503E78"/>
    <w:rsid w:val="7E0160D4"/>
    <w:rsid w:val="7E5FAE88"/>
    <w:rsid w:val="7F6BBEE7"/>
    <w:rsid w:val="7FF68FF9"/>
    <w:rsid w:val="7FFDAE93"/>
    <w:rsid w:val="9F7B9188"/>
    <w:rsid w:val="BF2DF6EE"/>
    <w:rsid w:val="BFFB7830"/>
    <w:rsid w:val="C3EDF68C"/>
    <w:rsid w:val="CDBF957B"/>
    <w:rsid w:val="D52E2DF3"/>
    <w:rsid w:val="DA39B4D8"/>
    <w:rsid w:val="DBFFEEC9"/>
    <w:rsid w:val="DCFB7B54"/>
    <w:rsid w:val="DDFFCDE6"/>
    <w:rsid w:val="EDF75A46"/>
    <w:rsid w:val="F76D641C"/>
    <w:rsid w:val="F76E9C3F"/>
    <w:rsid w:val="F7FF2791"/>
    <w:rsid w:val="FACB42C6"/>
    <w:rsid w:val="FB5B3A25"/>
    <w:rsid w:val="FBFD8395"/>
    <w:rsid w:val="FC3F00E9"/>
    <w:rsid w:val="FD7FEE09"/>
    <w:rsid w:val="FE7F0300"/>
    <w:rsid w:val="FECFF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7"/>
    <w:qFormat/>
    <w:uiPriority w:val="9"/>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2"/>
    <w:qFormat/>
    <w:uiPriority w:val="9"/>
    <w:pPr>
      <w:keepNext/>
      <w:keepLines/>
      <w:numPr>
        <w:ilvl w:val="2"/>
        <w:numId w:val="1"/>
      </w:numPr>
      <w:spacing w:before="120" w:after="120"/>
      <w:ind w:left="0" w:firstLine="960"/>
      <w:outlineLvl w:val="2"/>
    </w:pPr>
    <w:rPr>
      <w:b/>
      <w:bCs/>
      <w:sz w:val="28"/>
      <w:szCs w:val="28"/>
    </w:rPr>
  </w:style>
  <w:style w:type="paragraph" w:styleId="5">
    <w:name w:val="heading 4"/>
    <w:basedOn w:val="1"/>
    <w:next w:val="1"/>
    <w:link w:val="60"/>
    <w:qFormat/>
    <w:uiPriority w:val="9"/>
    <w:pPr>
      <w:keepNext/>
      <w:keepLines/>
      <w:numPr>
        <w:ilvl w:val="3"/>
        <w:numId w:val="1"/>
      </w:numPr>
      <w:spacing w:before="120" w:after="120"/>
      <w:ind w:left="0" w:firstLine="960"/>
      <w:outlineLvl w:val="3"/>
    </w:pPr>
    <w:rPr>
      <w:b/>
      <w:bCs/>
      <w:szCs w:val="30"/>
    </w:rPr>
  </w:style>
  <w:style w:type="paragraph" w:styleId="6">
    <w:name w:val="heading 5"/>
    <w:basedOn w:val="1"/>
    <w:next w:val="1"/>
    <w:link w:val="86"/>
    <w:qFormat/>
    <w:uiPriority w:val="9"/>
    <w:pPr>
      <w:keepNext/>
      <w:keepLines/>
      <w:numPr>
        <w:ilvl w:val="4"/>
        <w:numId w:val="1"/>
      </w:numPr>
      <w:spacing w:before="120" w:after="120"/>
      <w:ind w:left="0" w:firstLine="960"/>
      <w:outlineLvl w:val="4"/>
    </w:pPr>
    <w:rPr>
      <w:b/>
      <w:bCs/>
      <w:szCs w:val="28"/>
    </w:rPr>
  </w:style>
  <w:style w:type="paragraph" w:styleId="7">
    <w:name w:val="heading 6"/>
    <w:basedOn w:val="1"/>
    <w:next w:val="1"/>
    <w:link w:val="99"/>
    <w:qFormat/>
    <w:uiPriority w:val="9"/>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4"/>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1"/>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6"/>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8"/>
    <w:qFormat/>
    <w:uiPriority w:val="99"/>
    <w:pPr>
      <w:jc w:val="left"/>
    </w:pPr>
    <w:rPr>
      <w:rFonts w:ascii="Times New Roman" w:hAnsi="Times New Roman" w:eastAsia="仿宋"/>
      <w:sz w:val="28"/>
    </w:rPr>
  </w:style>
  <w:style w:type="paragraph" w:styleId="16">
    <w:name w:val="Body Text"/>
    <w:basedOn w:val="1"/>
    <w:link w:val="61"/>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spacing w:line="240" w:lineRule="auto"/>
      <w:ind w:left="840" w:leftChars="400" w:firstLine="0" w:firstLineChars="0"/>
    </w:pPr>
    <w:rPr>
      <w:sz w:val="21"/>
    </w:rPr>
  </w:style>
  <w:style w:type="paragraph" w:styleId="20">
    <w:name w:val="Plain Text"/>
    <w:basedOn w:val="1"/>
    <w:link w:val="68"/>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50"/>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pPr>
      <w:spacing w:line="240" w:lineRule="auto"/>
      <w:ind w:firstLine="0" w:firstLineChars="0"/>
    </w:pPr>
    <w:rPr>
      <w:sz w:val="21"/>
    </w:rPr>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spacing w:line="240" w:lineRule="auto"/>
      <w:ind w:left="420" w:leftChars="200" w:firstLine="0" w:firstLineChars="0"/>
    </w:pPr>
    <w:rPr>
      <w:sz w:val="21"/>
    </w:r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1 字符"/>
    <w:qFormat/>
    <w:uiPriority w:val="9"/>
    <w:rPr>
      <w:rFonts w:ascii="宋体" w:hAnsi="宋体"/>
      <w:b/>
      <w:bCs/>
      <w:kern w:val="44"/>
      <w:sz w:val="44"/>
      <w:szCs w:val="44"/>
    </w:rPr>
  </w:style>
  <w:style w:type="character" w:customStyle="1" w:styleId="43">
    <w:name w:val="标题 4 字符"/>
    <w:semiHidden/>
    <w:qFormat/>
    <w:uiPriority w:val="9"/>
    <w:rPr>
      <w:rFonts w:ascii="等线 Light" w:hAnsi="等线 Light" w:eastAsia="等线 Light" w:cs="Times New Roman"/>
      <w:b/>
      <w:bCs/>
      <w:kern w:val="2"/>
      <w:sz w:val="28"/>
      <w:szCs w:val="28"/>
    </w:rPr>
  </w:style>
  <w:style w:type="character" w:customStyle="1" w:styleId="44">
    <w:name w:val="标题 6 字符"/>
    <w:semiHidden/>
    <w:qFormat/>
    <w:uiPriority w:val="9"/>
    <w:rPr>
      <w:rFonts w:ascii="等线 Light" w:hAnsi="等线 Light" w:eastAsia="等线 Light" w:cs="Times New Roman"/>
      <w:b/>
      <w:bCs/>
      <w:kern w:val="2"/>
      <w:sz w:val="24"/>
      <w:szCs w:val="24"/>
    </w:rPr>
  </w:style>
  <w:style w:type="character" w:customStyle="1" w:styleId="45">
    <w:name w:val="标题 3 字符1"/>
    <w:qFormat/>
    <w:uiPriority w:val="0"/>
    <w:rPr>
      <w:rFonts w:ascii="宋体" w:hAnsi="宋体"/>
      <w:b/>
      <w:bCs/>
      <w:kern w:val="2"/>
      <w:sz w:val="28"/>
      <w:szCs w:val="28"/>
    </w:rPr>
  </w:style>
  <w:style w:type="character" w:customStyle="1" w:styleId="46">
    <w:name w:val="首行缩进正文 Char"/>
    <w:link w:val="47"/>
    <w:qFormat/>
    <w:uiPriority w:val="0"/>
    <w:rPr>
      <w:kern w:val="2"/>
      <w:sz w:val="24"/>
    </w:rPr>
  </w:style>
  <w:style w:type="paragraph" w:customStyle="1" w:styleId="47">
    <w:name w:val="首行缩进正文"/>
    <w:basedOn w:val="1"/>
    <w:link w:val="46"/>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8">
    <w:name w:val="批注文字 字符1"/>
    <w:link w:val="15"/>
    <w:qFormat/>
    <w:uiPriority w:val="99"/>
    <w:rPr>
      <w:rFonts w:eastAsia="仿宋"/>
      <w:kern w:val="2"/>
      <w:sz w:val="28"/>
      <w:szCs w:val="24"/>
    </w:rPr>
  </w:style>
  <w:style w:type="character" w:customStyle="1" w:styleId="49">
    <w:name w:val="日期 字符"/>
    <w:semiHidden/>
    <w:qFormat/>
    <w:uiPriority w:val="99"/>
    <w:rPr>
      <w:rFonts w:ascii="宋体" w:hAnsi="宋体"/>
      <w:kern w:val="2"/>
      <w:sz w:val="24"/>
      <w:szCs w:val="24"/>
    </w:rPr>
  </w:style>
  <w:style w:type="character" w:customStyle="1" w:styleId="50">
    <w:name w:val="日期 字符1"/>
    <w:link w:val="22"/>
    <w:qFormat/>
    <w:uiPriority w:val="0"/>
    <w:rPr>
      <w:kern w:val="2"/>
      <w:sz w:val="21"/>
      <w:szCs w:val="24"/>
    </w:rPr>
  </w:style>
  <w:style w:type="character" w:customStyle="1" w:styleId="51">
    <w:name w:val="标题 9 字符"/>
    <w:link w:val="10"/>
    <w:qFormat/>
    <w:uiPriority w:val="9"/>
    <w:rPr>
      <w:rFonts w:ascii="Cambria" w:hAnsi="Cambria"/>
      <w:kern w:val="2"/>
      <w:sz w:val="21"/>
      <w:szCs w:val="21"/>
    </w:rPr>
  </w:style>
  <w:style w:type="character" w:customStyle="1" w:styleId="52">
    <w:name w:val="未处理的提及1"/>
    <w:unhideWhenUsed/>
    <w:qFormat/>
    <w:uiPriority w:val="99"/>
    <w:rPr>
      <w:color w:val="605E5C"/>
      <w:shd w:val="clear" w:color="auto" w:fill="E1DFDD"/>
    </w:rPr>
  </w:style>
  <w:style w:type="character" w:customStyle="1" w:styleId="53">
    <w:name w:val="标题 3 字符"/>
    <w:semiHidden/>
    <w:qFormat/>
    <w:uiPriority w:val="9"/>
    <w:rPr>
      <w:rFonts w:ascii="宋体" w:hAnsi="宋体"/>
      <w:b/>
      <w:bCs/>
      <w:kern w:val="2"/>
      <w:sz w:val="32"/>
      <w:szCs w:val="32"/>
    </w:rPr>
  </w:style>
  <w:style w:type="character" w:customStyle="1" w:styleId="54">
    <w:name w:val="页脚 字符"/>
    <w:qFormat/>
    <w:uiPriority w:val="99"/>
  </w:style>
  <w:style w:type="character" w:customStyle="1" w:styleId="55">
    <w:name w:val="标题 5 字符"/>
    <w:semiHidden/>
    <w:qFormat/>
    <w:uiPriority w:val="9"/>
    <w:rPr>
      <w:rFonts w:ascii="宋体" w:hAnsi="宋体"/>
      <w:b/>
      <w:bCs/>
      <w:kern w:val="2"/>
      <w:sz w:val="28"/>
      <w:szCs w:val="28"/>
    </w:rPr>
  </w:style>
  <w:style w:type="character" w:customStyle="1" w:styleId="56">
    <w:name w:val="题注 字符"/>
    <w:link w:val="13"/>
    <w:qFormat/>
    <w:locked/>
    <w:uiPriority w:val="0"/>
    <w:rPr>
      <w:rFonts w:ascii="Arial" w:hAnsi="Arial" w:eastAsia="黑体"/>
      <w:kern w:val="2"/>
    </w:rPr>
  </w:style>
  <w:style w:type="character" w:customStyle="1" w:styleId="57">
    <w:name w:val="标题 2 字符"/>
    <w:semiHidden/>
    <w:qFormat/>
    <w:uiPriority w:val="9"/>
    <w:rPr>
      <w:rFonts w:ascii="等线 Light" w:hAnsi="等线 Light" w:eastAsia="等线 Light" w:cs="Times New Roman"/>
      <w:b/>
      <w:bCs/>
      <w:kern w:val="2"/>
      <w:sz w:val="32"/>
      <w:szCs w:val="32"/>
    </w:rPr>
  </w:style>
  <w:style w:type="character" w:customStyle="1" w:styleId="58">
    <w:name w:val="纯文本 字符"/>
    <w:qFormat/>
    <w:uiPriority w:val="0"/>
    <w:rPr>
      <w:rFonts w:ascii="宋体" w:hAnsi="Courier New" w:cs="Courier New"/>
      <w:kern w:val="2"/>
      <w:sz w:val="21"/>
      <w:szCs w:val="21"/>
    </w:rPr>
  </w:style>
  <w:style w:type="character" w:customStyle="1" w:styleId="59">
    <w:name w:val="列表段落 字符"/>
    <w:qFormat/>
    <w:uiPriority w:val="34"/>
    <w:rPr>
      <w:kern w:val="2"/>
      <w:sz w:val="21"/>
      <w:szCs w:val="22"/>
    </w:rPr>
  </w:style>
  <w:style w:type="character" w:customStyle="1" w:styleId="60">
    <w:name w:val="标题 4 字符1"/>
    <w:link w:val="5"/>
    <w:qFormat/>
    <w:uiPriority w:val="0"/>
    <w:rPr>
      <w:rFonts w:ascii="宋体" w:hAnsi="宋体" w:eastAsia="宋体"/>
      <w:b/>
      <w:bCs/>
      <w:kern w:val="2"/>
      <w:sz w:val="24"/>
      <w:szCs w:val="30"/>
    </w:rPr>
  </w:style>
  <w:style w:type="character" w:customStyle="1" w:styleId="61">
    <w:name w:val="正文文本 字符"/>
    <w:link w:val="16"/>
    <w:qFormat/>
    <w:uiPriority w:val="0"/>
    <w:rPr>
      <w:kern w:val="2"/>
      <w:sz w:val="21"/>
      <w:szCs w:val="24"/>
    </w:rPr>
  </w:style>
  <w:style w:type="character" w:customStyle="1" w:styleId="62">
    <w:name w:val="列表段落 字符1"/>
    <w:link w:val="63"/>
    <w:qFormat/>
    <w:uiPriority w:val="34"/>
    <w:rPr>
      <w:kern w:val="2"/>
      <w:sz w:val="21"/>
      <w:szCs w:val="24"/>
    </w:rPr>
  </w:style>
  <w:style w:type="paragraph" w:styleId="63">
    <w:name w:val="List Paragraph"/>
    <w:basedOn w:val="1"/>
    <w:link w:val="62"/>
    <w:qFormat/>
    <w:uiPriority w:val="34"/>
    <w:pPr>
      <w:ind w:firstLine="420"/>
    </w:pPr>
    <w:rPr>
      <w:rFonts w:ascii="Times New Roman" w:hAnsi="Times New Roman"/>
      <w:sz w:val="21"/>
    </w:rPr>
  </w:style>
  <w:style w:type="character" w:customStyle="1" w:styleId="64">
    <w:name w:val="font21"/>
    <w:qFormat/>
    <w:uiPriority w:val="0"/>
    <w:rPr>
      <w:rFonts w:ascii="Calibri" w:hAnsi="Calibri" w:cs="Calibri"/>
      <w:color w:val="000000"/>
      <w:sz w:val="21"/>
      <w:szCs w:val="21"/>
      <w:u w:val="none"/>
    </w:rPr>
  </w:style>
  <w:style w:type="character" w:customStyle="1" w:styleId="65">
    <w:name w:val="*正文 Char"/>
    <w:link w:val="66"/>
    <w:qFormat/>
    <w:uiPriority w:val="0"/>
    <w:rPr>
      <w:rFonts w:ascii="time" w:hAnsi="time"/>
      <w:sz w:val="24"/>
      <w:szCs w:val="24"/>
      <w:lang w:bidi="en-US"/>
    </w:rPr>
  </w:style>
  <w:style w:type="paragraph" w:customStyle="1" w:styleId="66">
    <w:name w:val="*正文"/>
    <w:basedOn w:val="1"/>
    <w:link w:val="65"/>
    <w:qFormat/>
    <w:uiPriority w:val="0"/>
    <w:pPr>
      <w:widowControl/>
      <w:ind w:firstLine="200"/>
      <w:contextualSpacing/>
    </w:pPr>
    <w:rPr>
      <w:rFonts w:ascii="time" w:hAnsi="time"/>
      <w:kern w:val="0"/>
      <w:lang w:bidi="en-US"/>
    </w:rPr>
  </w:style>
  <w:style w:type="character" w:customStyle="1" w:styleId="67">
    <w:name w:val="正文文本缩进 字符"/>
    <w:semiHidden/>
    <w:qFormat/>
    <w:uiPriority w:val="99"/>
    <w:rPr>
      <w:rFonts w:ascii="宋体" w:hAnsi="宋体"/>
      <w:kern w:val="2"/>
      <w:sz w:val="24"/>
      <w:szCs w:val="24"/>
    </w:rPr>
  </w:style>
  <w:style w:type="character" w:customStyle="1" w:styleId="68">
    <w:name w:val="纯文本 字符1"/>
    <w:link w:val="20"/>
    <w:qFormat/>
    <w:locked/>
    <w:uiPriority w:val="0"/>
    <w:rPr>
      <w:rFonts w:ascii="宋体" w:hAnsi="Courier New"/>
      <w:kern w:val="2"/>
      <w:sz w:val="21"/>
    </w:rPr>
  </w:style>
  <w:style w:type="character" w:customStyle="1" w:styleId="69">
    <w:name w:val="my正文 Char"/>
    <w:link w:val="70"/>
    <w:qFormat/>
    <w:uiPriority w:val="0"/>
    <w:rPr>
      <w:kern w:val="2"/>
      <w:sz w:val="21"/>
      <w:szCs w:val="24"/>
    </w:rPr>
  </w:style>
  <w:style w:type="paragraph" w:customStyle="1" w:styleId="70">
    <w:name w:val="my正文"/>
    <w:basedOn w:val="1"/>
    <w:link w:val="69"/>
    <w:qFormat/>
    <w:uiPriority w:val="0"/>
    <w:pPr>
      <w:spacing w:line="240" w:lineRule="auto"/>
      <w:ind w:firstLine="0" w:firstLineChars="0"/>
    </w:pPr>
    <w:rPr>
      <w:rFonts w:ascii="Times New Roman" w:hAnsi="Times New Roman"/>
      <w:sz w:val="21"/>
    </w:rPr>
  </w:style>
  <w:style w:type="character" w:customStyle="1" w:styleId="71">
    <w:name w:val="正文2 字符"/>
    <w:link w:val="72"/>
    <w:qFormat/>
    <w:uiPriority w:val="0"/>
    <w:rPr>
      <w:kern w:val="2"/>
      <w:sz w:val="21"/>
      <w:szCs w:val="24"/>
    </w:rPr>
  </w:style>
  <w:style w:type="paragraph" w:customStyle="1" w:styleId="72">
    <w:name w:val="正文2"/>
    <w:basedOn w:val="1"/>
    <w:link w:val="71"/>
    <w:qFormat/>
    <w:uiPriority w:val="0"/>
    <w:pPr>
      <w:ind w:firstLine="420"/>
    </w:pPr>
    <w:rPr>
      <w:rFonts w:ascii="Times New Roman" w:hAnsi="Times New Roman"/>
      <w:sz w:val="21"/>
    </w:rPr>
  </w:style>
  <w:style w:type="character" w:customStyle="1" w:styleId="73">
    <w:name w:val="font41"/>
    <w:qFormat/>
    <w:uiPriority w:val="0"/>
    <w:rPr>
      <w:rFonts w:hint="eastAsia" w:ascii="宋体" w:hAnsi="宋体" w:eastAsia="宋体" w:cs="宋体"/>
      <w:color w:val="000000"/>
      <w:sz w:val="21"/>
      <w:szCs w:val="21"/>
      <w:u w:val="none"/>
    </w:rPr>
  </w:style>
  <w:style w:type="character" w:customStyle="1" w:styleId="74">
    <w:name w:val="标题 7 字符"/>
    <w:link w:val="8"/>
    <w:qFormat/>
    <w:uiPriority w:val="9"/>
    <w:rPr>
      <w:b/>
      <w:bCs/>
      <w:kern w:val="2"/>
      <w:sz w:val="21"/>
      <w:szCs w:val="24"/>
    </w:rPr>
  </w:style>
  <w:style w:type="character" w:customStyle="1" w:styleId="75">
    <w:name w:val="批注框文本 字符"/>
    <w:semiHidden/>
    <w:qFormat/>
    <w:uiPriority w:val="99"/>
    <w:rPr>
      <w:rFonts w:ascii="宋体" w:hAnsi="宋体"/>
      <w:kern w:val="2"/>
      <w:sz w:val="18"/>
      <w:szCs w:val="18"/>
    </w:rPr>
  </w:style>
  <w:style w:type="character" w:customStyle="1" w:styleId="76">
    <w:name w:val="副标题 Char1"/>
    <w:qFormat/>
    <w:uiPriority w:val="0"/>
    <w:rPr>
      <w:rFonts w:ascii="Calibri Light" w:hAnsi="Calibri Light" w:cs="Times New Roman"/>
      <w:b/>
      <w:bCs/>
      <w:kern w:val="28"/>
      <w:sz w:val="32"/>
      <w:szCs w:val="32"/>
    </w:rPr>
  </w:style>
  <w:style w:type="character" w:customStyle="1" w:styleId="77">
    <w:name w:val="标题 1 字符1"/>
    <w:link w:val="2"/>
    <w:qFormat/>
    <w:uiPriority w:val="0"/>
    <w:rPr>
      <w:rFonts w:ascii="宋体" w:hAnsi="宋体" w:eastAsia="黑体"/>
      <w:b/>
      <w:bCs/>
      <w:kern w:val="44"/>
      <w:sz w:val="32"/>
      <w:szCs w:val="28"/>
    </w:rPr>
  </w:style>
  <w:style w:type="character" w:customStyle="1" w:styleId="78">
    <w:name w:val="批注文字 字符"/>
    <w:qFormat/>
    <w:uiPriority w:val="99"/>
    <w:rPr>
      <w:rFonts w:ascii="宋体" w:hAnsi="宋体"/>
      <w:kern w:val="2"/>
      <w:sz w:val="24"/>
      <w:szCs w:val="24"/>
    </w:rPr>
  </w:style>
  <w:style w:type="character" w:customStyle="1" w:styleId="79">
    <w:name w:val="文档结构图 字符"/>
    <w:semiHidden/>
    <w:qFormat/>
    <w:uiPriority w:val="99"/>
    <w:rPr>
      <w:rFonts w:ascii="Microsoft YaHei UI" w:hAnsi="宋体" w:eastAsia="Microsoft YaHei UI"/>
      <w:kern w:val="2"/>
      <w:sz w:val="18"/>
      <w:szCs w:val="18"/>
    </w:rPr>
  </w:style>
  <w:style w:type="character" w:customStyle="1" w:styleId="80">
    <w:name w:val="正文正文2 Char"/>
    <w:link w:val="81"/>
    <w:qFormat/>
    <w:uiPriority w:val="0"/>
    <w:rPr>
      <w:rFonts w:ascii="宋体" w:hAnsi="宋体"/>
      <w:kern w:val="2"/>
      <w:sz w:val="21"/>
      <w:szCs w:val="21"/>
    </w:rPr>
  </w:style>
  <w:style w:type="paragraph" w:customStyle="1" w:styleId="81">
    <w:name w:val="正文正文2"/>
    <w:basedOn w:val="1"/>
    <w:link w:val="80"/>
    <w:qFormat/>
    <w:uiPriority w:val="0"/>
    <w:pPr>
      <w:ind w:firstLine="460"/>
    </w:pPr>
    <w:rPr>
      <w:sz w:val="21"/>
      <w:szCs w:val="21"/>
    </w:rPr>
  </w:style>
  <w:style w:type="character" w:customStyle="1" w:styleId="82">
    <w:name w:val="标题 3 字符2"/>
    <w:link w:val="4"/>
    <w:qFormat/>
    <w:uiPriority w:val="0"/>
    <w:rPr>
      <w:rFonts w:ascii="宋体" w:hAnsi="宋体" w:eastAsia="宋体"/>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eastAsia="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正文首行缩进（绿盟科技）"/>
    <w:basedOn w:val="1"/>
    <w:qFormat/>
    <w:uiPriority w:val="0"/>
    <w:pPr>
      <w:widowControl/>
      <w:spacing w:after="50"/>
      <w:ind w:firstLine="200"/>
      <w:jc w:val="left"/>
    </w:pPr>
    <w:rPr>
      <w:rFonts w:ascii="Arial" w:hAnsi="Arial"/>
      <w:kern w:val="0"/>
      <w:szCs w:val="21"/>
    </w:rPr>
  </w:style>
  <w:style w:type="paragraph" w:customStyle="1" w:styleId="135">
    <w:name w:val="可研正文"/>
    <w:basedOn w:val="1"/>
    <w:link w:val="136"/>
    <w:qFormat/>
    <w:uiPriority w:val="0"/>
    <w:pPr>
      <w:ind w:firstLine="200"/>
    </w:pPr>
    <w:rPr>
      <w:rFonts w:ascii="仿宋" w:hAnsi="仿宋" w:eastAsia="仿宋" w:cstheme="minorBidi"/>
      <w:sz w:val="28"/>
      <w:szCs w:val="28"/>
    </w:rPr>
  </w:style>
  <w:style w:type="character" w:customStyle="1" w:styleId="136">
    <w:name w:val="可研正文 Char"/>
    <w:link w:val="135"/>
    <w:qFormat/>
    <w:uiPriority w:val="0"/>
    <w:rPr>
      <w:rFonts w:ascii="仿宋" w:hAnsi="仿宋" w:eastAsia="仿宋" w:cstheme="minorBidi"/>
      <w:kern w:val="2"/>
      <w:sz w:val="28"/>
      <w:szCs w:val="28"/>
    </w:rPr>
  </w:style>
  <w:style w:type="paragraph" w:customStyle="1" w:styleId="137">
    <w:name w:val="正文-段落"/>
    <w:qFormat/>
    <w:uiPriority w:val="0"/>
    <w:pPr>
      <w:spacing w:line="360" w:lineRule="auto"/>
      <w:ind w:firstLine="560" w:firstLineChars="200"/>
      <w:jc w:val="both"/>
    </w:pPr>
    <w:rPr>
      <w:rFonts w:ascii="仿宋_GB2312" w:hAnsi="Times New Roman" w:cs="宋体" w:eastAsiaTheme="minorEastAsia"/>
      <w:bCs/>
      <w:sz w:val="28"/>
      <w:szCs w:val="28"/>
      <w:lang w:val="en-US" w:eastAsia="zh-CN" w:bidi="ar-SA"/>
    </w:rPr>
  </w:style>
  <w:style w:type="paragraph" w:customStyle="1" w:styleId="138">
    <w:name w:val="无缩紧"/>
    <w:basedOn w:val="1"/>
    <w:qFormat/>
    <w:uiPriority w:val="0"/>
    <w:pPr>
      <w:ind w:firstLine="0" w:firstLineChars="0"/>
      <w:jc w:val="left"/>
    </w:pPr>
    <w:rPr>
      <w:rFonts w:hint="eastAsia" w:eastAsia="华文仿宋"/>
    </w:rPr>
  </w:style>
  <w:style w:type="paragraph" w:customStyle="1" w:styleId="139">
    <w:name w:val="正文样式6"/>
    <w:basedOn w:val="1"/>
    <w:qFormat/>
    <w:uiPriority w:val="0"/>
    <w:pPr>
      <w:spacing w:before="50" w:beforeLines="50" w:after="50" w:afterLines="50"/>
      <w:ind w:firstLine="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上海市政府采购中心</Company>
  <Pages>30</Pages>
  <Words>2068</Words>
  <Characters>2137</Characters>
  <Lines>1082</Lines>
  <Paragraphs>679</Paragraphs>
  <TotalTime>0</TotalTime>
  <ScaleCrop>false</ScaleCrop>
  <LinksUpToDate>false</LinksUpToDate>
  <CharactersWithSpaces>2231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2022-12-27T17:54:00Z</dcterms:created>
  <dc:creator>gtig_tzb</dc:creator>
  <cp:lastModifiedBy>晋一民</cp:lastModifiedBy>
  <cp:lastPrinted>2020-08-11T04:08:00Z</cp:lastPrinted>
  <dcterms:modified xsi:type="dcterms:W3CDTF">2025-06-13T00:38:41Z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4D5388BA1AE19873CE7E846709994B32_42</vt:lpwstr>
  </property>
  <property fmtid="{D5CDD505-2E9C-101B-9397-08002B2CF9AE}" pid="4" name="KSOTemplateDocerSaveRecord">
    <vt:lpwstr>eyJoZGlkIjoiNGM3MmY0OTNjM2FiYjM2YjE2NGRhZTljZmIyMTQyNWMiLCJ1c2VySWQiOiIxNjQzMTc3ODEwIn0=</vt:lpwstr>
  </property>
</Properties>
</file>