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01D64">
      <w:pPr>
        <w:ind w:firstLine="0" w:firstLineChars="0"/>
        <w:jc w:val="center"/>
        <w:rPr>
          <w:rFonts w:hint="eastAsia" w:ascii="黑体" w:hAnsi="黑体" w:eastAsia="黑体"/>
          <w:sz w:val="48"/>
          <w:szCs w:val="48"/>
        </w:rPr>
      </w:pPr>
    </w:p>
    <w:p w14:paraId="47346037">
      <w:pPr>
        <w:ind w:firstLine="0" w:firstLineChars="0"/>
        <w:jc w:val="center"/>
        <w:rPr>
          <w:rFonts w:hint="eastAsia" w:ascii="黑体" w:hAnsi="黑体" w:eastAsia="黑体"/>
          <w:sz w:val="48"/>
          <w:szCs w:val="48"/>
        </w:rPr>
      </w:pPr>
    </w:p>
    <w:p w14:paraId="3F5C047C">
      <w:pPr>
        <w:ind w:firstLine="0" w:firstLineChars="0"/>
        <w:jc w:val="center"/>
        <w:rPr>
          <w:rFonts w:hint="eastAsia" w:ascii="黑体" w:hAnsi="黑体" w:eastAsia="黑体"/>
          <w:sz w:val="52"/>
          <w:szCs w:val="52"/>
        </w:rPr>
      </w:pPr>
      <w:r>
        <w:rPr>
          <w:rFonts w:hint="eastAsia" w:ascii="黑体" w:hAnsi="黑体" w:eastAsia="黑体"/>
          <w:sz w:val="52"/>
          <w:szCs w:val="52"/>
        </w:rPr>
        <w:t>上海市省统筹传染病监测预警与应急指挥信息平台二期</w:t>
      </w:r>
    </w:p>
    <w:p w14:paraId="4824CF1B">
      <w:pPr>
        <w:ind w:firstLine="0" w:firstLineChars="0"/>
        <w:jc w:val="center"/>
        <w:rPr>
          <w:rFonts w:hint="eastAsia" w:ascii="黑体" w:hAnsi="黑体" w:eastAsia="黑体"/>
          <w:sz w:val="52"/>
          <w:szCs w:val="52"/>
        </w:rPr>
      </w:pPr>
      <w:r>
        <w:rPr>
          <w:rFonts w:hint="eastAsia" w:ascii="黑体" w:hAnsi="黑体" w:eastAsia="黑体"/>
          <w:sz w:val="52"/>
          <w:szCs w:val="52"/>
        </w:rPr>
        <w:t>省统筹数据支撑平台升级项目</w:t>
      </w:r>
    </w:p>
    <w:p w14:paraId="472A1247">
      <w:pPr>
        <w:ind w:firstLine="0" w:firstLineChars="0"/>
        <w:jc w:val="center"/>
        <w:rPr>
          <w:rFonts w:hint="eastAsia" w:ascii="黑体" w:hAnsi="黑体" w:eastAsia="黑体"/>
          <w:sz w:val="52"/>
          <w:szCs w:val="52"/>
        </w:rPr>
      </w:pPr>
      <w:r>
        <w:rPr>
          <w:rFonts w:hint="eastAsia" w:ascii="黑体" w:hAnsi="黑体" w:eastAsia="黑体"/>
          <w:sz w:val="52"/>
          <w:szCs w:val="52"/>
        </w:rPr>
        <w:t>2025年度采购需求</w:t>
      </w:r>
    </w:p>
    <w:p w14:paraId="340C14F8">
      <w:pPr>
        <w:ind w:firstLine="0" w:firstLineChars="0"/>
        <w:jc w:val="center"/>
        <w:rPr>
          <w:rFonts w:hint="eastAsia" w:ascii="黑体" w:hAnsi="黑体" w:eastAsia="黑体"/>
          <w:sz w:val="72"/>
          <w:szCs w:val="72"/>
        </w:rPr>
      </w:pPr>
    </w:p>
    <w:p w14:paraId="4E8D4C81">
      <w:pPr>
        <w:ind w:firstLine="0" w:firstLineChars="0"/>
        <w:jc w:val="center"/>
        <w:rPr>
          <w:rFonts w:hint="eastAsia" w:ascii="黑体" w:hAnsi="黑体" w:eastAsia="黑体"/>
          <w:sz w:val="48"/>
          <w:szCs w:val="48"/>
        </w:rPr>
      </w:pPr>
    </w:p>
    <w:p w14:paraId="1DBCC59C">
      <w:pPr>
        <w:ind w:firstLine="0" w:firstLineChars="0"/>
        <w:jc w:val="center"/>
        <w:rPr>
          <w:rFonts w:hint="eastAsia" w:ascii="黑体" w:hAnsi="黑体" w:eastAsia="黑体"/>
          <w:sz w:val="52"/>
          <w:szCs w:val="52"/>
        </w:rPr>
      </w:pPr>
    </w:p>
    <w:p w14:paraId="6DF5B5DB">
      <w:pPr>
        <w:ind w:firstLine="1040"/>
        <w:rPr>
          <w:rFonts w:hint="eastAsia" w:ascii="黑体" w:hAnsi="黑体" w:eastAsia="黑体"/>
          <w:sz w:val="52"/>
          <w:szCs w:val="52"/>
        </w:rPr>
      </w:pPr>
    </w:p>
    <w:p w14:paraId="064E77A4">
      <w:pPr>
        <w:rPr>
          <w:rFonts w:hint="eastAsia"/>
        </w:rPr>
      </w:pPr>
    </w:p>
    <w:p w14:paraId="0B508368">
      <w:pPr>
        <w:rPr>
          <w:rFonts w:hint="eastAsia"/>
        </w:rPr>
      </w:pPr>
    </w:p>
    <w:p w14:paraId="2ACDE26E">
      <w:pPr>
        <w:rPr>
          <w:rFonts w:hint="eastAsia"/>
        </w:rPr>
      </w:pPr>
    </w:p>
    <w:p w14:paraId="517142C5">
      <w:pPr>
        <w:ind w:firstLine="1040"/>
        <w:rPr>
          <w:rFonts w:hint="eastAsia" w:ascii="黑体" w:hAnsi="黑体" w:eastAsia="黑体"/>
          <w:sz w:val="52"/>
          <w:szCs w:val="52"/>
        </w:rPr>
      </w:pPr>
    </w:p>
    <w:p w14:paraId="011B5849">
      <w:pPr>
        <w:ind w:firstLine="0" w:firstLineChars="0"/>
        <w:jc w:val="center"/>
        <w:rPr>
          <w:rFonts w:hint="eastAsia" w:ascii="黑体" w:hAnsi="黑体" w:eastAsia="黑体"/>
          <w:sz w:val="32"/>
          <w:szCs w:val="32"/>
        </w:rPr>
      </w:pPr>
      <w:r>
        <w:rPr>
          <w:rFonts w:hint="eastAsia" w:ascii="黑体" w:hAnsi="黑体" w:eastAsia="黑体"/>
          <w:sz w:val="32"/>
          <w:szCs w:val="32"/>
        </w:rPr>
        <w:t>上海市疾病预防控制中心</w:t>
      </w:r>
    </w:p>
    <w:p w14:paraId="08043315">
      <w:pPr>
        <w:ind w:firstLine="0" w:firstLineChars="0"/>
        <w:jc w:val="center"/>
        <w:rPr>
          <w:rFonts w:hint="eastAsia" w:ascii="黑体" w:hAnsi="黑体" w:eastAsia="黑体"/>
          <w:b/>
          <w:bCs/>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pPr>
    </w:p>
    <w:p w14:paraId="6DCFC241">
      <w:pPr>
        <w:pStyle w:val="2"/>
        <w:rPr>
          <w:rFonts w:hint="eastAsia"/>
        </w:rPr>
      </w:pPr>
      <w:bookmarkStart w:id="0" w:name="_Toc63785461"/>
      <w:r>
        <w:rPr>
          <w:rFonts w:hint="eastAsia"/>
        </w:rPr>
        <w:t>项目概况</w:t>
      </w:r>
      <w:bookmarkEnd w:id="0"/>
    </w:p>
    <w:p w14:paraId="565C3185">
      <w:pPr>
        <w:ind w:firstLine="482"/>
        <w:rPr>
          <w:rFonts w:hint="eastAsia"/>
        </w:rPr>
      </w:pPr>
      <w:r>
        <w:rPr>
          <w:rFonts w:hint="eastAsia"/>
          <w:b/>
          <w:bCs/>
        </w:rPr>
        <w:t>项目背景&amp;现状：</w:t>
      </w:r>
      <w:r>
        <w:rPr>
          <w:rFonts w:hint="eastAsia"/>
        </w:rPr>
        <w:t>本项目为升级改造项目。国家疾控局下发《国家疾控局综合司关于印发&lt;加快建设完善省统筹区域传染病监测预警与应急指挥信息平台实施方案&gt;的通知》（国疾控综规财函〔2023〕18号）、《国家疾控局综合司关于印发监测预警与应急指挥能力提升项目工作清单的函》（国疾控综规财函〔2023〕244号）、《国家疾控局综合司关于加快实施中央对地方转移支付传染病监测预警与应急指挥能力提升项目的函》等文件，要求各地建立全国一网统管、平台两级建设，数据统一采集、业务分级应用的一体化省统筹区域平台，纵向集成各级监测预警信息平台，实现上下统一；横向联通相关部门监测信息，实现全国统一；打通“医防研”信息壁垒，实现内部统一，有效提升区域监测预警与应急指挥能力。</w:t>
      </w:r>
    </w:p>
    <w:p w14:paraId="29E4A98A">
      <w:pPr>
        <w:rPr>
          <w:rFonts w:hint="eastAsia"/>
        </w:rPr>
      </w:pPr>
      <w:r>
        <w:rPr>
          <w:rFonts w:hint="eastAsia"/>
        </w:rPr>
        <w:t>上海市疾控局在接到文件后成立相关专班组，带领上海市疾控中心结合本市监测预警与应急指挥信息化建设现况，对标国家任务内容及考核指标，以秉承超前布局、20年不落后的理念为引导，制订印发《关于下发上海市监测预警与应急指挥能力提升项目工作任务清单的通知》（沪疾控局监测〔2024〕1号），并依托国家疾控局分三年下拨的中央转移地方支付专项经费，分别以主要实现2024年国家省统筹阶段建设要求、实现2025年国家省统筹阶段建设总体要求、实现和国家指标体系的完全对接（对标国家后续拟定建设文件要求），明确一期、二期、三期建设内容基调。</w:t>
      </w:r>
    </w:p>
    <w:p w14:paraId="4448CE07">
      <w:pPr>
        <w:rPr>
          <w:rFonts w:hint="eastAsia" w:ascii="仿宋" w:hAnsi="仿宋" w:eastAsia="仿宋"/>
          <w:color w:val="000000" w:themeColor="text1"/>
          <w:sz w:val="28"/>
          <w:szCs w:val="28"/>
          <w14:textFill>
            <w14:solidFill>
              <w14:schemeClr w14:val="tx1"/>
            </w14:solidFill>
          </w14:textFill>
        </w:rPr>
      </w:pPr>
      <w:r>
        <w:rPr>
          <w:rFonts w:hint="eastAsia"/>
        </w:rPr>
        <w:t>本项目在一期建设内容基础上，结合2024年度中央转移地方支付专项经费额度，对标国家和本市工作任务清单，依托卫生健康数据融合平台，升级省统筹数据支撑平台，进而夯实上海市疾控数据要素底座，提升数据服务能级，推进实现数据要素全面赋能的超大城市传染病监测预警与应急指挥体系。</w:t>
      </w:r>
    </w:p>
    <w:p w14:paraId="3814B38B">
      <w:pPr>
        <w:spacing w:line="560" w:lineRule="exact"/>
        <w:ind w:firstLine="482"/>
        <w:rPr>
          <w:rFonts w:hint="eastAsia"/>
        </w:rPr>
      </w:pPr>
      <w:r>
        <w:rPr>
          <w:rFonts w:hint="eastAsia"/>
          <w:b/>
          <w:bCs/>
        </w:rPr>
        <w:t>建设期限</w:t>
      </w:r>
      <w:r>
        <w:rPr>
          <w:rFonts w:hint="eastAsia"/>
        </w:rPr>
        <w:t>：2025年12月31日前完成项目建设并通过验收</w:t>
      </w:r>
    </w:p>
    <w:p w14:paraId="0D389C8A">
      <w:pPr>
        <w:spacing w:line="560" w:lineRule="exact"/>
        <w:ind w:firstLine="482"/>
        <w:rPr>
          <w:rFonts w:hint="eastAsia"/>
        </w:rPr>
      </w:pPr>
      <w:r>
        <w:rPr>
          <w:rFonts w:hint="eastAsia"/>
          <w:b/>
          <w:bCs/>
        </w:rPr>
        <w:t>建设地点</w:t>
      </w:r>
      <w:r>
        <w:rPr>
          <w:rFonts w:hint="eastAsia"/>
        </w:rPr>
        <w:t>：</w:t>
      </w:r>
      <w:bookmarkStart w:id="1" w:name="_Hlk520089719"/>
      <w:r>
        <w:rPr>
          <w:rFonts w:hint="eastAsia"/>
        </w:rPr>
        <w:t>上海市疾病预防控制中心</w:t>
      </w:r>
      <w:bookmarkEnd w:id="1"/>
    </w:p>
    <w:p w14:paraId="4FDA00B8">
      <w:pPr>
        <w:spacing w:line="560" w:lineRule="exact"/>
        <w:ind w:firstLine="482"/>
        <w:rPr>
          <w:rFonts w:hint="eastAsia"/>
        </w:rPr>
      </w:pPr>
      <w:r>
        <w:rPr>
          <w:rFonts w:hint="eastAsia"/>
          <w:b/>
          <w:bCs/>
        </w:rPr>
        <w:t>预算金额</w:t>
      </w:r>
      <w:r>
        <w:rPr>
          <w:rFonts w:hint="eastAsia"/>
        </w:rPr>
        <w:t>：2425000元</w:t>
      </w:r>
    </w:p>
    <w:p w14:paraId="795A8196">
      <w:pPr>
        <w:spacing w:line="560" w:lineRule="exact"/>
        <w:ind w:firstLine="482"/>
        <w:rPr>
          <w:rFonts w:hint="eastAsia"/>
        </w:rPr>
      </w:pPr>
      <w:r>
        <w:rPr>
          <w:rFonts w:hint="eastAsia"/>
          <w:b/>
          <w:bCs/>
        </w:rPr>
        <w:t>采购金额（最高限价）</w:t>
      </w:r>
      <w:r>
        <w:rPr>
          <w:rFonts w:hint="eastAsia"/>
        </w:rPr>
        <w:t>：242.5（万元）</w:t>
      </w:r>
    </w:p>
    <w:p w14:paraId="202A432B">
      <w:pPr>
        <w:ind w:firstLine="482"/>
        <w:rPr>
          <w:rFonts w:hint="eastAsia"/>
        </w:rPr>
      </w:pPr>
      <w:r>
        <w:rPr>
          <w:rFonts w:hint="eastAsia"/>
          <w:b/>
          <w:bCs/>
        </w:rPr>
        <w:t>组织形式</w:t>
      </w:r>
      <w:r>
        <w:rPr>
          <w:rFonts w:hint="eastAsia"/>
        </w:rPr>
        <w:t>：集中采购</w:t>
      </w:r>
    </w:p>
    <w:p w14:paraId="105F7CD9">
      <w:pPr>
        <w:ind w:firstLine="482"/>
        <w:rPr>
          <w:rFonts w:hint="eastAsia"/>
        </w:rPr>
      </w:pPr>
      <w:r>
        <w:rPr>
          <w:rFonts w:hint="eastAsia"/>
          <w:b/>
          <w:bCs/>
        </w:rPr>
        <w:t>采购方式</w:t>
      </w:r>
      <w:r>
        <w:rPr>
          <w:rFonts w:hint="eastAsia"/>
        </w:rPr>
        <w:t>：公开招标</w:t>
      </w:r>
    </w:p>
    <w:p w14:paraId="3A455B76">
      <w:pPr>
        <w:ind w:firstLine="482"/>
        <w:rPr>
          <w:rFonts w:hint="eastAsia"/>
        </w:rPr>
      </w:pPr>
      <w:r>
        <w:rPr>
          <w:rFonts w:hint="eastAsia"/>
          <w:b/>
          <w:bCs/>
        </w:rPr>
        <w:t>是否接受联合体投标</w:t>
      </w:r>
      <w:r>
        <w:rPr>
          <w:rFonts w:hint="eastAsia"/>
        </w:rPr>
        <w:t>：否</w:t>
      </w:r>
    </w:p>
    <w:p w14:paraId="11D2946A">
      <w:pPr>
        <w:ind w:firstLine="482"/>
        <w:rPr>
          <w:rFonts w:hint="eastAsia"/>
        </w:rPr>
      </w:pPr>
      <w:r>
        <w:rPr>
          <w:b/>
          <w:bCs/>
        </w:rPr>
        <w:t>是否按</w:t>
      </w:r>
      <w:r>
        <w:rPr>
          <w:rFonts w:hint="eastAsia"/>
          <w:b/>
          <w:bCs/>
          <w:lang w:val="en-US" w:eastAsia="zh-CN"/>
        </w:rPr>
        <w:t>X C</w:t>
      </w:r>
      <w:bookmarkStart w:id="35" w:name="_GoBack"/>
      <w:bookmarkEnd w:id="35"/>
      <w:r>
        <w:rPr>
          <w:b/>
          <w:bCs/>
        </w:rPr>
        <w:t>要求建设</w:t>
      </w:r>
      <w:r>
        <w:t>：</w:t>
      </w:r>
      <w:r>
        <w:rPr>
          <w:rFonts w:hint="eastAsia"/>
        </w:rPr>
        <w:t>是</w:t>
      </w:r>
    </w:p>
    <w:p w14:paraId="5694521D">
      <w:pPr>
        <w:ind w:firstLine="482"/>
        <w:rPr>
          <w:rFonts w:hint="eastAsia"/>
        </w:rPr>
      </w:pPr>
      <w:r>
        <w:rPr>
          <w:rFonts w:hint="eastAsia"/>
          <w:b/>
          <w:bCs/>
        </w:rPr>
        <w:t>运维后所属大系统</w:t>
      </w:r>
      <w:r>
        <w:rPr>
          <w:rFonts w:hint="eastAsia"/>
        </w:rPr>
        <w:t>：上海市省统筹传染病监测预警与应急指挥（二期）子系统建设项目</w:t>
      </w:r>
    </w:p>
    <w:p w14:paraId="131F17CD">
      <w:pPr>
        <w:pStyle w:val="2"/>
        <w:rPr>
          <w:rFonts w:hint="eastAsia"/>
        </w:rPr>
      </w:pPr>
      <w:bookmarkStart w:id="2" w:name="_Toc47532255"/>
      <w:bookmarkEnd w:id="2"/>
      <w:bookmarkStart w:id="3" w:name="_Toc47536272"/>
      <w:bookmarkEnd w:id="3"/>
      <w:bookmarkStart w:id="4" w:name="_Toc47532891"/>
      <w:bookmarkEnd w:id="4"/>
      <w:bookmarkStart w:id="5" w:name="_Toc47533256"/>
      <w:bookmarkEnd w:id="5"/>
      <w:bookmarkStart w:id="6" w:name="_Toc47536644"/>
      <w:bookmarkEnd w:id="6"/>
      <w:bookmarkStart w:id="7" w:name="_Toc47537134"/>
      <w:bookmarkEnd w:id="7"/>
      <w:bookmarkStart w:id="8" w:name="_Toc47531634"/>
      <w:bookmarkEnd w:id="8"/>
      <w:bookmarkStart w:id="9" w:name="_Toc47539070"/>
      <w:bookmarkEnd w:id="9"/>
      <w:bookmarkStart w:id="10" w:name="_Toc63785463"/>
      <w:bookmarkStart w:id="11" w:name="_Toc48223882"/>
      <w:r>
        <w:rPr>
          <w:rFonts w:hint="eastAsia"/>
        </w:rPr>
        <w:t>建设目标</w:t>
      </w:r>
      <w:bookmarkEnd w:id="10"/>
      <w:bookmarkEnd w:id="11"/>
    </w:p>
    <w:p w14:paraId="2AE0D137">
      <w:pPr>
        <w:rPr>
          <w:rFonts w:hint="eastAsia"/>
          <w:bCs/>
          <w:color w:val="000000"/>
        </w:rPr>
      </w:pPr>
      <w:r>
        <w:rPr>
          <w:rFonts w:hint="eastAsia"/>
          <w:bCs/>
          <w:color w:val="000000"/>
        </w:rPr>
        <w:t>在一期初步打造以数据主题仓库为核心的数据底座基础上，面向现有疾控数据可用程度不高、数据质控分析缺乏、数据服务工具缺失等数据资源管理难、应用难问题，依托卫生健康数据融合平台，升级建设标准统一、安全可靠、使用规范、便捷高效的省统筹数据支撑平台。通过统一数据采集服务中心，实现疾控数据标准化归集、治理、传输，统一门户平台管理，提供一个统一访问门户集成内容和统一通过门户界面跳转访问各个业务应用子系统的能力，同时构建全生命周期传染病语料库支撑。</w:t>
      </w:r>
    </w:p>
    <w:p w14:paraId="0DC6F83C">
      <w:pPr>
        <w:pStyle w:val="2"/>
        <w:rPr>
          <w:rFonts w:hint="eastAsia"/>
        </w:rPr>
      </w:pPr>
      <w:bookmarkStart w:id="12" w:name="_Toc47536304"/>
      <w:bookmarkEnd w:id="12"/>
      <w:bookmarkStart w:id="13" w:name="_Toc47539102"/>
      <w:bookmarkEnd w:id="13"/>
      <w:bookmarkStart w:id="14" w:name="_Toc47536676"/>
      <w:bookmarkEnd w:id="14"/>
      <w:bookmarkStart w:id="15" w:name="_Toc47533288"/>
      <w:bookmarkEnd w:id="15"/>
      <w:bookmarkStart w:id="16" w:name="_Toc47537166"/>
      <w:bookmarkEnd w:id="16"/>
      <w:bookmarkStart w:id="17" w:name="_Toc47532923"/>
      <w:bookmarkEnd w:id="17"/>
      <w:r>
        <w:rPr>
          <w:rFonts w:hint="eastAsia"/>
        </w:rPr>
        <w:t>项目建设内容</w:t>
      </w:r>
    </w:p>
    <w:p w14:paraId="252DD3B1">
      <w:pPr>
        <w:rPr>
          <w:rFonts w:hint="eastAsia"/>
          <w:bCs/>
          <w:color w:val="000000"/>
        </w:rPr>
      </w:pPr>
      <w:r>
        <w:rPr>
          <w:rFonts w:hint="eastAsia"/>
          <w:bCs/>
          <w:color w:val="000000"/>
          <w:lang w:bidi="ar"/>
        </w:rPr>
        <w:t>本系统将部署在上海市电子政务云（信创云）平台上，在上海市疾病预防控制中心本地通过网络实施系统的远程部署和运维管理。</w:t>
      </w:r>
    </w:p>
    <w:p w14:paraId="6A1EE21F">
      <w:pPr>
        <w:rPr>
          <w:rFonts w:hint="eastAsia"/>
          <w:bCs/>
          <w:color w:val="000000"/>
        </w:rPr>
      </w:pPr>
      <w:r>
        <w:rPr>
          <w:rFonts w:hint="eastAsia"/>
          <w:bCs/>
          <w:color w:val="000000"/>
          <w:lang w:bidi="ar"/>
        </w:rPr>
        <w:t>应用系统核心生产环境主要部署在云平台政务外网区，涉及与互联网交互的应用则需部署在云平台中互联网区，云平台上政务外网区与互联网区之间提供网闸进行隔离，外部用户或应用系统可通过政务外网或互联网接入访问本信息系统。</w:t>
      </w:r>
    </w:p>
    <w:p w14:paraId="3DD5C1A3">
      <w:pPr>
        <w:rPr>
          <w:rFonts w:hint="eastAsia"/>
          <w:bCs/>
          <w:color w:val="000000"/>
        </w:rPr>
      </w:pPr>
      <w:r>
        <w:rPr>
          <w:rFonts w:hint="eastAsia"/>
          <w:bCs/>
          <w:color w:val="000000"/>
          <w:lang w:bidi="ar"/>
        </w:rPr>
        <w:t>系统应使用在政务云目录的国产操作系统、国产数据库软件和国产中间件。应按政务云上最终批复和下发的配额资源进行合理设计。</w:t>
      </w:r>
    </w:p>
    <w:p w14:paraId="4BA906CE">
      <w:pPr>
        <w:rPr>
          <w:rFonts w:hint="eastAsia" w:ascii="微软雅黑" w:hAnsi="微软雅黑" w:eastAsia="微软雅黑"/>
          <w:color w:val="000000" w:themeColor="text1"/>
          <w14:textFill>
            <w14:solidFill>
              <w14:schemeClr w14:val="tx1"/>
            </w14:solidFill>
          </w14:textFill>
        </w:rPr>
      </w:pPr>
      <w:r>
        <w:rPr>
          <w:rFonts w:hint="eastAsia"/>
        </w:rPr>
        <w:t>本项目建设内容涵盖软件开发内容，具体如下：</w:t>
      </w:r>
    </w:p>
    <w:p w14:paraId="2E76E58D">
      <w:pPr>
        <w:ind w:firstLine="0" w:firstLineChars="0"/>
        <w:rPr>
          <w:rFonts w:hint="eastAsia" w:cs="宋体"/>
          <w:sz w:val="22"/>
          <w:lang w:bidi="ar"/>
        </w:rPr>
      </w:pPr>
    </w:p>
    <w:p w14:paraId="22512E76">
      <w:pPr>
        <w:numPr>
          <w:ilvl w:val="0"/>
          <w:numId w:val="4"/>
        </w:numPr>
        <w:ind w:firstLine="482"/>
        <w:rPr>
          <w:rFonts w:hint="eastAsia"/>
          <w:b/>
        </w:rPr>
      </w:pPr>
      <w:r>
        <w:rPr>
          <w:rFonts w:hint="eastAsia"/>
          <w:b/>
        </w:rPr>
        <w:t>软件开发清单：</w:t>
      </w:r>
    </w:p>
    <w:p w14:paraId="2DD531F0">
      <w:pPr>
        <w:ind w:firstLine="0" w:firstLineChars="0"/>
        <w:rPr>
          <w:rFonts w:hint="eastAsia"/>
          <w:b/>
        </w:rPr>
      </w:pPr>
    </w:p>
    <w:tbl>
      <w:tblPr>
        <w:tblStyle w:val="35"/>
        <w:tblW w:w="5000" w:type="pct"/>
        <w:jc w:val="center"/>
        <w:tblLayout w:type="fixed"/>
        <w:tblCellMar>
          <w:top w:w="0" w:type="dxa"/>
          <w:left w:w="108" w:type="dxa"/>
          <w:bottom w:w="0" w:type="dxa"/>
          <w:right w:w="108" w:type="dxa"/>
        </w:tblCellMar>
      </w:tblPr>
      <w:tblGrid>
        <w:gridCol w:w="520"/>
        <w:gridCol w:w="1810"/>
        <w:gridCol w:w="3156"/>
        <w:gridCol w:w="3043"/>
      </w:tblGrid>
      <w:tr w14:paraId="31275842">
        <w:tblPrEx>
          <w:tblCellMar>
            <w:top w:w="0" w:type="dxa"/>
            <w:left w:w="108" w:type="dxa"/>
            <w:bottom w:w="0" w:type="dxa"/>
            <w:right w:w="108" w:type="dxa"/>
          </w:tblCellMar>
        </w:tblPrEx>
        <w:trPr>
          <w:trHeight w:val="270" w:hRule="atLeast"/>
          <w:jc w:val="center"/>
        </w:trPr>
        <w:tc>
          <w:tcPr>
            <w:tcW w:w="30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66E99E66">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序号</w:t>
            </w:r>
          </w:p>
        </w:tc>
        <w:tc>
          <w:tcPr>
            <w:tcW w:w="1061" w:type="pct"/>
            <w:tcBorders>
              <w:top w:val="single" w:color="auto" w:sz="4" w:space="0"/>
              <w:left w:val="nil"/>
              <w:bottom w:val="single" w:color="auto" w:sz="4" w:space="0"/>
              <w:right w:val="single" w:color="auto" w:sz="4" w:space="0"/>
            </w:tcBorders>
            <w:shd w:val="clear" w:color="000000" w:fill="F3F8FC"/>
            <w:noWrap/>
            <w:vAlign w:val="center"/>
          </w:tcPr>
          <w:p w14:paraId="2B6EA392">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应用系统名称</w:t>
            </w:r>
          </w:p>
        </w:tc>
        <w:tc>
          <w:tcPr>
            <w:tcW w:w="1850" w:type="pct"/>
            <w:tcBorders>
              <w:top w:val="single" w:color="auto" w:sz="4" w:space="0"/>
              <w:left w:val="nil"/>
              <w:bottom w:val="single" w:color="auto" w:sz="4" w:space="0"/>
              <w:right w:val="single" w:color="auto" w:sz="4" w:space="0"/>
            </w:tcBorders>
            <w:shd w:val="clear" w:color="000000" w:fill="F3F8FC"/>
            <w:noWrap/>
            <w:vAlign w:val="center"/>
          </w:tcPr>
          <w:p w14:paraId="4E85DCD3">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模块名称</w:t>
            </w:r>
          </w:p>
        </w:tc>
        <w:tc>
          <w:tcPr>
            <w:tcW w:w="1783" w:type="pct"/>
            <w:tcBorders>
              <w:top w:val="single" w:color="auto" w:sz="4" w:space="0"/>
              <w:left w:val="nil"/>
              <w:bottom w:val="single" w:color="auto" w:sz="4" w:space="0"/>
              <w:right w:val="single" w:color="auto" w:sz="4" w:space="0"/>
            </w:tcBorders>
            <w:shd w:val="clear" w:color="000000" w:fill="F3F8FC"/>
          </w:tcPr>
          <w:p w14:paraId="00755AC1">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模块描述</w:t>
            </w:r>
          </w:p>
        </w:tc>
      </w:tr>
      <w:tr w14:paraId="38FB86BA">
        <w:tblPrEx>
          <w:tblCellMar>
            <w:top w:w="0" w:type="dxa"/>
            <w:left w:w="108" w:type="dxa"/>
            <w:bottom w:w="0" w:type="dxa"/>
            <w:right w:w="108" w:type="dxa"/>
          </w:tblCellMar>
        </w:tblPrEx>
        <w:trPr>
          <w:trHeight w:val="270" w:hRule="atLeast"/>
          <w:jc w:val="center"/>
        </w:trPr>
        <w:tc>
          <w:tcPr>
            <w:tcW w:w="30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4D71B405">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1</w:t>
            </w:r>
          </w:p>
        </w:tc>
        <w:tc>
          <w:tcPr>
            <w:tcW w:w="1061" w:type="pct"/>
            <w:vMerge w:val="restart"/>
            <w:tcBorders>
              <w:top w:val="single" w:color="auto" w:sz="4" w:space="0"/>
              <w:left w:val="nil"/>
              <w:right w:val="single" w:color="auto" w:sz="4" w:space="0"/>
            </w:tcBorders>
            <w:shd w:val="clear" w:color="000000" w:fill="F3F8FC"/>
            <w:noWrap/>
            <w:vAlign w:val="center"/>
          </w:tcPr>
          <w:p w14:paraId="2FC81846">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lang w:bidi="ar"/>
              </w:rPr>
            </w:pPr>
            <w:r>
              <w:rPr>
                <w:rFonts w:hint="eastAsia"/>
                <w:sz w:val="21"/>
                <w:szCs w:val="21"/>
              </w:rPr>
              <w:t>统一数据采集服务中心</w:t>
            </w:r>
          </w:p>
        </w:tc>
        <w:tc>
          <w:tcPr>
            <w:tcW w:w="1850" w:type="pct"/>
            <w:tcBorders>
              <w:top w:val="single" w:color="auto" w:sz="4" w:space="0"/>
              <w:left w:val="nil"/>
              <w:bottom w:val="single" w:color="auto" w:sz="4" w:space="0"/>
              <w:right w:val="single" w:color="auto" w:sz="4" w:space="0"/>
            </w:tcBorders>
            <w:shd w:val="clear" w:color="000000" w:fill="F3F8FC"/>
            <w:noWrap/>
            <w:vAlign w:val="center"/>
          </w:tcPr>
          <w:p w14:paraId="7E65E9B4">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统一数据采集服务中心_历史数据迁移</w:t>
            </w:r>
          </w:p>
        </w:tc>
        <w:tc>
          <w:tcPr>
            <w:tcW w:w="1783" w:type="pct"/>
            <w:tcBorders>
              <w:top w:val="single" w:color="auto" w:sz="4" w:space="0"/>
              <w:left w:val="nil"/>
              <w:bottom w:val="single" w:color="auto" w:sz="4" w:space="0"/>
              <w:right w:val="single" w:color="auto" w:sz="4" w:space="0"/>
            </w:tcBorders>
            <w:shd w:val="clear" w:color="000000" w:fill="F3F8FC"/>
            <w:vAlign w:val="center"/>
          </w:tcPr>
          <w:p w14:paraId="26C39A19">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对上海市疾控前期已经采集汇聚的部分数据进行评估，分析评价其数据质量及可用性，开展数据标化、数据清洗、数据治理后，对可用的数据批量迁移至本次拟建设的疾控智能大数据中心中。需横向集成上海市疾控内部业务系统生产库数据（传染病综合监测预警平台、应急作业平台、智慧园区/实验室一体化信息系统、其他业务系统等）、医疗卫生数据（上海市各级全民健康信息平台、上海市申康医联平台中与疾控业务相关的数据）、其他委办局数据（医保局、教育厅、民政厅、农业农村厅、气象局、生态环境厅、市场监督管理局、交通局、应急管理厅、市场监督管理局、省委网信办、浙江省测绘与地理信息局、出入境管理局相关系统中与疾控业务相关的数据）、第三方数据（第三方检测机构、科研院所等社会机构的突发公共卫生事件应急相关信息，以及热线电话或网络平台收到的公共卫生事件线索等），纵向集成区级的生产数据库（上海各区各类自建疾控系统数据），向省级交换库同步数据、协同国家数据中台的数据归集工作，并接收国家数据平台下发数据。</w:t>
            </w:r>
          </w:p>
        </w:tc>
      </w:tr>
      <w:tr w14:paraId="6D5550A4">
        <w:tblPrEx>
          <w:tblCellMar>
            <w:top w:w="0" w:type="dxa"/>
            <w:left w:w="108" w:type="dxa"/>
            <w:bottom w:w="0" w:type="dxa"/>
            <w:right w:w="108" w:type="dxa"/>
          </w:tblCellMar>
        </w:tblPrEx>
        <w:trPr>
          <w:trHeight w:val="270" w:hRule="atLeast"/>
          <w:jc w:val="center"/>
        </w:trPr>
        <w:tc>
          <w:tcPr>
            <w:tcW w:w="30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246C58A7">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2</w:t>
            </w:r>
          </w:p>
        </w:tc>
        <w:tc>
          <w:tcPr>
            <w:tcW w:w="1061" w:type="pct"/>
            <w:vMerge w:val="continue"/>
            <w:tcBorders>
              <w:left w:val="nil"/>
              <w:right w:val="single" w:color="auto" w:sz="4" w:space="0"/>
            </w:tcBorders>
            <w:shd w:val="clear" w:color="000000" w:fill="F3F8FC"/>
            <w:noWrap/>
            <w:vAlign w:val="center"/>
          </w:tcPr>
          <w:p w14:paraId="6B91B24B">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lang w:bidi="ar"/>
              </w:rPr>
            </w:pPr>
          </w:p>
        </w:tc>
        <w:tc>
          <w:tcPr>
            <w:tcW w:w="1850" w:type="pct"/>
            <w:tcBorders>
              <w:top w:val="single" w:color="auto" w:sz="4" w:space="0"/>
              <w:left w:val="nil"/>
              <w:bottom w:val="single" w:color="auto" w:sz="4" w:space="0"/>
              <w:right w:val="single" w:color="auto" w:sz="4" w:space="0"/>
            </w:tcBorders>
            <w:shd w:val="clear" w:color="000000" w:fill="F3F8FC"/>
            <w:noWrap/>
            <w:vAlign w:val="center"/>
          </w:tcPr>
          <w:p w14:paraId="4F71C6DB">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统一数据采集服务中心_多元化采集服务</w:t>
            </w:r>
          </w:p>
        </w:tc>
        <w:tc>
          <w:tcPr>
            <w:tcW w:w="1783" w:type="pct"/>
            <w:tcBorders>
              <w:top w:val="single" w:color="auto" w:sz="4" w:space="0"/>
              <w:left w:val="nil"/>
              <w:bottom w:val="single" w:color="auto" w:sz="4" w:space="0"/>
              <w:right w:val="single" w:color="auto" w:sz="4" w:space="0"/>
            </w:tcBorders>
            <w:shd w:val="clear" w:color="000000" w:fill="F3F8FC"/>
            <w:vAlign w:val="center"/>
          </w:tcPr>
          <w:p w14:paraId="5AE690B4">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提供离线数据同步（T+1）能力，支持单表离线任务、批量离线任务的新建。支持自定义选择已经注册的数据源端数据和目标端，支持多种常见离线同步链路，并提供全量任务自动建表、同名字段自动映射、任务调度配置功能。</w:t>
            </w:r>
          </w:p>
          <w:p w14:paraId="5A4A3EBA">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提供实时数据同步（实时）能力，实时同步可以将源库中的数据变化实时同步至目标库中。支持由数据库、Web服务接口、文件（XML、CSV、Excel等）、技术接口等进行主动数据抽取。提供图形化配置工具，对具备相同业务系统的不同医疗机构，数据抽取需具备可复制性。提供不同业务系统间同一患者诊疗信息的合并与重组，结合平台标准构建完整的数据记录。能够对业务系统的数据进行清洗，不符合数据中心建设要求的数据不纳入抽取范围。</w:t>
            </w:r>
          </w:p>
        </w:tc>
      </w:tr>
      <w:tr w14:paraId="6C5D4B95">
        <w:tblPrEx>
          <w:tblCellMar>
            <w:top w:w="0" w:type="dxa"/>
            <w:left w:w="108" w:type="dxa"/>
            <w:bottom w:w="0" w:type="dxa"/>
            <w:right w:w="108" w:type="dxa"/>
          </w:tblCellMar>
        </w:tblPrEx>
        <w:trPr>
          <w:trHeight w:val="270" w:hRule="atLeast"/>
          <w:jc w:val="center"/>
        </w:trPr>
        <w:tc>
          <w:tcPr>
            <w:tcW w:w="30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7D039311">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3</w:t>
            </w:r>
          </w:p>
        </w:tc>
        <w:tc>
          <w:tcPr>
            <w:tcW w:w="1061" w:type="pct"/>
            <w:vMerge w:val="continue"/>
            <w:tcBorders>
              <w:left w:val="nil"/>
              <w:right w:val="single" w:color="auto" w:sz="4" w:space="0"/>
            </w:tcBorders>
            <w:shd w:val="clear" w:color="000000" w:fill="F3F8FC"/>
            <w:noWrap/>
            <w:vAlign w:val="center"/>
          </w:tcPr>
          <w:p w14:paraId="0D2DFE2C">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lang w:bidi="ar"/>
              </w:rPr>
            </w:pPr>
          </w:p>
        </w:tc>
        <w:tc>
          <w:tcPr>
            <w:tcW w:w="1850" w:type="pct"/>
            <w:tcBorders>
              <w:top w:val="single" w:color="auto" w:sz="4" w:space="0"/>
              <w:left w:val="nil"/>
              <w:bottom w:val="single" w:color="auto" w:sz="4" w:space="0"/>
              <w:right w:val="single" w:color="auto" w:sz="4" w:space="0"/>
            </w:tcBorders>
            <w:shd w:val="clear" w:color="000000" w:fill="F3F8FC"/>
            <w:noWrap/>
            <w:vAlign w:val="center"/>
          </w:tcPr>
          <w:p w14:paraId="387C8F5D">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统一数据采集服务中心_数据同步</w:t>
            </w:r>
          </w:p>
        </w:tc>
        <w:tc>
          <w:tcPr>
            <w:tcW w:w="1783" w:type="pct"/>
            <w:tcBorders>
              <w:top w:val="single" w:color="auto" w:sz="4" w:space="0"/>
              <w:left w:val="nil"/>
              <w:bottom w:val="single" w:color="auto" w:sz="4" w:space="0"/>
              <w:right w:val="single" w:color="auto" w:sz="4" w:space="0"/>
            </w:tcBorders>
            <w:shd w:val="clear" w:color="000000" w:fill="F3F8FC"/>
            <w:vAlign w:val="center"/>
          </w:tcPr>
          <w:p w14:paraId="1D94B12A">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构建简单高效的数据同步管道，提供具有强大的数据预处理能力、丰富的异构数据源之间数据高速稳定的同步能力。能够简单高效的配置大量数据表的同步任务、能够集成多种异构数据源、能够实现对数据源的数据进行轻度预处理、能够实现数据同步任务的调优（例如容错，限速，并发）等。</w:t>
            </w:r>
          </w:p>
        </w:tc>
      </w:tr>
      <w:tr w14:paraId="1F005699">
        <w:tblPrEx>
          <w:tblCellMar>
            <w:top w:w="0" w:type="dxa"/>
            <w:left w:w="108" w:type="dxa"/>
            <w:bottom w:w="0" w:type="dxa"/>
            <w:right w:w="108" w:type="dxa"/>
          </w:tblCellMar>
        </w:tblPrEx>
        <w:trPr>
          <w:trHeight w:val="270" w:hRule="atLeast"/>
          <w:jc w:val="center"/>
        </w:trPr>
        <w:tc>
          <w:tcPr>
            <w:tcW w:w="30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52297D3A">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4</w:t>
            </w:r>
          </w:p>
        </w:tc>
        <w:tc>
          <w:tcPr>
            <w:tcW w:w="1061" w:type="pct"/>
            <w:vMerge w:val="continue"/>
            <w:tcBorders>
              <w:left w:val="nil"/>
              <w:bottom w:val="single" w:color="auto" w:sz="4" w:space="0"/>
              <w:right w:val="single" w:color="auto" w:sz="4" w:space="0"/>
            </w:tcBorders>
            <w:shd w:val="clear" w:color="000000" w:fill="F3F8FC"/>
            <w:noWrap/>
            <w:vAlign w:val="center"/>
          </w:tcPr>
          <w:p w14:paraId="1CB5FBB4">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lang w:bidi="ar"/>
              </w:rPr>
            </w:pPr>
          </w:p>
        </w:tc>
        <w:tc>
          <w:tcPr>
            <w:tcW w:w="1850" w:type="pct"/>
            <w:tcBorders>
              <w:top w:val="single" w:color="auto" w:sz="4" w:space="0"/>
              <w:left w:val="nil"/>
              <w:bottom w:val="single" w:color="auto" w:sz="4" w:space="0"/>
              <w:right w:val="single" w:color="auto" w:sz="4" w:space="0"/>
            </w:tcBorders>
            <w:shd w:val="clear" w:color="000000" w:fill="F3F8FC"/>
            <w:noWrap/>
            <w:vAlign w:val="center"/>
          </w:tcPr>
          <w:p w14:paraId="0C85F5DF">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统一数据采集服务中心_数据集成服务</w:t>
            </w:r>
          </w:p>
        </w:tc>
        <w:tc>
          <w:tcPr>
            <w:tcW w:w="1783" w:type="pct"/>
            <w:tcBorders>
              <w:top w:val="single" w:color="auto" w:sz="4" w:space="0"/>
              <w:left w:val="nil"/>
              <w:bottom w:val="single" w:color="auto" w:sz="4" w:space="0"/>
              <w:right w:val="single" w:color="auto" w:sz="4" w:space="0"/>
            </w:tcBorders>
            <w:shd w:val="clear" w:color="000000" w:fill="F3F8FC"/>
            <w:vAlign w:val="center"/>
          </w:tcPr>
          <w:p w14:paraId="0A361873">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对预期要接入的数据进行的数据探查、数据定义、数据读取和数据对账等数据信息的整理、维护等服务工作。</w:t>
            </w:r>
          </w:p>
          <w:p w14:paraId="58549C3D">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数据探查，对接入数据支撑平台来源数据的存储位置、提供方式、总量和更新情况、业务含义、字段格式语义、数据结构、数据质量等进行多维度探查。</w:t>
            </w:r>
          </w:p>
          <w:p w14:paraId="40FAAD4C">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数据定义，根据数据探查结果，结合业务需求在起始阶段定义数据接入、处理、治理各阶段的内容和方法，同时根据探查结果和业务需求变更进行动态维护。</w:t>
            </w:r>
          </w:p>
          <w:p w14:paraId="6BD70DFB">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数据读取，提供数据接入管理、适配管理、任务管理及多通道管理支持。</w:t>
            </w:r>
          </w:p>
          <w:p w14:paraId="34403A10">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数据对账，在数据提供方和数据接入方的数据交换过程中，针对数据条数、数据大小进行检验，对账完需进行销账，对账异常需记录日志，依据数据对账发生的场景，将数据对账分为数据接入对账和数据分发对账。</w:t>
            </w:r>
          </w:p>
        </w:tc>
      </w:tr>
      <w:tr w14:paraId="4BC3DA53">
        <w:tblPrEx>
          <w:tblCellMar>
            <w:top w:w="0" w:type="dxa"/>
            <w:left w:w="108" w:type="dxa"/>
            <w:bottom w:w="0" w:type="dxa"/>
            <w:right w:w="108" w:type="dxa"/>
          </w:tblCellMar>
        </w:tblPrEx>
        <w:trPr>
          <w:trHeight w:val="270" w:hRule="atLeast"/>
          <w:jc w:val="center"/>
        </w:trPr>
        <w:tc>
          <w:tcPr>
            <w:tcW w:w="30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6B06FCCD">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5</w:t>
            </w:r>
          </w:p>
        </w:tc>
        <w:tc>
          <w:tcPr>
            <w:tcW w:w="1061" w:type="pct"/>
            <w:vMerge w:val="restart"/>
            <w:tcBorders>
              <w:top w:val="single" w:color="auto" w:sz="4" w:space="0"/>
              <w:left w:val="nil"/>
              <w:right w:val="single" w:color="auto" w:sz="4" w:space="0"/>
            </w:tcBorders>
            <w:shd w:val="clear" w:color="000000" w:fill="F3F8FC"/>
            <w:noWrap/>
            <w:vAlign w:val="center"/>
          </w:tcPr>
          <w:p w14:paraId="0C9C1C47">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lang w:bidi="ar"/>
              </w:rPr>
            </w:pPr>
            <w:r>
              <w:rPr>
                <w:rFonts w:hint="eastAsia"/>
                <w:sz w:val="21"/>
                <w:szCs w:val="21"/>
              </w:rPr>
              <w:t>统一门户平台管理</w:t>
            </w:r>
          </w:p>
        </w:tc>
        <w:tc>
          <w:tcPr>
            <w:tcW w:w="1850" w:type="pct"/>
            <w:tcBorders>
              <w:top w:val="single" w:color="auto" w:sz="4" w:space="0"/>
              <w:left w:val="nil"/>
              <w:bottom w:val="single" w:color="auto" w:sz="4" w:space="0"/>
              <w:right w:val="single" w:color="auto" w:sz="4" w:space="0"/>
            </w:tcBorders>
            <w:shd w:val="clear" w:color="000000" w:fill="F3F8FC"/>
            <w:noWrap/>
            <w:vAlign w:val="center"/>
          </w:tcPr>
          <w:p w14:paraId="2B4AF952">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统一门户平台管理_统一认证与单点登录（SSO)系统</w:t>
            </w:r>
          </w:p>
        </w:tc>
        <w:tc>
          <w:tcPr>
            <w:tcW w:w="1783" w:type="pct"/>
            <w:tcBorders>
              <w:top w:val="single" w:color="auto" w:sz="4" w:space="0"/>
              <w:left w:val="nil"/>
              <w:bottom w:val="single" w:color="auto" w:sz="4" w:space="0"/>
              <w:right w:val="single" w:color="auto" w:sz="4" w:space="0"/>
            </w:tcBorders>
            <w:shd w:val="clear" w:color="000000" w:fill="F3F8FC"/>
            <w:vAlign w:val="center"/>
          </w:tcPr>
          <w:p w14:paraId="764B8F42">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支持多种用户来源的接入，能够与现有认证体系无缝对接，实现用户身份的统一注册、维护及权限分配。通过集成统一认证服务，用户只需一次登录验证，即可无缝切换并访问所有授权的业务应用子系统，提高用户体验和工作效率。当用户通过 SSO 登录后，根据用户的角色和组别自动映射到各个子系统的权限，实现权限跟随用户身份动态变更。</w:t>
            </w:r>
          </w:p>
        </w:tc>
      </w:tr>
      <w:tr w14:paraId="2A5EA3E7">
        <w:tblPrEx>
          <w:tblCellMar>
            <w:top w:w="0" w:type="dxa"/>
            <w:left w:w="108" w:type="dxa"/>
            <w:bottom w:w="0" w:type="dxa"/>
            <w:right w:w="108" w:type="dxa"/>
          </w:tblCellMar>
        </w:tblPrEx>
        <w:trPr>
          <w:trHeight w:val="270" w:hRule="atLeast"/>
          <w:jc w:val="center"/>
        </w:trPr>
        <w:tc>
          <w:tcPr>
            <w:tcW w:w="30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339B8C07">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6</w:t>
            </w:r>
          </w:p>
        </w:tc>
        <w:tc>
          <w:tcPr>
            <w:tcW w:w="1061" w:type="pct"/>
            <w:vMerge w:val="continue"/>
            <w:tcBorders>
              <w:left w:val="nil"/>
              <w:right w:val="single" w:color="auto" w:sz="4" w:space="0"/>
            </w:tcBorders>
            <w:shd w:val="clear" w:color="000000" w:fill="F3F8FC"/>
            <w:noWrap/>
            <w:vAlign w:val="center"/>
          </w:tcPr>
          <w:p w14:paraId="7157B544">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lang w:bidi="ar"/>
              </w:rPr>
            </w:pPr>
          </w:p>
        </w:tc>
        <w:tc>
          <w:tcPr>
            <w:tcW w:w="1850" w:type="pct"/>
            <w:tcBorders>
              <w:top w:val="single" w:color="auto" w:sz="4" w:space="0"/>
              <w:left w:val="nil"/>
              <w:bottom w:val="single" w:color="auto" w:sz="4" w:space="0"/>
              <w:right w:val="single" w:color="auto" w:sz="4" w:space="0"/>
            </w:tcBorders>
            <w:shd w:val="clear" w:color="000000" w:fill="F3F8FC"/>
            <w:noWrap/>
            <w:vAlign w:val="center"/>
          </w:tcPr>
          <w:p w14:paraId="4CD1F1E8">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统一门户平台管理_门户界面个性化定制与集成</w:t>
            </w:r>
          </w:p>
        </w:tc>
        <w:tc>
          <w:tcPr>
            <w:tcW w:w="1783" w:type="pct"/>
            <w:tcBorders>
              <w:top w:val="single" w:color="auto" w:sz="4" w:space="0"/>
              <w:left w:val="nil"/>
              <w:bottom w:val="single" w:color="auto" w:sz="4" w:space="0"/>
              <w:right w:val="single" w:color="auto" w:sz="4" w:space="0"/>
            </w:tcBorders>
            <w:shd w:val="clear" w:color="000000" w:fill="F3F8FC"/>
            <w:vAlign w:val="center"/>
          </w:tcPr>
          <w:p w14:paraId="2D3A2308">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允许管理员根据组织架构和业务需求，自定义门户界面布局、样式及主题，展现统一的疾控形象。提供丰富多样的页面元素和组件，如卡片、表格、图表等，供管理员灵活配置门户界面布局。将各业务子系统的关键信息、报表、公告等内容进行有效整合，实现在门户平台上一站式查看与操作。</w:t>
            </w:r>
          </w:p>
        </w:tc>
      </w:tr>
      <w:tr w14:paraId="3AF188EC">
        <w:tblPrEx>
          <w:tblCellMar>
            <w:top w:w="0" w:type="dxa"/>
            <w:left w:w="108" w:type="dxa"/>
            <w:bottom w:w="0" w:type="dxa"/>
            <w:right w:w="108" w:type="dxa"/>
          </w:tblCellMar>
        </w:tblPrEx>
        <w:trPr>
          <w:trHeight w:val="270" w:hRule="atLeast"/>
          <w:jc w:val="center"/>
        </w:trPr>
        <w:tc>
          <w:tcPr>
            <w:tcW w:w="30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0BC29F07">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7</w:t>
            </w:r>
          </w:p>
        </w:tc>
        <w:tc>
          <w:tcPr>
            <w:tcW w:w="1061" w:type="pct"/>
            <w:vMerge w:val="continue"/>
            <w:tcBorders>
              <w:left w:val="nil"/>
              <w:right w:val="single" w:color="auto" w:sz="4" w:space="0"/>
            </w:tcBorders>
            <w:shd w:val="clear" w:color="000000" w:fill="F3F8FC"/>
            <w:noWrap/>
            <w:vAlign w:val="center"/>
          </w:tcPr>
          <w:p w14:paraId="445B754F">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lang w:bidi="ar"/>
              </w:rPr>
            </w:pPr>
          </w:p>
        </w:tc>
        <w:tc>
          <w:tcPr>
            <w:tcW w:w="1850" w:type="pct"/>
            <w:tcBorders>
              <w:top w:val="single" w:color="auto" w:sz="4" w:space="0"/>
              <w:left w:val="nil"/>
              <w:bottom w:val="single" w:color="auto" w:sz="4" w:space="0"/>
              <w:right w:val="single" w:color="auto" w:sz="4" w:space="0"/>
            </w:tcBorders>
            <w:shd w:val="clear" w:color="000000" w:fill="F3F8FC"/>
            <w:noWrap/>
            <w:vAlign w:val="center"/>
          </w:tcPr>
          <w:p w14:paraId="03B02029">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统一门户平台管理_省统筹平台数据分析</w:t>
            </w:r>
          </w:p>
        </w:tc>
        <w:tc>
          <w:tcPr>
            <w:tcW w:w="1783" w:type="pct"/>
            <w:tcBorders>
              <w:top w:val="single" w:color="auto" w:sz="4" w:space="0"/>
              <w:left w:val="nil"/>
              <w:bottom w:val="single" w:color="auto" w:sz="4" w:space="0"/>
              <w:right w:val="single" w:color="auto" w:sz="4" w:space="0"/>
            </w:tcBorders>
            <w:shd w:val="clear" w:color="000000" w:fill="F3F8FC"/>
            <w:vAlign w:val="center"/>
          </w:tcPr>
          <w:p w14:paraId="16CE6AD0">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结合数据集成、数据分析工具、智能报表能力，对省统筹任务清单中所涉及指标进行统计分析，及时跟进省统筹任务落实进展，总体把控全市任务指标情况，覆盖指标需涵盖：</w:t>
            </w:r>
          </w:p>
          <w:p w14:paraId="07E45D98">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1、传染病网络直报机构接入情况分析</w:t>
            </w:r>
          </w:p>
          <w:p w14:paraId="5EE75441">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2、病原监测接入情况分析</w:t>
            </w:r>
          </w:p>
          <w:p w14:paraId="6B9818C1">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3、监测核心业务指标自动分析应用率分析</w:t>
            </w:r>
          </w:p>
          <w:p w14:paraId="44FA8778">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4、传染病多渠道监测汇聚数据自动化分析和展示情况</w:t>
            </w:r>
          </w:p>
          <w:p w14:paraId="5A2BDB09">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5、模型预警预测内容分析</w:t>
            </w:r>
          </w:p>
          <w:p w14:paraId="5F7EDD4E">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6、疫情预测模型覆盖应用场景情况分析</w:t>
            </w:r>
          </w:p>
          <w:p w14:paraId="20FCEEE7">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7、预警信号自动触发推送情况分析</w:t>
            </w:r>
          </w:p>
          <w:p w14:paraId="2265C72C">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8、应急值守管理信息系统部署应用情况分析</w:t>
            </w:r>
          </w:p>
          <w:p w14:paraId="35969FC1">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9、智能流调应用情况分析</w:t>
            </w:r>
          </w:p>
          <w:p w14:paraId="6E7B6E80">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10、可视化展示信息系统建设应用情况分析</w:t>
            </w:r>
          </w:p>
          <w:p w14:paraId="104B17F8">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11、卫生应急资源保障综合管理信息系统应用情况分析</w:t>
            </w:r>
          </w:p>
          <w:p w14:paraId="2BE33520">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12、免疫规划信息系统机构接入及信息上传情况分析</w:t>
            </w:r>
          </w:p>
          <w:p w14:paraId="4679D0A9">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13、建档率及重档率分析</w:t>
            </w:r>
          </w:p>
          <w:p w14:paraId="4A46BA89">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14、省统筹免疫规划系统信息及时上传率分析</w:t>
            </w:r>
          </w:p>
          <w:p w14:paraId="166EFD21">
            <w:pPr>
              <w:widowControl/>
              <w:ind w:firstLine="420"/>
              <w:jc w:val="left"/>
              <w:textAlignment w:val="center"/>
              <w:rPr>
                <w:rFonts w:hint="eastAsia" w:cs="宋体"/>
                <w:color w:val="000000"/>
                <w:kern w:val="0"/>
                <w:sz w:val="21"/>
                <w:szCs w:val="21"/>
                <w:lang w:bidi="ar"/>
              </w:rPr>
            </w:pPr>
          </w:p>
        </w:tc>
      </w:tr>
      <w:tr w14:paraId="71EEE618">
        <w:tblPrEx>
          <w:tblCellMar>
            <w:top w:w="0" w:type="dxa"/>
            <w:left w:w="108" w:type="dxa"/>
            <w:bottom w:w="0" w:type="dxa"/>
            <w:right w:w="108" w:type="dxa"/>
          </w:tblCellMar>
        </w:tblPrEx>
        <w:trPr>
          <w:trHeight w:val="270" w:hRule="atLeast"/>
          <w:jc w:val="center"/>
        </w:trPr>
        <w:tc>
          <w:tcPr>
            <w:tcW w:w="30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5F1E8679">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8</w:t>
            </w:r>
          </w:p>
        </w:tc>
        <w:tc>
          <w:tcPr>
            <w:tcW w:w="1061" w:type="pct"/>
            <w:vMerge w:val="continue"/>
            <w:tcBorders>
              <w:left w:val="nil"/>
              <w:right w:val="single" w:color="auto" w:sz="4" w:space="0"/>
            </w:tcBorders>
            <w:shd w:val="clear" w:color="000000" w:fill="F3F8FC"/>
            <w:noWrap/>
            <w:vAlign w:val="center"/>
          </w:tcPr>
          <w:p w14:paraId="3119A766">
            <w:pPr>
              <w:widowControl/>
              <w:spacing w:line="240" w:lineRule="auto"/>
              <w:ind w:firstLine="0" w:firstLineChars="0"/>
              <w:jc w:val="center"/>
              <w:rPr>
                <w:rFonts w:hint="eastAsia" w:cs="宋体"/>
                <w:b/>
                <w:color w:val="000000"/>
                <w:kern w:val="0"/>
                <w:sz w:val="21"/>
                <w:szCs w:val="21"/>
              </w:rPr>
            </w:pPr>
          </w:p>
        </w:tc>
        <w:tc>
          <w:tcPr>
            <w:tcW w:w="1850" w:type="pct"/>
            <w:tcBorders>
              <w:top w:val="single" w:color="auto" w:sz="4" w:space="0"/>
              <w:left w:val="nil"/>
              <w:bottom w:val="single" w:color="auto" w:sz="4" w:space="0"/>
              <w:right w:val="single" w:color="auto" w:sz="4" w:space="0"/>
            </w:tcBorders>
            <w:shd w:val="clear" w:color="000000" w:fill="F3F8FC"/>
            <w:noWrap/>
            <w:vAlign w:val="center"/>
          </w:tcPr>
          <w:p w14:paraId="4037CCEC">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统一门户平台管理_任务处理与消息提醒</w:t>
            </w:r>
          </w:p>
        </w:tc>
        <w:tc>
          <w:tcPr>
            <w:tcW w:w="1783" w:type="pct"/>
            <w:tcBorders>
              <w:top w:val="single" w:color="auto" w:sz="4" w:space="0"/>
              <w:left w:val="nil"/>
              <w:bottom w:val="single" w:color="auto" w:sz="4" w:space="0"/>
              <w:right w:val="single" w:color="auto" w:sz="4" w:space="0"/>
            </w:tcBorders>
            <w:shd w:val="clear" w:color="000000" w:fill="F3F8FC"/>
            <w:vAlign w:val="center"/>
          </w:tcPr>
          <w:p w14:paraId="37BD3D8C">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集中展示待办任务列表，用户可在此处接收、处理来自各个子系统的任务，并跟踪任务执行进度。任务列表按优先级、时间线等维度展示待处理任务，并可直接在门户中完成任务操作。支持实时消息提醒功能，包括系统通知、工作流审批提醒、关键数据变动提示等，确保重要信息及时传达给相关人员。</w:t>
            </w:r>
          </w:p>
        </w:tc>
      </w:tr>
      <w:tr w14:paraId="1854AE49">
        <w:tblPrEx>
          <w:tblCellMar>
            <w:top w:w="0" w:type="dxa"/>
            <w:left w:w="108" w:type="dxa"/>
            <w:bottom w:w="0" w:type="dxa"/>
            <w:right w:w="108" w:type="dxa"/>
          </w:tblCellMar>
        </w:tblPrEx>
        <w:trPr>
          <w:trHeight w:val="270" w:hRule="atLeast"/>
          <w:jc w:val="center"/>
        </w:trPr>
        <w:tc>
          <w:tcPr>
            <w:tcW w:w="30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74FE166F">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9</w:t>
            </w:r>
          </w:p>
        </w:tc>
        <w:tc>
          <w:tcPr>
            <w:tcW w:w="1061" w:type="pct"/>
            <w:vMerge w:val="continue"/>
            <w:tcBorders>
              <w:left w:val="nil"/>
              <w:right w:val="single" w:color="auto" w:sz="4" w:space="0"/>
            </w:tcBorders>
            <w:shd w:val="clear" w:color="000000" w:fill="F3F8FC"/>
            <w:noWrap/>
            <w:vAlign w:val="center"/>
          </w:tcPr>
          <w:p w14:paraId="52AF99EF">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lang w:bidi="ar"/>
              </w:rPr>
            </w:pPr>
          </w:p>
        </w:tc>
        <w:tc>
          <w:tcPr>
            <w:tcW w:w="1850" w:type="pct"/>
            <w:tcBorders>
              <w:top w:val="single" w:color="auto" w:sz="4" w:space="0"/>
              <w:left w:val="nil"/>
              <w:bottom w:val="single" w:color="auto" w:sz="4" w:space="0"/>
              <w:right w:val="single" w:color="auto" w:sz="4" w:space="0"/>
            </w:tcBorders>
            <w:shd w:val="clear" w:color="000000" w:fill="F3F8FC"/>
            <w:noWrap/>
            <w:vAlign w:val="center"/>
          </w:tcPr>
          <w:p w14:paraId="35B1382C">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统一门户平台管理_业务操作导向</w:t>
            </w:r>
          </w:p>
        </w:tc>
        <w:tc>
          <w:tcPr>
            <w:tcW w:w="1783" w:type="pct"/>
            <w:tcBorders>
              <w:top w:val="single" w:color="auto" w:sz="4" w:space="0"/>
              <w:left w:val="nil"/>
              <w:bottom w:val="single" w:color="auto" w:sz="4" w:space="0"/>
              <w:right w:val="single" w:color="auto" w:sz="4" w:space="0"/>
            </w:tcBorders>
            <w:shd w:val="clear" w:color="000000" w:fill="F3F8FC"/>
            <w:vAlign w:val="center"/>
          </w:tcPr>
          <w:p w14:paraId="6AC4BB5C">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清晰明确的业务导航菜单，引导用户快捷地找到目标功能模块，降低学习成本。为每个功能模块配备详细的操作指南和使用说明，方便用户快速上手操作。</w:t>
            </w:r>
          </w:p>
        </w:tc>
      </w:tr>
      <w:tr w14:paraId="37A12769">
        <w:tblPrEx>
          <w:tblCellMar>
            <w:top w:w="0" w:type="dxa"/>
            <w:left w:w="108" w:type="dxa"/>
            <w:bottom w:w="0" w:type="dxa"/>
            <w:right w:w="108" w:type="dxa"/>
          </w:tblCellMar>
        </w:tblPrEx>
        <w:trPr>
          <w:trHeight w:val="270" w:hRule="atLeast"/>
          <w:jc w:val="center"/>
        </w:trPr>
        <w:tc>
          <w:tcPr>
            <w:tcW w:w="30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03AEF5B9">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10</w:t>
            </w:r>
          </w:p>
        </w:tc>
        <w:tc>
          <w:tcPr>
            <w:tcW w:w="1061" w:type="pct"/>
            <w:vMerge w:val="continue"/>
            <w:tcBorders>
              <w:left w:val="nil"/>
              <w:bottom w:val="single" w:color="auto" w:sz="4" w:space="0"/>
              <w:right w:val="single" w:color="auto" w:sz="4" w:space="0"/>
            </w:tcBorders>
            <w:shd w:val="clear" w:color="000000" w:fill="F3F8FC"/>
            <w:noWrap/>
            <w:vAlign w:val="center"/>
          </w:tcPr>
          <w:p w14:paraId="6A156D75">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lang w:bidi="ar"/>
              </w:rPr>
            </w:pPr>
          </w:p>
        </w:tc>
        <w:tc>
          <w:tcPr>
            <w:tcW w:w="1850" w:type="pct"/>
            <w:tcBorders>
              <w:top w:val="single" w:color="auto" w:sz="4" w:space="0"/>
              <w:left w:val="nil"/>
              <w:bottom w:val="single" w:color="auto" w:sz="4" w:space="0"/>
              <w:right w:val="single" w:color="auto" w:sz="4" w:space="0"/>
            </w:tcBorders>
            <w:shd w:val="clear" w:color="000000" w:fill="F3F8FC"/>
            <w:noWrap/>
            <w:vAlign w:val="center"/>
          </w:tcPr>
          <w:p w14:paraId="531504A2">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统一门户平台管理_运维监控与日志管理</w:t>
            </w:r>
          </w:p>
        </w:tc>
        <w:tc>
          <w:tcPr>
            <w:tcW w:w="1783" w:type="pct"/>
            <w:tcBorders>
              <w:top w:val="single" w:color="auto" w:sz="4" w:space="0"/>
              <w:left w:val="nil"/>
              <w:bottom w:val="single" w:color="auto" w:sz="4" w:space="0"/>
              <w:right w:val="single" w:color="auto" w:sz="4" w:space="0"/>
            </w:tcBorders>
            <w:shd w:val="clear" w:color="000000" w:fill="F3F8FC"/>
            <w:vAlign w:val="center"/>
          </w:tcPr>
          <w:p w14:paraId="685FA09A">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对门户平台及关联业务系统的运行状态进行实时监控，保证系统稳定运行。全面记录用户操作行为，满足合规要求，同时为问题排查和优化改进提供依据。</w:t>
            </w:r>
          </w:p>
        </w:tc>
      </w:tr>
      <w:tr w14:paraId="43D675E8">
        <w:tblPrEx>
          <w:tblCellMar>
            <w:top w:w="0" w:type="dxa"/>
            <w:left w:w="108" w:type="dxa"/>
            <w:bottom w:w="0" w:type="dxa"/>
            <w:right w:w="108" w:type="dxa"/>
          </w:tblCellMar>
        </w:tblPrEx>
        <w:trPr>
          <w:trHeight w:val="270" w:hRule="atLeast"/>
          <w:jc w:val="center"/>
        </w:trPr>
        <w:tc>
          <w:tcPr>
            <w:tcW w:w="30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3C71BD76">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11</w:t>
            </w:r>
          </w:p>
        </w:tc>
        <w:tc>
          <w:tcPr>
            <w:tcW w:w="1061" w:type="pct"/>
            <w:tcBorders>
              <w:top w:val="single" w:color="auto" w:sz="4" w:space="0"/>
              <w:left w:val="nil"/>
              <w:bottom w:val="single" w:color="auto" w:sz="4" w:space="0"/>
              <w:right w:val="single" w:color="auto" w:sz="4" w:space="0"/>
            </w:tcBorders>
            <w:shd w:val="clear" w:color="000000" w:fill="F3F8FC"/>
            <w:noWrap/>
            <w:vAlign w:val="center"/>
          </w:tcPr>
          <w:p w14:paraId="727E3B4B">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lang w:bidi="ar"/>
              </w:rPr>
            </w:pPr>
            <w:r>
              <w:rPr>
                <w:rFonts w:hint="eastAsia"/>
                <w:sz w:val="21"/>
                <w:szCs w:val="21"/>
              </w:rPr>
              <w:t>全生命周期传染病语料库支撑</w:t>
            </w:r>
          </w:p>
        </w:tc>
        <w:tc>
          <w:tcPr>
            <w:tcW w:w="1850" w:type="pct"/>
            <w:tcBorders>
              <w:top w:val="single" w:color="auto" w:sz="4" w:space="0"/>
              <w:left w:val="nil"/>
              <w:bottom w:val="single" w:color="auto" w:sz="4" w:space="0"/>
              <w:right w:val="single" w:color="auto" w:sz="4" w:space="0"/>
            </w:tcBorders>
            <w:shd w:val="clear" w:color="000000" w:fill="F3F8FC"/>
            <w:noWrap/>
            <w:vAlign w:val="center"/>
          </w:tcPr>
          <w:p w14:paraId="6FB5ADDF">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全生命周期传染病语料库支撑</w:t>
            </w:r>
          </w:p>
        </w:tc>
        <w:tc>
          <w:tcPr>
            <w:tcW w:w="1783" w:type="pct"/>
            <w:tcBorders>
              <w:top w:val="single" w:color="auto" w:sz="4" w:space="0"/>
              <w:left w:val="nil"/>
              <w:bottom w:val="single" w:color="auto" w:sz="4" w:space="0"/>
              <w:right w:val="single" w:color="auto" w:sz="4" w:space="0"/>
            </w:tcBorders>
            <w:shd w:val="clear" w:color="000000" w:fill="F3F8FC"/>
            <w:vAlign w:val="center"/>
          </w:tcPr>
          <w:p w14:paraId="27DC2725">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收集科学文献、临床报告、新闻报道、社交媒体讨论、疾病预防控制中心发布的公告、政府卫生报告等多语言、多种数据格式且合规的语料来源数据，经由数据治理和预处理操作，如数据清理、文本分割、标注等，同时结合语料库设计，包括分类体系、元数据管理、语义标注等，形成传染病语料库，同时需确保数据安全并定期对语料库进行性能评估优化。生成传染病语料库需涵盖有学术文献类、临床数据类（就诊记录、公共卫生报告、疫苗接种数据）、公开数据库（医学数据库 基因组和流行病学数据库等）、专利和技术文献、流行病学监测、天气和气候数据等。</w:t>
            </w:r>
          </w:p>
        </w:tc>
      </w:tr>
    </w:tbl>
    <w:p w14:paraId="1576195B">
      <w:pPr>
        <w:ind w:firstLine="0" w:firstLineChars="0"/>
        <w:rPr>
          <w:rFonts w:hint="eastAsia"/>
        </w:rPr>
      </w:pPr>
    </w:p>
    <w:p w14:paraId="46EF58B6">
      <w:pPr>
        <w:ind w:left="480" w:leftChars="200" w:firstLine="0" w:firstLineChars="0"/>
        <w:rPr>
          <w:rFonts w:hint="eastAsia"/>
        </w:rPr>
      </w:pPr>
    </w:p>
    <w:p w14:paraId="672B17A8">
      <w:pPr>
        <w:pStyle w:val="2"/>
        <w:rPr>
          <w:rFonts w:hint="eastAsia"/>
        </w:rPr>
      </w:pPr>
      <w:bookmarkStart w:id="18" w:name="_Toc63785503"/>
      <w:r>
        <w:rPr>
          <w:rFonts w:hint="eastAsia"/>
        </w:rPr>
        <w:t>其他工作要求</w:t>
      </w:r>
      <w:bookmarkEnd w:id="18"/>
    </w:p>
    <w:p w14:paraId="7B376431">
      <w:pPr>
        <w:pStyle w:val="3"/>
        <w:rPr>
          <w:rFonts w:hint="eastAsia"/>
        </w:rPr>
      </w:pPr>
      <w:bookmarkStart w:id="19" w:name="_Toc63151871"/>
      <w:bookmarkEnd w:id="19"/>
      <w:bookmarkStart w:id="20" w:name="_Toc62219358"/>
      <w:bookmarkEnd w:id="20"/>
      <w:bookmarkStart w:id="21" w:name="_Toc63585480"/>
      <w:bookmarkEnd w:id="21"/>
      <w:bookmarkStart w:id="22" w:name="_Toc62209488"/>
      <w:bookmarkEnd w:id="22"/>
      <w:bookmarkStart w:id="23" w:name="_Toc63785439"/>
      <w:bookmarkEnd w:id="23"/>
      <w:bookmarkStart w:id="24" w:name="_Toc63762370"/>
      <w:bookmarkEnd w:id="24"/>
      <w:bookmarkStart w:id="25" w:name="_Toc61968111"/>
      <w:bookmarkEnd w:id="25"/>
      <w:bookmarkStart w:id="26" w:name="_Toc63785504"/>
      <w:bookmarkEnd w:id="26"/>
      <w:bookmarkStart w:id="27" w:name="_Toc63785505"/>
      <w:r>
        <w:rPr>
          <w:rFonts w:hint="eastAsia"/>
        </w:rPr>
        <w:t>售后服务要求</w:t>
      </w:r>
      <w:bookmarkEnd w:id="27"/>
    </w:p>
    <w:p w14:paraId="170B95AD">
      <w:pPr>
        <w:pStyle w:val="106"/>
        <w:snapToGrid w:val="0"/>
        <w:spacing w:line="360" w:lineRule="auto"/>
        <w:ind w:firstLine="480"/>
        <w:rPr>
          <w:rFonts w:hint="eastAsia" w:ascii="宋体" w:hAnsi="宋体"/>
          <w:sz w:val="24"/>
          <w:szCs w:val="24"/>
        </w:rPr>
      </w:pPr>
      <w:r>
        <w:rPr>
          <w:rFonts w:hint="eastAsia" w:ascii="宋体" w:hAnsi="宋体"/>
          <w:sz w:val="24"/>
          <w:szCs w:val="24"/>
        </w:rPr>
        <w:t>本项目从系统验收通过之日起</w:t>
      </w:r>
      <w:r>
        <w:rPr>
          <w:rFonts w:hint="eastAsia" w:ascii="宋体" w:hAnsi="宋体"/>
          <w:sz w:val="24"/>
          <w:szCs w:val="24"/>
          <w:lang w:val="en-US" w:eastAsia="zh-CN"/>
        </w:rPr>
        <w:t>3</w:t>
      </w:r>
      <w:r>
        <w:rPr>
          <w:rFonts w:hint="eastAsia" w:ascii="宋体" w:hAnsi="宋体"/>
          <w:sz w:val="24"/>
          <w:szCs w:val="24"/>
        </w:rPr>
        <w:t>年内提供</w:t>
      </w:r>
      <w:r>
        <w:rPr>
          <w:rFonts w:ascii="宋体" w:hAnsi="宋体"/>
          <w:sz w:val="24"/>
          <w:szCs w:val="24"/>
        </w:rPr>
        <w:t>7*24小时免费技术支持</w:t>
      </w:r>
      <w:r>
        <w:rPr>
          <w:rFonts w:hint="eastAsia" w:ascii="宋体" w:hAnsi="宋体"/>
          <w:sz w:val="24"/>
          <w:szCs w:val="24"/>
        </w:rPr>
        <w:t>和售后服务，</w:t>
      </w:r>
      <w:r>
        <w:rPr>
          <w:rFonts w:hint="eastAsia" w:ascii="宋体" w:hAnsi="宋体"/>
          <w:sz w:val="24"/>
          <w:szCs w:val="24"/>
          <w:lang w:val="en-US" w:eastAsia="zh-CN"/>
        </w:rPr>
        <w:t>3</w:t>
      </w:r>
      <w:r>
        <w:rPr>
          <w:rFonts w:hint="eastAsia" w:ascii="宋体" w:hAnsi="宋体"/>
          <w:sz w:val="24"/>
          <w:szCs w:val="24"/>
        </w:rPr>
        <w:t>年后进入有偿维护期。</w:t>
      </w:r>
    </w:p>
    <w:p w14:paraId="3279DAA6">
      <w:pPr>
        <w:pStyle w:val="106"/>
        <w:snapToGrid w:val="0"/>
        <w:spacing w:line="360" w:lineRule="auto"/>
        <w:ind w:firstLine="480"/>
        <w:rPr>
          <w:rFonts w:hint="eastAsia" w:ascii="宋体" w:hAnsi="宋体"/>
          <w:sz w:val="24"/>
          <w:szCs w:val="24"/>
        </w:rPr>
      </w:pPr>
      <w:r>
        <w:rPr>
          <w:rFonts w:hint="eastAsia" w:ascii="宋体" w:hAnsi="宋体"/>
          <w:sz w:val="24"/>
          <w:szCs w:val="24"/>
        </w:rPr>
        <w:t>在质量保证期内，供应商将按照售后服务的承诺提供保修和运行维护服务。</w:t>
      </w:r>
    </w:p>
    <w:p w14:paraId="07C5F31E">
      <w:pPr>
        <w:pStyle w:val="106"/>
        <w:snapToGrid w:val="0"/>
        <w:spacing w:line="360" w:lineRule="auto"/>
        <w:ind w:firstLine="480"/>
        <w:rPr>
          <w:rFonts w:hint="eastAsia" w:ascii="宋体" w:hAnsi="宋体"/>
          <w:sz w:val="24"/>
          <w:szCs w:val="24"/>
        </w:rPr>
      </w:pPr>
      <w:r>
        <w:rPr>
          <w:rFonts w:hint="eastAsia" w:ascii="宋体" w:hAnsi="宋体"/>
          <w:sz w:val="24"/>
          <w:szCs w:val="24"/>
        </w:rPr>
        <w:t>在质量保证期内，供应商负责信息系统的运行维护工作，确保信息系统安全、稳定、可靠地运行。本项目涉及的运行维护工作范围包括但不限于：远程技术支持、预防性维护、故障修复、重大活动现场保障、技术交流与培训、性能优化等。</w:t>
      </w:r>
    </w:p>
    <w:p w14:paraId="500C6D16">
      <w:pPr>
        <w:pStyle w:val="3"/>
        <w:rPr>
          <w:rFonts w:hint="eastAsia"/>
        </w:rPr>
      </w:pPr>
      <w:bookmarkStart w:id="28" w:name="_Toc63785506"/>
      <w:r>
        <w:rPr>
          <w:rFonts w:hint="eastAsia"/>
        </w:rPr>
        <w:t>应急响应要求</w:t>
      </w:r>
      <w:bookmarkEnd w:id="28"/>
    </w:p>
    <w:p w14:paraId="07C1BEC3">
      <w:pPr>
        <w:pStyle w:val="106"/>
        <w:snapToGrid w:val="0"/>
        <w:spacing w:line="360" w:lineRule="auto"/>
        <w:ind w:firstLine="480"/>
        <w:rPr>
          <w:rFonts w:hint="eastAsia" w:ascii="宋体" w:hAnsi="宋体"/>
          <w:sz w:val="24"/>
          <w:szCs w:val="24"/>
        </w:rPr>
      </w:pPr>
      <w:r>
        <w:rPr>
          <w:rFonts w:hint="eastAsia" w:ascii="宋体" w:hAnsi="宋体"/>
          <w:sz w:val="24"/>
          <w:szCs w:val="24"/>
        </w:rPr>
        <w:t>供应商对系统故障应能够实时响应，若系统发生故障，接到通知后</w:t>
      </w:r>
      <w:r>
        <w:rPr>
          <w:rFonts w:ascii="宋体" w:hAnsi="宋体"/>
          <w:sz w:val="24"/>
          <w:szCs w:val="24"/>
        </w:rPr>
        <w:t>30分钟之内响应，专业工程师2小时内到达现场</w:t>
      </w:r>
      <w:r>
        <w:rPr>
          <w:rFonts w:hint="eastAsia" w:ascii="宋体" w:hAnsi="宋体"/>
          <w:sz w:val="24"/>
          <w:szCs w:val="24"/>
        </w:rPr>
        <w:t>。特殊故障与客户沟通协商后，按照协商的方式制定解决方案并进行处理。</w:t>
      </w:r>
    </w:p>
    <w:p w14:paraId="2EBFE32E">
      <w:pPr>
        <w:pStyle w:val="106"/>
        <w:snapToGrid w:val="0"/>
        <w:spacing w:line="360" w:lineRule="auto"/>
        <w:ind w:firstLine="480"/>
        <w:rPr>
          <w:rFonts w:hint="eastAsia" w:ascii="宋体" w:hAnsi="宋体"/>
          <w:sz w:val="24"/>
          <w:szCs w:val="24"/>
        </w:rPr>
      </w:pPr>
      <w:r>
        <w:rPr>
          <w:rFonts w:hint="eastAsia" w:ascii="宋体" w:hAnsi="宋体"/>
          <w:sz w:val="24"/>
          <w:szCs w:val="24"/>
        </w:rPr>
        <w:t>具体故障级别及对应的应急响应要求如下：</w:t>
      </w:r>
    </w:p>
    <w:p w14:paraId="127B3939">
      <w:pPr>
        <w:pStyle w:val="106"/>
        <w:snapToGrid w:val="0"/>
        <w:spacing w:line="360" w:lineRule="auto"/>
        <w:ind w:firstLine="480"/>
        <w:rPr>
          <w:rFonts w:hint="eastAsia" w:ascii="宋体" w:hAnsi="宋体"/>
          <w:sz w:val="24"/>
          <w:szCs w:val="24"/>
        </w:rPr>
      </w:pPr>
      <w:r>
        <w:rPr>
          <w:rFonts w:hint="eastAsia" w:ascii="宋体" w:hAnsi="宋体"/>
          <w:sz w:val="24"/>
          <w:szCs w:val="24"/>
        </w:rPr>
        <w:t>一级故障：在</w:t>
      </w:r>
      <w:r>
        <w:rPr>
          <w:rFonts w:ascii="宋体" w:hAnsi="宋体"/>
          <w:sz w:val="24"/>
          <w:szCs w:val="24"/>
        </w:rPr>
        <w:t>1小时内确诊，总故障解决时间不超过4小时。</w:t>
      </w:r>
    </w:p>
    <w:p w14:paraId="1C4F0D8F">
      <w:pPr>
        <w:pStyle w:val="106"/>
        <w:snapToGrid w:val="0"/>
        <w:spacing w:line="360" w:lineRule="auto"/>
        <w:ind w:firstLine="480"/>
        <w:rPr>
          <w:rFonts w:hint="eastAsia" w:ascii="宋体" w:hAnsi="宋体"/>
          <w:sz w:val="24"/>
          <w:szCs w:val="24"/>
        </w:rPr>
      </w:pPr>
      <w:r>
        <w:rPr>
          <w:rFonts w:hint="eastAsia" w:ascii="宋体" w:hAnsi="宋体"/>
          <w:sz w:val="24"/>
          <w:szCs w:val="24"/>
        </w:rPr>
        <w:t>二级故障：在</w:t>
      </w:r>
      <w:r>
        <w:rPr>
          <w:rFonts w:ascii="宋体" w:hAnsi="宋体"/>
          <w:sz w:val="24"/>
          <w:szCs w:val="24"/>
        </w:rPr>
        <w:t>2小时内确诊，并在4小时内由专家到达现场确诊并解决，总故障解决时间不超过8小时；</w:t>
      </w:r>
    </w:p>
    <w:p w14:paraId="1FC7F63A">
      <w:pPr>
        <w:pStyle w:val="106"/>
        <w:snapToGrid w:val="0"/>
        <w:spacing w:line="360" w:lineRule="auto"/>
        <w:ind w:firstLine="480"/>
        <w:rPr>
          <w:rFonts w:hint="eastAsia" w:ascii="宋体" w:hAnsi="宋体"/>
          <w:sz w:val="24"/>
          <w:szCs w:val="24"/>
        </w:rPr>
      </w:pPr>
      <w:r>
        <w:rPr>
          <w:rFonts w:hint="eastAsia" w:ascii="宋体" w:hAnsi="宋体"/>
          <w:sz w:val="24"/>
          <w:szCs w:val="24"/>
        </w:rPr>
        <w:t>三、四级故障：在</w:t>
      </w:r>
      <w:r>
        <w:rPr>
          <w:rFonts w:ascii="宋体" w:hAnsi="宋体"/>
          <w:sz w:val="24"/>
          <w:szCs w:val="24"/>
        </w:rPr>
        <w:t>4小时内确诊故障，总故障解决时间不超过16小时。</w:t>
      </w:r>
    </w:p>
    <w:p w14:paraId="553DC94A">
      <w:pPr>
        <w:pStyle w:val="3"/>
        <w:rPr>
          <w:rFonts w:hint="eastAsia"/>
        </w:rPr>
      </w:pPr>
      <w:bookmarkStart w:id="29" w:name="_Toc63785507"/>
      <w:r>
        <w:rPr>
          <w:rFonts w:hint="eastAsia"/>
        </w:rPr>
        <w:t>培训要求</w:t>
      </w:r>
      <w:bookmarkEnd w:id="29"/>
    </w:p>
    <w:p w14:paraId="3E5FFAE4">
      <w:pPr>
        <w:rPr>
          <w:rFonts w:hint="eastAsia"/>
        </w:rPr>
      </w:pPr>
      <w:r>
        <w:rPr>
          <w:rFonts w:hint="eastAsia"/>
        </w:rPr>
        <w:t>对系统使用单位提供业务操作培训，应提供详细培训方案。</w:t>
      </w:r>
    </w:p>
    <w:p w14:paraId="0328E2F6">
      <w:pPr>
        <w:rPr>
          <w:rFonts w:hint="eastAsia"/>
        </w:rPr>
      </w:pPr>
      <w:r>
        <w:rPr>
          <w:rFonts w:hint="eastAsia"/>
        </w:rPr>
        <w:t>(1)在12个月的质量保证期内，提供2次与项目相关的必要培训。</w:t>
      </w:r>
    </w:p>
    <w:p w14:paraId="52979A95">
      <w:pPr>
        <w:rPr>
          <w:rFonts w:hint="eastAsia"/>
        </w:rPr>
      </w:pPr>
      <w:r>
        <w:rPr>
          <w:rFonts w:hint="eastAsia"/>
        </w:rPr>
        <w:t>(2)供应商需要开展分层次的人员培训工作，每次培训后应对参加培训人员进行测试，评估培训成果。培训应具有培训教材、培训环境和高水平的培训讲师。</w:t>
      </w:r>
    </w:p>
    <w:p w14:paraId="1D122E36">
      <w:pPr>
        <w:rPr>
          <w:rFonts w:hint="eastAsia"/>
        </w:rPr>
      </w:pPr>
      <w:r>
        <w:rPr>
          <w:rFonts w:hint="eastAsia"/>
        </w:rPr>
        <w:t>(3)供应商应提供一般用户的基础操作培训和部门信息管理员的日常应用维护的培训，确保用户对象能够掌握对应的操作技能。</w:t>
      </w:r>
    </w:p>
    <w:p w14:paraId="5D837D32">
      <w:pPr>
        <w:pStyle w:val="3"/>
        <w:rPr>
          <w:rFonts w:hint="eastAsia"/>
        </w:rPr>
      </w:pPr>
      <w:bookmarkStart w:id="30" w:name="_Toc63785508"/>
      <w:r>
        <w:rPr>
          <w:rFonts w:hint="eastAsia"/>
        </w:rPr>
        <w:t>验收要求</w:t>
      </w:r>
      <w:bookmarkEnd w:id="30"/>
    </w:p>
    <w:p w14:paraId="1866CE1E">
      <w:pPr>
        <w:rPr>
          <w:rFonts w:hint="eastAsia"/>
          <w:szCs w:val="21"/>
        </w:rPr>
      </w:pPr>
      <w:r>
        <w:rPr>
          <w:rFonts w:hint="eastAsia"/>
          <w:szCs w:val="21"/>
        </w:rPr>
        <w:t>本项目按下述方式开展验收。</w:t>
      </w:r>
    </w:p>
    <w:p w14:paraId="3AFE1E67">
      <w:pPr>
        <w:rPr>
          <w:rFonts w:hint="eastAsia"/>
          <w:szCs w:val="21"/>
        </w:rPr>
      </w:pPr>
      <w:r>
        <w:rPr>
          <w:rFonts w:hint="eastAsia"/>
          <w:szCs w:val="21"/>
        </w:rPr>
        <w:t>（</w:t>
      </w:r>
      <w:r>
        <w:rPr>
          <w:szCs w:val="21"/>
        </w:rPr>
        <w:t>1）验收分初验和终验。</w:t>
      </w:r>
    </w:p>
    <w:p w14:paraId="41E13686">
      <w:pPr>
        <w:rPr>
          <w:rFonts w:hint="eastAsia"/>
          <w:szCs w:val="21"/>
        </w:rPr>
      </w:pPr>
      <w:r>
        <w:rPr>
          <w:rFonts w:hint="eastAsia"/>
          <w:szCs w:val="21"/>
        </w:rPr>
        <w:t>（</w:t>
      </w:r>
      <w:r>
        <w:rPr>
          <w:szCs w:val="21"/>
        </w:rPr>
        <w:t>2）初验前，供应商须完成软件开发、软硬件安装和信息系统的调试等，并对本项目进行功能和运行检测，确保所有信息系统功能模块能够正常运行且已达到本项目约定的各类标准要求。供应商应以书面形式向招标方递交初验通知书。招标方应当在接到通知后的5个工作日内确定初验的具体日期，由双方按照本项目的约定完成本项目的初验。招标方有权委托第三方检测机构进行验收，对此供应商应当配合。</w:t>
      </w:r>
    </w:p>
    <w:p w14:paraId="77F59C1A">
      <w:pPr>
        <w:rPr>
          <w:rFonts w:hint="eastAsia"/>
          <w:szCs w:val="21"/>
        </w:rPr>
      </w:pPr>
      <w:r>
        <w:rPr>
          <w:rFonts w:hint="eastAsia"/>
          <w:szCs w:val="21"/>
        </w:rPr>
        <w:t>（</w:t>
      </w:r>
      <w:r>
        <w:rPr>
          <w:szCs w:val="21"/>
        </w:rPr>
        <w:t>3）初验时，供应商须提供软件文档包括《用户需求说明书》、《系统概要设计说明书》、《系统详细设计说明书》、</w:t>
      </w:r>
      <w:r>
        <w:rPr>
          <w:rFonts w:hint="eastAsia"/>
          <w:szCs w:val="21"/>
        </w:rPr>
        <w:t>《三方功能需求确认单》、</w:t>
      </w:r>
      <w:r>
        <w:rPr>
          <w:szCs w:val="21"/>
        </w:rPr>
        <w:t>《测试报告》、《用户使用手册》、《系统部署文档》等）及可安装的程序运行文件。所交付的文档与文件应当是可供自然人阅读的书面和电子文档。软件文档及可安装的程序运行文件验收通过后，视为初验通过。如有缺陷，招标方应向供应商出具书面报告，陈述需要改进的缺陷。供应商应立即严格依照招标方的书面报告中的要求改进缺陷，并再次进行初验。</w:t>
      </w:r>
    </w:p>
    <w:p w14:paraId="24728117">
      <w:pPr>
        <w:rPr>
          <w:rFonts w:hint="eastAsia"/>
          <w:szCs w:val="21"/>
        </w:rPr>
      </w:pPr>
      <w:r>
        <w:rPr>
          <w:rFonts w:hint="eastAsia"/>
          <w:szCs w:val="21"/>
        </w:rPr>
        <w:t>（</w:t>
      </w:r>
      <w:r>
        <w:rPr>
          <w:szCs w:val="21"/>
        </w:rPr>
        <w:t>4）自初验通过之日起，招标方享有供应商免费提供的</w:t>
      </w:r>
      <w:r>
        <w:rPr>
          <w:rFonts w:hint="eastAsia"/>
          <w:szCs w:val="21"/>
        </w:rPr>
        <w:t>30</w:t>
      </w:r>
      <w:r>
        <w:rPr>
          <w:szCs w:val="21"/>
        </w:rPr>
        <w:t>天的信息系统试运行现场驻场服务期。该期间内，供应商应当按照招标方的要求提供现场技术支持服务，解决信息系统试运行期间可能出现的各类问题，或进一步提高与完善信息系统运行水平。</w:t>
      </w:r>
    </w:p>
    <w:p w14:paraId="57CF1BB5">
      <w:pPr>
        <w:rPr>
          <w:rFonts w:hint="eastAsia"/>
          <w:szCs w:val="21"/>
        </w:rPr>
      </w:pPr>
      <w:r>
        <w:rPr>
          <w:rFonts w:hint="eastAsia"/>
          <w:szCs w:val="21"/>
        </w:rPr>
        <w:t>（</w:t>
      </w:r>
      <w:r>
        <w:rPr>
          <w:szCs w:val="21"/>
        </w:rPr>
        <w:t>5）初验通过且信息系统试运行期已经达到本项目约定的时间，经供应商确认信息系统具备正常运行条件，且信息系统通过运行测试，供应商应以书面形式通知招标方信息系统已准备就绪</w:t>
      </w:r>
      <w:r>
        <w:rPr>
          <w:rFonts w:hint="eastAsia"/>
          <w:szCs w:val="21"/>
          <w:lang w:bidi="ar"/>
        </w:rPr>
        <w:t>，及时进行源代码及项目技术文件的交付，并准备好所有项目验收所需文档等待终验。招标方按照上级主管部门要求进行验收工作。</w:t>
      </w:r>
    </w:p>
    <w:p w14:paraId="3F66CC1D">
      <w:pPr>
        <w:rPr>
          <w:rFonts w:hint="eastAsia"/>
          <w:szCs w:val="21"/>
        </w:rPr>
      </w:pPr>
      <w:r>
        <w:rPr>
          <w:rFonts w:hint="eastAsia"/>
          <w:szCs w:val="21"/>
        </w:rPr>
        <w:t>（6</w:t>
      </w:r>
      <w:r>
        <w:rPr>
          <w:szCs w:val="21"/>
        </w:rPr>
        <w:t>）如果属于供应商原因致使本项目未能通过终验，供应商应当排除缺陷，直至本项目完全符合验收标准，由上述情形而产生的相关费用应由供应商自行承担。</w:t>
      </w:r>
    </w:p>
    <w:p w14:paraId="65B15ACF">
      <w:pPr>
        <w:rPr>
          <w:rFonts w:hint="eastAsia"/>
          <w:szCs w:val="21"/>
        </w:rPr>
      </w:pPr>
      <w:r>
        <w:rPr>
          <w:rFonts w:hint="eastAsia"/>
          <w:szCs w:val="21"/>
        </w:rPr>
        <w:t>（7</w:t>
      </w:r>
      <w:r>
        <w:rPr>
          <w:szCs w:val="21"/>
        </w:rPr>
        <w:t>）如果由于招标方原因导致本项目在终验通过前出现故障或问题，供应商应及时配合排除该方面的故障或问题。</w:t>
      </w:r>
    </w:p>
    <w:p w14:paraId="5FF5B514">
      <w:pPr>
        <w:rPr>
          <w:rFonts w:hint="eastAsia"/>
          <w:szCs w:val="21"/>
        </w:rPr>
      </w:pPr>
      <w:r>
        <w:rPr>
          <w:rFonts w:hint="eastAsia"/>
          <w:szCs w:val="21"/>
        </w:rPr>
        <w:t>（8</w:t>
      </w:r>
      <w:r>
        <w:rPr>
          <w:szCs w:val="21"/>
        </w:rPr>
        <w:t>）如本项目连续3次验收未通过（含初验未通过或终验未通过），招标方有权解除项目，并有权依照本项目约定的违约条款追究供应商的违约责任。</w:t>
      </w:r>
    </w:p>
    <w:p w14:paraId="7030A019">
      <w:pPr>
        <w:pStyle w:val="3"/>
        <w:rPr>
          <w:rFonts w:hint="eastAsia"/>
        </w:rPr>
      </w:pPr>
      <w:bookmarkStart w:id="31" w:name="_Toc63785509"/>
      <w:r>
        <w:rPr>
          <w:rFonts w:hint="eastAsia"/>
        </w:rPr>
        <w:t>进度要求</w:t>
      </w:r>
      <w:bookmarkEnd w:id="31"/>
    </w:p>
    <w:p w14:paraId="147AC523">
      <w:pPr>
        <w:rPr>
          <w:rFonts w:hint="eastAsia"/>
        </w:rPr>
      </w:pPr>
      <w:r>
        <w:rPr>
          <w:rFonts w:hint="eastAsia"/>
        </w:rPr>
        <w:t>投标人应根据建设内容，分阶段制定合理的时间进度，并且应根据招标方要求进行调整和细化。</w:t>
      </w:r>
    </w:p>
    <w:p w14:paraId="44E9927A">
      <w:pPr>
        <w:rPr>
          <w:rFonts w:hint="eastAsia"/>
        </w:rPr>
      </w:pPr>
      <w:r>
        <w:rPr>
          <w:rFonts w:hint="eastAsia"/>
        </w:rPr>
        <w:t>项目总建设周期为合同签订之日起至2025年12月31日，并需在2025年12月31日前完成项目建设并通过验收。初步计划：</w:t>
      </w:r>
    </w:p>
    <w:p w14:paraId="4FA52617">
      <w:pPr>
        <w:rPr>
          <w:rFonts w:hint="eastAsia"/>
        </w:rPr>
      </w:pPr>
      <w:r>
        <w:rPr>
          <w:rFonts w:hint="eastAsia"/>
        </w:rPr>
        <w:t>合同签订之日起1个月内，完成项目需求调研和详细设计；</w:t>
      </w:r>
    </w:p>
    <w:p w14:paraId="0DB31D0C">
      <w:pPr>
        <w:rPr>
          <w:rFonts w:hint="eastAsia"/>
        </w:rPr>
      </w:pPr>
      <w:r>
        <w:rPr>
          <w:rFonts w:hint="eastAsia"/>
        </w:rPr>
        <w:t>合同签订之日起3个月内，完成软件开发、产品软件部署和集成</w:t>
      </w:r>
    </w:p>
    <w:p w14:paraId="2B6DFCEC">
      <w:pPr>
        <w:rPr>
          <w:rFonts w:hint="eastAsia"/>
        </w:rPr>
      </w:pPr>
      <w:r>
        <w:rPr>
          <w:rFonts w:hint="eastAsia"/>
        </w:rPr>
        <w:t>合同签订之日起5个月内，完成项目测试，启动项目试运行；</w:t>
      </w:r>
    </w:p>
    <w:p w14:paraId="358CBFFA">
      <w:pPr>
        <w:rPr>
          <w:rFonts w:hint="eastAsia"/>
        </w:rPr>
      </w:pPr>
      <w:r>
        <w:rPr>
          <w:rFonts w:hint="eastAsia"/>
        </w:rPr>
        <w:t>合同签订之日起至2025年12月31日，完成项目试运行和验收。</w:t>
      </w:r>
    </w:p>
    <w:p w14:paraId="6A36C78A">
      <w:pPr>
        <w:pStyle w:val="3"/>
        <w:rPr>
          <w:rFonts w:hint="eastAsia"/>
        </w:rPr>
      </w:pPr>
      <w:bookmarkStart w:id="32" w:name="_Toc63785510"/>
      <w:r>
        <w:rPr>
          <w:rFonts w:hint="eastAsia"/>
        </w:rPr>
        <w:t>项目团队及驻场人员要求</w:t>
      </w:r>
      <w:bookmarkEnd w:id="32"/>
    </w:p>
    <w:p w14:paraId="5291DBD0">
      <w:pPr>
        <w:rPr>
          <w:rFonts w:hint="eastAsia"/>
        </w:rPr>
      </w:pPr>
      <w:bookmarkStart w:id="33" w:name="_Toc63785511"/>
      <w:r>
        <w:t>1）投标人须具有稳定的在职技术保障力量，能够提供及时的技术支援或服务，应针对本项目提供不少于</w:t>
      </w:r>
      <w:r>
        <w:rPr>
          <w:rFonts w:hint="eastAsia"/>
        </w:rPr>
        <w:t>14</w:t>
      </w:r>
      <w:r>
        <w:t>人的项目服务团队（包括项目经理、产品经理、技术负责人、研发</w:t>
      </w:r>
      <w:r>
        <w:rPr>
          <w:rFonts w:hint="eastAsia"/>
        </w:rPr>
        <w:t>、实施</w:t>
      </w:r>
      <w:r>
        <w:t>等），</w:t>
      </w:r>
      <w:r>
        <w:rPr>
          <w:rFonts w:hint="eastAsia"/>
        </w:rPr>
        <w:t>其中至少6人驻场，</w:t>
      </w:r>
      <w:r>
        <w:t>投标单位的相关服务人员需具备相应的服务能力，需提供相关证明</w:t>
      </w:r>
      <w:r>
        <w:rPr>
          <w:rFonts w:hint="eastAsia"/>
        </w:rPr>
        <w:t>（开标前三个月任意一月为其依法缴纳社保费的证明）</w:t>
      </w:r>
      <w: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436"/>
        <w:gridCol w:w="1180"/>
        <w:gridCol w:w="2316"/>
        <w:gridCol w:w="1180"/>
      </w:tblGrid>
      <w:tr w14:paraId="56F8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40AA9CDE">
            <w:pPr>
              <w:widowControl/>
              <w:spacing w:line="240" w:lineRule="auto"/>
              <w:ind w:firstLine="0" w:firstLineChars="0"/>
              <w:jc w:val="center"/>
              <w:rPr>
                <w:rFonts w:hint="eastAsia"/>
                <w:b/>
              </w:rPr>
            </w:pPr>
            <w:r>
              <w:rPr>
                <w:rFonts w:hint="eastAsia"/>
                <w:b/>
              </w:rPr>
              <w:t>角色</w:t>
            </w:r>
          </w:p>
        </w:tc>
        <w:tc>
          <w:tcPr>
            <w:tcW w:w="0" w:type="auto"/>
            <w:shd w:val="clear" w:color="auto" w:fill="auto"/>
            <w:noWrap/>
            <w:vAlign w:val="center"/>
          </w:tcPr>
          <w:p w14:paraId="6C50D679">
            <w:pPr>
              <w:widowControl/>
              <w:spacing w:line="240" w:lineRule="auto"/>
              <w:ind w:firstLine="0" w:firstLineChars="0"/>
              <w:jc w:val="center"/>
              <w:rPr>
                <w:rFonts w:hint="eastAsia"/>
                <w:b/>
              </w:rPr>
            </w:pPr>
            <w:r>
              <w:rPr>
                <w:rFonts w:hint="eastAsia"/>
                <w:b/>
              </w:rPr>
              <w:t>主要职责</w:t>
            </w:r>
          </w:p>
        </w:tc>
        <w:tc>
          <w:tcPr>
            <w:tcW w:w="0" w:type="auto"/>
            <w:shd w:val="clear" w:color="auto" w:fill="auto"/>
            <w:noWrap/>
            <w:vAlign w:val="center"/>
          </w:tcPr>
          <w:p w14:paraId="7440DA63">
            <w:pPr>
              <w:widowControl/>
              <w:spacing w:line="240" w:lineRule="auto"/>
              <w:ind w:firstLine="0" w:firstLineChars="0"/>
              <w:jc w:val="center"/>
              <w:rPr>
                <w:rFonts w:hint="eastAsia"/>
                <w:b/>
              </w:rPr>
            </w:pPr>
            <w:r>
              <w:rPr>
                <w:rFonts w:hint="eastAsia"/>
                <w:b/>
              </w:rPr>
              <w:t>人员数量</w:t>
            </w:r>
          </w:p>
        </w:tc>
        <w:tc>
          <w:tcPr>
            <w:tcW w:w="0" w:type="auto"/>
            <w:vAlign w:val="center"/>
          </w:tcPr>
          <w:p w14:paraId="770700AC">
            <w:pPr>
              <w:widowControl/>
              <w:spacing w:line="240" w:lineRule="auto"/>
              <w:ind w:firstLine="0" w:firstLineChars="0"/>
              <w:jc w:val="center"/>
              <w:rPr>
                <w:rFonts w:hint="eastAsia"/>
                <w:b/>
              </w:rPr>
            </w:pPr>
            <w:r>
              <w:rPr>
                <w:rFonts w:hint="eastAsia"/>
                <w:b/>
              </w:rPr>
              <w:t>人员要求</w:t>
            </w:r>
          </w:p>
        </w:tc>
        <w:tc>
          <w:tcPr>
            <w:tcW w:w="0" w:type="auto"/>
            <w:shd w:val="clear" w:color="auto" w:fill="auto"/>
            <w:noWrap/>
            <w:vAlign w:val="center"/>
          </w:tcPr>
          <w:p w14:paraId="62B1B84C">
            <w:pPr>
              <w:widowControl/>
              <w:spacing w:line="240" w:lineRule="auto"/>
              <w:ind w:firstLine="0" w:firstLineChars="0"/>
              <w:jc w:val="center"/>
              <w:rPr>
                <w:rFonts w:hint="eastAsia"/>
                <w:b/>
              </w:rPr>
            </w:pPr>
            <w:r>
              <w:rPr>
                <w:rFonts w:hint="eastAsia"/>
                <w:b/>
              </w:rPr>
              <w:t>驻场要求</w:t>
            </w:r>
          </w:p>
        </w:tc>
      </w:tr>
      <w:tr w14:paraId="5656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0B9CF1EE">
            <w:pPr>
              <w:widowControl/>
              <w:spacing w:line="240" w:lineRule="auto"/>
              <w:ind w:firstLine="0" w:firstLineChars="0"/>
              <w:jc w:val="center"/>
              <w:rPr>
                <w:rFonts w:hint="eastAsia"/>
              </w:rPr>
            </w:pPr>
            <w:r>
              <w:rPr>
                <w:rFonts w:hint="eastAsia"/>
              </w:rPr>
              <w:t>项目经理</w:t>
            </w:r>
          </w:p>
        </w:tc>
        <w:tc>
          <w:tcPr>
            <w:tcW w:w="0" w:type="auto"/>
            <w:shd w:val="clear" w:color="auto" w:fill="auto"/>
            <w:vAlign w:val="center"/>
          </w:tcPr>
          <w:p w14:paraId="1EF9E000">
            <w:pPr>
              <w:widowControl/>
              <w:spacing w:line="240" w:lineRule="auto"/>
              <w:ind w:firstLine="0" w:firstLineChars="0"/>
              <w:jc w:val="center"/>
              <w:rPr>
                <w:rFonts w:hint="eastAsia"/>
              </w:rPr>
            </w:pPr>
            <w:r>
              <w:rPr>
                <w:rFonts w:hint="eastAsia"/>
              </w:rPr>
              <w:t>负责项目质量和进度控制</w:t>
            </w:r>
          </w:p>
        </w:tc>
        <w:tc>
          <w:tcPr>
            <w:tcW w:w="0" w:type="auto"/>
            <w:shd w:val="clear" w:color="auto" w:fill="auto"/>
            <w:noWrap/>
            <w:vAlign w:val="center"/>
          </w:tcPr>
          <w:p w14:paraId="73131DBD">
            <w:pPr>
              <w:widowControl/>
              <w:spacing w:line="240" w:lineRule="auto"/>
              <w:ind w:firstLine="0" w:firstLineChars="0"/>
              <w:jc w:val="center"/>
              <w:rPr>
                <w:rFonts w:hint="eastAsia"/>
              </w:rPr>
            </w:pPr>
            <w:r>
              <w:rPr>
                <w:rFonts w:hint="eastAsia"/>
              </w:rPr>
              <w:t>1人</w:t>
            </w:r>
          </w:p>
        </w:tc>
        <w:tc>
          <w:tcPr>
            <w:tcW w:w="0" w:type="auto"/>
            <w:vAlign w:val="center"/>
          </w:tcPr>
          <w:p w14:paraId="32E494C3">
            <w:pPr>
              <w:widowControl/>
              <w:spacing w:line="240" w:lineRule="auto"/>
              <w:ind w:firstLine="0" w:firstLineChars="0"/>
              <w:jc w:val="center"/>
              <w:rPr>
                <w:rFonts w:hint="eastAsia"/>
              </w:rPr>
            </w:pPr>
            <w:r>
              <w:rPr>
                <w:rFonts w:hint="eastAsia"/>
              </w:rPr>
              <w:t>具备信息系统项目管理师（高级）资格证书优先考虑</w:t>
            </w:r>
          </w:p>
        </w:tc>
        <w:tc>
          <w:tcPr>
            <w:tcW w:w="0" w:type="auto"/>
            <w:shd w:val="clear" w:color="auto" w:fill="auto"/>
            <w:noWrap/>
            <w:vAlign w:val="center"/>
          </w:tcPr>
          <w:p w14:paraId="062BB8A3">
            <w:pPr>
              <w:widowControl/>
              <w:spacing w:line="240" w:lineRule="auto"/>
              <w:ind w:firstLine="0" w:firstLineChars="0"/>
              <w:jc w:val="center"/>
              <w:rPr>
                <w:rFonts w:hint="eastAsia"/>
              </w:rPr>
            </w:pPr>
            <w:r>
              <w:rPr>
                <w:rFonts w:hint="eastAsia"/>
              </w:rPr>
              <w:t>驻场</w:t>
            </w:r>
          </w:p>
        </w:tc>
      </w:tr>
      <w:tr w14:paraId="043A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tcPr>
          <w:p w14:paraId="6144B355">
            <w:pPr>
              <w:widowControl/>
              <w:spacing w:line="240" w:lineRule="auto"/>
              <w:ind w:firstLine="0" w:firstLineChars="0"/>
              <w:jc w:val="center"/>
              <w:rPr>
                <w:rFonts w:hint="eastAsia"/>
              </w:rPr>
            </w:pPr>
            <w:r>
              <w:rPr>
                <w:rFonts w:hint="eastAsia"/>
              </w:rPr>
              <w:t>产品经理</w:t>
            </w:r>
          </w:p>
        </w:tc>
        <w:tc>
          <w:tcPr>
            <w:tcW w:w="0" w:type="auto"/>
            <w:shd w:val="clear" w:color="auto" w:fill="auto"/>
          </w:tcPr>
          <w:p w14:paraId="23A0BBB1">
            <w:pPr>
              <w:widowControl/>
              <w:spacing w:line="240" w:lineRule="auto"/>
              <w:ind w:firstLine="0" w:firstLineChars="0"/>
              <w:jc w:val="center"/>
              <w:rPr>
                <w:rFonts w:hint="eastAsia"/>
              </w:rPr>
            </w:pPr>
            <w:r>
              <w:rPr>
                <w:rFonts w:hint="eastAsia"/>
              </w:rPr>
              <w:t>负责项目需求评估与产品设计</w:t>
            </w:r>
          </w:p>
        </w:tc>
        <w:tc>
          <w:tcPr>
            <w:tcW w:w="0" w:type="auto"/>
            <w:shd w:val="clear" w:color="auto" w:fill="auto"/>
            <w:noWrap/>
            <w:vAlign w:val="center"/>
          </w:tcPr>
          <w:p w14:paraId="684D39C8">
            <w:pPr>
              <w:widowControl/>
              <w:spacing w:line="240" w:lineRule="auto"/>
              <w:ind w:firstLine="0" w:firstLineChars="0"/>
              <w:jc w:val="center"/>
              <w:rPr>
                <w:rFonts w:hint="eastAsia"/>
              </w:rPr>
            </w:pPr>
            <w:r>
              <w:rPr>
                <w:rFonts w:hint="eastAsia"/>
              </w:rPr>
              <w:t>2人</w:t>
            </w:r>
          </w:p>
        </w:tc>
        <w:tc>
          <w:tcPr>
            <w:tcW w:w="0" w:type="auto"/>
            <w:vAlign w:val="center"/>
          </w:tcPr>
          <w:p w14:paraId="75AEAE9B">
            <w:pPr>
              <w:widowControl/>
              <w:spacing w:line="240" w:lineRule="auto"/>
              <w:ind w:firstLine="0" w:firstLineChars="0"/>
              <w:jc w:val="center"/>
              <w:rPr>
                <w:rFonts w:hint="eastAsia"/>
              </w:rPr>
            </w:pPr>
            <w:r>
              <w:t>具有系统分析师（高级）或软件设计师（中级）资格证书优先考虑</w:t>
            </w:r>
          </w:p>
        </w:tc>
        <w:tc>
          <w:tcPr>
            <w:tcW w:w="0" w:type="auto"/>
            <w:shd w:val="clear" w:color="auto" w:fill="auto"/>
            <w:noWrap/>
            <w:vAlign w:val="center"/>
          </w:tcPr>
          <w:p w14:paraId="496D614D">
            <w:pPr>
              <w:widowControl/>
              <w:spacing w:line="240" w:lineRule="auto"/>
              <w:ind w:firstLine="0" w:firstLineChars="0"/>
              <w:jc w:val="center"/>
              <w:rPr>
                <w:rFonts w:hint="eastAsia"/>
              </w:rPr>
            </w:pPr>
            <w:r>
              <w:rPr>
                <w:rFonts w:hint="eastAsia"/>
              </w:rPr>
              <w:t>不驻场</w:t>
            </w:r>
          </w:p>
        </w:tc>
      </w:tr>
      <w:tr w14:paraId="5CB7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tcPr>
          <w:p w14:paraId="57B9A2EC">
            <w:pPr>
              <w:widowControl/>
              <w:spacing w:line="240" w:lineRule="auto"/>
              <w:ind w:firstLine="0" w:firstLineChars="0"/>
              <w:jc w:val="center"/>
              <w:rPr>
                <w:rFonts w:hint="eastAsia"/>
              </w:rPr>
            </w:pPr>
            <w:r>
              <w:rPr>
                <w:rFonts w:hint="eastAsia"/>
              </w:rPr>
              <w:t>技术负责人</w:t>
            </w:r>
          </w:p>
        </w:tc>
        <w:tc>
          <w:tcPr>
            <w:tcW w:w="0" w:type="auto"/>
            <w:shd w:val="clear" w:color="auto" w:fill="auto"/>
          </w:tcPr>
          <w:p w14:paraId="07AC2D00">
            <w:pPr>
              <w:widowControl/>
              <w:spacing w:line="240" w:lineRule="auto"/>
              <w:ind w:firstLine="0" w:firstLineChars="0"/>
              <w:jc w:val="center"/>
              <w:rPr>
                <w:rFonts w:hint="eastAsia"/>
              </w:rPr>
            </w:pPr>
            <w:r>
              <w:rPr>
                <w:rFonts w:hint="eastAsia"/>
              </w:rPr>
              <w:t>负责技术实现</w:t>
            </w:r>
          </w:p>
        </w:tc>
        <w:tc>
          <w:tcPr>
            <w:tcW w:w="0" w:type="auto"/>
            <w:shd w:val="clear" w:color="auto" w:fill="auto"/>
            <w:noWrap/>
            <w:vAlign w:val="center"/>
          </w:tcPr>
          <w:p w14:paraId="734716BD">
            <w:pPr>
              <w:widowControl/>
              <w:spacing w:line="240" w:lineRule="auto"/>
              <w:ind w:firstLine="0" w:firstLineChars="0"/>
              <w:jc w:val="center"/>
              <w:rPr>
                <w:rFonts w:hint="eastAsia"/>
              </w:rPr>
            </w:pPr>
            <w:r>
              <w:rPr>
                <w:rFonts w:hint="eastAsia"/>
              </w:rPr>
              <w:t>1人</w:t>
            </w:r>
          </w:p>
        </w:tc>
        <w:tc>
          <w:tcPr>
            <w:tcW w:w="0" w:type="auto"/>
            <w:vAlign w:val="center"/>
          </w:tcPr>
          <w:p w14:paraId="09404447">
            <w:pPr>
              <w:widowControl/>
              <w:spacing w:line="240" w:lineRule="auto"/>
              <w:ind w:firstLine="0" w:firstLineChars="0"/>
              <w:jc w:val="center"/>
              <w:rPr>
                <w:rFonts w:hint="eastAsia"/>
              </w:rPr>
            </w:pPr>
            <w:r>
              <w:t>具有计算机技术与软件专业相关证书优先考虑</w:t>
            </w:r>
          </w:p>
        </w:tc>
        <w:tc>
          <w:tcPr>
            <w:tcW w:w="0" w:type="auto"/>
            <w:shd w:val="clear" w:color="auto" w:fill="auto"/>
            <w:noWrap/>
            <w:vAlign w:val="center"/>
          </w:tcPr>
          <w:p w14:paraId="018815C3">
            <w:pPr>
              <w:widowControl/>
              <w:spacing w:line="240" w:lineRule="auto"/>
              <w:ind w:firstLine="0" w:firstLineChars="0"/>
              <w:jc w:val="center"/>
              <w:rPr>
                <w:rFonts w:hint="eastAsia"/>
              </w:rPr>
            </w:pPr>
            <w:r>
              <w:rPr>
                <w:rFonts w:hint="eastAsia"/>
              </w:rPr>
              <w:t>不驻场</w:t>
            </w:r>
          </w:p>
        </w:tc>
      </w:tr>
      <w:tr w14:paraId="27C6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09F43FBF">
            <w:pPr>
              <w:widowControl/>
              <w:spacing w:line="240" w:lineRule="auto"/>
              <w:ind w:firstLine="0" w:firstLineChars="0"/>
              <w:jc w:val="center"/>
              <w:rPr>
                <w:rFonts w:hint="eastAsia"/>
              </w:rPr>
            </w:pPr>
            <w:r>
              <w:rPr>
                <w:rFonts w:hint="eastAsia"/>
              </w:rPr>
              <w:t>研发</w:t>
            </w:r>
          </w:p>
        </w:tc>
        <w:tc>
          <w:tcPr>
            <w:tcW w:w="0" w:type="auto"/>
            <w:shd w:val="clear" w:color="auto" w:fill="auto"/>
            <w:noWrap/>
            <w:vAlign w:val="center"/>
          </w:tcPr>
          <w:p w14:paraId="7A3E43CC">
            <w:pPr>
              <w:widowControl/>
              <w:spacing w:line="240" w:lineRule="auto"/>
              <w:ind w:firstLine="0" w:firstLineChars="0"/>
              <w:jc w:val="center"/>
              <w:rPr>
                <w:rFonts w:hint="eastAsia"/>
              </w:rPr>
            </w:pPr>
            <w:r>
              <w:rPr>
                <w:rFonts w:hint="eastAsia"/>
              </w:rPr>
              <w:t>负责项目具体开发</w:t>
            </w:r>
          </w:p>
        </w:tc>
        <w:tc>
          <w:tcPr>
            <w:tcW w:w="0" w:type="auto"/>
            <w:shd w:val="clear" w:color="auto" w:fill="auto"/>
            <w:noWrap/>
            <w:vAlign w:val="center"/>
          </w:tcPr>
          <w:p w14:paraId="41BBD8E7">
            <w:pPr>
              <w:widowControl/>
              <w:spacing w:line="240" w:lineRule="auto"/>
              <w:ind w:firstLine="0" w:firstLineChars="0"/>
              <w:jc w:val="center"/>
              <w:rPr>
                <w:rFonts w:hint="eastAsia"/>
              </w:rPr>
            </w:pPr>
            <w:r>
              <w:rPr>
                <w:rFonts w:hint="eastAsia"/>
              </w:rPr>
              <w:t>5人</w:t>
            </w:r>
          </w:p>
        </w:tc>
        <w:tc>
          <w:tcPr>
            <w:tcW w:w="0" w:type="auto"/>
            <w:vAlign w:val="center"/>
          </w:tcPr>
          <w:p w14:paraId="5E7CF00E">
            <w:pPr>
              <w:widowControl/>
              <w:spacing w:line="240" w:lineRule="auto"/>
              <w:ind w:firstLine="0" w:firstLineChars="0"/>
              <w:jc w:val="center"/>
              <w:rPr>
                <w:rFonts w:hint="eastAsia"/>
              </w:rPr>
            </w:pPr>
            <w:r>
              <w:rPr>
                <w:rFonts w:hint="eastAsia"/>
              </w:rPr>
              <w:t>具有相关工作经验优先考虑</w:t>
            </w:r>
          </w:p>
        </w:tc>
        <w:tc>
          <w:tcPr>
            <w:tcW w:w="0" w:type="auto"/>
            <w:shd w:val="clear" w:color="auto" w:fill="auto"/>
            <w:noWrap/>
            <w:vAlign w:val="center"/>
          </w:tcPr>
          <w:p w14:paraId="7A1236A1">
            <w:pPr>
              <w:widowControl/>
              <w:spacing w:line="240" w:lineRule="auto"/>
              <w:ind w:firstLine="0" w:firstLineChars="0"/>
              <w:jc w:val="center"/>
              <w:rPr>
                <w:rFonts w:hint="eastAsia"/>
              </w:rPr>
            </w:pPr>
            <w:r>
              <w:rPr>
                <w:rFonts w:hint="eastAsia"/>
              </w:rPr>
              <w:t>不驻场</w:t>
            </w:r>
          </w:p>
        </w:tc>
      </w:tr>
      <w:tr w14:paraId="4735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0C04BB47">
            <w:pPr>
              <w:widowControl/>
              <w:spacing w:line="240" w:lineRule="auto"/>
              <w:ind w:firstLine="0" w:firstLineChars="0"/>
              <w:jc w:val="center"/>
              <w:rPr>
                <w:rFonts w:hint="eastAsia"/>
              </w:rPr>
            </w:pPr>
            <w:r>
              <w:rPr>
                <w:rFonts w:hint="eastAsia"/>
              </w:rPr>
              <w:t>实施</w:t>
            </w:r>
          </w:p>
        </w:tc>
        <w:tc>
          <w:tcPr>
            <w:tcW w:w="0" w:type="auto"/>
            <w:shd w:val="clear" w:color="auto" w:fill="auto"/>
            <w:noWrap/>
            <w:vAlign w:val="center"/>
          </w:tcPr>
          <w:p w14:paraId="2C91576E">
            <w:pPr>
              <w:widowControl/>
              <w:spacing w:line="240" w:lineRule="auto"/>
              <w:ind w:firstLine="0" w:firstLineChars="0"/>
              <w:jc w:val="center"/>
              <w:rPr>
                <w:rFonts w:hint="eastAsia"/>
              </w:rPr>
            </w:pPr>
            <w:r>
              <w:rPr>
                <w:rFonts w:hint="eastAsia"/>
              </w:rPr>
              <w:t>负责项目具体实施</w:t>
            </w:r>
          </w:p>
        </w:tc>
        <w:tc>
          <w:tcPr>
            <w:tcW w:w="0" w:type="auto"/>
            <w:shd w:val="clear" w:color="auto" w:fill="auto"/>
            <w:noWrap/>
            <w:vAlign w:val="center"/>
          </w:tcPr>
          <w:p w14:paraId="5ED3D91F">
            <w:pPr>
              <w:widowControl/>
              <w:spacing w:line="240" w:lineRule="auto"/>
              <w:ind w:firstLine="0" w:firstLineChars="0"/>
              <w:jc w:val="center"/>
              <w:rPr>
                <w:rFonts w:hint="eastAsia"/>
              </w:rPr>
            </w:pPr>
            <w:r>
              <w:rPr>
                <w:rFonts w:hint="eastAsia"/>
              </w:rPr>
              <w:t>5人</w:t>
            </w:r>
          </w:p>
        </w:tc>
        <w:tc>
          <w:tcPr>
            <w:tcW w:w="0" w:type="auto"/>
            <w:vAlign w:val="center"/>
          </w:tcPr>
          <w:p w14:paraId="003D6304">
            <w:pPr>
              <w:widowControl/>
              <w:spacing w:line="240" w:lineRule="auto"/>
              <w:ind w:firstLine="0" w:firstLineChars="0"/>
              <w:jc w:val="center"/>
              <w:rPr>
                <w:rFonts w:hint="eastAsia"/>
              </w:rPr>
            </w:pPr>
            <w:r>
              <w:rPr>
                <w:rFonts w:hint="eastAsia"/>
              </w:rPr>
              <w:t>具有相关工作经验优先考虑</w:t>
            </w:r>
          </w:p>
        </w:tc>
        <w:tc>
          <w:tcPr>
            <w:tcW w:w="0" w:type="auto"/>
            <w:shd w:val="clear" w:color="auto" w:fill="auto"/>
            <w:noWrap/>
            <w:vAlign w:val="center"/>
          </w:tcPr>
          <w:p w14:paraId="4E0C4161">
            <w:pPr>
              <w:widowControl/>
              <w:spacing w:line="240" w:lineRule="auto"/>
              <w:ind w:firstLine="0" w:firstLineChars="0"/>
              <w:jc w:val="center"/>
              <w:rPr>
                <w:rFonts w:hint="eastAsia"/>
              </w:rPr>
            </w:pPr>
            <w:r>
              <w:rPr>
                <w:rFonts w:hint="eastAsia"/>
              </w:rPr>
              <w:t>驻场</w:t>
            </w:r>
          </w:p>
        </w:tc>
      </w:tr>
    </w:tbl>
    <w:p w14:paraId="5AD496D8">
      <w:pPr>
        <w:rPr>
          <w:rFonts w:hint="eastAsia"/>
        </w:rPr>
      </w:pPr>
      <w:r>
        <w:t>2）投标人应针对本项目提供不少于</w:t>
      </w:r>
      <w:r>
        <w:rPr>
          <w:rFonts w:hint="eastAsia"/>
        </w:rPr>
        <w:t>4</w:t>
      </w:r>
      <w:r>
        <w:t>人的质保期间支撑团队（其中技术经理</w:t>
      </w:r>
      <w:r>
        <w:rPr>
          <w:rFonts w:hint="eastAsia"/>
        </w:rPr>
        <w:t>1</w:t>
      </w:r>
      <w:r>
        <w:t>人，</w:t>
      </w:r>
      <w:r>
        <w:rPr>
          <w:rFonts w:hint="eastAsia"/>
        </w:rPr>
        <w:t>技术工程师不少于3人</w:t>
      </w:r>
      <w:r>
        <w:t>）；投标人的相关服务人员需具备相应的服务能力，需提供相关证明（</w:t>
      </w:r>
      <w:r>
        <w:rPr>
          <w:rFonts w:hint="eastAsia"/>
          <w:lang w:eastAsia="zh-CN"/>
        </w:rPr>
        <w:t>开标前三个月任意一月为其</w:t>
      </w:r>
      <w:r>
        <w:t>依法缴纳社保费的证明）。</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362"/>
        <w:gridCol w:w="1180"/>
        <w:gridCol w:w="1741"/>
        <w:gridCol w:w="1829"/>
      </w:tblGrid>
      <w:tr w14:paraId="6009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28ABBF87">
            <w:pPr>
              <w:widowControl/>
              <w:spacing w:line="240" w:lineRule="auto"/>
              <w:ind w:firstLine="0" w:firstLineChars="0"/>
              <w:jc w:val="center"/>
              <w:rPr>
                <w:rFonts w:hint="eastAsia"/>
                <w:b/>
              </w:rPr>
            </w:pPr>
            <w:r>
              <w:rPr>
                <w:rFonts w:hint="eastAsia"/>
                <w:b/>
              </w:rPr>
              <w:t>角色</w:t>
            </w:r>
          </w:p>
        </w:tc>
        <w:tc>
          <w:tcPr>
            <w:tcW w:w="2362" w:type="dxa"/>
            <w:shd w:val="clear" w:color="auto" w:fill="auto"/>
            <w:noWrap/>
            <w:vAlign w:val="center"/>
          </w:tcPr>
          <w:p w14:paraId="5FDF5676">
            <w:pPr>
              <w:widowControl/>
              <w:spacing w:line="240" w:lineRule="auto"/>
              <w:ind w:firstLine="0" w:firstLineChars="0"/>
              <w:jc w:val="center"/>
              <w:rPr>
                <w:rFonts w:hint="eastAsia"/>
                <w:b/>
              </w:rPr>
            </w:pPr>
            <w:r>
              <w:rPr>
                <w:rFonts w:hint="eastAsia"/>
                <w:b/>
              </w:rPr>
              <w:t>主要职责</w:t>
            </w:r>
          </w:p>
        </w:tc>
        <w:tc>
          <w:tcPr>
            <w:tcW w:w="1180" w:type="dxa"/>
            <w:shd w:val="clear" w:color="auto" w:fill="auto"/>
            <w:noWrap/>
            <w:vAlign w:val="center"/>
          </w:tcPr>
          <w:p w14:paraId="1604E475">
            <w:pPr>
              <w:widowControl/>
              <w:spacing w:line="240" w:lineRule="auto"/>
              <w:ind w:firstLine="0" w:firstLineChars="0"/>
              <w:jc w:val="center"/>
              <w:rPr>
                <w:rFonts w:hint="eastAsia"/>
                <w:b/>
              </w:rPr>
            </w:pPr>
            <w:r>
              <w:rPr>
                <w:rFonts w:hint="eastAsia"/>
                <w:b/>
              </w:rPr>
              <w:t>人员数量</w:t>
            </w:r>
          </w:p>
        </w:tc>
        <w:tc>
          <w:tcPr>
            <w:tcW w:w="1741" w:type="dxa"/>
            <w:vAlign w:val="center"/>
          </w:tcPr>
          <w:p w14:paraId="54BD0C15">
            <w:pPr>
              <w:widowControl/>
              <w:spacing w:line="240" w:lineRule="auto"/>
              <w:ind w:firstLine="0" w:firstLineChars="0"/>
              <w:jc w:val="center"/>
              <w:rPr>
                <w:rFonts w:hint="eastAsia"/>
                <w:b/>
              </w:rPr>
            </w:pPr>
            <w:r>
              <w:rPr>
                <w:rFonts w:hint="eastAsia"/>
                <w:b/>
              </w:rPr>
              <w:t>人员要求</w:t>
            </w:r>
          </w:p>
        </w:tc>
        <w:tc>
          <w:tcPr>
            <w:tcW w:w="1829" w:type="dxa"/>
            <w:shd w:val="clear" w:color="auto" w:fill="auto"/>
            <w:noWrap/>
            <w:vAlign w:val="center"/>
          </w:tcPr>
          <w:p w14:paraId="73856894">
            <w:pPr>
              <w:widowControl/>
              <w:spacing w:line="240" w:lineRule="auto"/>
              <w:ind w:firstLine="0" w:firstLineChars="0"/>
              <w:jc w:val="center"/>
              <w:rPr>
                <w:rFonts w:hint="eastAsia"/>
                <w:b/>
              </w:rPr>
            </w:pPr>
            <w:r>
              <w:rPr>
                <w:rFonts w:hint="eastAsia"/>
                <w:b/>
              </w:rPr>
              <w:t>驻场要求</w:t>
            </w:r>
          </w:p>
        </w:tc>
      </w:tr>
      <w:tr w14:paraId="073D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76BB5908">
            <w:pPr>
              <w:widowControl/>
              <w:spacing w:line="240" w:lineRule="auto"/>
              <w:ind w:firstLine="0" w:firstLineChars="0"/>
              <w:jc w:val="center"/>
              <w:rPr>
                <w:rFonts w:hint="eastAsia"/>
              </w:rPr>
            </w:pPr>
            <w:r>
              <w:rPr>
                <w:rFonts w:hint="eastAsia"/>
              </w:rPr>
              <w:t>技术经理</w:t>
            </w:r>
          </w:p>
        </w:tc>
        <w:tc>
          <w:tcPr>
            <w:tcW w:w="2362" w:type="dxa"/>
            <w:shd w:val="clear" w:color="auto" w:fill="auto"/>
            <w:vAlign w:val="center"/>
          </w:tcPr>
          <w:p w14:paraId="0C53784D">
            <w:pPr>
              <w:widowControl/>
              <w:spacing w:line="240" w:lineRule="auto"/>
              <w:ind w:firstLine="0" w:firstLineChars="0"/>
              <w:jc w:val="center"/>
              <w:rPr>
                <w:rFonts w:hint="eastAsia"/>
              </w:rPr>
            </w:pPr>
            <w:r>
              <w:rPr>
                <w:rFonts w:hint="eastAsia"/>
              </w:rPr>
              <w:t>负责项目质量和进度控制</w:t>
            </w:r>
          </w:p>
        </w:tc>
        <w:tc>
          <w:tcPr>
            <w:tcW w:w="1180" w:type="dxa"/>
            <w:shd w:val="clear" w:color="auto" w:fill="auto"/>
            <w:noWrap/>
            <w:vAlign w:val="center"/>
          </w:tcPr>
          <w:p w14:paraId="793AE721">
            <w:pPr>
              <w:widowControl/>
              <w:spacing w:line="240" w:lineRule="auto"/>
              <w:ind w:firstLine="0" w:firstLineChars="0"/>
              <w:jc w:val="center"/>
              <w:rPr>
                <w:rFonts w:hint="eastAsia"/>
              </w:rPr>
            </w:pPr>
            <w:r>
              <w:rPr>
                <w:rFonts w:hint="eastAsia"/>
              </w:rPr>
              <w:t>1人</w:t>
            </w:r>
          </w:p>
        </w:tc>
        <w:tc>
          <w:tcPr>
            <w:tcW w:w="1741" w:type="dxa"/>
            <w:vAlign w:val="center"/>
          </w:tcPr>
          <w:p w14:paraId="63C1CFED">
            <w:pPr>
              <w:widowControl/>
              <w:spacing w:line="240" w:lineRule="auto"/>
              <w:ind w:firstLine="0" w:firstLineChars="0"/>
              <w:jc w:val="center"/>
              <w:rPr>
                <w:rFonts w:hint="eastAsia"/>
              </w:rPr>
            </w:pPr>
            <w:r>
              <w:rPr>
                <w:rFonts w:hint="eastAsia"/>
              </w:rPr>
              <w:t>具备相关项目管理资质优先考虑</w:t>
            </w:r>
          </w:p>
        </w:tc>
        <w:tc>
          <w:tcPr>
            <w:tcW w:w="1829" w:type="dxa"/>
            <w:shd w:val="clear" w:color="auto" w:fill="auto"/>
            <w:noWrap/>
            <w:vAlign w:val="center"/>
          </w:tcPr>
          <w:p w14:paraId="1D52A984">
            <w:pPr>
              <w:widowControl/>
              <w:spacing w:line="240" w:lineRule="auto"/>
              <w:ind w:firstLine="0" w:firstLineChars="0"/>
              <w:jc w:val="center"/>
              <w:rPr>
                <w:rFonts w:hint="eastAsia"/>
              </w:rPr>
            </w:pPr>
            <w:r>
              <w:rPr>
                <w:rFonts w:hint="eastAsia"/>
              </w:rPr>
              <w:t>不驻场</w:t>
            </w:r>
          </w:p>
        </w:tc>
      </w:tr>
      <w:tr w14:paraId="5085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6DF13572">
            <w:pPr>
              <w:widowControl/>
              <w:spacing w:line="240" w:lineRule="auto"/>
              <w:ind w:firstLine="0" w:firstLineChars="0"/>
              <w:jc w:val="center"/>
              <w:rPr>
                <w:rFonts w:hint="eastAsia"/>
              </w:rPr>
            </w:pPr>
            <w:r>
              <w:rPr>
                <w:rFonts w:hint="eastAsia"/>
              </w:rPr>
              <w:t>技术工程师</w:t>
            </w:r>
          </w:p>
        </w:tc>
        <w:tc>
          <w:tcPr>
            <w:tcW w:w="2362" w:type="dxa"/>
            <w:shd w:val="clear" w:color="auto" w:fill="auto"/>
            <w:noWrap/>
            <w:vAlign w:val="center"/>
          </w:tcPr>
          <w:p w14:paraId="599C52CB">
            <w:pPr>
              <w:widowControl/>
              <w:spacing w:line="240" w:lineRule="auto"/>
              <w:ind w:firstLine="0" w:firstLineChars="0"/>
              <w:jc w:val="center"/>
              <w:rPr>
                <w:rFonts w:hint="eastAsia"/>
              </w:rPr>
            </w:pPr>
            <w:r>
              <w:rPr>
                <w:rFonts w:hint="eastAsia"/>
              </w:rPr>
              <w:t>负责项目运行维护</w:t>
            </w:r>
          </w:p>
        </w:tc>
        <w:tc>
          <w:tcPr>
            <w:tcW w:w="1180" w:type="dxa"/>
            <w:shd w:val="clear" w:color="auto" w:fill="auto"/>
            <w:noWrap/>
            <w:vAlign w:val="center"/>
          </w:tcPr>
          <w:p w14:paraId="5D2123AA">
            <w:pPr>
              <w:widowControl/>
              <w:spacing w:line="240" w:lineRule="auto"/>
              <w:ind w:firstLine="0" w:firstLineChars="0"/>
              <w:jc w:val="center"/>
              <w:rPr>
                <w:rFonts w:hint="eastAsia"/>
              </w:rPr>
            </w:pPr>
            <w:r>
              <w:rPr>
                <w:rFonts w:hint="eastAsia"/>
              </w:rPr>
              <w:t>3人</w:t>
            </w:r>
          </w:p>
        </w:tc>
        <w:tc>
          <w:tcPr>
            <w:tcW w:w="1741" w:type="dxa"/>
            <w:vAlign w:val="center"/>
          </w:tcPr>
          <w:p w14:paraId="5B621C81">
            <w:pPr>
              <w:widowControl/>
              <w:spacing w:line="240" w:lineRule="auto"/>
              <w:ind w:firstLine="0" w:firstLineChars="0"/>
              <w:jc w:val="center"/>
              <w:rPr>
                <w:rFonts w:hint="eastAsia"/>
              </w:rPr>
            </w:pPr>
          </w:p>
        </w:tc>
        <w:tc>
          <w:tcPr>
            <w:tcW w:w="1829" w:type="dxa"/>
            <w:shd w:val="clear" w:color="auto" w:fill="auto"/>
            <w:noWrap/>
            <w:vAlign w:val="center"/>
          </w:tcPr>
          <w:p w14:paraId="5DEC6258">
            <w:pPr>
              <w:widowControl/>
              <w:spacing w:line="240" w:lineRule="auto"/>
              <w:ind w:firstLine="0" w:firstLineChars="0"/>
              <w:jc w:val="center"/>
              <w:rPr>
                <w:rFonts w:hint="eastAsia"/>
              </w:rPr>
            </w:pPr>
            <w:r>
              <w:rPr>
                <w:rFonts w:hint="eastAsia"/>
                <w:lang w:val="en-US" w:eastAsia="zh-CN"/>
              </w:rPr>
              <w:t>质保期1年内</w:t>
            </w:r>
            <w:r>
              <w:rPr>
                <w:rFonts w:hint="eastAsia"/>
              </w:rPr>
              <w:t>驻场</w:t>
            </w:r>
          </w:p>
        </w:tc>
      </w:tr>
      <w:bookmarkEnd w:id="33"/>
    </w:tbl>
    <w:p w14:paraId="33B8D90D">
      <w:pPr>
        <w:pStyle w:val="3"/>
        <w:rPr>
          <w:rFonts w:hint="eastAsia"/>
        </w:rPr>
      </w:pPr>
      <w:bookmarkStart w:id="34" w:name="_Toc63785512"/>
      <w:r>
        <w:rPr>
          <w:rFonts w:hint="eastAsia"/>
        </w:rPr>
        <w:t>网络安全</w:t>
      </w:r>
      <w:r>
        <w:t>要求</w:t>
      </w:r>
    </w:p>
    <w:p w14:paraId="556B95CC">
      <w:pPr>
        <w:widowControl/>
        <w:jc w:val="left"/>
        <w:rPr>
          <w:rFonts w:hint="eastAsia"/>
        </w:rPr>
      </w:pPr>
      <w:r>
        <w:rPr>
          <w:rFonts w:hint="eastAsia" w:cs="宋体"/>
        </w:rPr>
        <w:t>本项目按照信息系统网络安全等级保护三级建设。</w:t>
      </w:r>
      <w:r>
        <w:rPr>
          <w:rFonts w:hint="eastAsia"/>
          <w:lang w:bidi="ar"/>
        </w:rPr>
        <w:t>整体安全管控要求需依据国家相关法律规定标准、国家医疗卫生机构网络安全管理办法、中心网络安全管理制度、个案数据使用管理制度、中心安全稳定工作须知和密评方案落实实施。</w:t>
      </w:r>
      <w:r>
        <w:rPr>
          <w:rFonts w:hint="eastAsia" w:cs="宋体"/>
          <w:lang w:bidi="ar"/>
        </w:rPr>
        <w:t xml:space="preserve"> </w:t>
      </w:r>
    </w:p>
    <w:p w14:paraId="1B5E974B">
      <w:pPr>
        <w:rPr>
          <w:rFonts w:hint="eastAsia" w:cs="宋体"/>
        </w:rPr>
      </w:pPr>
    </w:p>
    <w:p w14:paraId="16DEC61B">
      <w:pPr>
        <w:pStyle w:val="3"/>
        <w:rPr>
          <w:rFonts w:hint="eastAsia"/>
        </w:rPr>
      </w:pPr>
      <w:r>
        <w:rPr>
          <w:rFonts w:hint="eastAsia"/>
        </w:rPr>
        <w:t>商业密码应用需求</w:t>
      </w:r>
    </w:p>
    <w:p w14:paraId="7B62B393">
      <w:pPr>
        <w:rPr>
          <w:rFonts w:hint="eastAsia"/>
        </w:rPr>
      </w:pPr>
      <w:r>
        <w:rPr>
          <w:rFonts w:hint="eastAsia"/>
        </w:rPr>
        <w:t>本项目应按照国家商用密码第三级的相关要求进行建设</w:t>
      </w:r>
      <w:r>
        <w:rPr>
          <w:rFonts w:hint="eastAsia" w:ascii="仿宋_GB2312" w:eastAsia="仿宋_GB2312" w:cs="仿宋_GB2312"/>
          <w:kern w:val="0"/>
          <w:sz w:val="28"/>
          <w:szCs w:val="28"/>
        </w:rPr>
        <w:t>。</w:t>
      </w:r>
    </w:p>
    <w:p w14:paraId="14901055">
      <w:pPr>
        <w:pStyle w:val="3"/>
        <w:rPr>
          <w:rFonts w:hint="eastAsia"/>
        </w:rPr>
      </w:pPr>
      <w:r>
        <w:rPr>
          <w:rFonts w:hint="eastAsia"/>
        </w:rPr>
        <w:t>技术文件要求</w:t>
      </w:r>
    </w:p>
    <w:p w14:paraId="75CF3F27">
      <w:pPr>
        <w:rPr>
          <w:rFonts w:hint="eastAsia"/>
        </w:rPr>
      </w:pPr>
      <w:r>
        <w:rPr>
          <w:rFonts w:hint="eastAsia"/>
        </w:rPr>
        <w:t>投标人提供的书面技术资料应能确保系统正常运行所需的管理、运营及维护有关的全套文件。技术文件应该全面、完整、详细。投标人提供的技术文件至少应包括：</w:t>
      </w:r>
    </w:p>
    <w:p w14:paraId="2AB6B6CD">
      <w:pPr>
        <w:rPr>
          <w:rFonts w:hint="eastAsia"/>
        </w:rPr>
      </w:pPr>
      <w:r>
        <w:rPr>
          <w:rFonts w:hint="eastAsia"/>
        </w:rPr>
        <w:t>－</w:t>
      </w:r>
      <w:r>
        <w:t xml:space="preserve"> 系统说明文件； </w:t>
      </w:r>
    </w:p>
    <w:p w14:paraId="3E8FA539">
      <w:pPr>
        <w:rPr>
          <w:rFonts w:hint="eastAsia"/>
        </w:rPr>
      </w:pPr>
      <w:r>
        <w:rPr>
          <w:rFonts w:hint="eastAsia"/>
        </w:rPr>
        <w:t>－</w:t>
      </w:r>
      <w:r>
        <w:t xml:space="preserve"> 技术手册(安装、测试、操作、维护、故障排除等)； </w:t>
      </w:r>
    </w:p>
    <w:p w14:paraId="27C251E0">
      <w:pPr>
        <w:rPr>
          <w:rFonts w:hint="eastAsia"/>
        </w:rPr>
      </w:pPr>
      <w:r>
        <w:rPr>
          <w:rFonts w:hint="eastAsia"/>
        </w:rPr>
        <w:t>－</w:t>
      </w:r>
      <w:r>
        <w:t xml:space="preserve"> 项目文档，应该包括：</w:t>
      </w:r>
    </w:p>
    <w:p w14:paraId="64CBD3DE">
      <w:pPr>
        <w:numPr>
          <w:ilvl w:val="0"/>
          <w:numId w:val="5"/>
        </w:numPr>
        <w:ind w:left="360"/>
        <w:rPr>
          <w:rFonts w:hint="eastAsia"/>
        </w:rPr>
      </w:pPr>
      <w:r>
        <w:t>软件需求说明书</w:t>
      </w:r>
    </w:p>
    <w:p w14:paraId="7A8BCF26">
      <w:pPr>
        <w:ind w:left="360"/>
        <w:rPr>
          <w:rFonts w:hint="eastAsia"/>
        </w:rPr>
      </w:pPr>
      <w:r>
        <w:t>(2)</w:t>
      </w:r>
      <w:r>
        <w:tab/>
      </w:r>
      <w:r>
        <w:t>系统总体设计说明书</w:t>
      </w:r>
    </w:p>
    <w:p w14:paraId="6096ED66">
      <w:pPr>
        <w:ind w:left="360"/>
        <w:rPr>
          <w:rFonts w:hint="eastAsia"/>
        </w:rPr>
      </w:pPr>
      <w:r>
        <w:t>(3)</w:t>
      </w:r>
      <w:r>
        <w:tab/>
      </w:r>
      <w:r>
        <w:t>应用软件功能清单</w:t>
      </w:r>
    </w:p>
    <w:p w14:paraId="191E40FE">
      <w:pPr>
        <w:rPr>
          <w:rFonts w:hint="eastAsia"/>
        </w:rPr>
      </w:pPr>
      <w:r>
        <w:rPr>
          <w:rFonts w:hint="eastAsia"/>
          <w:lang w:bidi="ar"/>
        </w:rPr>
        <w:t>－招标人提出的其他项目验收文档。</w:t>
      </w:r>
    </w:p>
    <w:p w14:paraId="38B00912">
      <w:pPr>
        <w:rPr>
          <w:rFonts w:hint="eastAsia"/>
          <w:lang w:bidi="ar"/>
        </w:rPr>
      </w:pPr>
      <w:r>
        <w:rPr>
          <w:rFonts w:hint="eastAsia"/>
          <w:lang w:bidi="ar"/>
        </w:rPr>
        <w:t>根据招标人项目验收要求，提供项目验收册纸质5套以上，项目全过程材料1套以及电子文件2套，源代码光盘等。</w:t>
      </w:r>
    </w:p>
    <w:p w14:paraId="5458C53D">
      <w:pPr>
        <w:rPr>
          <w:rFonts w:hint="eastAsia"/>
          <w:lang w:bidi="ar"/>
        </w:rPr>
      </w:pPr>
      <w:r>
        <w:rPr>
          <w:rFonts w:hint="eastAsia"/>
          <w:lang w:bidi="ar"/>
        </w:rPr>
        <w:t>承诺知识产权归采购人所有的优先考虑。</w:t>
      </w:r>
    </w:p>
    <w:p w14:paraId="75F58CBE">
      <w:pPr>
        <w:pStyle w:val="2"/>
        <w:rPr>
          <w:rFonts w:hint="eastAsia"/>
        </w:rPr>
      </w:pPr>
      <w:r>
        <w:rPr>
          <w:rFonts w:hint="eastAsia"/>
        </w:rPr>
        <w:t>供应商能力要求</w:t>
      </w:r>
    </w:p>
    <w:p w14:paraId="715DC321">
      <w:pPr>
        <w:rPr>
          <w:rFonts w:hint="eastAsia"/>
        </w:rPr>
      </w:pPr>
      <w:r>
        <w:rPr>
          <w:rFonts w:hint="eastAsia"/>
        </w:rPr>
        <w:t>供应商具有软件企业证书、ISO9001质量管理体系认证证书、ISO20000信息服务管理体系认证证书、ISO27001信息安全管理体系认证证书、CCRC信息安全服务资质认证证书优先考虑。</w:t>
      </w:r>
    </w:p>
    <w:p w14:paraId="3513CD3D">
      <w:pPr>
        <w:pStyle w:val="2"/>
        <w:rPr>
          <w:rFonts w:hint="eastAsia"/>
        </w:rPr>
      </w:pPr>
      <w:r>
        <w:rPr>
          <w:rFonts w:hint="eastAsia"/>
        </w:rPr>
        <w:t>供应商管理要求</w:t>
      </w:r>
      <w:bookmarkEnd w:id="34"/>
    </w:p>
    <w:p w14:paraId="53B56790">
      <w:pPr>
        <w:pStyle w:val="80"/>
        <w:ind w:firstLine="480"/>
        <w:rPr>
          <w:rFonts w:hint="eastAsia"/>
          <w:sz w:val="24"/>
          <w:szCs w:val="24"/>
        </w:rPr>
      </w:pPr>
      <w:r>
        <w:rPr>
          <w:rFonts w:hint="eastAsia"/>
          <w:sz w:val="24"/>
          <w:szCs w:val="24"/>
        </w:rPr>
        <w:t>1.在项目实施期间，中标人应严格执行国家、地方、行业有关本项目业务管理和安全作业的法律、法规和制度并按规定承担相应的费用。中标人因违反规定等原因造成的一切损失和责任由中标人自行承担。</w:t>
      </w:r>
    </w:p>
    <w:p w14:paraId="7152E74F">
      <w:pPr>
        <w:pStyle w:val="80"/>
        <w:ind w:firstLine="480"/>
        <w:rPr>
          <w:rFonts w:hint="eastAsia"/>
          <w:sz w:val="24"/>
          <w:szCs w:val="24"/>
        </w:rPr>
      </w:pPr>
      <w:r>
        <w:rPr>
          <w:rFonts w:hint="eastAsia"/>
          <w:sz w:val="24"/>
          <w:szCs w:val="24"/>
        </w:rPr>
        <w:t>2.中标人在投标书中承诺并经招标人认定的项目负责人及专业技术人员必须是本单位职工（在本单位缴纳社会保障金）和该项目实施现场的实际操作者，应具有类似本项目的实施经验，并应在软件应用调研、安装、试运行等期间常驻项目现场。未经采购人同意，中标人不得调换或撤离上述人员。如采购人认为有必要，可要求中标人对上述人员中的部分人员作出更好的调整。</w:t>
      </w:r>
    </w:p>
    <w:p w14:paraId="1480C666">
      <w:pPr>
        <w:pStyle w:val="80"/>
        <w:ind w:firstLine="480"/>
        <w:rPr>
          <w:rFonts w:hint="eastAsia"/>
          <w:sz w:val="24"/>
          <w:szCs w:val="24"/>
        </w:rPr>
      </w:pPr>
      <w:r>
        <w:rPr>
          <w:rFonts w:hint="eastAsia"/>
          <w:sz w:val="24"/>
          <w:szCs w:val="24"/>
        </w:rPr>
        <w:t>3.中标人在项目实施期间，应按项目实际进度与环节落实所对应项目整体及各环节管理工作，按照规范做好项目实施期间相关管理与实施记录。</w:t>
      </w:r>
    </w:p>
    <w:p w14:paraId="2B4804E8">
      <w:pPr>
        <w:pStyle w:val="80"/>
        <w:ind w:firstLine="480"/>
        <w:rPr>
          <w:rFonts w:hint="eastAsia"/>
          <w:sz w:val="24"/>
          <w:szCs w:val="24"/>
        </w:rPr>
      </w:pPr>
      <w:r>
        <w:rPr>
          <w:rFonts w:hint="eastAsia"/>
          <w:sz w:val="24"/>
          <w:szCs w:val="24"/>
        </w:rPr>
        <w:t>4.参与本项目的工作人员应严格遵循采购人的安全制度，保障采购人资料和设备的安全。中标方如需进入采购人机房工作，只能在采购人规定的工作区域内对项目涉及的设备进行操作，严禁触动与项目无关的任何设备（包括任何操作行为），如需跨区操作必须得到采购人项目联系人确认。</w:t>
      </w:r>
    </w:p>
    <w:p w14:paraId="04F1078F">
      <w:pPr>
        <w:pStyle w:val="80"/>
        <w:ind w:firstLine="480"/>
        <w:rPr>
          <w:rFonts w:hint="eastAsia"/>
          <w:sz w:val="24"/>
          <w:szCs w:val="24"/>
        </w:rPr>
      </w:pPr>
      <w:r>
        <w:rPr>
          <w:rFonts w:hint="eastAsia"/>
          <w:sz w:val="24"/>
          <w:szCs w:val="24"/>
        </w:rPr>
        <w:t>5.中标人在项目实施期间必须遵守采购人的规章制度并提供实施人员名单。</w:t>
      </w:r>
    </w:p>
    <w:p w14:paraId="2DBBB32C">
      <w:pPr>
        <w:pStyle w:val="80"/>
        <w:ind w:firstLine="480"/>
        <w:rPr>
          <w:rFonts w:hint="eastAsia"/>
          <w:sz w:val="24"/>
          <w:szCs w:val="24"/>
        </w:rPr>
      </w:pPr>
      <w:r>
        <w:rPr>
          <w:rFonts w:hint="eastAsia"/>
          <w:sz w:val="24"/>
          <w:szCs w:val="24"/>
        </w:rPr>
        <w:t>6.各投标人在投标文件中要结合本项目的特点和采购人上述的具体要求制定相应的管理措施，并在报价中列支相应的费用清单，投标人报价中未列支上述费用清单的，上述费用视为已包含在投标人的投标总报价中。</w:t>
      </w:r>
    </w:p>
    <w:p w14:paraId="14D557A2">
      <w:pPr>
        <w:pStyle w:val="80"/>
        <w:ind w:firstLine="480"/>
        <w:rPr>
          <w:rFonts w:hint="eastAsia"/>
          <w:sz w:val="24"/>
          <w:szCs w:val="24"/>
        </w:rPr>
      </w:pPr>
      <w:r>
        <w:rPr>
          <w:rFonts w:hint="eastAsia"/>
          <w:sz w:val="24"/>
          <w:szCs w:val="24"/>
        </w:rPr>
        <w:t>7.本项目软件开发及调试将纳入采购人的管理范围，中标人在此过程中须服从上述单位的管理协调。</w:t>
      </w:r>
    </w:p>
    <w:p w14:paraId="51C14F3D">
      <w:pPr>
        <w:ind w:firstLine="0" w:firstLineChars="0"/>
        <w:jc w:val="left"/>
        <w:rPr>
          <w:rFonts w:hint="eastAsia"/>
          <w:b/>
          <w:bCs/>
        </w:rPr>
      </w:pPr>
    </w:p>
    <w:sectPr>
      <w:footerReference r:id="rId11" w:type="first"/>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003F01FF" w:csb1="00000000"/>
  </w:font>
  <w:font w:name="等线 Light">
    <w:altName w:val="汉仪中宋简"/>
    <w:panose1 w:val="02010600030101010101"/>
    <w:charset w:val="86"/>
    <w:family w:val="auto"/>
    <w:pitch w:val="default"/>
    <w:sig w:usb0="00000000" w:usb1="00000000" w:usb2="00000016" w:usb3="00000000" w:csb0="0004000F" w:csb1="00000000"/>
  </w:font>
  <w:font w:name="time">
    <w:altName w:val="思源宋体"/>
    <w:panose1 w:val="00000000000000000000"/>
    <w:charset w:val="00"/>
    <w:family w:val="roman"/>
    <w:pitch w:val="default"/>
    <w:sig w:usb0="00000000" w:usb1="00000000" w:usb2="00000000" w:usb3="00000000" w:csb0="00040001" w:csb1="00000000"/>
  </w:font>
  <w:font w:name="思源宋体">
    <w:panose1 w:val="02020400000000000000"/>
    <w:charset w:val="86"/>
    <w:family w:val="auto"/>
    <w:pitch w:val="default"/>
    <w:sig w:usb0="30000083" w:usb1="2BDF3C10" w:usb2="00000016" w:usb3="00000000" w:csb0="602E0107"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Microsoft Sans Serif">
    <w:altName w:val="Liberation Sans"/>
    <w:panose1 w:val="020B0604020202020204"/>
    <w:charset w:val="00"/>
    <w:family w:val="swiss"/>
    <w:pitch w:val="default"/>
    <w:sig w:usb0="00000000" w:usb1="00000000" w:usb2="00000029" w:usb3="00000000" w:csb0="000101FF" w:csb1="00000000"/>
  </w:font>
  <w:font w:name="Liberation Sans">
    <w:panose1 w:val="020B0604020202020204"/>
    <w:charset w:val="00"/>
    <w:family w:val="auto"/>
    <w:pitch w:val="default"/>
    <w:sig w:usb0="A00002AF" w:usb1="5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41DF5">
    <w:pPr>
      <w:ind w:firstLine="0" w:firstLineChars="0"/>
      <w:jc w:val="center"/>
      <w:rPr>
        <w:rFonts w:hint="eastAsia"/>
      </w:rPr>
    </w:pPr>
    <w:r>
      <w:fldChar w:fldCharType="begin"/>
    </w:r>
    <w:r>
      <w:instrText xml:space="preserve">PAGE   \* MERGEFORMAT</w:instrText>
    </w:r>
    <w:r>
      <w:fldChar w:fldCharType="separate"/>
    </w:r>
    <w:r>
      <w:rPr>
        <w:lang w:val="zh-CN"/>
      </w:rPr>
      <w:t>20</w:t>
    </w:r>
    <w:r>
      <w:rPr>
        <w:lang w:val="zh-CN"/>
      </w:rPr>
      <w:fldChar w:fldCharType="end"/>
    </w:r>
  </w:p>
  <w:p w14:paraId="353E1A38">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3D082">
    <w:pPr>
      <w:rPr>
        <w:rFonts w:hint="eastAsia"/>
      </w:rPr>
    </w:pPr>
  </w:p>
  <w:p w14:paraId="4882CF1D">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A7E0">
    <w:pPr>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A96F9">
    <w:pPr>
      <w:ind w:firstLine="0" w:firstLineChars="0"/>
      <w:jc w:val="center"/>
      <w:rPr>
        <w:rFonts w:hint="eastAsia"/>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14:paraId="528E824F">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67E3">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60EC">
    <w:pPr>
      <w:rPr>
        <w:rFonts w:hint="eastAsia"/>
      </w:rPr>
    </w:pPr>
  </w:p>
  <w:p w14:paraId="621A0DD5">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460D">
    <w:pPr>
      <w:pStyle w:val="2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3E53C"/>
    <w:multiLevelType w:val="singleLevel"/>
    <w:tmpl w:val="FFD3E53C"/>
    <w:lvl w:ilvl="0" w:tentative="0">
      <w:start w:val="1"/>
      <w:numFmt w:val="decimal"/>
      <w:suff w:val="space"/>
      <w:lvlText w:val="(%1)"/>
      <w:lvlJc w:val="left"/>
    </w:lvl>
  </w:abstractNum>
  <w:abstractNum w:abstractNumId="1">
    <w:nsid w:val="04001455"/>
    <w:multiLevelType w:val="multilevel"/>
    <w:tmpl w:val="04001455"/>
    <w:lvl w:ilvl="0" w:tentative="0">
      <w:start w:val="1"/>
      <w:numFmt w:val="chineseCountingThousand"/>
      <w:lvlText w:val="第%1章"/>
      <w:lvlJc w:val="left"/>
      <w:pPr>
        <w:ind w:left="432" w:hanging="432"/>
      </w:pPr>
      <w:rPr>
        <w:rFonts w:hint="eastAsia"/>
      </w:rPr>
    </w:lvl>
    <w:lvl w:ilvl="1" w:tentative="0">
      <w:start w:val="1"/>
      <w:numFmt w:val="decimal"/>
      <w:isLgl/>
      <w:lvlText w:val="%1.%2"/>
      <w:lvlJc w:val="left"/>
      <w:pPr>
        <w:ind w:left="576" w:hanging="576"/>
      </w:pPr>
      <w:rPr>
        <w:rFonts w:hint="eastAsia"/>
      </w:rPr>
    </w:lvl>
    <w:lvl w:ilvl="2" w:tentative="0">
      <w:start w:val="1"/>
      <w:numFmt w:val="decimal"/>
      <w:isLgl/>
      <w:lvlText w:val="%1.%2.%3"/>
      <w:lvlJc w:val="left"/>
      <w:pPr>
        <w:ind w:left="1287" w:hanging="720"/>
      </w:pPr>
      <w:rPr>
        <w:rFonts w:hint="eastAsia"/>
      </w:rPr>
    </w:lvl>
    <w:lvl w:ilvl="3" w:tentative="0">
      <w:start w:val="1"/>
      <w:numFmt w:val="decimal"/>
      <w:isLgl/>
      <w:lvlText w:val="%1.%2.%3.%4"/>
      <w:lvlJc w:val="left"/>
      <w:pPr>
        <w:ind w:left="1572" w:hanging="864"/>
      </w:pPr>
      <w:rPr>
        <w:rFonts w:hint="eastAsia"/>
      </w:rPr>
    </w:lvl>
    <w:lvl w:ilvl="4" w:tentative="0">
      <w:start w:val="1"/>
      <w:numFmt w:val="decimal"/>
      <w:pStyle w:val="136"/>
      <w:isLgl/>
      <w:lvlText w:val="%1.%2.%3.%4.%5"/>
      <w:lvlJc w:val="left"/>
      <w:pPr>
        <w:ind w:left="1008" w:hanging="1008"/>
      </w:pPr>
      <w:rPr>
        <w:rFonts w:hint="eastAsia"/>
      </w:rPr>
    </w:lvl>
    <w:lvl w:ilvl="5" w:tentative="0">
      <w:start w:val="1"/>
      <w:numFmt w:val="decimal"/>
      <w:isLgl/>
      <w:lvlText w:val="%1.%2.%3.%4.%5.%6"/>
      <w:lvlJc w:val="left"/>
      <w:pPr>
        <w:ind w:left="4554" w:hanging="1152"/>
      </w:pPr>
      <w:rPr>
        <w:rFonts w:hint="eastAsia"/>
      </w:rPr>
    </w:lvl>
    <w:lvl w:ilvl="6" w:tentative="0">
      <w:start w:val="1"/>
      <w:numFmt w:val="decimal"/>
      <w:isLgl/>
      <w:lvlText w:val="%1.%2.%3.%4.%5.%6.%7"/>
      <w:lvlJc w:val="left"/>
      <w:pPr>
        <w:ind w:left="2004"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6350366A"/>
    <w:multiLevelType w:val="multilevel"/>
    <w:tmpl w:val="6350366A"/>
    <w:lvl w:ilvl="0" w:tentative="0">
      <w:start w:val="1"/>
      <w:numFmt w:val="none"/>
      <w:pStyle w:val="11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135" w:hanging="567"/>
      </w:pPr>
    </w:lvl>
    <w:lvl w:ilvl="2" w:tentative="0">
      <w:start w:val="1"/>
      <w:numFmt w:val="decimal"/>
      <w:pStyle w:val="4"/>
      <w:isLgl/>
      <w:suff w:val="nothing"/>
      <w:lvlText w:val="%1.%2.%3、"/>
      <w:lvlJc w:val="left"/>
      <w:pPr>
        <w:ind w:left="1069" w:hanging="1069"/>
      </w:pPr>
      <w:rPr>
        <w:rFonts w:hint="default" w:ascii="宋体" w:hAnsi="宋体" w:eastAsia="宋体" w:cs="Arial"/>
      </w:rPr>
    </w:lvl>
    <w:lvl w:ilvl="3" w:tentative="0">
      <w:start w:val="1"/>
      <w:numFmt w:val="decimal"/>
      <w:pStyle w:val="5"/>
      <w:isLgl/>
      <w:suff w:val="nothing"/>
      <w:lvlText w:val="%1.%2.%3.%4、"/>
      <w:lvlJc w:val="left"/>
      <w:pPr>
        <w:ind w:left="3403" w:hanging="851"/>
      </w:pPr>
    </w:lvl>
    <w:lvl w:ilvl="4" w:tentative="0">
      <w:start w:val="1"/>
      <w:numFmt w:val="decimal"/>
      <w:pStyle w:val="6"/>
      <w:isLgl/>
      <w:suff w:val="nothing"/>
      <w:lvlText w:val="%1.%2.%3.%4.%5、"/>
      <w:lvlJc w:val="left"/>
      <w:pPr>
        <w:ind w:left="3544" w:hanging="992"/>
      </w:pPr>
      <w:rPr>
        <w:rFonts w:hint="eastAsia"/>
      </w:rPr>
    </w:lvl>
    <w:lvl w:ilvl="5" w:tentative="0">
      <w:start w:val="1"/>
      <w:numFmt w:val="decimal"/>
      <w:pStyle w:val="7"/>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6F15F57C"/>
    <w:multiLevelType w:val="singleLevel"/>
    <w:tmpl w:val="6F15F57C"/>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MTcyOTAwYTViNTYwMjdjZjIwZGJjMjgwNTJmOGUifQ=="/>
  </w:docVars>
  <w:rsids>
    <w:rsidRoot w:val="006910C0"/>
    <w:rsid w:val="0000005A"/>
    <w:rsid w:val="00000AED"/>
    <w:rsid w:val="00003516"/>
    <w:rsid w:val="0000380E"/>
    <w:rsid w:val="00005AFD"/>
    <w:rsid w:val="00006563"/>
    <w:rsid w:val="000074F1"/>
    <w:rsid w:val="00007A41"/>
    <w:rsid w:val="00007DA7"/>
    <w:rsid w:val="00010660"/>
    <w:rsid w:val="00012EF0"/>
    <w:rsid w:val="000156DE"/>
    <w:rsid w:val="000165AD"/>
    <w:rsid w:val="000174E9"/>
    <w:rsid w:val="000179E9"/>
    <w:rsid w:val="00020C18"/>
    <w:rsid w:val="00021EE6"/>
    <w:rsid w:val="0002280E"/>
    <w:rsid w:val="00022C74"/>
    <w:rsid w:val="00025122"/>
    <w:rsid w:val="000252D5"/>
    <w:rsid w:val="00026997"/>
    <w:rsid w:val="00027A64"/>
    <w:rsid w:val="00032D27"/>
    <w:rsid w:val="00035325"/>
    <w:rsid w:val="00035D5B"/>
    <w:rsid w:val="000378D0"/>
    <w:rsid w:val="00037F2C"/>
    <w:rsid w:val="00042C2A"/>
    <w:rsid w:val="000430EC"/>
    <w:rsid w:val="000447CB"/>
    <w:rsid w:val="00047915"/>
    <w:rsid w:val="00047D06"/>
    <w:rsid w:val="00050FBD"/>
    <w:rsid w:val="0005107A"/>
    <w:rsid w:val="0005192C"/>
    <w:rsid w:val="00052929"/>
    <w:rsid w:val="0005299F"/>
    <w:rsid w:val="000541D7"/>
    <w:rsid w:val="000545C0"/>
    <w:rsid w:val="0005586D"/>
    <w:rsid w:val="00056C0E"/>
    <w:rsid w:val="000574A8"/>
    <w:rsid w:val="000574F8"/>
    <w:rsid w:val="00057A49"/>
    <w:rsid w:val="0006231F"/>
    <w:rsid w:val="00062A05"/>
    <w:rsid w:val="00062EE6"/>
    <w:rsid w:val="0006344E"/>
    <w:rsid w:val="000649E6"/>
    <w:rsid w:val="0006794B"/>
    <w:rsid w:val="00067DCA"/>
    <w:rsid w:val="00070063"/>
    <w:rsid w:val="0007087A"/>
    <w:rsid w:val="000710EC"/>
    <w:rsid w:val="00072237"/>
    <w:rsid w:val="00072ABE"/>
    <w:rsid w:val="00080B39"/>
    <w:rsid w:val="00083950"/>
    <w:rsid w:val="0008452F"/>
    <w:rsid w:val="00084E8E"/>
    <w:rsid w:val="00085A68"/>
    <w:rsid w:val="00086B7C"/>
    <w:rsid w:val="00090625"/>
    <w:rsid w:val="00090948"/>
    <w:rsid w:val="000916EA"/>
    <w:rsid w:val="00091CD1"/>
    <w:rsid w:val="0009460E"/>
    <w:rsid w:val="000951D4"/>
    <w:rsid w:val="000A2146"/>
    <w:rsid w:val="000A2930"/>
    <w:rsid w:val="000A3276"/>
    <w:rsid w:val="000A3C35"/>
    <w:rsid w:val="000A3E30"/>
    <w:rsid w:val="000A5876"/>
    <w:rsid w:val="000A61D0"/>
    <w:rsid w:val="000A6C67"/>
    <w:rsid w:val="000A6DB8"/>
    <w:rsid w:val="000A7596"/>
    <w:rsid w:val="000B11A8"/>
    <w:rsid w:val="000B1959"/>
    <w:rsid w:val="000B2E1C"/>
    <w:rsid w:val="000B4459"/>
    <w:rsid w:val="000B4B46"/>
    <w:rsid w:val="000B5363"/>
    <w:rsid w:val="000B53BA"/>
    <w:rsid w:val="000B642F"/>
    <w:rsid w:val="000B6C99"/>
    <w:rsid w:val="000B7064"/>
    <w:rsid w:val="000C2EA0"/>
    <w:rsid w:val="000C3F3C"/>
    <w:rsid w:val="000C5A75"/>
    <w:rsid w:val="000C75F7"/>
    <w:rsid w:val="000D0AB2"/>
    <w:rsid w:val="000D225C"/>
    <w:rsid w:val="000D36F2"/>
    <w:rsid w:val="000D4B26"/>
    <w:rsid w:val="000D74DB"/>
    <w:rsid w:val="000E24D6"/>
    <w:rsid w:val="000E6072"/>
    <w:rsid w:val="000E6D61"/>
    <w:rsid w:val="000E7A23"/>
    <w:rsid w:val="000F1C29"/>
    <w:rsid w:val="000F1E9E"/>
    <w:rsid w:val="000F2B10"/>
    <w:rsid w:val="000F3F72"/>
    <w:rsid w:val="001055B2"/>
    <w:rsid w:val="001068F0"/>
    <w:rsid w:val="00106AB8"/>
    <w:rsid w:val="00106C9E"/>
    <w:rsid w:val="00106E16"/>
    <w:rsid w:val="0010768B"/>
    <w:rsid w:val="00111701"/>
    <w:rsid w:val="00112A29"/>
    <w:rsid w:val="0011581E"/>
    <w:rsid w:val="001167F6"/>
    <w:rsid w:val="00116C86"/>
    <w:rsid w:val="00121ACF"/>
    <w:rsid w:val="00121D8F"/>
    <w:rsid w:val="00122037"/>
    <w:rsid w:val="0012210C"/>
    <w:rsid w:val="00122A7F"/>
    <w:rsid w:val="00123F98"/>
    <w:rsid w:val="001242A5"/>
    <w:rsid w:val="00124531"/>
    <w:rsid w:val="00124C13"/>
    <w:rsid w:val="00126EDF"/>
    <w:rsid w:val="00127BBE"/>
    <w:rsid w:val="00131D52"/>
    <w:rsid w:val="001329C1"/>
    <w:rsid w:val="00132C16"/>
    <w:rsid w:val="00136320"/>
    <w:rsid w:val="00136FFA"/>
    <w:rsid w:val="00137AC6"/>
    <w:rsid w:val="00145512"/>
    <w:rsid w:val="001465BD"/>
    <w:rsid w:val="00147B45"/>
    <w:rsid w:val="00150803"/>
    <w:rsid w:val="00151D83"/>
    <w:rsid w:val="001546C9"/>
    <w:rsid w:val="00154FAE"/>
    <w:rsid w:val="00155E77"/>
    <w:rsid w:val="00156A70"/>
    <w:rsid w:val="00160A61"/>
    <w:rsid w:val="00160FC0"/>
    <w:rsid w:val="0016429B"/>
    <w:rsid w:val="00164525"/>
    <w:rsid w:val="00164C50"/>
    <w:rsid w:val="00165CB2"/>
    <w:rsid w:val="00166203"/>
    <w:rsid w:val="00166767"/>
    <w:rsid w:val="001707CB"/>
    <w:rsid w:val="00171477"/>
    <w:rsid w:val="00172A1A"/>
    <w:rsid w:val="00173251"/>
    <w:rsid w:val="00176BED"/>
    <w:rsid w:val="0017759D"/>
    <w:rsid w:val="001804A5"/>
    <w:rsid w:val="00181C94"/>
    <w:rsid w:val="00182C84"/>
    <w:rsid w:val="00186AA2"/>
    <w:rsid w:val="00187031"/>
    <w:rsid w:val="00191EA4"/>
    <w:rsid w:val="00192B6C"/>
    <w:rsid w:val="00192C30"/>
    <w:rsid w:val="0019381E"/>
    <w:rsid w:val="00194CF5"/>
    <w:rsid w:val="0019503C"/>
    <w:rsid w:val="00195D94"/>
    <w:rsid w:val="00196F7B"/>
    <w:rsid w:val="001971CB"/>
    <w:rsid w:val="0019795C"/>
    <w:rsid w:val="001A053A"/>
    <w:rsid w:val="001A22A2"/>
    <w:rsid w:val="001A2971"/>
    <w:rsid w:val="001A3D52"/>
    <w:rsid w:val="001A460A"/>
    <w:rsid w:val="001A4A4C"/>
    <w:rsid w:val="001A75B0"/>
    <w:rsid w:val="001B0230"/>
    <w:rsid w:val="001B13AB"/>
    <w:rsid w:val="001B3907"/>
    <w:rsid w:val="001B3B49"/>
    <w:rsid w:val="001B4907"/>
    <w:rsid w:val="001B4DC5"/>
    <w:rsid w:val="001B5505"/>
    <w:rsid w:val="001C2180"/>
    <w:rsid w:val="001C29CC"/>
    <w:rsid w:val="001C3217"/>
    <w:rsid w:val="001C3B98"/>
    <w:rsid w:val="001C6028"/>
    <w:rsid w:val="001C6365"/>
    <w:rsid w:val="001C7F57"/>
    <w:rsid w:val="001D0E79"/>
    <w:rsid w:val="001D6049"/>
    <w:rsid w:val="001D7339"/>
    <w:rsid w:val="001E2750"/>
    <w:rsid w:val="001E4343"/>
    <w:rsid w:val="001E52BB"/>
    <w:rsid w:val="001E660A"/>
    <w:rsid w:val="001F05D6"/>
    <w:rsid w:val="001F5B0A"/>
    <w:rsid w:val="001F640F"/>
    <w:rsid w:val="001F6794"/>
    <w:rsid w:val="001F6F65"/>
    <w:rsid w:val="002002DF"/>
    <w:rsid w:val="00203A6F"/>
    <w:rsid w:val="00205646"/>
    <w:rsid w:val="002063F7"/>
    <w:rsid w:val="002129E5"/>
    <w:rsid w:val="00212AA4"/>
    <w:rsid w:val="00212E13"/>
    <w:rsid w:val="002163C8"/>
    <w:rsid w:val="002179FE"/>
    <w:rsid w:val="00220CC0"/>
    <w:rsid w:val="00221A36"/>
    <w:rsid w:val="00223296"/>
    <w:rsid w:val="0022329B"/>
    <w:rsid w:val="002240F7"/>
    <w:rsid w:val="0022486F"/>
    <w:rsid w:val="00225314"/>
    <w:rsid w:val="00225DF4"/>
    <w:rsid w:val="00226C70"/>
    <w:rsid w:val="00230C8A"/>
    <w:rsid w:val="00231F98"/>
    <w:rsid w:val="002324F8"/>
    <w:rsid w:val="002348B0"/>
    <w:rsid w:val="00235CDC"/>
    <w:rsid w:val="00237E76"/>
    <w:rsid w:val="00240BBE"/>
    <w:rsid w:val="00241525"/>
    <w:rsid w:val="00241D87"/>
    <w:rsid w:val="00243C55"/>
    <w:rsid w:val="00243D5E"/>
    <w:rsid w:val="002451EC"/>
    <w:rsid w:val="00245ED4"/>
    <w:rsid w:val="00246B41"/>
    <w:rsid w:val="0025002B"/>
    <w:rsid w:val="002500DE"/>
    <w:rsid w:val="00252457"/>
    <w:rsid w:val="00252581"/>
    <w:rsid w:val="002535B5"/>
    <w:rsid w:val="002538CB"/>
    <w:rsid w:val="002542BD"/>
    <w:rsid w:val="0025774E"/>
    <w:rsid w:val="00257D64"/>
    <w:rsid w:val="0026340A"/>
    <w:rsid w:val="002654EA"/>
    <w:rsid w:val="002704EA"/>
    <w:rsid w:val="0027061A"/>
    <w:rsid w:val="002719CC"/>
    <w:rsid w:val="002730C5"/>
    <w:rsid w:val="0027337C"/>
    <w:rsid w:val="0027602B"/>
    <w:rsid w:val="00277F5E"/>
    <w:rsid w:val="00280084"/>
    <w:rsid w:val="00280490"/>
    <w:rsid w:val="0028509C"/>
    <w:rsid w:val="002860B8"/>
    <w:rsid w:val="00290F34"/>
    <w:rsid w:val="0029206E"/>
    <w:rsid w:val="00293382"/>
    <w:rsid w:val="00294F51"/>
    <w:rsid w:val="002A2342"/>
    <w:rsid w:val="002A279E"/>
    <w:rsid w:val="002A4FA3"/>
    <w:rsid w:val="002B3606"/>
    <w:rsid w:val="002B3D80"/>
    <w:rsid w:val="002B4402"/>
    <w:rsid w:val="002B4946"/>
    <w:rsid w:val="002B4BE8"/>
    <w:rsid w:val="002B4C41"/>
    <w:rsid w:val="002B588D"/>
    <w:rsid w:val="002C1839"/>
    <w:rsid w:val="002C214A"/>
    <w:rsid w:val="002C28E8"/>
    <w:rsid w:val="002C3027"/>
    <w:rsid w:val="002C674D"/>
    <w:rsid w:val="002C7648"/>
    <w:rsid w:val="002C7DC4"/>
    <w:rsid w:val="002D0821"/>
    <w:rsid w:val="002D1929"/>
    <w:rsid w:val="002D1B73"/>
    <w:rsid w:val="002D3CB0"/>
    <w:rsid w:val="002D4800"/>
    <w:rsid w:val="002D5B21"/>
    <w:rsid w:val="002D6F6D"/>
    <w:rsid w:val="002E1FE6"/>
    <w:rsid w:val="002E2EA7"/>
    <w:rsid w:val="002E36D2"/>
    <w:rsid w:val="002E748B"/>
    <w:rsid w:val="002F2002"/>
    <w:rsid w:val="002F335D"/>
    <w:rsid w:val="002F4E32"/>
    <w:rsid w:val="002F503F"/>
    <w:rsid w:val="002F51DD"/>
    <w:rsid w:val="002F5D08"/>
    <w:rsid w:val="002F6895"/>
    <w:rsid w:val="002F6D13"/>
    <w:rsid w:val="00303723"/>
    <w:rsid w:val="003038D3"/>
    <w:rsid w:val="003049C7"/>
    <w:rsid w:val="00305F0E"/>
    <w:rsid w:val="0030667A"/>
    <w:rsid w:val="003106DE"/>
    <w:rsid w:val="00311530"/>
    <w:rsid w:val="00312D31"/>
    <w:rsid w:val="00315216"/>
    <w:rsid w:val="0031691C"/>
    <w:rsid w:val="00317AEF"/>
    <w:rsid w:val="00317F49"/>
    <w:rsid w:val="0032089B"/>
    <w:rsid w:val="00323450"/>
    <w:rsid w:val="00323D93"/>
    <w:rsid w:val="0032489B"/>
    <w:rsid w:val="0032525B"/>
    <w:rsid w:val="00326A7A"/>
    <w:rsid w:val="00326FEE"/>
    <w:rsid w:val="003315D7"/>
    <w:rsid w:val="00332177"/>
    <w:rsid w:val="00334DE6"/>
    <w:rsid w:val="0033536D"/>
    <w:rsid w:val="003353FF"/>
    <w:rsid w:val="0033600F"/>
    <w:rsid w:val="003366D2"/>
    <w:rsid w:val="00337C79"/>
    <w:rsid w:val="00337FEF"/>
    <w:rsid w:val="0034084C"/>
    <w:rsid w:val="00340D5E"/>
    <w:rsid w:val="003420B5"/>
    <w:rsid w:val="00343646"/>
    <w:rsid w:val="00344CCB"/>
    <w:rsid w:val="00345897"/>
    <w:rsid w:val="00351BFC"/>
    <w:rsid w:val="0035575E"/>
    <w:rsid w:val="003565B4"/>
    <w:rsid w:val="00362E75"/>
    <w:rsid w:val="003631AA"/>
    <w:rsid w:val="003632D5"/>
    <w:rsid w:val="00363575"/>
    <w:rsid w:val="00364EF9"/>
    <w:rsid w:val="00367579"/>
    <w:rsid w:val="0036795B"/>
    <w:rsid w:val="00370A29"/>
    <w:rsid w:val="003722F9"/>
    <w:rsid w:val="00372349"/>
    <w:rsid w:val="00372CBC"/>
    <w:rsid w:val="00373126"/>
    <w:rsid w:val="00373A61"/>
    <w:rsid w:val="0037451D"/>
    <w:rsid w:val="00374BDE"/>
    <w:rsid w:val="00376B39"/>
    <w:rsid w:val="003772C0"/>
    <w:rsid w:val="00377BAC"/>
    <w:rsid w:val="00380142"/>
    <w:rsid w:val="00380558"/>
    <w:rsid w:val="00381D3C"/>
    <w:rsid w:val="0038223E"/>
    <w:rsid w:val="00382D92"/>
    <w:rsid w:val="00385AEF"/>
    <w:rsid w:val="003860EA"/>
    <w:rsid w:val="0038781A"/>
    <w:rsid w:val="0039080B"/>
    <w:rsid w:val="0039326E"/>
    <w:rsid w:val="00394E22"/>
    <w:rsid w:val="003967A4"/>
    <w:rsid w:val="00397FA3"/>
    <w:rsid w:val="003A1596"/>
    <w:rsid w:val="003A317E"/>
    <w:rsid w:val="003A345B"/>
    <w:rsid w:val="003A49EE"/>
    <w:rsid w:val="003A674D"/>
    <w:rsid w:val="003A7123"/>
    <w:rsid w:val="003B102E"/>
    <w:rsid w:val="003B2167"/>
    <w:rsid w:val="003B5F5D"/>
    <w:rsid w:val="003B62C8"/>
    <w:rsid w:val="003B7A0A"/>
    <w:rsid w:val="003C0C62"/>
    <w:rsid w:val="003C12DC"/>
    <w:rsid w:val="003C2CDA"/>
    <w:rsid w:val="003D000A"/>
    <w:rsid w:val="003D31E9"/>
    <w:rsid w:val="003D544E"/>
    <w:rsid w:val="003D5980"/>
    <w:rsid w:val="003E0842"/>
    <w:rsid w:val="003E13B0"/>
    <w:rsid w:val="003E2580"/>
    <w:rsid w:val="003E3DEE"/>
    <w:rsid w:val="003E3EBB"/>
    <w:rsid w:val="003E4A4C"/>
    <w:rsid w:val="003E4CBA"/>
    <w:rsid w:val="003E4D2F"/>
    <w:rsid w:val="003E4EDC"/>
    <w:rsid w:val="003E599D"/>
    <w:rsid w:val="003E5C81"/>
    <w:rsid w:val="003E6965"/>
    <w:rsid w:val="003F00E8"/>
    <w:rsid w:val="003F1936"/>
    <w:rsid w:val="003F1BDD"/>
    <w:rsid w:val="003F3BA3"/>
    <w:rsid w:val="003F3BD5"/>
    <w:rsid w:val="003F400E"/>
    <w:rsid w:val="003F6F35"/>
    <w:rsid w:val="003F7768"/>
    <w:rsid w:val="00400E8C"/>
    <w:rsid w:val="0040159A"/>
    <w:rsid w:val="004017DC"/>
    <w:rsid w:val="00401B53"/>
    <w:rsid w:val="00402668"/>
    <w:rsid w:val="00404FEC"/>
    <w:rsid w:val="0040534D"/>
    <w:rsid w:val="00405FAD"/>
    <w:rsid w:val="004117AB"/>
    <w:rsid w:val="004117F8"/>
    <w:rsid w:val="00412B2F"/>
    <w:rsid w:val="00415281"/>
    <w:rsid w:val="00415716"/>
    <w:rsid w:val="0041604D"/>
    <w:rsid w:val="00417842"/>
    <w:rsid w:val="00417A6E"/>
    <w:rsid w:val="0042285D"/>
    <w:rsid w:val="00427D2B"/>
    <w:rsid w:val="00430B13"/>
    <w:rsid w:val="00430CE5"/>
    <w:rsid w:val="0043153C"/>
    <w:rsid w:val="00431D0F"/>
    <w:rsid w:val="0043481C"/>
    <w:rsid w:val="00444307"/>
    <w:rsid w:val="0044436F"/>
    <w:rsid w:val="004443EB"/>
    <w:rsid w:val="00444432"/>
    <w:rsid w:val="00444673"/>
    <w:rsid w:val="0044621E"/>
    <w:rsid w:val="00447BF1"/>
    <w:rsid w:val="00450BA4"/>
    <w:rsid w:val="004511FC"/>
    <w:rsid w:val="00456784"/>
    <w:rsid w:val="00456DCA"/>
    <w:rsid w:val="0045743B"/>
    <w:rsid w:val="00461140"/>
    <w:rsid w:val="004611DB"/>
    <w:rsid w:val="004658B0"/>
    <w:rsid w:val="0046614B"/>
    <w:rsid w:val="00467FD7"/>
    <w:rsid w:val="00470073"/>
    <w:rsid w:val="004730F8"/>
    <w:rsid w:val="00474353"/>
    <w:rsid w:val="00474555"/>
    <w:rsid w:val="004750F4"/>
    <w:rsid w:val="00476CB1"/>
    <w:rsid w:val="00480A48"/>
    <w:rsid w:val="00482501"/>
    <w:rsid w:val="00482E7D"/>
    <w:rsid w:val="00484395"/>
    <w:rsid w:val="004865FB"/>
    <w:rsid w:val="00486C03"/>
    <w:rsid w:val="00491AB3"/>
    <w:rsid w:val="00497A33"/>
    <w:rsid w:val="004A1112"/>
    <w:rsid w:val="004A1DA0"/>
    <w:rsid w:val="004A1F20"/>
    <w:rsid w:val="004A2393"/>
    <w:rsid w:val="004A3569"/>
    <w:rsid w:val="004A452A"/>
    <w:rsid w:val="004A5F2C"/>
    <w:rsid w:val="004A6E4F"/>
    <w:rsid w:val="004A720D"/>
    <w:rsid w:val="004B00D0"/>
    <w:rsid w:val="004B6084"/>
    <w:rsid w:val="004B7AE0"/>
    <w:rsid w:val="004C0BC4"/>
    <w:rsid w:val="004C0BC6"/>
    <w:rsid w:val="004C260D"/>
    <w:rsid w:val="004C2D47"/>
    <w:rsid w:val="004C4357"/>
    <w:rsid w:val="004C4477"/>
    <w:rsid w:val="004C5730"/>
    <w:rsid w:val="004C6397"/>
    <w:rsid w:val="004C668F"/>
    <w:rsid w:val="004C682B"/>
    <w:rsid w:val="004D142C"/>
    <w:rsid w:val="004D29F7"/>
    <w:rsid w:val="004D36D8"/>
    <w:rsid w:val="004D4C5C"/>
    <w:rsid w:val="004D5AB0"/>
    <w:rsid w:val="004D5EAE"/>
    <w:rsid w:val="004D7A0E"/>
    <w:rsid w:val="004E06E7"/>
    <w:rsid w:val="004E0AE3"/>
    <w:rsid w:val="004E20D3"/>
    <w:rsid w:val="004E2C82"/>
    <w:rsid w:val="004E4FAE"/>
    <w:rsid w:val="004E62C7"/>
    <w:rsid w:val="004E68FF"/>
    <w:rsid w:val="004E7A1B"/>
    <w:rsid w:val="004F0B7F"/>
    <w:rsid w:val="004F1193"/>
    <w:rsid w:val="004F11DC"/>
    <w:rsid w:val="004F2124"/>
    <w:rsid w:val="004F271B"/>
    <w:rsid w:val="004F3A52"/>
    <w:rsid w:val="004F449F"/>
    <w:rsid w:val="004F4E7E"/>
    <w:rsid w:val="004F63AB"/>
    <w:rsid w:val="004F6B76"/>
    <w:rsid w:val="004F6C7C"/>
    <w:rsid w:val="004F7F1A"/>
    <w:rsid w:val="004F7FBB"/>
    <w:rsid w:val="005042B3"/>
    <w:rsid w:val="005045AB"/>
    <w:rsid w:val="00507D43"/>
    <w:rsid w:val="005103F2"/>
    <w:rsid w:val="00510E2C"/>
    <w:rsid w:val="00511FDC"/>
    <w:rsid w:val="005124C6"/>
    <w:rsid w:val="00513EBC"/>
    <w:rsid w:val="00514CE1"/>
    <w:rsid w:val="00517155"/>
    <w:rsid w:val="00517DB3"/>
    <w:rsid w:val="005200DC"/>
    <w:rsid w:val="005200F2"/>
    <w:rsid w:val="0052369D"/>
    <w:rsid w:val="005271DB"/>
    <w:rsid w:val="00530D2F"/>
    <w:rsid w:val="0053487C"/>
    <w:rsid w:val="005356E1"/>
    <w:rsid w:val="00536A8B"/>
    <w:rsid w:val="00540418"/>
    <w:rsid w:val="00541A96"/>
    <w:rsid w:val="00541C6A"/>
    <w:rsid w:val="00542C54"/>
    <w:rsid w:val="00546A43"/>
    <w:rsid w:val="00546C70"/>
    <w:rsid w:val="00547258"/>
    <w:rsid w:val="00550CF0"/>
    <w:rsid w:val="005559FE"/>
    <w:rsid w:val="005560D6"/>
    <w:rsid w:val="00556D07"/>
    <w:rsid w:val="00560F1C"/>
    <w:rsid w:val="005611F2"/>
    <w:rsid w:val="00561734"/>
    <w:rsid w:val="00561952"/>
    <w:rsid w:val="005633D7"/>
    <w:rsid w:val="00564B9A"/>
    <w:rsid w:val="00565694"/>
    <w:rsid w:val="00566DD6"/>
    <w:rsid w:val="005714EF"/>
    <w:rsid w:val="00571CEC"/>
    <w:rsid w:val="00572FCE"/>
    <w:rsid w:val="005750DB"/>
    <w:rsid w:val="005759FC"/>
    <w:rsid w:val="00575B85"/>
    <w:rsid w:val="00576DB9"/>
    <w:rsid w:val="0057738F"/>
    <w:rsid w:val="005805E4"/>
    <w:rsid w:val="00581CF0"/>
    <w:rsid w:val="0058202F"/>
    <w:rsid w:val="00584221"/>
    <w:rsid w:val="00584EB6"/>
    <w:rsid w:val="00586B68"/>
    <w:rsid w:val="0058774E"/>
    <w:rsid w:val="005878CF"/>
    <w:rsid w:val="0059085B"/>
    <w:rsid w:val="00590CA0"/>
    <w:rsid w:val="00595B01"/>
    <w:rsid w:val="00596D98"/>
    <w:rsid w:val="005979A5"/>
    <w:rsid w:val="005A0021"/>
    <w:rsid w:val="005A017B"/>
    <w:rsid w:val="005A2AEC"/>
    <w:rsid w:val="005A412D"/>
    <w:rsid w:val="005A5212"/>
    <w:rsid w:val="005A7D42"/>
    <w:rsid w:val="005B002D"/>
    <w:rsid w:val="005B0FFF"/>
    <w:rsid w:val="005B19AF"/>
    <w:rsid w:val="005B258C"/>
    <w:rsid w:val="005B61DD"/>
    <w:rsid w:val="005B6735"/>
    <w:rsid w:val="005B7831"/>
    <w:rsid w:val="005B7C54"/>
    <w:rsid w:val="005C0CD6"/>
    <w:rsid w:val="005C12D9"/>
    <w:rsid w:val="005C2146"/>
    <w:rsid w:val="005C309D"/>
    <w:rsid w:val="005C544B"/>
    <w:rsid w:val="005C5916"/>
    <w:rsid w:val="005C5AEE"/>
    <w:rsid w:val="005C774A"/>
    <w:rsid w:val="005D3734"/>
    <w:rsid w:val="005D4F16"/>
    <w:rsid w:val="005D5A53"/>
    <w:rsid w:val="005D5DA0"/>
    <w:rsid w:val="005D7FBD"/>
    <w:rsid w:val="005E19B4"/>
    <w:rsid w:val="005E1D6B"/>
    <w:rsid w:val="005E227A"/>
    <w:rsid w:val="005E2CF8"/>
    <w:rsid w:val="005E3126"/>
    <w:rsid w:val="005E7075"/>
    <w:rsid w:val="005E75A7"/>
    <w:rsid w:val="005F38E2"/>
    <w:rsid w:val="005F3EE6"/>
    <w:rsid w:val="005F6736"/>
    <w:rsid w:val="00602C10"/>
    <w:rsid w:val="00602EBD"/>
    <w:rsid w:val="00604CF2"/>
    <w:rsid w:val="00606DFF"/>
    <w:rsid w:val="00606FB7"/>
    <w:rsid w:val="00610533"/>
    <w:rsid w:val="006110F6"/>
    <w:rsid w:val="00611FA1"/>
    <w:rsid w:val="00612522"/>
    <w:rsid w:val="00612DA6"/>
    <w:rsid w:val="0061365B"/>
    <w:rsid w:val="006138B6"/>
    <w:rsid w:val="00614BC6"/>
    <w:rsid w:val="00614E33"/>
    <w:rsid w:val="006158B8"/>
    <w:rsid w:val="0061706D"/>
    <w:rsid w:val="006173DA"/>
    <w:rsid w:val="00617EF9"/>
    <w:rsid w:val="00620295"/>
    <w:rsid w:val="00622F8E"/>
    <w:rsid w:val="00626AC8"/>
    <w:rsid w:val="00627912"/>
    <w:rsid w:val="0063195F"/>
    <w:rsid w:val="00636C0A"/>
    <w:rsid w:val="00637EC6"/>
    <w:rsid w:val="0064240C"/>
    <w:rsid w:val="00642FF5"/>
    <w:rsid w:val="006430FB"/>
    <w:rsid w:val="00643992"/>
    <w:rsid w:val="00644DBC"/>
    <w:rsid w:val="00646FE6"/>
    <w:rsid w:val="006474CD"/>
    <w:rsid w:val="00647744"/>
    <w:rsid w:val="006479A0"/>
    <w:rsid w:val="006500D9"/>
    <w:rsid w:val="00653B54"/>
    <w:rsid w:val="006541A3"/>
    <w:rsid w:val="00654FAD"/>
    <w:rsid w:val="00655C9F"/>
    <w:rsid w:val="006567FF"/>
    <w:rsid w:val="00656867"/>
    <w:rsid w:val="0066109F"/>
    <w:rsid w:val="00664B26"/>
    <w:rsid w:val="0066596B"/>
    <w:rsid w:val="00666B5B"/>
    <w:rsid w:val="00670295"/>
    <w:rsid w:val="006704F5"/>
    <w:rsid w:val="0067242C"/>
    <w:rsid w:val="00672894"/>
    <w:rsid w:val="00674B47"/>
    <w:rsid w:val="0067609E"/>
    <w:rsid w:val="00677749"/>
    <w:rsid w:val="00680E07"/>
    <w:rsid w:val="00682B9D"/>
    <w:rsid w:val="00683806"/>
    <w:rsid w:val="00686AF9"/>
    <w:rsid w:val="006910C0"/>
    <w:rsid w:val="00691954"/>
    <w:rsid w:val="0069320E"/>
    <w:rsid w:val="00693D13"/>
    <w:rsid w:val="00694F58"/>
    <w:rsid w:val="006955BC"/>
    <w:rsid w:val="006959E2"/>
    <w:rsid w:val="00696920"/>
    <w:rsid w:val="00697EB9"/>
    <w:rsid w:val="006A20D4"/>
    <w:rsid w:val="006A268D"/>
    <w:rsid w:val="006A350F"/>
    <w:rsid w:val="006A3957"/>
    <w:rsid w:val="006A39A4"/>
    <w:rsid w:val="006A41D6"/>
    <w:rsid w:val="006A669D"/>
    <w:rsid w:val="006A6E41"/>
    <w:rsid w:val="006B012F"/>
    <w:rsid w:val="006B27CF"/>
    <w:rsid w:val="006B41BD"/>
    <w:rsid w:val="006B5678"/>
    <w:rsid w:val="006B62B2"/>
    <w:rsid w:val="006C1C57"/>
    <w:rsid w:val="006C28B1"/>
    <w:rsid w:val="006C5760"/>
    <w:rsid w:val="006C6D6F"/>
    <w:rsid w:val="006D0D78"/>
    <w:rsid w:val="006D1128"/>
    <w:rsid w:val="006D2848"/>
    <w:rsid w:val="006D30E0"/>
    <w:rsid w:val="006D5521"/>
    <w:rsid w:val="006D5FE9"/>
    <w:rsid w:val="006D6CBB"/>
    <w:rsid w:val="006D76A9"/>
    <w:rsid w:val="006D77F4"/>
    <w:rsid w:val="006E0898"/>
    <w:rsid w:val="006E41CD"/>
    <w:rsid w:val="006F3BEC"/>
    <w:rsid w:val="00703C00"/>
    <w:rsid w:val="007057CC"/>
    <w:rsid w:val="007066F2"/>
    <w:rsid w:val="00706AE5"/>
    <w:rsid w:val="0070740A"/>
    <w:rsid w:val="00711F93"/>
    <w:rsid w:val="00712940"/>
    <w:rsid w:val="0071428C"/>
    <w:rsid w:val="00715A16"/>
    <w:rsid w:val="00715C93"/>
    <w:rsid w:val="007164B0"/>
    <w:rsid w:val="007166FF"/>
    <w:rsid w:val="007205F9"/>
    <w:rsid w:val="00725926"/>
    <w:rsid w:val="007260CC"/>
    <w:rsid w:val="00726543"/>
    <w:rsid w:val="00731616"/>
    <w:rsid w:val="0073353E"/>
    <w:rsid w:val="00736633"/>
    <w:rsid w:val="007367F6"/>
    <w:rsid w:val="00741EE7"/>
    <w:rsid w:val="00743A79"/>
    <w:rsid w:val="007444D4"/>
    <w:rsid w:val="0074594D"/>
    <w:rsid w:val="007459F3"/>
    <w:rsid w:val="00746E35"/>
    <w:rsid w:val="007470E2"/>
    <w:rsid w:val="0075232F"/>
    <w:rsid w:val="00753132"/>
    <w:rsid w:val="007550B3"/>
    <w:rsid w:val="00760451"/>
    <w:rsid w:val="0077182A"/>
    <w:rsid w:val="00771913"/>
    <w:rsid w:val="00772718"/>
    <w:rsid w:val="00775BCF"/>
    <w:rsid w:val="007818AA"/>
    <w:rsid w:val="00783140"/>
    <w:rsid w:val="007838B6"/>
    <w:rsid w:val="00783E77"/>
    <w:rsid w:val="00783ED8"/>
    <w:rsid w:val="007866D2"/>
    <w:rsid w:val="007906F1"/>
    <w:rsid w:val="0079243D"/>
    <w:rsid w:val="00794A9B"/>
    <w:rsid w:val="0079583B"/>
    <w:rsid w:val="00796602"/>
    <w:rsid w:val="00797185"/>
    <w:rsid w:val="007976B7"/>
    <w:rsid w:val="00797A7E"/>
    <w:rsid w:val="00797D6F"/>
    <w:rsid w:val="007B014B"/>
    <w:rsid w:val="007B0D88"/>
    <w:rsid w:val="007B306F"/>
    <w:rsid w:val="007B4714"/>
    <w:rsid w:val="007B4E82"/>
    <w:rsid w:val="007B7410"/>
    <w:rsid w:val="007C1996"/>
    <w:rsid w:val="007C3773"/>
    <w:rsid w:val="007C3F1F"/>
    <w:rsid w:val="007D2D0D"/>
    <w:rsid w:val="007D3325"/>
    <w:rsid w:val="007D3818"/>
    <w:rsid w:val="007D6DC5"/>
    <w:rsid w:val="007D7425"/>
    <w:rsid w:val="007E320E"/>
    <w:rsid w:val="007E3280"/>
    <w:rsid w:val="007E4A02"/>
    <w:rsid w:val="007E595C"/>
    <w:rsid w:val="007E59A5"/>
    <w:rsid w:val="007F3B8C"/>
    <w:rsid w:val="007F41D0"/>
    <w:rsid w:val="007F4B8B"/>
    <w:rsid w:val="007F5957"/>
    <w:rsid w:val="007F70B6"/>
    <w:rsid w:val="007F74CA"/>
    <w:rsid w:val="00800F1E"/>
    <w:rsid w:val="0080195A"/>
    <w:rsid w:val="0080239C"/>
    <w:rsid w:val="00802841"/>
    <w:rsid w:val="008037D5"/>
    <w:rsid w:val="00805447"/>
    <w:rsid w:val="008054FA"/>
    <w:rsid w:val="0080717A"/>
    <w:rsid w:val="00807DFA"/>
    <w:rsid w:val="0081009F"/>
    <w:rsid w:val="00810152"/>
    <w:rsid w:val="008115AB"/>
    <w:rsid w:val="00812D2C"/>
    <w:rsid w:val="008159F4"/>
    <w:rsid w:val="00816586"/>
    <w:rsid w:val="008167C1"/>
    <w:rsid w:val="008167C6"/>
    <w:rsid w:val="00816B8F"/>
    <w:rsid w:val="00820331"/>
    <w:rsid w:val="00820BF5"/>
    <w:rsid w:val="008212B1"/>
    <w:rsid w:val="0082155A"/>
    <w:rsid w:val="0082209F"/>
    <w:rsid w:val="008223C2"/>
    <w:rsid w:val="0082273A"/>
    <w:rsid w:val="008250A2"/>
    <w:rsid w:val="00825D64"/>
    <w:rsid w:val="0082650B"/>
    <w:rsid w:val="008301CE"/>
    <w:rsid w:val="008312E3"/>
    <w:rsid w:val="00831D5B"/>
    <w:rsid w:val="00832DD6"/>
    <w:rsid w:val="00832F0C"/>
    <w:rsid w:val="008336F2"/>
    <w:rsid w:val="008345D9"/>
    <w:rsid w:val="008347CB"/>
    <w:rsid w:val="00835647"/>
    <w:rsid w:val="00837A2E"/>
    <w:rsid w:val="00841558"/>
    <w:rsid w:val="00842A68"/>
    <w:rsid w:val="00842B67"/>
    <w:rsid w:val="008435BA"/>
    <w:rsid w:val="0084558B"/>
    <w:rsid w:val="0084654A"/>
    <w:rsid w:val="00847654"/>
    <w:rsid w:val="00851064"/>
    <w:rsid w:val="00855543"/>
    <w:rsid w:val="008566B3"/>
    <w:rsid w:val="008576B7"/>
    <w:rsid w:val="00857F7B"/>
    <w:rsid w:val="008623EC"/>
    <w:rsid w:val="00863DA1"/>
    <w:rsid w:val="008654A6"/>
    <w:rsid w:val="00865D86"/>
    <w:rsid w:val="00870495"/>
    <w:rsid w:val="00870EA1"/>
    <w:rsid w:val="008710C5"/>
    <w:rsid w:val="00874438"/>
    <w:rsid w:val="00874E75"/>
    <w:rsid w:val="008767F3"/>
    <w:rsid w:val="00876CEF"/>
    <w:rsid w:val="00877342"/>
    <w:rsid w:val="008803C3"/>
    <w:rsid w:val="00881450"/>
    <w:rsid w:val="008817C7"/>
    <w:rsid w:val="00881875"/>
    <w:rsid w:val="008848A3"/>
    <w:rsid w:val="00884AF1"/>
    <w:rsid w:val="008852E0"/>
    <w:rsid w:val="00885F7A"/>
    <w:rsid w:val="00887D63"/>
    <w:rsid w:val="00890712"/>
    <w:rsid w:val="00890D81"/>
    <w:rsid w:val="00892955"/>
    <w:rsid w:val="00893628"/>
    <w:rsid w:val="008941EB"/>
    <w:rsid w:val="0089545A"/>
    <w:rsid w:val="00895A02"/>
    <w:rsid w:val="008A01EE"/>
    <w:rsid w:val="008A0DAC"/>
    <w:rsid w:val="008A3B78"/>
    <w:rsid w:val="008A4166"/>
    <w:rsid w:val="008A7DBF"/>
    <w:rsid w:val="008B136C"/>
    <w:rsid w:val="008B55EF"/>
    <w:rsid w:val="008B6910"/>
    <w:rsid w:val="008C0B5C"/>
    <w:rsid w:val="008C1343"/>
    <w:rsid w:val="008C3912"/>
    <w:rsid w:val="008C5598"/>
    <w:rsid w:val="008C69EA"/>
    <w:rsid w:val="008C6F8B"/>
    <w:rsid w:val="008C7AB7"/>
    <w:rsid w:val="008C7FB4"/>
    <w:rsid w:val="008D2C8C"/>
    <w:rsid w:val="008D3040"/>
    <w:rsid w:val="008D3ECD"/>
    <w:rsid w:val="008D5C03"/>
    <w:rsid w:val="008D7580"/>
    <w:rsid w:val="008D7C35"/>
    <w:rsid w:val="008E5698"/>
    <w:rsid w:val="008E5733"/>
    <w:rsid w:val="008E77D2"/>
    <w:rsid w:val="008E78FD"/>
    <w:rsid w:val="008F199D"/>
    <w:rsid w:val="008F38A0"/>
    <w:rsid w:val="008F39C9"/>
    <w:rsid w:val="008F3C5A"/>
    <w:rsid w:val="008F5EB5"/>
    <w:rsid w:val="008F678C"/>
    <w:rsid w:val="008F75A7"/>
    <w:rsid w:val="008F7E5A"/>
    <w:rsid w:val="00900A7F"/>
    <w:rsid w:val="009036EE"/>
    <w:rsid w:val="00905815"/>
    <w:rsid w:val="00905D1D"/>
    <w:rsid w:val="0091016D"/>
    <w:rsid w:val="00910C98"/>
    <w:rsid w:val="00911910"/>
    <w:rsid w:val="00912A58"/>
    <w:rsid w:val="00913908"/>
    <w:rsid w:val="00913D26"/>
    <w:rsid w:val="0091438B"/>
    <w:rsid w:val="009147E3"/>
    <w:rsid w:val="00920FD2"/>
    <w:rsid w:val="00923A43"/>
    <w:rsid w:val="0092439C"/>
    <w:rsid w:val="0092498E"/>
    <w:rsid w:val="00925B91"/>
    <w:rsid w:val="00934461"/>
    <w:rsid w:val="00934F7E"/>
    <w:rsid w:val="00936A1C"/>
    <w:rsid w:val="00936FB7"/>
    <w:rsid w:val="00943E35"/>
    <w:rsid w:val="00945278"/>
    <w:rsid w:val="0094658D"/>
    <w:rsid w:val="00947678"/>
    <w:rsid w:val="00947878"/>
    <w:rsid w:val="009504C2"/>
    <w:rsid w:val="0095254A"/>
    <w:rsid w:val="0095273B"/>
    <w:rsid w:val="009559E1"/>
    <w:rsid w:val="009568D5"/>
    <w:rsid w:val="00957CD3"/>
    <w:rsid w:val="0096269B"/>
    <w:rsid w:val="00963FB0"/>
    <w:rsid w:val="00964C86"/>
    <w:rsid w:val="00965E82"/>
    <w:rsid w:val="009664BB"/>
    <w:rsid w:val="009669F8"/>
    <w:rsid w:val="00966F89"/>
    <w:rsid w:val="00973B5D"/>
    <w:rsid w:val="0097755E"/>
    <w:rsid w:val="009807EC"/>
    <w:rsid w:val="00981467"/>
    <w:rsid w:val="00981C24"/>
    <w:rsid w:val="0098447E"/>
    <w:rsid w:val="009852F6"/>
    <w:rsid w:val="00985DE5"/>
    <w:rsid w:val="00986254"/>
    <w:rsid w:val="0098729E"/>
    <w:rsid w:val="00990067"/>
    <w:rsid w:val="00992977"/>
    <w:rsid w:val="009937D4"/>
    <w:rsid w:val="00993C78"/>
    <w:rsid w:val="009948C7"/>
    <w:rsid w:val="00995850"/>
    <w:rsid w:val="0099796C"/>
    <w:rsid w:val="009A194E"/>
    <w:rsid w:val="009A1EA2"/>
    <w:rsid w:val="009A209E"/>
    <w:rsid w:val="009A3FD7"/>
    <w:rsid w:val="009A6652"/>
    <w:rsid w:val="009A74FD"/>
    <w:rsid w:val="009B25D8"/>
    <w:rsid w:val="009B42E3"/>
    <w:rsid w:val="009B5859"/>
    <w:rsid w:val="009C6D07"/>
    <w:rsid w:val="009C7CEC"/>
    <w:rsid w:val="009D154D"/>
    <w:rsid w:val="009D18EF"/>
    <w:rsid w:val="009D3BE8"/>
    <w:rsid w:val="009D44E0"/>
    <w:rsid w:val="009D573B"/>
    <w:rsid w:val="009D59A0"/>
    <w:rsid w:val="009D716A"/>
    <w:rsid w:val="009E1AC4"/>
    <w:rsid w:val="009E20B8"/>
    <w:rsid w:val="009E29A0"/>
    <w:rsid w:val="009E41B5"/>
    <w:rsid w:val="009E55D7"/>
    <w:rsid w:val="009E627C"/>
    <w:rsid w:val="009F110B"/>
    <w:rsid w:val="009F1498"/>
    <w:rsid w:val="009F1E9F"/>
    <w:rsid w:val="009F3793"/>
    <w:rsid w:val="009F54F2"/>
    <w:rsid w:val="00A0056B"/>
    <w:rsid w:val="00A01657"/>
    <w:rsid w:val="00A01C2C"/>
    <w:rsid w:val="00A01C65"/>
    <w:rsid w:val="00A0213D"/>
    <w:rsid w:val="00A04C73"/>
    <w:rsid w:val="00A0679A"/>
    <w:rsid w:val="00A07A2B"/>
    <w:rsid w:val="00A12375"/>
    <w:rsid w:val="00A125B8"/>
    <w:rsid w:val="00A13124"/>
    <w:rsid w:val="00A1392F"/>
    <w:rsid w:val="00A15370"/>
    <w:rsid w:val="00A156AB"/>
    <w:rsid w:val="00A16B8D"/>
    <w:rsid w:val="00A21293"/>
    <w:rsid w:val="00A2134B"/>
    <w:rsid w:val="00A21623"/>
    <w:rsid w:val="00A220EB"/>
    <w:rsid w:val="00A22302"/>
    <w:rsid w:val="00A25F1B"/>
    <w:rsid w:val="00A325F3"/>
    <w:rsid w:val="00A33103"/>
    <w:rsid w:val="00A33294"/>
    <w:rsid w:val="00A35C74"/>
    <w:rsid w:val="00A35DCB"/>
    <w:rsid w:val="00A3690E"/>
    <w:rsid w:val="00A37751"/>
    <w:rsid w:val="00A406B1"/>
    <w:rsid w:val="00A4113E"/>
    <w:rsid w:val="00A42435"/>
    <w:rsid w:val="00A438BA"/>
    <w:rsid w:val="00A446FD"/>
    <w:rsid w:val="00A46F46"/>
    <w:rsid w:val="00A52CB6"/>
    <w:rsid w:val="00A52F99"/>
    <w:rsid w:val="00A538BB"/>
    <w:rsid w:val="00A54164"/>
    <w:rsid w:val="00A56737"/>
    <w:rsid w:val="00A56BFD"/>
    <w:rsid w:val="00A60002"/>
    <w:rsid w:val="00A603D8"/>
    <w:rsid w:val="00A60AE2"/>
    <w:rsid w:val="00A61834"/>
    <w:rsid w:val="00A618B0"/>
    <w:rsid w:val="00A62790"/>
    <w:rsid w:val="00A6291F"/>
    <w:rsid w:val="00A63F53"/>
    <w:rsid w:val="00A7111E"/>
    <w:rsid w:val="00A74166"/>
    <w:rsid w:val="00A755B6"/>
    <w:rsid w:val="00A75B1A"/>
    <w:rsid w:val="00A80ED4"/>
    <w:rsid w:val="00A816C4"/>
    <w:rsid w:val="00A82280"/>
    <w:rsid w:val="00A82981"/>
    <w:rsid w:val="00A86F10"/>
    <w:rsid w:val="00A87AF2"/>
    <w:rsid w:val="00A90B23"/>
    <w:rsid w:val="00A93193"/>
    <w:rsid w:val="00A93C2B"/>
    <w:rsid w:val="00A94556"/>
    <w:rsid w:val="00A974CB"/>
    <w:rsid w:val="00AA1EAC"/>
    <w:rsid w:val="00AA45E2"/>
    <w:rsid w:val="00AA7AC1"/>
    <w:rsid w:val="00AB6327"/>
    <w:rsid w:val="00AB6B8F"/>
    <w:rsid w:val="00AC0C65"/>
    <w:rsid w:val="00AC0FB2"/>
    <w:rsid w:val="00AC3721"/>
    <w:rsid w:val="00AC41C6"/>
    <w:rsid w:val="00AC70C7"/>
    <w:rsid w:val="00AC76B7"/>
    <w:rsid w:val="00AD0223"/>
    <w:rsid w:val="00AD123A"/>
    <w:rsid w:val="00AD15FF"/>
    <w:rsid w:val="00AD1AA5"/>
    <w:rsid w:val="00AD2920"/>
    <w:rsid w:val="00AD2CD5"/>
    <w:rsid w:val="00AD2DFC"/>
    <w:rsid w:val="00AD38C4"/>
    <w:rsid w:val="00AD5A4A"/>
    <w:rsid w:val="00AD60EE"/>
    <w:rsid w:val="00AD6A2B"/>
    <w:rsid w:val="00AD6B38"/>
    <w:rsid w:val="00AD73D4"/>
    <w:rsid w:val="00AE1EA2"/>
    <w:rsid w:val="00AE2874"/>
    <w:rsid w:val="00AE2BA2"/>
    <w:rsid w:val="00AE2F98"/>
    <w:rsid w:val="00AE3602"/>
    <w:rsid w:val="00AE5342"/>
    <w:rsid w:val="00AE5987"/>
    <w:rsid w:val="00AE6472"/>
    <w:rsid w:val="00AF1345"/>
    <w:rsid w:val="00AF38A8"/>
    <w:rsid w:val="00AF63EB"/>
    <w:rsid w:val="00B016D2"/>
    <w:rsid w:val="00B018EC"/>
    <w:rsid w:val="00B060C7"/>
    <w:rsid w:val="00B062F3"/>
    <w:rsid w:val="00B11AB7"/>
    <w:rsid w:val="00B12213"/>
    <w:rsid w:val="00B13710"/>
    <w:rsid w:val="00B22881"/>
    <w:rsid w:val="00B23EFC"/>
    <w:rsid w:val="00B24B72"/>
    <w:rsid w:val="00B25DB8"/>
    <w:rsid w:val="00B2656C"/>
    <w:rsid w:val="00B266E6"/>
    <w:rsid w:val="00B3094D"/>
    <w:rsid w:val="00B30B04"/>
    <w:rsid w:val="00B311BC"/>
    <w:rsid w:val="00B31810"/>
    <w:rsid w:val="00B31C10"/>
    <w:rsid w:val="00B3446D"/>
    <w:rsid w:val="00B34652"/>
    <w:rsid w:val="00B34F89"/>
    <w:rsid w:val="00B358C8"/>
    <w:rsid w:val="00B36185"/>
    <w:rsid w:val="00B3662F"/>
    <w:rsid w:val="00B373CD"/>
    <w:rsid w:val="00B377C8"/>
    <w:rsid w:val="00B400B8"/>
    <w:rsid w:val="00B404DE"/>
    <w:rsid w:val="00B40765"/>
    <w:rsid w:val="00B4232D"/>
    <w:rsid w:val="00B42682"/>
    <w:rsid w:val="00B43065"/>
    <w:rsid w:val="00B44784"/>
    <w:rsid w:val="00B449D0"/>
    <w:rsid w:val="00B456AB"/>
    <w:rsid w:val="00B46C2A"/>
    <w:rsid w:val="00B47E8B"/>
    <w:rsid w:val="00B51C67"/>
    <w:rsid w:val="00B53F86"/>
    <w:rsid w:val="00B53FDC"/>
    <w:rsid w:val="00B55431"/>
    <w:rsid w:val="00B55CAE"/>
    <w:rsid w:val="00B576C6"/>
    <w:rsid w:val="00B615F2"/>
    <w:rsid w:val="00B61A28"/>
    <w:rsid w:val="00B65C6D"/>
    <w:rsid w:val="00B66B06"/>
    <w:rsid w:val="00B67862"/>
    <w:rsid w:val="00B70634"/>
    <w:rsid w:val="00B70BE4"/>
    <w:rsid w:val="00B73880"/>
    <w:rsid w:val="00B73CF1"/>
    <w:rsid w:val="00B745B3"/>
    <w:rsid w:val="00B7599D"/>
    <w:rsid w:val="00B7648F"/>
    <w:rsid w:val="00B76E13"/>
    <w:rsid w:val="00B771EE"/>
    <w:rsid w:val="00B773BA"/>
    <w:rsid w:val="00B7765B"/>
    <w:rsid w:val="00B77B4B"/>
    <w:rsid w:val="00B80ABC"/>
    <w:rsid w:val="00B814C2"/>
    <w:rsid w:val="00B900FE"/>
    <w:rsid w:val="00B9064C"/>
    <w:rsid w:val="00BA0A14"/>
    <w:rsid w:val="00BA228D"/>
    <w:rsid w:val="00BA398D"/>
    <w:rsid w:val="00BA39D3"/>
    <w:rsid w:val="00BA5C56"/>
    <w:rsid w:val="00BA776F"/>
    <w:rsid w:val="00BB0C0D"/>
    <w:rsid w:val="00BB0D69"/>
    <w:rsid w:val="00BB366E"/>
    <w:rsid w:val="00BB3AF0"/>
    <w:rsid w:val="00BB4F70"/>
    <w:rsid w:val="00BB67FF"/>
    <w:rsid w:val="00BC11B9"/>
    <w:rsid w:val="00BC138C"/>
    <w:rsid w:val="00BC14CF"/>
    <w:rsid w:val="00BC1659"/>
    <w:rsid w:val="00BC2C91"/>
    <w:rsid w:val="00BC3A9C"/>
    <w:rsid w:val="00BC5288"/>
    <w:rsid w:val="00BC6A71"/>
    <w:rsid w:val="00BC6B2F"/>
    <w:rsid w:val="00BD0637"/>
    <w:rsid w:val="00BD08A8"/>
    <w:rsid w:val="00BD1BAC"/>
    <w:rsid w:val="00BD1FA8"/>
    <w:rsid w:val="00BD25A6"/>
    <w:rsid w:val="00BD4C95"/>
    <w:rsid w:val="00BD65FC"/>
    <w:rsid w:val="00BD7660"/>
    <w:rsid w:val="00BE0666"/>
    <w:rsid w:val="00BE24B9"/>
    <w:rsid w:val="00BE2AE8"/>
    <w:rsid w:val="00BE2D55"/>
    <w:rsid w:val="00BE38DD"/>
    <w:rsid w:val="00BE4AB1"/>
    <w:rsid w:val="00BF16C3"/>
    <w:rsid w:val="00BF38E0"/>
    <w:rsid w:val="00BF44FA"/>
    <w:rsid w:val="00BF57E1"/>
    <w:rsid w:val="00C003B4"/>
    <w:rsid w:val="00C00A5F"/>
    <w:rsid w:val="00C042E0"/>
    <w:rsid w:val="00C051D9"/>
    <w:rsid w:val="00C06333"/>
    <w:rsid w:val="00C06F68"/>
    <w:rsid w:val="00C075BA"/>
    <w:rsid w:val="00C10A3A"/>
    <w:rsid w:val="00C11E20"/>
    <w:rsid w:val="00C14D65"/>
    <w:rsid w:val="00C15D16"/>
    <w:rsid w:val="00C20015"/>
    <w:rsid w:val="00C247DD"/>
    <w:rsid w:val="00C25B43"/>
    <w:rsid w:val="00C26A54"/>
    <w:rsid w:val="00C3261C"/>
    <w:rsid w:val="00C3318B"/>
    <w:rsid w:val="00C33C20"/>
    <w:rsid w:val="00C35362"/>
    <w:rsid w:val="00C357EA"/>
    <w:rsid w:val="00C379F8"/>
    <w:rsid w:val="00C37A1C"/>
    <w:rsid w:val="00C42323"/>
    <w:rsid w:val="00C4316E"/>
    <w:rsid w:val="00C453A9"/>
    <w:rsid w:val="00C465D5"/>
    <w:rsid w:val="00C4756A"/>
    <w:rsid w:val="00C47C39"/>
    <w:rsid w:val="00C50649"/>
    <w:rsid w:val="00C506B2"/>
    <w:rsid w:val="00C50E1F"/>
    <w:rsid w:val="00C51C09"/>
    <w:rsid w:val="00C52BB6"/>
    <w:rsid w:val="00C53471"/>
    <w:rsid w:val="00C54FD4"/>
    <w:rsid w:val="00C55143"/>
    <w:rsid w:val="00C5611B"/>
    <w:rsid w:val="00C5695E"/>
    <w:rsid w:val="00C61528"/>
    <w:rsid w:val="00C63457"/>
    <w:rsid w:val="00C64964"/>
    <w:rsid w:val="00C6631E"/>
    <w:rsid w:val="00C672B5"/>
    <w:rsid w:val="00C67473"/>
    <w:rsid w:val="00C67AA4"/>
    <w:rsid w:val="00C70865"/>
    <w:rsid w:val="00C7148C"/>
    <w:rsid w:val="00C72192"/>
    <w:rsid w:val="00C732E5"/>
    <w:rsid w:val="00C73D0B"/>
    <w:rsid w:val="00C75017"/>
    <w:rsid w:val="00C765B4"/>
    <w:rsid w:val="00C813EA"/>
    <w:rsid w:val="00C81496"/>
    <w:rsid w:val="00C82CE6"/>
    <w:rsid w:val="00C82E22"/>
    <w:rsid w:val="00C85144"/>
    <w:rsid w:val="00C86738"/>
    <w:rsid w:val="00C86A27"/>
    <w:rsid w:val="00C91517"/>
    <w:rsid w:val="00C929BD"/>
    <w:rsid w:val="00C931A2"/>
    <w:rsid w:val="00CA02E1"/>
    <w:rsid w:val="00CA15DA"/>
    <w:rsid w:val="00CA224E"/>
    <w:rsid w:val="00CA41C5"/>
    <w:rsid w:val="00CA42B7"/>
    <w:rsid w:val="00CA4A53"/>
    <w:rsid w:val="00CA51F5"/>
    <w:rsid w:val="00CB218A"/>
    <w:rsid w:val="00CB225A"/>
    <w:rsid w:val="00CB69E6"/>
    <w:rsid w:val="00CB761B"/>
    <w:rsid w:val="00CB7E33"/>
    <w:rsid w:val="00CC13DF"/>
    <w:rsid w:val="00CC1EEE"/>
    <w:rsid w:val="00CC2AEE"/>
    <w:rsid w:val="00CC562B"/>
    <w:rsid w:val="00CC6C15"/>
    <w:rsid w:val="00CC7FCF"/>
    <w:rsid w:val="00CD2749"/>
    <w:rsid w:val="00CD2A60"/>
    <w:rsid w:val="00CD306F"/>
    <w:rsid w:val="00CD3971"/>
    <w:rsid w:val="00CD3DAB"/>
    <w:rsid w:val="00CE0DF1"/>
    <w:rsid w:val="00CE3786"/>
    <w:rsid w:val="00CE4027"/>
    <w:rsid w:val="00CE47CC"/>
    <w:rsid w:val="00CE68F6"/>
    <w:rsid w:val="00CE7E27"/>
    <w:rsid w:val="00CF22AC"/>
    <w:rsid w:val="00CF2F0A"/>
    <w:rsid w:val="00CF79E8"/>
    <w:rsid w:val="00D015AA"/>
    <w:rsid w:val="00D021B8"/>
    <w:rsid w:val="00D03D90"/>
    <w:rsid w:val="00D04024"/>
    <w:rsid w:val="00D043EB"/>
    <w:rsid w:val="00D06705"/>
    <w:rsid w:val="00D06A9B"/>
    <w:rsid w:val="00D0750D"/>
    <w:rsid w:val="00D07DD8"/>
    <w:rsid w:val="00D1038F"/>
    <w:rsid w:val="00D10BF7"/>
    <w:rsid w:val="00D10FEB"/>
    <w:rsid w:val="00D140A0"/>
    <w:rsid w:val="00D203D1"/>
    <w:rsid w:val="00D2057A"/>
    <w:rsid w:val="00D21D98"/>
    <w:rsid w:val="00D2317F"/>
    <w:rsid w:val="00D231A9"/>
    <w:rsid w:val="00D24391"/>
    <w:rsid w:val="00D2472B"/>
    <w:rsid w:val="00D253DD"/>
    <w:rsid w:val="00D26FFA"/>
    <w:rsid w:val="00D3215D"/>
    <w:rsid w:val="00D33352"/>
    <w:rsid w:val="00D347D9"/>
    <w:rsid w:val="00D35565"/>
    <w:rsid w:val="00D36A19"/>
    <w:rsid w:val="00D40DCF"/>
    <w:rsid w:val="00D41075"/>
    <w:rsid w:val="00D41C76"/>
    <w:rsid w:val="00D41DD8"/>
    <w:rsid w:val="00D4222C"/>
    <w:rsid w:val="00D425CE"/>
    <w:rsid w:val="00D42F40"/>
    <w:rsid w:val="00D4396C"/>
    <w:rsid w:val="00D4446F"/>
    <w:rsid w:val="00D44B55"/>
    <w:rsid w:val="00D45490"/>
    <w:rsid w:val="00D457B8"/>
    <w:rsid w:val="00D457E1"/>
    <w:rsid w:val="00D47BEB"/>
    <w:rsid w:val="00D50487"/>
    <w:rsid w:val="00D50563"/>
    <w:rsid w:val="00D50F50"/>
    <w:rsid w:val="00D5235F"/>
    <w:rsid w:val="00D52F50"/>
    <w:rsid w:val="00D55A98"/>
    <w:rsid w:val="00D56B49"/>
    <w:rsid w:val="00D6053F"/>
    <w:rsid w:val="00D6073D"/>
    <w:rsid w:val="00D618D6"/>
    <w:rsid w:val="00D62426"/>
    <w:rsid w:val="00D62804"/>
    <w:rsid w:val="00D70F55"/>
    <w:rsid w:val="00D70FA5"/>
    <w:rsid w:val="00D74171"/>
    <w:rsid w:val="00D7474C"/>
    <w:rsid w:val="00D8032C"/>
    <w:rsid w:val="00D80CE2"/>
    <w:rsid w:val="00D83080"/>
    <w:rsid w:val="00D84D5F"/>
    <w:rsid w:val="00D851E2"/>
    <w:rsid w:val="00D87FFA"/>
    <w:rsid w:val="00D91419"/>
    <w:rsid w:val="00D92A09"/>
    <w:rsid w:val="00D92D2A"/>
    <w:rsid w:val="00D92EEC"/>
    <w:rsid w:val="00D93470"/>
    <w:rsid w:val="00D9395F"/>
    <w:rsid w:val="00D93D55"/>
    <w:rsid w:val="00D941FA"/>
    <w:rsid w:val="00D94B59"/>
    <w:rsid w:val="00D94BC8"/>
    <w:rsid w:val="00D95315"/>
    <w:rsid w:val="00D95EAB"/>
    <w:rsid w:val="00D96B8C"/>
    <w:rsid w:val="00DA0B39"/>
    <w:rsid w:val="00DA1203"/>
    <w:rsid w:val="00DA2316"/>
    <w:rsid w:val="00DA25E0"/>
    <w:rsid w:val="00DA2700"/>
    <w:rsid w:val="00DA3001"/>
    <w:rsid w:val="00DA3C5D"/>
    <w:rsid w:val="00DA3EFF"/>
    <w:rsid w:val="00DA7769"/>
    <w:rsid w:val="00DB08C6"/>
    <w:rsid w:val="00DB1BC2"/>
    <w:rsid w:val="00DB1CBB"/>
    <w:rsid w:val="00DB31ED"/>
    <w:rsid w:val="00DB4124"/>
    <w:rsid w:val="00DB4511"/>
    <w:rsid w:val="00DB4F0C"/>
    <w:rsid w:val="00DC0176"/>
    <w:rsid w:val="00DC043F"/>
    <w:rsid w:val="00DC093E"/>
    <w:rsid w:val="00DC0E29"/>
    <w:rsid w:val="00DC0E7A"/>
    <w:rsid w:val="00DC1383"/>
    <w:rsid w:val="00DC2A65"/>
    <w:rsid w:val="00DC2A86"/>
    <w:rsid w:val="00DC3631"/>
    <w:rsid w:val="00DC37F7"/>
    <w:rsid w:val="00DC6F54"/>
    <w:rsid w:val="00DD0C00"/>
    <w:rsid w:val="00DD0F8C"/>
    <w:rsid w:val="00DD116C"/>
    <w:rsid w:val="00DD23D5"/>
    <w:rsid w:val="00DD2AF1"/>
    <w:rsid w:val="00DD46DA"/>
    <w:rsid w:val="00DD6072"/>
    <w:rsid w:val="00DD62BE"/>
    <w:rsid w:val="00DD77D9"/>
    <w:rsid w:val="00DD7CA4"/>
    <w:rsid w:val="00DE167C"/>
    <w:rsid w:val="00DE3B70"/>
    <w:rsid w:val="00DE5813"/>
    <w:rsid w:val="00DF10B1"/>
    <w:rsid w:val="00DF1FDA"/>
    <w:rsid w:val="00DF3DD0"/>
    <w:rsid w:val="00DF4D50"/>
    <w:rsid w:val="00DF538C"/>
    <w:rsid w:val="00DF545D"/>
    <w:rsid w:val="00E00F8F"/>
    <w:rsid w:val="00E021C2"/>
    <w:rsid w:val="00E024A3"/>
    <w:rsid w:val="00E0423D"/>
    <w:rsid w:val="00E057B5"/>
    <w:rsid w:val="00E0581E"/>
    <w:rsid w:val="00E079C5"/>
    <w:rsid w:val="00E07CBD"/>
    <w:rsid w:val="00E07F56"/>
    <w:rsid w:val="00E10A16"/>
    <w:rsid w:val="00E1112F"/>
    <w:rsid w:val="00E1318F"/>
    <w:rsid w:val="00E13B3B"/>
    <w:rsid w:val="00E13E29"/>
    <w:rsid w:val="00E16857"/>
    <w:rsid w:val="00E16C3A"/>
    <w:rsid w:val="00E20651"/>
    <w:rsid w:val="00E2107C"/>
    <w:rsid w:val="00E21E70"/>
    <w:rsid w:val="00E224DE"/>
    <w:rsid w:val="00E23DCE"/>
    <w:rsid w:val="00E2608F"/>
    <w:rsid w:val="00E26363"/>
    <w:rsid w:val="00E272A4"/>
    <w:rsid w:val="00E305F9"/>
    <w:rsid w:val="00E306AC"/>
    <w:rsid w:val="00E34446"/>
    <w:rsid w:val="00E3633B"/>
    <w:rsid w:val="00E36870"/>
    <w:rsid w:val="00E374E1"/>
    <w:rsid w:val="00E417AB"/>
    <w:rsid w:val="00E43D48"/>
    <w:rsid w:val="00E4542D"/>
    <w:rsid w:val="00E45BE0"/>
    <w:rsid w:val="00E46CAD"/>
    <w:rsid w:val="00E47521"/>
    <w:rsid w:val="00E4760C"/>
    <w:rsid w:val="00E507A6"/>
    <w:rsid w:val="00E5375C"/>
    <w:rsid w:val="00E561AD"/>
    <w:rsid w:val="00E57FAF"/>
    <w:rsid w:val="00E60BA9"/>
    <w:rsid w:val="00E63510"/>
    <w:rsid w:val="00E635EA"/>
    <w:rsid w:val="00E655E5"/>
    <w:rsid w:val="00E65F4E"/>
    <w:rsid w:val="00E662E0"/>
    <w:rsid w:val="00E67D5D"/>
    <w:rsid w:val="00E71C7A"/>
    <w:rsid w:val="00E73119"/>
    <w:rsid w:val="00E73E1E"/>
    <w:rsid w:val="00E767FF"/>
    <w:rsid w:val="00E84C91"/>
    <w:rsid w:val="00E84E60"/>
    <w:rsid w:val="00E8556E"/>
    <w:rsid w:val="00E86B2D"/>
    <w:rsid w:val="00E86F4D"/>
    <w:rsid w:val="00E87D08"/>
    <w:rsid w:val="00E90D0E"/>
    <w:rsid w:val="00E91B2D"/>
    <w:rsid w:val="00E92FCA"/>
    <w:rsid w:val="00E95CAA"/>
    <w:rsid w:val="00EA0A39"/>
    <w:rsid w:val="00EA0EB2"/>
    <w:rsid w:val="00EA236F"/>
    <w:rsid w:val="00EA3023"/>
    <w:rsid w:val="00EA3E49"/>
    <w:rsid w:val="00EA3FC8"/>
    <w:rsid w:val="00EA5B8C"/>
    <w:rsid w:val="00EB0DC9"/>
    <w:rsid w:val="00EB1383"/>
    <w:rsid w:val="00EB252D"/>
    <w:rsid w:val="00EB29FA"/>
    <w:rsid w:val="00EB2CCE"/>
    <w:rsid w:val="00EB385F"/>
    <w:rsid w:val="00EB3E49"/>
    <w:rsid w:val="00EB5FC3"/>
    <w:rsid w:val="00EB6DA9"/>
    <w:rsid w:val="00EC1561"/>
    <w:rsid w:val="00EC462E"/>
    <w:rsid w:val="00EC644E"/>
    <w:rsid w:val="00EC6CD8"/>
    <w:rsid w:val="00EC786F"/>
    <w:rsid w:val="00ED1866"/>
    <w:rsid w:val="00ED3134"/>
    <w:rsid w:val="00ED38E2"/>
    <w:rsid w:val="00ED5C44"/>
    <w:rsid w:val="00ED635B"/>
    <w:rsid w:val="00EE742D"/>
    <w:rsid w:val="00EF0A22"/>
    <w:rsid w:val="00EF1267"/>
    <w:rsid w:val="00EF180C"/>
    <w:rsid w:val="00EF3B6B"/>
    <w:rsid w:val="00EF4B43"/>
    <w:rsid w:val="00EF6750"/>
    <w:rsid w:val="00EF770B"/>
    <w:rsid w:val="00F02836"/>
    <w:rsid w:val="00F02FB5"/>
    <w:rsid w:val="00F0534E"/>
    <w:rsid w:val="00F05C30"/>
    <w:rsid w:val="00F10F1B"/>
    <w:rsid w:val="00F14179"/>
    <w:rsid w:val="00F15786"/>
    <w:rsid w:val="00F167C5"/>
    <w:rsid w:val="00F20B5A"/>
    <w:rsid w:val="00F21F0B"/>
    <w:rsid w:val="00F236AB"/>
    <w:rsid w:val="00F24EA4"/>
    <w:rsid w:val="00F27087"/>
    <w:rsid w:val="00F2773C"/>
    <w:rsid w:val="00F300B3"/>
    <w:rsid w:val="00F30DB9"/>
    <w:rsid w:val="00F30FB8"/>
    <w:rsid w:val="00F31D68"/>
    <w:rsid w:val="00F33152"/>
    <w:rsid w:val="00F338F2"/>
    <w:rsid w:val="00F349D3"/>
    <w:rsid w:val="00F3533E"/>
    <w:rsid w:val="00F35B84"/>
    <w:rsid w:val="00F402B5"/>
    <w:rsid w:val="00F4072F"/>
    <w:rsid w:val="00F42839"/>
    <w:rsid w:val="00F44CC0"/>
    <w:rsid w:val="00F450BA"/>
    <w:rsid w:val="00F4684B"/>
    <w:rsid w:val="00F46BE9"/>
    <w:rsid w:val="00F47C3B"/>
    <w:rsid w:val="00F506CA"/>
    <w:rsid w:val="00F53A7A"/>
    <w:rsid w:val="00F54FCD"/>
    <w:rsid w:val="00F5785C"/>
    <w:rsid w:val="00F65E3C"/>
    <w:rsid w:val="00F67076"/>
    <w:rsid w:val="00F677FA"/>
    <w:rsid w:val="00F7115A"/>
    <w:rsid w:val="00F717AA"/>
    <w:rsid w:val="00F72714"/>
    <w:rsid w:val="00F744C3"/>
    <w:rsid w:val="00F75EE2"/>
    <w:rsid w:val="00F75F69"/>
    <w:rsid w:val="00F76014"/>
    <w:rsid w:val="00F802D3"/>
    <w:rsid w:val="00F80F94"/>
    <w:rsid w:val="00F81BA2"/>
    <w:rsid w:val="00F823A4"/>
    <w:rsid w:val="00F8412F"/>
    <w:rsid w:val="00F84791"/>
    <w:rsid w:val="00F85995"/>
    <w:rsid w:val="00F85FC5"/>
    <w:rsid w:val="00F86C22"/>
    <w:rsid w:val="00F90CB3"/>
    <w:rsid w:val="00F912A2"/>
    <w:rsid w:val="00F913A3"/>
    <w:rsid w:val="00F925C3"/>
    <w:rsid w:val="00F93831"/>
    <w:rsid w:val="00FA0109"/>
    <w:rsid w:val="00FA458B"/>
    <w:rsid w:val="00FA5EC5"/>
    <w:rsid w:val="00FA7016"/>
    <w:rsid w:val="00FA7174"/>
    <w:rsid w:val="00FA793D"/>
    <w:rsid w:val="00FB020E"/>
    <w:rsid w:val="00FB0F17"/>
    <w:rsid w:val="00FB4B9D"/>
    <w:rsid w:val="00FB50ED"/>
    <w:rsid w:val="00FB6E18"/>
    <w:rsid w:val="00FC144B"/>
    <w:rsid w:val="00FC2169"/>
    <w:rsid w:val="00FC28E2"/>
    <w:rsid w:val="00FC3BF6"/>
    <w:rsid w:val="00FC3D22"/>
    <w:rsid w:val="00FC6FE1"/>
    <w:rsid w:val="00FD0C3D"/>
    <w:rsid w:val="00FD2F6B"/>
    <w:rsid w:val="00FD3AB0"/>
    <w:rsid w:val="00FE064A"/>
    <w:rsid w:val="00FE0B55"/>
    <w:rsid w:val="00FE1E98"/>
    <w:rsid w:val="00FE2452"/>
    <w:rsid w:val="00FE5469"/>
    <w:rsid w:val="00FE66C2"/>
    <w:rsid w:val="00FE684A"/>
    <w:rsid w:val="00FE6F23"/>
    <w:rsid w:val="00FF0F8C"/>
    <w:rsid w:val="00FF408B"/>
    <w:rsid w:val="00FF43E1"/>
    <w:rsid w:val="017B3FF0"/>
    <w:rsid w:val="01AC3A93"/>
    <w:rsid w:val="020E2058"/>
    <w:rsid w:val="02775E4F"/>
    <w:rsid w:val="030D297A"/>
    <w:rsid w:val="03430854"/>
    <w:rsid w:val="039F5FA6"/>
    <w:rsid w:val="05DE1A14"/>
    <w:rsid w:val="06386D73"/>
    <w:rsid w:val="075A189C"/>
    <w:rsid w:val="07F9606D"/>
    <w:rsid w:val="080623A4"/>
    <w:rsid w:val="082A4344"/>
    <w:rsid w:val="08376C95"/>
    <w:rsid w:val="09305ADA"/>
    <w:rsid w:val="098929AD"/>
    <w:rsid w:val="0A1B17B6"/>
    <w:rsid w:val="0AF26D2D"/>
    <w:rsid w:val="0B4E1717"/>
    <w:rsid w:val="0BD00287"/>
    <w:rsid w:val="0C7C37E1"/>
    <w:rsid w:val="0CBF3A4F"/>
    <w:rsid w:val="0E8013B7"/>
    <w:rsid w:val="0EB37019"/>
    <w:rsid w:val="0F1D1B2D"/>
    <w:rsid w:val="10D604C6"/>
    <w:rsid w:val="11B515E0"/>
    <w:rsid w:val="12AF091F"/>
    <w:rsid w:val="12C35BA0"/>
    <w:rsid w:val="130F4A91"/>
    <w:rsid w:val="13A53267"/>
    <w:rsid w:val="13F970D2"/>
    <w:rsid w:val="14AA4136"/>
    <w:rsid w:val="15D13A5C"/>
    <w:rsid w:val="163A420B"/>
    <w:rsid w:val="17936E30"/>
    <w:rsid w:val="17BDB262"/>
    <w:rsid w:val="19413B26"/>
    <w:rsid w:val="1C6D3688"/>
    <w:rsid w:val="1CC63D0A"/>
    <w:rsid w:val="1DC2081A"/>
    <w:rsid w:val="1DD94266"/>
    <w:rsid w:val="1E780B2E"/>
    <w:rsid w:val="1ECC0E79"/>
    <w:rsid w:val="1F9D0947"/>
    <w:rsid w:val="1FFB29C6"/>
    <w:rsid w:val="21EF66E7"/>
    <w:rsid w:val="22AF3620"/>
    <w:rsid w:val="22E70AD4"/>
    <w:rsid w:val="23E25F14"/>
    <w:rsid w:val="24F1508D"/>
    <w:rsid w:val="266F634F"/>
    <w:rsid w:val="27A26C1B"/>
    <w:rsid w:val="28235C73"/>
    <w:rsid w:val="28927185"/>
    <w:rsid w:val="291059EA"/>
    <w:rsid w:val="2ACD1576"/>
    <w:rsid w:val="2BBF12EC"/>
    <w:rsid w:val="2BC649D9"/>
    <w:rsid w:val="2C596FCF"/>
    <w:rsid w:val="2C8C39F6"/>
    <w:rsid w:val="2D465B1D"/>
    <w:rsid w:val="30264F9C"/>
    <w:rsid w:val="308D6AF5"/>
    <w:rsid w:val="31291D49"/>
    <w:rsid w:val="31321BF6"/>
    <w:rsid w:val="31517FA2"/>
    <w:rsid w:val="32EC2577"/>
    <w:rsid w:val="33194D3D"/>
    <w:rsid w:val="3515160D"/>
    <w:rsid w:val="35696FCA"/>
    <w:rsid w:val="384A4E91"/>
    <w:rsid w:val="387D60DC"/>
    <w:rsid w:val="38E946AA"/>
    <w:rsid w:val="38F6684A"/>
    <w:rsid w:val="3B677055"/>
    <w:rsid w:val="3C7D00D8"/>
    <w:rsid w:val="3CA06C0C"/>
    <w:rsid w:val="3CBE7BFC"/>
    <w:rsid w:val="3D0C0513"/>
    <w:rsid w:val="3D98669F"/>
    <w:rsid w:val="3DD74ADE"/>
    <w:rsid w:val="3EA25851"/>
    <w:rsid w:val="3F6C3757"/>
    <w:rsid w:val="405D6A10"/>
    <w:rsid w:val="411F0144"/>
    <w:rsid w:val="4199190B"/>
    <w:rsid w:val="41DA6594"/>
    <w:rsid w:val="43100A85"/>
    <w:rsid w:val="43DD4E0B"/>
    <w:rsid w:val="43F735BB"/>
    <w:rsid w:val="444C1A75"/>
    <w:rsid w:val="44A3526F"/>
    <w:rsid w:val="44B032F4"/>
    <w:rsid w:val="455B7A11"/>
    <w:rsid w:val="457D25F7"/>
    <w:rsid w:val="460F5415"/>
    <w:rsid w:val="46165550"/>
    <w:rsid w:val="465515D1"/>
    <w:rsid w:val="468341CD"/>
    <w:rsid w:val="470B67E5"/>
    <w:rsid w:val="472C2589"/>
    <w:rsid w:val="48E37D1B"/>
    <w:rsid w:val="4A760AEB"/>
    <w:rsid w:val="4D1E7C86"/>
    <w:rsid w:val="4F3162CA"/>
    <w:rsid w:val="4F586DEA"/>
    <w:rsid w:val="4FC82E13"/>
    <w:rsid w:val="4FDA66A3"/>
    <w:rsid w:val="50D95873"/>
    <w:rsid w:val="51D503D5"/>
    <w:rsid w:val="52213CDE"/>
    <w:rsid w:val="526102AF"/>
    <w:rsid w:val="528444DA"/>
    <w:rsid w:val="52AC6580"/>
    <w:rsid w:val="537745D5"/>
    <w:rsid w:val="53E84E1B"/>
    <w:rsid w:val="54530EF2"/>
    <w:rsid w:val="54664188"/>
    <w:rsid w:val="54779E59"/>
    <w:rsid w:val="54CE3606"/>
    <w:rsid w:val="552306F6"/>
    <w:rsid w:val="55635CE5"/>
    <w:rsid w:val="563F3BB5"/>
    <w:rsid w:val="56690780"/>
    <w:rsid w:val="56E352D5"/>
    <w:rsid w:val="56FA587C"/>
    <w:rsid w:val="57855A59"/>
    <w:rsid w:val="57D0C569"/>
    <w:rsid w:val="57E435FE"/>
    <w:rsid w:val="582D0655"/>
    <w:rsid w:val="5951205C"/>
    <w:rsid w:val="5987789B"/>
    <w:rsid w:val="59D079E8"/>
    <w:rsid w:val="59D40847"/>
    <w:rsid w:val="5AE37F25"/>
    <w:rsid w:val="5B8A3673"/>
    <w:rsid w:val="5BC56459"/>
    <w:rsid w:val="5C693288"/>
    <w:rsid w:val="5CB23D47"/>
    <w:rsid w:val="5CC22998"/>
    <w:rsid w:val="5E5F4765"/>
    <w:rsid w:val="5E671A49"/>
    <w:rsid w:val="5E6919B0"/>
    <w:rsid w:val="5FAF09C4"/>
    <w:rsid w:val="5FB82473"/>
    <w:rsid w:val="605A2876"/>
    <w:rsid w:val="60785451"/>
    <w:rsid w:val="608C4642"/>
    <w:rsid w:val="60D235C8"/>
    <w:rsid w:val="62161700"/>
    <w:rsid w:val="62795572"/>
    <w:rsid w:val="63971B3E"/>
    <w:rsid w:val="64342D5D"/>
    <w:rsid w:val="648462E6"/>
    <w:rsid w:val="64DD6417"/>
    <w:rsid w:val="64E21E2A"/>
    <w:rsid w:val="65183F52"/>
    <w:rsid w:val="65654809"/>
    <w:rsid w:val="66004745"/>
    <w:rsid w:val="67CD64CE"/>
    <w:rsid w:val="6A567F20"/>
    <w:rsid w:val="6B500D32"/>
    <w:rsid w:val="6CD97953"/>
    <w:rsid w:val="6DECE615"/>
    <w:rsid w:val="6ED30FD7"/>
    <w:rsid w:val="6F477AF3"/>
    <w:rsid w:val="6F616041"/>
    <w:rsid w:val="6FDD66CE"/>
    <w:rsid w:val="7028329E"/>
    <w:rsid w:val="71D21478"/>
    <w:rsid w:val="727D78FD"/>
    <w:rsid w:val="734B4327"/>
    <w:rsid w:val="73CC655F"/>
    <w:rsid w:val="73DC4C67"/>
    <w:rsid w:val="75957445"/>
    <w:rsid w:val="75C8390F"/>
    <w:rsid w:val="75D01AE1"/>
    <w:rsid w:val="76164029"/>
    <w:rsid w:val="7638450F"/>
    <w:rsid w:val="76F2314F"/>
    <w:rsid w:val="77312257"/>
    <w:rsid w:val="77524363"/>
    <w:rsid w:val="777BF1EF"/>
    <w:rsid w:val="77A4062A"/>
    <w:rsid w:val="77B917B5"/>
    <w:rsid w:val="77E66C06"/>
    <w:rsid w:val="783D6867"/>
    <w:rsid w:val="78703975"/>
    <w:rsid w:val="78BF79C0"/>
    <w:rsid w:val="795E2969"/>
    <w:rsid w:val="7A993117"/>
    <w:rsid w:val="7B2B622B"/>
    <w:rsid w:val="7B57997E"/>
    <w:rsid w:val="7BE420FD"/>
    <w:rsid w:val="7CC50D2F"/>
    <w:rsid w:val="7D0D296B"/>
    <w:rsid w:val="7D4E0B54"/>
    <w:rsid w:val="7D503E78"/>
    <w:rsid w:val="7E0160D4"/>
    <w:rsid w:val="7EECBB0A"/>
    <w:rsid w:val="7EEF71C5"/>
    <w:rsid w:val="7FB771B9"/>
    <w:rsid w:val="7FFB9474"/>
    <w:rsid w:val="A7FBA6E0"/>
    <w:rsid w:val="BEFE9B83"/>
    <w:rsid w:val="CEB33986"/>
    <w:rsid w:val="CF71C0FE"/>
    <w:rsid w:val="CFDDB776"/>
    <w:rsid w:val="CFEFF0FA"/>
    <w:rsid w:val="CFF76A01"/>
    <w:rsid w:val="D71FC22B"/>
    <w:rsid w:val="DABFFEA7"/>
    <w:rsid w:val="E57B6F0F"/>
    <w:rsid w:val="EF6458DF"/>
    <w:rsid w:val="F7DF5C76"/>
    <w:rsid w:val="F9F80EEC"/>
    <w:rsid w:val="FBEEAF31"/>
    <w:rsid w:val="FF8B16EE"/>
    <w:rsid w:val="FFBFAD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75"/>
    <w:qFormat/>
    <w:uiPriority w:val="9"/>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link w:val="88"/>
    <w:qFormat/>
    <w:uiPriority w:val="9"/>
    <w:pPr>
      <w:keepNext/>
      <w:keepLines/>
      <w:numPr>
        <w:ilvl w:val="1"/>
        <w:numId w:val="1"/>
      </w:numPr>
      <w:spacing w:before="120" w:after="120"/>
      <w:ind w:firstLine="0" w:firstLineChars="0"/>
      <w:outlineLvl w:val="1"/>
    </w:pPr>
    <w:rPr>
      <w:b/>
      <w:bCs/>
      <w:sz w:val="30"/>
      <w:szCs w:val="32"/>
    </w:rPr>
  </w:style>
  <w:style w:type="paragraph" w:styleId="4">
    <w:name w:val="heading 3"/>
    <w:basedOn w:val="1"/>
    <w:next w:val="1"/>
    <w:link w:val="81"/>
    <w:qFormat/>
    <w:uiPriority w:val="9"/>
    <w:pPr>
      <w:keepNext/>
      <w:keepLines/>
      <w:numPr>
        <w:ilvl w:val="2"/>
        <w:numId w:val="1"/>
      </w:numPr>
      <w:spacing w:before="120" w:after="120"/>
      <w:ind w:firstLine="0" w:firstLineChars="0"/>
      <w:outlineLvl w:val="2"/>
    </w:pPr>
    <w:rPr>
      <w:b/>
      <w:bCs/>
      <w:sz w:val="28"/>
      <w:szCs w:val="28"/>
    </w:rPr>
  </w:style>
  <w:style w:type="paragraph" w:styleId="5">
    <w:name w:val="heading 4"/>
    <w:basedOn w:val="4"/>
    <w:next w:val="1"/>
    <w:link w:val="58"/>
    <w:qFormat/>
    <w:uiPriority w:val="9"/>
    <w:pPr>
      <w:numPr>
        <w:ilvl w:val="3"/>
      </w:numPr>
      <w:ind w:left="851" w:firstLine="0"/>
      <w:outlineLvl w:val="3"/>
    </w:pPr>
    <w:rPr>
      <w:sz w:val="30"/>
      <w:szCs w:val="30"/>
    </w:rPr>
  </w:style>
  <w:style w:type="paragraph" w:styleId="6">
    <w:name w:val="heading 5"/>
    <w:basedOn w:val="1"/>
    <w:next w:val="1"/>
    <w:link w:val="86"/>
    <w:qFormat/>
    <w:uiPriority w:val="9"/>
    <w:pPr>
      <w:keepNext/>
      <w:keepLines/>
      <w:numPr>
        <w:ilvl w:val="4"/>
        <w:numId w:val="1"/>
      </w:numPr>
      <w:spacing w:before="120" w:after="120"/>
      <w:ind w:left="0" w:firstLine="0" w:firstLineChars="0"/>
      <w:outlineLvl w:val="4"/>
    </w:pPr>
    <w:rPr>
      <w:b/>
      <w:bCs/>
      <w:szCs w:val="28"/>
    </w:rPr>
  </w:style>
  <w:style w:type="paragraph" w:styleId="7">
    <w:name w:val="heading 6"/>
    <w:basedOn w:val="1"/>
    <w:next w:val="1"/>
    <w:link w:val="99"/>
    <w:qFormat/>
    <w:uiPriority w:val="9"/>
    <w:pPr>
      <w:keepNext/>
      <w:keepLines/>
      <w:numPr>
        <w:ilvl w:val="5"/>
        <w:numId w:val="1"/>
      </w:numPr>
      <w:spacing w:before="120" w:after="120"/>
      <w:ind w:firstLine="0" w:firstLineChars="0"/>
      <w:outlineLvl w:val="5"/>
    </w:pPr>
    <w:rPr>
      <w:rFonts w:ascii="Cambria" w:hAnsi="Cambria"/>
      <w:b/>
      <w:bCs/>
    </w:rPr>
  </w:style>
  <w:style w:type="paragraph" w:styleId="8">
    <w:name w:val="heading 7"/>
    <w:basedOn w:val="1"/>
    <w:next w:val="1"/>
    <w:link w:val="72"/>
    <w:qFormat/>
    <w:uiPriority w:val="9"/>
    <w:pPr>
      <w:keepNext/>
      <w:keepLines/>
      <w:spacing w:before="240" w:after="64" w:line="319" w:lineRule="auto"/>
      <w:ind w:firstLine="0" w:firstLineChars="0"/>
      <w:outlineLvl w:val="6"/>
    </w:pPr>
    <w:rPr>
      <w:rFonts w:ascii="Times New Roman" w:hAnsi="Times New Roman"/>
      <w:b/>
      <w:bCs/>
      <w:sz w:val="21"/>
    </w:rPr>
  </w:style>
  <w:style w:type="paragraph" w:styleId="9">
    <w:name w:val="heading 8"/>
    <w:basedOn w:val="1"/>
    <w:next w:val="1"/>
    <w:link w:val="98"/>
    <w:qFormat/>
    <w:uiPriority w:val="9"/>
    <w:pPr>
      <w:keepNext/>
      <w:keepLines/>
      <w:spacing w:before="240" w:after="64" w:line="319" w:lineRule="auto"/>
      <w:ind w:firstLine="0" w:firstLineChars="0"/>
      <w:outlineLvl w:val="7"/>
    </w:pPr>
    <w:rPr>
      <w:rFonts w:ascii="Cambria" w:hAnsi="Cambria"/>
      <w:sz w:val="21"/>
    </w:rPr>
  </w:style>
  <w:style w:type="paragraph" w:styleId="10">
    <w:name w:val="heading 9"/>
    <w:basedOn w:val="1"/>
    <w:next w:val="1"/>
    <w:link w:val="48"/>
    <w:qFormat/>
    <w:uiPriority w:val="9"/>
    <w:pPr>
      <w:keepNext/>
      <w:keepLines/>
      <w:spacing w:before="240" w:after="64" w:line="319" w:lineRule="auto"/>
      <w:ind w:firstLine="0" w:firstLineChars="0"/>
      <w:outlineLvl w:val="8"/>
    </w:pPr>
    <w:rPr>
      <w:rFonts w:ascii="Cambria" w:hAnsi="Cambria"/>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等线" w:hAnsi="等线" w:eastAsia="等线"/>
      <w:szCs w:val="22"/>
    </w:rPr>
  </w:style>
  <w:style w:type="paragraph" w:styleId="12">
    <w:name w:val="Normal Indent"/>
    <w:basedOn w:val="1"/>
    <w:unhideWhenUsed/>
    <w:qFormat/>
    <w:uiPriority w:val="99"/>
    <w:pPr>
      <w:spacing w:line="240" w:lineRule="auto"/>
      <w:ind w:firstLine="420"/>
    </w:pPr>
    <w:rPr>
      <w:rFonts w:ascii="Calibri" w:hAnsi="Calibri"/>
      <w:sz w:val="21"/>
    </w:rPr>
  </w:style>
  <w:style w:type="paragraph" w:styleId="13">
    <w:name w:val="caption"/>
    <w:basedOn w:val="1"/>
    <w:next w:val="1"/>
    <w:link w:val="54"/>
    <w:qFormat/>
    <w:uiPriority w:val="0"/>
    <w:pPr>
      <w:spacing w:afterLines="50"/>
      <w:ind w:firstLine="200"/>
    </w:pPr>
    <w:rPr>
      <w:rFonts w:ascii="Arial" w:hAnsi="Arial" w:eastAsia="黑体"/>
      <w:sz w:val="20"/>
      <w:szCs w:val="20"/>
    </w:rPr>
  </w:style>
  <w:style w:type="paragraph" w:styleId="14">
    <w:name w:val="Document Map"/>
    <w:basedOn w:val="1"/>
    <w:link w:val="91"/>
    <w:qFormat/>
    <w:uiPriority w:val="0"/>
    <w:rPr>
      <w:rFonts w:hAnsi="Times New Roman"/>
      <w:sz w:val="18"/>
      <w:szCs w:val="18"/>
    </w:rPr>
  </w:style>
  <w:style w:type="paragraph" w:styleId="15">
    <w:name w:val="annotation text"/>
    <w:basedOn w:val="1"/>
    <w:link w:val="45"/>
    <w:qFormat/>
    <w:uiPriority w:val="99"/>
    <w:pPr>
      <w:ind w:firstLine="420"/>
      <w:jc w:val="left"/>
    </w:pPr>
    <w:rPr>
      <w:rFonts w:ascii="Times New Roman" w:hAnsi="Times New Roman" w:eastAsia="仿宋"/>
      <w:sz w:val="28"/>
    </w:rPr>
  </w:style>
  <w:style w:type="paragraph" w:styleId="16">
    <w:name w:val="Body Text"/>
    <w:basedOn w:val="1"/>
    <w:link w:val="59"/>
    <w:unhideWhenUsed/>
    <w:qFormat/>
    <w:uiPriority w:val="0"/>
    <w:pPr>
      <w:spacing w:after="120" w:line="240" w:lineRule="auto"/>
      <w:ind w:firstLine="0" w:firstLineChars="0"/>
    </w:pPr>
    <w:rPr>
      <w:rFonts w:ascii="Times New Roman" w:hAnsi="Times New Roman"/>
      <w:sz w:val="21"/>
    </w:rPr>
  </w:style>
  <w:style w:type="paragraph" w:styleId="17">
    <w:name w:val="Body Text Indent"/>
    <w:basedOn w:val="1"/>
    <w:link w:val="85"/>
    <w:qFormat/>
    <w:uiPriority w:val="0"/>
    <w:pPr>
      <w:spacing w:after="120"/>
      <w:ind w:firstLine="200"/>
    </w:pPr>
    <w:rPr>
      <w:rFonts w:ascii="Times New Roman" w:hAnsi="Times New Roman"/>
      <w:sz w:val="21"/>
      <w:szCs w:val="20"/>
    </w:rPr>
  </w:style>
  <w:style w:type="paragraph" w:styleId="18">
    <w:name w:val="toc 5"/>
    <w:basedOn w:val="1"/>
    <w:next w:val="1"/>
    <w:unhideWhenUsed/>
    <w:qFormat/>
    <w:uiPriority w:val="39"/>
    <w:pPr>
      <w:ind w:left="1680" w:leftChars="800"/>
    </w:pPr>
    <w:rPr>
      <w:rFonts w:ascii="等线" w:hAnsi="等线" w:eastAsia="等线"/>
      <w:szCs w:val="22"/>
    </w:rPr>
  </w:style>
  <w:style w:type="paragraph" w:styleId="19">
    <w:name w:val="toc 3"/>
    <w:basedOn w:val="1"/>
    <w:next w:val="1"/>
    <w:qFormat/>
    <w:uiPriority w:val="39"/>
    <w:pPr>
      <w:tabs>
        <w:tab w:val="right" w:leader="dot" w:pos="8302"/>
      </w:tabs>
      <w:ind w:left="840" w:leftChars="400"/>
    </w:pPr>
  </w:style>
  <w:style w:type="paragraph" w:styleId="20">
    <w:name w:val="Plain Text"/>
    <w:basedOn w:val="1"/>
    <w:link w:val="66"/>
    <w:qFormat/>
    <w:uiPriority w:val="0"/>
    <w:pPr>
      <w:spacing w:line="240" w:lineRule="auto"/>
      <w:ind w:firstLine="0" w:firstLineChars="0"/>
    </w:pPr>
    <w:rPr>
      <w:rFonts w:hAnsi="Courier New"/>
      <w:sz w:val="21"/>
      <w:szCs w:val="20"/>
    </w:rPr>
  </w:style>
  <w:style w:type="paragraph" w:styleId="21">
    <w:name w:val="toc 8"/>
    <w:basedOn w:val="1"/>
    <w:next w:val="1"/>
    <w:unhideWhenUsed/>
    <w:qFormat/>
    <w:uiPriority w:val="39"/>
    <w:pPr>
      <w:ind w:left="2940" w:leftChars="1400"/>
    </w:pPr>
    <w:rPr>
      <w:rFonts w:ascii="等线" w:hAnsi="等线" w:eastAsia="等线"/>
      <w:szCs w:val="22"/>
    </w:rPr>
  </w:style>
  <w:style w:type="paragraph" w:styleId="22">
    <w:name w:val="Date"/>
    <w:basedOn w:val="1"/>
    <w:next w:val="1"/>
    <w:link w:val="47"/>
    <w:qFormat/>
    <w:uiPriority w:val="0"/>
    <w:pPr>
      <w:ind w:left="100" w:leftChars="2500"/>
    </w:pPr>
    <w:rPr>
      <w:rFonts w:ascii="Times New Roman" w:hAnsi="Times New Roman"/>
      <w:sz w:val="21"/>
    </w:rPr>
  </w:style>
  <w:style w:type="paragraph" w:styleId="23">
    <w:name w:val="Balloon Text"/>
    <w:basedOn w:val="1"/>
    <w:link w:val="96"/>
    <w:qFormat/>
    <w:uiPriority w:val="0"/>
    <w:rPr>
      <w:rFonts w:ascii="Times New Roman" w:hAnsi="Times New Roman"/>
      <w:sz w:val="18"/>
      <w:szCs w:val="18"/>
    </w:rPr>
  </w:style>
  <w:style w:type="paragraph" w:styleId="24">
    <w:name w:val="footer"/>
    <w:basedOn w:val="1"/>
    <w:link w:val="89"/>
    <w:qFormat/>
    <w:uiPriority w:val="99"/>
    <w:pPr>
      <w:tabs>
        <w:tab w:val="center" w:pos="4153"/>
        <w:tab w:val="right" w:pos="8306"/>
      </w:tabs>
      <w:snapToGrid w:val="0"/>
      <w:jc w:val="center"/>
    </w:pPr>
    <w:rPr>
      <w:rFonts w:ascii="Times New Roman" w:hAnsi="Times New Roman"/>
      <w:sz w:val="18"/>
      <w:szCs w:val="18"/>
    </w:rPr>
  </w:style>
  <w:style w:type="paragraph" w:styleId="25">
    <w:name w:val="header"/>
    <w:basedOn w:val="1"/>
    <w:link w:val="97"/>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等线" w:hAnsi="等线" w:eastAsia="等线"/>
      <w:szCs w:val="22"/>
    </w:rPr>
  </w:style>
  <w:style w:type="paragraph" w:styleId="28">
    <w:name w:val="Subtitle"/>
    <w:basedOn w:val="1"/>
    <w:next w:val="1"/>
    <w:link w:val="87"/>
    <w:qFormat/>
    <w:uiPriority w:val="0"/>
    <w:pPr>
      <w:spacing w:before="240" w:after="60" w:line="312" w:lineRule="auto"/>
      <w:jc w:val="center"/>
      <w:outlineLvl w:val="1"/>
    </w:pPr>
    <w:rPr>
      <w:rFonts w:ascii="Calibri Light" w:hAnsi="Calibri Light"/>
      <w:b/>
      <w:bCs/>
      <w:kern w:val="28"/>
      <w:sz w:val="32"/>
      <w:szCs w:val="32"/>
    </w:rPr>
  </w:style>
  <w:style w:type="paragraph" w:styleId="29">
    <w:name w:val="toc 6"/>
    <w:basedOn w:val="1"/>
    <w:next w:val="1"/>
    <w:unhideWhenUsed/>
    <w:qFormat/>
    <w:uiPriority w:val="39"/>
    <w:pPr>
      <w:ind w:left="2100" w:leftChars="1000"/>
    </w:pPr>
    <w:rPr>
      <w:rFonts w:ascii="等线" w:hAnsi="等线" w:eastAsia="等线"/>
      <w:szCs w:val="22"/>
    </w:rPr>
  </w:style>
  <w:style w:type="paragraph" w:styleId="30">
    <w:name w:val="toc 2"/>
    <w:basedOn w:val="1"/>
    <w:next w:val="1"/>
    <w:qFormat/>
    <w:uiPriority w:val="39"/>
    <w:pPr>
      <w:tabs>
        <w:tab w:val="right" w:leader="dot" w:pos="8302"/>
      </w:tabs>
      <w:ind w:left="420" w:leftChars="200"/>
    </w:pPr>
  </w:style>
  <w:style w:type="paragraph" w:styleId="31">
    <w:name w:val="toc 9"/>
    <w:basedOn w:val="1"/>
    <w:next w:val="1"/>
    <w:unhideWhenUsed/>
    <w:qFormat/>
    <w:uiPriority w:val="39"/>
    <w:pPr>
      <w:ind w:left="3360" w:leftChars="1600"/>
    </w:pPr>
    <w:rPr>
      <w:rFonts w:ascii="等线" w:hAnsi="等线" w:eastAsia="等线"/>
      <w:szCs w:val="22"/>
    </w:rPr>
  </w:style>
  <w:style w:type="paragraph" w:styleId="32">
    <w:name w:val="Normal (Web)"/>
    <w:basedOn w:val="1"/>
    <w:qFormat/>
    <w:uiPriority w:val="99"/>
    <w:pPr>
      <w:widowControl/>
      <w:spacing w:before="100" w:after="100"/>
      <w:jc w:val="left"/>
    </w:pPr>
    <w:rPr>
      <w:rFonts w:hint="eastAsia" w:ascii="Arial Unicode MS" w:hAnsi="Arial Unicode MS" w:eastAsia="Arial Unicode MS"/>
      <w:kern w:val="0"/>
    </w:rPr>
  </w:style>
  <w:style w:type="paragraph" w:styleId="33">
    <w:name w:val="Title"/>
    <w:basedOn w:val="1"/>
    <w:next w:val="1"/>
    <w:link w:val="95"/>
    <w:qFormat/>
    <w:uiPriority w:val="0"/>
    <w:pPr>
      <w:spacing w:before="240" w:after="60" w:line="960" w:lineRule="auto"/>
      <w:jc w:val="center"/>
    </w:pPr>
    <w:rPr>
      <w:rFonts w:ascii="Cambria" w:hAnsi="Cambria" w:eastAsia="黑体"/>
      <w:b/>
      <w:bCs/>
      <w:sz w:val="52"/>
      <w:szCs w:val="32"/>
    </w:rPr>
  </w:style>
  <w:style w:type="paragraph" w:styleId="34">
    <w:name w:val="annotation subject"/>
    <w:basedOn w:val="15"/>
    <w:next w:val="15"/>
    <w:link w:val="83"/>
    <w:qFormat/>
    <w:uiPriority w:val="0"/>
    <w:rPr>
      <w:b/>
      <w:bCs/>
      <w:sz w:val="21"/>
    </w:rPr>
  </w:style>
  <w:style w:type="table" w:styleId="36">
    <w:name w:val="Table Grid"/>
    <w:basedOn w:val="3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3 字符1"/>
    <w:qFormat/>
    <w:uiPriority w:val="0"/>
    <w:rPr>
      <w:rFonts w:ascii="宋体" w:hAnsi="宋体"/>
      <w:b/>
      <w:bCs/>
      <w:kern w:val="2"/>
      <w:sz w:val="28"/>
      <w:szCs w:val="28"/>
    </w:rPr>
  </w:style>
  <w:style w:type="character" w:customStyle="1" w:styleId="43">
    <w:name w:val="首行缩进正文 Char"/>
    <w:link w:val="44"/>
    <w:qFormat/>
    <w:uiPriority w:val="0"/>
    <w:rPr>
      <w:kern w:val="2"/>
      <w:sz w:val="24"/>
    </w:rPr>
  </w:style>
  <w:style w:type="paragraph" w:customStyle="1" w:styleId="44">
    <w:name w:val="首行缩进正文"/>
    <w:basedOn w:val="1"/>
    <w:link w:val="43"/>
    <w:qFormat/>
    <w:uiPriority w:val="0"/>
    <w:pPr>
      <w:widowControl/>
      <w:adjustRightInd w:val="0"/>
      <w:snapToGrid w:val="0"/>
      <w:spacing w:afterLines="50" w:line="276" w:lineRule="auto"/>
      <w:ind w:firstLine="420" w:firstLineChars="0"/>
      <w:jc w:val="left"/>
    </w:pPr>
    <w:rPr>
      <w:rFonts w:ascii="Times New Roman" w:hAnsi="Times New Roman"/>
      <w:szCs w:val="20"/>
    </w:rPr>
  </w:style>
  <w:style w:type="character" w:customStyle="1" w:styleId="45">
    <w:name w:val="批注文字 字符1"/>
    <w:link w:val="15"/>
    <w:qFormat/>
    <w:uiPriority w:val="99"/>
    <w:rPr>
      <w:rFonts w:eastAsia="仿宋"/>
      <w:kern w:val="2"/>
      <w:sz w:val="28"/>
      <w:szCs w:val="24"/>
    </w:rPr>
  </w:style>
  <w:style w:type="character" w:customStyle="1" w:styleId="46">
    <w:name w:val="日期 字符"/>
    <w:semiHidden/>
    <w:qFormat/>
    <w:uiPriority w:val="99"/>
    <w:rPr>
      <w:rFonts w:ascii="宋体" w:hAnsi="宋体"/>
      <w:kern w:val="2"/>
      <w:sz w:val="24"/>
      <w:szCs w:val="24"/>
    </w:rPr>
  </w:style>
  <w:style w:type="character" w:customStyle="1" w:styleId="47">
    <w:name w:val="日期 字符1"/>
    <w:link w:val="22"/>
    <w:qFormat/>
    <w:uiPriority w:val="0"/>
    <w:rPr>
      <w:kern w:val="2"/>
      <w:sz w:val="21"/>
      <w:szCs w:val="24"/>
    </w:rPr>
  </w:style>
  <w:style w:type="character" w:customStyle="1" w:styleId="48">
    <w:name w:val="标题 9 字符"/>
    <w:link w:val="10"/>
    <w:qFormat/>
    <w:uiPriority w:val="9"/>
    <w:rPr>
      <w:rFonts w:ascii="Cambria" w:hAnsi="Cambria"/>
      <w:kern w:val="2"/>
      <w:sz w:val="21"/>
      <w:szCs w:val="21"/>
    </w:rPr>
  </w:style>
  <w:style w:type="character" w:customStyle="1" w:styleId="49">
    <w:name w:val="未处理的提及1"/>
    <w:unhideWhenUsed/>
    <w:qFormat/>
    <w:uiPriority w:val="99"/>
    <w:rPr>
      <w:color w:val="605E5C"/>
      <w:shd w:val="clear" w:color="auto" w:fill="E1DFDD"/>
    </w:rPr>
  </w:style>
  <w:style w:type="character" w:customStyle="1" w:styleId="50">
    <w:name w:val="标题 1 字符"/>
    <w:qFormat/>
    <w:uiPriority w:val="9"/>
    <w:rPr>
      <w:rFonts w:ascii="宋体" w:hAnsi="宋体"/>
      <w:b/>
      <w:bCs/>
      <w:kern w:val="44"/>
      <w:sz w:val="44"/>
      <w:szCs w:val="44"/>
    </w:rPr>
  </w:style>
  <w:style w:type="character" w:customStyle="1" w:styleId="51">
    <w:name w:val="标题 3 字符"/>
    <w:semiHidden/>
    <w:qFormat/>
    <w:uiPriority w:val="9"/>
    <w:rPr>
      <w:rFonts w:ascii="宋体" w:hAnsi="宋体"/>
      <w:b/>
      <w:bCs/>
      <w:kern w:val="2"/>
      <w:sz w:val="32"/>
      <w:szCs w:val="32"/>
    </w:rPr>
  </w:style>
  <w:style w:type="character" w:customStyle="1" w:styleId="52">
    <w:name w:val="页脚 字符"/>
    <w:qFormat/>
    <w:uiPriority w:val="99"/>
  </w:style>
  <w:style w:type="character" w:customStyle="1" w:styleId="53">
    <w:name w:val="标题 5 字符"/>
    <w:semiHidden/>
    <w:qFormat/>
    <w:uiPriority w:val="9"/>
    <w:rPr>
      <w:rFonts w:ascii="宋体" w:hAnsi="宋体"/>
      <w:b/>
      <w:bCs/>
      <w:kern w:val="2"/>
      <w:sz w:val="28"/>
      <w:szCs w:val="28"/>
    </w:rPr>
  </w:style>
  <w:style w:type="character" w:customStyle="1" w:styleId="54">
    <w:name w:val="题注 字符"/>
    <w:link w:val="13"/>
    <w:qFormat/>
    <w:locked/>
    <w:uiPriority w:val="0"/>
    <w:rPr>
      <w:rFonts w:ascii="Arial" w:hAnsi="Arial" w:eastAsia="黑体"/>
      <w:kern w:val="2"/>
    </w:rPr>
  </w:style>
  <w:style w:type="character" w:customStyle="1" w:styleId="55">
    <w:name w:val="标题 2 字符"/>
    <w:semiHidden/>
    <w:qFormat/>
    <w:uiPriority w:val="9"/>
    <w:rPr>
      <w:rFonts w:ascii="等线 Light" w:hAnsi="等线 Light" w:eastAsia="等线 Light" w:cs="Times New Roman"/>
      <w:b/>
      <w:bCs/>
      <w:kern w:val="2"/>
      <w:sz w:val="32"/>
      <w:szCs w:val="32"/>
    </w:rPr>
  </w:style>
  <w:style w:type="character" w:customStyle="1" w:styleId="56">
    <w:name w:val="纯文本 字符"/>
    <w:qFormat/>
    <w:uiPriority w:val="0"/>
    <w:rPr>
      <w:rFonts w:ascii="宋体" w:hAnsi="Courier New" w:cs="Courier New"/>
      <w:kern w:val="2"/>
      <w:sz w:val="21"/>
      <w:szCs w:val="21"/>
    </w:rPr>
  </w:style>
  <w:style w:type="character" w:customStyle="1" w:styleId="57">
    <w:name w:val="列表段落 字符"/>
    <w:qFormat/>
    <w:uiPriority w:val="34"/>
    <w:rPr>
      <w:kern w:val="2"/>
      <w:sz w:val="21"/>
      <w:szCs w:val="22"/>
    </w:rPr>
  </w:style>
  <w:style w:type="character" w:customStyle="1" w:styleId="58">
    <w:name w:val="标题 4 字符1"/>
    <w:link w:val="5"/>
    <w:qFormat/>
    <w:uiPriority w:val="0"/>
    <w:rPr>
      <w:rFonts w:ascii="宋体" w:hAnsi="宋体"/>
      <w:b/>
      <w:bCs/>
      <w:kern w:val="2"/>
      <w:sz w:val="30"/>
      <w:szCs w:val="30"/>
    </w:rPr>
  </w:style>
  <w:style w:type="character" w:customStyle="1" w:styleId="59">
    <w:name w:val="正文文本 字符"/>
    <w:link w:val="16"/>
    <w:qFormat/>
    <w:uiPriority w:val="0"/>
    <w:rPr>
      <w:kern w:val="2"/>
      <w:sz w:val="21"/>
      <w:szCs w:val="24"/>
    </w:rPr>
  </w:style>
  <w:style w:type="character" w:customStyle="1" w:styleId="60">
    <w:name w:val="列表段落 字符1"/>
    <w:link w:val="61"/>
    <w:qFormat/>
    <w:uiPriority w:val="34"/>
    <w:rPr>
      <w:kern w:val="2"/>
      <w:sz w:val="21"/>
      <w:szCs w:val="24"/>
    </w:rPr>
  </w:style>
  <w:style w:type="paragraph" w:styleId="61">
    <w:name w:val="List Paragraph"/>
    <w:basedOn w:val="1"/>
    <w:link w:val="60"/>
    <w:qFormat/>
    <w:uiPriority w:val="34"/>
    <w:pPr>
      <w:ind w:firstLine="420"/>
    </w:pPr>
    <w:rPr>
      <w:rFonts w:ascii="Times New Roman" w:hAnsi="Times New Roman"/>
      <w:sz w:val="21"/>
    </w:rPr>
  </w:style>
  <w:style w:type="character" w:customStyle="1" w:styleId="62">
    <w:name w:val="font21"/>
    <w:qFormat/>
    <w:uiPriority w:val="0"/>
    <w:rPr>
      <w:rFonts w:ascii="Calibri" w:hAnsi="Calibri" w:cs="Calibri"/>
      <w:color w:val="000000"/>
      <w:sz w:val="21"/>
      <w:szCs w:val="21"/>
      <w:u w:val="none"/>
    </w:rPr>
  </w:style>
  <w:style w:type="character" w:customStyle="1" w:styleId="63">
    <w:name w:val="*正文 Char"/>
    <w:link w:val="64"/>
    <w:qFormat/>
    <w:uiPriority w:val="0"/>
    <w:rPr>
      <w:rFonts w:ascii="time" w:hAnsi="time"/>
      <w:sz w:val="24"/>
      <w:szCs w:val="24"/>
      <w:lang w:bidi="en-US"/>
    </w:rPr>
  </w:style>
  <w:style w:type="paragraph" w:customStyle="1" w:styleId="64">
    <w:name w:val="*正文"/>
    <w:basedOn w:val="1"/>
    <w:link w:val="63"/>
    <w:qFormat/>
    <w:uiPriority w:val="0"/>
    <w:pPr>
      <w:widowControl/>
      <w:ind w:firstLine="200"/>
      <w:contextualSpacing/>
    </w:pPr>
    <w:rPr>
      <w:rFonts w:ascii="time" w:hAnsi="time"/>
      <w:kern w:val="0"/>
      <w:lang w:bidi="en-US"/>
    </w:rPr>
  </w:style>
  <w:style w:type="character" w:customStyle="1" w:styleId="65">
    <w:name w:val="正文文本缩进 字符"/>
    <w:semiHidden/>
    <w:qFormat/>
    <w:uiPriority w:val="99"/>
    <w:rPr>
      <w:rFonts w:ascii="宋体" w:hAnsi="宋体"/>
      <w:kern w:val="2"/>
      <w:sz w:val="24"/>
      <w:szCs w:val="24"/>
    </w:rPr>
  </w:style>
  <w:style w:type="character" w:customStyle="1" w:styleId="66">
    <w:name w:val="纯文本 字符1"/>
    <w:link w:val="20"/>
    <w:qFormat/>
    <w:locked/>
    <w:uiPriority w:val="0"/>
    <w:rPr>
      <w:rFonts w:ascii="宋体" w:hAnsi="Courier New"/>
      <w:kern w:val="2"/>
      <w:sz w:val="21"/>
    </w:rPr>
  </w:style>
  <w:style w:type="character" w:customStyle="1" w:styleId="67">
    <w:name w:val="my正文 Char"/>
    <w:link w:val="68"/>
    <w:qFormat/>
    <w:uiPriority w:val="0"/>
    <w:rPr>
      <w:kern w:val="2"/>
      <w:sz w:val="21"/>
      <w:szCs w:val="24"/>
    </w:rPr>
  </w:style>
  <w:style w:type="paragraph" w:customStyle="1" w:styleId="68">
    <w:name w:val="my正文"/>
    <w:basedOn w:val="1"/>
    <w:link w:val="67"/>
    <w:qFormat/>
    <w:uiPriority w:val="0"/>
    <w:pPr>
      <w:spacing w:line="240" w:lineRule="auto"/>
      <w:ind w:firstLine="0" w:firstLineChars="0"/>
    </w:pPr>
    <w:rPr>
      <w:rFonts w:ascii="Times New Roman" w:hAnsi="Times New Roman"/>
      <w:sz w:val="21"/>
    </w:rPr>
  </w:style>
  <w:style w:type="character" w:customStyle="1" w:styleId="69">
    <w:name w:val="正文2 字符"/>
    <w:link w:val="70"/>
    <w:qFormat/>
    <w:uiPriority w:val="0"/>
    <w:rPr>
      <w:kern w:val="2"/>
      <w:sz w:val="21"/>
      <w:szCs w:val="24"/>
    </w:rPr>
  </w:style>
  <w:style w:type="paragraph" w:customStyle="1" w:styleId="70">
    <w:name w:val="正文2"/>
    <w:basedOn w:val="1"/>
    <w:link w:val="69"/>
    <w:qFormat/>
    <w:uiPriority w:val="0"/>
    <w:pPr>
      <w:ind w:firstLine="420"/>
    </w:pPr>
    <w:rPr>
      <w:rFonts w:ascii="Times New Roman" w:hAnsi="Times New Roman"/>
      <w:sz w:val="21"/>
    </w:rPr>
  </w:style>
  <w:style w:type="character" w:customStyle="1" w:styleId="71">
    <w:name w:val="font41"/>
    <w:qFormat/>
    <w:uiPriority w:val="0"/>
    <w:rPr>
      <w:rFonts w:hint="eastAsia" w:ascii="宋体" w:hAnsi="宋体" w:eastAsia="宋体" w:cs="宋体"/>
      <w:color w:val="000000"/>
      <w:sz w:val="21"/>
      <w:szCs w:val="21"/>
      <w:u w:val="none"/>
    </w:rPr>
  </w:style>
  <w:style w:type="character" w:customStyle="1" w:styleId="72">
    <w:name w:val="标题 7 字符"/>
    <w:link w:val="8"/>
    <w:qFormat/>
    <w:uiPriority w:val="9"/>
    <w:rPr>
      <w:b/>
      <w:bCs/>
      <w:kern w:val="2"/>
      <w:sz w:val="21"/>
      <w:szCs w:val="24"/>
    </w:rPr>
  </w:style>
  <w:style w:type="character" w:customStyle="1" w:styleId="73">
    <w:name w:val="批注框文本 字符"/>
    <w:semiHidden/>
    <w:qFormat/>
    <w:uiPriority w:val="99"/>
    <w:rPr>
      <w:rFonts w:ascii="宋体" w:hAnsi="宋体"/>
      <w:kern w:val="2"/>
      <w:sz w:val="18"/>
      <w:szCs w:val="18"/>
    </w:rPr>
  </w:style>
  <w:style w:type="character" w:customStyle="1" w:styleId="74">
    <w:name w:val="副标题 Char1"/>
    <w:qFormat/>
    <w:uiPriority w:val="0"/>
    <w:rPr>
      <w:rFonts w:ascii="Calibri Light" w:hAnsi="Calibri Light" w:cs="Times New Roman"/>
      <w:b/>
      <w:bCs/>
      <w:kern w:val="28"/>
      <w:sz w:val="32"/>
      <w:szCs w:val="32"/>
    </w:rPr>
  </w:style>
  <w:style w:type="character" w:customStyle="1" w:styleId="75">
    <w:name w:val="标题 1 字符1"/>
    <w:link w:val="2"/>
    <w:qFormat/>
    <w:uiPriority w:val="9"/>
    <w:rPr>
      <w:rFonts w:ascii="宋体" w:hAnsi="宋体" w:eastAsia="黑体"/>
      <w:b/>
      <w:bCs/>
      <w:kern w:val="44"/>
      <w:sz w:val="32"/>
      <w:szCs w:val="28"/>
    </w:rPr>
  </w:style>
  <w:style w:type="character" w:customStyle="1" w:styleId="76">
    <w:name w:val="批注文字 字符"/>
    <w:qFormat/>
    <w:uiPriority w:val="99"/>
    <w:rPr>
      <w:rFonts w:ascii="宋体" w:hAnsi="宋体"/>
      <w:kern w:val="2"/>
      <w:sz w:val="24"/>
      <w:szCs w:val="24"/>
    </w:rPr>
  </w:style>
  <w:style w:type="character" w:customStyle="1" w:styleId="77">
    <w:name w:val="文档结构图 字符"/>
    <w:semiHidden/>
    <w:qFormat/>
    <w:uiPriority w:val="99"/>
    <w:rPr>
      <w:rFonts w:ascii="Microsoft YaHei UI" w:hAnsi="宋体" w:eastAsia="Microsoft YaHei UI"/>
      <w:kern w:val="2"/>
      <w:sz w:val="18"/>
      <w:szCs w:val="18"/>
    </w:rPr>
  </w:style>
  <w:style w:type="character" w:customStyle="1" w:styleId="78">
    <w:name w:val="标题 6 字符"/>
    <w:semiHidden/>
    <w:qFormat/>
    <w:uiPriority w:val="9"/>
    <w:rPr>
      <w:rFonts w:ascii="等线 Light" w:hAnsi="等线 Light" w:eastAsia="等线 Light" w:cs="Times New Roman"/>
      <w:b/>
      <w:bCs/>
      <w:kern w:val="2"/>
      <w:sz w:val="24"/>
      <w:szCs w:val="24"/>
    </w:rPr>
  </w:style>
  <w:style w:type="character" w:customStyle="1" w:styleId="79">
    <w:name w:val="正文正文2 Char"/>
    <w:link w:val="80"/>
    <w:qFormat/>
    <w:uiPriority w:val="0"/>
    <w:rPr>
      <w:rFonts w:ascii="宋体" w:hAnsi="宋体"/>
      <w:kern w:val="2"/>
      <w:sz w:val="21"/>
      <w:szCs w:val="21"/>
    </w:rPr>
  </w:style>
  <w:style w:type="paragraph" w:customStyle="1" w:styleId="80">
    <w:name w:val="正文正文2"/>
    <w:basedOn w:val="1"/>
    <w:link w:val="79"/>
    <w:qFormat/>
    <w:uiPriority w:val="0"/>
    <w:pPr>
      <w:ind w:firstLine="460"/>
    </w:pPr>
    <w:rPr>
      <w:sz w:val="21"/>
      <w:szCs w:val="21"/>
    </w:rPr>
  </w:style>
  <w:style w:type="character" w:customStyle="1" w:styleId="81">
    <w:name w:val="标题 3 字符2"/>
    <w:link w:val="4"/>
    <w:qFormat/>
    <w:uiPriority w:val="0"/>
    <w:rPr>
      <w:rFonts w:ascii="宋体" w:hAnsi="宋体"/>
      <w:b/>
      <w:bCs/>
      <w:kern w:val="2"/>
      <w:sz w:val="28"/>
      <w:szCs w:val="28"/>
    </w:rPr>
  </w:style>
  <w:style w:type="character" w:customStyle="1" w:styleId="82">
    <w:name w:val="标题 4 字符"/>
    <w:semiHidden/>
    <w:qFormat/>
    <w:uiPriority w:val="9"/>
    <w:rPr>
      <w:rFonts w:ascii="等线 Light" w:hAnsi="等线 Light" w:eastAsia="等线 Light" w:cs="Times New Roman"/>
      <w:b/>
      <w:bCs/>
      <w:kern w:val="2"/>
      <w:sz w:val="28"/>
      <w:szCs w:val="28"/>
    </w:rPr>
  </w:style>
  <w:style w:type="character" w:customStyle="1" w:styleId="83">
    <w:name w:val="批注主题 字符1"/>
    <w:link w:val="34"/>
    <w:qFormat/>
    <w:uiPriority w:val="0"/>
    <w:rPr>
      <w:rFonts w:eastAsia="仿宋"/>
      <w:b/>
      <w:bCs/>
      <w:kern w:val="2"/>
      <w:sz w:val="21"/>
      <w:szCs w:val="24"/>
    </w:rPr>
  </w:style>
  <w:style w:type="character" w:customStyle="1" w:styleId="84">
    <w:name w:val="页眉 字符"/>
    <w:semiHidden/>
    <w:qFormat/>
    <w:uiPriority w:val="99"/>
    <w:rPr>
      <w:rFonts w:ascii="宋体" w:hAnsi="宋体"/>
      <w:kern w:val="2"/>
      <w:sz w:val="18"/>
      <w:szCs w:val="18"/>
    </w:rPr>
  </w:style>
  <w:style w:type="character" w:customStyle="1" w:styleId="85">
    <w:name w:val="正文文本缩进 字符1"/>
    <w:link w:val="17"/>
    <w:qFormat/>
    <w:uiPriority w:val="0"/>
    <w:rPr>
      <w:kern w:val="2"/>
      <w:sz w:val="21"/>
    </w:rPr>
  </w:style>
  <w:style w:type="character" w:customStyle="1" w:styleId="86">
    <w:name w:val="标题 5 字符1"/>
    <w:link w:val="6"/>
    <w:qFormat/>
    <w:uiPriority w:val="0"/>
    <w:rPr>
      <w:rFonts w:ascii="宋体" w:hAnsi="宋体"/>
      <w:b/>
      <w:bCs/>
      <w:kern w:val="2"/>
      <w:sz w:val="24"/>
      <w:szCs w:val="28"/>
    </w:rPr>
  </w:style>
  <w:style w:type="character" w:customStyle="1" w:styleId="87">
    <w:name w:val="副标题 字符1"/>
    <w:link w:val="28"/>
    <w:qFormat/>
    <w:uiPriority w:val="0"/>
    <w:rPr>
      <w:rFonts w:ascii="Calibri Light" w:hAnsi="Calibri Light"/>
      <w:b/>
      <w:bCs/>
      <w:kern w:val="28"/>
      <w:sz w:val="32"/>
      <w:szCs w:val="32"/>
    </w:rPr>
  </w:style>
  <w:style w:type="character" w:customStyle="1" w:styleId="88">
    <w:name w:val="标题 2 字符1"/>
    <w:link w:val="3"/>
    <w:qFormat/>
    <w:uiPriority w:val="9"/>
    <w:rPr>
      <w:rFonts w:ascii="宋体" w:hAnsi="宋体"/>
      <w:b/>
      <w:bCs/>
      <w:kern w:val="2"/>
      <w:sz w:val="30"/>
      <w:szCs w:val="32"/>
    </w:rPr>
  </w:style>
  <w:style w:type="character" w:customStyle="1" w:styleId="89">
    <w:name w:val="页脚 字符1"/>
    <w:link w:val="24"/>
    <w:qFormat/>
    <w:uiPriority w:val="99"/>
    <w:rPr>
      <w:kern w:val="2"/>
      <w:sz w:val="18"/>
      <w:szCs w:val="18"/>
    </w:rPr>
  </w:style>
  <w:style w:type="character" w:customStyle="1" w:styleId="90">
    <w:name w:val="批注主题 字符"/>
    <w:semiHidden/>
    <w:qFormat/>
    <w:uiPriority w:val="99"/>
    <w:rPr>
      <w:rFonts w:ascii="宋体" w:hAnsi="宋体"/>
      <w:b/>
      <w:bCs/>
      <w:kern w:val="2"/>
      <w:sz w:val="24"/>
      <w:szCs w:val="24"/>
    </w:rPr>
  </w:style>
  <w:style w:type="character" w:customStyle="1" w:styleId="91">
    <w:name w:val="文档结构图 字符1"/>
    <w:link w:val="14"/>
    <w:qFormat/>
    <w:uiPriority w:val="0"/>
    <w:rPr>
      <w:rFonts w:ascii="宋体"/>
      <w:kern w:val="2"/>
      <w:sz w:val="18"/>
      <w:szCs w:val="18"/>
    </w:rPr>
  </w:style>
  <w:style w:type="character" w:customStyle="1" w:styleId="92">
    <w:name w:val="font31"/>
    <w:qFormat/>
    <w:uiPriority w:val="0"/>
    <w:rPr>
      <w:rFonts w:hint="eastAsia" w:ascii="宋体" w:hAnsi="宋体" w:eastAsia="宋体" w:cs="宋体"/>
      <w:color w:val="000000"/>
      <w:sz w:val="21"/>
      <w:szCs w:val="21"/>
      <w:u w:val="none"/>
    </w:rPr>
  </w:style>
  <w:style w:type="character" w:customStyle="1" w:styleId="93">
    <w:name w:val="标准正文 Char"/>
    <w:link w:val="94"/>
    <w:qFormat/>
    <w:uiPriority w:val="0"/>
    <w:rPr>
      <w:rFonts w:ascii="Arial" w:hAnsi="Arial"/>
      <w:kern w:val="2"/>
      <w:sz w:val="24"/>
    </w:rPr>
  </w:style>
  <w:style w:type="paragraph" w:customStyle="1" w:styleId="94">
    <w:name w:val="标准正文"/>
    <w:basedOn w:val="17"/>
    <w:link w:val="93"/>
    <w:qFormat/>
    <w:uiPriority w:val="0"/>
    <w:pPr>
      <w:spacing w:before="60" w:after="60"/>
      <w:ind w:firstLine="482" w:firstLineChars="0"/>
    </w:pPr>
    <w:rPr>
      <w:rFonts w:ascii="Arial" w:hAnsi="Arial"/>
      <w:sz w:val="24"/>
    </w:rPr>
  </w:style>
  <w:style w:type="character" w:customStyle="1" w:styleId="95">
    <w:name w:val="标题 字符1"/>
    <w:link w:val="33"/>
    <w:qFormat/>
    <w:uiPriority w:val="0"/>
    <w:rPr>
      <w:rFonts w:ascii="Cambria" w:hAnsi="Cambria" w:eastAsia="黑体"/>
      <w:b/>
      <w:bCs/>
      <w:kern w:val="2"/>
      <w:sz w:val="52"/>
      <w:szCs w:val="32"/>
    </w:rPr>
  </w:style>
  <w:style w:type="character" w:customStyle="1" w:styleId="96">
    <w:name w:val="批注框文本 字符1"/>
    <w:link w:val="23"/>
    <w:qFormat/>
    <w:uiPriority w:val="0"/>
    <w:rPr>
      <w:kern w:val="2"/>
      <w:sz w:val="18"/>
      <w:szCs w:val="18"/>
    </w:rPr>
  </w:style>
  <w:style w:type="character" w:customStyle="1" w:styleId="97">
    <w:name w:val="页眉 字符1"/>
    <w:link w:val="25"/>
    <w:qFormat/>
    <w:uiPriority w:val="99"/>
    <w:rPr>
      <w:kern w:val="2"/>
      <w:sz w:val="18"/>
      <w:szCs w:val="18"/>
    </w:rPr>
  </w:style>
  <w:style w:type="character" w:customStyle="1" w:styleId="98">
    <w:name w:val="标题 8 字符"/>
    <w:link w:val="9"/>
    <w:qFormat/>
    <w:uiPriority w:val="9"/>
    <w:rPr>
      <w:rFonts w:ascii="Cambria" w:hAnsi="Cambria"/>
      <w:kern w:val="2"/>
      <w:sz w:val="21"/>
      <w:szCs w:val="24"/>
    </w:rPr>
  </w:style>
  <w:style w:type="character" w:customStyle="1" w:styleId="99">
    <w:name w:val="标题 6 字符1"/>
    <w:link w:val="7"/>
    <w:qFormat/>
    <w:uiPriority w:val="0"/>
    <w:rPr>
      <w:rFonts w:ascii="Cambria" w:hAnsi="Cambria"/>
      <w:b/>
      <w:bCs/>
      <w:kern w:val="2"/>
      <w:sz w:val="24"/>
      <w:szCs w:val="24"/>
    </w:rPr>
  </w:style>
  <w:style w:type="character" w:customStyle="1" w:styleId="100">
    <w:name w:val="标题 字符"/>
    <w:qFormat/>
    <w:uiPriority w:val="10"/>
    <w:rPr>
      <w:rFonts w:ascii="等线 Light" w:hAnsi="等线 Light" w:eastAsia="等线 Light" w:cs="Times New Roman"/>
      <w:b/>
      <w:bCs/>
      <w:kern w:val="2"/>
      <w:sz w:val="32"/>
      <w:szCs w:val="32"/>
    </w:rPr>
  </w:style>
  <w:style w:type="character" w:customStyle="1" w:styleId="101">
    <w:name w:val="副标题 字符"/>
    <w:qFormat/>
    <w:uiPriority w:val="11"/>
    <w:rPr>
      <w:rFonts w:ascii="等线" w:hAnsi="等线" w:eastAsia="等线" w:cs="Times New Roman"/>
      <w:b/>
      <w:bCs/>
      <w:kern w:val="28"/>
      <w:sz w:val="32"/>
      <w:szCs w:val="32"/>
    </w:rPr>
  </w:style>
  <w:style w:type="paragraph" w:customStyle="1" w:styleId="102">
    <w:name w:val="xl72"/>
    <w:basedOn w:val="1"/>
    <w:qFormat/>
    <w:uiPriority w:val="0"/>
    <w:pPr>
      <w:widowControl/>
      <w:spacing w:before="100" w:beforeAutospacing="1" w:after="100" w:afterAutospacing="1" w:line="240" w:lineRule="auto"/>
      <w:ind w:firstLine="0" w:firstLineChars="0"/>
      <w:jc w:val="center"/>
    </w:pPr>
    <w:rPr>
      <w:rFonts w:cs="宋体"/>
      <w:kern w:val="0"/>
    </w:rPr>
  </w:style>
  <w:style w:type="paragraph" w:customStyle="1" w:styleId="103">
    <w:name w:val="正文（深信服）"/>
    <w:qFormat/>
    <w:uiPriority w:val="0"/>
    <w:pPr>
      <w:spacing w:line="360" w:lineRule="auto"/>
      <w:ind w:firstLine="420"/>
    </w:pPr>
    <w:rPr>
      <w:rFonts w:ascii="Arial" w:hAnsi="Arial" w:eastAsia="宋体" w:cs="Times New Roman"/>
      <w:sz w:val="24"/>
      <w:szCs w:val="21"/>
      <w:shd w:val="clear" w:color="auto" w:fill="FFFFFF"/>
      <w:lang w:val="en-US" w:eastAsia="zh-CN" w:bidi="ar-SA"/>
    </w:rPr>
  </w:style>
  <w:style w:type="paragraph" w:customStyle="1" w:styleId="104">
    <w:name w:val="xl70"/>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05">
    <w:name w:val="_Style 2"/>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paragraph" w:customStyle="1" w:styleId="106">
    <w:name w:val="正文缩进1"/>
    <w:basedOn w:val="1"/>
    <w:qFormat/>
    <w:uiPriority w:val="0"/>
    <w:pPr>
      <w:spacing w:line="240" w:lineRule="auto"/>
      <w:ind w:firstLine="420"/>
    </w:pPr>
    <w:rPr>
      <w:rFonts w:ascii="Times New Roman" w:hAnsi="Times New Roman"/>
      <w:sz w:val="21"/>
      <w:szCs w:val="20"/>
    </w:rPr>
  </w:style>
  <w:style w:type="paragraph" w:customStyle="1" w:styleId="107">
    <w:name w:val="xl68"/>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08">
    <w:name w:val="前言、引言标题"/>
    <w:next w:val="1"/>
    <w:qFormat/>
    <w:uiPriority w:val="99"/>
    <w:pPr>
      <w:shd w:val="clear" w:color="FFFFFF" w:fill="FFFFFF"/>
      <w:tabs>
        <w:tab w:val="left" w:pos="425"/>
      </w:tabs>
      <w:spacing w:before="640" w:after="560"/>
      <w:jc w:val="center"/>
      <w:outlineLvl w:val="0"/>
    </w:pPr>
    <w:rPr>
      <w:rFonts w:ascii="黑体" w:hAnsi="Times New Roman" w:eastAsia="黑体" w:cs="Times New Roman"/>
      <w:sz w:val="32"/>
      <w:lang w:val="en-US" w:eastAsia="zh-CN" w:bidi="ar-SA"/>
    </w:rPr>
  </w:style>
  <w:style w:type="paragraph" w:customStyle="1" w:styleId="109">
    <w:name w:val="Indent Normal"/>
    <w:basedOn w:val="1"/>
    <w:qFormat/>
    <w:uiPriority w:val="0"/>
    <w:pPr>
      <w:ind w:firstLine="150" w:firstLineChars="150"/>
    </w:pPr>
  </w:style>
  <w:style w:type="paragraph" w:customStyle="1" w:styleId="110">
    <w:name w:val="msonormal"/>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111">
    <w:name w:val="正文 缩进2字符"/>
    <w:basedOn w:val="1"/>
    <w:qFormat/>
    <w:uiPriority w:val="0"/>
    <w:pPr>
      <w:spacing w:afterLines="50" w:line="240" w:lineRule="auto"/>
      <w:ind w:firstLine="0" w:firstLineChars="0"/>
    </w:pPr>
    <w:rPr>
      <w:rFonts w:ascii="Times New Roman" w:hAnsi="Times New Roman" w:cs="宋体"/>
      <w:sz w:val="21"/>
      <w:szCs w:val="20"/>
    </w:rPr>
  </w:style>
  <w:style w:type="paragraph" w:customStyle="1" w:styleId="112">
    <w:name w:val="列项●（二级）"/>
    <w:qFormat/>
    <w:uiPriority w:val="0"/>
    <w:pPr>
      <w:numPr>
        <w:ilvl w:val="0"/>
        <w:numId w:val="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3">
    <w:name w:val="助手文本"/>
    <w:basedOn w:val="1"/>
    <w:qFormat/>
    <w:uiPriority w:val="0"/>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114">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15">
    <w:name w:val="段"/>
    <w:qFormat/>
    <w:uiPriority w:val="0"/>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1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rPr>
  </w:style>
  <w:style w:type="paragraph" w:customStyle="1" w:styleId="117">
    <w:name w:val="Char Char Char Char Char Char1 Char"/>
    <w:basedOn w:val="1"/>
    <w:qFormat/>
    <w:uiPriority w:val="0"/>
    <w:pPr>
      <w:widowControl/>
      <w:spacing w:after="160" w:line="240" w:lineRule="exact"/>
      <w:jc w:val="left"/>
    </w:pPr>
  </w:style>
  <w:style w:type="paragraph" w:customStyle="1" w:styleId="118">
    <w:name w:val="PM_Body"/>
    <w:basedOn w:val="1"/>
    <w:qFormat/>
    <w:locked/>
    <w:uiPriority w:val="0"/>
    <w:rPr>
      <w:szCs w:val="21"/>
    </w:rPr>
  </w:style>
  <w:style w:type="paragraph" w:customStyle="1" w:styleId="119">
    <w:name w:val="Char Char1"/>
    <w:basedOn w:val="1"/>
    <w:qFormat/>
    <w:uiPriority w:val="0"/>
    <w:pPr>
      <w:widowControl/>
      <w:spacing w:before="120" w:after="120"/>
    </w:pPr>
    <w:rPr>
      <w:rFonts w:ascii="Times New Roman" w:hAnsi="Times New Roman" w:cs="宋体"/>
    </w:rPr>
  </w:style>
  <w:style w:type="paragraph" w:customStyle="1" w:styleId="120">
    <w:name w:val="xl71"/>
    <w:basedOn w:val="1"/>
    <w:qFormat/>
    <w:uiPriority w:val="0"/>
    <w:pPr>
      <w:widowControl/>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21">
    <w:name w:val="修订1"/>
    <w:unhideWhenUsed/>
    <w:qFormat/>
    <w:uiPriority w:val="99"/>
    <w:rPr>
      <w:rFonts w:ascii="宋体" w:hAnsi="宋体" w:eastAsia="宋体" w:cs="Times New Roman"/>
      <w:kern w:val="2"/>
      <w:sz w:val="24"/>
      <w:szCs w:val="24"/>
      <w:lang w:val="en-US" w:eastAsia="zh-CN" w:bidi="ar-SA"/>
    </w:rPr>
  </w:style>
  <w:style w:type="paragraph" w:customStyle="1" w:styleId="122">
    <w:name w:val="列出段落2"/>
    <w:basedOn w:val="1"/>
    <w:qFormat/>
    <w:uiPriority w:val="0"/>
    <w:pPr>
      <w:spacing w:line="240" w:lineRule="auto"/>
      <w:ind w:firstLine="420"/>
    </w:pPr>
    <w:rPr>
      <w:rFonts w:ascii="等线" w:hAnsi="等线" w:eastAsia="等线" w:cs="等线"/>
      <w:sz w:val="21"/>
      <w:szCs w:val="21"/>
    </w:rPr>
  </w:style>
  <w:style w:type="paragraph" w:customStyle="1" w:styleId="123">
    <w:name w:val="xl69"/>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kern w:val="0"/>
      <w:sz w:val="18"/>
      <w:szCs w:val="18"/>
    </w:rPr>
  </w:style>
  <w:style w:type="paragraph" w:customStyle="1" w:styleId="1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25">
    <w:name w:val="文档正文文本（中安网脉）"/>
    <w:basedOn w:val="1"/>
    <w:qFormat/>
    <w:uiPriority w:val="0"/>
    <w:pPr>
      <w:ind w:firstLine="200"/>
    </w:pPr>
    <w:rPr>
      <w:rFonts w:ascii="Times New Roman" w:hAnsi="Times New Roman" w:eastAsia="仿宋_GB2312"/>
      <w:color w:val="000000"/>
      <w:szCs w:val="28"/>
    </w:rPr>
  </w:style>
  <w:style w:type="paragraph" w:customStyle="1" w:styleId="126">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27">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128">
    <w:name w:val="样式 行距: 1.5 倍行距 首行缩进:  2 字符"/>
    <w:basedOn w:val="1"/>
    <w:qFormat/>
    <w:uiPriority w:val="0"/>
    <w:pPr>
      <w:ind w:firstLine="560"/>
      <w:jc w:val="left"/>
    </w:pPr>
    <w:rPr>
      <w:rFonts w:ascii="仿宋" w:hAnsi="仿宋" w:eastAsia="仿宋" w:cs="宋体"/>
      <w:sz w:val="28"/>
      <w:szCs w:val="20"/>
    </w:rPr>
  </w:style>
  <w:style w:type="paragraph" w:customStyle="1" w:styleId="129">
    <w:name w:val="TOC 标题1"/>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table" w:customStyle="1" w:styleId="130">
    <w:name w:val="!我的表格1"/>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1"/>
    <w:basedOn w:val="35"/>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2">
    <w:name w:val="标题 1 Char"/>
    <w:qFormat/>
    <w:uiPriority w:val="0"/>
    <w:rPr>
      <w:rFonts w:ascii="宋体" w:hAnsi="宋体" w:eastAsia="黑体"/>
      <w:b/>
      <w:bCs/>
      <w:kern w:val="44"/>
      <w:sz w:val="32"/>
      <w:szCs w:val="28"/>
    </w:rPr>
  </w:style>
  <w:style w:type="character" w:customStyle="1" w:styleId="133">
    <w:name w:val="纯文本 Char2"/>
    <w:qFormat/>
    <w:uiPriority w:val="0"/>
    <w:rPr>
      <w:rFonts w:ascii="宋体" w:hAnsi="宋体" w:eastAsia="宋体" w:cs="Times New Roman"/>
      <w:color w:val="000000"/>
      <w:kern w:val="0"/>
      <w:sz w:val="24"/>
      <w:szCs w:val="24"/>
    </w:rPr>
  </w:style>
  <w:style w:type="paragraph" w:customStyle="1" w:styleId="134">
    <w:name w:val="修订2"/>
    <w:hidden/>
    <w:unhideWhenUsed/>
    <w:qFormat/>
    <w:uiPriority w:val="99"/>
    <w:rPr>
      <w:rFonts w:ascii="宋体" w:hAnsi="宋体" w:eastAsia="宋体" w:cs="Times New Roman"/>
      <w:kern w:val="2"/>
      <w:sz w:val="24"/>
      <w:szCs w:val="24"/>
      <w:lang w:val="en-US" w:eastAsia="zh-CN" w:bidi="ar-SA"/>
    </w:rPr>
  </w:style>
  <w:style w:type="paragraph" w:customStyle="1" w:styleId="135">
    <w:name w:val="!BECC正文"/>
    <w:basedOn w:val="1"/>
    <w:qFormat/>
    <w:uiPriority w:val="0"/>
    <w:pPr>
      <w:tabs>
        <w:tab w:val="left" w:pos="0"/>
      </w:tabs>
      <w:spacing w:beforeLines="50" w:afterLines="50"/>
      <w:ind w:firstLine="200"/>
    </w:pPr>
    <w:rPr>
      <w:rFonts w:asciiTheme="minorHAnsi" w:hAnsiTheme="minorHAnsi" w:eastAsiaTheme="minorEastAsia" w:cstheme="minorBidi"/>
    </w:rPr>
  </w:style>
  <w:style w:type="paragraph" w:customStyle="1" w:styleId="136">
    <w:name w:val="5级标题"/>
    <w:basedOn w:val="6"/>
    <w:qFormat/>
    <w:uiPriority w:val="0"/>
    <w:pPr>
      <w:keepNext w:val="0"/>
      <w:numPr>
        <w:numId w:val="3"/>
      </w:numPr>
      <w:tabs>
        <w:tab w:val="left" w:pos="312"/>
      </w:tabs>
      <w:spacing w:line="372" w:lineRule="auto"/>
    </w:pPr>
    <w:rPr>
      <w:rFonts w:ascii="Times New Roman" w:hAnsi="Times New Roman"/>
      <w:b w:val="0"/>
      <w:szCs w:val="21"/>
    </w:rPr>
  </w:style>
  <w:style w:type="paragraph" w:customStyle="1" w:styleId="137">
    <w:name w:val="可研正文"/>
    <w:basedOn w:val="1"/>
    <w:qFormat/>
    <w:uiPriority w:val="0"/>
    <w:pPr>
      <w:ind w:firstLine="200"/>
    </w:pPr>
    <w:rPr>
      <w:rFonts w:ascii="仿宋" w:hAnsi="仿宋" w:eastAsia="仿宋"/>
      <w:sz w:val="28"/>
      <w:szCs w:val="28"/>
    </w:rPr>
  </w:style>
  <w:style w:type="paragraph" w:customStyle="1" w:styleId="138">
    <w:name w:val="修订3"/>
    <w:hidden/>
    <w:unhideWhenUsed/>
    <w:qFormat/>
    <w:uiPriority w:val="99"/>
    <w:rPr>
      <w:rFonts w:ascii="宋体" w:hAnsi="宋体" w:eastAsia="宋体" w:cs="Times New Roman"/>
      <w:kern w:val="2"/>
      <w:sz w:val="24"/>
      <w:szCs w:val="24"/>
      <w:lang w:val="en-US" w:eastAsia="zh-CN" w:bidi="ar-SA"/>
    </w:rPr>
  </w:style>
  <w:style w:type="paragraph" w:customStyle="1" w:styleId="139">
    <w:name w:val="Revision"/>
    <w:hidden/>
    <w:unhideWhenUsed/>
    <w:qFormat/>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1747</Words>
  <Characters>9963</Characters>
  <Lines>83</Lines>
  <Paragraphs>23</Paragraphs>
  <TotalTime>1</TotalTime>
  <ScaleCrop>false</ScaleCrop>
  <LinksUpToDate>false</LinksUpToDate>
  <CharactersWithSpaces>11687</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2025-04-08T13:00:00Z</dcterms:created>
  <dc:creator>gtig_tzb</dc:creator>
  <cp:lastModifiedBy>user</cp:lastModifiedBy>
  <cp:lastPrinted>2020-08-10T20:08:00Z</cp:lastPrinted>
  <dcterms:modified xsi:type="dcterms:W3CDTF">2025-07-08T08:36:52Z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68644F9987C1EDE6B7B9DC67F112F54B_43</vt:lpwstr>
  </property>
  <property fmtid="{D5CDD505-2E9C-101B-9397-08002B2CF9AE}" pid="4" name="KSOTemplateDocerSaveRecord">
    <vt:lpwstr>eyJoZGlkIjoiYWRlMTcyOTAwYTViNTYwMjdjZjIwZGJjMjgwNTJmOGUiLCJ1c2VySWQiOiIyOTk2NTM5MzkifQ==</vt:lpwstr>
  </property>
</Properties>
</file>