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Arial" w:eastAsia="黑体" w:cs="Arial"/>
          <w:sz w:val="52"/>
          <w:szCs w:val="52"/>
          <w:highlight w:val="none"/>
        </w:rPr>
      </w:pPr>
      <w:bookmarkStart w:id="88" w:name="_GoBack"/>
      <w:bookmarkEnd w:id="88"/>
    </w:p>
    <w:p>
      <w:pPr>
        <w:spacing w:line="360" w:lineRule="auto"/>
        <w:jc w:val="center"/>
        <w:rPr>
          <w:rFonts w:ascii="黑体" w:hAnsi="Arial" w:eastAsia="黑体" w:cs="Arial"/>
          <w:sz w:val="52"/>
          <w:szCs w:val="52"/>
          <w:highlight w:val="none"/>
        </w:rPr>
      </w:pPr>
    </w:p>
    <w:p>
      <w:pPr>
        <w:spacing w:line="360" w:lineRule="auto"/>
        <w:jc w:val="center"/>
        <w:rPr>
          <w:rFonts w:hint="eastAsia" w:ascii="黑体" w:hAnsi="黑体" w:eastAsia="黑体"/>
          <w:sz w:val="52"/>
          <w:szCs w:val="52"/>
          <w:highlight w:val="none"/>
        </w:rPr>
      </w:pPr>
    </w:p>
    <w:p>
      <w:pPr>
        <w:spacing w:line="360" w:lineRule="auto"/>
        <w:jc w:val="center"/>
        <w:rPr>
          <w:rFonts w:hint="eastAsia" w:ascii="黑体" w:eastAsia="黑体"/>
          <w:sz w:val="36"/>
          <w:szCs w:val="36"/>
          <w:highlight w:val="none"/>
        </w:rPr>
      </w:pPr>
      <w:r>
        <w:rPr>
          <w:rFonts w:hint="eastAsia" w:ascii="黑体" w:eastAsia="黑体"/>
          <w:sz w:val="52"/>
          <w:szCs w:val="52"/>
          <w:highlight w:val="none"/>
        </w:rPr>
        <w:t>临港新片区数智监督平台项目</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jc w:val="center"/>
        <w:rPr>
          <w:rFonts w:ascii="黑体" w:eastAsia="黑体"/>
          <w:sz w:val="52"/>
          <w:szCs w:val="52"/>
          <w:highlight w:val="none"/>
        </w:rPr>
      </w:pPr>
      <w:r>
        <w:rPr>
          <w:rFonts w:hint="eastAsia" w:ascii="黑体" w:eastAsia="黑体"/>
          <w:sz w:val="52"/>
          <w:szCs w:val="52"/>
          <w:highlight w:val="none"/>
        </w:rPr>
        <w:t>采购需求</w:t>
      </w:r>
    </w:p>
    <w:p>
      <w:pPr>
        <w:spacing w:line="360" w:lineRule="auto"/>
        <w:rPr>
          <w:highlight w:val="none"/>
        </w:rPr>
      </w:pPr>
    </w:p>
    <w:p>
      <w:pPr>
        <w:pStyle w:val="11"/>
        <w:spacing w:after="0" w:line="360" w:lineRule="auto"/>
        <w:rPr>
          <w:highlight w:val="none"/>
        </w:rPr>
      </w:pPr>
    </w:p>
    <w:p>
      <w:pPr>
        <w:pStyle w:val="11"/>
        <w:spacing w:after="0" w:line="360" w:lineRule="auto"/>
        <w:rPr>
          <w:highlight w:val="none"/>
        </w:rPr>
      </w:pPr>
    </w:p>
    <w:p>
      <w:pPr>
        <w:pStyle w:val="11"/>
        <w:spacing w:after="0" w:line="360" w:lineRule="auto"/>
        <w:rPr>
          <w:highlight w:val="none"/>
        </w:rPr>
      </w:pPr>
    </w:p>
    <w:p>
      <w:pPr>
        <w:pStyle w:val="11"/>
        <w:spacing w:after="0" w:line="360" w:lineRule="auto"/>
        <w:rPr>
          <w:highlight w:val="none"/>
        </w:rPr>
      </w:pPr>
    </w:p>
    <w:p>
      <w:pPr>
        <w:snapToGrid w:val="0"/>
        <w:spacing w:line="360" w:lineRule="auto"/>
        <w:jc w:val="center"/>
        <w:rPr>
          <w:rFonts w:hint="eastAsia" w:ascii="黑体" w:hAnsi="黑体" w:eastAsia="黑体" w:cs="Arial"/>
          <w:sz w:val="36"/>
          <w:szCs w:val="36"/>
          <w:highlight w:val="none"/>
        </w:rPr>
      </w:pPr>
    </w:p>
    <w:p>
      <w:pPr>
        <w:snapToGrid w:val="0"/>
        <w:spacing w:line="360" w:lineRule="auto"/>
        <w:jc w:val="center"/>
        <w:rPr>
          <w:rFonts w:hint="eastAsia" w:ascii="黑体" w:hAnsi="黑体" w:eastAsia="黑体" w:cs="Arial"/>
          <w:sz w:val="36"/>
          <w:szCs w:val="36"/>
          <w:highlight w:val="none"/>
        </w:rPr>
      </w:pPr>
    </w:p>
    <w:p>
      <w:pPr>
        <w:spacing w:line="360" w:lineRule="auto"/>
        <w:jc w:val="center"/>
        <w:rPr>
          <w:highlight w:val="none"/>
        </w:rPr>
      </w:pPr>
      <w:r>
        <w:rPr>
          <w:rFonts w:hint="eastAsia" w:ascii="黑体" w:hAnsi="黑体" w:eastAsia="黑体" w:cs="Arial"/>
          <w:sz w:val="36"/>
          <w:szCs w:val="36"/>
          <w:highlight w:val="none"/>
        </w:rPr>
        <w:t>二</w:t>
      </w:r>
      <w:r>
        <w:rPr>
          <w:rFonts w:hint="eastAsia" w:ascii="黑体" w:hAnsi="黑体" w:eastAsia="黑体" w:cs="宋体"/>
          <w:sz w:val="36"/>
          <w:szCs w:val="36"/>
          <w:highlight w:val="none"/>
        </w:rPr>
        <w:t>〇</w:t>
      </w:r>
      <w:r>
        <w:rPr>
          <w:rFonts w:hint="eastAsia" w:ascii="黑体" w:hAnsi="黑体" w:eastAsia="黑体" w:cs="Arial"/>
          <w:sz w:val="36"/>
          <w:szCs w:val="36"/>
          <w:highlight w:val="none"/>
        </w:rPr>
        <w:t>二五年</w:t>
      </w:r>
      <w:bookmarkStart w:id="0" w:name="bt工程概况"/>
      <w:bookmarkEnd w:id="0"/>
      <w:r>
        <w:rPr>
          <w:rFonts w:hint="eastAsia" w:ascii="黑体" w:hAnsi="黑体" w:eastAsia="黑体" w:cs="Arial"/>
          <w:sz w:val="36"/>
          <w:szCs w:val="36"/>
          <w:highlight w:val="none"/>
          <w:lang w:val="en-US" w:eastAsia="zh-CN"/>
        </w:rPr>
        <w:t>七</w:t>
      </w:r>
      <w:r>
        <w:rPr>
          <w:rFonts w:hint="eastAsia" w:ascii="黑体" w:hAnsi="黑体" w:eastAsia="黑体" w:cs="Arial"/>
          <w:sz w:val="36"/>
          <w:szCs w:val="36"/>
          <w:highlight w:val="none"/>
        </w:rPr>
        <w:t>月</w:t>
      </w:r>
      <w:r>
        <w:rPr>
          <w:highlight w:val="none"/>
        </w:rPr>
        <w:br w:type="page"/>
      </w:r>
      <w:bookmarkStart w:id="1" w:name="_Toc676"/>
      <w:bookmarkStart w:id="2" w:name="_Toc5558"/>
      <w:bookmarkStart w:id="3" w:name="_Hlk42676997"/>
    </w:p>
    <w:p>
      <w:pPr>
        <w:spacing w:line="360" w:lineRule="auto"/>
        <w:jc w:val="center"/>
        <w:rPr>
          <w:highlight w:val="none"/>
        </w:rPr>
      </w:pPr>
    </w:p>
    <w:p>
      <w:pPr>
        <w:pStyle w:val="3"/>
        <w:numPr>
          <w:ilvl w:val="0"/>
          <w:numId w:val="1"/>
        </w:numPr>
        <w:rPr>
          <w:highlight w:val="none"/>
        </w:rPr>
      </w:pPr>
      <w:r>
        <w:rPr>
          <w:rFonts w:hint="eastAsia"/>
          <w:highlight w:val="none"/>
        </w:rPr>
        <w:t>项目概况</w:t>
      </w:r>
      <w:bookmarkEnd w:id="1"/>
      <w:bookmarkEnd w:id="2"/>
    </w:p>
    <w:p>
      <w:pPr>
        <w:pStyle w:val="4"/>
        <w:numPr>
          <w:ilvl w:val="1"/>
          <w:numId w:val="1"/>
        </w:numPr>
        <w:rPr>
          <w:highlight w:val="none"/>
        </w:rPr>
      </w:pPr>
      <w:r>
        <w:rPr>
          <w:rFonts w:hint="eastAsia"/>
          <w:highlight w:val="none"/>
        </w:rPr>
        <w:t>项目背景</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随着国家监察体制改革的不断深入，对纪检监察监督和反腐败工作提出了更为严格和细致的要求。在信息技术飞速发展的当下，社会的数字化程度日益提高，这使得数字化建设成为纪检监察工作在新时代实现高质量发展的关键要素。</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从政策背景来看，《“十四五”国家信息化规划》提出到2025年数字政府建设水平全面提升，要打造协同高效的数字政府服务体系，部署了建设泛在智联的数字基础设施体系、建立高效利用的数据要素资源体系等10项重大任务。《数字中国建设整体布局规划》明确按照“2522” 的整体框架进行布局，包括夯实数字基础设施和数据资源体系“两大基础”等内容。《国务院关于加强数字政府建设的指导意见》明确构建协同高效的政府数字化履职能力体系等多个方面。《二十届中央纪委三次全会工作报告》明确提出要加快构建数字纪检监察体系，深入推进大数据、信息化建设，解决数据相关问题，推动数字技术全面融入纪检监察业务，实现全要素、全流程、全领域、全系统的覆盖与共享。《十二届市纪委三次全会工作报告》以及2022年市纪委常委会理论学习中心组相关报告也强调了落实数字纪检监察体系建设规划，对接信息化工作，助力纪检监察工作高质量发展的重要性。当前，无论是国家层面还是纪检监察领域提出的政策，都提出了通过数字化手段提高履职能力的要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从数字化转型背景来看，临港新片区已初步形成了智能化、精细化的城市治理格局，建立了智慧城市推进机制，成立领导小组并发布了专项管理办法。尤其在临港新片区成立以来，城市数字经济、“一网通办”政务体系、“一网统管” 治理能力加速发展，正逐步成为上海数字化转型的先行区。截至2024年10月，临港新片区大数据中心的公共数据管理与赋能平台累计编目公共数据资源2141项，主要包括城市规划领域累计304项；智慧交通领域累计289项；城市治理领域累计267项；工程政务领域累计80项；产业经济领域66项，共计42.14亿条。累计共享数据资源1168项，提供数据服务调用3.17亿次，共享数据10.42亿条。由此可见，临港的数字化转型工作已初见成效，具备了在相关领域进行数字化监督管理的基本条件。</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从纪检工作需求来看，临港新片区已纳入纪检监察的对象多达 2073人，年度政治监督项目有17项，呈现出点多面广的特征，而监督力量相对薄弱，难以完全发挥出“监督保障执行、促进完善发展”的作用。面对依然严峻的反腐形势和日趋隐形变异的“四</w:t>
      </w:r>
      <w:r>
        <w:rPr>
          <w:rFonts w:hint="eastAsia" w:ascii="宋体" w:hAnsi="宋体" w:cs="宋体"/>
          <w:sz w:val="24"/>
          <w:highlight w:val="none"/>
          <w:lang w:val="en-US" w:eastAsia="zh-CN"/>
        </w:rPr>
        <w:t xml:space="preserve"> </w:t>
      </w:r>
      <w:r>
        <w:rPr>
          <w:rFonts w:hint="eastAsia" w:ascii="宋体" w:hAnsi="宋体" w:cs="宋体"/>
          <w:sz w:val="24"/>
          <w:highlight w:val="none"/>
        </w:rPr>
        <w:t>风”问题，传统监督方式已无法满足现实需求。通过掌握信息化“工具”，依托“数字化”赋能，运用大数据比对，能够实现监督维度、监督广度、监督深度的有效延展，从而更加精准、更加主动地发现过去人力难以梳理的廉政风险点。</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从其他区域的实践经验来看，数字化监督在其他地区已取得显著成效。例如安徽省纪委监委搭建的“监督一点通”平台，对惠民补贴资金发放、党务村务管理、村集体经济组织运营管理等基层小微权力运行的各方面实现了有效监管；哈尔滨市纪委监委搭建的相关平台，对政府采购招投标等重点领域加强了监管，提升了监督执纪效能。</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综上所述，在此背景下，通过信息化手段打破信息孤岛实现部门间的信息共享和协作，运用大数据技术进行风险预警和防控，从而提高监督工作的针对性和有效性，实现监督资源的优化配置，成为提升纪检监察工作质量和效率的必然选择。</w:t>
      </w:r>
    </w:p>
    <w:p>
      <w:pPr>
        <w:pStyle w:val="4"/>
        <w:numPr>
          <w:ilvl w:val="1"/>
          <w:numId w:val="1"/>
        </w:numPr>
        <w:rPr>
          <w:highlight w:val="none"/>
        </w:rPr>
      </w:pPr>
      <w:r>
        <w:rPr>
          <w:rFonts w:hint="eastAsia"/>
          <w:highlight w:val="none"/>
        </w:rPr>
        <w:t>项目目标</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构建数据体系：初步构建临港纪检数据体系，依据临港新片区公共数据管理与赋能平台已有的数据基础，对相关数据进行提取和深化治理，为民声回应、综合执法、财政管理等场景下的纪检监督工作提供数据支撑，提升监督效果和能力。包括从民声回应监督、综合执法监督和财政资金监督等业务场景相关的系统中获取数据，建立基础数据资源库；建设民声回应监督主题数据库、综合执法监督主题数据库、财政资金监管主题数据库，规范数据管理和共享流程，形成完善的数据体系。</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打造监督场景：打造智慧监督首批试点应用场景，通过信息化手段，实现监督资源的优化配置，提高监督工作的针对性和有效性，在民声回应、综合执法、财政资金</w:t>
      </w:r>
      <w:r>
        <w:rPr>
          <w:rFonts w:hint="eastAsia" w:ascii="宋体" w:hAnsi="宋体" w:cs="宋体"/>
          <w:sz w:val="24"/>
          <w:highlight w:val="none"/>
          <w:lang w:eastAsia="zh-CN"/>
        </w:rPr>
        <w:t>等</w:t>
      </w:r>
      <w:r>
        <w:rPr>
          <w:rFonts w:hint="eastAsia" w:ascii="宋体" w:hAnsi="宋体" w:cs="宋体"/>
          <w:sz w:val="24"/>
          <w:highlight w:val="none"/>
        </w:rPr>
        <w:t>领域先行打造23个试点场景，运用数据分析技术，对可能存在的违纪违法行为进行预警，从而强化风险防控。在民声回应监督场景中，对接临港新片区12345工单数据，整合问题线索信息；在综合执法监督场景中，依据临港新片区综合管理执法系统现有数据，抓取廉政风险点；在财政资金监督场景中，基于财政综合管理系统，对政府财政执行管理情况进行监督。</w:t>
      </w:r>
    </w:p>
    <w:p>
      <w:pPr>
        <w:pStyle w:val="4"/>
        <w:numPr>
          <w:ilvl w:val="1"/>
          <w:numId w:val="1"/>
        </w:numPr>
        <w:rPr>
          <w:highlight w:val="none"/>
        </w:rPr>
      </w:pPr>
      <w:r>
        <w:rPr>
          <w:rFonts w:hint="eastAsia"/>
          <w:highlight w:val="none"/>
          <w:lang w:eastAsia="zh-CN"/>
        </w:rPr>
        <w:t>采购</w:t>
      </w:r>
      <w:r>
        <w:rPr>
          <w:rFonts w:hint="eastAsia"/>
          <w:highlight w:val="none"/>
        </w:rPr>
        <w:t>范围</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eastAsia="zh-CN"/>
        </w:rPr>
        <w:t>供应商成交</w:t>
      </w:r>
      <w:r>
        <w:rPr>
          <w:rFonts w:hint="eastAsia" w:ascii="宋体" w:hAnsi="宋体" w:cs="宋体"/>
          <w:sz w:val="24"/>
          <w:highlight w:val="none"/>
        </w:rPr>
        <w:t>后，根据工作任务及时间节点要求，本期项目首先在民声回应、综合执法、财政资金几个领域先行打造23个监督试点场景，同时搭建与之配套的分析模型建设、数据体系和安全体系。具体包括以下范围：</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民声回应监督模块：基于12345平台工单数据，通过搭建数据分析算法模型，深度挖掘12345工单数据监督价值，重点分析民声重点关注问题线索，及时监督整改，切实做到民声回应。本期项目先行实现如下场景的预警及查看：</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重点关注领域：物业管理（小区内问题）、新房交付、市容市貌（无证摆摊、道路管理）、文旅活动（景区管理）、拖欠工资；部门履责监督：重复投诉监督、多次退单监督、不满意部门排名、不作为慢作为乱作为监督；纠治四</w:t>
      </w:r>
      <w:r>
        <w:rPr>
          <w:rFonts w:hint="eastAsia" w:ascii="宋体" w:hAnsi="宋体" w:cs="宋体"/>
          <w:sz w:val="24"/>
          <w:highlight w:val="none"/>
          <w:lang w:val="en-US" w:eastAsia="zh-CN"/>
        </w:rPr>
        <w:t xml:space="preserve"> </w:t>
      </w:r>
      <w:r>
        <w:rPr>
          <w:rFonts w:hint="eastAsia" w:ascii="宋体" w:hAnsi="宋体" w:cs="宋体"/>
          <w:sz w:val="24"/>
          <w:highlight w:val="none"/>
        </w:rPr>
        <w:t>风：违法中央八项规定精神。</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综合执法监督模块：基于临港新片区综合管理执法系统现有功能及数据，抓取在综合执法过程中可能存在的风险点进行监测预警，包括行政执法程序不规范、行政执法效率低不作为以及行政执法过程乱作为等大类。</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综合执法监督模块主要实现的试点监督场景有：重复投诉监督、案件办理超期监督、同一主体多次被处罚监督、免罚案件监督、案件撤销监督。</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3、财政资金监督模块：基于临港新片区财政综合管理系统现有功能及数据，对政府财政预算执行、资产管理、招投标管理、专项扶持资金发放、会议活动支出等业务进行监督。</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财政资金监督模块主要实现的试点监督场景有：财政资金执行率动态监测、项目</w:t>
      </w:r>
      <w:r>
        <w:rPr>
          <w:rFonts w:hint="eastAsia" w:ascii="宋体" w:hAnsi="宋体" w:cs="宋体"/>
          <w:sz w:val="24"/>
          <w:highlight w:val="none"/>
          <w:lang w:eastAsia="zh-CN"/>
        </w:rPr>
        <w:t>成交</w:t>
      </w:r>
      <w:r>
        <w:rPr>
          <w:rFonts w:hint="eastAsia" w:ascii="宋体" w:hAnsi="宋体" w:cs="宋体"/>
          <w:sz w:val="24"/>
          <w:highlight w:val="none"/>
        </w:rPr>
        <w:t>结算率监督、行政事业单位资产账实不符监督、招标代理机构轮序跳空提示、招标代理机构排序情况展示、专项资金重复发放情况监督、被扶持企业信用情况监督、会议活动支出情况监督。</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数据体系建立：平台数据体系建设的核心目标在于借助数据分析及信息技术手段，大力提升纪检监察工作的效率与精准度。涵盖了数据库总体设计、概念设计、安全设计及数据治理等诸多方面，通过数据体系的搭建，能够实现全方位、多角度地实现对纪检监察工作的实时监控与数据采集。</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在数据总体设计环节，系统不仅拥有对各支撑系统所引入的业务数据进行有效管理的能力，而且能够同步对这些业务数据展开全面的整理与清洗工作。整个过程中，系统高度关注数据的时态变化情况，对其变化信息进行细致入微且完整的管理。通过这样的方式，确保在不同时间节点上的数据都能得到准确的记录和追踪，为后续的数据分析和决策提供可靠的依据。</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数据概念设计方面，在整个数据库设计过程中起着至关重要的关键作用。在这个阶段里，其最终的目的在于将本阶段所涉及到的各类对象进行高度抽象，进而构建出清晰准确的 E-R 模型。在此过程中，需要对用户的各种需求进行全面综合的考量，将其进行深入的抽象化处理，并进行细致的归档整理工作。通过这样一系列的操作，最终形成一个完整且具有高度逻辑性的概念模型。概念模型类似数据库设计的蓝图，为后续的逻辑模型设计和物理模型设计奠定坚实的基础，确保数据库能够准确地满足用户的实际需求，实现高效的数据存储、管理和检索等功能。</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而在数据安全设计阶段，在无授权的情况下，严格确保数据库系统中的任何数据都不能被下载或复制。这一举措有效地保护了数据的安全性和保密性，防止未经授权的访问和数据泄露。其次，充分满足系统数据对不同级别、不同权限用户的合理使用需求。通过科学合理的权限管理，使得不同用户能够在其相应的权限范围内正常使用系统数据，确保系统能够稳定运行，不被非法入侵，也不受外界破坏。既保障了数据的安全性，又提高了系统的可用性和可靠性。</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安全体系建立：平台安全体系建设是多层次、全方位的系统工程，目的是确保平台数据的保密性、完整性和可用性，以及平台稳定运行。数智监督平台安全体系建设的总体目标是构建安全、可靠、高效的平台环境，保护敏感数据不被泄露、篡改或破坏，确保平台在面对安全威胁时稳定运行。具体措施包括采用先进数据加密技术确保数据传输和存储的机密性；建立完善数据备份机制并定期验证测试，确保备份数据可用性和完整性；实施严格访问控制策略，通过身份验证和权限管理确保数据访问安全。系统安全体系建设涵盖数据安全、系统安全、网络安全、身份认证与授权、安全审计与监控以及应急响应与恢复等方面，以确保平台面对安全威胁时稳定运行，保护敏感数据安全完整。</w:t>
      </w:r>
    </w:p>
    <w:p>
      <w:pPr>
        <w:pStyle w:val="3"/>
        <w:numPr>
          <w:ilvl w:val="0"/>
          <w:numId w:val="1"/>
        </w:numPr>
        <w:rPr>
          <w:highlight w:val="none"/>
        </w:rPr>
      </w:pPr>
      <w:r>
        <w:rPr>
          <w:rFonts w:hint="eastAsia"/>
          <w:highlight w:val="none"/>
        </w:rPr>
        <w:t>采购需求描述</w:t>
      </w:r>
    </w:p>
    <w:p>
      <w:pPr>
        <w:pStyle w:val="4"/>
        <w:numPr>
          <w:ilvl w:val="1"/>
          <w:numId w:val="1"/>
        </w:numPr>
        <w:rPr>
          <w:highlight w:val="none"/>
        </w:rPr>
      </w:pPr>
      <w:bookmarkStart w:id="4" w:name="_Toc179994612"/>
      <w:r>
        <w:rPr>
          <w:rFonts w:hint="eastAsia"/>
          <w:highlight w:val="none"/>
        </w:rPr>
        <w:t>总体建设原则</w:t>
      </w:r>
      <w:bookmarkEnd w:id="4"/>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系统建设遵循如下原则：</w:t>
      </w:r>
    </w:p>
    <w:p>
      <w:pPr>
        <w:numPr>
          <w:ilvl w:val="0"/>
          <w:numId w:val="2"/>
        </w:numPr>
        <w:spacing w:line="360" w:lineRule="auto"/>
        <w:ind w:firstLine="480" w:firstLineChars="200"/>
        <w:rPr>
          <w:rFonts w:hint="eastAsia" w:ascii="宋体" w:hAnsi="宋体" w:cs="宋体"/>
          <w:sz w:val="24"/>
          <w:highlight w:val="none"/>
        </w:rPr>
      </w:pPr>
      <w:bookmarkStart w:id="5" w:name="_Toc179994613"/>
      <w:r>
        <w:rPr>
          <w:rFonts w:hint="eastAsia" w:ascii="宋体" w:hAnsi="宋体" w:cs="宋体"/>
          <w:sz w:val="24"/>
          <w:highlight w:val="none"/>
        </w:rPr>
        <w:t>统一规划原则</w:t>
      </w:r>
      <w:bookmarkEnd w:id="5"/>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遵循国办及省政府、市/区政府相关法规、规范，保证系统的规范化和可扩展性，在顶层设计方面进行统一规划。 </w:t>
      </w:r>
    </w:p>
    <w:p>
      <w:pPr>
        <w:numPr>
          <w:ilvl w:val="0"/>
          <w:numId w:val="2"/>
        </w:numPr>
        <w:spacing w:line="360" w:lineRule="auto"/>
        <w:ind w:firstLine="480" w:firstLineChars="200"/>
        <w:rPr>
          <w:rFonts w:hint="eastAsia" w:ascii="宋体" w:hAnsi="宋体" w:cs="宋体"/>
          <w:sz w:val="24"/>
          <w:highlight w:val="none"/>
        </w:rPr>
      </w:pPr>
      <w:bookmarkStart w:id="6" w:name="_Toc179994614"/>
      <w:r>
        <w:rPr>
          <w:rFonts w:hint="eastAsia" w:ascii="宋体" w:hAnsi="宋体" w:cs="宋体"/>
          <w:sz w:val="24"/>
          <w:highlight w:val="none"/>
        </w:rPr>
        <w:t>资源整合、成果互用原则</w:t>
      </w:r>
      <w:bookmarkEnd w:id="6"/>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整合现有信息化成果，实现信息化成果之间信息资源价值最大化，缩短开发时间，实现各业务系统间数据有效共享，数据资源充分利用。</w:t>
      </w:r>
    </w:p>
    <w:p>
      <w:pPr>
        <w:numPr>
          <w:ilvl w:val="0"/>
          <w:numId w:val="2"/>
        </w:numPr>
        <w:spacing w:line="360" w:lineRule="auto"/>
        <w:ind w:firstLine="480" w:firstLineChars="200"/>
        <w:rPr>
          <w:rFonts w:hint="eastAsia" w:ascii="宋体" w:hAnsi="宋体" w:cs="宋体"/>
          <w:sz w:val="24"/>
          <w:highlight w:val="none"/>
        </w:rPr>
      </w:pPr>
      <w:bookmarkStart w:id="7" w:name="_Toc179994615"/>
      <w:r>
        <w:rPr>
          <w:rFonts w:hint="eastAsia" w:ascii="宋体" w:hAnsi="宋体" w:cs="宋体"/>
          <w:sz w:val="24"/>
          <w:highlight w:val="none"/>
        </w:rPr>
        <w:t>实用性原则</w:t>
      </w:r>
      <w:bookmarkEnd w:id="7"/>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以现实需求为基础，充分考虑发展的需要来确定系统规模。功能模块或子系统以服务或者插件方式提供。 </w:t>
      </w:r>
    </w:p>
    <w:p>
      <w:pPr>
        <w:numPr>
          <w:ilvl w:val="0"/>
          <w:numId w:val="2"/>
        </w:numPr>
        <w:spacing w:line="360" w:lineRule="auto"/>
        <w:ind w:firstLine="480" w:firstLineChars="200"/>
        <w:rPr>
          <w:rFonts w:hint="eastAsia" w:ascii="宋体" w:hAnsi="宋体" w:cs="宋体"/>
          <w:sz w:val="24"/>
          <w:highlight w:val="none"/>
        </w:rPr>
      </w:pPr>
      <w:bookmarkStart w:id="8" w:name="_Toc179994616"/>
      <w:r>
        <w:rPr>
          <w:rFonts w:hint="eastAsia" w:ascii="宋体" w:hAnsi="宋体" w:cs="宋体"/>
          <w:sz w:val="24"/>
          <w:highlight w:val="none"/>
        </w:rPr>
        <w:t>易用性原则</w:t>
      </w:r>
      <w:bookmarkEnd w:id="8"/>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人机交互界面简单、实用，贴近用户日常办公习惯，功能模块和功能按钮的说明应定义清晰、命名直观，最大限度地方便业务人员、管理员人的使用。 </w:t>
      </w:r>
    </w:p>
    <w:p>
      <w:pPr>
        <w:numPr>
          <w:ilvl w:val="0"/>
          <w:numId w:val="2"/>
        </w:numPr>
        <w:spacing w:line="360" w:lineRule="auto"/>
        <w:ind w:firstLine="480" w:firstLineChars="200"/>
        <w:rPr>
          <w:rFonts w:hint="eastAsia" w:ascii="宋体" w:hAnsi="宋体" w:cs="宋体"/>
          <w:sz w:val="24"/>
          <w:highlight w:val="none"/>
        </w:rPr>
      </w:pPr>
      <w:bookmarkStart w:id="9" w:name="_Toc179994617"/>
      <w:r>
        <w:rPr>
          <w:rFonts w:hint="eastAsia" w:ascii="宋体" w:hAnsi="宋体" w:cs="宋体"/>
          <w:sz w:val="24"/>
          <w:highlight w:val="none"/>
        </w:rPr>
        <w:t>灵活性和扩展性原则</w:t>
      </w:r>
      <w:bookmarkEnd w:id="9"/>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提供灵活的系统管理和业务定制功能，能适应不断变化的组织结构和业务需求。系统应提供和开放接口规范，便于与上级和同级的同类系统进行数据交换。 </w:t>
      </w:r>
    </w:p>
    <w:p>
      <w:pPr>
        <w:numPr>
          <w:ilvl w:val="0"/>
          <w:numId w:val="2"/>
        </w:numPr>
        <w:spacing w:line="360" w:lineRule="auto"/>
        <w:ind w:firstLine="480" w:firstLineChars="200"/>
        <w:rPr>
          <w:rFonts w:hint="eastAsia" w:ascii="宋体" w:hAnsi="宋体" w:cs="宋体"/>
          <w:sz w:val="24"/>
          <w:highlight w:val="none"/>
        </w:rPr>
      </w:pPr>
      <w:bookmarkStart w:id="10" w:name="_Toc179994618"/>
      <w:r>
        <w:rPr>
          <w:rFonts w:hint="eastAsia" w:ascii="宋体" w:hAnsi="宋体" w:cs="宋体"/>
          <w:sz w:val="24"/>
          <w:highlight w:val="none"/>
        </w:rPr>
        <w:t>接口标准原则</w:t>
      </w:r>
      <w:bookmarkEnd w:id="10"/>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平台的设计，应在系统的内部数据表达、接口形式、相关管理规范，积极采用相应的国际、国内、地方或行业标准，确保平台与国际、国内相关主流软件产品或相关技术上对接的开放性，避免闭门造车，自我封闭。</w:t>
      </w:r>
    </w:p>
    <w:p>
      <w:pPr>
        <w:numPr>
          <w:ilvl w:val="0"/>
          <w:numId w:val="2"/>
        </w:numPr>
        <w:spacing w:line="360" w:lineRule="auto"/>
        <w:ind w:firstLine="480" w:firstLineChars="200"/>
        <w:rPr>
          <w:rFonts w:hint="eastAsia" w:ascii="宋体" w:hAnsi="宋体" w:cs="宋体"/>
          <w:sz w:val="24"/>
          <w:highlight w:val="none"/>
        </w:rPr>
      </w:pPr>
      <w:bookmarkStart w:id="11" w:name="_Toc179994619"/>
      <w:r>
        <w:rPr>
          <w:rFonts w:hint="eastAsia" w:ascii="宋体" w:hAnsi="宋体" w:cs="宋体"/>
          <w:sz w:val="24"/>
          <w:highlight w:val="none"/>
        </w:rPr>
        <w:t>安全性原则</w:t>
      </w:r>
      <w:bookmarkEnd w:id="11"/>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严格遵照国家的有关安全保密法律法规，采取有效措施，确保信息安全。应用先进的网络加密、识别、过滤、控制和抗干扰等安全技术，加强网络信息资源的安全保护，增强网络可靠性和生存能力。系统应能提供有效的安全保障，具备完整的身份认证、访问控制、日志管理和系统审计等安全保密机制，保证系统内部信息的安全。</w:t>
      </w:r>
    </w:p>
    <w:p>
      <w:pPr>
        <w:numPr>
          <w:ilvl w:val="0"/>
          <w:numId w:val="2"/>
        </w:numPr>
        <w:spacing w:line="360" w:lineRule="auto"/>
        <w:ind w:firstLine="480" w:firstLineChars="200"/>
        <w:rPr>
          <w:rFonts w:hint="eastAsia" w:ascii="宋体" w:hAnsi="宋体" w:cs="宋体"/>
          <w:sz w:val="24"/>
          <w:highlight w:val="none"/>
        </w:rPr>
      </w:pPr>
      <w:bookmarkStart w:id="12" w:name="_Toc179994620"/>
      <w:r>
        <w:rPr>
          <w:rFonts w:hint="eastAsia" w:ascii="宋体" w:hAnsi="宋体" w:cs="宋体"/>
          <w:sz w:val="24"/>
          <w:highlight w:val="none"/>
        </w:rPr>
        <w:t>成熟和先进性原则</w:t>
      </w:r>
      <w:bookmarkEnd w:id="12"/>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系统结构设计、系统配置、系统管理方式等方面采用国家或行业上先进同时又是成熟、实用的技术，并符合国家标准和业界标准，为系统的扩展升级、与其他系统的互联提供良好的基础。</w:t>
      </w:r>
    </w:p>
    <w:p>
      <w:pPr>
        <w:numPr>
          <w:ilvl w:val="0"/>
          <w:numId w:val="2"/>
        </w:numPr>
        <w:spacing w:line="360" w:lineRule="auto"/>
        <w:ind w:firstLine="480" w:firstLineChars="200"/>
        <w:rPr>
          <w:rFonts w:hint="eastAsia" w:ascii="宋体" w:hAnsi="宋体" w:cs="宋体"/>
          <w:sz w:val="24"/>
          <w:highlight w:val="none"/>
        </w:rPr>
      </w:pPr>
      <w:bookmarkStart w:id="13" w:name="_Toc179994621"/>
      <w:r>
        <w:rPr>
          <w:rFonts w:hint="eastAsia" w:ascii="宋体" w:hAnsi="宋体" w:cs="宋体"/>
          <w:sz w:val="24"/>
          <w:highlight w:val="none"/>
        </w:rPr>
        <w:t>可管理性原则</w:t>
      </w:r>
      <w:bookmarkEnd w:id="13"/>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整个系统的设备易于管理，易于维护，操作简单，易学，易用，便于进行系统配置，在设备、安全性、数据流量、性能等方面得到很好的监视和控制，并可以进行远程管理和故障诊断。</w:t>
      </w:r>
    </w:p>
    <w:p>
      <w:pPr>
        <w:pStyle w:val="4"/>
        <w:numPr>
          <w:ilvl w:val="1"/>
          <w:numId w:val="1"/>
        </w:numPr>
        <w:rPr>
          <w:highlight w:val="none"/>
        </w:rPr>
      </w:pPr>
      <w:r>
        <w:rPr>
          <w:rFonts w:hint="eastAsia"/>
          <w:highlight w:val="none"/>
        </w:rPr>
        <w:t>系统功能需求</w:t>
      </w:r>
    </w:p>
    <w:p>
      <w:pPr>
        <w:pStyle w:val="5"/>
        <w:numPr>
          <w:ilvl w:val="2"/>
          <w:numId w:val="1"/>
        </w:numPr>
        <w:spacing w:before="156" w:after="156" w:afterLines="50"/>
        <w:rPr>
          <w:sz w:val="32"/>
          <w:szCs w:val="22"/>
          <w:highlight w:val="none"/>
        </w:rPr>
      </w:pPr>
      <w:bookmarkStart w:id="14" w:name="_Toc1891820006"/>
      <w:bookmarkStart w:id="15" w:name="_Toc731271681"/>
      <w:bookmarkStart w:id="16" w:name="_Toc736716258"/>
      <w:bookmarkStart w:id="17" w:name="_Toc11407122"/>
      <w:bookmarkStart w:id="18" w:name="_Toc1331918509"/>
      <w:bookmarkStart w:id="19" w:name="_Toc289135636"/>
      <w:bookmarkStart w:id="20" w:name="_Toc1597648547"/>
      <w:bookmarkStart w:id="21" w:name="_Toc1869702842"/>
      <w:bookmarkStart w:id="22" w:name="_Toc643639705"/>
      <w:bookmarkStart w:id="23" w:name="_Toc1174716232"/>
      <w:bookmarkStart w:id="24" w:name="_Toc1866795166"/>
      <w:bookmarkStart w:id="25" w:name="_Toc1239800564"/>
      <w:bookmarkStart w:id="26" w:name="_Toc182086324"/>
      <w:bookmarkStart w:id="27" w:name="_Toc408142943"/>
      <w:bookmarkStart w:id="28" w:name="_Toc179994639"/>
      <w:r>
        <w:rPr>
          <w:rFonts w:hint="eastAsia"/>
          <w:sz w:val="32"/>
          <w:szCs w:val="22"/>
          <w:highlight w:val="none"/>
        </w:rPr>
        <w:t>工作台</w:t>
      </w:r>
      <w:bookmarkEnd w:id="14"/>
      <w:bookmarkEnd w:id="15"/>
      <w:bookmarkEnd w:id="16"/>
      <w:bookmarkEnd w:id="17"/>
      <w:bookmarkEnd w:id="18"/>
      <w:bookmarkEnd w:id="19"/>
      <w:bookmarkEnd w:id="20"/>
      <w:bookmarkEnd w:id="21"/>
      <w:bookmarkEnd w:id="22"/>
      <w:bookmarkEnd w:id="23"/>
      <w:bookmarkEnd w:id="24"/>
      <w:bookmarkEnd w:id="25"/>
      <w:bookmarkEnd w:id="26"/>
      <w:bookmarkEnd w:id="27"/>
    </w:p>
    <w:p>
      <w:pPr>
        <w:pStyle w:val="6"/>
        <w:numPr>
          <w:ilvl w:val="3"/>
          <w:numId w:val="1"/>
        </w:numPr>
        <w:spacing w:before="0" w:after="0" w:line="413" w:lineRule="auto"/>
        <w:rPr>
          <w:highlight w:val="none"/>
        </w:rPr>
      </w:pPr>
      <w:r>
        <w:rPr>
          <w:rFonts w:hint="eastAsia"/>
          <w:highlight w:val="none"/>
        </w:rPr>
        <w:t>工作台首页</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用户通过统一的登录平台进入系统后，工作台首页将直观展示各个模块的图标与名称。点击任一模块的图标或名称，即可跳转至该模块的主题主页，全面呈现该模块的总览数据情况。</w:t>
      </w:r>
    </w:p>
    <w:p>
      <w:pPr>
        <w:pStyle w:val="6"/>
        <w:numPr>
          <w:ilvl w:val="3"/>
          <w:numId w:val="1"/>
        </w:numPr>
        <w:spacing w:before="0" w:after="0" w:line="413" w:lineRule="auto"/>
        <w:rPr>
          <w:highlight w:val="none"/>
        </w:rPr>
      </w:pPr>
      <w:r>
        <w:rPr>
          <w:rFonts w:hint="eastAsia"/>
          <w:highlight w:val="none"/>
        </w:rPr>
        <w:t>民声回应监督预警主题</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该主题聚焦于民声回应监督的预警展示，并具备12345热线核心业务逻辑展示及12345热线管理相关知识库功能。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通过数据分析模型对12345工单热线数据进行高效整合与分析，以图表形式展示重点关注领域、部门履责监督、纠治四</w:t>
      </w:r>
      <w:r>
        <w:rPr>
          <w:rFonts w:hint="eastAsia" w:ascii="宋体" w:hAnsi="宋体" w:cs="宋体"/>
          <w:sz w:val="24"/>
          <w:highlight w:val="none"/>
          <w:lang w:val="en-US" w:eastAsia="zh-CN"/>
        </w:rPr>
        <w:t xml:space="preserve"> </w:t>
      </w:r>
      <w:r>
        <w:rPr>
          <w:rFonts w:hint="eastAsia" w:ascii="宋体" w:hAnsi="宋体" w:cs="宋体"/>
          <w:sz w:val="24"/>
          <w:highlight w:val="none"/>
        </w:rPr>
        <w:t>风的相关数据及监督预警及统计分析结果。</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系统应支持按周、月、年等时间维度筛选查看统计数据，形成清晰、直观的数据统计图，以满足不同层级、不同时间维度的监督和管理需求。</w:t>
      </w:r>
    </w:p>
    <w:p>
      <w:pPr>
        <w:pStyle w:val="6"/>
        <w:numPr>
          <w:ilvl w:val="3"/>
          <w:numId w:val="1"/>
        </w:numPr>
        <w:spacing w:before="0" w:after="0" w:line="413" w:lineRule="auto"/>
        <w:rPr>
          <w:highlight w:val="none"/>
        </w:rPr>
      </w:pPr>
      <w:r>
        <w:rPr>
          <w:rFonts w:hint="eastAsia"/>
          <w:highlight w:val="none"/>
        </w:rPr>
        <w:t>综合执法监督预警主题</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该主题聚焦于综合执法监督预警展示，并具备综合执法核心业务逻辑展示及综合执法管理相关知识库功能。</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通过接入综合执法监督模块中关于执法效率、执法规范以及阻断性程序的相关监督预警数据，实现对综合执法情况的全面掌握。以图表形式展示综合执法效率监督、执法规范监督以及阻断性程序监督模块的统计分析结果，通过统计分析和图表呈现，有力推动综合执法工作不断向规范化、高效化迈进。展示数据包括：重复投诉监督、案件办理超期监督、同一主体多次被处罚监督、免罚案件监督、案件撤销监督等数据。</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系统应支持按周、月、年等时间维度筛选查看统计数据，形成清晰、直观的数据统计图，以满足不同层级、不同时间维度的监督和管理需求。</w:t>
      </w:r>
    </w:p>
    <w:p>
      <w:pPr>
        <w:pStyle w:val="6"/>
        <w:numPr>
          <w:ilvl w:val="3"/>
          <w:numId w:val="1"/>
        </w:numPr>
        <w:spacing w:before="0" w:after="0" w:line="413" w:lineRule="auto"/>
        <w:rPr>
          <w:highlight w:val="none"/>
        </w:rPr>
      </w:pPr>
      <w:r>
        <w:rPr>
          <w:rFonts w:hint="eastAsia"/>
          <w:highlight w:val="none"/>
        </w:rPr>
        <w:t>财政资金监督预警主题</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主题聚焦于财政资金监督预警展示，并集成了财政综合管理的核心业务逻辑展示功能与相关知识库资源。在财政资金监督预警及统计分析层面，系统利用多样化的图表形式，实现了数据的全面统计与直观展示，有效提升了财政资金监督的效率与质量，为临港片区的经济繁荣与社会稳定奠定了坚实的财政基石。</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对预算执行、资产、招投标、专项扶持资资金、会议活动支出等场景的监督预警结果进行展示，形成数据统计图。展示数据类型包括：财政资金执行率动态监测、行政事业单位资产账实不符监督、项目</w:t>
      </w:r>
      <w:r>
        <w:rPr>
          <w:rFonts w:hint="eastAsia" w:ascii="宋体" w:hAnsi="宋体" w:cs="宋体"/>
          <w:sz w:val="24"/>
          <w:highlight w:val="none"/>
          <w:lang w:eastAsia="zh-CN"/>
        </w:rPr>
        <w:t>成交</w:t>
      </w:r>
      <w:r>
        <w:rPr>
          <w:rFonts w:hint="eastAsia" w:ascii="宋体" w:hAnsi="宋体" w:cs="宋体"/>
          <w:sz w:val="24"/>
          <w:highlight w:val="none"/>
        </w:rPr>
        <w:t>结算率监督、招标代理机构轮序跳空提示、招标代理机构排序情况展示、专项资金重复发放情况监督、被扶持企业信用情况监督、会议活动支出情况监督等数据。</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系统应支持按周、月、年等时间维度筛选查看统计数据，形成清晰、直观的数据统计图，以满足不同层级、不同时间维度的监督和管理需求。</w:t>
      </w:r>
    </w:p>
    <w:p>
      <w:pPr>
        <w:pStyle w:val="6"/>
        <w:numPr>
          <w:ilvl w:val="3"/>
          <w:numId w:val="1"/>
        </w:numPr>
        <w:spacing w:before="0" w:after="0" w:line="413" w:lineRule="auto"/>
        <w:rPr>
          <w:highlight w:val="none"/>
        </w:rPr>
      </w:pPr>
      <w:r>
        <w:rPr>
          <w:rFonts w:hint="eastAsia"/>
          <w:highlight w:val="none"/>
        </w:rPr>
        <w:t>知识库建设</w:t>
      </w:r>
    </w:p>
    <w:p>
      <w:pPr>
        <w:spacing w:line="360" w:lineRule="auto"/>
        <w:ind w:firstLine="480" w:firstLineChars="200"/>
        <w:rPr>
          <w:rFonts w:hint="eastAsia" w:ascii="宋体" w:hAnsi="宋体" w:cs="宋体"/>
          <w:sz w:val="24"/>
          <w:highlight w:val="none"/>
        </w:rPr>
      </w:pPr>
      <w:r>
        <w:rPr>
          <w:rFonts w:ascii="宋体" w:hAnsi="宋体" w:cs="宋体"/>
          <w:sz w:val="24"/>
          <w:highlight w:val="none"/>
        </w:rPr>
        <w:t>平台</w:t>
      </w:r>
      <w:r>
        <w:rPr>
          <w:rFonts w:hint="eastAsia" w:ascii="宋体" w:hAnsi="宋体" w:cs="宋体"/>
          <w:sz w:val="24"/>
          <w:highlight w:val="none"/>
        </w:rPr>
        <w:t>依托被监管业务结合纪检监督工作实际</w:t>
      </w:r>
      <w:r>
        <w:rPr>
          <w:rFonts w:ascii="宋体" w:hAnsi="宋体" w:cs="宋体"/>
          <w:sz w:val="24"/>
          <w:highlight w:val="none"/>
        </w:rPr>
        <w:t>打造</w:t>
      </w:r>
      <w:r>
        <w:rPr>
          <w:rFonts w:hint="eastAsia" w:ascii="宋体" w:hAnsi="宋体" w:cs="宋体"/>
          <w:sz w:val="24"/>
          <w:highlight w:val="none"/>
        </w:rPr>
        <w:t>主题</w:t>
      </w:r>
      <w:r>
        <w:rPr>
          <w:rFonts w:ascii="宋体" w:hAnsi="宋体" w:cs="宋体"/>
          <w:sz w:val="24"/>
          <w:highlight w:val="none"/>
        </w:rPr>
        <w:t>知识库</w:t>
      </w:r>
      <w:r>
        <w:rPr>
          <w:rFonts w:hint="eastAsia" w:ascii="宋体" w:hAnsi="宋体" w:cs="宋体"/>
          <w:sz w:val="24"/>
          <w:highlight w:val="none"/>
        </w:rPr>
        <w:t>。定期</w:t>
      </w:r>
      <w:r>
        <w:rPr>
          <w:rFonts w:ascii="宋体" w:hAnsi="宋体" w:cs="宋体"/>
          <w:sz w:val="24"/>
          <w:highlight w:val="none"/>
        </w:rPr>
        <w:t>将新颁布、修订的条文及相关解读资料精准录入，确保知识的时效性</w:t>
      </w:r>
      <w:r>
        <w:rPr>
          <w:rFonts w:hint="eastAsia" w:ascii="宋体" w:hAnsi="宋体" w:cs="宋体"/>
          <w:sz w:val="24"/>
          <w:highlight w:val="none"/>
        </w:rPr>
        <w:t>，持续</w:t>
      </w:r>
      <w:r>
        <w:rPr>
          <w:rFonts w:ascii="宋体" w:hAnsi="宋体" w:cs="宋体"/>
          <w:sz w:val="24"/>
          <w:highlight w:val="none"/>
        </w:rPr>
        <w:t>丰富知识库内的资料储备数量。</w:t>
      </w:r>
    </w:p>
    <w:p>
      <w:pPr>
        <w:pStyle w:val="5"/>
        <w:numPr>
          <w:ilvl w:val="2"/>
          <w:numId w:val="1"/>
        </w:numPr>
        <w:spacing w:before="156" w:after="156" w:afterLines="50"/>
        <w:rPr>
          <w:sz w:val="32"/>
          <w:szCs w:val="22"/>
          <w:highlight w:val="none"/>
        </w:rPr>
      </w:pPr>
      <w:bookmarkStart w:id="29" w:name="_Toc175963360"/>
      <w:bookmarkStart w:id="30" w:name="_Toc1894624738"/>
      <w:bookmarkStart w:id="31" w:name="_Toc1691090988"/>
      <w:bookmarkStart w:id="32" w:name="_Toc2114942590"/>
      <w:bookmarkStart w:id="33" w:name="_Toc777391996"/>
      <w:bookmarkStart w:id="34" w:name="_Toc434230786"/>
      <w:bookmarkStart w:id="35" w:name="_Toc1638544353"/>
      <w:bookmarkStart w:id="36" w:name="_Toc184844435"/>
      <w:bookmarkStart w:id="37" w:name="_Toc490272292"/>
      <w:bookmarkStart w:id="38" w:name="_Toc294252307"/>
      <w:bookmarkStart w:id="39" w:name="_Toc1746923251"/>
      <w:bookmarkStart w:id="40" w:name="_Toc593454871"/>
      <w:bookmarkStart w:id="41" w:name="_Toc182086325"/>
      <w:bookmarkStart w:id="42" w:name="_Toc595674483"/>
      <w:r>
        <w:rPr>
          <w:rFonts w:hint="eastAsia"/>
          <w:sz w:val="32"/>
          <w:szCs w:val="22"/>
          <w:highlight w:val="none"/>
        </w:rPr>
        <w:t>民声回应监督模块建设</w:t>
      </w:r>
      <w:bookmarkEnd w:id="29"/>
      <w:bookmarkEnd w:id="30"/>
      <w:bookmarkEnd w:id="31"/>
      <w:bookmarkEnd w:id="32"/>
      <w:bookmarkEnd w:id="33"/>
      <w:bookmarkEnd w:id="34"/>
      <w:bookmarkEnd w:id="35"/>
      <w:bookmarkEnd w:id="36"/>
      <w:bookmarkEnd w:id="37"/>
      <w:bookmarkEnd w:id="38"/>
      <w:bookmarkEnd w:id="39"/>
      <w:bookmarkEnd w:id="40"/>
      <w:bookmarkEnd w:id="41"/>
      <w:bookmarkEnd w:id="42"/>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模块的建设依托于临港新片区12345工单数据，旨在通过构建数据分析算法模型，深入挖掘临港新片区12345工单数据的监督潜能。该模块将重点聚焦于民众广泛关注的问题线索，实现及时有效的监督与整改，确保民众声音得到切实回应。旨在全面提升临港新片区民众满意度，确保各项政策措施得到有效执行。</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本期项目将先行实现以下监督与预警场景：重点关注领域监督、部门履责监督、纠治“四</w:t>
      </w:r>
      <w:r>
        <w:rPr>
          <w:rFonts w:hint="eastAsia" w:ascii="宋体" w:hAnsi="宋体" w:cs="宋体"/>
          <w:sz w:val="24"/>
          <w:highlight w:val="none"/>
          <w:lang w:val="en-US" w:eastAsia="zh-CN"/>
        </w:rPr>
        <w:t xml:space="preserve"> </w:t>
      </w:r>
      <w:r>
        <w:rPr>
          <w:rFonts w:hint="eastAsia" w:ascii="宋体" w:hAnsi="宋体" w:cs="宋体"/>
          <w:sz w:val="24"/>
          <w:highlight w:val="none"/>
        </w:rPr>
        <w:t>风”，</w:t>
      </w:r>
      <w:bookmarkStart w:id="43" w:name="OLE_LINK2"/>
      <w:r>
        <w:rPr>
          <w:rFonts w:hint="eastAsia" w:ascii="宋体" w:hAnsi="宋体" w:cs="宋体"/>
          <w:sz w:val="24"/>
          <w:highlight w:val="none"/>
        </w:rPr>
        <w:t>相关预警场景支持预警规则灵活配置</w:t>
      </w:r>
      <w:bookmarkEnd w:id="43"/>
      <w:r>
        <w:rPr>
          <w:rFonts w:hint="eastAsia" w:ascii="宋体" w:hAnsi="宋体" w:cs="宋体"/>
          <w:sz w:val="24"/>
          <w:highlight w:val="none"/>
        </w:rPr>
        <w:t>。</w:t>
      </w:r>
    </w:p>
    <w:p>
      <w:pPr>
        <w:pStyle w:val="6"/>
        <w:numPr>
          <w:ilvl w:val="3"/>
          <w:numId w:val="1"/>
        </w:numPr>
        <w:spacing w:before="0" w:after="0" w:line="413" w:lineRule="auto"/>
        <w:rPr>
          <w:highlight w:val="none"/>
        </w:rPr>
      </w:pPr>
      <w:r>
        <w:rPr>
          <w:rFonts w:hint="eastAsia"/>
          <w:highlight w:val="none"/>
        </w:rPr>
        <w:t>重点关注领域监督</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通过接入12345平台业务数据，利用数据分析模型对工单信息进行深度分析、精准识别与科学归类。涵盖物业管理监督（主要关注小区内问题）、新房交付监督、市容市貌监督（包括无证摆摊、道路管理等问题）、文旅活动监督（如景区管理）以及拖欠工资监督等多个方面。</w:t>
      </w:r>
    </w:p>
    <w:p>
      <w:pPr>
        <w:pStyle w:val="6"/>
        <w:numPr>
          <w:ilvl w:val="3"/>
          <w:numId w:val="1"/>
        </w:numPr>
        <w:spacing w:before="0" w:after="0" w:line="413" w:lineRule="auto"/>
        <w:rPr>
          <w:highlight w:val="none"/>
        </w:rPr>
      </w:pPr>
      <w:r>
        <w:rPr>
          <w:rFonts w:hint="eastAsia"/>
          <w:highlight w:val="none"/>
        </w:rPr>
        <w:t>部门履责监督</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通过接入12345平台业务数据，采用数据分析模型对案件信息进行深度分析、精确识别与合理归类，对部门进行履责监督，涵盖重复投诉监督、多次退单监督、不满意部门排名监督、“不作为、慢作为、乱作为”监督。</w:t>
      </w:r>
    </w:p>
    <w:p>
      <w:pPr>
        <w:pStyle w:val="6"/>
        <w:numPr>
          <w:ilvl w:val="3"/>
          <w:numId w:val="1"/>
        </w:numPr>
        <w:spacing w:before="0" w:after="0" w:line="413" w:lineRule="auto"/>
        <w:rPr>
          <w:highlight w:val="none"/>
        </w:rPr>
      </w:pPr>
      <w:r>
        <w:rPr>
          <w:rFonts w:hint="eastAsia"/>
          <w:highlight w:val="none"/>
        </w:rPr>
        <w:t>纠治“四</w:t>
      </w:r>
      <w:r>
        <w:rPr>
          <w:rFonts w:hint="eastAsia"/>
          <w:highlight w:val="none"/>
          <w:lang w:val="en-US" w:eastAsia="zh-CN"/>
        </w:rPr>
        <w:t xml:space="preserve"> </w:t>
      </w:r>
      <w:r>
        <w:rPr>
          <w:rFonts w:hint="eastAsia"/>
          <w:highlight w:val="none"/>
        </w:rPr>
        <w:t>风</w:t>
      </w:r>
      <w:r>
        <w:rPr>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通过接入12345平台业务数据，建设</w:t>
      </w:r>
      <w:r>
        <w:rPr>
          <w:rFonts w:ascii="宋体" w:hAnsi="宋体" w:cs="宋体"/>
          <w:sz w:val="24"/>
          <w:highlight w:val="none"/>
        </w:rPr>
        <w:t>违反中央八项规定精神</w:t>
      </w:r>
      <w:r>
        <w:rPr>
          <w:rFonts w:hint="eastAsia" w:ascii="宋体" w:hAnsi="宋体" w:cs="宋体"/>
          <w:sz w:val="24"/>
          <w:highlight w:val="none"/>
        </w:rPr>
        <w:t>相关分析模型，发现违反中央八项规定精神的相关线索，以便及时采取措施进行纠正和治理。</w:t>
      </w:r>
    </w:p>
    <w:p>
      <w:pPr>
        <w:pStyle w:val="6"/>
        <w:numPr>
          <w:ilvl w:val="3"/>
          <w:numId w:val="1"/>
        </w:numPr>
        <w:spacing w:before="0" w:after="0" w:line="413" w:lineRule="auto"/>
        <w:rPr>
          <w:highlight w:val="none"/>
        </w:rPr>
      </w:pPr>
      <w:r>
        <w:rPr>
          <w:rFonts w:hint="eastAsia"/>
          <w:highlight w:val="none"/>
        </w:rPr>
        <w:t>数据统计分析</w:t>
      </w:r>
    </w:p>
    <w:p>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单位热度：</w:t>
      </w:r>
      <w:r>
        <w:rPr>
          <w:rFonts w:hint="eastAsia" w:ascii="宋体" w:hAnsi="宋体" w:cs="宋体"/>
          <w:sz w:val="24"/>
          <w:highlight w:val="none"/>
        </w:rPr>
        <w:t>根据主责单位进行计算，对每个单位的对应的工单量进行计算和排序并在页面进排名动态效果展示。</w:t>
      </w:r>
    </w:p>
    <w:p>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热词聚焦：</w:t>
      </w:r>
      <w:r>
        <w:rPr>
          <w:rFonts w:hint="eastAsia" w:ascii="宋体" w:hAnsi="宋体" w:cs="宋体"/>
          <w:sz w:val="24"/>
          <w:highlight w:val="none"/>
        </w:rPr>
        <w:t>根据管理要点进行计算、排序，对所有管理要点事项进行分类形成热词聚焦排行榜进行排名展示。</w:t>
      </w:r>
    </w:p>
    <w:p>
      <w:pPr>
        <w:pStyle w:val="5"/>
        <w:numPr>
          <w:ilvl w:val="2"/>
          <w:numId w:val="1"/>
        </w:numPr>
        <w:spacing w:before="156" w:after="156" w:afterLines="50"/>
        <w:rPr>
          <w:sz w:val="32"/>
          <w:szCs w:val="22"/>
          <w:highlight w:val="none"/>
        </w:rPr>
      </w:pPr>
      <w:bookmarkStart w:id="44" w:name="_Toc1991168355"/>
      <w:bookmarkStart w:id="45" w:name="_Toc70453850"/>
      <w:bookmarkStart w:id="46" w:name="_Toc336768424"/>
      <w:bookmarkStart w:id="47" w:name="_Toc111658105"/>
      <w:bookmarkStart w:id="48" w:name="_Toc142657773"/>
      <w:bookmarkStart w:id="49" w:name="_Toc1281960229"/>
      <w:bookmarkStart w:id="50" w:name="_Toc2079757114"/>
      <w:bookmarkStart w:id="51" w:name="_Toc967387796"/>
      <w:bookmarkStart w:id="52" w:name="_Toc1419065483"/>
      <w:bookmarkStart w:id="53" w:name="_Toc182086326"/>
      <w:bookmarkStart w:id="54" w:name="_Toc690784986"/>
      <w:bookmarkStart w:id="55" w:name="_Toc220167271"/>
      <w:bookmarkStart w:id="56" w:name="_Toc331209601"/>
      <w:bookmarkStart w:id="57" w:name="_Toc1832135390"/>
      <w:r>
        <w:rPr>
          <w:rFonts w:hint="eastAsia"/>
          <w:sz w:val="32"/>
          <w:szCs w:val="22"/>
          <w:highlight w:val="none"/>
        </w:rPr>
        <w:t>综合执法监督模块建设</w:t>
      </w:r>
      <w:bookmarkEnd w:id="44"/>
      <w:bookmarkEnd w:id="45"/>
      <w:bookmarkEnd w:id="46"/>
      <w:bookmarkEnd w:id="47"/>
      <w:bookmarkEnd w:id="48"/>
      <w:bookmarkEnd w:id="49"/>
      <w:bookmarkEnd w:id="50"/>
      <w:bookmarkEnd w:id="51"/>
      <w:bookmarkEnd w:id="52"/>
      <w:bookmarkEnd w:id="53"/>
      <w:bookmarkEnd w:id="54"/>
      <w:bookmarkEnd w:id="55"/>
      <w:bookmarkEnd w:id="56"/>
      <w:bookmarkEnd w:id="57"/>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基于临港新片区综合管理执法系统现有功能及数据，抓取在综合执法过程中可能存在的廉政风险点进行监测预警，包括执法效率低、执法程序不规范、“阻断性程序”等大类。相关预警场景支持预警规则灵活配置。</w:t>
      </w:r>
    </w:p>
    <w:p>
      <w:pPr>
        <w:pStyle w:val="6"/>
        <w:numPr>
          <w:ilvl w:val="3"/>
          <w:numId w:val="1"/>
        </w:numPr>
        <w:spacing w:before="0" w:after="0" w:line="413" w:lineRule="auto"/>
        <w:rPr>
          <w:highlight w:val="none"/>
        </w:rPr>
      </w:pPr>
      <w:r>
        <w:rPr>
          <w:rFonts w:hint="eastAsia"/>
          <w:highlight w:val="none"/>
        </w:rPr>
        <w:t>执法效率监督</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通过接入临港新片区综合执法管理系统业务数据，针对相关工作人员在执法办案工程中涉及的重复投诉、案件办理超期等问题进行监督与预警。</w:t>
      </w:r>
    </w:p>
    <w:p>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重复投诉监督：</w:t>
      </w:r>
      <w:r>
        <w:rPr>
          <w:rFonts w:hint="eastAsia" w:ascii="宋体" w:hAnsi="宋体" w:cs="宋体"/>
          <w:sz w:val="24"/>
          <w:highlight w:val="none"/>
        </w:rPr>
        <w:t>对多次投诉的案件进行监控，确保问题得到有效解决。</w:t>
      </w:r>
    </w:p>
    <w:p>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案件办理超期监督：</w:t>
      </w:r>
      <w:r>
        <w:rPr>
          <w:rFonts w:hint="eastAsia" w:ascii="宋体" w:hAnsi="宋体" w:cs="宋体"/>
          <w:sz w:val="24"/>
          <w:highlight w:val="none"/>
        </w:rPr>
        <w:t>严格监督案件办理时限，防止超期未结案情况发生。</w:t>
      </w:r>
    </w:p>
    <w:p>
      <w:pPr>
        <w:pStyle w:val="6"/>
        <w:numPr>
          <w:ilvl w:val="3"/>
          <w:numId w:val="1"/>
        </w:numPr>
        <w:spacing w:before="0" w:after="0" w:line="413" w:lineRule="auto"/>
        <w:rPr>
          <w:highlight w:val="none"/>
        </w:rPr>
      </w:pPr>
      <w:r>
        <w:rPr>
          <w:rFonts w:hint="eastAsia"/>
          <w:highlight w:val="none"/>
        </w:rPr>
        <w:t>执法规范监督</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通过接入临港新片区综合执法管理系统业务数据，针对相关工作人员在执法办案工程中涉及的同一主体多次处罚等问题进行监督与预警。</w:t>
      </w:r>
    </w:p>
    <w:p>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同一主体多次被处罚监督</w:t>
      </w:r>
      <w:r>
        <w:rPr>
          <w:rFonts w:hint="eastAsia" w:ascii="宋体" w:hAnsi="宋体" w:cs="宋体"/>
          <w:sz w:val="24"/>
          <w:highlight w:val="none"/>
        </w:rPr>
        <w:t>：对同一主体频繁受到处罚的情况进行预警，评估执法合理性。</w:t>
      </w:r>
    </w:p>
    <w:p>
      <w:pPr>
        <w:pStyle w:val="6"/>
        <w:numPr>
          <w:ilvl w:val="3"/>
          <w:numId w:val="1"/>
        </w:numPr>
        <w:spacing w:before="0" w:after="0" w:line="413" w:lineRule="auto"/>
        <w:rPr>
          <w:highlight w:val="none"/>
        </w:rPr>
      </w:pPr>
      <w:r>
        <w:rPr>
          <w:rFonts w:hint="eastAsia"/>
          <w:highlight w:val="none"/>
        </w:rPr>
        <w:t>阻断性程序监督</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通过接入临港新片区综合执法管理系统业务数据，对执法过程中的“阻断性程序”进行监督，如免罚案件、案件撤销等。</w:t>
      </w:r>
    </w:p>
    <w:p>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免罚案件监督：</w:t>
      </w:r>
      <w:r>
        <w:rPr>
          <w:rFonts w:hint="eastAsia" w:ascii="宋体" w:hAnsi="宋体" w:cs="宋体"/>
          <w:sz w:val="24"/>
          <w:highlight w:val="none"/>
        </w:rPr>
        <w:t>对免予处罚的案件进行审查，确保免罚决定的合法性与合理性。</w:t>
      </w:r>
    </w:p>
    <w:p>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案件撤销监督：</w:t>
      </w:r>
      <w:r>
        <w:rPr>
          <w:rFonts w:hint="eastAsia" w:ascii="宋体" w:hAnsi="宋体" w:cs="宋体"/>
          <w:sz w:val="24"/>
          <w:highlight w:val="none"/>
        </w:rPr>
        <w:t>对案件撤销情况进行监督，防止不当撤销导致的执法不公。</w:t>
      </w:r>
    </w:p>
    <w:p>
      <w:pPr>
        <w:pStyle w:val="5"/>
        <w:numPr>
          <w:ilvl w:val="2"/>
          <w:numId w:val="1"/>
        </w:numPr>
        <w:spacing w:before="156" w:after="156" w:afterLines="50"/>
        <w:rPr>
          <w:sz w:val="32"/>
          <w:szCs w:val="22"/>
          <w:highlight w:val="none"/>
        </w:rPr>
      </w:pPr>
      <w:bookmarkStart w:id="58" w:name="_Toc1328871284"/>
      <w:bookmarkStart w:id="59" w:name="_Toc236999916"/>
      <w:bookmarkStart w:id="60" w:name="_Toc1884546904"/>
      <w:bookmarkStart w:id="61" w:name="_Toc726664020"/>
      <w:bookmarkStart w:id="62" w:name="_Toc2033976426"/>
      <w:bookmarkStart w:id="63" w:name="_Toc182086327"/>
      <w:bookmarkStart w:id="64" w:name="_Toc1447492323"/>
      <w:bookmarkStart w:id="65" w:name="_Toc2078969044"/>
      <w:bookmarkStart w:id="66" w:name="_Toc202138452"/>
      <w:bookmarkStart w:id="67" w:name="_Toc287995935"/>
      <w:bookmarkStart w:id="68" w:name="_Toc1057440759"/>
      <w:bookmarkStart w:id="69" w:name="_Toc362150983"/>
      <w:bookmarkStart w:id="70" w:name="_Toc854367453"/>
      <w:bookmarkStart w:id="71" w:name="_Toc280189199"/>
      <w:r>
        <w:rPr>
          <w:rFonts w:hint="eastAsia"/>
          <w:sz w:val="32"/>
          <w:szCs w:val="22"/>
          <w:highlight w:val="none"/>
        </w:rPr>
        <w:t>财政资金监督模块建设</w:t>
      </w:r>
      <w:bookmarkEnd w:id="58"/>
      <w:bookmarkEnd w:id="59"/>
      <w:bookmarkEnd w:id="60"/>
      <w:bookmarkEnd w:id="61"/>
      <w:bookmarkEnd w:id="62"/>
      <w:bookmarkEnd w:id="63"/>
      <w:bookmarkEnd w:id="64"/>
      <w:bookmarkEnd w:id="65"/>
      <w:bookmarkEnd w:id="66"/>
      <w:bookmarkEnd w:id="67"/>
      <w:bookmarkEnd w:id="68"/>
      <w:bookmarkEnd w:id="69"/>
      <w:bookmarkEnd w:id="70"/>
      <w:bookmarkEnd w:id="71"/>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模块的建设依托于临港新片区财政综合管理系统的现有功能与数据资源，旨在全面监督政府财政预算执行情况、资产管理、招投标流程、专项扶持资金管理以及会议活动支出等业务领域。以确保财政资金的合规、高效使用。相关预警场景支持预警规则灵活配置。</w:t>
      </w:r>
    </w:p>
    <w:p>
      <w:pPr>
        <w:pStyle w:val="6"/>
        <w:numPr>
          <w:ilvl w:val="3"/>
          <w:numId w:val="1"/>
        </w:numPr>
        <w:spacing w:before="0" w:after="0" w:line="413" w:lineRule="auto"/>
        <w:rPr>
          <w:highlight w:val="none"/>
        </w:rPr>
      </w:pPr>
      <w:r>
        <w:rPr>
          <w:rFonts w:hint="eastAsia"/>
          <w:highlight w:val="none"/>
        </w:rPr>
        <w:t>预算执行监督</w:t>
      </w:r>
    </w:p>
    <w:p>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财政资金执行率动态监测：</w:t>
      </w:r>
      <w:r>
        <w:rPr>
          <w:rFonts w:hint="eastAsia" w:ascii="宋体" w:hAnsi="宋体" w:cs="宋体"/>
          <w:sz w:val="24"/>
          <w:highlight w:val="none"/>
        </w:rPr>
        <w:t>通过采集与分析财政资金的使用数据，动态监测财政资金的执行率，确保预算按照规划要求有序执行。</w:t>
      </w:r>
    </w:p>
    <w:p>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项目</w:t>
      </w:r>
      <w:r>
        <w:rPr>
          <w:rFonts w:hint="eastAsia" w:ascii="宋体" w:hAnsi="宋体" w:cs="宋体"/>
          <w:b/>
          <w:bCs/>
          <w:sz w:val="24"/>
          <w:highlight w:val="none"/>
          <w:lang w:eastAsia="zh-CN"/>
        </w:rPr>
        <w:t>成交</w:t>
      </w:r>
      <w:r>
        <w:rPr>
          <w:rFonts w:hint="eastAsia" w:ascii="宋体" w:hAnsi="宋体" w:cs="宋体"/>
          <w:b/>
          <w:bCs/>
          <w:sz w:val="24"/>
          <w:highlight w:val="none"/>
        </w:rPr>
        <w:t>结算率监督：</w:t>
      </w:r>
      <w:r>
        <w:rPr>
          <w:rFonts w:hint="eastAsia" w:ascii="宋体" w:hAnsi="宋体" w:cs="宋体"/>
          <w:sz w:val="24"/>
          <w:highlight w:val="none"/>
        </w:rPr>
        <w:t>对项目</w:t>
      </w:r>
      <w:r>
        <w:rPr>
          <w:rFonts w:hint="eastAsia" w:ascii="宋体" w:hAnsi="宋体" w:cs="宋体"/>
          <w:sz w:val="24"/>
          <w:highlight w:val="none"/>
          <w:lang w:eastAsia="zh-CN"/>
        </w:rPr>
        <w:t>成交</w:t>
      </w:r>
      <w:r>
        <w:rPr>
          <w:rFonts w:hint="eastAsia" w:ascii="宋体" w:hAnsi="宋体" w:cs="宋体"/>
          <w:sz w:val="24"/>
          <w:highlight w:val="none"/>
        </w:rPr>
        <w:t>至结算的全过程进行追溯与审查，及时发现并预警潜在的预算超支、资金滞留或挪用风险，为财政管理部门提供决策支持。</w:t>
      </w:r>
    </w:p>
    <w:p>
      <w:pPr>
        <w:pStyle w:val="6"/>
        <w:numPr>
          <w:ilvl w:val="3"/>
          <w:numId w:val="1"/>
        </w:numPr>
        <w:spacing w:before="0" w:after="0" w:line="413" w:lineRule="auto"/>
        <w:rPr>
          <w:highlight w:val="none"/>
        </w:rPr>
      </w:pPr>
      <w:r>
        <w:rPr>
          <w:rFonts w:hint="eastAsia"/>
          <w:highlight w:val="none"/>
        </w:rPr>
        <w:t>资产监督</w:t>
      </w:r>
    </w:p>
    <w:p>
      <w:pPr>
        <w:spacing w:line="360" w:lineRule="auto"/>
        <w:ind w:firstLine="482" w:firstLineChars="200"/>
        <w:rPr>
          <w:highlight w:val="none"/>
        </w:rPr>
      </w:pPr>
      <w:r>
        <w:rPr>
          <w:rFonts w:hint="eastAsia" w:ascii="宋体" w:hAnsi="宋体" w:cs="宋体"/>
          <w:b/>
          <w:bCs/>
          <w:sz w:val="24"/>
          <w:highlight w:val="none"/>
        </w:rPr>
        <w:t>行政事业单位资产账实不符监督：</w:t>
      </w:r>
      <w:r>
        <w:rPr>
          <w:rFonts w:hint="eastAsia" w:ascii="宋体" w:hAnsi="宋体" w:cs="宋体"/>
          <w:sz w:val="24"/>
          <w:highlight w:val="none"/>
        </w:rPr>
        <w:t>通过定期扫描与比对行政事业单位的资产账目与实物信息，智能识别并报告资产账实不符的情况，助力管理部门及时采取纠正措施。</w:t>
      </w:r>
    </w:p>
    <w:p>
      <w:pPr>
        <w:pStyle w:val="6"/>
        <w:numPr>
          <w:ilvl w:val="3"/>
          <w:numId w:val="1"/>
        </w:numPr>
        <w:spacing w:before="0" w:after="0" w:line="413" w:lineRule="auto"/>
        <w:rPr>
          <w:highlight w:val="none"/>
        </w:rPr>
      </w:pPr>
      <w:r>
        <w:rPr>
          <w:rFonts w:hint="eastAsia"/>
          <w:highlight w:val="none"/>
        </w:rPr>
        <w:t>招投标监督</w:t>
      </w:r>
    </w:p>
    <w:p>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招标代理机构轮序跳空提示：</w:t>
      </w:r>
      <w:r>
        <w:rPr>
          <w:rFonts w:hint="eastAsia" w:ascii="宋体" w:hAnsi="宋体" w:cs="宋体"/>
          <w:sz w:val="24"/>
          <w:highlight w:val="none"/>
        </w:rPr>
        <w:t>利用智能化手段，实时监测招标代理机构的轮序执行情况，对人为干预指派顺序进行监督预警，及时发现并预警潜在的违规行。</w:t>
      </w:r>
    </w:p>
    <w:p>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招标代理机构排序情况展示：</w:t>
      </w:r>
      <w:r>
        <w:rPr>
          <w:rFonts w:hint="eastAsia" w:ascii="宋体" w:hAnsi="宋体" w:cs="宋体"/>
          <w:sz w:val="24"/>
          <w:highlight w:val="none"/>
        </w:rPr>
        <w:t>采集一段周期内（季度、半年、年）委派给招标代理机构的项目数据，按照金额、数量维度统计总金量和总数量。列表展示数据。</w:t>
      </w:r>
    </w:p>
    <w:p>
      <w:pPr>
        <w:pStyle w:val="6"/>
        <w:numPr>
          <w:ilvl w:val="3"/>
          <w:numId w:val="1"/>
        </w:numPr>
        <w:spacing w:before="0" w:after="0" w:line="413" w:lineRule="auto"/>
        <w:rPr>
          <w:highlight w:val="none"/>
        </w:rPr>
      </w:pPr>
      <w:r>
        <w:rPr>
          <w:rFonts w:hint="eastAsia"/>
          <w:highlight w:val="none"/>
        </w:rPr>
        <w:t>专项扶持资金监督</w:t>
      </w:r>
    </w:p>
    <w:p>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专项资金重复发放情况监督：</w:t>
      </w:r>
      <w:r>
        <w:rPr>
          <w:rFonts w:hint="eastAsia" w:ascii="宋体" w:hAnsi="宋体" w:cs="宋体"/>
          <w:sz w:val="24"/>
          <w:highlight w:val="none"/>
        </w:rPr>
        <w:t>通过技术手段，构建一个全面、实时的专项资金发放监督模型，自动识别并预警资金发放过程中的重复发放情况，为监督部门提供有力的数据支持和决策依据，从而保障专项扶持资金的有效利用，提升政府公信力和社会满意度。</w:t>
      </w:r>
    </w:p>
    <w:p>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被扶持企业信用情况监督：</w:t>
      </w:r>
      <w:r>
        <w:rPr>
          <w:rFonts w:hint="eastAsia" w:ascii="宋体" w:hAnsi="宋体" w:cs="宋体"/>
          <w:sz w:val="24"/>
          <w:highlight w:val="none"/>
        </w:rPr>
        <w:t>本需求旨在构建监督模型，通过收集、整合、分析被扶持企业的信用信息、被执法处理的案件信息，为专项扶持资金的合理配置和有效使用提供有力监督保障。确保专项扶持资金能够精准投放到信用良好、真正需要的企业手中。</w:t>
      </w:r>
    </w:p>
    <w:p>
      <w:pPr>
        <w:pStyle w:val="6"/>
        <w:numPr>
          <w:ilvl w:val="3"/>
          <w:numId w:val="1"/>
        </w:numPr>
        <w:spacing w:before="0" w:after="0" w:line="413" w:lineRule="auto"/>
        <w:rPr>
          <w:highlight w:val="none"/>
        </w:rPr>
      </w:pPr>
      <w:r>
        <w:rPr>
          <w:rFonts w:hint="eastAsia"/>
          <w:highlight w:val="none"/>
        </w:rPr>
        <w:t>会议活动支出监督</w:t>
      </w:r>
    </w:p>
    <w:p>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会议活动支出情况监督：</w:t>
      </w:r>
      <w:r>
        <w:rPr>
          <w:rFonts w:hint="eastAsia" w:ascii="宋体" w:hAnsi="宋体" w:cs="宋体"/>
          <w:sz w:val="24"/>
          <w:highlight w:val="none"/>
        </w:rPr>
        <w:t>本需求旨在通过构建一个高效、透明的会议活动支出监督模型，实现对会议活动支出的全方位、全流程监控，确保每一笔支出都符合规定，防止奢侈浪费和腐败行为的发生。加强党风廉政建设，提高财政资金使用效率。</w:t>
      </w:r>
    </w:p>
    <w:bookmarkEnd w:id="28"/>
    <w:p>
      <w:pPr>
        <w:pStyle w:val="5"/>
        <w:numPr>
          <w:ilvl w:val="2"/>
          <w:numId w:val="1"/>
        </w:numPr>
        <w:spacing w:before="156" w:after="156" w:afterLines="50"/>
        <w:rPr>
          <w:sz w:val="32"/>
          <w:szCs w:val="22"/>
          <w:highlight w:val="none"/>
        </w:rPr>
      </w:pPr>
      <w:bookmarkStart w:id="72" w:name="_Toc509741388"/>
      <w:bookmarkStart w:id="73" w:name="_Toc1822906674"/>
      <w:bookmarkStart w:id="74" w:name="_Toc343505925"/>
      <w:bookmarkStart w:id="75" w:name="_Toc302683651"/>
      <w:bookmarkStart w:id="76" w:name="_Toc702915683"/>
      <w:bookmarkStart w:id="77" w:name="_Toc1278118729"/>
      <w:bookmarkStart w:id="78" w:name="_Toc2067022854"/>
      <w:bookmarkStart w:id="79" w:name="_Toc1855713369"/>
      <w:bookmarkStart w:id="80" w:name="_Toc1308719445"/>
      <w:bookmarkStart w:id="81" w:name="_Toc1397098836"/>
      <w:bookmarkStart w:id="82" w:name="_Toc1979657588"/>
      <w:bookmarkStart w:id="83" w:name="_Toc21833210"/>
      <w:bookmarkStart w:id="84" w:name="_Toc182086328"/>
      <w:bookmarkStart w:id="85" w:name="_Toc1673785818"/>
      <w:bookmarkStart w:id="86" w:name="_Toc179994642"/>
      <w:r>
        <w:rPr>
          <w:rFonts w:hint="eastAsia"/>
          <w:sz w:val="32"/>
          <w:szCs w:val="22"/>
          <w:highlight w:val="none"/>
        </w:rPr>
        <w:t>支撑模块建设</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6"/>
        <w:numPr>
          <w:ilvl w:val="3"/>
          <w:numId w:val="1"/>
        </w:numPr>
        <w:spacing w:before="0" w:after="0" w:line="413" w:lineRule="auto"/>
        <w:rPr>
          <w:highlight w:val="none"/>
        </w:rPr>
      </w:pPr>
      <w:r>
        <w:rPr>
          <w:rFonts w:hint="eastAsia"/>
          <w:highlight w:val="none"/>
        </w:rPr>
        <w:t>我的收藏</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收藏管理：展示用户收藏的预警数据。用户点击预警数据项，系统将跳转至对应的预警详情页面。同时，提供加入收藏和取消收藏的功能。</w:t>
      </w:r>
    </w:p>
    <w:p>
      <w:pPr>
        <w:pStyle w:val="6"/>
        <w:numPr>
          <w:ilvl w:val="3"/>
          <w:numId w:val="1"/>
        </w:numPr>
        <w:spacing w:before="0" w:after="0" w:line="413" w:lineRule="auto"/>
        <w:rPr>
          <w:highlight w:val="none"/>
        </w:rPr>
      </w:pPr>
      <w:r>
        <w:rPr>
          <w:rFonts w:hint="eastAsia"/>
          <w:highlight w:val="none"/>
        </w:rPr>
        <w:t>知识库管理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构建灵活的知识库分类体系，支持多级目录结构，便于知识的分类、管理和查找。用户可根据知识的主题、用途或项目需求，将其归类至相应的文件夹中，并支持创建多级子目录以实现精细化的文档组织。支持富文本和纯文本知识内容的管理，包括增加、删除、修改和查询等操作。同时，支持上传各类文档，并根据知识的主题和类型将其归类至相应的分类文件夹中，便于后续的管理和检索。</w:t>
      </w:r>
    </w:p>
    <w:p>
      <w:pPr>
        <w:pStyle w:val="6"/>
        <w:numPr>
          <w:ilvl w:val="3"/>
          <w:numId w:val="1"/>
        </w:numPr>
        <w:spacing w:before="0" w:after="0" w:line="413" w:lineRule="auto"/>
        <w:rPr>
          <w:highlight w:val="none"/>
        </w:rPr>
      </w:pPr>
      <w:r>
        <w:rPr>
          <w:rFonts w:hint="eastAsia"/>
          <w:highlight w:val="none"/>
        </w:rPr>
        <w:t>系统对接</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集成统一身份认证服务:按照临港新片区大数据中心的规划，与临港新片区统一身份认证服务平台进行对接，实现管委会统一的身份认证功能。</w:t>
      </w:r>
    </w:p>
    <w:p>
      <w:pPr>
        <w:pStyle w:val="6"/>
        <w:numPr>
          <w:ilvl w:val="3"/>
          <w:numId w:val="1"/>
        </w:numPr>
        <w:spacing w:before="0" w:after="0" w:line="413" w:lineRule="auto"/>
        <w:rPr>
          <w:highlight w:val="none"/>
        </w:rPr>
      </w:pPr>
      <w:r>
        <w:rPr>
          <w:rFonts w:hint="eastAsia"/>
          <w:highlight w:val="none"/>
        </w:rPr>
        <w:t>组织授权管理</w:t>
      </w:r>
    </w:p>
    <w:p>
      <w:pPr>
        <w:pStyle w:val="7"/>
        <w:numPr>
          <w:ilvl w:val="4"/>
          <w:numId w:val="1"/>
        </w:numPr>
        <w:spacing w:before="0" w:after="0" w:line="413" w:lineRule="auto"/>
        <w:ind w:left="992" w:hanging="992"/>
        <w:rPr>
          <w:highlight w:val="none"/>
        </w:rPr>
      </w:pPr>
      <w:r>
        <w:rPr>
          <w:rFonts w:hint="eastAsia"/>
          <w:highlight w:val="none"/>
        </w:rPr>
        <w:t>组织管理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对</w:t>
      </w:r>
      <w:r>
        <w:rPr>
          <w:rFonts w:ascii="宋体" w:hAnsi="宋体" w:cs="宋体"/>
          <w:sz w:val="24"/>
          <w:highlight w:val="none"/>
        </w:rPr>
        <w:t>组织机构</w:t>
      </w:r>
      <w:r>
        <w:rPr>
          <w:rFonts w:hint="eastAsia" w:ascii="宋体" w:hAnsi="宋体" w:cs="宋体"/>
          <w:sz w:val="24"/>
          <w:highlight w:val="none"/>
        </w:rPr>
        <w:t>进行管理，支持机构查询、机构新增、机构排序、数据导入/导出、批量删除等功能</w:t>
      </w:r>
    </w:p>
    <w:p>
      <w:pPr>
        <w:pStyle w:val="7"/>
        <w:numPr>
          <w:ilvl w:val="4"/>
          <w:numId w:val="1"/>
        </w:numPr>
        <w:spacing w:before="0" w:after="0" w:line="413" w:lineRule="auto"/>
        <w:ind w:left="992" w:hanging="992"/>
        <w:rPr>
          <w:highlight w:val="none"/>
        </w:rPr>
      </w:pPr>
      <w:r>
        <w:rPr>
          <w:rFonts w:hint="eastAsia"/>
          <w:highlight w:val="none"/>
        </w:rPr>
        <w:t>用户管理</w:t>
      </w:r>
    </w:p>
    <w:p>
      <w:pPr>
        <w:spacing w:line="360" w:lineRule="auto"/>
        <w:ind w:firstLine="480" w:firstLineChars="200"/>
        <w:rPr>
          <w:rFonts w:hint="eastAsia" w:ascii="宋体" w:hAnsi="宋体" w:cs="宋体"/>
          <w:sz w:val="24"/>
          <w:highlight w:val="none"/>
        </w:rPr>
      </w:pPr>
      <w:r>
        <w:rPr>
          <w:rFonts w:ascii="宋体" w:hAnsi="宋体" w:cs="宋体"/>
          <w:sz w:val="24"/>
          <w:highlight w:val="none"/>
        </w:rPr>
        <w:t>针对组织机构内的用户信息进行统一管理、统一运维，以列表的形式展示每个用户的姓名、登录名、激活状态、启用状态、最近登录等基本信息。针对用户管理系统内置了如新增用户、批量导入、导出、转移机构、批量删除、重置动态口令、封停管理、设置网站范围、离退管理等常用功能，同时针对不同业务场景，可赋予用户不同角色包括管理角色的运维管理员、地区管理员、普通用户；自定义角色的部门管理员、信息维护员。</w:t>
      </w:r>
    </w:p>
    <w:p>
      <w:pPr>
        <w:pStyle w:val="7"/>
        <w:numPr>
          <w:ilvl w:val="4"/>
          <w:numId w:val="1"/>
        </w:numPr>
        <w:spacing w:before="0" w:after="0" w:line="413" w:lineRule="auto"/>
        <w:ind w:left="992" w:hanging="992"/>
        <w:rPr>
          <w:highlight w:val="none"/>
        </w:rPr>
      </w:pPr>
      <w:r>
        <w:rPr>
          <w:highlight w:val="none"/>
        </w:rPr>
        <w:t>群组管理</w:t>
      </w:r>
    </w:p>
    <w:p>
      <w:pPr>
        <w:spacing w:line="360" w:lineRule="auto"/>
        <w:ind w:firstLine="480" w:firstLineChars="200"/>
        <w:rPr>
          <w:rFonts w:hint="eastAsia" w:ascii="宋体" w:hAnsi="宋体" w:cs="宋体"/>
          <w:sz w:val="24"/>
          <w:highlight w:val="none"/>
        </w:rPr>
      </w:pPr>
      <w:r>
        <w:rPr>
          <w:rFonts w:ascii="宋体" w:hAnsi="宋体" w:cs="宋体"/>
          <w:sz w:val="24"/>
          <w:highlight w:val="none"/>
        </w:rPr>
        <w:t>群组管理为用户权限赋予了更加便捷的授权方式，在多用户权限一致的场景下，群组授权可一站式为全部用户进行统一授权。</w:t>
      </w:r>
    </w:p>
    <w:p>
      <w:pPr>
        <w:pStyle w:val="7"/>
        <w:numPr>
          <w:ilvl w:val="4"/>
          <w:numId w:val="1"/>
        </w:numPr>
        <w:spacing w:before="0" w:after="0" w:line="413" w:lineRule="auto"/>
        <w:ind w:left="992" w:hanging="992"/>
        <w:rPr>
          <w:highlight w:val="none"/>
        </w:rPr>
      </w:pPr>
      <w:r>
        <w:rPr>
          <w:highlight w:val="none"/>
        </w:rPr>
        <w:t>角色管理</w:t>
      </w:r>
    </w:p>
    <w:p>
      <w:pPr>
        <w:spacing w:line="360" w:lineRule="auto"/>
        <w:ind w:firstLine="480" w:firstLineChars="200"/>
        <w:rPr>
          <w:rFonts w:hint="eastAsia" w:ascii="宋体" w:hAnsi="宋体" w:cs="宋体"/>
          <w:sz w:val="24"/>
          <w:highlight w:val="none"/>
        </w:rPr>
      </w:pPr>
      <w:r>
        <w:rPr>
          <w:rFonts w:ascii="宋体" w:hAnsi="宋体" w:cs="宋体"/>
          <w:sz w:val="24"/>
          <w:highlight w:val="none"/>
        </w:rPr>
        <w:t>组织和授权服务中的角色管理功能作用于整个业务</w:t>
      </w:r>
      <w:r>
        <w:rPr>
          <w:rFonts w:hint="eastAsia" w:ascii="宋体" w:hAnsi="宋体" w:cs="宋体"/>
          <w:sz w:val="24"/>
          <w:highlight w:val="none"/>
        </w:rPr>
        <w:t>系统</w:t>
      </w:r>
      <w:r>
        <w:rPr>
          <w:rFonts w:ascii="宋体" w:hAnsi="宋体" w:cs="宋体"/>
          <w:sz w:val="24"/>
          <w:highlight w:val="none"/>
        </w:rPr>
        <w:t>，权限设置管理是多层次、分级的，每一个服务都具备单独的权限设置，并且为不同角色赋予不同权限。</w:t>
      </w:r>
    </w:p>
    <w:p>
      <w:pPr>
        <w:pStyle w:val="3"/>
        <w:numPr>
          <w:ilvl w:val="0"/>
          <w:numId w:val="1"/>
        </w:numPr>
        <w:rPr>
          <w:highlight w:val="none"/>
        </w:rPr>
      </w:pPr>
      <w:r>
        <w:rPr>
          <w:rFonts w:hint="eastAsia"/>
          <w:highlight w:val="none"/>
        </w:rPr>
        <w:t>项目实施服务要求</w:t>
      </w:r>
    </w:p>
    <w:p>
      <w:pPr>
        <w:pStyle w:val="4"/>
        <w:numPr>
          <w:ilvl w:val="1"/>
          <w:numId w:val="1"/>
        </w:numPr>
        <w:rPr>
          <w:highlight w:val="none"/>
        </w:rPr>
      </w:pPr>
      <w:r>
        <w:rPr>
          <w:rFonts w:hint="eastAsia"/>
          <w:highlight w:val="none"/>
        </w:rPr>
        <w:t>项目实施期限要求</w:t>
      </w:r>
    </w:p>
    <w:p>
      <w:pPr>
        <w:pStyle w:val="2"/>
        <w:spacing w:line="360" w:lineRule="auto"/>
        <w:ind w:firstLine="480" w:firstLineChars="200"/>
        <w:rPr>
          <w:rFonts w:hint="eastAsia" w:ascii="宋体" w:eastAsia="宋体" w:cs="宋体"/>
          <w:kern w:val="28"/>
          <w:highlight w:val="none"/>
          <w:lang w:val="en-US"/>
        </w:rPr>
      </w:pPr>
      <w:r>
        <w:rPr>
          <w:rFonts w:hint="eastAsia" w:ascii="宋体" w:eastAsia="宋体" w:cs="宋体"/>
          <w:kern w:val="28"/>
          <w:highlight w:val="none"/>
          <w:lang w:val="en-US"/>
        </w:rPr>
        <w:t>本项目从合同签订之日开始，在8个月内完成，至少包含3个月试运行。供应商应提供详细的项目实施计划，明确实施过程中各阶段的工期及实施内容。</w:t>
      </w:r>
    </w:p>
    <w:p>
      <w:pPr>
        <w:pStyle w:val="4"/>
        <w:numPr>
          <w:ilvl w:val="1"/>
          <w:numId w:val="1"/>
        </w:numPr>
        <w:rPr>
          <w:highlight w:val="none"/>
        </w:rPr>
      </w:pPr>
      <w:r>
        <w:rPr>
          <w:rFonts w:hint="eastAsia"/>
          <w:highlight w:val="none"/>
        </w:rPr>
        <w:t>售后服务要求</w:t>
      </w:r>
    </w:p>
    <w:p>
      <w:pPr>
        <w:pStyle w:val="5"/>
        <w:numPr>
          <w:ilvl w:val="2"/>
          <w:numId w:val="1"/>
        </w:numPr>
        <w:spacing w:before="156" w:after="156" w:afterLines="50"/>
        <w:rPr>
          <w:highlight w:val="none"/>
        </w:rPr>
      </w:pPr>
      <w:r>
        <w:rPr>
          <w:rFonts w:hint="eastAsia"/>
          <w:highlight w:val="none"/>
        </w:rPr>
        <w:t>质保要求</w:t>
      </w:r>
    </w:p>
    <w:p>
      <w:pPr>
        <w:pStyle w:val="11"/>
        <w:spacing w:line="360" w:lineRule="auto"/>
        <w:ind w:firstLine="420"/>
        <w:rPr>
          <w:rFonts w:hint="eastAsia" w:hAnsi="宋体" w:cs="宋体"/>
          <w:kern w:val="28"/>
          <w:sz w:val="24"/>
          <w:highlight w:val="none"/>
        </w:rPr>
      </w:pPr>
      <w:r>
        <w:rPr>
          <w:rFonts w:hint="eastAsia" w:hAnsi="宋体" w:cs="宋体"/>
          <w:kern w:val="28"/>
          <w:sz w:val="24"/>
          <w:highlight w:val="none"/>
        </w:rPr>
        <w:t>提供自验收合格之日起1年免费的质保服务。项目承建方设立常驻售后服务团队，提供7×24小时级别的售后服务。出现故障后，要求1小时内响应，一般性故障解决问题时间不超过4小时，重大故障8小时内给出解决方案并提供临时应急处置措施以保持业务的连贯性，重大故障解决问题时间不超过72小时。</w:t>
      </w:r>
    </w:p>
    <w:p>
      <w:pPr>
        <w:pStyle w:val="5"/>
        <w:numPr>
          <w:ilvl w:val="2"/>
          <w:numId w:val="1"/>
        </w:numPr>
        <w:spacing w:before="156" w:after="156" w:afterLines="50"/>
        <w:rPr>
          <w:highlight w:val="none"/>
        </w:rPr>
      </w:pPr>
      <w:r>
        <w:rPr>
          <w:rFonts w:hint="eastAsia"/>
          <w:highlight w:val="none"/>
        </w:rPr>
        <w:t>软件运行保证</w:t>
      </w:r>
    </w:p>
    <w:p>
      <w:pPr>
        <w:widowControl/>
        <w:spacing w:line="360" w:lineRule="auto"/>
        <w:ind w:firstLine="480" w:firstLineChars="200"/>
        <w:rPr>
          <w:rFonts w:hint="eastAsia" w:ascii="宋体" w:hAnsi="宋体" w:cs="宋体"/>
          <w:kern w:val="28"/>
          <w:sz w:val="24"/>
          <w:highlight w:val="none"/>
        </w:rPr>
      </w:pPr>
      <w:r>
        <w:rPr>
          <w:rFonts w:hint="eastAsia" w:ascii="宋体" w:hAnsi="宋体" w:cs="宋体"/>
          <w:kern w:val="28"/>
          <w:sz w:val="24"/>
          <w:highlight w:val="none"/>
        </w:rPr>
        <w:t>质保期内，</w:t>
      </w:r>
      <w:r>
        <w:rPr>
          <w:rFonts w:hint="eastAsia" w:ascii="宋体" w:hAnsi="宋体" w:cs="宋体"/>
          <w:kern w:val="28"/>
          <w:sz w:val="24"/>
          <w:highlight w:val="none"/>
          <w:lang w:eastAsia="zh-CN"/>
        </w:rPr>
        <w:t>成交供应商</w:t>
      </w:r>
      <w:r>
        <w:rPr>
          <w:rFonts w:hint="eastAsia" w:ascii="宋体" w:hAnsi="宋体" w:cs="宋体"/>
          <w:kern w:val="28"/>
          <w:sz w:val="24"/>
          <w:highlight w:val="none"/>
        </w:rPr>
        <w:t>需在采购人</w:t>
      </w:r>
      <w:r>
        <w:rPr>
          <w:rFonts w:ascii="宋体" w:hAnsi="宋体" w:cs="宋体"/>
          <w:kern w:val="28"/>
          <w:sz w:val="24"/>
          <w:highlight w:val="none"/>
        </w:rPr>
        <w:t>属地设立常驻售后服务团队，</w:t>
      </w:r>
      <w:r>
        <w:rPr>
          <w:rFonts w:hint="eastAsia" w:ascii="宋体" w:hAnsi="宋体" w:cs="宋体"/>
          <w:kern w:val="28"/>
          <w:sz w:val="24"/>
          <w:highlight w:val="none"/>
        </w:rPr>
        <w:t>按</w:t>
      </w:r>
      <w:r>
        <w:rPr>
          <w:rFonts w:ascii="宋体" w:hAnsi="宋体" w:cs="宋体"/>
          <w:kern w:val="28"/>
          <w:sz w:val="24"/>
          <w:highlight w:val="none"/>
        </w:rPr>
        <w:t>采购人需求</w:t>
      </w:r>
      <w:r>
        <w:rPr>
          <w:rFonts w:hint="eastAsia" w:ascii="宋体" w:hAnsi="宋体" w:cs="宋体"/>
          <w:kern w:val="28"/>
          <w:sz w:val="24"/>
          <w:highlight w:val="none"/>
        </w:rPr>
        <w:t>提供本地化驻场人员运维服务。制定出相应的日常值班计划、重大活动保障和应急保障计划。并根据相应的维护服务级别和质量要求及时做出故障诊断，并进行直接排障或配合排障等后续维护服务，以及提供技术解答和咨询。</w:t>
      </w:r>
    </w:p>
    <w:p>
      <w:pPr>
        <w:widowControl/>
        <w:spacing w:line="360" w:lineRule="auto"/>
        <w:ind w:firstLine="480" w:firstLineChars="200"/>
        <w:rPr>
          <w:rFonts w:hint="eastAsia" w:ascii="宋体" w:hAnsi="宋体" w:cs="宋体"/>
          <w:kern w:val="28"/>
          <w:sz w:val="24"/>
          <w:highlight w:val="none"/>
        </w:rPr>
      </w:pPr>
      <w:r>
        <w:rPr>
          <w:rFonts w:hint="eastAsia" w:ascii="宋体" w:hAnsi="宋体" w:cs="宋体"/>
          <w:kern w:val="28"/>
          <w:sz w:val="24"/>
          <w:highlight w:val="none"/>
        </w:rPr>
        <w:t>质保期满后，</w:t>
      </w:r>
      <w:r>
        <w:rPr>
          <w:rFonts w:hint="eastAsia" w:ascii="宋体" w:hAnsi="宋体" w:cs="宋体"/>
          <w:kern w:val="28"/>
          <w:sz w:val="24"/>
          <w:highlight w:val="none"/>
          <w:lang w:eastAsia="zh-CN"/>
        </w:rPr>
        <w:t>成交供应商</w:t>
      </w:r>
      <w:r>
        <w:rPr>
          <w:rFonts w:hint="eastAsia" w:ascii="宋体" w:hAnsi="宋体" w:cs="宋体"/>
          <w:kern w:val="28"/>
          <w:sz w:val="24"/>
          <w:highlight w:val="none"/>
        </w:rPr>
        <w:t>仍然应对由于设计、功能的缺陷而产生的故障负责。提供7日*24小时响应维护服务，承诺</w:t>
      </w:r>
      <w:r>
        <w:rPr>
          <w:rFonts w:hint="eastAsia" w:ascii="宋体" w:hAnsi="宋体" w:cs="宋体"/>
          <w:kern w:val="28"/>
          <w:sz w:val="24"/>
          <w:highlight w:val="none"/>
          <w:lang w:eastAsia="zh-CN"/>
        </w:rPr>
        <w:t>成交</w:t>
      </w:r>
      <w:r>
        <w:rPr>
          <w:rFonts w:hint="eastAsia" w:ascii="宋体" w:hAnsi="宋体" w:cs="宋体"/>
          <w:kern w:val="28"/>
          <w:sz w:val="24"/>
          <w:highlight w:val="none"/>
        </w:rPr>
        <w:t>后配备电话服务热线。在此期间如发生系统运作故障，或出现瑕疵，</w:t>
      </w:r>
      <w:r>
        <w:rPr>
          <w:rFonts w:hint="eastAsia" w:ascii="宋体" w:hAnsi="宋体" w:cs="宋体"/>
          <w:kern w:val="28"/>
          <w:sz w:val="24"/>
          <w:highlight w:val="none"/>
          <w:lang w:eastAsia="zh-CN"/>
        </w:rPr>
        <w:t>成交供应商</w:t>
      </w:r>
      <w:r>
        <w:rPr>
          <w:rFonts w:hint="eastAsia" w:ascii="宋体" w:hAnsi="宋体" w:cs="宋体"/>
          <w:kern w:val="28"/>
          <w:sz w:val="24"/>
          <w:highlight w:val="none"/>
        </w:rPr>
        <w:t>将按照售后服务的承诺提供保修和维护服务。</w:t>
      </w:r>
    </w:p>
    <w:p>
      <w:pPr>
        <w:pStyle w:val="5"/>
        <w:numPr>
          <w:ilvl w:val="2"/>
          <w:numId w:val="1"/>
        </w:numPr>
        <w:spacing w:before="156" w:after="156" w:afterLines="50"/>
        <w:rPr>
          <w:highlight w:val="none"/>
        </w:rPr>
      </w:pPr>
      <w:r>
        <w:rPr>
          <w:rFonts w:hint="eastAsia"/>
          <w:highlight w:val="none"/>
        </w:rPr>
        <w:t>软件维护要求</w:t>
      </w:r>
    </w:p>
    <w:p>
      <w:pPr>
        <w:widowControl/>
        <w:spacing w:line="360" w:lineRule="auto"/>
        <w:ind w:firstLine="480" w:firstLineChars="200"/>
        <w:rPr>
          <w:rFonts w:hint="eastAsia" w:ascii="宋体" w:hAnsi="宋体" w:cs="宋体"/>
          <w:kern w:val="28"/>
          <w:sz w:val="24"/>
          <w:highlight w:val="none"/>
        </w:rPr>
      </w:pPr>
      <w:r>
        <w:rPr>
          <w:rFonts w:hint="eastAsia" w:ascii="宋体" w:hAnsi="宋体" w:cs="宋体"/>
          <w:kern w:val="28"/>
          <w:sz w:val="24"/>
          <w:highlight w:val="none"/>
        </w:rPr>
        <w:t>质保期内，由采购人负责日常性管理工作，包括信息更新、数据维护和系统管理。</w:t>
      </w:r>
      <w:r>
        <w:rPr>
          <w:rFonts w:hint="eastAsia" w:ascii="宋体" w:hAnsi="宋体" w:cs="宋体"/>
          <w:kern w:val="28"/>
          <w:sz w:val="24"/>
          <w:highlight w:val="none"/>
          <w:lang w:eastAsia="zh-CN"/>
        </w:rPr>
        <w:t>成交供应商</w:t>
      </w:r>
      <w:r>
        <w:rPr>
          <w:rFonts w:hint="eastAsia" w:ascii="宋体" w:hAnsi="宋体" w:cs="宋体"/>
          <w:kern w:val="28"/>
          <w:sz w:val="24"/>
          <w:highlight w:val="none"/>
        </w:rPr>
        <w:t>负责本项目所涉及的技术性维护，其工作范围为：软件日常运行维护、软件版本升级和错误更正；合同所界定的功能范围内的局部优化调整。</w:t>
      </w:r>
    </w:p>
    <w:p>
      <w:pPr>
        <w:widowControl/>
        <w:spacing w:line="360" w:lineRule="auto"/>
        <w:ind w:firstLine="480" w:firstLineChars="200"/>
        <w:rPr>
          <w:rFonts w:hint="eastAsia" w:ascii="宋体" w:hAnsi="宋体" w:cs="宋体"/>
          <w:kern w:val="28"/>
          <w:sz w:val="24"/>
          <w:highlight w:val="none"/>
        </w:rPr>
      </w:pPr>
      <w:r>
        <w:rPr>
          <w:rFonts w:hint="eastAsia" w:ascii="宋体" w:hAnsi="宋体" w:cs="宋体"/>
          <w:kern w:val="28"/>
          <w:sz w:val="24"/>
          <w:highlight w:val="none"/>
        </w:rPr>
        <w:t>1.当出现故障时，采购人应立即通知到</w:t>
      </w:r>
      <w:r>
        <w:rPr>
          <w:rFonts w:hint="eastAsia" w:ascii="宋体" w:hAnsi="宋体" w:cs="宋体"/>
          <w:kern w:val="28"/>
          <w:sz w:val="24"/>
          <w:highlight w:val="none"/>
          <w:lang w:eastAsia="zh-CN"/>
        </w:rPr>
        <w:t>成交供应商</w:t>
      </w:r>
      <w:r>
        <w:rPr>
          <w:rFonts w:hint="eastAsia" w:ascii="宋体" w:hAnsi="宋体" w:cs="宋体"/>
          <w:kern w:val="28"/>
          <w:sz w:val="24"/>
          <w:highlight w:val="none"/>
        </w:rPr>
        <w:t>。如属于严重故障，</w:t>
      </w:r>
      <w:r>
        <w:rPr>
          <w:rFonts w:hint="eastAsia" w:ascii="宋体" w:hAnsi="宋体" w:cs="宋体"/>
          <w:kern w:val="28"/>
          <w:sz w:val="24"/>
          <w:highlight w:val="none"/>
          <w:lang w:eastAsia="zh-CN"/>
        </w:rPr>
        <w:t>成交供应商</w:t>
      </w:r>
      <w:r>
        <w:rPr>
          <w:rFonts w:hint="eastAsia" w:ascii="宋体" w:hAnsi="宋体" w:cs="宋体"/>
          <w:kern w:val="28"/>
          <w:sz w:val="24"/>
          <w:highlight w:val="none"/>
        </w:rPr>
        <w:t>立即委派工程师进行处理；如属于一般故障，</w:t>
      </w:r>
      <w:r>
        <w:rPr>
          <w:rFonts w:hint="eastAsia" w:ascii="宋体" w:hAnsi="宋体" w:cs="宋体"/>
          <w:kern w:val="28"/>
          <w:sz w:val="24"/>
          <w:highlight w:val="none"/>
          <w:lang w:eastAsia="zh-CN"/>
        </w:rPr>
        <w:t>成交供应商</w:t>
      </w:r>
      <w:r>
        <w:rPr>
          <w:rFonts w:hint="eastAsia" w:ascii="宋体" w:hAnsi="宋体" w:cs="宋体"/>
          <w:kern w:val="28"/>
          <w:sz w:val="24"/>
          <w:highlight w:val="none"/>
        </w:rPr>
        <w:t>委派工程师在一小时内开展问题处理工作；必要时到现场进行紧急处置。</w:t>
      </w:r>
    </w:p>
    <w:p>
      <w:pPr>
        <w:widowControl/>
        <w:spacing w:line="360" w:lineRule="auto"/>
        <w:ind w:firstLine="480" w:firstLineChars="200"/>
        <w:rPr>
          <w:rFonts w:hint="eastAsia" w:ascii="宋体" w:hAnsi="宋体" w:cs="宋体"/>
          <w:kern w:val="28"/>
          <w:sz w:val="24"/>
          <w:highlight w:val="none"/>
        </w:rPr>
      </w:pPr>
      <w:r>
        <w:rPr>
          <w:rFonts w:hint="eastAsia" w:ascii="宋体" w:hAnsi="宋体" w:cs="宋体"/>
          <w:kern w:val="28"/>
          <w:sz w:val="24"/>
          <w:highlight w:val="none"/>
        </w:rPr>
        <w:t>2.</w:t>
      </w:r>
      <w:r>
        <w:rPr>
          <w:rFonts w:hint="eastAsia" w:ascii="宋体" w:hAnsi="宋体" w:cs="宋体"/>
          <w:kern w:val="28"/>
          <w:sz w:val="24"/>
          <w:highlight w:val="none"/>
          <w:lang w:eastAsia="zh-CN"/>
        </w:rPr>
        <w:t>成交供应商</w:t>
      </w:r>
      <w:r>
        <w:rPr>
          <w:rFonts w:hint="eastAsia" w:ascii="宋体" w:hAnsi="宋体" w:cs="宋体"/>
          <w:kern w:val="28"/>
          <w:sz w:val="24"/>
          <w:highlight w:val="none"/>
        </w:rPr>
        <w:t>在约定的时间内未能弥补缺陷，采购人可采取必要的补救措施，但其风险和费用将由</w:t>
      </w:r>
      <w:r>
        <w:rPr>
          <w:rFonts w:hint="eastAsia" w:ascii="宋体" w:hAnsi="宋体" w:cs="宋体"/>
          <w:kern w:val="28"/>
          <w:sz w:val="24"/>
          <w:highlight w:val="none"/>
          <w:lang w:eastAsia="zh-CN"/>
        </w:rPr>
        <w:t>成交供应商</w:t>
      </w:r>
      <w:r>
        <w:rPr>
          <w:rFonts w:hint="eastAsia" w:ascii="宋体" w:hAnsi="宋体" w:cs="宋体"/>
          <w:kern w:val="28"/>
          <w:sz w:val="24"/>
          <w:highlight w:val="none"/>
        </w:rPr>
        <w:t>承担，采购人根据合同规定对</w:t>
      </w:r>
      <w:r>
        <w:rPr>
          <w:rFonts w:hint="eastAsia" w:ascii="宋体" w:hAnsi="宋体" w:cs="宋体"/>
          <w:kern w:val="28"/>
          <w:sz w:val="24"/>
          <w:highlight w:val="none"/>
          <w:lang w:eastAsia="zh-CN"/>
        </w:rPr>
        <w:t>成交供应商</w:t>
      </w:r>
      <w:r>
        <w:rPr>
          <w:rFonts w:hint="eastAsia" w:ascii="宋体" w:hAnsi="宋体" w:cs="宋体"/>
          <w:kern w:val="28"/>
          <w:sz w:val="24"/>
          <w:highlight w:val="none"/>
        </w:rPr>
        <w:t>行使的其他权利不受影响。</w:t>
      </w:r>
    </w:p>
    <w:p>
      <w:pPr>
        <w:pStyle w:val="5"/>
        <w:numPr>
          <w:ilvl w:val="2"/>
          <w:numId w:val="1"/>
        </w:numPr>
        <w:spacing w:before="156" w:after="156" w:afterLines="50"/>
        <w:rPr>
          <w:highlight w:val="none"/>
        </w:rPr>
      </w:pPr>
      <w:r>
        <w:rPr>
          <w:rFonts w:hint="eastAsia"/>
          <w:highlight w:val="none"/>
        </w:rPr>
        <w:t>软件系统的培训要求</w:t>
      </w:r>
    </w:p>
    <w:p>
      <w:pPr>
        <w:widowControl/>
        <w:spacing w:line="360" w:lineRule="auto"/>
        <w:ind w:firstLine="480" w:firstLineChars="200"/>
        <w:rPr>
          <w:rFonts w:hint="eastAsia" w:ascii="宋体" w:hAnsi="宋体" w:cs="宋体"/>
          <w:kern w:val="28"/>
          <w:sz w:val="24"/>
          <w:highlight w:val="none"/>
        </w:rPr>
      </w:pPr>
      <w:r>
        <w:rPr>
          <w:rFonts w:hint="eastAsia" w:ascii="宋体" w:hAnsi="宋体" w:cs="宋体"/>
          <w:kern w:val="28"/>
          <w:sz w:val="24"/>
          <w:highlight w:val="none"/>
        </w:rPr>
        <w:t>1.</w:t>
      </w:r>
      <w:r>
        <w:rPr>
          <w:rFonts w:hint="eastAsia" w:ascii="宋体" w:hAnsi="宋体" w:cs="宋体"/>
          <w:kern w:val="28"/>
          <w:sz w:val="24"/>
          <w:highlight w:val="none"/>
          <w:lang w:eastAsia="zh-CN"/>
        </w:rPr>
        <w:t>成交供应商</w:t>
      </w:r>
      <w:r>
        <w:rPr>
          <w:rFonts w:hint="eastAsia" w:ascii="宋体" w:hAnsi="宋体" w:cs="宋体"/>
          <w:kern w:val="28"/>
          <w:sz w:val="24"/>
          <w:highlight w:val="none"/>
        </w:rPr>
        <w:t>应提供对软件使用人员和管理人员的培训，培训内容包括软件的使用及维护培训，使受训者能够独立、熟练地完成系统运行维护与操作，实现依据本合同所规定的系统运行保障的目标。</w:t>
      </w:r>
    </w:p>
    <w:p>
      <w:pPr>
        <w:widowControl/>
        <w:spacing w:line="360" w:lineRule="auto"/>
        <w:ind w:firstLine="480" w:firstLineChars="200"/>
        <w:rPr>
          <w:rFonts w:hint="eastAsia" w:ascii="宋体" w:hAnsi="宋体" w:cs="宋体"/>
          <w:kern w:val="28"/>
          <w:sz w:val="24"/>
          <w:highlight w:val="none"/>
        </w:rPr>
      </w:pPr>
      <w:r>
        <w:rPr>
          <w:rFonts w:hint="eastAsia" w:ascii="宋体" w:hAnsi="宋体" w:cs="宋体"/>
          <w:kern w:val="28"/>
          <w:sz w:val="24"/>
          <w:highlight w:val="none"/>
        </w:rPr>
        <w:t>2.</w:t>
      </w:r>
      <w:r>
        <w:rPr>
          <w:rFonts w:hint="eastAsia" w:ascii="宋体" w:hAnsi="宋体" w:cs="宋体"/>
          <w:kern w:val="28"/>
          <w:sz w:val="24"/>
          <w:highlight w:val="none"/>
          <w:lang w:eastAsia="zh-CN"/>
        </w:rPr>
        <w:t>成交供应商</w:t>
      </w:r>
      <w:r>
        <w:rPr>
          <w:rFonts w:hint="eastAsia" w:ascii="宋体" w:hAnsi="宋体" w:cs="宋体"/>
          <w:kern w:val="28"/>
          <w:sz w:val="24"/>
          <w:highlight w:val="none"/>
        </w:rPr>
        <w:t>应为所有被培训人员提供培训用文字资料。</w:t>
      </w:r>
    </w:p>
    <w:p>
      <w:pPr>
        <w:widowControl/>
        <w:spacing w:line="360" w:lineRule="auto"/>
        <w:ind w:firstLine="480" w:firstLineChars="200"/>
        <w:rPr>
          <w:rFonts w:hint="eastAsia" w:ascii="宋体" w:hAnsi="宋体" w:cs="宋体"/>
          <w:kern w:val="28"/>
          <w:sz w:val="24"/>
          <w:highlight w:val="none"/>
        </w:rPr>
      </w:pPr>
      <w:r>
        <w:rPr>
          <w:rFonts w:hint="eastAsia" w:ascii="宋体" w:hAnsi="宋体" w:cs="宋体"/>
          <w:kern w:val="28"/>
          <w:sz w:val="24"/>
          <w:highlight w:val="none"/>
        </w:rPr>
        <w:t>3.培训时间与日期应在软件开发完毕后由采购人和</w:t>
      </w:r>
      <w:r>
        <w:rPr>
          <w:rFonts w:hint="eastAsia" w:ascii="宋体" w:hAnsi="宋体" w:cs="宋体"/>
          <w:kern w:val="28"/>
          <w:sz w:val="24"/>
          <w:highlight w:val="none"/>
          <w:lang w:eastAsia="zh-CN"/>
        </w:rPr>
        <w:t>成交供应商</w:t>
      </w:r>
      <w:r>
        <w:rPr>
          <w:rFonts w:hint="eastAsia" w:ascii="宋体" w:hAnsi="宋体" w:cs="宋体"/>
          <w:kern w:val="28"/>
          <w:sz w:val="24"/>
          <w:highlight w:val="none"/>
        </w:rPr>
        <w:t>共同商定，并提供具体的培训方案。全年培训次数不少于2次。</w:t>
      </w:r>
    </w:p>
    <w:p>
      <w:pPr>
        <w:pStyle w:val="4"/>
        <w:numPr>
          <w:ilvl w:val="1"/>
          <w:numId w:val="1"/>
        </w:numPr>
        <w:rPr>
          <w:highlight w:val="none"/>
          <w:lang w:val="en-AU"/>
        </w:rPr>
      </w:pPr>
      <w:r>
        <w:rPr>
          <w:rFonts w:hint="eastAsia"/>
          <w:highlight w:val="none"/>
          <w:lang w:val="en-AU"/>
        </w:rPr>
        <w:t>人员</w:t>
      </w:r>
      <w:r>
        <w:rPr>
          <w:rFonts w:hint="eastAsia"/>
          <w:highlight w:val="none"/>
        </w:rPr>
        <w:t>配备</w:t>
      </w:r>
      <w:r>
        <w:rPr>
          <w:rFonts w:hint="eastAsia"/>
          <w:highlight w:val="none"/>
          <w:lang w:val="en-AU"/>
        </w:rPr>
        <w:t>要求</w:t>
      </w:r>
    </w:p>
    <w:p>
      <w:pPr>
        <w:spacing w:line="360" w:lineRule="auto"/>
        <w:ind w:firstLine="420"/>
        <w:rPr>
          <w:rFonts w:hint="eastAsia" w:ascii="宋体" w:hAnsi="宋体" w:cs="宋体"/>
          <w:sz w:val="24"/>
          <w:highlight w:val="none"/>
        </w:rPr>
      </w:pPr>
      <w:bookmarkStart w:id="87" w:name="OLE_LINK1"/>
      <w:r>
        <w:rPr>
          <w:rFonts w:hint="eastAsia" w:ascii="宋体" w:hAnsi="宋体" w:cs="宋体"/>
          <w:sz w:val="24"/>
          <w:highlight w:val="none"/>
        </w:rPr>
        <w:t>在本项目服务期内，乙方应具有稳定的在职技术保障力量，能够提供及时的技术支援或服务，应针对本项目组建有类似项目经验的服务团队，及时响应用户需求，实施需求问题分析、方案讨论、部署处置等现场工作。项目经理需具备本科及以上学历，具备信息系统项目管理师资质，具有5年及以上政务信息化系统建设管理经验。相关服务人员需具备大学以上学历，在相关领域至少要有一年以上工作经历，具有良好的沟通能力。</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供应商应提供不少于</w:t>
      </w:r>
      <w:r>
        <w:rPr>
          <w:rFonts w:hint="eastAsia" w:ascii="宋体" w:eastAsia="宋体" w:cs="宋体"/>
          <w:kern w:val="2"/>
          <w:sz w:val="24"/>
          <w:szCs w:val="24"/>
          <w:highlight w:val="none"/>
          <w:lang w:val="en-US" w:eastAsia="zh-CN" w:bidi="ar-SA"/>
        </w:rPr>
        <w:t>10</w:t>
      </w:r>
      <w:r>
        <w:rPr>
          <w:rFonts w:hint="eastAsia" w:ascii="宋体" w:hAnsi="宋体" w:eastAsia="宋体" w:cs="宋体"/>
          <w:kern w:val="2"/>
          <w:sz w:val="24"/>
          <w:szCs w:val="24"/>
          <w:highlight w:val="none"/>
          <w:lang w:val="en-US" w:eastAsia="zh-CN" w:bidi="ar-SA"/>
        </w:rPr>
        <w:t>人的项目服务团队，研发期内提供不少于5人驻场服务，质保期应提供不少于2人的驻场运维支撑团队。</w:t>
      </w:r>
    </w:p>
    <w:bookmarkEnd w:id="87"/>
    <w:p>
      <w:pPr>
        <w:pStyle w:val="24"/>
        <w:ind w:firstLine="480"/>
        <w:rPr>
          <w:rFonts w:hint="eastAsia" w:cs="宋体"/>
          <w:sz w:val="24"/>
          <w:szCs w:val="21"/>
          <w:highlight w:val="none"/>
          <w:lang w:val="en-AU"/>
        </w:rPr>
      </w:pPr>
      <w:r>
        <w:rPr>
          <w:rFonts w:hint="eastAsia" w:cs="宋体"/>
          <w:sz w:val="24"/>
          <w:szCs w:val="21"/>
          <w:highlight w:val="none"/>
          <w:lang w:val="en-AU" w:eastAsia="zh-CN"/>
        </w:rPr>
        <w:t>供应商</w:t>
      </w:r>
      <w:r>
        <w:rPr>
          <w:rFonts w:hint="eastAsia" w:cs="宋体"/>
          <w:sz w:val="24"/>
          <w:szCs w:val="21"/>
          <w:highlight w:val="none"/>
          <w:lang w:val="en-AU"/>
        </w:rPr>
        <w:t>必须提交完整的项目团队人员名单、身份证号码、职称、联系方式、项目实施经历、在本项目中的职务及任务。在</w:t>
      </w:r>
      <w:r>
        <w:rPr>
          <w:rFonts w:hint="eastAsia" w:cs="宋体"/>
          <w:sz w:val="24"/>
          <w:szCs w:val="21"/>
          <w:highlight w:val="none"/>
          <w:lang w:val="en-AU" w:eastAsia="zh-CN"/>
        </w:rPr>
        <w:t>响应</w:t>
      </w:r>
      <w:r>
        <w:rPr>
          <w:rFonts w:hint="eastAsia" w:cs="宋体"/>
          <w:sz w:val="24"/>
          <w:szCs w:val="21"/>
          <w:highlight w:val="none"/>
          <w:lang w:val="en-AU"/>
        </w:rPr>
        <w:t>文件中需提供项目团队人员相关资质证明材料以及最近一个季度任意一个月的在</w:t>
      </w:r>
      <w:r>
        <w:rPr>
          <w:rFonts w:hint="eastAsia" w:cs="宋体"/>
          <w:sz w:val="24"/>
          <w:szCs w:val="21"/>
          <w:highlight w:val="none"/>
          <w:lang w:val="en-AU" w:eastAsia="zh-CN"/>
        </w:rPr>
        <w:t>响应供应商</w:t>
      </w:r>
      <w:r>
        <w:rPr>
          <w:rFonts w:hint="eastAsia" w:cs="宋体"/>
          <w:sz w:val="24"/>
          <w:szCs w:val="21"/>
          <w:highlight w:val="none"/>
          <w:lang w:val="en-AU"/>
        </w:rPr>
        <w:t>本单位依法缴纳社保费的证明。</w:t>
      </w:r>
    </w:p>
    <w:p>
      <w:pPr>
        <w:pStyle w:val="4"/>
        <w:numPr>
          <w:ilvl w:val="1"/>
          <w:numId w:val="1"/>
        </w:numPr>
        <w:rPr>
          <w:highlight w:val="none"/>
        </w:rPr>
      </w:pPr>
      <w:r>
        <w:rPr>
          <w:rFonts w:hint="eastAsia"/>
          <w:highlight w:val="none"/>
        </w:rPr>
        <w:t>安全要求</w:t>
      </w:r>
    </w:p>
    <w:p>
      <w:pPr>
        <w:spacing w:line="360" w:lineRule="auto"/>
        <w:ind w:firstLine="480" w:firstLineChars="200"/>
        <w:rPr>
          <w:rFonts w:hint="eastAsia" w:ascii="宋体" w:hAnsi="宋体" w:cs="宋体"/>
          <w:sz w:val="24"/>
          <w:szCs w:val="21"/>
          <w:highlight w:val="none"/>
          <w:lang w:val="en-AU"/>
        </w:rPr>
      </w:pPr>
      <w:r>
        <w:rPr>
          <w:rFonts w:hint="eastAsia" w:ascii="宋体" w:hAnsi="宋体" w:cs="宋体"/>
          <w:sz w:val="24"/>
          <w:szCs w:val="21"/>
          <w:highlight w:val="none"/>
          <w:lang w:val="en-AU"/>
        </w:rPr>
        <w:t>本项目需部署在</w:t>
      </w:r>
      <w:r>
        <w:rPr>
          <w:rFonts w:hint="eastAsia" w:ascii="宋体" w:hAnsi="宋体" w:cs="宋体"/>
          <w:sz w:val="24"/>
          <w:szCs w:val="21"/>
          <w:highlight w:val="none"/>
        </w:rPr>
        <w:t>临港新片区使用的上海市</w:t>
      </w:r>
      <w:r>
        <w:rPr>
          <w:rFonts w:hint="eastAsia" w:ascii="宋体" w:hAnsi="宋体" w:cs="宋体"/>
          <w:sz w:val="24"/>
          <w:szCs w:val="21"/>
          <w:highlight w:val="none"/>
          <w:lang w:val="en-AU"/>
        </w:rPr>
        <w:t>电子政务云中，要求项目参照国家安全等级保护标准</w:t>
      </w:r>
      <w:r>
        <w:rPr>
          <w:rFonts w:hint="eastAsia" w:ascii="宋体" w:hAnsi="宋体" w:cs="宋体"/>
          <w:sz w:val="24"/>
          <w:szCs w:val="21"/>
          <w:highlight w:val="none"/>
        </w:rPr>
        <w:t>2.0中三级等保的相关</w:t>
      </w:r>
      <w:r>
        <w:rPr>
          <w:rFonts w:hint="eastAsia" w:ascii="宋体" w:hAnsi="宋体" w:cs="宋体"/>
          <w:sz w:val="24"/>
          <w:szCs w:val="21"/>
          <w:highlight w:val="none"/>
          <w:lang w:val="en-AU"/>
        </w:rPr>
        <w:t>要求进行网络安全保障系统设计。</w:t>
      </w:r>
      <w:r>
        <w:rPr>
          <w:rFonts w:hint="eastAsia" w:ascii="宋体" w:hAnsi="宋体" w:cs="宋体"/>
          <w:sz w:val="24"/>
          <w:szCs w:val="21"/>
          <w:highlight w:val="none"/>
        </w:rPr>
        <w:t>请</w:t>
      </w:r>
      <w:r>
        <w:rPr>
          <w:rFonts w:hint="eastAsia" w:ascii="宋体" w:hAnsi="宋体" w:cs="宋体"/>
          <w:sz w:val="24"/>
          <w:szCs w:val="21"/>
          <w:highlight w:val="none"/>
          <w:lang w:eastAsia="zh-CN"/>
        </w:rPr>
        <w:t>响应供应商</w:t>
      </w:r>
      <w:r>
        <w:rPr>
          <w:rFonts w:hint="eastAsia" w:ascii="宋体" w:hAnsi="宋体" w:cs="宋体"/>
          <w:sz w:val="24"/>
          <w:szCs w:val="21"/>
          <w:highlight w:val="none"/>
        </w:rPr>
        <w:t>设计详细的安全方案，包括信息安全、网络安全、应用和数据安全、安全管理体系等内容设计。</w:t>
      </w:r>
    </w:p>
    <w:p>
      <w:pPr>
        <w:pStyle w:val="4"/>
        <w:numPr>
          <w:ilvl w:val="1"/>
          <w:numId w:val="1"/>
        </w:numPr>
        <w:rPr>
          <w:highlight w:val="none"/>
          <w:lang w:val="en-AU"/>
        </w:rPr>
      </w:pPr>
      <w:r>
        <w:rPr>
          <w:rFonts w:hint="eastAsia"/>
          <w:highlight w:val="none"/>
          <w:lang w:val="en-AU"/>
        </w:rPr>
        <w:t>质量标准及验收要求</w:t>
      </w:r>
    </w:p>
    <w:p>
      <w:pPr>
        <w:pStyle w:val="5"/>
        <w:numPr>
          <w:ilvl w:val="2"/>
          <w:numId w:val="1"/>
        </w:numPr>
        <w:spacing w:before="156" w:after="156" w:afterLines="50"/>
        <w:rPr>
          <w:highlight w:val="none"/>
          <w:lang w:val="en-AU"/>
        </w:rPr>
      </w:pPr>
      <w:r>
        <w:rPr>
          <w:rFonts w:hint="eastAsia"/>
          <w:highlight w:val="none"/>
          <w:lang w:val="en-AU"/>
        </w:rPr>
        <w:t>质量标准</w:t>
      </w:r>
    </w:p>
    <w:p>
      <w:pPr>
        <w:spacing w:line="360" w:lineRule="auto"/>
        <w:ind w:firstLine="480" w:firstLineChars="200"/>
        <w:rPr>
          <w:rFonts w:hint="eastAsia" w:ascii="宋体" w:hAnsi="宋体" w:cs="宋体"/>
          <w:sz w:val="24"/>
          <w:szCs w:val="21"/>
          <w:highlight w:val="none"/>
        </w:rPr>
      </w:pPr>
      <w:r>
        <w:rPr>
          <w:rFonts w:hint="eastAsia" w:ascii="宋体" w:hAnsi="宋体" w:cs="宋体"/>
          <w:sz w:val="24"/>
          <w:szCs w:val="21"/>
          <w:highlight w:val="none"/>
          <w:lang w:eastAsia="zh-CN"/>
        </w:rPr>
        <w:t>成交供应商</w:t>
      </w:r>
      <w:r>
        <w:rPr>
          <w:rFonts w:hint="eastAsia" w:ascii="宋体" w:hAnsi="宋体" w:cs="宋体"/>
          <w:sz w:val="24"/>
          <w:szCs w:val="21"/>
          <w:highlight w:val="none"/>
        </w:rPr>
        <w:t>所交付的内容应满足本项目技术需求明确的功能性、使用性要求。质量标准按照国家标准、</w:t>
      </w:r>
      <w:r>
        <w:rPr>
          <w:rFonts w:hint="eastAsia" w:ascii="宋体" w:hAnsi="宋体" w:cs="宋体"/>
          <w:sz w:val="24"/>
          <w:szCs w:val="21"/>
          <w:highlight w:val="none"/>
          <w:lang w:eastAsia="zh-CN"/>
        </w:rPr>
        <w:t>采购</w:t>
      </w:r>
      <w:r>
        <w:rPr>
          <w:rFonts w:hint="eastAsia" w:ascii="宋体" w:hAnsi="宋体" w:cs="宋体"/>
          <w:sz w:val="24"/>
          <w:szCs w:val="21"/>
          <w:highlight w:val="none"/>
        </w:rPr>
        <w:t>需求确定，上述标准不一致的，以严格的标准为准。没有国家标准、行业标准和企业标准的，按照通常标准确定。</w:t>
      </w:r>
    </w:p>
    <w:p>
      <w:pPr>
        <w:spacing w:line="360" w:lineRule="auto"/>
        <w:ind w:firstLine="480" w:firstLineChars="200"/>
        <w:rPr>
          <w:rFonts w:ascii="宋体" w:hAnsi="宋体" w:cs="宋体"/>
          <w:sz w:val="24"/>
          <w:szCs w:val="21"/>
          <w:highlight w:val="none"/>
        </w:rPr>
      </w:pPr>
      <w:r>
        <w:rPr>
          <w:rFonts w:hint="eastAsia" w:ascii="宋体" w:hAnsi="宋体" w:cs="宋体"/>
          <w:sz w:val="24"/>
          <w:szCs w:val="21"/>
          <w:highlight w:val="none"/>
          <w:lang w:eastAsia="zh-CN"/>
        </w:rPr>
        <w:t>成交供应商</w:t>
      </w:r>
      <w:r>
        <w:rPr>
          <w:rFonts w:hint="eastAsia" w:ascii="宋体" w:hAnsi="宋体" w:cs="宋体"/>
          <w:sz w:val="24"/>
          <w:szCs w:val="21"/>
          <w:highlight w:val="none"/>
        </w:rPr>
        <w:t>所交付的内容还应符合国家和上海市有关系统运行安全规定。</w:t>
      </w:r>
    </w:p>
    <w:p>
      <w:pPr>
        <w:pStyle w:val="5"/>
        <w:numPr>
          <w:ilvl w:val="2"/>
          <w:numId w:val="1"/>
        </w:numPr>
        <w:spacing w:before="156" w:after="156" w:afterLines="50"/>
        <w:rPr>
          <w:highlight w:val="none"/>
          <w:lang w:val="en-AU"/>
        </w:rPr>
      </w:pPr>
      <w:r>
        <w:rPr>
          <w:rFonts w:hint="eastAsia"/>
          <w:highlight w:val="none"/>
          <w:lang w:val="en-AU"/>
        </w:rPr>
        <w:t>绩效指标要求</w:t>
      </w:r>
    </w:p>
    <w:p>
      <w:pPr>
        <w:pStyle w:val="2"/>
        <w:jc w:val="center"/>
        <w:rPr>
          <w:rFonts w:hint="eastAsia"/>
          <w:highlight w:val="none"/>
          <w:lang w:val="en-US"/>
        </w:rPr>
      </w:pPr>
      <w:r>
        <w:rPr>
          <w:highlight w:val="none"/>
        </w:rPr>
        <w:drawing>
          <wp:inline distT="0" distB="0" distL="0" distR="0">
            <wp:extent cx="3728720" cy="4175760"/>
            <wp:effectExtent l="0" t="0" r="5080" b="0"/>
            <wp:docPr id="158269937" name="图片 1" descr="表格&#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9937" name="图片 1" descr="表格&#10;&#10;AI 生成的内容可能不正确。"/>
                    <pic:cNvPicPr>
                      <a:picLocks noChangeAspect="1"/>
                    </pic:cNvPicPr>
                  </pic:nvPicPr>
                  <pic:blipFill>
                    <a:blip r:embed="rId5"/>
                    <a:stretch>
                      <a:fillRect/>
                    </a:stretch>
                  </pic:blipFill>
                  <pic:spPr>
                    <a:xfrm>
                      <a:off x="0" y="0"/>
                      <a:ext cx="3737719" cy="4185472"/>
                    </a:xfrm>
                    <a:prstGeom prst="rect">
                      <a:avLst/>
                    </a:prstGeom>
                  </pic:spPr>
                </pic:pic>
              </a:graphicData>
            </a:graphic>
          </wp:inline>
        </w:drawing>
      </w:r>
    </w:p>
    <w:p>
      <w:pPr>
        <w:pStyle w:val="5"/>
        <w:numPr>
          <w:ilvl w:val="2"/>
          <w:numId w:val="1"/>
        </w:numPr>
        <w:spacing w:before="156" w:after="156" w:afterLines="50"/>
        <w:rPr>
          <w:highlight w:val="none"/>
          <w:lang w:val="en-AU"/>
        </w:rPr>
      </w:pPr>
      <w:r>
        <w:rPr>
          <w:rFonts w:hint="eastAsia"/>
          <w:highlight w:val="none"/>
        </w:rPr>
        <w:t>验收要求</w:t>
      </w:r>
    </w:p>
    <w:p>
      <w:pPr>
        <w:spacing w:line="360" w:lineRule="auto"/>
        <w:ind w:firstLine="480" w:firstLineChars="200"/>
        <w:rPr>
          <w:rFonts w:hint="eastAsia" w:ascii="宋体" w:hAnsi="宋体" w:cs="宋体"/>
          <w:sz w:val="24"/>
          <w:szCs w:val="21"/>
          <w:highlight w:val="none"/>
          <w:lang w:val="en-AU"/>
        </w:rPr>
      </w:pPr>
      <w:r>
        <w:rPr>
          <w:rFonts w:hint="eastAsia" w:ascii="宋体" w:hAnsi="宋体" w:cs="宋体"/>
          <w:sz w:val="24"/>
          <w:szCs w:val="21"/>
          <w:highlight w:val="none"/>
          <w:lang w:val="en-AU"/>
        </w:rPr>
        <w:t>1、</w:t>
      </w:r>
      <w:r>
        <w:rPr>
          <w:rFonts w:hint="eastAsia" w:ascii="宋体" w:hAnsi="宋体" w:cs="宋体"/>
          <w:sz w:val="24"/>
          <w:szCs w:val="21"/>
          <w:highlight w:val="none"/>
          <w:lang w:val="en-AU" w:eastAsia="zh-CN"/>
        </w:rPr>
        <w:t>成交供应商</w:t>
      </w:r>
      <w:r>
        <w:rPr>
          <w:rFonts w:hint="eastAsia" w:ascii="宋体" w:hAnsi="宋体" w:cs="宋体"/>
          <w:sz w:val="24"/>
          <w:szCs w:val="21"/>
          <w:highlight w:val="none"/>
          <w:lang w:val="en-AU"/>
        </w:rPr>
        <w:t>应对应用系统进行完善的测试和自验收。同时提供测试文档和自验收文档。</w:t>
      </w:r>
    </w:p>
    <w:p>
      <w:pPr>
        <w:spacing w:line="360" w:lineRule="auto"/>
        <w:ind w:firstLine="480" w:firstLineChars="200"/>
        <w:rPr>
          <w:rFonts w:hint="eastAsia" w:ascii="宋体" w:hAnsi="宋体" w:cs="宋体"/>
          <w:sz w:val="24"/>
          <w:szCs w:val="21"/>
          <w:highlight w:val="none"/>
          <w:lang w:val="en-AU"/>
        </w:rPr>
      </w:pPr>
      <w:r>
        <w:rPr>
          <w:rFonts w:ascii="宋体" w:hAnsi="宋体" w:cs="宋体"/>
          <w:sz w:val="24"/>
          <w:szCs w:val="21"/>
          <w:highlight w:val="none"/>
          <w:lang w:val="en-AU"/>
        </w:rPr>
        <w:t>2、采购人应依据信息项目工程的条件和性质，按照</w:t>
      </w:r>
      <w:r>
        <w:rPr>
          <w:rFonts w:hint="eastAsia" w:ascii="宋体" w:hAnsi="宋体" w:cs="宋体"/>
          <w:sz w:val="24"/>
          <w:szCs w:val="21"/>
          <w:highlight w:val="none"/>
          <w:lang w:val="en-AU" w:eastAsia="zh-CN"/>
        </w:rPr>
        <w:t>采购</w:t>
      </w:r>
      <w:r>
        <w:rPr>
          <w:rFonts w:ascii="宋体" w:hAnsi="宋体" w:cs="宋体"/>
          <w:sz w:val="24"/>
          <w:szCs w:val="21"/>
          <w:highlight w:val="none"/>
          <w:lang w:val="en-AU"/>
        </w:rPr>
        <w:t>文件明确的要求向</w:t>
      </w:r>
      <w:r>
        <w:rPr>
          <w:rFonts w:hint="eastAsia" w:ascii="宋体" w:hAnsi="宋体" w:cs="宋体"/>
          <w:sz w:val="24"/>
          <w:szCs w:val="21"/>
          <w:highlight w:val="none"/>
          <w:lang w:val="en-AU" w:eastAsia="zh-CN"/>
        </w:rPr>
        <w:t>成交供应商</w:t>
      </w:r>
      <w:r>
        <w:rPr>
          <w:rFonts w:ascii="宋体" w:hAnsi="宋体" w:cs="宋体"/>
          <w:sz w:val="24"/>
          <w:szCs w:val="21"/>
          <w:highlight w:val="none"/>
          <w:lang w:val="en-AU"/>
        </w:rPr>
        <w:t>提供信息系统的施工、安装和集成环境。如采购人未能在该时间内提供该施工和安装环境，</w:t>
      </w:r>
      <w:r>
        <w:rPr>
          <w:rFonts w:hint="eastAsia" w:ascii="宋体" w:hAnsi="宋体" w:cs="宋体"/>
          <w:sz w:val="24"/>
          <w:szCs w:val="21"/>
          <w:highlight w:val="none"/>
          <w:lang w:val="en-AU" w:eastAsia="zh-CN"/>
        </w:rPr>
        <w:t>成交供应商</w:t>
      </w:r>
      <w:r>
        <w:rPr>
          <w:rFonts w:ascii="宋体" w:hAnsi="宋体" w:cs="宋体"/>
          <w:sz w:val="24"/>
          <w:szCs w:val="21"/>
          <w:highlight w:val="none"/>
          <w:lang w:val="en-AU"/>
        </w:rPr>
        <w:t>可相应顺延交付日期。如对</w:t>
      </w:r>
      <w:r>
        <w:rPr>
          <w:rFonts w:hint="eastAsia" w:ascii="宋体" w:hAnsi="宋体" w:cs="宋体"/>
          <w:sz w:val="24"/>
          <w:szCs w:val="21"/>
          <w:highlight w:val="none"/>
          <w:lang w:val="en-AU" w:eastAsia="zh-CN"/>
        </w:rPr>
        <w:t>成交供应商</w:t>
      </w:r>
      <w:r>
        <w:rPr>
          <w:rFonts w:ascii="宋体" w:hAnsi="宋体" w:cs="宋体"/>
          <w:sz w:val="24"/>
          <w:szCs w:val="21"/>
          <w:highlight w:val="none"/>
          <w:lang w:val="en-AU"/>
        </w:rPr>
        <w:t>造成经济损失，采购人还应依合同规定承担违约责任。</w:t>
      </w:r>
    </w:p>
    <w:p>
      <w:pPr>
        <w:spacing w:line="360" w:lineRule="auto"/>
        <w:ind w:firstLine="480" w:firstLineChars="200"/>
        <w:rPr>
          <w:rFonts w:hint="eastAsia" w:ascii="宋体" w:hAnsi="宋体" w:cs="宋体"/>
          <w:sz w:val="24"/>
          <w:szCs w:val="21"/>
          <w:highlight w:val="none"/>
          <w:lang w:val="en-AU"/>
        </w:rPr>
      </w:pPr>
      <w:r>
        <w:rPr>
          <w:rFonts w:hint="eastAsia" w:ascii="宋体" w:hAnsi="宋体" w:cs="宋体"/>
          <w:sz w:val="24"/>
          <w:szCs w:val="21"/>
          <w:highlight w:val="none"/>
        </w:rPr>
        <w:t>3</w:t>
      </w:r>
      <w:r>
        <w:rPr>
          <w:rFonts w:ascii="宋体" w:hAnsi="宋体" w:cs="宋体"/>
          <w:sz w:val="24"/>
          <w:szCs w:val="21"/>
          <w:highlight w:val="none"/>
          <w:lang w:val="en-AU"/>
        </w:rPr>
        <w:t>、</w:t>
      </w:r>
      <w:r>
        <w:rPr>
          <w:rFonts w:hint="eastAsia" w:ascii="宋体" w:hAnsi="宋体" w:cs="宋体"/>
          <w:sz w:val="24"/>
          <w:szCs w:val="21"/>
          <w:highlight w:val="none"/>
          <w:lang w:val="en-AU" w:eastAsia="zh-CN"/>
        </w:rPr>
        <w:t>成交供应商</w:t>
      </w:r>
      <w:r>
        <w:rPr>
          <w:rFonts w:ascii="宋体" w:hAnsi="宋体" w:cs="宋体"/>
          <w:sz w:val="24"/>
          <w:szCs w:val="21"/>
          <w:highlight w:val="none"/>
          <w:lang w:val="en-AU"/>
        </w:rPr>
        <w:t>应在进行系统交付前5个工作日内，以书面方式通知采购人并向采购人提供完整的竣工资料、竣工验收报告。采购人应当在接到通知与资料的5个工作日内安排交付验收（</w:t>
      </w:r>
      <w:r>
        <w:rPr>
          <w:rFonts w:hint="eastAsia" w:ascii="宋体" w:hAnsi="宋体" w:cs="宋体"/>
          <w:sz w:val="24"/>
          <w:szCs w:val="21"/>
          <w:highlight w:val="none"/>
          <w:lang w:val="en-AU"/>
        </w:rPr>
        <w:t>初步验收</w:t>
      </w:r>
      <w:r>
        <w:rPr>
          <w:rFonts w:ascii="宋体" w:hAnsi="宋体" w:cs="宋体"/>
          <w:sz w:val="24"/>
          <w:szCs w:val="21"/>
          <w:highlight w:val="none"/>
          <w:lang w:val="en-AU"/>
        </w:rPr>
        <w:t>）。</w:t>
      </w:r>
      <w:r>
        <w:rPr>
          <w:rFonts w:hint="eastAsia" w:ascii="宋体" w:hAnsi="宋体" w:cs="宋体"/>
          <w:sz w:val="24"/>
          <w:szCs w:val="21"/>
          <w:highlight w:val="none"/>
          <w:lang w:val="en-AU" w:eastAsia="zh-CN"/>
        </w:rPr>
        <w:t>成交供应商</w:t>
      </w:r>
      <w:r>
        <w:rPr>
          <w:rFonts w:ascii="宋体" w:hAnsi="宋体" w:cs="宋体"/>
          <w:sz w:val="24"/>
          <w:szCs w:val="21"/>
          <w:highlight w:val="none"/>
          <w:lang w:val="en-AU"/>
        </w:rPr>
        <w:t>在交付前应当根据合同文件中的检测标准对本项目进行功能和运行检测，以确认本项目初步达到符合合同交付的规定。</w:t>
      </w:r>
    </w:p>
    <w:p>
      <w:pPr>
        <w:spacing w:line="360" w:lineRule="auto"/>
        <w:ind w:firstLine="480" w:firstLineChars="200"/>
        <w:rPr>
          <w:rFonts w:hint="eastAsia" w:ascii="宋体" w:hAnsi="宋体" w:cs="宋体"/>
          <w:sz w:val="24"/>
          <w:szCs w:val="21"/>
          <w:highlight w:val="none"/>
          <w:lang w:val="en-AU"/>
        </w:rPr>
      </w:pPr>
      <w:r>
        <w:rPr>
          <w:rFonts w:hint="eastAsia" w:ascii="宋体" w:hAnsi="宋体" w:cs="宋体"/>
          <w:sz w:val="24"/>
          <w:szCs w:val="21"/>
          <w:highlight w:val="none"/>
        </w:rPr>
        <w:t>4</w:t>
      </w:r>
      <w:r>
        <w:rPr>
          <w:rFonts w:ascii="宋体" w:hAnsi="宋体" w:cs="宋体"/>
          <w:sz w:val="24"/>
          <w:szCs w:val="21"/>
          <w:highlight w:val="none"/>
          <w:lang w:val="en-AU"/>
        </w:rPr>
        <w:t>、采购人在本项目交付后，应当在5个工作日内向</w:t>
      </w:r>
      <w:r>
        <w:rPr>
          <w:rFonts w:hint="eastAsia" w:ascii="宋体" w:hAnsi="宋体" w:cs="宋体"/>
          <w:sz w:val="24"/>
          <w:szCs w:val="21"/>
          <w:highlight w:val="none"/>
          <w:lang w:val="en-AU" w:eastAsia="zh-CN"/>
        </w:rPr>
        <w:t>成交供应商</w:t>
      </w:r>
      <w:r>
        <w:rPr>
          <w:rFonts w:ascii="宋体" w:hAnsi="宋体" w:cs="宋体"/>
          <w:sz w:val="24"/>
          <w:szCs w:val="21"/>
          <w:highlight w:val="none"/>
          <w:lang w:val="en-AU"/>
        </w:rPr>
        <w:t>出具书面文件（</w:t>
      </w:r>
      <w:r>
        <w:rPr>
          <w:rFonts w:hint="eastAsia" w:ascii="宋体" w:hAnsi="宋体" w:cs="宋体"/>
          <w:sz w:val="24"/>
          <w:szCs w:val="21"/>
          <w:highlight w:val="none"/>
          <w:lang w:val="en-AU"/>
        </w:rPr>
        <w:t>初验报告</w:t>
      </w:r>
      <w:r>
        <w:rPr>
          <w:rFonts w:ascii="宋体" w:hAnsi="宋体" w:cs="宋体"/>
          <w:sz w:val="24"/>
          <w:szCs w:val="21"/>
          <w:highlight w:val="none"/>
          <w:lang w:val="en-AU"/>
        </w:rPr>
        <w:t>），以确认其初步达到符合本合同所约定信息系统的任务、需求和功能。如有缺陷，应向</w:t>
      </w:r>
      <w:r>
        <w:rPr>
          <w:rFonts w:hint="eastAsia" w:ascii="宋体" w:hAnsi="宋体" w:cs="宋体"/>
          <w:sz w:val="24"/>
          <w:szCs w:val="21"/>
          <w:highlight w:val="none"/>
          <w:lang w:val="en-AU" w:eastAsia="zh-CN"/>
        </w:rPr>
        <w:t>成交供应商</w:t>
      </w:r>
      <w:r>
        <w:rPr>
          <w:rFonts w:ascii="宋体" w:hAnsi="宋体" w:cs="宋体"/>
          <w:sz w:val="24"/>
          <w:szCs w:val="21"/>
          <w:highlight w:val="none"/>
          <w:lang w:val="en-AU"/>
        </w:rPr>
        <w:t>出具书面报告，陈述需要改进的缺陷。</w:t>
      </w:r>
      <w:r>
        <w:rPr>
          <w:rFonts w:hint="eastAsia" w:ascii="宋体" w:hAnsi="宋体" w:cs="宋体"/>
          <w:sz w:val="24"/>
          <w:szCs w:val="21"/>
          <w:highlight w:val="none"/>
          <w:lang w:val="en-AU" w:eastAsia="zh-CN"/>
        </w:rPr>
        <w:t>成交供应商</w:t>
      </w:r>
      <w:r>
        <w:rPr>
          <w:rFonts w:ascii="宋体" w:hAnsi="宋体" w:cs="宋体"/>
          <w:sz w:val="24"/>
          <w:szCs w:val="21"/>
          <w:highlight w:val="none"/>
          <w:lang w:val="en-AU"/>
        </w:rPr>
        <w:t>应立即改进此项缺陷，并再次进行检测和评估。期间</w:t>
      </w:r>
      <w:r>
        <w:rPr>
          <w:rFonts w:hint="eastAsia" w:ascii="宋体" w:hAnsi="宋体" w:cs="宋体"/>
          <w:sz w:val="24"/>
          <w:szCs w:val="21"/>
          <w:highlight w:val="none"/>
          <w:lang w:val="en-AU" w:eastAsia="zh-CN"/>
        </w:rPr>
        <w:t>成交供应商</w:t>
      </w:r>
      <w:r>
        <w:rPr>
          <w:rFonts w:ascii="宋体" w:hAnsi="宋体" w:cs="宋体"/>
          <w:sz w:val="24"/>
          <w:szCs w:val="21"/>
          <w:highlight w:val="none"/>
          <w:lang w:val="en-AU"/>
        </w:rPr>
        <w:t>需承担由自身原因造成修改的费用。</w:t>
      </w:r>
    </w:p>
    <w:p>
      <w:pPr>
        <w:spacing w:line="360" w:lineRule="auto"/>
        <w:ind w:firstLine="480" w:firstLineChars="200"/>
        <w:rPr>
          <w:rFonts w:hint="eastAsia" w:ascii="宋体" w:hAnsi="宋体" w:cs="宋体"/>
          <w:sz w:val="24"/>
          <w:szCs w:val="21"/>
          <w:highlight w:val="none"/>
          <w:lang w:val="en-AU"/>
        </w:rPr>
      </w:pPr>
      <w:r>
        <w:rPr>
          <w:rFonts w:hint="eastAsia" w:ascii="宋体" w:hAnsi="宋体" w:cs="宋体"/>
          <w:sz w:val="24"/>
          <w:szCs w:val="21"/>
          <w:highlight w:val="none"/>
        </w:rPr>
        <w:t>5</w:t>
      </w:r>
      <w:r>
        <w:rPr>
          <w:rFonts w:ascii="宋体" w:hAnsi="宋体" w:cs="宋体"/>
          <w:sz w:val="24"/>
          <w:szCs w:val="21"/>
          <w:highlight w:val="none"/>
          <w:lang w:val="en-AU"/>
        </w:rPr>
        <w:t>、如果由于</w:t>
      </w:r>
      <w:r>
        <w:rPr>
          <w:rFonts w:hint="eastAsia" w:ascii="宋体" w:hAnsi="宋体" w:cs="宋体"/>
          <w:sz w:val="24"/>
          <w:szCs w:val="21"/>
          <w:highlight w:val="none"/>
          <w:lang w:val="en-AU" w:eastAsia="zh-CN"/>
        </w:rPr>
        <w:t>成交供应商</w:t>
      </w:r>
      <w:r>
        <w:rPr>
          <w:rFonts w:ascii="宋体" w:hAnsi="宋体" w:cs="宋体"/>
          <w:sz w:val="24"/>
          <w:szCs w:val="21"/>
          <w:highlight w:val="none"/>
          <w:lang w:val="en-AU"/>
        </w:rPr>
        <w:t>原因，导致系统在试运行期间出现故障或问题，</w:t>
      </w:r>
      <w:r>
        <w:rPr>
          <w:rFonts w:hint="eastAsia" w:ascii="宋体" w:hAnsi="宋体" w:cs="宋体"/>
          <w:sz w:val="24"/>
          <w:szCs w:val="21"/>
          <w:highlight w:val="none"/>
          <w:lang w:val="en-AU" w:eastAsia="zh-CN"/>
        </w:rPr>
        <w:t>成交供应商</w:t>
      </w:r>
      <w:r>
        <w:rPr>
          <w:rFonts w:ascii="宋体" w:hAnsi="宋体" w:cs="宋体"/>
          <w:sz w:val="24"/>
          <w:szCs w:val="21"/>
          <w:highlight w:val="none"/>
          <w:lang w:val="en-AU"/>
        </w:rPr>
        <w:t>应及时排除该故障或问题。以上行为产生的费用均由</w:t>
      </w:r>
      <w:r>
        <w:rPr>
          <w:rFonts w:hint="eastAsia" w:ascii="宋体" w:hAnsi="宋体" w:cs="宋体"/>
          <w:sz w:val="24"/>
          <w:szCs w:val="21"/>
          <w:highlight w:val="none"/>
          <w:lang w:val="en-AU" w:eastAsia="zh-CN"/>
        </w:rPr>
        <w:t>成交供应商</w:t>
      </w:r>
      <w:r>
        <w:rPr>
          <w:rFonts w:ascii="宋体" w:hAnsi="宋体" w:cs="宋体"/>
          <w:sz w:val="24"/>
          <w:szCs w:val="21"/>
          <w:highlight w:val="none"/>
          <w:lang w:val="en-AU"/>
        </w:rPr>
        <w:t>承担。</w:t>
      </w:r>
    </w:p>
    <w:p>
      <w:pPr>
        <w:spacing w:line="360" w:lineRule="auto"/>
        <w:ind w:firstLine="480" w:firstLineChars="200"/>
        <w:rPr>
          <w:rFonts w:hint="eastAsia" w:ascii="宋体" w:hAnsi="宋体" w:cs="宋体"/>
          <w:sz w:val="24"/>
          <w:szCs w:val="21"/>
          <w:highlight w:val="none"/>
          <w:lang w:val="en-AU"/>
        </w:rPr>
      </w:pPr>
      <w:r>
        <w:rPr>
          <w:rFonts w:hint="eastAsia" w:ascii="宋体" w:hAnsi="宋体" w:cs="宋体"/>
          <w:sz w:val="24"/>
          <w:szCs w:val="21"/>
          <w:highlight w:val="none"/>
        </w:rPr>
        <w:t>6</w:t>
      </w:r>
      <w:r>
        <w:rPr>
          <w:rFonts w:ascii="宋体" w:hAnsi="宋体" w:cs="宋体"/>
          <w:sz w:val="24"/>
          <w:szCs w:val="21"/>
          <w:highlight w:val="none"/>
          <w:lang w:val="en-AU"/>
        </w:rPr>
        <w:t>、如果由于采购人原因，导致系统在试运行期间出现故障或问题，</w:t>
      </w:r>
      <w:r>
        <w:rPr>
          <w:rFonts w:hint="eastAsia" w:ascii="宋体" w:hAnsi="宋体" w:cs="宋体"/>
          <w:sz w:val="24"/>
          <w:szCs w:val="21"/>
          <w:highlight w:val="none"/>
          <w:lang w:val="en-AU" w:eastAsia="zh-CN"/>
        </w:rPr>
        <w:t>成交供应商</w:t>
      </w:r>
      <w:r>
        <w:rPr>
          <w:rFonts w:ascii="宋体" w:hAnsi="宋体" w:cs="宋体"/>
          <w:sz w:val="24"/>
          <w:szCs w:val="21"/>
          <w:highlight w:val="none"/>
          <w:lang w:val="en-AU"/>
        </w:rPr>
        <w:t>应及时配合排除该方面的故障或问题。以上行为产生的相关费用均由采购人承担。</w:t>
      </w:r>
    </w:p>
    <w:p>
      <w:pPr>
        <w:spacing w:line="360" w:lineRule="auto"/>
        <w:ind w:firstLine="480" w:firstLineChars="200"/>
        <w:rPr>
          <w:rFonts w:hint="eastAsia" w:ascii="宋体" w:hAnsi="宋体" w:cs="宋体"/>
          <w:sz w:val="24"/>
          <w:szCs w:val="21"/>
          <w:highlight w:val="none"/>
          <w:lang w:val="en-AU"/>
        </w:rPr>
      </w:pPr>
      <w:r>
        <w:rPr>
          <w:rFonts w:hint="eastAsia" w:ascii="宋体" w:hAnsi="宋体" w:cs="宋体"/>
          <w:sz w:val="24"/>
          <w:szCs w:val="21"/>
          <w:highlight w:val="none"/>
        </w:rPr>
        <w:t>7</w:t>
      </w:r>
      <w:r>
        <w:rPr>
          <w:rFonts w:ascii="宋体" w:hAnsi="宋体" w:cs="宋体"/>
          <w:sz w:val="24"/>
          <w:szCs w:val="21"/>
          <w:highlight w:val="none"/>
          <w:lang w:val="en-AU"/>
        </w:rPr>
        <w:t>、系统试运行完成后，采购人应及时</w:t>
      </w:r>
      <w:r>
        <w:rPr>
          <w:rFonts w:hint="eastAsia" w:ascii="宋体" w:hAnsi="宋体" w:cs="宋体"/>
          <w:sz w:val="24"/>
          <w:szCs w:val="21"/>
          <w:highlight w:val="none"/>
          <w:lang w:val="en-AU"/>
        </w:rPr>
        <w:t>组织</w:t>
      </w:r>
      <w:r>
        <w:rPr>
          <w:rFonts w:ascii="宋体" w:hAnsi="宋体" w:cs="宋体"/>
          <w:sz w:val="24"/>
          <w:szCs w:val="21"/>
          <w:highlight w:val="none"/>
          <w:lang w:val="en-AU"/>
        </w:rPr>
        <w:t>系统验收。</w:t>
      </w:r>
      <w:r>
        <w:rPr>
          <w:rFonts w:hint="eastAsia" w:ascii="宋体" w:hAnsi="宋体" w:cs="宋体"/>
          <w:sz w:val="24"/>
          <w:szCs w:val="21"/>
          <w:highlight w:val="none"/>
          <w:lang w:val="en-AU"/>
        </w:rPr>
        <w:t>本项目验收形式为专家验收。</w:t>
      </w:r>
      <w:r>
        <w:rPr>
          <w:rFonts w:hint="eastAsia" w:ascii="宋体" w:hAnsi="宋体" w:cs="宋体"/>
          <w:sz w:val="24"/>
          <w:szCs w:val="21"/>
          <w:highlight w:val="none"/>
          <w:lang w:val="en-AU" w:eastAsia="zh-CN"/>
        </w:rPr>
        <w:t>成交供应商</w:t>
      </w:r>
      <w:r>
        <w:rPr>
          <w:rFonts w:hint="eastAsia" w:ascii="宋体" w:hAnsi="宋体" w:cs="宋体"/>
          <w:sz w:val="24"/>
          <w:szCs w:val="21"/>
          <w:highlight w:val="none"/>
          <w:lang w:val="en-AU"/>
        </w:rPr>
        <w:t>应在专家验收前配合采购人对系统进行软件测评、安全测评和密码测评，取得国家权威第三方测评机构出具的测评报告后，</w:t>
      </w:r>
      <w:r>
        <w:rPr>
          <w:rFonts w:hint="eastAsia" w:ascii="宋体" w:hAnsi="宋体" w:cs="宋体"/>
          <w:sz w:val="24"/>
          <w:szCs w:val="21"/>
          <w:highlight w:val="none"/>
          <w:lang w:val="en-AU" w:eastAsia="zh-CN"/>
        </w:rPr>
        <w:t>成交供应商</w:t>
      </w:r>
      <w:r>
        <w:rPr>
          <w:rFonts w:ascii="宋体" w:hAnsi="宋体" w:cs="宋体"/>
          <w:sz w:val="24"/>
          <w:szCs w:val="21"/>
          <w:highlight w:val="none"/>
          <w:lang w:val="en-AU"/>
        </w:rPr>
        <w:t>应当以书面形式向采购人递交验收通知书，采购人在收到验收通知书后的5个工作日内，确定具体日期，由双方按照合同的规定完成系统验收。</w:t>
      </w:r>
    </w:p>
    <w:p>
      <w:pPr>
        <w:pStyle w:val="2"/>
        <w:spacing w:line="360" w:lineRule="auto"/>
        <w:ind w:firstLine="480" w:firstLineChars="200"/>
        <w:rPr>
          <w:rFonts w:hint="eastAsia" w:ascii="宋体" w:eastAsia="宋体" w:cs="宋体"/>
          <w:szCs w:val="21"/>
          <w:highlight w:val="none"/>
          <w:lang w:val="en-AU"/>
        </w:rPr>
      </w:pPr>
      <w:r>
        <w:rPr>
          <w:rFonts w:hint="eastAsia" w:ascii="宋体" w:eastAsia="宋体" w:cs="宋体"/>
          <w:szCs w:val="21"/>
          <w:highlight w:val="none"/>
          <w:lang w:val="en-AU"/>
        </w:rPr>
        <w:t>8、项目验收标准按照采购方的验收要求与模板，满足项目验收的项目、数据、安全等验收规范。</w:t>
      </w:r>
    </w:p>
    <w:p>
      <w:pPr>
        <w:spacing w:line="360" w:lineRule="auto"/>
        <w:ind w:firstLine="480" w:firstLineChars="200"/>
        <w:rPr>
          <w:rFonts w:hint="eastAsia" w:ascii="宋体" w:hAnsi="宋体" w:cs="宋体"/>
          <w:sz w:val="24"/>
          <w:szCs w:val="21"/>
          <w:highlight w:val="none"/>
          <w:lang w:val="en-AU"/>
        </w:rPr>
      </w:pPr>
      <w:r>
        <w:rPr>
          <w:rFonts w:ascii="宋体" w:hAnsi="宋体" w:cs="宋体"/>
          <w:sz w:val="24"/>
          <w:szCs w:val="21"/>
          <w:highlight w:val="none"/>
        </w:rPr>
        <w:t>9</w:t>
      </w:r>
      <w:r>
        <w:rPr>
          <w:rFonts w:hint="eastAsia" w:ascii="宋体" w:hAnsi="宋体" w:cs="宋体"/>
          <w:sz w:val="24"/>
          <w:szCs w:val="21"/>
          <w:highlight w:val="none"/>
        </w:rPr>
        <w:t>、自系统初步验收通过之日起，采购人拥有（90）天的系统试运行权利。</w:t>
      </w:r>
    </w:p>
    <w:p>
      <w:pPr>
        <w:spacing w:line="360" w:lineRule="auto"/>
        <w:ind w:firstLine="480" w:firstLineChars="200"/>
        <w:rPr>
          <w:rFonts w:hint="eastAsia" w:ascii="宋体" w:hAnsi="宋体" w:cs="宋体"/>
          <w:sz w:val="24"/>
          <w:szCs w:val="21"/>
          <w:highlight w:val="none"/>
          <w:lang w:val="en-AU"/>
        </w:rPr>
      </w:pPr>
      <w:r>
        <w:rPr>
          <w:rFonts w:ascii="宋体" w:hAnsi="宋体" w:cs="宋体"/>
          <w:sz w:val="24"/>
          <w:szCs w:val="21"/>
          <w:highlight w:val="none"/>
        </w:rPr>
        <w:t>10</w:t>
      </w:r>
      <w:r>
        <w:rPr>
          <w:rFonts w:ascii="宋体" w:hAnsi="宋体" w:cs="宋体"/>
          <w:sz w:val="24"/>
          <w:szCs w:val="21"/>
          <w:highlight w:val="none"/>
          <w:lang w:val="en-AU"/>
        </w:rPr>
        <w:t>、如果属于</w:t>
      </w:r>
      <w:r>
        <w:rPr>
          <w:rFonts w:hint="eastAsia" w:ascii="宋体" w:hAnsi="宋体" w:cs="宋体"/>
          <w:sz w:val="24"/>
          <w:szCs w:val="21"/>
          <w:highlight w:val="none"/>
          <w:lang w:val="en-AU" w:eastAsia="zh-CN"/>
        </w:rPr>
        <w:t>成交供应商</w:t>
      </w:r>
      <w:r>
        <w:rPr>
          <w:rFonts w:ascii="宋体" w:hAnsi="宋体" w:cs="宋体"/>
          <w:sz w:val="24"/>
          <w:szCs w:val="21"/>
          <w:highlight w:val="none"/>
          <w:lang w:val="en-AU"/>
        </w:rPr>
        <w:t>原因致使系统未能通过验收，</w:t>
      </w:r>
      <w:r>
        <w:rPr>
          <w:rFonts w:hint="eastAsia" w:ascii="宋体" w:hAnsi="宋体" w:cs="宋体"/>
          <w:sz w:val="24"/>
          <w:szCs w:val="21"/>
          <w:highlight w:val="none"/>
          <w:lang w:val="en-AU" w:eastAsia="zh-CN"/>
        </w:rPr>
        <w:t>成交供应商</w:t>
      </w:r>
      <w:r>
        <w:rPr>
          <w:rFonts w:ascii="宋体" w:hAnsi="宋体" w:cs="宋体"/>
          <w:sz w:val="24"/>
          <w:szCs w:val="21"/>
          <w:highlight w:val="none"/>
          <w:lang w:val="en-AU"/>
        </w:rPr>
        <w:t>应当排除故障，并自行承担相关费用，同时延长试运行期30个工作日，直至系统完全符合验收标准。</w:t>
      </w:r>
    </w:p>
    <w:p>
      <w:pPr>
        <w:spacing w:line="360" w:lineRule="auto"/>
        <w:ind w:firstLine="480" w:firstLineChars="200"/>
        <w:rPr>
          <w:rFonts w:hint="eastAsia" w:ascii="宋体" w:hAnsi="宋体" w:cs="宋体"/>
          <w:sz w:val="24"/>
          <w:szCs w:val="21"/>
          <w:highlight w:val="none"/>
          <w:lang w:val="en-AU"/>
        </w:rPr>
      </w:pPr>
      <w:r>
        <w:rPr>
          <w:rFonts w:ascii="宋体" w:hAnsi="宋体" w:cs="宋体"/>
          <w:sz w:val="24"/>
          <w:szCs w:val="21"/>
          <w:highlight w:val="none"/>
        </w:rPr>
        <w:t>11</w:t>
      </w:r>
      <w:r>
        <w:rPr>
          <w:rFonts w:ascii="宋体" w:hAnsi="宋体" w:cs="宋体"/>
          <w:sz w:val="24"/>
          <w:szCs w:val="21"/>
          <w:highlight w:val="none"/>
          <w:lang w:val="en-AU"/>
        </w:rPr>
        <w:t>、如果属于采购人原因致使系统未能通过验收，采购人应在合理时间内排除故障，再次进行验收。</w:t>
      </w:r>
    </w:p>
    <w:p>
      <w:pPr>
        <w:spacing w:line="360" w:lineRule="auto"/>
        <w:ind w:firstLine="480" w:firstLineChars="200"/>
        <w:rPr>
          <w:rFonts w:hint="eastAsia" w:ascii="宋体" w:hAnsi="宋体" w:cs="宋体"/>
          <w:sz w:val="24"/>
          <w:szCs w:val="21"/>
          <w:highlight w:val="none"/>
          <w:lang w:val="en-AU"/>
        </w:rPr>
      </w:pPr>
      <w:r>
        <w:rPr>
          <w:rFonts w:hint="eastAsia" w:ascii="宋体" w:hAnsi="宋体" w:cs="宋体"/>
          <w:sz w:val="24"/>
          <w:szCs w:val="21"/>
          <w:highlight w:val="none"/>
        </w:rPr>
        <w:t>1</w:t>
      </w:r>
      <w:r>
        <w:rPr>
          <w:rFonts w:ascii="宋体" w:hAnsi="宋体" w:cs="宋体"/>
          <w:sz w:val="24"/>
          <w:szCs w:val="21"/>
          <w:highlight w:val="none"/>
        </w:rPr>
        <w:t>2</w:t>
      </w:r>
      <w:r>
        <w:rPr>
          <w:rFonts w:ascii="宋体" w:hAnsi="宋体" w:cs="宋体"/>
          <w:sz w:val="24"/>
          <w:szCs w:val="21"/>
          <w:highlight w:val="none"/>
          <w:lang w:val="en-AU"/>
        </w:rPr>
        <w:t>、采购人根据信息系统的技术规格要求和质量标准，对信息系统验收合格，签署验收意见。</w:t>
      </w:r>
    </w:p>
    <w:p>
      <w:pPr>
        <w:numPr>
          <w:ilvl w:val="255"/>
          <w:numId w:val="0"/>
        </w:numPr>
        <w:adjustRightInd w:val="0"/>
        <w:snapToGrid w:val="0"/>
        <w:rPr>
          <w:szCs w:val="21"/>
          <w:highlight w:val="none"/>
        </w:rPr>
      </w:pPr>
    </w:p>
    <w:bookmarkEnd w:id="3"/>
    <w:p>
      <w:pPr>
        <w:pStyle w:val="4"/>
        <w:numPr>
          <w:ilvl w:val="1"/>
          <w:numId w:val="1"/>
        </w:numPr>
        <w:rPr>
          <w:rFonts w:hint="eastAsia"/>
          <w:highlight w:val="none"/>
          <w:lang w:val="en-US" w:eastAsia="zh-CN"/>
        </w:rPr>
      </w:pPr>
      <w:r>
        <w:rPr>
          <w:rFonts w:hint="eastAsia"/>
          <w:highlight w:val="none"/>
          <w:lang w:val="en-US" w:eastAsia="zh-CN"/>
        </w:rPr>
        <w:t>其他要求</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kern w:val="2"/>
          <w:sz w:val="24"/>
          <w:szCs w:val="21"/>
          <w:highlight w:val="none"/>
          <w:lang w:val="en-US" w:eastAsia="zh-CN" w:bidi="ar-SA"/>
        </w:rPr>
      </w:pPr>
      <w:r>
        <w:rPr>
          <w:rFonts w:hint="default" w:ascii="宋体" w:hAnsi="宋体" w:eastAsia="宋体" w:cs="宋体"/>
          <w:kern w:val="2"/>
          <w:sz w:val="24"/>
          <w:szCs w:val="21"/>
          <w:highlight w:val="none"/>
          <w:lang w:val="en-US" w:eastAsia="zh-CN" w:bidi="ar-SA"/>
        </w:rPr>
        <w:t>供应商</w:t>
      </w:r>
      <w:r>
        <w:rPr>
          <w:rFonts w:hint="eastAsia" w:ascii="宋体" w:hAnsi="宋体" w:eastAsia="宋体" w:cs="宋体"/>
          <w:kern w:val="2"/>
          <w:sz w:val="24"/>
          <w:szCs w:val="21"/>
          <w:highlight w:val="none"/>
          <w:lang w:val="en-US" w:eastAsia="zh-CN" w:bidi="ar-SA"/>
        </w:rPr>
        <w:t>应</w:t>
      </w:r>
      <w:r>
        <w:rPr>
          <w:rFonts w:hint="default" w:ascii="宋体" w:hAnsi="宋体" w:eastAsia="宋体" w:cs="宋体"/>
          <w:kern w:val="2"/>
          <w:sz w:val="24"/>
          <w:szCs w:val="21"/>
          <w:highlight w:val="none"/>
          <w:lang w:val="en-US" w:eastAsia="zh-CN" w:bidi="ar-SA"/>
        </w:rPr>
        <w:t>具有质量管理体系认证（GB/T 19001-2016/ISO 9001:2015 认证）、信息安全管理体系认证证书（GB/T 22080-2016/ISO/IEC 27001:2013认证）、信息技术服务管理体系证书（ISO20000认证）并在认证有效期内</w:t>
      </w:r>
      <w:r>
        <w:rPr>
          <w:rFonts w:hint="eastAsia" w:ascii="宋体" w:hAnsi="宋体" w:eastAsia="宋体" w:cs="宋体"/>
          <w:kern w:val="2"/>
          <w:sz w:val="24"/>
          <w:szCs w:val="21"/>
          <w:highlight w:val="none"/>
          <w:lang w:val="en-US" w:eastAsia="zh-CN" w:bidi="ar-SA"/>
        </w:rPr>
        <w:t>。</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１</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１</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E0B3F"/>
    <w:multiLevelType w:val="singleLevel"/>
    <w:tmpl w:val="FCDE0B3F"/>
    <w:lvl w:ilvl="0" w:tentative="0">
      <w:start w:val="1"/>
      <w:numFmt w:val="decimal"/>
      <w:suff w:val="nothing"/>
      <w:lvlText w:val="%1．"/>
      <w:lvlJc w:val="left"/>
      <w:pPr>
        <w:ind w:left="0" w:firstLine="400"/>
      </w:pPr>
      <w:rPr>
        <w:rFonts w:hint="default"/>
      </w:rPr>
    </w:lvl>
  </w:abstractNum>
  <w:abstractNum w:abstractNumId="1">
    <w:nsid w:val="71FE60FA"/>
    <w:multiLevelType w:val="multilevel"/>
    <w:tmpl w:val="71FE60F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5YmY5YzRmOWY5ZmVmZjcxMWJjMDY5YTc2NzdhNTgifQ=="/>
  </w:docVars>
  <w:rsids>
    <w:rsidRoot w:val="5C4B6150"/>
    <w:rsid w:val="00051A05"/>
    <w:rsid w:val="000641B9"/>
    <w:rsid w:val="000C6187"/>
    <w:rsid w:val="000E1358"/>
    <w:rsid w:val="000F1AC4"/>
    <w:rsid w:val="00170F67"/>
    <w:rsid w:val="0021426A"/>
    <w:rsid w:val="00294959"/>
    <w:rsid w:val="002E0E1C"/>
    <w:rsid w:val="00370715"/>
    <w:rsid w:val="003F6C06"/>
    <w:rsid w:val="0044514C"/>
    <w:rsid w:val="00446C5A"/>
    <w:rsid w:val="00447CC9"/>
    <w:rsid w:val="00455D77"/>
    <w:rsid w:val="00486314"/>
    <w:rsid w:val="004D10E6"/>
    <w:rsid w:val="004E354F"/>
    <w:rsid w:val="00507410"/>
    <w:rsid w:val="00515D00"/>
    <w:rsid w:val="00534314"/>
    <w:rsid w:val="00540672"/>
    <w:rsid w:val="005B0655"/>
    <w:rsid w:val="00651B93"/>
    <w:rsid w:val="00674C36"/>
    <w:rsid w:val="00681D79"/>
    <w:rsid w:val="006A17A7"/>
    <w:rsid w:val="006C4DA5"/>
    <w:rsid w:val="007D3ED9"/>
    <w:rsid w:val="00832ABF"/>
    <w:rsid w:val="0084391A"/>
    <w:rsid w:val="00851548"/>
    <w:rsid w:val="008545B6"/>
    <w:rsid w:val="00865901"/>
    <w:rsid w:val="00885ECD"/>
    <w:rsid w:val="008A45D3"/>
    <w:rsid w:val="00956787"/>
    <w:rsid w:val="0097078A"/>
    <w:rsid w:val="009876A6"/>
    <w:rsid w:val="009E6508"/>
    <w:rsid w:val="00A32324"/>
    <w:rsid w:val="00A56824"/>
    <w:rsid w:val="00A80A0A"/>
    <w:rsid w:val="00B07F7D"/>
    <w:rsid w:val="00B46BCC"/>
    <w:rsid w:val="00B6165C"/>
    <w:rsid w:val="00B86188"/>
    <w:rsid w:val="00BC287C"/>
    <w:rsid w:val="00BE01A0"/>
    <w:rsid w:val="00C07E87"/>
    <w:rsid w:val="00C12B58"/>
    <w:rsid w:val="00C37EEF"/>
    <w:rsid w:val="00CC2CAE"/>
    <w:rsid w:val="00CC604D"/>
    <w:rsid w:val="00CF404B"/>
    <w:rsid w:val="00D84551"/>
    <w:rsid w:val="00E404DF"/>
    <w:rsid w:val="00E50914"/>
    <w:rsid w:val="00EC1B5D"/>
    <w:rsid w:val="00EC32B9"/>
    <w:rsid w:val="00F5632D"/>
    <w:rsid w:val="02A824AD"/>
    <w:rsid w:val="0348159A"/>
    <w:rsid w:val="037E7F45"/>
    <w:rsid w:val="03AB3A5D"/>
    <w:rsid w:val="04253689"/>
    <w:rsid w:val="0435689D"/>
    <w:rsid w:val="05526700"/>
    <w:rsid w:val="056A3A4A"/>
    <w:rsid w:val="05A14F91"/>
    <w:rsid w:val="06141C07"/>
    <w:rsid w:val="06451DC1"/>
    <w:rsid w:val="0660D2A0"/>
    <w:rsid w:val="06622973"/>
    <w:rsid w:val="06A905A2"/>
    <w:rsid w:val="078D1C71"/>
    <w:rsid w:val="079F3753"/>
    <w:rsid w:val="07A50D69"/>
    <w:rsid w:val="07BC2556"/>
    <w:rsid w:val="0895702F"/>
    <w:rsid w:val="096864F2"/>
    <w:rsid w:val="0972111F"/>
    <w:rsid w:val="09E85885"/>
    <w:rsid w:val="0A4A209B"/>
    <w:rsid w:val="0AC4111E"/>
    <w:rsid w:val="0ADF11B7"/>
    <w:rsid w:val="0AE53B72"/>
    <w:rsid w:val="0B2C17A1"/>
    <w:rsid w:val="0B696551"/>
    <w:rsid w:val="0B7F1949"/>
    <w:rsid w:val="0C3B1C9C"/>
    <w:rsid w:val="0C62191E"/>
    <w:rsid w:val="0C6531BD"/>
    <w:rsid w:val="0C721436"/>
    <w:rsid w:val="0C9B6BDE"/>
    <w:rsid w:val="0D579773"/>
    <w:rsid w:val="0ED939EE"/>
    <w:rsid w:val="0F5117D6"/>
    <w:rsid w:val="102B64CB"/>
    <w:rsid w:val="106A6FF4"/>
    <w:rsid w:val="10991687"/>
    <w:rsid w:val="1111168F"/>
    <w:rsid w:val="114C494B"/>
    <w:rsid w:val="114E2471"/>
    <w:rsid w:val="13596EAB"/>
    <w:rsid w:val="13BD38DE"/>
    <w:rsid w:val="13EE212D"/>
    <w:rsid w:val="14025795"/>
    <w:rsid w:val="14292D22"/>
    <w:rsid w:val="14BE16BC"/>
    <w:rsid w:val="14BF5434"/>
    <w:rsid w:val="15EE5FD1"/>
    <w:rsid w:val="16361726"/>
    <w:rsid w:val="17E7711B"/>
    <w:rsid w:val="188624F1"/>
    <w:rsid w:val="19037516"/>
    <w:rsid w:val="198C1D89"/>
    <w:rsid w:val="19F93196"/>
    <w:rsid w:val="1A0F509A"/>
    <w:rsid w:val="1A7D5B75"/>
    <w:rsid w:val="1A9F6E8E"/>
    <w:rsid w:val="1ADA6B24"/>
    <w:rsid w:val="1B5436E8"/>
    <w:rsid w:val="1B59213E"/>
    <w:rsid w:val="1C085913"/>
    <w:rsid w:val="1C183DA8"/>
    <w:rsid w:val="1CBF1224"/>
    <w:rsid w:val="1D631052"/>
    <w:rsid w:val="1DF60118"/>
    <w:rsid w:val="1EB31B66"/>
    <w:rsid w:val="1ED85A70"/>
    <w:rsid w:val="20120B0E"/>
    <w:rsid w:val="208F7C1E"/>
    <w:rsid w:val="21221225"/>
    <w:rsid w:val="214B077B"/>
    <w:rsid w:val="220646A2"/>
    <w:rsid w:val="235A6A54"/>
    <w:rsid w:val="24133E67"/>
    <w:rsid w:val="24B2466D"/>
    <w:rsid w:val="24BA529F"/>
    <w:rsid w:val="24DA6C3B"/>
    <w:rsid w:val="251E1D03"/>
    <w:rsid w:val="25461985"/>
    <w:rsid w:val="25FA62CC"/>
    <w:rsid w:val="26655E3B"/>
    <w:rsid w:val="26946721"/>
    <w:rsid w:val="272C0707"/>
    <w:rsid w:val="27B9222B"/>
    <w:rsid w:val="28B74948"/>
    <w:rsid w:val="29FBE419"/>
    <w:rsid w:val="2B876854"/>
    <w:rsid w:val="2BEC2B5B"/>
    <w:rsid w:val="2C0C4FAB"/>
    <w:rsid w:val="2C504E98"/>
    <w:rsid w:val="2CF47F19"/>
    <w:rsid w:val="2D0068BE"/>
    <w:rsid w:val="2ED81174"/>
    <w:rsid w:val="2EDF42EA"/>
    <w:rsid w:val="2F67A7B8"/>
    <w:rsid w:val="2F7F193D"/>
    <w:rsid w:val="2F9257C7"/>
    <w:rsid w:val="2FDE781E"/>
    <w:rsid w:val="30C07337"/>
    <w:rsid w:val="30F2476F"/>
    <w:rsid w:val="30F32296"/>
    <w:rsid w:val="3186310A"/>
    <w:rsid w:val="31AC0DC2"/>
    <w:rsid w:val="325356E2"/>
    <w:rsid w:val="32CB34CA"/>
    <w:rsid w:val="337FDD52"/>
    <w:rsid w:val="33B201E6"/>
    <w:rsid w:val="346516FC"/>
    <w:rsid w:val="35DE438C"/>
    <w:rsid w:val="35F9AB19"/>
    <w:rsid w:val="35FB2318"/>
    <w:rsid w:val="371D006C"/>
    <w:rsid w:val="37792E4E"/>
    <w:rsid w:val="377DF16C"/>
    <w:rsid w:val="383C09C6"/>
    <w:rsid w:val="39007C46"/>
    <w:rsid w:val="39CB0253"/>
    <w:rsid w:val="39EF1C13"/>
    <w:rsid w:val="3A0948D8"/>
    <w:rsid w:val="3A485400"/>
    <w:rsid w:val="3A887EF3"/>
    <w:rsid w:val="3BD17677"/>
    <w:rsid w:val="3BDDD16C"/>
    <w:rsid w:val="3BE79213"/>
    <w:rsid w:val="3C706E90"/>
    <w:rsid w:val="3D77DB9D"/>
    <w:rsid w:val="3DA46DF1"/>
    <w:rsid w:val="3DB50FFF"/>
    <w:rsid w:val="3DFFFE24"/>
    <w:rsid w:val="3ECD2378"/>
    <w:rsid w:val="3F424B14"/>
    <w:rsid w:val="3F5FABB5"/>
    <w:rsid w:val="3F7F2DB2"/>
    <w:rsid w:val="3F7F6B6E"/>
    <w:rsid w:val="3FBDE023"/>
    <w:rsid w:val="3FF16576"/>
    <w:rsid w:val="40736F4F"/>
    <w:rsid w:val="41D35EF7"/>
    <w:rsid w:val="42187DAE"/>
    <w:rsid w:val="42FF16EC"/>
    <w:rsid w:val="433429C6"/>
    <w:rsid w:val="444C1F91"/>
    <w:rsid w:val="447119F7"/>
    <w:rsid w:val="448C4AA4"/>
    <w:rsid w:val="4493196E"/>
    <w:rsid w:val="44A40B8C"/>
    <w:rsid w:val="44F543D6"/>
    <w:rsid w:val="46B81B60"/>
    <w:rsid w:val="46BA1434"/>
    <w:rsid w:val="47094169"/>
    <w:rsid w:val="474F4272"/>
    <w:rsid w:val="47767A51"/>
    <w:rsid w:val="47F70E4A"/>
    <w:rsid w:val="482A083B"/>
    <w:rsid w:val="48BF3D68"/>
    <w:rsid w:val="4A0A26D2"/>
    <w:rsid w:val="4AE5723A"/>
    <w:rsid w:val="4B296B88"/>
    <w:rsid w:val="4B9A7A86"/>
    <w:rsid w:val="4BFE5E31"/>
    <w:rsid w:val="4BFECF61"/>
    <w:rsid w:val="4CAF97FC"/>
    <w:rsid w:val="4CD07C03"/>
    <w:rsid w:val="4D3637DE"/>
    <w:rsid w:val="4D9A3D6D"/>
    <w:rsid w:val="4E3F66C2"/>
    <w:rsid w:val="4E4F4B57"/>
    <w:rsid w:val="4EFDB71B"/>
    <w:rsid w:val="4F8C5EB6"/>
    <w:rsid w:val="4FAE3B00"/>
    <w:rsid w:val="4FAFCDFE"/>
    <w:rsid w:val="4FFAE4DC"/>
    <w:rsid w:val="5043249A"/>
    <w:rsid w:val="504B75A0"/>
    <w:rsid w:val="507A1C34"/>
    <w:rsid w:val="50D852D8"/>
    <w:rsid w:val="52C5363A"/>
    <w:rsid w:val="53BB4A3D"/>
    <w:rsid w:val="54AB6860"/>
    <w:rsid w:val="54E3249D"/>
    <w:rsid w:val="552D3719"/>
    <w:rsid w:val="567F7492"/>
    <w:rsid w:val="570C692A"/>
    <w:rsid w:val="57EF46DC"/>
    <w:rsid w:val="57FEA5C9"/>
    <w:rsid w:val="5818420C"/>
    <w:rsid w:val="586E02D0"/>
    <w:rsid w:val="5937EED1"/>
    <w:rsid w:val="596790A0"/>
    <w:rsid w:val="5A7D2A4C"/>
    <w:rsid w:val="5AC32B55"/>
    <w:rsid w:val="5B13515F"/>
    <w:rsid w:val="5B1E422F"/>
    <w:rsid w:val="5B7ACC14"/>
    <w:rsid w:val="5B7AF87A"/>
    <w:rsid w:val="5BDD7C46"/>
    <w:rsid w:val="5C0A47B4"/>
    <w:rsid w:val="5C4B6150"/>
    <w:rsid w:val="5DD07337"/>
    <w:rsid w:val="5E6C52B2"/>
    <w:rsid w:val="5ED73F76"/>
    <w:rsid w:val="5F1F2324"/>
    <w:rsid w:val="5FA40A7B"/>
    <w:rsid w:val="61137C66"/>
    <w:rsid w:val="61AD00BB"/>
    <w:rsid w:val="61B96A60"/>
    <w:rsid w:val="62943029"/>
    <w:rsid w:val="636522D0"/>
    <w:rsid w:val="65314B5F"/>
    <w:rsid w:val="658C7FE7"/>
    <w:rsid w:val="65CB6D62"/>
    <w:rsid w:val="65E77E45"/>
    <w:rsid w:val="6656125F"/>
    <w:rsid w:val="6663343E"/>
    <w:rsid w:val="668B64F1"/>
    <w:rsid w:val="66AA4BC9"/>
    <w:rsid w:val="66D87988"/>
    <w:rsid w:val="66F1C616"/>
    <w:rsid w:val="66FE4F15"/>
    <w:rsid w:val="688D47A2"/>
    <w:rsid w:val="68F95994"/>
    <w:rsid w:val="69252C2D"/>
    <w:rsid w:val="69690D6B"/>
    <w:rsid w:val="69912070"/>
    <w:rsid w:val="69D41F5D"/>
    <w:rsid w:val="6A95793E"/>
    <w:rsid w:val="6B7D0229"/>
    <w:rsid w:val="6BE73C45"/>
    <w:rsid w:val="6D8C32E7"/>
    <w:rsid w:val="6EBFFB37"/>
    <w:rsid w:val="6F946416"/>
    <w:rsid w:val="6FAF9CC1"/>
    <w:rsid w:val="6FC30AAA"/>
    <w:rsid w:val="6FD7E242"/>
    <w:rsid w:val="6FDBBCF2"/>
    <w:rsid w:val="6FED710D"/>
    <w:rsid w:val="708649A9"/>
    <w:rsid w:val="71A50ADE"/>
    <w:rsid w:val="71CB9BEA"/>
    <w:rsid w:val="7240241C"/>
    <w:rsid w:val="72750781"/>
    <w:rsid w:val="72C9287B"/>
    <w:rsid w:val="72F62F44"/>
    <w:rsid w:val="749ED0C5"/>
    <w:rsid w:val="75FFF20A"/>
    <w:rsid w:val="762158A1"/>
    <w:rsid w:val="766D176F"/>
    <w:rsid w:val="76DB0DCF"/>
    <w:rsid w:val="76E79E8F"/>
    <w:rsid w:val="76FE45B1"/>
    <w:rsid w:val="7762A831"/>
    <w:rsid w:val="77B380DA"/>
    <w:rsid w:val="77EF5536"/>
    <w:rsid w:val="77F5C65E"/>
    <w:rsid w:val="77FE9716"/>
    <w:rsid w:val="780B7492"/>
    <w:rsid w:val="79FF6903"/>
    <w:rsid w:val="7A0423EA"/>
    <w:rsid w:val="7A1F1E17"/>
    <w:rsid w:val="7A544B57"/>
    <w:rsid w:val="7AF661D7"/>
    <w:rsid w:val="7B533629"/>
    <w:rsid w:val="7B590514"/>
    <w:rsid w:val="7B917CAE"/>
    <w:rsid w:val="7BB2B823"/>
    <w:rsid w:val="7BD9F4B4"/>
    <w:rsid w:val="7C030BAC"/>
    <w:rsid w:val="7C7242DE"/>
    <w:rsid w:val="7C914409"/>
    <w:rsid w:val="7CF8B141"/>
    <w:rsid w:val="7D146DE8"/>
    <w:rsid w:val="7D9EB0BE"/>
    <w:rsid w:val="7D9F2FF1"/>
    <w:rsid w:val="7E2272E3"/>
    <w:rsid w:val="7E78F142"/>
    <w:rsid w:val="7EDFC6BE"/>
    <w:rsid w:val="7EE779E9"/>
    <w:rsid w:val="7EF7802C"/>
    <w:rsid w:val="7EFC1250"/>
    <w:rsid w:val="7F1D944F"/>
    <w:rsid w:val="7F2C21C7"/>
    <w:rsid w:val="7F3B065C"/>
    <w:rsid w:val="7F3D7B1C"/>
    <w:rsid w:val="7FAED667"/>
    <w:rsid w:val="7FB54F1E"/>
    <w:rsid w:val="7FBFA6CF"/>
    <w:rsid w:val="7FBFCC08"/>
    <w:rsid w:val="7FDFB882"/>
    <w:rsid w:val="7FEB448C"/>
    <w:rsid w:val="7FFD5283"/>
    <w:rsid w:val="7FFD8058"/>
    <w:rsid w:val="7FFF3F74"/>
    <w:rsid w:val="8FD6CDA3"/>
    <w:rsid w:val="8FF36172"/>
    <w:rsid w:val="9E5F9519"/>
    <w:rsid w:val="9FFF16EB"/>
    <w:rsid w:val="A3FB0A79"/>
    <w:rsid w:val="A7C71AD5"/>
    <w:rsid w:val="ABFF3663"/>
    <w:rsid w:val="ADD71B79"/>
    <w:rsid w:val="AFDFC97A"/>
    <w:rsid w:val="B5FF9505"/>
    <w:rsid w:val="B7FF2078"/>
    <w:rsid w:val="B9F57083"/>
    <w:rsid w:val="BBDFAE79"/>
    <w:rsid w:val="BDDC8D70"/>
    <w:rsid w:val="BE77CF4C"/>
    <w:rsid w:val="BE9BFDF4"/>
    <w:rsid w:val="BEE7794D"/>
    <w:rsid w:val="BF776897"/>
    <w:rsid w:val="BFD730E3"/>
    <w:rsid w:val="BFDF667D"/>
    <w:rsid w:val="BFFF0FED"/>
    <w:rsid w:val="C2771398"/>
    <w:rsid w:val="CD5FF6DE"/>
    <w:rsid w:val="CD7E83EB"/>
    <w:rsid w:val="CFE69A53"/>
    <w:rsid w:val="D7FBB72A"/>
    <w:rsid w:val="DB7A4C84"/>
    <w:rsid w:val="DDAC9987"/>
    <w:rsid w:val="DDCBB088"/>
    <w:rsid w:val="DFEF2AF3"/>
    <w:rsid w:val="DFEF6166"/>
    <w:rsid w:val="E5DF1E9D"/>
    <w:rsid w:val="E7FF1F86"/>
    <w:rsid w:val="E9FF3E4A"/>
    <w:rsid w:val="EDBFA272"/>
    <w:rsid w:val="EFAD0238"/>
    <w:rsid w:val="EFEB458F"/>
    <w:rsid w:val="EFFE125E"/>
    <w:rsid w:val="F5F5032E"/>
    <w:rsid w:val="F5FD3880"/>
    <w:rsid w:val="F61D234D"/>
    <w:rsid w:val="F73FABD4"/>
    <w:rsid w:val="F75F97EB"/>
    <w:rsid w:val="F7FFD314"/>
    <w:rsid w:val="F8C70887"/>
    <w:rsid w:val="F9ED0540"/>
    <w:rsid w:val="F9ED29DD"/>
    <w:rsid w:val="FB2FCBBF"/>
    <w:rsid w:val="FBFD616B"/>
    <w:rsid w:val="FBFFA22F"/>
    <w:rsid w:val="FD3F6BF2"/>
    <w:rsid w:val="FD7E83A0"/>
    <w:rsid w:val="FD7F3BDB"/>
    <w:rsid w:val="FDDE911C"/>
    <w:rsid w:val="FDDF89C6"/>
    <w:rsid w:val="FDF70547"/>
    <w:rsid w:val="FDF93BB1"/>
    <w:rsid w:val="FDFF9D33"/>
    <w:rsid w:val="FE49BBAA"/>
    <w:rsid w:val="FE631025"/>
    <w:rsid w:val="FEB6F453"/>
    <w:rsid w:val="FEFBBA28"/>
    <w:rsid w:val="FF1A01B4"/>
    <w:rsid w:val="FF1AE37C"/>
    <w:rsid w:val="FF759A62"/>
    <w:rsid w:val="FF75FC9A"/>
    <w:rsid w:val="FF8D3F53"/>
    <w:rsid w:val="FFBF0FAE"/>
    <w:rsid w:val="FFCFDC1D"/>
    <w:rsid w:val="FFDFD106"/>
    <w:rsid w:val="FFF38774"/>
    <w:rsid w:val="FFF9555B"/>
    <w:rsid w:val="FFFFC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widowControl/>
      <w:snapToGrid w:val="0"/>
      <w:spacing w:before="50" w:beforeLines="50"/>
      <w:ind w:left="563"/>
      <w:jc w:val="left"/>
      <w:outlineLvl w:val="2"/>
    </w:pPr>
    <w:rPr>
      <w:rFonts w:eastAsia="黑体"/>
      <w:bCs/>
      <w:kern w:val="0"/>
      <w:sz w:val="24"/>
      <w:szCs w:val="20"/>
    </w:rPr>
  </w:style>
  <w:style w:type="paragraph" w:styleId="6">
    <w:name w:val="heading 4"/>
    <w:basedOn w:val="1"/>
    <w:next w:val="1"/>
    <w:link w:val="27"/>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8"/>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29"/>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line="320" w:lineRule="atLeast"/>
    </w:pPr>
    <w:rPr>
      <w:rFonts w:ascii="仿宋_GB2312" w:hAnsi="宋体" w:eastAsia="仿宋_GB2312"/>
      <w:sz w:val="24"/>
      <w:lang w:val="zh-CN"/>
    </w:rPr>
  </w:style>
  <w:style w:type="paragraph" w:styleId="9">
    <w:name w:val="Normal Indent"/>
    <w:basedOn w:val="1"/>
    <w:qFormat/>
    <w:uiPriority w:val="0"/>
    <w:pPr>
      <w:ind w:firstLine="420" w:firstLineChars="200"/>
    </w:pPr>
    <w:rPr>
      <w:kern w:val="0"/>
      <w:sz w:val="20"/>
    </w:rPr>
  </w:style>
  <w:style w:type="paragraph" w:styleId="10">
    <w:name w:val="annotation text"/>
    <w:basedOn w:val="1"/>
    <w:link w:val="31"/>
    <w:qFormat/>
    <w:uiPriority w:val="0"/>
    <w:pPr>
      <w:jc w:val="left"/>
    </w:pPr>
  </w:style>
  <w:style w:type="paragraph" w:styleId="11">
    <w:name w:val="Body Text"/>
    <w:basedOn w:val="1"/>
    <w:unhideWhenUsed/>
    <w:qFormat/>
    <w:uiPriority w:val="0"/>
    <w:pPr>
      <w:spacing w:after="120"/>
    </w:pPr>
  </w:style>
  <w:style w:type="paragraph" w:styleId="12">
    <w:name w:val="Body Text Indent"/>
    <w:basedOn w:val="1"/>
    <w:next w:val="1"/>
    <w:qFormat/>
    <w:uiPriority w:val="0"/>
    <w:pPr>
      <w:ind w:firstLine="600" w:firstLineChars="200"/>
    </w:pPr>
    <w:rPr>
      <w:rFonts w:eastAsia="仿宋_GB2312"/>
      <w:sz w:val="30"/>
      <w:szCs w:val="30"/>
    </w:rPr>
  </w:style>
  <w:style w:type="paragraph" w:styleId="13">
    <w:name w:val="Balloon Text"/>
    <w:basedOn w:val="1"/>
    <w:link w:val="26"/>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annotation subject"/>
    <w:basedOn w:val="10"/>
    <w:next w:val="10"/>
    <w:link w:val="32"/>
    <w:qFormat/>
    <w:uiPriority w:val="0"/>
    <w:rPr>
      <w:b/>
      <w:bCs/>
    </w:rPr>
  </w:style>
  <w:style w:type="paragraph" w:styleId="17">
    <w:name w:val="Body Text First Indent"/>
    <w:basedOn w:val="11"/>
    <w:qFormat/>
    <w:uiPriority w:val="0"/>
    <w:pPr>
      <w:widowControl/>
      <w:spacing w:after="0" w:line="360" w:lineRule="auto"/>
      <w:ind w:firstLine="454"/>
    </w:pPr>
    <w:rPr>
      <w:rFonts w:ascii="宋体"/>
      <w:kern w:val="0"/>
      <w:szCs w:val="21"/>
    </w:rPr>
  </w:style>
  <w:style w:type="paragraph" w:styleId="18">
    <w:name w:val="Body Text First Indent 2"/>
    <w:basedOn w:val="12"/>
    <w:qFormat/>
    <w:uiPriority w:val="0"/>
    <w:pPr>
      <w:ind w:firstLine="42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annotation reference"/>
    <w:basedOn w:val="21"/>
    <w:qFormat/>
    <w:uiPriority w:val="0"/>
    <w:rPr>
      <w:sz w:val="21"/>
      <w:szCs w:val="21"/>
    </w:rPr>
  </w:style>
  <w:style w:type="paragraph" w:customStyle="1" w:styleId="24">
    <w:name w:val="H0正文2"/>
    <w:basedOn w:val="1"/>
    <w:qFormat/>
    <w:uiPriority w:val="0"/>
    <w:pPr>
      <w:spacing w:line="360" w:lineRule="auto"/>
      <w:ind w:firstLine="200" w:firstLineChars="200"/>
    </w:pPr>
    <w:rPr>
      <w:rFonts w:ascii="宋体" w:hAnsi="宋体"/>
      <w:szCs w:val="28"/>
    </w:rPr>
  </w:style>
  <w:style w:type="paragraph" w:customStyle="1" w:styleId="2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6">
    <w:name w:val="批注框文本 字符"/>
    <w:basedOn w:val="21"/>
    <w:link w:val="13"/>
    <w:qFormat/>
    <w:uiPriority w:val="0"/>
    <w:rPr>
      <w:rFonts w:ascii="Times New Roman" w:hAnsi="Times New Roman" w:eastAsia="宋体" w:cs="Times New Roman"/>
      <w:kern w:val="2"/>
      <w:sz w:val="18"/>
      <w:szCs w:val="18"/>
    </w:rPr>
  </w:style>
  <w:style w:type="character" w:customStyle="1" w:styleId="27">
    <w:name w:val="标题 4 字符"/>
    <w:basedOn w:val="21"/>
    <w:link w:val="6"/>
    <w:semiHidden/>
    <w:qFormat/>
    <w:uiPriority w:val="0"/>
    <w:rPr>
      <w:rFonts w:asciiTheme="majorHAnsi" w:hAnsiTheme="majorHAnsi" w:eastAsiaTheme="majorEastAsia" w:cstheme="majorBidi"/>
      <w:b/>
      <w:bCs/>
      <w:kern w:val="2"/>
      <w:sz w:val="28"/>
      <w:szCs w:val="28"/>
    </w:rPr>
  </w:style>
  <w:style w:type="character" w:customStyle="1" w:styleId="28">
    <w:name w:val="标题 5 字符"/>
    <w:basedOn w:val="21"/>
    <w:link w:val="7"/>
    <w:semiHidden/>
    <w:qFormat/>
    <w:uiPriority w:val="0"/>
    <w:rPr>
      <w:rFonts w:ascii="Times New Roman" w:hAnsi="Times New Roman" w:eastAsia="宋体" w:cs="Times New Roman"/>
      <w:b/>
      <w:bCs/>
      <w:kern w:val="2"/>
      <w:sz w:val="28"/>
      <w:szCs w:val="28"/>
    </w:rPr>
  </w:style>
  <w:style w:type="character" w:customStyle="1" w:styleId="29">
    <w:name w:val="标题 6 字符"/>
    <w:basedOn w:val="21"/>
    <w:link w:val="8"/>
    <w:semiHidden/>
    <w:qFormat/>
    <w:uiPriority w:val="0"/>
    <w:rPr>
      <w:rFonts w:asciiTheme="majorHAnsi" w:hAnsiTheme="majorHAnsi" w:eastAsiaTheme="majorEastAsia" w:cstheme="majorBidi"/>
      <w:b/>
      <w:bCs/>
      <w:kern w:val="2"/>
      <w:sz w:val="24"/>
      <w:szCs w:val="24"/>
    </w:rPr>
  </w:style>
  <w:style w:type="paragraph" w:customStyle="1" w:styleId="3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1">
    <w:name w:val="批注文字 字符"/>
    <w:basedOn w:val="21"/>
    <w:link w:val="10"/>
    <w:qFormat/>
    <w:uiPriority w:val="0"/>
    <w:rPr>
      <w:kern w:val="2"/>
      <w:sz w:val="21"/>
      <w:szCs w:val="24"/>
    </w:rPr>
  </w:style>
  <w:style w:type="character" w:customStyle="1" w:styleId="32">
    <w:name w:val="批注主题 字符"/>
    <w:basedOn w:val="31"/>
    <w:link w:val="16"/>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10881</Words>
  <Characters>10990</Characters>
  <Lines>81</Lines>
  <Paragraphs>23</Paragraphs>
  <TotalTime>370</TotalTime>
  <ScaleCrop>false</ScaleCrop>
  <LinksUpToDate>false</LinksUpToDate>
  <CharactersWithSpaces>11000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2025-05-10T06:18:00Z</dcterms:created>
  <dc:creator>dhz</dc:creator>
  <cp:lastModifiedBy>李玲玲</cp:lastModifiedBy>
  <dcterms:modified xsi:type="dcterms:W3CDTF">2025-07-03T08:46:33Z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EC31799B6CB87060C0B33F685B54EFBC_43</vt:lpwstr>
  </property>
  <property fmtid="{D5CDD505-2E9C-101B-9397-08002B2CF9AE}" pid="4" name="KSOTemplateDocerSaveRecord">
    <vt:lpwstr>eyJoZGlkIjoiNzJjOWNlYzU5ZTQ1Y2I3NDBjZTQ5ZGU1NTE0ZGNlNjciLCJ1c2VySWQiOiI1OTI5OTM1MzUifQ==</vt:lpwstr>
  </property>
</Properties>
</file>