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2BE9F">
      <w:pPr>
        <w:ind w:firstLine="0" w:firstLineChars="0"/>
        <w:jc w:val="center"/>
        <w:rPr>
          <w:rFonts w:ascii="仿宋" w:hAnsi="仿宋" w:eastAsia="仿宋" w:cs="仿宋"/>
          <w:sz w:val="48"/>
          <w:szCs w:val="48"/>
        </w:rPr>
      </w:pPr>
    </w:p>
    <w:p w14:paraId="1C37B4E1">
      <w:pPr>
        <w:ind w:firstLine="0" w:firstLineChars="0"/>
        <w:jc w:val="center"/>
        <w:rPr>
          <w:rFonts w:ascii="仿宋" w:hAnsi="仿宋" w:eastAsia="仿宋" w:cs="仿宋"/>
          <w:sz w:val="48"/>
          <w:szCs w:val="48"/>
        </w:rPr>
      </w:pPr>
    </w:p>
    <w:p w14:paraId="2022CA6C">
      <w:pPr>
        <w:ind w:firstLine="0" w:firstLineChars="0"/>
        <w:jc w:val="center"/>
        <w:rPr>
          <w:rFonts w:ascii="仿宋" w:hAnsi="仿宋" w:eastAsia="仿宋" w:cs="仿宋"/>
          <w:sz w:val="52"/>
          <w:szCs w:val="52"/>
        </w:rPr>
      </w:pPr>
      <w:r>
        <w:rPr>
          <w:rFonts w:hint="eastAsia" w:ascii="仿宋" w:hAnsi="仿宋" w:eastAsia="仿宋" w:cs="仿宋"/>
          <w:sz w:val="52"/>
          <w:szCs w:val="52"/>
        </w:rPr>
        <w:t>上海市物资储备电子政务网络省级平台(升级改造)项目</w:t>
      </w:r>
    </w:p>
    <w:p w14:paraId="71BC4AED">
      <w:pPr>
        <w:ind w:firstLine="0" w:firstLineChars="0"/>
        <w:jc w:val="center"/>
        <w:rPr>
          <w:rFonts w:ascii="仿宋" w:hAnsi="仿宋" w:eastAsia="仿宋" w:cs="仿宋"/>
          <w:sz w:val="52"/>
          <w:szCs w:val="52"/>
        </w:rPr>
      </w:pPr>
      <w:r>
        <w:rPr>
          <w:rFonts w:hint="eastAsia" w:ascii="仿宋" w:hAnsi="仿宋" w:eastAsia="仿宋" w:cs="仿宋"/>
          <w:sz w:val="52"/>
          <w:szCs w:val="52"/>
        </w:rPr>
        <w:t>2025年度采购需求</w:t>
      </w:r>
    </w:p>
    <w:p w14:paraId="5F93610E">
      <w:pPr>
        <w:ind w:firstLine="0" w:firstLineChars="0"/>
        <w:jc w:val="center"/>
        <w:rPr>
          <w:rFonts w:ascii="仿宋" w:hAnsi="仿宋" w:eastAsia="仿宋" w:cs="仿宋"/>
          <w:sz w:val="72"/>
          <w:szCs w:val="72"/>
        </w:rPr>
      </w:pPr>
    </w:p>
    <w:p w14:paraId="33FF32C6">
      <w:pPr>
        <w:ind w:firstLine="0" w:firstLineChars="0"/>
        <w:jc w:val="center"/>
        <w:rPr>
          <w:rFonts w:ascii="仿宋" w:hAnsi="仿宋" w:eastAsia="仿宋" w:cs="仿宋"/>
          <w:sz w:val="48"/>
          <w:szCs w:val="48"/>
        </w:rPr>
      </w:pPr>
    </w:p>
    <w:p w14:paraId="604BA3DA">
      <w:pPr>
        <w:ind w:firstLine="0" w:firstLineChars="0"/>
        <w:jc w:val="center"/>
        <w:rPr>
          <w:rFonts w:ascii="仿宋" w:hAnsi="仿宋" w:eastAsia="仿宋" w:cs="仿宋"/>
          <w:sz w:val="52"/>
          <w:szCs w:val="52"/>
        </w:rPr>
      </w:pPr>
    </w:p>
    <w:p w14:paraId="50D9DECD">
      <w:pPr>
        <w:ind w:firstLine="1040"/>
        <w:rPr>
          <w:rFonts w:ascii="仿宋" w:hAnsi="仿宋" w:eastAsia="仿宋" w:cs="仿宋"/>
          <w:sz w:val="52"/>
          <w:szCs w:val="52"/>
        </w:rPr>
      </w:pPr>
    </w:p>
    <w:p w14:paraId="51453AEF">
      <w:pPr>
        <w:rPr>
          <w:rFonts w:ascii="仿宋" w:hAnsi="仿宋" w:eastAsia="仿宋" w:cs="仿宋"/>
        </w:rPr>
      </w:pPr>
    </w:p>
    <w:p w14:paraId="67F2C235">
      <w:pPr>
        <w:rPr>
          <w:rFonts w:ascii="仿宋" w:hAnsi="仿宋" w:eastAsia="仿宋" w:cs="仿宋"/>
        </w:rPr>
      </w:pPr>
    </w:p>
    <w:p w14:paraId="67114DDC">
      <w:pPr>
        <w:rPr>
          <w:rFonts w:ascii="仿宋" w:hAnsi="仿宋" w:eastAsia="仿宋" w:cs="仿宋"/>
        </w:rPr>
      </w:pPr>
    </w:p>
    <w:p w14:paraId="1DE4CC43">
      <w:pPr>
        <w:rPr>
          <w:rFonts w:ascii="仿宋" w:hAnsi="仿宋" w:eastAsia="仿宋" w:cs="仿宋"/>
        </w:rPr>
      </w:pPr>
    </w:p>
    <w:p w14:paraId="6D7CE9EC">
      <w:pPr>
        <w:rPr>
          <w:rFonts w:ascii="仿宋" w:hAnsi="仿宋" w:eastAsia="仿宋" w:cs="仿宋"/>
        </w:rPr>
      </w:pPr>
    </w:p>
    <w:p w14:paraId="6C26FCCA">
      <w:pPr>
        <w:ind w:firstLine="1040"/>
        <w:rPr>
          <w:rFonts w:ascii="仿宋" w:hAnsi="仿宋" w:eastAsia="仿宋" w:cs="仿宋"/>
          <w:sz w:val="52"/>
          <w:szCs w:val="52"/>
        </w:rPr>
      </w:pPr>
    </w:p>
    <w:p w14:paraId="2EBCCD8A">
      <w:pPr>
        <w:jc w:val="center"/>
        <w:rPr>
          <w:rFonts w:ascii="仿宋" w:hAnsi="仿宋" w:eastAsia="仿宋" w:cs="仿宋"/>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1C26003A">
      <w:pPr>
        <w:pStyle w:val="2"/>
        <w:rPr>
          <w:rFonts w:ascii="仿宋" w:hAnsi="仿宋" w:eastAsia="仿宋" w:cs="仿宋"/>
        </w:rPr>
      </w:pPr>
      <w:bookmarkStart w:id="0" w:name="_Toc63785461"/>
      <w:r>
        <w:rPr>
          <w:rFonts w:hint="eastAsia" w:ascii="仿宋" w:hAnsi="仿宋" w:eastAsia="仿宋" w:cs="仿宋"/>
        </w:rPr>
        <w:t>项目概况</w:t>
      </w:r>
      <w:bookmarkEnd w:id="0"/>
    </w:p>
    <w:p w14:paraId="78E3636B">
      <w:pPr>
        <w:spacing w:line="560" w:lineRule="exact"/>
        <w:rPr>
          <w:rFonts w:ascii="仿宋" w:hAnsi="仿宋" w:eastAsia="仿宋" w:cs="仿宋"/>
        </w:rPr>
      </w:pPr>
      <w:r>
        <w:rPr>
          <w:rFonts w:hint="eastAsia" w:ascii="仿宋" w:hAnsi="仿宋" w:eastAsia="仿宋" w:cs="仿宋"/>
        </w:rPr>
        <w:t>项目背景：</w:t>
      </w:r>
    </w:p>
    <w:p w14:paraId="466A0279">
      <w:pPr>
        <w:spacing w:line="560" w:lineRule="exact"/>
        <w:rPr>
          <w:rFonts w:ascii="仿宋" w:hAnsi="仿宋" w:eastAsia="仿宋" w:cs="仿宋"/>
        </w:rPr>
      </w:pPr>
      <w:r>
        <w:rPr>
          <w:rFonts w:hint="eastAsia" w:ascii="仿宋" w:hAnsi="仿宋" w:eastAsia="仿宋" w:cs="仿宋"/>
        </w:rPr>
        <w:t>近年来，为积极响应中央全面深化改革委员会提出的“集中管理、统一调拨、平时服务、灾时应急、采储结合、节约高效”的24字原则，随着应急救灾物资需求的日益增长，现有管理体系不能满足目前的管理需求，所以需要对现有平台进行升级改造工作，形成应急物资“一网统管”，打造覆盖“市－区－街（镇）”三级贯通的一体化应急物资数字化储备体系，达到对应急物资全流程的信息化安全管理，同时发挥数据的价值和作用，实现用数据赋能业务和决策，用“技防”代替“人防”。</w:t>
      </w:r>
    </w:p>
    <w:p w14:paraId="6BEDA682">
      <w:pPr>
        <w:spacing w:line="560" w:lineRule="exact"/>
        <w:rPr>
          <w:rFonts w:ascii="仿宋" w:hAnsi="仿宋" w:eastAsia="仿宋" w:cs="仿宋"/>
        </w:rPr>
      </w:pPr>
      <w:r>
        <w:rPr>
          <w:rFonts w:hint="eastAsia" w:ascii="仿宋" w:hAnsi="仿宋" w:eastAsia="仿宋" w:cs="仿宋"/>
        </w:rPr>
        <w:t>建设期限：项目总体建设周期</w:t>
      </w:r>
      <w:r>
        <w:rPr>
          <w:rFonts w:ascii="仿宋" w:hAnsi="仿宋" w:eastAsia="仿宋" w:cs="仿宋"/>
        </w:rPr>
        <w:t>7</w:t>
      </w:r>
      <w:r>
        <w:rPr>
          <w:rFonts w:hint="eastAsia" w:ascii="仿宋" w:hAnsi="仿宋" w:eastAsia="仿宋" w:cs="仿宋"/>
        </w:rPr>
        <w:t>个月。</w:t>
      </w:r>
    </w:p>
    <w:p w14:paraId="5748EB7A">
      <w:pPr>
        <w:rPr>
          <w:rFonts w:ascii="仿宋" w:hAnsi="仿宋" w:eastAsia="仿宋" w:cs="仿宋"/>
        </w:rPr>
      </w:pPr>
      <w:r>
        <w:rPr>
          <w:rFonts w:hint="eastAsia" w:ascii="仿宋" w:hAnsi="仿宋" w:eastAsia="仿宋" w:cs="仿宋"/>
        </w:rPr>
        <w:t>运维后所属大系统：市粮食和物资储备局智慧决策平台</w:t>
      </w:r>
    </w:p>
    <w:p w14:paraId="237E7985">
      <w:pPr>
        <w:pStyle w:val="2"/>
        <w:rPr>
          <w:rFonts w:ascii="仿宋" w:hAnsi="仿宋" w:eastAsia="仿宋" w:cs="仿宋"/>
        </w:rPr>
      </w:pPr>
      <w:bookmarkStart w:id="1" w:name="_Toc47533256"/>
      <w:bookmarkEnd w:id="1"/>
      <w:bookmarkStart w:id="2" w:name="_Toc47531634"/>
      <w:bookmarkEnd w:id="2"/>
      <w:bookmarkStart w:id="3" w:name="_Toc47539070"/>
      <w:bookmarkEnd w:id="3"/>
      <w:bookmarkStart w:id="4" w:name="_Toc47536644"/>
      <w:bookmarkEnd w:id="4"/>
      <w:bookmarkStart w:id="5" w:name="_Toc47532255"/>
      <w:bookmarkEnd w:id="5"/>
      <w:bookmarkStart w:id="6" w:name="_Toc47532891"/>
      <w:bookmarkEnd w:id="6"/>
      <w:bookmarkStart w:id="7" w:name="_Toc47537134"/>
      <w:bookmarkEnd w:id="7"/>
      <w:bookmarkStart w:id="8" w:name="_Toc47536272"/>
      <w:bookmarkEnd w:id="8"/>
      <w:bookmarkStart w:id="9" w:name="_Toc48223882"/>
      <w:bookmarkStart w:id="10" w:name="_Toc63785463"/>
      <w:r>
        <w:rPr>
          <w:rFonts w:hint="eastAsia" w:ascii="仿宋" w:hAnsi="仿宋" w:eastAsia="仿宋" w:cs="仿宋"/>
        </w:rPr>
        <w:t>建设目标</w:t>
      </w:r>
      <w:bookmarkEnd w:id="9"/>
      <w:bookmarkEnd w:id="10"/>
    </w:p>
    <w:p w14:paraId="4608A0C2">
      <w:pPr>
        <w:rPr>
          <w:rFonts w:ascii="仿宋" w:hAnsi="仿宋" w:eastAsia="仿宋" w:cs="仿宋"/>
          <w:highlight w:val="yellow"/>
        </w:rPr>
      </w:pPr>
      <w:bookmarkStart w:id="11" w:name="OLE_LINK5"/>
      <w:r>
        <w:rPr>
          <w:rFonts w:hint="eastAsia" w:ascii="仿宋" w:hAnsi="仿宋" w:eastAsia="仿宋" w:cs="仿宋"/>
        </w:rPr>
        <w:t>本项目旨在实现应急物资储备管理平台的优化升级，构建“1+1+6+N”的物资保障数字化平台。其中“1”是一套标准规范，“1”是一个数据支撑平台，“6”是“储采产调运统”六大环节，“N”是覆盖N个库点。通过构建横向协同纵向贯通的三级应急物资保障体系，依托RFID配套设备、监控等硬件设备提升库端精细化、智能化管理水平，进一步实现全市储备能力最大化、储备结构最优化、财政绩效最佳化。</w:t>
      </w:r>
    </w:p>
    <w:bookmarkEnd w:id="11"/>
    <w:p w14:paraId="540C0A37">
      <w:pPr>
        <w:spacing w:line="560" w:lineRule="exact"/>
        <w:rPr>
          <w:rFonts w:ascii="仿宋" w:hAnsi="仿宋" w:eastAsia="仿宋" w:cs="仿宋"/>
          <w:b/>
        </w:rPr>
      </w:pPr>
      <w:r>
        <w:rPr>
          <w:rFonts w:hint="eastAsia" w:ascii="仿宋" w:hAnsi="仿宋" w:eastAsia="仿宋" w:cs="仿宋"/>
        </w:rPr>
        <w:t>本项目需实现以下指标：</w:t>
      </w:r>
    </w:p>
    <w:p w14:paraId="6CF0D4B7">
      <w:pPr>
        <w:pStyle w:val="3"/>
        <w:rPr>
          <w:rFonts w:ascii="仿宋" w:hAnsi="仿宋" w:eastAsia="仿宋" w:cs="仿宋"/>
        </w:rPr>
      </w:pPr>
      <w:bookmarkStart w:id="12" w:name="_Toc47532923"/>
      <w:bookmarkEnd w:id="12"/>
      <w:bookmarkStart w:id="13" w:name="_Toc47537166"/>
      <w:bookmarkEnd w:id="13"/>
      <w:bookmarkStart w:id="14" w:name="_Toc47536304"/>
      <w:bookmarkEnd w:id="14"/>
      <w:bookmarkStart w:id="15" w:name="_Toc47536676"/>
      <w:bookmarkEnd w:id="15"/>
      <w:bookmarkStart w:id="16" w:name="_Toc47533288"/>
      <w:bookmarkEnd w:id="16"/>
      <w:bookmarkStart w:id="17" w:name="_Toc47539102"/>
      <w:bookmarkEnd w:id="17"/>
      <w:r>
        <w:rPr>
          <w:rFonts w:hint="eastAsia" w:ascii="仿宋" w:hAnsi="仿宋" w:eastAsia="仿宋" w:cs="仿宋"/>
        </w:rPr>
        <w:t>绩效目标</w:t>
      </w:r>
    </w:p>
    <w:p w14:paraId="6E1D7088">
      <w:pPr>
        <w:pStyle w:val="46"/>
        <w:numPr>
          <w:ilvl w:val="0"/>
          <w:numId w:val="3"/>
        </w:numPr>
        <w:spacing w:line="560" w:lineRule="exact"/>
        <w:ind w:left="900" w:hanging="420" w:firstLineChars="0"/>
        <w:rPr>
          <w:rFonts w:ascii="仿宋" w:hAnsi="仿宋" w:eastAsia="仿宋" w:cs="仿宋"/>
        </w:rPr>
      </w:pPr>
      <w:r>
        <w:rPr>
          <w:rFonts w:hint="eastAsia" w:ascii="仿宋" w:hAnsi="仿宋" w:eastAsia="仿宋" w:cs="仿宋"/>
          <w:sz w:val="24"/>
        </w:rPr>
        <w:t>优化已建信息系统的应用功能；</w:t>
      </w:r>
    </w:p>
    <w:p w14:paraId="7A72FB94">
      <w:pPr>
        <w:pStyle w:val="46"/>
        <w:numPr>
          <w:ilvl w:val="0"/>
          <w:numId w:val="3"/>
        </w:numPr>
        <w:spacing w:line="560" w:lineRule="exact"/>
        <w:ind w:left="900" w:hanging="420" w:firstLineChars="0"/>
        <w:rPr>
          <w:rFonts w:ascii="仿宋" w:hAnsi="仿宋" w:eastAsia="仿宋" w:cs="仿宋"/>
        </w:rPr>
      </w:pPr>
      <w:r>
        <w:rPr>
          <w:rFonts w:hint="eastAsia" w:ascii="仿宋" w:hAnsi="仿宋" w:eastAsia="仿宋" w:cs="仿宋"/>
          <w:sz w:val="24"/>
        </w:rPr>
        <w:t>显著降低各级部门和各市区分头开发决策分析支撑服务模块的财政成本；</w:t>
      </w:r>
    </w:p>
    <w:p w14:paraId="282A4571">
      <w:pPr>
        <w:pStyle w:val="46"/>
        <w:numPr>
          <w:ilvl w:val="0"/>
          <w:numId w:val="3"/>
        </w:numPr>
        <w:spacing w:line="560" w:lineRule="exact"/>
        <w:ind w:left="900" w:hanging="420" w:firstLineChars="0"/>
        <w:rPr>
          <w:rFonts w:ascii="仿宋" w:hAnsi="仿宋" w:eastAsia="仿宋" w:cs="仿宋"/>
        </w:rPr>
      </w:pPr>
      <w:r>
        <w:rPr>
          <w:rFonts w:hint="eastAsia" w:ascii="仿宋" w:hAnsi="仿宋" w:eastAsia="仿宋" w:cs="仿宋"/>
          <w:sz w:val="24"/>
        </w:rPr>
        <w:t>实现我市全品类应急储备物资多元储备信息全量归集和对应急物资储备调拨的全流程管理；</w:t>
      </w:r>
    </w:p>
    <w:p w14:paraId="78B6D072">
      <w:pPr>
        <w:pStyle w:val="46"/>
        <w:numPr>
          <w:ilvl w:val="0"/>
          <w:numId w:val="3"/>
        </w:numPr>
        <w:spacing w:line="560" w:lineRule="exact"/>
        <w:ind w:left="900" w:hanging="420" w:firstLineChars="0"/>
        <w:rPr>
          <w:rFonts w:ascii="仿宋" w:hAnsi="仿宋" w:eastAsia="仿宋" w:cs="仿宋"/>
        </w:rPr>
      </w:pPr>
      <w:r>
        <w:rPr>
          <w:rFonts w:hint="eastAsia" w:ascii="仿宋" w:hAnsi="仿宋" w:eastAsia="仿宋" w:cs="仿宋"/>
          <w:sz w:val="24"/>
        </w:rPr>
        <w:t>形成应急物资全市“一盘棋”的数字化应急物资保障体系；</w:t>
      </w:r>
    </w:p>
    <w:p w14:paraId="1867A1CC">
      <w:pPr>
        <w:pStyle w:val="137"/>
        <w:ind w:firstLine="560"/>
        <w:rPr>
          <w:rFonts w:hAnsi="仿宋" w:cs="仿宋"/>
        </w:rPr>
      </w:pPr>
      <w:r>
        <w:rPr>
          <w:rFonts w:hint="eastAsia" w:hAnsi="仿宋" w:cs="仿宋"/>
        </w:rPr>
        <w:t>符合以下绩效指标：</w:t>
      </w:r>
    </w:p>
    <w:tbl>
      <w:tblPr>
        <w:tblStyle w:val="36"/>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12"/>
        <w:gridCol w:w="1400"/>
        <w:gridCol w:w="2214"/>
        <w:gridCol w:w="2098"/>
        <w:gridCol w:w="1601"/>
      </w:tblGrid>
      <w:tr w14:paraId="0A9CE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532" w:type="pct"/>
            <w:gridSpan w:val="2"/>
            <w:shd w:val="clear" w:color="auto" w:fill="auto"/>
            <w:vAlign w:val="center"/>
          </w:tcPr>
          <w:p w14:paraId="5AB6D6AA">
            <w:pPr>
              <w:pStyle w:val="138"/>
              <w:rPr>
                <w:rFonts w:ascii="仿宋" w:hAnsi="仿宋" w:cs="仿宋"/>
              </w:rPr>
            </w:pPr>
            <w:r>
              <w:rPr>
                <w:rFonts w:hint="eastAsia" w:ascii="仿宋" w:hAnsi="仿宋" w:cs="仿宋"/>
              </w:rPr>
              <w:t>业务目标</w:t>
            </w:r>
          </w:p>
        </w:tc>
        <w:tc>
          <w:tcPr>
            <w:tcW w:w="3467" w:type="pct"/>
            <w:gridSpan w:val="3"/>
            <w:shd w:val="clear" w:color="auto" w:fill="auto"/>
            <w:vAlign w:val="center"/>
          </w:tcPr>
          <w:p w14:paraId="33562381">
            <w:pPr>
              <w:pStyle w:val="138"/>
              <w:rPr>
                <w:rFonts w:ascii="仿宋" w:hAnsi="仿宋" w:cs="仿宋"/>
              </w:rPr>
            </w:pPr>
            <w:r>
              <w:rPr>
                <w:rFonts w:hint="eastAsia" w:ascii="仿宋" w:hAnsi="仿宋" w:cs="仿宋"/>
              </w:rPr>
              <w:t>全市一盘棋数字化管理</w:t>
            </w:r>
          </w:p>
        </w:tc>
      </w:tr>
      <w:tr w14:paraId="009046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414A2EDF">
            <w:pPr>
              <w:pStyle w:val="138"/>
              <w:rPr>
                <w:rFonts w:ascii="仿宋" w:hAnsi="仿宋" w:cs="仿宋"/>
              </w:rPr>
            </w:pPr>
            <w:r>
              <w:rPr>
                <w:rFonts w:hint="eastAsia" w:ascii="仿宋" w:hAnsi="仿宋" w:cs="仿宋"/>
              </w:rPr>
              <w:t>序号</w:t>
            </w:r>
          </w:p>
        </w:tc>
        <w:tc>
          <w:tcPr>
            <w:tcW w:w="821" w:type="pct"/>
            <w:shd w:val="clear" w:color="auto" w:fill="auto"/>
            <w:vAlign w:val="center"/>
          </w:tcPr>
          <w:p w14:paraId="55F4FC0C">
            <w:pPr>
              <w:pStyle w:val="138"/>
              <w:rPr>
                <w:rFonts w:ascii="仿宋" w:hAnsi="仿宋" w:cs="仿宋"/>
              </w:rPr>
            </w:pPr>
            <w:r>
              <w:rPr>
                <w:rFonts w:hint="eastAsia" w:ascii="仿宋" w:hAnsi="仿宋" w:cs="仿宋"/>
              </w:rPr>
              <w:t>一级指标</w:t>
            </w:r>
          </w:p>
        </w:tc>
        <w:tc>
          <w:tcPr>
            <w:tcW w:w="1298" w:type="pct"/>
            <w:shd w:val="clear" w:color="auto" w:fill="auto"/>
            <w:vAlign w:val="center"/>
          </w:tcPr>
          <w:p w14:paraId="32764CCD">
            <w:pPr>
              <w:pStyle w:val="138"/>
              <w:rPr>
                <w:rFonts w:ascii="仿宋" w:hAnsi="仿宋" w:cs="仿宋"/>
              </w:rPr>
            </w:pPr>
            <w:r>
              <w:rPr>
                <w:rFonts w:hint="eastAsia" w:ascii="仿宋" w:hAnsi="仿宋" w:cs="仿宋"/>
              </w:rPr>
              <w:t>二级指标</w:t>
            </w:r>
          </w:p>
        </w:tc>
        <w:tc>
          <w:tcPr>
            <w:tcW w:w="1230" w:type="pct"/>
            <w:shd w:val="clear" w:color="auto" w:fill="auto"/>
            <w:vAlign w:val="center"/>
          </w:tcPr>
          <w:p w14:paraId="7F6D1249">
            <w:pPr>
              <w:pStyle w:val="138"/>
              <w:rPr>
                <w:rFonts w:ascii="仿宋" w:hAnsi="仿宋" w:cs="仿宋"/>
              </w:rPr>
            </w:pPr>
            <w:r>
              <w:rPr>
                <w:rFonts w:hint="eastAsia" w:ascii="仿宋" w:hAnsi="仿宋" w:cs="仿宋"/>
              </w:rPr>
              <w:t>三级指标</w:t>
            </w:r>
          </w:p>
        </w:tc>
        <w:tc>
          <w:tcPr>
            <w:tcW w:w="938" w:type="pct"/>
            <w:shd w:val="clear" w:color="auto" w:fill="auto"/>
            <w:vAlign w:val="center"/>
          </w:tcPr>
          <w:p w14:paraId="1663751B">
            <w:pPr>
              <w:pStyle w:val="138"/>
              <w:rPr>
                <w:rFonts w:ascii="仿宋" w:hAnsi="仿宋" w:cs="仿宋"/>
              </w:rPr>
            </w:pPr>
            <w:r>
              <w:rPr>
                <w:rFonts w:hint="eastAsia" w:ascii="仿宋" w:hAnsi="仿宋" w:cs="仿宋"/>
              </w:rPr>
              <w:t>指标值</w:t>
            </w:r>
          </w:p>
        </w:tc>
      </w:tr>
      <w:tr w14:paraId="5B7C9B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39F07754">
            <w:pPr>
              <w:pStyle w:val="138"/>
              <w:rPr>
                <w:rFonts w:ascii="仿宋" w:hAnsi="仿宋" w:cs="仿宋"/>
              </w:rPr>
            </w:pPr>
            <w:r>
              <w:rPr>
                <w:rFonts w:hint="eastAsia" w:ascii="仿宋" w:hAnsi="仿宋" w:cs="仿宋"/>
              </w:rPr>
              <w:t>1</w:t>
            </w:r>
          </w:p>
        </w:tc>
        <w:tc>
          <w:tcPr>
            <w:tcW w:w="821" w:type="pct"/>
            <w:shd w:val="clear" w:color="auto" w:fill="auto"/>
            <w:vAlign w:val="center"/>
          </w:tcPr>
          <w:p w14:paraId="591EAA02">
            <w:pPr>
              <w:pStyle w:val="138"/>
              <w:rPr>
                <w:rFonts w:ascii="仿宋" w:hAnsi="仿宋" w:cs="仿宋"/>
              </w:rPr>
            </w:pPr>
            <w:r>
              <w:rPr>
                <w:rFonts w:hint="eastAsia" w:ascii="仿宋" w:hAnsi="仿宋" w:cs="仿宋"/>
              </w:rPr>
              <w:t>行业指标</w:t>
            </w:r>
          </w:p>
        </w:tc>
        <w:tc>
          <w:tcPr>
            <w:tcW w:w="1298" w:type="pct"/>
            <w:shd w:val="clear" w:color="auto" w:fill="auto"/>
            <w:vAlign w:val="center"/>
          </w:tcPr>
          <w:p w14:paraId="086CE187">
            <w:pPr>
              <w:pStyle w:val="138"/>
              <w:rPr>
                <w:rFonts w:ascii="仿宋" w:hAnsi="仿宋" w:cs="仿宋"/>
              </w:rPr>
            </w:pPr>
            <w:r>
              <w:rPr>
                <w:rFonts w:hint="eastAsia" w:ascii="仿宋" w:hAnsi="仿宋" w:cs="仿宋"/>
              </w:rPr>
              <w:t>应急物资</w:t>
            </w:r>
          </w:p>
        </w:tc>
        <w:tc>
          <w:tcPr>
            <w:tcW w:w="1230" w:type="pct"/>
            <w:shd w:val="clear" w:color="auto" w:fill="auto"/>
            <w:vAlign w:val="center"/>
          </w:tcPr>
          <w:p w14:paraId="5414A081">
            <w:pPr>
              <w:pStyle w:val="138"/>
              <w:rPr>
                <w:rFonts w:ascii="仿宋" w:hAnsi="仿宋" w:cs="仿宋"/>
              </w:rPr>
            </w:pPr>
            <w:r>
              <w:rPr>
                <w:rFonts w:hint="eastAsia" w:ascii="仿宋" w:hAnsi="仿宋" w:cs="仿宋"/>
              </w:rPr>
              <w:t>粮食局仓库数字化覆盖层级</w:t>
            </w:r>
          </w:p>
        </w:tc>
        <w:tc>
          <w:tcPr>
            <w:tcW w:w="938" w:type="pct"/>
            <w:shd w:val="clear" w:color="auto" w:fill="auto"/>
            <w:vAlign w:val="center"/>
          </w:tcPr>
          <w:p w14:paraId="365E5200">
            <w:pPr>
              <w:pStyle w:val="138"/>
              <w:rPr>
                <w:rFonts w:ascii="仿宋" w:hAnsi="仿宋" w:cs="仿宋"/>
              </w:rPr>
            </w:pPr>
            <w:r>
              <w:rPr>
                <w:rFonts w:hint="eastAsia" w:ascii="仿宋" w:hAnsi="仿宋" w:cs="仿宋"/>
              </w:rPr>
              <w:t>市-区-街（镇）三级</w:t>
            </w:r>
          </w:p>
        </w:tc>
      </w:tr>
      <w:tr w14:paraId="6CEE50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56616F64">
            <w:pPr>
              <w:pStyle w:val="138"/>
              <w:rPr>
                <w:rFonts w:ascii="仿宋" w:hAnsi="仿宋" w:cs="仿宋"/>
              </w:rPr>
            </w:pPr>
            <w:r>
              <w:rPr>
                <w:rFonts w:hint="eastAsia" w:ascii="仿宋" w:hAnsi="仿宋" w:cs="仿宋"/>
              </w:rPr>
              <w:t>2</w:t>
            </w:r>
          </w:p>
        </w:tc>
        <w:tc>
          <w:tcPr>
            <w:tcW w:w="821" w:type="pct"/>
            <w:shd w:val="clear" w:color="auto" w:fill="auto"/>
            <w:vAlign w:val="center"/>
          </w:tcPr>
          <w:p w14:paraId="72FB2E09">
            <w:pPr>
              <w:pStyle w:val="138"/>
              <w:rPr>
                <w:rFonts w:ascii="仿宋" w:hAnsi="仿宋" w:cs="仿宋"/>
              </w:rPr>
            </w:pPr>
            <w:r>
              <w:rPr>
                <w:rFonts w:hint="eastAsia" w:ascii="仿宋" w:hAnsi="仿宋" w:cs="仿宋"/>
              </w:rPr>
              <w:t>行业指标</w:t>
            </w:r>
          </w:p>
        </w:tc>
        <w:tc>
          <w:tcPr>
            <w:tcW w:w="1298" w:type="pct"/>
            <w:shd w:val="clear" w:color="auto" w:fill="auto"/>
            <w:vAlign w:val="center"/>
          </w:tcPr>
          <w:p w14:paraId="2921FFE3">
            <w:pPr>
              <w:pStyle w:val="138"/>
              <w:rPr>
                <w:rFonts w:ascii="仿宋" w:hAnsi="仿宋" w:cs="仿宋"/>
              </w:rPr>
            </w:pPr>
            <w:r>
              <w:rPr>
                <w:rFonts w:hint="eastAsia" w:ascii="仿宋" w:hAnsi="仿宋" w:cs="仿宋"/>
              </w:rPr>
              <w:t>应急物资</w:t>
            </w:r>
          </w:p>
        </w:tc>
        <w:tc>
          <w:tcPr>
            <w:tcW w:w="1230" w:type="pct"/>
            <w:shd w:val="clear" w:color="auto" w:fill="auto"/>
            <w:vAlign w:val="center"/>
          </w:tcPr>
          <w:p w14:paraId="1862819B">
            <w:pPr>
              <w:pStyle w:val="138"/>
              <w:rPr>
                <w:rFonts w:ascii="仿宋" w:hAnsi="仿宋" w:cs="仿宋"/>
              </w:rPr>
            </w:pPr>
            <w:r>
              <w:rPr>
                <w:rFonts w:hint="eastAsia" w:ascii="仿宋" w:hAnsi="仿宋" w:cs="仿宋"/>
              </w:rPr>
              <w:t>数字化覆盖环节</w:t>
            </w:r>
          </w:p>
        </w:tc>
        <w:tc>
          <w:tcPr>
            <w:tcW w:w="938" w:type="pct"/>
            <w:shd w:val="clear" w:color="auto" w:fill="auto"/>
            <w:vAlign w:val="center"/>
          </w:tcPr>
          <w:p w14:paraId="1612DE7E">
            <w:pPr>
              <w:pStyle w:val="138"/>
              <w:rPr>
                <w:rFonts w:ascii="仿宋" w:hAnsi="仿宋" w:cs="仿宋"/>
              </w:rPr>
            </w:pPr>
            <w:r>
              <w:rPr>
                <w:rFonts w:hint="eastAsia" w:ascii="仿宋" w:hAnsi="仿宋" w:cs="仿宋"/>
              </w:rPr>
              <w:t>“储采产调运”五大业务环节</w:t>
            </w:r>
          </w:p>
        </w:tc>
      </w:tr>
      <w:tr w14:paraId="28A97D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0D99F2F0">
            <w:pPr>
              <w:pStyle w:val="138"/>
              <w:rPr>
                <w:rFonts w:ascii="仿宋" w:hAnsi="仿宋" w:cs="仿宋"/>
              </w:rPr>
            </w:pPr>
            <w:r>
              <w:rPr>
                <w:rFonts w:hint="eastAsia" w:ascii="仿宋" w:hAnsi="仿宋" w:cs="仿宋"/>
              </w:rPr>
              <w:t>3</w:t>
            </w:r>
          </w:p>
        </w:tc>
        <w:tc>
          <w:tcPr>
            <w:tcW w:w="821" w:type="pct"/>
            <w:shd w:val="clear" w:color="auto" w:fill="auto"/>
            <w:vAlign w:val="center"/>
          </w:tcPr>
          <w:p w14:paraId="66099EDA">
            <w:pPr>
              <w:pStyle w:val="138"/>
              <w:rPr>
                <w:rFonts w:ascii="仿宋" w:hAnsi="仿宋" w:cs="仿宋"/>
              </w:rPr>
            </w:pPr>
            <w:r>
              <w:rPr>
                <w:rFonts w:hint="eastAsia" w:ascii="仿宋" w:hAnsi="仿宋" w:cs="仿宋"/>
              </w:rPr>
              <w:t>业务指标</w:t>
            </w:r>
          </w:p>
        </w:tc>
        <w:tc>
          <w:tcPr>
            <w:tcW w:w="1298" w:type="pct"/>
            <w:shd w:val="clear" w:color="auto" w:fill="auto"/>
            <w:vAlign w:val="center"/>
          </w:tcPr>
          <w:p w14:paraId="1A1FFDD8">
            <w:pPr>
              <w:pStyle w:val="138"/>
              <w:rPr>
                <w:rFonts w:ascii="仿宋" w:hAnsi="仿宋" w:cs="仿宋"/>
              </w:rPr>
            </w:pPr>
            <w:r>
              <w:rPr>
                <w:rFonts w:hint="eastAsia" w:ascii="仿宋" w:hAnsi="仿宋" w:cs="仿宋"/>
              </w:rPr>
              <w:t>应急物资</w:t>
            </w:r>
          </w:p>
        </w:tc>
        <w:tc>
          <w:tcPr>
            <w:tcW w:w="1230" w:type="pct"/>
            <w:shd w:val="clear" w:color="auto" w:fill="auto"/>
            <w:vAlign w:val="center"/>
          </w:tcPr>
          <w:p w14:paraId="585A097B">
            <w:pPr>
              <w:pStyle w:val="138"/>
              <w:rPr>
                <w:rFonts w:ascii="仿宋" w:hAnsi="仿宋" w:cs="仿宋"/>
              </w:rPr>
            </w:pPr>
            <w:r>
              <w:rPr>
                <w:rFonts w:hint="eastAsia" w:ascii="仿宋" w:hAnsi="仿宋" w:cs="仿宋"/>
              </w:rPr>
              <w:t>数字化覆盖库点数量</w:t>
            </w:r>
          </w:p>
        </w:tc>
        <w:tc>
          <w:tcPr>
            <w:tcW w:w="938" w:type="pct"/>
            <w:shd w:val="clear" w:color="auto" w:fill="auto"/>
            <w:vAlign w:val="center"/>
          </w:tcPr>
          <w:p w14:paraId="112A8E80">
            <w:pPr>
              <w:pStyle w:val="138"/>
              <w:rPr>
                <w:rFonts w:ascii="仿宋" w:hAnsi="仿宋" w:cs="仿宋"/>
              </w:rPr>
            </w:pPr>
            <w:r>
              <w:rPr>
                <w:rFonts w:hint="eastAsia" w:ascii="仿宋" w:hAnsi="仿宋" w:cs="仿宋"/>
              </w:rPr>
              <w:t>30个</w:t>
            </w:r>
          </w:p>
        </w:tc>
      </w:tr>
    </w:tbl>
    <w:p w14:paraId="0946F9AB">
      <w:pPr>
        <w:pStyle w:val="46"/>
        <w:numPr>
          <w:ilvl w:val="255"/>
          <w:numId w:val="0"/>
        </w:numPr>
        <w:spacing w:line="560" w:lineRule="exact"/>
        <w:rPr>
          <w:rFonts w:ascii="仿宋" w:hAnsi="仿宋" w:eastAsia="仿宋" w:cs="仿宋"/>
        </w:rPr>
      </w:pPr>
    </w:p>
    <w:p w14:paraId="02E4C1DB">
      <w:pPr>
        <w:pStyle w:val="3"/>
        <w:rPr>
          <w:rFonts w:ascii="仿宋" w:hAnsi="仿宋" w:eastAsia="仿宋" w:cs="仿宋"/>
        </w:rPr>
      </w:pPr>
      <w:r>
        <w:rPr>
          <w:rFonts w:hint="eastAsia" w:ascii="仿宋" w:hAnsi="仿宋" w:eastAsia="仿宋" w:cs="仿宋"/>
        </w:rPr>
        <w:t>技术指标</w:t>
      </w:r>
    </w:p>
    <w:p w14:paraId="1CEDB2E5">
      <w:pPr>
        <w:pStyle w:val="139"/>
        <w:ind w:firstLine="560"/>
        <w:rPr>
          <w:rFonts w:ascii="仿宋" w:hAnsi="仿宋" w:eastAsia="仿宋" w:cs="仿宋"/>
          <w:kern w:val="2"/>
          <w:sz w:val="28"/>
          <w:szCs w:val="28"/>
          <w:lang w:eastAsia="zh-CN"/>
        </w:rPr>
      </w:pPr>
      <w:r>
        <w:rPr>
          <w:rFonts w:hint="eastAsia" w:ascii="仿宋" w:hAnsi="仿宋" w:eastAsia="仿宋" w:cs="仿宋"/>
          <w:kern w:val="2"/>
          <w:sz w:val="28"/>
          <w:szCs w:val="28"/>
          <w:lang w:eastAsia="zh-CN"/>
        </w:rPr>
        <w:t>以数字化平台管用、实用和好用为总体技术目标，符合以下技术指标：</w:t>
      </w:r>
    </w:p>
    <w:tbl>
      <w:tblPr>
        <w:tblStyle w:val="36"/>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13"/>
        <w:gridCol w:w="1400"/>
        <w:gridCol w:w="2000"/>
        <w:gridCol w:w="2311"/>
        <w:gridCol w:w="1601"/>
      </w:tblGrid>
      <w:tr w14:paraId="705863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532" w:type="pct"/>
            <w:gridSpan w:val="2"/>
            <w:shd w:val="clear" w:color="auto" w:fill="auto"/>
            <w:vAlign w:val="center"/>
          </w:tcPr>
          <w:p w14:paraId="65F4C7D8">
            <w:pPr>
              <w:pStyle w:val="138"/>
              <w:rPr>
                <w:rFonts w:ascii="仿宋" w:hAnsi="仿宋" w:cs="仿宋"/>
              </w:rPr>
            </w:pPr>
            <w:r>
              <w:rPr>
                <w:rFonts w:hint="eastAsia" w:ascii="仿宋" w:hAnsi="仿宋" w:cs="仿宋"/>
              </w:rPr>
              <w:t>技术目标</w:t>
            </w:r>
          </w:p>
        </w:tc>
        <w:tc>
          <w:tcPr>
            <w:tcW w:w="3467" w:type="pct"/>
            <w:gridSpan w:val="3"/>
            <w:shd w:val="clear" w:color="auto" w:fill="auto"/>
            <w:vAlign w:val="center"/>
          </w:tcPr>
          <w:p w14:paraId="7AA39357">
            <w:pPr>
              <w:pStyle w:val="138"/>
              <w:rPr>
                <w:rFonts w:ascii="仿宋" w:hAnsi="仿宋" w:cs="仿宋"/>
              </w:rPr>
            </w:pPr>
            <w:r>
              <w:rPr>
                <w:rFonts w:hint="eastAsia" w:ascii="仿宋" w:hAnsi="仿宋" w:cs="仿宋"/>
              </w:rPr>
              <w:t>平台实用、管用、好用</w:t>
            </w:r>
          </w:p>
        </w:tc>
      </w:tr>
      <w:tr w14:paraId="731AB8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09F57D82">
            <w:pPr>
              <w:pStyle w:val="138"/>
              <w:rPr>
                <w:rFonts w:ascii="仿宋" w:hAnsi="仿宋" w:cs="仿宋"/>
              </w:rPr>
            </w:pPr>
            <w:r>
              <w:rPr>
                <w:rFonts w:hint="eastAsia" w:ascii="仿宋" w:hAnsi="仿宋" w:cs="仿宋"/>
              </w:rPr>
              <w:t>序号</w:t>
            </w:r>
          </w:p>
        </w:tc>
        <w:tc>
          <w:tcPr>
            <w:tcW w:w="821" w:type="pct"/>
            <w:shd w:val="clear" w:color="auto" w:fill="auto"/>
            <w:vAlign w:val="center"/>
          </w:tcPr>
          <w:p w14:paraId="29DC8F9D">
            <w:pPr>
              <w:pStyle w:val="138"/>
              <w:rPr>
                <w:rFonts w:ascii="仿宋" w:hAnsi="仿宋" w:cs="仿宋"/>
              </w:rPr>
            </w:pPr>
            <w:r>
              <w:rPr>
                <w:rFonts w:hint="eastAsia" w:ascii="仿宋" w:hAnsi="仿宋" w:cs="仿宋"/>
              </w:rPr>
              <w:t>一级指标</w:t>
            </w:r>
          </w:p>
        </w:tc>
        <w:tc>
          <w:tcPr>
            <w:tcW w:w="1173" w:type="pct"/>
            <w:shd w:val="clear" w:color="auto" w:fill="auto"/>
            <w:vAlign w:val="center"/>
          </w:tcPr>
          <w:p w14:paraId="0D7E3408">
            <w:pPr>
              <w:pStyle w:val="138"/>
              <w:rPr>
                <w:rFonts w:ascii="仿宋" w:hAnsi="仿宋" w:cs="仿宋"/>
              </w:rPr>
            </w:pPr>
            <w:r>
              <w:rPr>
                <w:rFonts w:hint="eastAsia" w:ascii="仿宋" w:hAnsi="仿宋" w:cs="仿宋"/>
              </w:rPr>
              <w:t>二级指标</w:t>
            </w:r>
          </w:p>
        </w:tc>
        <w:tc>
          <w:tcPr>
            <w:tcW w:w="1355" w:type="pct"/>
            <w:shd w:val="clear" w:color="auto" w:fill="auto"/>
            <w:vAlign w:val="center"/>
          </w:tcPr>
          <w:p w14:paraId="3D9EE103">
            <w:pPr>
              <w:pStyle w:val="138"/>
              <w:rPr>
                <w:rFonts w:ascii="仿宋" w:hAnsi="仿宋" w:cs="仿宋"/>
              </w:rPr>
            </w:pPr>
            <w:r>
              <w:rPr>
                <w:rFonts w:hint="eastAsia" w:ascii="仿宋" w:hAnsi="仿宋" w:cs="仿宋"/>
              </w:rPr>
              <w:t>三级指标</w:t>
            </w:r>
          </w:p>
        </w:tc>
        <w:tc>
          <w:tcPr>
            <w:tcW w:w="938" w:type="pct"/>
            <w:shd w:val="clear" w:color="auto" w:fill="auto"/>
            <w:vAlign w:val="center"/>
          </w:tcPr>
          <w:p w14:paraId="132AFC38">
            <w:pPr>
              <w:pStyle w:val="138"/>
              <w:rPr>
                <w:rFonts w:ascii="仿宋" w:hAnsi="仿宋" w:cs="仿宋"/>
              </w:rPr>
            </w:pPr>
            <w:r>
              <w:rPr>
                <w:rFonts w:hint="eastAsia" w:ascii="仿宋" w:hAnsi="仿宋" w:cs="仿宋"/>
              </w:rPr>
              <w:t>指标值</w:t>
            </w:r>
          </w:p>
        </w:tc>
      </w:tr>
      <w:tr w14:paraId="2E958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63305CBF">
            <w:pPr>
              <w:pStyle w:val="138"/>
              <w:rPr>
                <w:rFonts w:ascii="仿宋" w:hAnsi="仿宋" w:cs="仿宋"/>
              </w:rPr>
            </w:pPr>
            <w:r>
              <w:rPr>
                <w:rFonts w:hint="eastAsia" w:ascii="仿宋" w:hAnsi="仿宋" w:cs="仿宋"/>
              </w:rPr>
              <w:t>1</w:t>
            </w:r>
          </w:p>
        </w:tc>
        <w:tc>
          <w:tcPr>
            <w:tcW w:w="821" w:type="pct"/>
            <w:shd w:val="clear" w:color="auto" w:fill="auto"/>
            <w:vAlign w:val="center"/>
          </w:tcPr>
          <w:p w14:paraId="5163084B">
            <w:pPr>
              <w:pStyle w:val="138"/>
              <w:rPr>
                <w:rFonts w:ascii="仿宋" w:hAnsi="仿宋" w:cs="仿宋"/>
              </w:rPr>
            </w:pPr>
            <w:r>
              <w:rPr>
                <w:rFonts w:hint="eastAsia" w:ascii="仿宋" w:hAnsi="仿宋" w:cs="仿宋"/>
              </w:rPr>
              <w:t>通用指标</w:t>
            </w:r>
          </w:p>
        </w:tc>
        <w:tc>
          <w:tcPr>
            <w:tcW w:w="1173" w:type="pct"/>
            <w:shd w:val="clear" w:color="auto" w:fill="auto"/>
            <w:vAlign w:val="center"/>
          </w:tcPr>
          <w:p w14:paraId="5F41F737">
            <w:pPr>
              <w:pStyle w:val="138"/>
              <w:rPr>
                <w:rFonts w:ascii="仿宋" w:hAnsi="仿宋" w:cs="仿宋"/>
              </w:rPr>
            </w:pPr>
            <w:r>
              <w:rPr>
                <w:rFonts w:hint="eastAsia" w:ascii="仿宋" w:hAnsi="仿宋" w:cs="仿宋"/>
              </w:rPr>
              <w:t>产出指标</w:t>
            </w:r>
          </w:p>
        </w:tc>
        <w:tc>
          <w:tcPr>
            <w:tcW w:w="1355" w:type="pct"/>
            <w:shd w:val="clear" w:color="auto" w:fill="auto"/>
            <w:vAlign w:val="center"/>
          </w:tcPr>
          <w:p w14:paraId="00B5EE3F">
            <w:pPr>
              <w:pStyle w:val="138"/>
              <w:rPr>
                <w:rFonts w:ascii="仿宋" w:hAnsi="仿宋" w:cs="仿宋"/>
              </w:rPr>
            </w:pPr>
            <w:r>
              <w:rPr>
                <w:rFonts w:hint="eastAsia" w:ascii="仿宋" w:hAnsi="仿宋" w:cs="仿宋"/>
              </w:rPr>
              <w:t>软件开发完成率</w:t>
            </w:r>
          </w:p>
        </w:tc>
        <w:tc>
          <w:tcPr>
            <w:tcW w:w="938" w:type="pct"/>
            <w:shd w:val="clear" w:color="auto" w:fill="auto"/>
            <w:vAlign w:val="center"/>
          </w:tcPr>
          <w:p w14:paraId="5E81A4A0">
            <w:pPr>
              <w:pStyle w:val="138"/>
              <w:rPr>
                <w:rFonts w:ascii="仿宋" w:hAnsi="仿宋" w:cs="仿宋"/>
              </w:rPr>
            </w:pPr>
            <w:r>
              <w:rPr>
                <w:rFonts w:hint="eastAsia" w:ascii="仿宋" w:hAnsi="仿宋" w:cs="仿宋"/>
              </w:rPr>
              <w:t>100%</w:t>
            </w:r>
          </w:p>
        </w:tc>
      </w:tr>
      <w:tr w14:paraId="3E3E22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389F1F61">
            <w:pPr>
              <w:pStyle w:val="138"/>
              <w:rPr>
                <w:rFonts w:ascii="仿宋" w:hAnsi="仿宋" w:cs="仿宋"/>
              </w:rPr>
            </w:pPr>
            <w:r>
              <w:rPr>
                <w:rFonts w:hint="eastAsia" w:ascii="仿宋" w:hAnsi="仿宋" w:cs="仿宋"/>
              </w:rPr>
              <w:t>2</w:t>
            </w:r>
          </w:p>
        </w:tc>
        <w:tc>
          <w:tcPr>
            <w:tcW w:w="821" w:type="pct"/>
            <w:shd w:val="clear" w:color="auto" w:fill="auto"/>
            <w:vAlign w:val="center"/>
          </w:tcPr>
          <w:p w14:paraId="4B839F69">
            <w:pPr>
              <w:pStyle w:val="138"/>
              <w:rPr>
                <w:rFonts w:ascii="仿宋" w:hAnsi="仿宋" w:cs="仿宋"/>
              </w:rPr>
            </w:pPr>
            <w:r>
              <w:rPr>
                <w:rFonts w:hint="eastAsia" w:ascii="仿宋" w:hAnsi="仿宋" w:cs="仿宋"/>
              </w:rPr>
              <w:t>通用指标</w:t>
            </w:r>
          </w:p>
        </w:tc>
        <w:tc>
          <w:tcPr>
            <w:tcW w:w="1173" w:type="pct"/>
            <w:shd w:val="clear" w:color="auto" w:fill="auto"/>
            <w:vAlign w:val="center"/>
          </w:tcPr>
          <w:p w14:paraId="13874A73">
            <w:pPr>
              <w:pStyle w:val="138"/>
              <w:rPr>
                <w:rFonts w:ascii="仿宋" w:hAnsi="仿宋" w:cs="仿宋"/>
              </w:rPr>
            </w:pPr>
            <w:r>
              <w:rPr>
                <w:rFonts w:hint="eastAsia" w:ascii="仿宋" w:hAnsi="仿宋" w:cs="仿宋"/>
              </w:rPr>
              <w:t>产出指标</w:t>
            </w:r>
          </w:p>
        </w:tc>
        <w:tc>
          <w:tcPr>
            <w:tcW w:w="1355" w:type="pct"/>
            <w:shd w:val="clear" w:color="auto" w:fill="auto"/>
            <w:vAlign w:val="center"/>
          </w:tcPr>
          <w:p w14:paraId="483FE64F">
            <w:pPr>
              <w:pStyle w:val="138"/>
              <w:rPr>
                <w:rFonts w:ascii="仿宋" w:hAnsi="仿宋" w:cs="仿宋"/>
              </w:rPr>
            </w:pPr>
            <w:r>
              <w:rPr>
                <w:rFonts w:hint="eastAsia" w:ascii="仿宋" w:hAnsi="仿宋" w:cs="仿宋"/>
              </w:rPr>
              <w:t>网络安全等级达</w:t>
            </w:r>
          </w:p>
          <w:p w14:paraId="567337F2">
            <w:pPr>
              <w:pStyle w:val="138"/>
              <w:rPr>
                <w:rFonts w:ascii="仿宋" w:hAnsi="仿宋" w:cs="仿宋"/>
              </w:rPr>
            </w:pPr>
            <w:r>
              <w:rPr>
                <w:rFonts w:hint="eastAsia" w:ascii="仿宋" w:hAnsi="仿宋" w:cs="仿宋"/>
              </w:rPr>
              <w:t>标</w:t>
            </w:r>
          </w:p>
        </w:tc>
        <w:tc>
          <w:tcPr>
            <w:tcW w:w="938" w:type="pct"/>
            <w:shd w:val="clear" w:color="auto" w:fill="auto"/>
            <w:vAlign w:val="center"/>
          </w:tcPr>
          <w:p w14:paraId="1D361130">
            <w:pPr>
              <w:pStyle w:val="138"/>
              <w:rPr>
                <w:rFonts w:ascii="仿宋" w:hAnsi="仿宋" w:cs="仿宋"/>
              </w:rPr>
            </w:pPr>
            <w:r>
              <w:rPr>
                <w:rFonts w:hint="eastAsia" w:ascii="仿宋" w:hAnsi="仿宋" w:cs="仿宋"/>
              </w:rPr>
              <w:t>等保三级</w:t>
            </w:r>
          </w:p>
        </w:tc>
      </w:tr>
      <w:tr w14:paraId="20A0DB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11" w:type="pct"/>
            <w:shd w:val="clear" w:color="auto" w:fill="auto"/>
            <w:vAlign w:val="center"/>
          </w:tcPr>
          <w:p w14:paraId="70CBB273">
            <w:pPr>
              <w:pStyle w:val="138"/>
              <w:rPr>
                <w:rFonts w:ascii="仿宋" w:hAnsi="仿宋" w:cs="仿宋"/>
              </w:rPr>
            </w:pPr>
            <w:r>
              <w:rPr>
                <w:rFonts w:hint="eastAsia" w:ascii="仿宋" w:hAnsi="仿宋" w:cs="仿宋"/>
              </w:rPr>
              <w:t>3</w:t>
            </w:r>
          </w:p>
        </w:tc>
        <w:tc>
          <w:tcPr>
            <w:tcW w:w="821" w:type="pct"/>
            <w:shd w:val="clear" w:color="auto" w:fill="auto"/>
            <w:vAlign w:val="center"/>
          </w:tcPr>
          <w:p w14:paraId="5189DAE4">
            <w:pPr>
              <w:pStyle w:val="138"/>
              <w:rPr>
                <w:rFonts w:ascii="仿宋" w:hAnsi="仿宋" w:cs="仿宋"/>
              </w:rPr>
            </w:pPr>
            <w:r>
              <w:rPr>
                <w:rFonts w:hint="eastAsia" w:ascii="仿宋" w:hAnsi="仿宋" w:cs="仿宋"/>
              </w:rPr>
              <w:t>通用指标</w:t>
            </w:r>
          </w:p>
        </w:tc>
        <w:tc>
          <w:tcPr>
            <w:tcW w:w="1173" w:type="pct"/>
            <w:shd w:val="clear" w:color="auto" w:fill="auto"/>
            <w:vAlign w:val="center"/>
          </w:tcPr>
          <w:p w14:paraId="309F3312">
            <w:pPr>
              <w:pStyle w:val="138"/>
              <w:rPr>
                <w:rFonts w:ascii="仿宋" w:hAnsi="仿宋" w:cs="仿宋"/>
              </w:rPr>
            </w:pPr>
            <w:r>
              <w:rPr>
                <w:rFonts w:hint="eastAsia" w:ascii="仿宋" w:hAnsi="仿宋" w:cs="仿宋"/>
              </w:rPr>
              <w:t>产出指标</w:t>
            </w:r>
          </w:p>
        </w:tc>
        <w:tc>
          <w:tcPr>
            <w:tcW w:w="1355" w:type="pct"/>
            <w:shd w:val="clear" w:color="auto" w:fill="auto"/>
            <w:vAlign w:val="center"/>
          </w:tcPr>
          <w:p w14:paraId="66771600">
            <w:pPr>
              <w:pStyle w:val="138"/>
              <w:rPr>
                <w:rFonts w:ascii="仿宋" w:hAnsi="仿宋" w:cs="仿宋"/>
              </w:rPr>
            </w:pPr>
            <w:r>
              <w:rPr>
                <w:rFonts w:hint="eastAsia" w:ascii="仿宋" w:hAnsi="仿宋" w:cs="仿宋"/>
              </w:rPr>
              <w:t>软件测试达标</w:t>
            </w:r>
          </w:p>
        </w:tc>
        <w:tc>
          <w:tcPr>
            <w:tcW w:w="938" w:type="pct"/>
            <w:shd w:val="clear" w:color="auto" w:fill="auto"/>
            <w:vAlign w:val="center"/>
          </w:tcPr>
          <w:p w14:paraId="0193DD63">
            <w:pPr>
              <w:pStyle w:val="138"/>
              <w:rPr>
                <w:rFonts w:ascii="仿宋" w:hAnsi="仿宋" w:cs="仿宋"/>
              </w:rPr>
            </w:pPr>
            <w:r>
              <w:rPr>
                <w:rFonts w:hint="eastAsia" w:ascii="仿宋" w:hAnsi="仿宋" w:cs="仿宋"/>
              </w:rPr>
              <w:t>达标</w:t>
            </w:r>
          </w:p>
        </w:tc>
      </w:tr>
    </w:tbl>
    <w:p w14:paraId="56065B97">
      <w:pPr>
        <w:pStyle w:val="2"/>
        <w:rPr>
          <w:rFonts w:ascii="仿宋" w:hAnsi="仿宋" w:eastAsia="仿宋" w:cs="仿宋"/>
        </w:rPr>
      </w:pPr>
      <w:r>
        <w:rPr>
          <w:rFonts w:hint="eastAsia" w:ascii="仿宋" w:hAnsi="仿宋" w:eastAsia="仿宋" w:cs="仿宋"/>
        </w:rPr>
        <w:t>项目建设内容</w:t>
      </w:r>
    </w:p>
    <w:p w14:paraId="4CF4A54E">
      <w:pPr>
        <w:rPr>
          <w:rFonts w:ascii="仿宋" w:hAnsi="仿宋" w:eastAsia="仿宋" w:cs="仿宋"/>
        </w:rPr>
      </w:pPr>
      <w:r>
        <w:rPr>
          <w:rFonts w:hint="eastAsia" w:ascii="仿宋" w:hAnsi="仿宋" w:eastAsia="仿宋" w:cs="仿宋"/>
        </w:rPr>
        <w:t>本次项目建设在原有系统上进行升级改造，本项目建设内容主要包括：</w:t>
      </w:r>
    </w:p>
    <w:p w14:paraId="607683A4">
      <w:pPr>
        <w:numPr>
          <w:ilvl w:val="0"/>
          <w:numId w:val="4"/>
        </w:numPr>
        <w:spacing w:line="560" w:lineRule="exact"/>
        <w:ind w:firstLineChars="0"/>
        <w:rPr>
          <w:rFonts w:ascii="仿宋" w:hAnsi="仿宋" w:eastAsia="仿宋" w:cs="仿宋"/>
        </w:rPr>
      </w:pPr>
      <w:r>
        <w:rPr>
          <w:rFonts w:hint="eastAsia" w:ascii="仿宋" w:hAnsi="仿宋" w:eastAsia="仿宋" w:cs="仿宋"/>
        </w:rPr>
        <w:t>多元储备模块</w:t>
      </w:r>
    </w:p>
    <w:p w14:paraId="3DA51068">
      <w:pPr>
        <w:rPr>
          <w:rFonts w:ascii="仿宋" w:hAnsi="仿宋" w:eastAsia="仿宋" w:cs="仿宋"/>
        </w:rPr>
      </w:pPr>
      <w:r>
        <w:rPr>
          <w:rFonts w:hint="eastAsia" w:ascii="仿宋" w:hAnsi="仿宋" w:eastAsia="仿宋" w:cs="仿宋"/>
        </w:rPr>
        <w:t>本期建设内容在原有平台的基础上，扩展储备层级到区和街（镇）级，同时扩大应急物资品类，通过信息化手段对物资储安全进行监管，同时发挥数据的价值和作用，用数据赋能业务和决策，用“技防”代替“人防”。主要完成储备管理、储备安全监管、视频远程监管、储备库点管理、回收和报废管理、数说沪储物资等功能模块。本次功能是面向市、区、街（镇）三级，并新增储备过程中的储备信息统计明细和作业记录查看。针对动态渠道储备，增加储备监测预警等功能，根据协议储备量实时监测动态储备情况并进行预警，动态储备信息由企业填报。</w:t>
      </w:r>
    </w:p>
    <w:p w14:paraId="007339DB">
      <w:pPr>
        <w:rPr>
          <w:rFonts w:ascii="仿宋" w:hAnsi="仿宋" w:eastAsia="仿宋" w:cs="仿宋"/>
        </w:rPr>
      </w:pPr>
      <w:r>
        <w:rPr>
          <w:rFonts w:hint="eastAsia" w:ascii="仿宋" w:hAnsi="仿宋" w:eastAsia="仿宋" w:cs="仿宋"/>
        </w:rPr>
        <w:t>强化安全监管，增加安全监管拓展坞，对RFID异常情况、AI异常监测等情况进行提醒、预警和展示。</w:t>
      </w:r>
    </w:p>
    <w:p w14:paraId="5F7F3264">
      <w:pPr>
        <w:rPr>
          <w:rFonts w:ascii="仿宋" w:hAnsi="仿宋" w:eastAsia="仿宋" w:cs="仿宋"/>
        </w:rPr>
      </w:pPr>
      <w:r>
        <w:rPr>
          <w:rFonts w:hint="eastAsia" w:ascii="仿宋" w:hAnsi="仿宋" w:eastAsia="仿宋" w:cs="仿宋"/>
        </w:rPr>
        <w:t>通过订阅“数说物资”，定期收到定制化的数据分析报告，自动根据用户单位情况推送年度报告。</w:t>
      </w:r>
    </w:p>
    <w:p w14:paraId="2DBD0A23">
      <w:pPr>
        <w:numPr>
          <w:ilvl w:val="0"/>
          <w:numId w:val="4"/>
        </w:numPr>
        <w:spacing w:line="560" w:lineRule="exact"/>
        <w:ind w:firstLineChars="0"/>
        <w:rPr>
          <w:rFonts w:ascii="仿宋" w:hAnsi="仿宋" w:eastAsia="仿宋" w:cs="仿宋"/>
        </w:rPr>
      </w:pPr>
      <w:r>
        <w:rPr>
          <w:rFonts w:hint="eastAsia" w:ascii="仿宋" w:hAnsi="仿宋" w:eastAsia="仿宋" w:cs="仿宋"/>
        </w:rPr>
        <w:t>采购筹措模块</w:t>
      </w:r>
    </w:p>
    <w:p w14:paraId="483A9D8E">
      <w:pPr>
        <w:rPr>
          <w:rFonts w:ascii="仿宋" w:hAnsi="仿宋" w:eastAsia="仿宋" w:cs="仿宋"/>
        </w:rPr>
      </w:pPr>
      <w:r>
        <w:rPr>
          <w:rFonts w:hint="eastAsia" w:ascii="仿宋" w:hAnsi="仿宋" w:eastAsia="仿宋" w:cs="仿宋"/>
        </w:rPr>
        <w:t>根据《上海市应急救灾物资储备管理办法》等政策文件，依托购置数字化监管，提高从计划制定到采购任务过程数字化管理和留痕，确保购置物资的质量。为应对紧急采购，建设紧急采购配套功能。该模块主要包括采购计划管理、采购任务执行、查看采购任务、供应商管理、物资目录管理、紧急采购管理、采购价格查询等功能模块。</w:t>
      </w:r>
    </w:p>
    <w:p w14:paraId="0BBB3D4F">
      <w:pPr>
        <w:numPr>
          <w:ilvl w:val="0"/>
          <w:numId w:val="4"/>
        </w:numPr>
        <w:spacing w:line="560" w:lineRule="exact"/>
        <w:ind w:firstLineChars="0"/>
        <w:rPr>
          <w:rFonts w:ascii="仿宋" w:hAnsi="仿宋" w:eastAsia="仿宋" w:cs="仿宋"/>
        </w:rPr>
      </w:pPr>
      <w:r>
        <w:rPr>
          <w:rFonts w:hint="eastAsia" w:ascii="仿宋" w:hAnsi="仿宋" w:eastAsia="仿宋" w:cs="仿宋"/>
        </w:rPr>
        <w:t>产能动员模块</w:t>
      </w:r>
    </w:p>
    <w:p w14:paraId="292BC8AE">
      <w:pPr>
        <w:rPr>
          <w:rFonts w:ascii="仿宋" w:hAnsi="仿宋" w:eastAsia="仿宋" w:cs="仿宋"/>
        </w:rPr>
      </w:pPr>
      <w:r>
        <w:rPr>
          <w:rFonts w:hint="eastAsia" w:ascii="仿宋" w:hAnsi="仿宋" w:eastAsia="仿宋" w:cs="仿宋"/>
        </w:rPr>
        <w:t>产能作为静态储备和动态协议储备的重要补充，通过填报和名录实现产能信息化展示和监管，在关键时刻能用得上，也是为减少实物储备，实现财政绩效最佳化的手段。通过对现有的产能清单名录功能进行优化升级，通过对产能企业各类信息的展示、对产能企业应急物资产能的监控管理等，实现对产能企业的优劣做出科学判断，实现对产能企业全生命周期管理，进一步健全生产动员相关机制。通过产能协议企业填报等方式，获取企业产能情况，对产能企业的生产状态和应急物资储备进行动态跟踪。</w:t>
      </w:r>
    </w:p>
    <w:p w14:paraId="0FBE91E8">
      <w:pPr>
        <w:numPr>
          <w:ilvl w:val="0"/>
          <w:numId w:val="4"/>
        </w:numPr>
        <w:spacing w:line="560" w:lineRule="exact"/>
        <w:ind w:firstLineChars="0"/>
        <w:rPr>
          <w:rFonts w:ascii="仿宋" w:hAnsi="仿宋" w:eastAsia="仿宋" w:cs="仿宋"/>
        </w:rPr>
      </w:pPr>
      <w:r>
        <w:rPr>
          <w:rFonts w:hint="eastAsia" w:ascii="仿宋" w:hAnsi="仿宋" w:eastAsia="仿宋" w:cs="仿宋"/>
        </w:rPr>
        <w:t>调拨使用模块</w:t>
      </w:r>
    </w:p>
    <w:p w14:paraId="1CF02AD4">
      <w:pPr>
        <w:rPr>
          <w:rFonts w:ascii="仿宋" w:hAnsi="仿宋" w:eastAsia="仿宋" w:cs="仿宋"/>
        </w:rPr>
      </w:pPr>
      <w:r>
        <w:rPr>
          <w:rFonts w:hint="eastAsia" w:ascii="仿宋" w:hAnsi="仿宋" w:eastAsia="仿宋" w:cs="仿宋"/>
        </w:rPr>
        <w:t>通过建设调拨使用模块，强化调拨运输环节监管信息化能力建设，同时补齐调拨运输信息化短板，加强出入库过程动态管控，实现全过程溯源。</w:t>
      </w:r>
    </w:p>
    <w:p w14:paraId="44A7CDAC">
      <w:pPr>
        <w:rPr>
          <w:rFonts w:ascii="仿宋" w:hAnsi="仿宋" w:eastAsia="仿宋" w:cs="仿宋"/>
        </w:rPr>
      </w:pPr>
      <w:r>
        <w:rPr>
          <w:rFonts w:hint="eastAsia" w:ascii="仿宋" w:hAnsi="仿宋" w:eastAsia="仿宋" w:cs="仿宋"/>
        </w:rPr>
        <w:t>调拨使用模块支持物资查询与物资待选功能，使得物资管理更加便捷、高效。物资查询功能允许用户根据多种条件进行物资信息的检索和筛选，如物资名称、规格型号、库存数量等。调拨管理包含物资的调拨出库管理、调拨出库记录、支持生成智能三种调拨方案，支持调拨方案自定义。系统支持调拨音视频调度管理，系统支持音视频通话、视频控制、通讯录、音视频电子水印等各类功能，实现一对多的音视频通话。</w:t>
      </w:r>
    </w:p>
    <w:p w14:paraId="748A2456">
      <w:pPr>
        <w:numPr>
          <w:ilvl w:val="0"/>
          <w:numId w:val="4"/>
        </w:numPr>
        <w:spacing w:line="560" w:lineRule="exact"/>
        <w:ind w:firstLineChars="0"/>
        <w:rPr>
          <w:rFonts w:ascii="仿宋" w:hAnsi="仿宋" w:eastAsia="仿宋" w:cs="仿宋"/>
        </w:rPr>
      </w:pPr>
      <w:r>
        <w:rPr>
          <w:rFonts w:hint="eastAsia" w:ascii="仿宋" w:hAnsi="仿宋" w:eastAsia="仿宋" w:cs="仿宋"/>
        </w:rPr>
        <w:t>应急物流模块</w:t>
      </w:r>
    </w:p>
    <w:p w14:paraId="72A0E3CF">
      <w:pPr>
        <w:rPr>
          <w:rFonts w:ascii="仿宋" w:hAnsi="仿宋" w:eastAsia="仿宋" w:cs="仿宋"/>
        </w:rPr>
      </w:pPr>
      <w:r>
        <w:rPr>
          <w:rFonts w:hint="eastAsia" w:ascii="仿宋" w:hAnsi="仿宋" w:eastAsia="仿宋" w:cs="仿宋"/>
        </w:rPr>
        <w:t>运力清单为了实现运输物流司机、车辆的展示和统一管理，通过统一管理和赋能，也为各个区、街道提供服务和便利。实现全市运力信息汇集，展示市区街（镇）各级物流运力情况。</w:t>
      </w:r>
    </w:p>
    <w:p w14:paraId="2150840C">
      <w:pPr>
        <w:numPr>
          <w:ilvl w:val="0"/>
          <w:numId w:val="4"/>
        </w:numPr>
        <w:spacing w:line="560" w:lineRule="exact"/>
        <w:ind w:firstLineChars="0"/>
        <w:rPr>
          <w:rFonts w:ascii="仿宋" w:hAnsi="仿宋" w:eastAsia="仿宋" w:cs="仿宋"/>
        </w:rPr>
      </w:pPr>
      <w:r>
        <w:rPr>
          <w:rFonts w:hint="eastAsia" w:ascii="仿宋" w:hAnsi="仿宋" w:eastAsia="仿宋" w:cs="仿宋"/>
        </w:rPr>
        <w:t>统筹管理模块</w:t>
      </w:r>
    </w:p>
    <w:p w14:paraId="28E67FFA">
      <w:pPr>
        <w:rPr>
          <w:rFonts w:ascii="仿宋" w:hAnsi="仿宋" w:eastAsia="仿宋" w:cs="仿宋"/>
        </w:rPr>
      </w:pPr>
      <w:r>
        <w:rPr>
          <w:rFonts w:hint="eastAsia" w:ascii="仿宋" w:hAnsi="仿宋" w:eastAsia="仿宋" w:cs="仿宋"/>
        </w:rPr>
        <w:t>统筹管理模块以优化应急物资储备能力为目标引导，建设物资分类标准规范及各类统计分析报表，基于平台中实时采集的储备库信息和储备物资数据，结合相关统计和管理规则，能及时发现各类问题和风险点，便于领导进行分析研判和工作指导。开发建设统计报表等各类功能。。</w:t>
      </w:r>
    </w:p>
    <w:p w14:paraId="2DC85577">
      <w:pPr>
        <w:numPr>
          <w:ilvl w:val="0"/>
          <w:numId w:val="4"/>
        </w:numPr>
        <w:spacing w:line="560" w:lineRule="exact"/>
        <w:ind w:firstLineChars="0"/>
        <w:rPr>
          <w:rFonts w:ascii="仿宋" w:hAnsi="仿宋" w:eastAsia="仿宋" w:cs="仿宋"/>
        </w:rPr>
      </w:pPr>
      <w:r>
        <w:rPr>
          <w:rFonts w:hint="eastAsia" w:ascii="仿宋" w:hAnsi="仿宋" w:eastAsia="仿宋" w:cs="仿宋"/>
        </w:rPr>
        <w:t>数字驾驶舱模块</w:t>
      </w:r>
    </w:p>
    <w:p w14:paraId="7983802E">
      <w:pPr>
        <w:numPr>
          <w:ilvl w:val="0"/>
          <w:numId w:val="5"/>
        </w:numPr>
        <w:rPr>
          <w:rFonts w:ascii="仿宋" w:hAnsi="仿宋" w:eastAsia="仿宋" w:cs="仿宋"/>
        </w:rPr>
      </w:pPr>
      <w:r>
        <w:rPr>
          <w:rFonts w:hint="eastAsia" w:ascii="仿宋" w:hAnsi="仿宋" w:eastAsia="仿宋" w:cs="仿宋"/>
        </w:rPr>
        <w:t>综合处置驾驶舱</w:t>
      </w:r>
    </w:p>
    <w:p w14:paraId="44D96FA1">
      <w:pPr>
        <w:rPr>
          <w:rFonts w:ascii="仿宋" w:hAnsi="仿宋" w:eastAsia="仿宋" w:cs="仿宋"/>
        </w:rPr>
      </w:pPr>
      <w:r>
        <w:rPr>
          <w:rFonts w:hint="eastAsia" w:ascii="仿宋" w:hAnsi="仿宋" w:eastAsia="仿宋" w:cs="仿宋"/>
        </w:rPr>
        <w:t>综合处置驾驶舱主要用于展示和快速处理与调拨、通知等相关的各类任务和信息。</w:t>
      </w:r>
      <w:r>
        <w:rPr>
          <w:rFonts w:hint="eastAsia" w:ascii="仿宋" w:hAnsi="仿宋" w:eastAsia="仿宋" w:cs="仿宋"/>
          <w:lang w:bidi="ar"/>
        </w:rPr>
        <w:t>一是集中化的信息管理，驾驶舱能够将调拨、通知等相关任务和信息集成在一个界面上。二是实时监控与决策支持，通过实时数据的展示，驾驶舱为管理层提供了决策支持，快速做出决策。三是提高透明度和可追溯性，驾驶舱包含待办事项管理、已办事项展示、流程跟踪等功能，这些功能有助于提高物资流转的透明度和可追溯性，确保物资流转的每个环节都有记录和追踪。</w:t>
      </w:r>
    </w:p>
    <w:p w14:paraId="649C4456">
      <w:pPr>
        <w:numPr>
          <w:ilvl w:val="0"/>
          <w:numId w:val="5"/>
        </w:numPr>
        <w:rPr>
          <w:rFonts w:ascii="仿宋" w:hAnsi="仿宋" w:eastAsia="仿宋" w:cs="仿宋"/>
        </w:rPr>
      </w:pPr>
      <w:r>
        <w:rPr>
          <w:rFonts w:hint="eastAsia" w:ascii="仿宋" w:hAnsi="仿宋" w:eastAsia="仿宋" w:cs="仿宋"/>
        </w:rPr>
        <w:t>物资调拨追踪图</w:t>
      </w:r>
    </w:p>
    <w:p w14:paraId="59F670B5">
      <w:pPr>
        <w:rPr>
          <w:rFonts w:ascii="仿宋" w:hAnsi="仿宋" w:eastAsia="仿宋" w:cs="仿宋"/>
        </w:rPr>
      </w:pPr>
      <w:r>
        <w:rPr>
          <w:rFonts w:hint="eastAsia" w:ascii="仿宋" w:hAnsi="仿宋" w:eastAsia="仿宋" w:cs="仿宋"/>
        </w:rPr>
        <w:t>物资调拨追踪图主要是为了提供一个集中的页面，用于高效管理和优化物资的调拨过程。包括填写物资需求、生成智能调拨方案、自定义调拨方案等功能。</w:t>
      </w:r>
    </w:p>
    <w:p w14:paraId="5E4EA4F2">
      <w:pPr>
        <w:numPr>
          <w:ilvl w:val="0"/>
          <w:numId w:val="5"/>
        </w:numPr>
        <w:rPr>
          <w:rFonts w:ascii="仿宋" w:hAnsi="仿宋" w:eastAsia="仿宋" w:cs="仿宋"/>
        </w:rPr>
      </w:pPr>
      <w:r>
        <w:rPr>
          <w:rFonts w:hint="eastAsia" w:ascii="仿宋" w:hAnsi="仿宋" w:eastAsia="仿宋" w:cs="仿宋"/>
        </w:rPr>
        <w:t>物资库点、库存及事件分布图</w:t>
      </w:r>
    </w:p>
    <w:p w14:paraId="0A1AC5EA">
      <w:pPr>
        <w:rPr>
          <w:rFonts w:ascii="仿宋" w:hAnsi="仿宋" w:eastAsia="仿宋" w:cs="仿宋"/>
        </w:rPr>
      </w:pPr>
      <w:r>
        <w:rPr>
          <w:rFonts w:hint="eastAsia" w:ascii="仿宋" w:hAnsi="仿宋" w:eastAsia="仿宋" w:cs="仿宋"/>
        </w:rPr>
        <w:t>支持全市物资库点、库存及事件分布图支持搜索物资列表、地图联动、调拨联动等功能，依托底层组件，实现数据的高效快速搜索。</w:t>
      </w:r>
    </w:p>
    <w:p w14:paraId="402747FF">
      <w:pPr>
        <w:rPr>
          <w:rFonts w:ascii="仿宋" w:hAnsi="仿宋" w:eastAsia="仿宋" w:cs="仿宋"/>
        </w:rPr>
      </w:pPr>
      <w:r>
        <w:rPr>
          <w:rFonts w:hint="eastAsia" w:ascii="仿宋" w:hAnsi="仿宋" w:eastAsia="仿宋" w:cs="仿宋"/>
        </w:rPr>
        <w:t>物资库存分布图：支持根据应急物资查询结果信息展现在一张图上，支持点击形状、图标进行对单位、物资仓库、储备点的详情查看等更多应用操作。</w:t>
      </w:r>
    </w:p>
    <w:p w14:paraId="3E01DEFF">
      <w:pPr>
        <w:rPr>
          <w:rFonts w:ascii="仿宋" w:hAnsi="仿宋" w:eastAsia="仿宋" w:cs="仿宋"/>
        </w:rPr>
      </w:pPr>
      <w:r>
        <w:rPr>
          <w:rFonts w:hint="eastAsia" w:ascii="仿宋" w:hAnsi="仿宋" w:eastAsia="仿宋" w:cs="仿宋"/>
        </w:rPr>
        <w:t>物资库点分布图：</w:t>
      </w:r>
      <w:r>
        <w:rPr>
          <w:rFonts w:hint="eastAsia" w:ascii="仿宋" w:hAnsi="仿宋" w:eastAsia="仿宋" w:cs="仿宋"/>
          <w:szCs w:val="30"/>
          <w:lang w:bidi="ar"/>
        </w:rPr>
        <w:t>库点分布图</w:t>
      </w:r>
      <w:r>
        <w:rPr>
          <w:rFonts w:hint="eastAsia" w:ascii="仿宋" w:hAnsi="仿宋" w:eastAsia="仿宋" w:cs="仿宋"/>
        </w:rPr>
        <w:t>对全市应急物资储量以及分布信息进行展现，形成跨跨层级的数字驾驶舱。</w:t>
      </w:r>
    </w:p>
    <w:p w14:paraId="68D4C2E9">
      <w:pPr>
        <w:rPr>
          <w:rFonts w:ascii="仿宋" w:hAnsi="仿宋" w:eastAsia="仿宋" w:cs="仿宋"/>
        </w:rPr>
      </w:pPr>
      <w:r>
        <w:rPr>
          <w:rFonts w:hint="eastAsia" w:ascii="仿宋" w:hAnsi="仿宋" w:eastAsia="仿宋" w:cs="仿宋"/>
        </w:rPr>
        <w:t>事件分布图：支持事件提示预警展示。支持不同事件预警展现在一张图上。</w:t>
      </w:r>
    </w:p>
    <w:p w14:paraId="45466286">
      <w:pPr>
        <w:numPr>
          <w:ilvl w:val="0"/>
          <w:numId w:val="5"/>
        </w:numPr>
        <w:rPr>
          <w:rFonts w:ascii="仿宋" w:hAnsi="仿宋" w:eastAsia="仿宋" w:cs="仿宋"/>
        </w:rPr>
      </w:pPr>
      <w:r>
        <w:rPr>
          <w:rFonts w:hint="eastAsia" w:ascii="仿宋" w:hAnsi="仿宋" w:eastAsia="仿宋" w:cs="仿宋"/>
        </w:rPr>
        <w:t>物资储备一本账</w:t>
      </w:r>
    </w:p>
    <w:p w14:paraId="383E8E84">
      <w:pPr>
        <w:rPr>
          <w:rFonts w:ascii="仿宋" w:hAnsi="仿宋" w:eastAsia="仿宋" w:cs="仿宋"/>
        </w:rPr>
      </w:pPr>
      <w:r>
        <w:rPr>
          <w:rFonts w:hint="eastAsia" w:ascii="仿宋" w:hAnsi="仿宋" w:eastAsia="仿宋" w:cs="仿宋"/>
        </w:rPr>
        <w:t>通过物资储备一本账一屏展示，各级单位能够直观掌握各自行政管辖范围内的应急物资储备状况，实现对应急物资全生命周期的业务统筹把控。</w:t>
      </w:r>
    </w:p>
    <w:p w14:paraId="52EE1DA4">
      <w:pPr>
        <w:numPr>
          <w:ilvl w:val="0"/>
          <w:numId w:val="5"/>
        </w:numPr>
        <w:rPr>
          <w:rFonts w:ascii="仿宋" w:hAnsi="仿宋" w:eastAsia="仿宋" w:cs="仿宋"/>
        </w:rPr>
      </w:pPr>
      <w:r>
        <w:rPr>
          <w:rFonts w:hint="eastAsia" w:ascii="仿宋" w:hAnsi="仿宋" w:eastAsia="仿宋" w:cs="仿宋"/>
        </w:rPr>
        <w:t>产能一张图</w:t>
      </w:r>
    </w:p>
    <w:p w14:paraId="13F4058E">
      <w:pPr>
        <w:rPr>
          <w:rFonts w:ascii="仿宋" w:hAnsi="仿宋" w:eastAsia="仿宋" w:cs="仿宋"/>
        </w:rPr>
      </w:pPr>
      <w:r>
        <w:rPr>
          <w:rFonts w:hint="eastAsia" w:ascii="仿宋" w:hAnsi="仿宋" w:eastAsia="仿宋" w:cs="仿宋"/>
        </w:rPr>
        <w:t>建设产能一张图，包括产能企业分布、产能企业名录、产能数据等内容。使用地图、图表、仪表板等元素，直观地展示产能信息，以一张图的形式展示产能企业的分布、名录和产能数据。</w:t>
      </w:r>
    </w:p>
    <w:p w14:paraId="1385DE6C">
      <w:pPr>
        <w:numPr>
          <w:ilvl w:val="0"/>
          <w:numId w:val="4"/>
        </w:numPr>
        <w:spacing w:line="560" w:lineRule="exact"/>
        <w:ind w:firstLineChars="0"/>
        <w:rPr>
          <w:rFonts w:ascii="仿宋" w:hAnsi="仿宋" w:eastAsia="仿宋" w:cs="仿宋"/>
        </w:rPr>
      </w:pPr>
      <w:r>
        <w:rPr>
          <w:rFonts w:hint="eastAsia" w:ascii="仿宋" w:hAnsi="仿宋" w:eastAsia="仿宋" w:cs="仿宋"/>
        </w:rPr>
        <w:t>仓储管理系统</w:t>
      </w:r>
    </w:p>
    <w:p w14:paraId="11B293CD">
      <w:pPr>
        <w:rPr>
          <w:rFonts w:ascii="仿宋" w:hAnsi="仿宋" w:eastAsia="仿宋" w:cs="仿宋"/>
        </w:rPr>
      </w:pPr>
      <w:r>
        <w:rPr>
          <w:rFonts w:hint="eastAsia" w:ascii="仿宋" w:hAnsi="仿宋" w:eastAsia="仿宋" w:cs="仿宋"/>
        </w:rPr>
        <w:t>通过建设仓储管理系统覆盖应急物资仓储单位的日常管理工作，在库端入库、出库、盘点、回收、维护、报废等业务场景下实现库内业务的数字化和自动化管理，系统实时记录库存和操作记录数据。通过仓储管理系统，依托系统实现物资的自主出入库管理，本期项目在原有系统基础上增加和上级管理平台的联动能力，实现数据和调拨指令的互联互通，同时增加报废、回收等各类业务管理核心功能，通过云化部署实现各个库点免费推广应用。</w:t>
      </w:r>
    </w:p>
    <w:p w14:paraId="0ADCECA7">
      <w:pPr>
        <w:rPr>
          <w:rFonts w:ascii="仿宋" w:hAnsi="仿宋" w:eastAsia="仿宋" w:cs="仿宋"/>
        </w:rPr>
      </w:pPr>
      <w:r>
        <w:rPr>
          <w:rFonts w:hint="eastAsia" w:ascii="仿宋" w:hAnsi="仿宋" w:eastAsia="仿宋" w:cs="仿宋"/>
        </w:rPr>
        <w:t>针对三个市级库点，通过配套硬件完成智能化出库管理工作，通过使用现代信息技术和自动化设备（RFID手持机等），实现各环节数据的全过程自动采集和保存，实现物资入库过程的数字化管理，有效减少人为干预，提升系统的容错性和防作弊能力，提高物资入库业务流程处理的规范性和严谨性，提高入库作业效率，并满足数量和质量可追溯的管理要求。</w:t>
      </w:r>
    </w:p>
    <w:p w14:paraId="586F7997">
      <w:pPr>
        <w:rPr>
          <w:rFonts w:ascii="仿宋" w:hAnsi="仿宋" w:eastAsia="仿宋" w:cs="仿宋"/>
        </w:rPr>
      </w:pPr>
      <w:r>
        <w:rPr>
          <w:rFonts w:hint="eastAsia" w:ascii="仿宋" w:hAnsi="仿宋" w:eastAsia="仿宋" w:cs="仿宋"/>
        </w:rPr>
        <w:t>支持物资编码功能，系统支持扫码自动获取商品物资品名和属性，完成物资自动编码工作。</w:t>
      </w:r>
    </w:p>
    <w:p w14:paraId="4798752A">
      <w:pPr>
        <w:numPr>
          <w:ilvl w:val="0"/>
          <w:numId w:val="4"/>
        </w:numPr>
        <w:spacing w:line="560" w:lineRule="exact"/>
        <w:ind w:firstLineChars="0"/>
        <w:rPr>
          <w:rFonts w:ascii="仿宋" w:hAnsi="仿宋" w:eastAsia="仿宋" w:cs="仿宋"/>
        </w:rPr>
      </w:pPr>
      <w:r>
        <w:rPr>
          <w:rFonts w:hint="eastAsia" w:ascii="仿宋" w:hAnsi="仿宋" w:eastAsia="仿宋" w:cs="仿宋"/>
        </w:rPr>
        <w:t>监管端（随申办政务云）</w:t>
      </w:r>
    </w:p>
    <w:p w14:paraId="3ED3A7E5">
      <w:pPr>
        <w:rPr>
          <w:rFonts w:ascii="仿宋" w:hAnsi="仿宋" w:eastAsia="仿宋" w:cs="仿宋"/>
        </w:rPr>
      </w:pPr>
      <w:r>
        <w:rPr>
          <w:rFonts w:hint="eastAsia" w:ascii="仿宋" w:hAnsi="仿宋" w:eastAsia="仿宋" w:cs="仿宋"/>
        </w:rPr>
        <w:t>监管端（随申办政务云）提供与政府单位紧密相关的物资储备管理和物资调度管理等功能的入口，提供更加便捷的管理工具，实现应急物资储备信息、物资调拨全过程记录等信息可查询，实现物资紧急申请，实时紧急调拨等可通过随申办端同步操作。支持库存查询、远程监控、快速搜索、物资调拨、一码追踪等功能。</w:t>
      </w:r>
    </w:p>
    <w:p w14:paraId="58DCDBA6">
      <w:pPr>
        <w:numPr>
          <w:ilvl w:val="0"/>
          <w:numId w:val="4"/>
        </w:numPr>
        <w:spacing w:line="560" w:lineRule="exact"/>
        <w:ind w:firstLineChars="0"/>
        <w:rPr>
          <w:rFonts w:ascii="仿宋" w:hAnsi="仿宋" w:eastAsia="仿宋" w:cs="仿宋"/>
        </w:rPr>
      </w:pPr>
      <w:r>
        <w:rPr>
          <w:rFonts w:hint="eastAsia" w:ascii="仿宋" w:hAnsi="仿宋" w:eastAsia="仿宋" w:cs="仿宋"/>
        </w:rPr>
        <w:t>仓储管理系统（微信小程序）</w:t>
      </w:r>
    </w:p>
    <w:p w14:paraId="2BE358E1">
      <w:pPr>
        <w:rPr>
          <w:rFonts w:ascii="仿宋" w:hAnsi="仿宋" w:eastAsia="仿宋" w:cs="仿宋"/>
        </w:rPr>
      </w:pPr>
      <w:r>
        <w:rPr>
          <w:rFonts w:hint="eastAsia" w:ascii="仿宋" w:hAnsi="仿宋" w:eastAsia="仿宋" w:cs="仿宋"/>
        </w:rPr>
        <w:t>仓储管理系统（微信小程序）版提供了简洁、直观的操作界面，方便仓库管理人员快速上手，并通过手机等移动设备随时随地进行仓储管理，大大提高了工作的便捷性和灵活性。传统的仓库管理主要依赖员工经验和记忆，错误率较高。而使用微信小程序可以降低仓库管理对人的依赖，通过信息化进行精细管理，提高准确率。通过仓储管理系统（小程序）可便捷的实现物资出库、入库、库存、盘点和保养等功能的人工录入和记录留痕功能。</w:t>
      </w:r>
    </w:p>
    <w:p w14:paraId="4BD586F4">
      <w:pPr>
        <w:numPr>
          <w:ilvl w:val="0"/>
          <w:numId w:val="4"/>
        </w:numPr>
        <w:spacing w:line="560" w:lineRule="exact"/>
        <w:ind w:firstLineChars="0"/>
        <w:rPr>
          <w:rFonts w:ascii="仿宋" w:hAnsi="仿宋" w:eastAsia="仿宋" w:cs="仿宋"/>
        </w:rPr>
      </w:pPr>
      <w:r>
        <w:rPr>
          <w:rFonts w:hint="eastAsia" w:ascii="仿宋" w:hAnsi="仿宋" w:eastAsia="仿宋" w:cs="仿宋"/>
        </w:rPr>
        <w:t>运物资（微信小程序）</w:t>
      </w:r>
    </w:p>
    <w:p w14:paraId="59A728F6">
      <w:pPr>
        <w:rPr>
          <w:rFonts w:ascii="仿宋" w:hAnsi="仿宋" w:eastAsia="仿宋" w:cs="仿宋"/>
        </w:rPr>
      </w:pPr>
      <w:r>
        <w:rPr>
          <w:rFonts w:hint="eastAsia" w:ascii="仿宋" w:hAnsi="仿宋" w:eastAsia="仿宋" w:cs="仿宋"/>
        </w:rPr>
        <w:t>司机移动端程序主要用于物流运输和签收管理，不仅能提高物流效率和数据实时性，减少填报错误，有助于实现物流过程的自动化和智能化，并通过实时上报车辆位置信息与应急指挥调度进行融合通信。运物资的建立，可以实时追踪物流运输的状态、查看物流状态，包括物资的接单、取货交接、到货交接和签收管理，确保物资流转的每个环节都可控和透明，同时移动端使得司机可以随时随地接收任务、更新状态和完成签收，减少了纸质单据的使用，提高了整体的工作效率。除此以外，移动端的应用可以减少人为错误，确保数据的准确性。例如，在签收环节，司机和收货人可以通过电子方式确认收货，避免纸质单据的涂改和丢失。</w:t>
      </w:r>
    </w:p>
    <w:p w14:paraId="7CDB5BE6">
      <w:pPr>
        <w:numPr>
          <w:ilvl w:val="0"/>
          <w:numId w:val="4"/>
        </w:numPr>
        <w:spacing w:line="560" w:lineRule="exact"/>
        <w:ind w:firstLineChars="0"/>
        <w:rPr>
          <w:rFonts w:ascii="仿宋" w:hAnsi="仿宋" w:eastAsia="仿宋" w:cs="仿宋"/>
        </w:rPr>
      </w:pPr>
      <w:r>
        <w:rPr>
          <w:rFonts w:hint="eastAsia" w:ascii="仿宋" w:hAnsi="仿宋" w:eastAsia="仿宋" w:cs="仿宋"/>
        </w:rPr>
        <w:t>基础管理模块</w:t>
      </w:r>
    </w:p>
    <w:p w14:paraId="06619466">
      <w:pPr>
        <w:rPr>
          <w:rFonts w:ascii="仿宋" w:hAnsi="仿宋" w:eastAsia="仿宋" w:cs="仿宋"/>
        </w:rPr>
      </w:pPr>
      <w:r>
        <w:rPr>
          <w:rFonts w:hint="eastAsia" w:ascii="仿宋" w:hAnsi="仿宋" w:eastAsia="仿宋" w:cs="仿宋"/>
        </w:rPr>
        <w:t>（1）系统管理</w:t>
      </w:r>
    </w:p>
    <w:p w14:paraId="6886BAAF">
      <w:pPr>
        <w:rPr>
          <w:rFonts w:ascii="仿宋" w:hAnsi="仿宋" w:eastAsia="仿宋" w:cs="仿宋"/>
        </w:rPr>
      </w:pPr>
      <w:r>
        <w:rPr>
          <w:rFonts w:hint="eastAsia" w:ascii="仿宋" w:hAnsi="仿宋" w:eastAsia="仿宋" w:cs="仿宋"/>
        </w:rPr>
        <w:t>通过优化系统权限和组织用户管理，支持用户自定义配置下属库点用户信息，支持上级用户对下级管理账号和库点账号的配置修改。通过做日志数据埋点，实现对各类操作数据信息进行采集，用于平台访问情况统计信息展示分析。</w:t>
      </w:r>
    </w:p>
    <w:p w14:paraId="13B4BD2B">
      <w:pPr>
        <w:rPr>
          <w:rFonts w:ascii="仿宋" w:hAnsi="仿宋" w:eastAsia="仿宋" w:cs="仿宋"/>
        </w:rPr>
      </w:pPr>
      <w:r>
        <w:rPr>
          <w:rFonts w:hint="eastAsia" w:ascii="仿宋" w:hAnsi="仿宋" w:eastAsia="仿宋" w:cs="仿宋"/>
        </w:rPr>
        <w:t>（2）流媒体转码服务</w:t>
      </w:r>
    </w:p>
    <w:p w14:paraId="17C9DC30">
      <w:pPr>
        <w:pStyle w:val="137"/>
        <w:ind w:firstLine="480"/>
        <w:rPr>
          <w:rFonts w:hAnsi="仿宋" w:cs="仿宋"/>
          <w:sz w:val="24"/>
          <w:szCs w:val="24"/>
        </w:rPr>
      </w:pPr>
      <w:r>
        <w:rPr>
          <w:rFonts w:hint="eastAsia" w:hAnsi="仿宋" w:cs="仿宋"/>
          <w:sz w:val="24"/>
          <w:szCs w:val="24"/>
        </w:rPr>
        <w:t>负责将rtsp/rtmp协议媒体分发为rtmp/http-flv/ws-flv/hls等协议格式视频流。若服务器所在网络无固定IP地址，则可通过将rtmp视频流推送到云端流媒体服务中，实现外网拉流播放功能。具备提供含SSL协议的https-flv和wss-flv协议流格式功能。</w:t>
      </w:r>
    </w:p>
    <w:p w14:paraId="3610CE71">
      <w:pPr>
        <w:rPr>
          <w:rFonts w:ascii="仿宋" w:hAnsi="仿宋" w:eastAsia="仿宋" w:cs="仿宋"/>
        </w:rPr>
      </w:pPr>
      <w:r>
        <w:rPr>
          <w:rFonts w:hint="eastAsia" w:ascii="仿宋" w:hAnsi="仿宋" w:eastAsia="仿宋" w:cs="仿宋"/>
        </w:rPr>
        <w:t>（3）流媒体网络质量分析</w:t>
      </w:r>
    </w:p>
    <w:p w14:paraId="3DCC96F3">
      <w:pPr>
        <w:pStyle w:val="137"/>
        <w:ind w:firstLine="480"/>
        <w:rPr>
          <w:rFonts w:hAnsi="仿宋" w:cs="仿宋"/>
          <w:sz w:val="24"/>
          <w:szCs w:val="24"/>
        </w:rPr>
      </w:pPr>
      <w:r>
        <w:rPr>
          <w:rFonts w:hint="eastAsia" w:hAnsi="仿宋" w:cs="仿宋"/>
          <w:sz w:val="24"/>
          <w:szCs w:val="24"/>
        </w:rPr>
        <w:t>音视频流通过HTTPS方式对信息进行加密，支持对视频质量检测、网络条件分析、设备错误和异常检测等功能，实现对流媒体视频接入质量进行整体监测分析。</w:t>
      </w:r>
    </w:p>
    <w:p w14:paraId="6CC7B035">
      <w:pPr>
        <w:numPr>
          <w:ilvl w:val="0"/>
          <w:numId w:val="4"/>
        </w:numPr>
        <w:spacing w:line="560" w:lineRule="exact"/>
        <w:ind w:firstLineChars="0"/>
        <w:rPr>
          <w:rFonts w:ascii="仿宋" w:hAnsi="仿宋" w:eastAsia="仿宋" w:cs="仿宋"/>
        </w:rPr>
      </w:pPr>
      <w:r>
        <w:rPr>
          <w:rFonts w:hint="eastAsia" w:ascii="仿宋" w:hAnsi="仿宋" w:eastAsia="仿宋" w:cs="仿宋"/>
        </w:rPr>
        <w:t>数据支撑模块</w:t>
      </w:r>
    </w:p>
    <w:p w14:paraId="43BFC97B">
      <w:pPr>
        <w:rPr>
          <w:rFonts w:ascii="仿宋" w:hAnsi="仿宋" w:eastAsia="仿宋" w:cs="仿宋"/>
        </w:rPr>
      </w:pPr>
      <w:r>
        <w:rPr>
          <w:rFonts w:hint="eastAsia" w:ascii="仿宋" w:hAnsi="仿宋" w:eastAsia="仿宋" w:cs="仿宋"/>
        </w:rPr>
        <w:t>围绕应急物资“储-采-产-调-运-统”全流程，通过云上协同的方式把库端的仓储管理系统的数据实时同步，以实现库端出入库信息、仓储作业等数据的实时归集和信息的互联互通，并打通部门壁垒实现多跨协同，确保高效响应，准确归集静态储备、动态储备、渠道储备和其他社会储备的多元化储备数据，同时将物资运输、调拨等信息全面采集，全程在线，全部留痕，统一数据标准，提升数据质量，建立应急物资多元储备、应急物资调拨智控、应急物资运输追踪等物资专题库，形成区域库、部门库、场景库等不同专题和主题库，全面展示和分析各类物资储备结构和空间分布等情况，为业务管理和决策分析提供数据保障，实现跨模式、跨部门、跨层级、跨区域的多陪协同数字化在线调拨。</w:t>
      </w:r>
    </w:p>
    <w:p w14:paraId="2FA140A3">
      <w:pPr>
        <w:numPr>
          <w:ilvl w:val="0"/>
          <w:numId w:val="4"/>
        </w:numPr>
        <w:spacing w:line="560" w:lineRule="exact"/>
        <w:ind w:firstLineChars="0"/>
        <w:rPr>
          <w:rFonts w:ascii="仿宋" w:hAnsi="仿宋" w:eastAsia="仿宋" w:cs="仿宋"/>
        </w:rPr>
      </w:pPr>
      <w:r>
        <w:rPr>
          <w:rFonts w:hint="eastAsia" w:ascii="仿宋" w:hAnsi="仿宋" w:eastAsia="仿宋" w:cs="仿宋"/>
        </w:rPr>
        <w:t>库端智能化升级改造工程</w:t>
      </w:r>
    </w:p>
    <w:p w14:paraId="58397598">
      <w:pPr>
        <w:rPr>
          <w:rFonts w:ascii="仿宋" w:hAnsi="仿宋" w:eastAsia="仿宋" w:cs="仿宋"/>
        </w:rPr>
      </w:pPr>
      <w:r>
        <w:rPr>
          <w:rFonts w:hint="eastAsia" w:ascii="仿宋" w:hAnsi="仿宋" w:eastAsia="仿宋" w:cs="仿宋"/>
        </w:rPr>
        <w:t>为实现应急物资的精细化管理，确保仓储系统的软硬件能够有效协同工作，上海市本级库需进行相应硬件改造。改造工作主要涵盖三个核心模块：RFID套件、安控套件和网络套件。RFID套件旨在提升物资仓库内部作业的效率和智能化水平，具体包括高效的盘点、巡查以及保养作业。安控套件则负责物资的安全监控管理，并对仓库内的温湿度数据进行实时监控，以便在温湿度异常时发出预警。网络套件则确保数据能够在局域网内传输，并支持跨子网的数据交换。</w:t>
      </w:r>
    </w:p>
    <w:p w14:paraId="2F6133E4">
      <w:pPr>
        <w:ind w:firstLine="0" w:firstLineChars="0"/>
        <w:rPr>
          <w:rFonts w:ascii="仿宋" w:hAnsi="仿宋" w:eastAsia="仿宋" w:cs="仿宋"/>
        </w:rPr>
      </w:pPr>
    </w:p>
    <w:p w14:paraId="3F108C58">
      <w:pPr>
        <w:pStyle w:val="3"/>
        <w:rPr>
          <w:rFonts w:ascii="仿宋" w:hAnsi="仿宋" w:eastAsia="仿宋" w:cs="仿宋"/>
          <w:b w:val="0"/>
        </w:rPr>
      </w:pPr>
      <w:r>
        <w:rPr>
          <w:rFonts w:hint="eastAsia" w:ascii="仿宋" w:hAnsi="仿宋" w:eastAsia="仿宋" w:cs="仿宋"/>
        </w:rPr>
        <w:t>软件开发清单</w:t>
      </w:r>
    </w:p>
    <w:tbl>
      <w:tblPr>
        <w:tblStyle w:val="36"/>
        <w:tblW w:w="4998" w:type="pct"/>
        <w:jc w:val="center"/>
        <w:tblLayout w:type="autofit"/>
        <w:tblCellMar>
          <w:top w:w="0" w:type="dxa"/>
          <w:left w:w="108" w:type="dxa"/>
          <w:bottom w:w="0" w:type="dxa"/>
          <w:right w:w="108" w:type="dxa"/>
        </w:tblCellMar>
      </w:tblPr>
      <w:tblGrid>
        <w:gridCol w:w="1090"/>
        <w:gridCol w:w="2161"/>
        <w:gridCol w:w="5274"/>
      </w:tblGrid>
      <w:tr w14:paraId="53957471">
        <w:trPr>
          <w:tblHeader/>
          <w:jc w:val="center"/>
        </w:trPr>
        <w:tc>
          <w:tcPr>
            <w:tcW w:w="6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E4CFA0">
            <w:pPr>
              <w:widowControl/>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序号</w:t>
            </w:r>
          </w:p>
        </w:tc>
        <w:tc>
          <w:tcPr>
            <w:tcW w:w="1267" w:type="pct"/>
            <w:tcBorders>
              <w:top w:val="single" w:color="000000" w:sz="8" w:space="0"/>
              <w:left w:val="nil"/>
              <w:bottom w:val="single" w:color="000000" w:sz="8" w:space="0"/>
              <w:right w:val="single" w:color="000000" w:sz="8" w:space="0"/>
            </w:tcBorders>
            <w:shd w:val="clear" w:color="auto" w:fill="auto"/>
            <w:vAlign w:val="center"/>
          </w:tcPr>
          <w:p w14:paraId="7CFE2E26">
            <w:pPr>
              <w:widowControl/>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一级功能</w:t>
            </w:r>
          </w:p>
        </w:tc>
        <w:tc>
          <w:tcPr>
            <w:tcW w:w="3092" w:type="pct"/>
            <w:tcBorders>
              <w:top w:val="single" w:color="000000" w:sz="8" w:space="0"/>
              <w:left w:val="nil"/>
              <w:bottom w:val="single" w:color="000000" w:sz="8" w:space="0"/>
              <w:right w:val="single" w:color="000000" w:sz="8" w:space="0"/>
            </w:tcBorders>
            <w:shd w:val="clear" w:color="auto" w:fill="auto"/>
            <w:vAlign w:val="center"/>
          </w:tcPr>
          <w:p w14:paraId="3E3D5FEA">
            <w:pPr>
              <w:widowControl/>
              <w:spacing w:line="240" w:lineRule="auto"/>
              <w:ind w:firstLine="0" w:firstLineChars="0"/>
              <w:jc w:val="center"/>
              <w:textAlignment w:val="center"/>
              <w:rPr>
                <w:rFonts w:ascii="仿宋" w:hAnsi="仿宋" w:eastAsia="仿宋" w:cs="仿宋"/>
                <w:b/>
                <w:bCs/>
                <w:color w:val="000000"/>
                <w:sz w:val="21"/>
                <w:szCs w:val="21"/>
              </w:rPr>
            </w:pPr>
            <w:r>
              <w:rPr>
                <w:rFonts w:hint="eastAsia" w:ascii="仿宋" w:hAnsi="仿宋" w:eastAsia="仿宋" w:cs="仿宋"/>
                <w:b/>
                <w:bCs/>
                <w:color w:val="000000"/>
                <w:kern w:val="0"/>
                <w:sz w:val="21"/>
                <w:szCs w:val="21"/>
                <w:lang w:bidi="ar"/>
              </w:rPr>
              <w:t>二级功能</w:t>
            </w:r>
          </w:p>
        </w:tc>
      </w:tr>
      <w:tr w14:paraId="436F5454">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7A0E42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625C67A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多元储备</w:t>
            </w:r>
          </w:p>
        </w:tc>
        <w:tc>
          <w:tcPr>
            <w:tcW w:w="3092" w:type="pct"/>
            <w:tcBorders>
              <w:top w:val="nil"/>
              <w:left w:val="nil"/>
              <w:bottom w:val="single" w:color="000000" w:sz="8" w:space="0"/>
              <w:right w:val="single" w:color="000000" w:sz="8" w:space="0"/>
            </w:tcBorders>
            <w:shd w:val="clear" w:color="auto" w:fill="auto"/>
            <w:vAlign w:val="center"/>
          </w:tcPr>
          <w:p w14:paraId="0E007AA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静态储备管理</w:t>
            </w:r>
          </w:p>
        </w:tc>
      </w:tr>
      <w:tr w14:paraId="6B13F01B">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10302A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0B8A2008">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4CFB987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动态储备管理</w:t>
            </w:r>
          </w:p>
        </w:tc>
      </w:tr>
      <w:tr w14:paraId="165805D7">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6EF197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4DB0EC88">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76EF27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渠道储备管理</w:t>
            </w:r>
          </w:p>
        </w:tc>
      </w:tr>
      <w:tr w14:paraId="7EEA6450">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9E4B75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65A3ADA">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2E90AA8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储备安全监管拓展坞</w:t>
            </w:r>
          </w:p>
        </w:tc>
      </w:tr>
      <w:tr w14:paraId="0F62CD72">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117538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6EBAB91">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4A21D7D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视频远程监管</w:t>
            </w:r>
          </w:p>
        </w:tc>
      </w:tr>
      <w:tr w14:paraId="6C9A66A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C703C9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8D082AE">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2323EA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储备库点管理</w:t>
            </w:r>
          </w:p>
        </w:tc>
      </w:tr>
      <w:tr w14:paraId="3824DB84">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A611AA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A47D6B9">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1056C9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回收和报废管理</w:t>
            </w:r>
          </w:p>
        </w:tc>
      </w:tr>
      <w:tr w14:paraId="6298B1FF">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90622E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B76E55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B49359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数说物资</w:t>
            </w:r>
          </w:p>
        </w:tc>
      </w:tr>
      <w:tr w14:paraId="29B3F690">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6F177E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9</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4892955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采购筹措</w:t>
            </w:r>
          </w:p>
        </w:tc>
        <w:tc>
          <w:tcPr>
            <w:tcW w:w="3092" w:type="pct"/>
            <w:tcBorders>
              <w:top w:val="nil"/>
              <w:left w:val="nil"/>
              <w:bottom w:val="single" w:color="000000" w:sz="8" w:space="0"/>
              <w:right w:val="single" w:color="000000" w:sz="8" w:space="0"/>
            </w:tcBorders>
            <w:shd w:val="clear" w:color="auto" w:fill="auto"/>
            <w:vAlign w:val="center"/>
          </w:tcPr>
          <w:p w14:paraId="3A78071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采购计划管理</w:t>
            </w:r>
          </w:p>
        </w:tc>
      </w:tr>
      <w:tr w14:paraId="7F35D02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806AE8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10</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36358ED">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5573FC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采购任务执行</w:t>
            </w:r>
          </w:p>
        </w:tc>
      </w:tr>
      <w:tr w14:paraId="037BD1C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E7EC6A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11</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098AD5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2C3EE24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查看采购任务</w:t>
            </w:r>
          </w:p>
        </w:tc>
      </w:tr>
      <w:tr w14:paraId="3F0A1E4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02B8F2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2203039">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7E6DF1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供应商管理</w:t>
            </w:r>
          </w:p>
        </w:tc>
      </w:tr>
      <w:tr w14:paraId="15A07B6E">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2391D6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13</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428EEEC">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162C80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采购物资目录</w:t>
            </w:r>
          </w:p>
        </w:tc>
      </w:tr>
      <w:tr w14:paraId="01FD225B">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8ABD7F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14</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038A0B7C">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1E7503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紧急采购管理</w:t>
            </w:r>
          </w:p>
        </w:tc>
      </w:tr>
      <w:tr w14:paraId="4DDC5D81">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671B9E6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998A8BE">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08E4AE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采购价格监测</w:t>
            </w:r>
          </w:p>
        </w:tc>
      </w:tr>
      <w:tr w14:paraId="6E00B4AE">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9FBF2A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16</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7199EEB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产能监管</w:t>
            </w:r>
          </w:p>
        </w:tc>
        <w:tc>
          <w:tcPr>
            <w:tcW w:w="3092" w:type="pct"/>
            <w:tcBorders>
              <w:top w:val="nil"/>
              <w:left w:val="nil"/>
              <w:bottom w:val="single" w:color="000000" w:sz="8" w:space="0"/>
              <w:right w:val="single" w:color="000000" w:sz="8" w:space="0"/>
            </w:tcBorders>
            <w:shd w:val="clear" w:color="auto" w:fill="auto"/>
            <w:vAlign w:val="center"/>
          </w:tcPr>
          <w:p w14:paraId="3968368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产能信息填报</w:t>
            </w:r>
          </w:p>
        </w:tc>
      </w:tr>
      <w:tr w14:paraId="2FC04BFE">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C2056AC">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17</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FA9C7D8">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F648E9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产能清单名录管理</w:t>
            </w:r>
          </w:p>
        </w:tc>
      </w:tr>
      <w:tr w14:paraId="0E1F8EB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F302E2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18</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7666A68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调拨使用</w:t>
            </w:r>
          </w:p>
        </w:tc>
        <w:tc>
          <w:tcPr>
            <w:tcW w:w="3092" w:type="pct"/>
            <w:tcBorders>
              <w:top w:val="nil"/>
              <w:left w:val="nil"/>
              <w:bottom w:val="single" w:color="000000" w:sz="8" w:space="0"/>
              <w:right w:val="single" w:color="000000" w:sz="8" w:space="0"/>
            </w:tcBorders>
            <w:shd w:val="clear" w:color="auto" w:fill="auto"/>
            <w:vAlign w:val="center"/>
          </w:tcPr>
          <w:p w14:paraId="5B0FF46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调拨需求匹配</w:t>
            </w:r>
          </w:p>
        </w:tc>
      </w:tr>
      <w:tr w14:paraId="4D37BBC7">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6BB231D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19</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E2F8DAE">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715B0E1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物资调拨追踪</w:t>
            </w:r>
          </w:p>
        </w:tc>
      </w:tr>
      <w:tr w14:paraId="6F507920">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6E2BA93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20</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C07A0B6">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BAD382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音视频指挥调度</w:t>
            </w:r>
          </w:p>
        </w:tc>
      </w:tr>
      <w:tr w14:paraId="0094D2B9">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D43A0C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21</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267B0E1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应急物流</w:t>
            </w:r>
          </w:p>
        </w:tc>
        <w:tc>
          <w:tcPr>
            <w:tcW w:w="3092" w:type="pct"/>
            <w:tcBorders>
              <w:top w:val="nil"/>
              <w:left w:val="nil"/>
              <w:bottom w:val="single" w:color="000000" w:sz="8" w:space="0"/>
              <w:right w:val="single" w:color="000000" w:sz="8" w:space="0"/>
            </w:tcBorders>
            <w:shd w:val="clear" w:color="auto" w:fill="auto"/>
            <w:vAlign w:val="center"/>
          </w:tcPr>
          <w:p w14:paraId="59D94E1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运力清单</w:t>
            </w:r>
          </w:p>
        </w:tc>
      </w:tr>
      <w:tr w14:paraId="2DFE1EF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6864AFF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9BE74E2">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A970095">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物流追踪</w:t>
            </w:r>
          </w:p>
        </w:tc>
      </w:tr>
      <w:tr w14:paraId="3EAE5C5E">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8F76EA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23</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175C027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统筹管理</w:t>
            </w:r>
          </w:p>
        </w:tc>
        <w:tc>
          <w:tcPr>
            <w:tcW w:w="3092" w:type="pct"/>
            <w:tcBorders>
              <w:top w:val="nil"/>
              <w:left w:val="nil"/>
              <w:bottom w:val="single" w:color="000000" w:sz="8" w:space="0"/>
              <w:right w:val="single" w:color="000000" w:sz="8" w:space="0"/>
            </w:tcBorders>
            <w:shd w:val="clear" w:color="auto" w:fill="auto"/>
            <w:vAlign w:val="center"/>
          </w:tcPr>
          <w:p w14:paraId="3FD738E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物资分类标准管理</w:t>
            </w:r>
          </w:p>
        </w:tc>
      </w:tr>
      <w:tr w14:paraId="4C5365D4">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21A5E4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24</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08A0E694">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FBA622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任务提醒</w:t>
            </w:r>
          </w:p>
        </w:tc>
      </w:tr>
      <w:tr w14:paraId="02E2BCC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367647B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2A90453">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917D8B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自定义报表分析</w:t>
            </w:r>
          </w:p>
        </w:tc>
      </w:tr>
      <w:tr w14:paraId="628F270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F70EA45">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26</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9D839F4">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7340AC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业务考核类分析</w:t>
            </w:r>
          </w:p>
        </w:tc>
      </w:tr>
      <w:tr w14:paraId="52154BB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8D9E9A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27</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4AE4790A">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A044D4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储备类分析</w:t>
            </w:r>
          </w:p>
        </w:tc>
      </w:tr>
      <w:tr w14:paraId="45D34899">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605E0A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28</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A8748B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2FD9895">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调拨业务类分析</w:t>
            </w:r>
          </w:p>
        </w:tc>
      </w:tr>
      <w:tr w14:paraId="04A78D86">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594DF7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29</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4B4D8F74">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798529F5">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采购业务类分析</w:t>
            </w:r>
          </w:p>
        </w:tc>
      </w:tr>
      <w:tr w14:paraId="664B94D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AED085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30</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26620C9">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304B2C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储备规模变化分析</w:t>
            </w:r>
          </w:p>
        </w:tc>
      </w:tr>
      <w:tr w14:paraId="6311529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C9A1BC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31</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F28950F">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2EB2C5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业务操作分析</w:t>
            </w:r>
          </w:p>
        </w:tc>
      </w:tr>
      <w:tr w14:paraId="6DEEA6E9">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A9B035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7DAE955">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4436307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厂商集中度分析</w:t>
            </w:r>
          </w:p>
        </w:tc>
      </w:tr>
      <w:tr w14:paraId="28DA743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7863CB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33</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3D527DA">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366C68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平台访问分析</w:t>
            </w:r>
          </w:p>
        </w:tc>
      </w:tr>
      <w:tr w14:paraId="4A48C8A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FA9600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34</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7FD51A7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数字驾驶舱</w:t>
            </w:r>
          </w:p>
        </w:tc>
        <w:tc>
          <w:tcPr>
            <w:tcW w:w="3092" w:type="pct"/>
            <w:tcBorders>
              <w:top w:val="nil"/>
              <w:left w:val="nil"/>
              <w:bottom w:val="single" w:color="000000" w:sz="8" w:space="0"/>
              <w:right w:val="single" w:color="000000" w:sz="8" w:space="0"/>
            </w:tcBorders>
            <w:shd w:val="clear" w:color="auto" w:fill="auto"/>
            <w:vAlign w:val="center"/>
          </w:tcPr>
          <w:p w14:paraId="2D6657F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工作导航</w:t>
            </w:r>
          </w:p>
        </w:tc>
      </w:tr>
      <w:tr w14:paraId="15DB257F">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6545FA5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48A2CA3B">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28350A5C">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综合处置驾驶舱</w:t>
            </w:r>
          </w:p>
        </w:tc>
      </w:tr>
      <w:tr w14:paraId="48B11AF1">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33A23D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36</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87E03D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56617E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物资调拨追踪图</w:t>
            </w:r>
          </w:p>
        </w:tc>
      </w:tr>
      <w:tr w14:paraId="06D04149">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D6377B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37</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BF3FA4C">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9D6218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物资库点、库存及事件分布图</w:t>
            </w:r>
          </w:p>
        </w:tc>
      </w:tr>
      <w:tr w14:paraId="175292C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E6544D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38</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0E0DE1B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4598F09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物资储备一本账</w:t>
            </w:r>
          </w:p>
        </w:tc>
      </w:tr>
      <w:tr w14:paraId="0A52E950">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5D6499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39</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8D20983">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4CC3B065">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产能一张图</w:t>
            </w:r>
          </w:p>
        </w:tc>
      </w:tr>
      <w:tr w14:paraId="632DF4D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9CD54A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40</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4534E25B">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8DCA18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动态储备分布图</w:t>
            </w:r>
          </w:p>
        </w:tc>
      </w:tr>
      <w:tr w14:paraId="7F776C6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51791E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41</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24465AE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仓储管理系统</w:t>
            </w:r>
          </w:p>
        </w:tc>
        <w:tc>
          <w:tcPr>
            <w:tcW w:w="3092" w:type="pct"/>
            <w:tcBorders>
              <w:top w:val="nil"/>
              <w:left w:val="nil"/>
              <w:bottom w:val="single" w:color="000000" w:sz="8" w:space="0"/>
              <w:right w:val="single" w:color="000000" w:sz="8" w:space="0"/>
            </w:tcBorders>
            <w:shd w:val="clear" w:color="auto" w:fill="auto"/>
            <w:vAlign w:val="center"/>
          </w:tcPr>
          <w:p w14:paraId="3A198105">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首页</w:t>
            </w:r>
          </w:p>
        </w:tc>
      </w:tr>
      <w:tr w14:paraId="0CCCEE32">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3860E6C">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8E413D5">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0D9C0F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入库作业</w:t>
            </w:r>
          </w:p>
        </w:tc>
      </w:tr>
      <w:tr w14:paraId="6E0FE9EE">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CDAB08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43</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CB420DC">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55D79A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出库作业</w:t>
            </w:r>
          </w:p>
        </w:tc>
      </w:tr>
      <w:tr w14:paraId="58749F5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38E447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44</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3E6B1DA">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441B975">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临期管理</w:t>
            </w:r>
          </w:p>
        </w:tc>
      </w:tr>
      <w:tr w14:paraId="5CA24A06">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D126EC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7319B45">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51E760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仓储作业</w:t>
            </w:r>
          </w:p>
        </w:tc>
      </w:tr>
      <w:tr w14:paraId="637C3F22">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8FEA87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46</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C91A05E">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000000" w:fill="FFFFFF"/>
            <w:vAlign w:val="center"/>
          </w:tcPr>
          <w:p w14:paraId="39C2066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基于 RFID 的物资仓储管理</w:t>
            </w:r>
          </w:p>
        </w:tc>
      </w:tr>
      <w:tr w14:paraId="41971A47">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308EF18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47</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6D41996">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41E6780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保管作业</w:t>
            </w:r>
          </w:p>
        </w:tc>
      </w:tr>
      <w:tr w14:paraId="36B7F5BA">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CD7F40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48</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3BA83E4">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562B49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库存管理</w:t>
            </w:r>
          </w:p>
        </w:tc>
      </w:tr>
      <w:tr w14:paraId="2A36AE29">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A5AC2B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49</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6ED317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248F582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资料管理</w:t>
            </w:r>
          </w:p>
        </w:tc>
      </w:tr>
      <w:tr w14:paraId="0433D97D">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EC41F6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50</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4F4A6D4">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8B0DDA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物资编码</w:t>
            </w:r>
          </w:p>
        </w:tc>
      </w:tr>
      <w:tr w14:paraId="05DB01BF">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42B3C0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51</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9AA5AB8">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767029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作业记录</w:t>
            </w:r>
          </w:p>
        </w:tc>
      </w:tr>
      <w:tr w14:paraId="1E81DF1A">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3DDEBA4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49D10FC">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8A1493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实时监控</w:t>
            </w:r>
          </w:p>
        </w:tc>
      </w:tr>
      <w:tr w14:paraId="3A7F91B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758BD6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53</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267649A">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000000" w:fill="FFFFFF"/>
            <w:vAlign w:val="center"/>
          </w:tcPr>
          <w:p w14:paraId="738B1A5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数据看板</w:t>
            </w:r>
          </w:p>
        </w:tc>
      </w:tr>
      <w:tr w14:paraId="1717FF4D">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B06063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54</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4128C1DF">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000000" w:fill="FFFFFF"/>
            <w:vAlign w:val="center"/>
          </w:tcPr>
          <w:p w14:paraId="53A25EB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标签管理</w:t>
            </w:r>
          </w:p>
        </w:tc>
      </w:tr>
      <w:tr w14:paraId="05F1A9C2">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EA9F3A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8F44C58">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000000" w:fill="FFFFFF"/>
            <w:vAlign w:val="center"/>
          </w:tcPr>
          <w:p w14:paraId="3F21922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基础数据管理</w:t>
            </w:r>
          </w:p>
        </w:tc>
      </w:tr>
      <w:tr w14:paraId="2E50002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30A300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56</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58E21B8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监管端（随申办政务云）</w:t>
            </w:r>
          </w:p>
        </w:tc>
        <w:tc>
          <w:tcPr>
            <w:tcW w:w="3092" w:type="pct"/>
            <w:tcBorders>
              <w:top w:val="nil"/>
              <w:left w:val="nil"/>
              <w:bottom w:val="single" w:color="000000" w:sz="8" w:space="0"/>
              <w:right w:val="single" w:color="000000" w:sz="8" w:space="0"/>
            </w:tcBorders>
            <w:shd w:val="clear" w:color="auto" w:fill="auto"/>
            <w:vAlign w:val="center"/>
          </w:tcPr>
          <w:p w14:paraId="75468B0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工作台</w:t>
            </w:r>
          </w:p>
        </w:tc>
      </w:tr>
      <w:tr w14:paraId="5B30EE31">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E22C0FE">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57</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652AE89">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4CFE849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多元储备</w:t>
            </w:r>
          </w:p>
        </w:tc>
      </w:tr>
      <w:tr w14:paraId="6EFC3DEE">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F2EB22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58</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D747E25">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3918297C">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调拨使用</w:t>
            </w:r>
          </w:p>
        </w:tc>
      </w:tr>
      <w:tr w14:paraId="50250ACC">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DE0C30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59</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12A6CF38">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仓储管理系统（小程序）</w:t>
            </w:r>
          </w:p>
        </w:tc>
        <w:tc>
          <w:tcPr>
            <w:tcW w:w="3092" w:type="pct"/>
            <w:tcBorders>
              <w:top w:val="nil"/>
              <w:left w:val="nil"/>
              <w:bottom w:val="single" w:color="000000" w:sz="8" w:space="0"/>
              <w:right w:val="single" w:color="000000" w:sz="8" w:space="0"/>
            </w:tcBorders>
            <w:shd w:val="clear" w:color="auto" w:fill="auto"/>
            <w:vAlign w:val="center"/>
          </w:tcPr>
          <w:p w14:paraId="24684B7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工作台</w:t>
            </w:r>
          </w:p>
        </w:tc>
      </w:tr>
      <w:tr w14:paraId="612FCB9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381C0EC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60</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76F938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7E7B747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入库作业</w:t>
            </w:r>
          </w:p>
        </w:tc>
      </w:tr>
      <w:tr w14:paraId="3E04193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1A1B83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61</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342512D0">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D4F809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出库作业</w:t>
            </w:r>
          </w:p>
        </w:tc>
      </w:tr>
      <w:tr w14:paraId="6DD1F3F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3E47858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8DAF6B8">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337C6C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库存管理</w:t>
            </w:r>
          </w:p>
        </w:tc>
      </w:tr>
      <w:tr w14:paraId="1C4DEFC6">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A8960F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63</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3599E8C">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024514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保管作业</w:t>
            </w:r>
          </w:p>
        </w:tc>
      </w:tr>
      <w:tr w14:paraId="22EB4B6E">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4F44B8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64</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B018621">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48379F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作业记录</w:t>
            </w:r>
          </w:p>
        </w:tc>
      </w:tr>
      <w:tr w14:paraId="2B6FF416">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37B98C1C">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6440DD25">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2770BF8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物资标准管理</w:t>
            </w:r>
          </w:p>
        </w:tc>
      </w:tr>
      <w:tr w14:paraId="697A55A4">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00F3AE43">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66</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1F70F1A5">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000000" w:fill="FFFFFF"/>
            <w:vAlign w:val="center"/>
          </w:tcPr>
          <w:p w14:paraId="4AF30E5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手持机端应用</w:t>
            </w:r>
          </w:p>
        </w:tc>
      </w:tr>
      <w:tr w14:paraId="01FADE38">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5346CE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67</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17431BE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运物资（微信小程序）</w:t>
            </w:r>
          </w:p>
        </w:tc>
        <w:tc>
          <w:tcPr>
            <w:tcW w:w="3092" w:type="pct"/>
            <w:tcBorders>
              <w:top w:val="nil"/>
              <w:left w:val="nil"/>
              <w:bottom w:val="single" w:color="000000" w:sz="8" w:space="0"/>
              <w:right w:val="single" w:color="000000" w:sz="8" w:space="0"/>
            </w:tcBorders>
            <w:shd w:val="clear" w:color="auto" w:fill="auto"/>
            <w:vAlign w:val="center"/>
          </w:tcPr>
          <w:p w14:paraId="0492776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物资接单</w:t>
            </w:r>
          </w:p>
        </w:tc>
      </w:tr>
      <w:tr w14:paraId="6D4C0541">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02BC83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68</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AAD80FC">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D3A368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取货交接</w:t>
            </w:r>
          </w:p>
        </w:tc>
      </w:tr>
      <w:tr w14:paraId="44733FD5">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87291D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69</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E50B47F">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7929677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到货交接</w:t>
            </w:r>
          </w:p>
        </w:tc>
      </w:tr>
      <w:tr w14:paraId="5CFE27A5">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464B51C">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70</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7684A7C5">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A251E0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签收管理</w:t>
            </w:r>
          </w:p>
        </w:tc>
      </w:tr>
      <w:tr w14:paraId="1F444825">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D43BFC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71</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4B202EA6">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基础管理后台</w:t>
            </w:r>
          </w:p>
        </w:tc>
        <w:tc>
          <w:tcPr>
            <w:tcW w:w="3092" w:type="pct"/>
            <w:tcBorders>
              <w:top w:val="nil"/>
              <w:left w:val="nil"/>
              <w:bottom w:val="single" w:color="000000" w:sz="8" w:space="0"/>
              <w:right w:val="single" w:color="000000" w:sz="8" w:space="0"/>
            </w:tcBorders>
            <w:shd w:val="clear" w:color="auto" w:fill="auto"/>
            <w:vAlign w:val="center"/>
          </w:tcPr>
          <w:p w14:paraId="2CAA607C">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用户管理</w:t>
            </w:r>
          </w:p>
        </w:tc>
      </w:tr>
      <w:tr w14:paraId="642A53CF">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199077C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72</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64FD9F2">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5068EBC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权限管理</w:t>
            </w:r>
          </w:p>
        </w:tc>
      </w:tr>
      <w:tr w14:paraId="13D21F62">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6DE2B94">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73</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43A9E83">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7DFE7F2">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任务调度</w:t>
            </w:r>
          </w:p>
        </w:tc>
      </w:tr>
      <w:tr w14:paraId="32B40C9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7F0ABEB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74</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A43D463">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7737CCA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日志管理</w:t>
            </w:r>
          </w:p>
        </w:tc>
      </w:tr>
      <w:tr w14:paraId="13341810">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4053237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75</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08471AF">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040A1E2B">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流媒体转码服务</w:t>
            </w:r>
          </w:p>
        </w:tc>
      </w:tr>
      <w:tr w14:paraId="0099F7F3">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508BD96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76</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201F479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6B0A2E2A">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流媒体网络质量分析</w:t>
            </w:r>
          </w:p>
        </w:tc>
      </w:tr>
      <w:tr w14:paraId="46545E52">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DC9CDF7">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77</w:t>
            </w:r>
          </w:p>
        </w:tc>
        <w:tc>
          <w:tcPr>
            <w:tcW w:w="1267" w:type="pct"/>
            <w:vMerge w:val="restart"/>
            <w:tcBorders>
              <w:top w:val="nil"/>
              <w:left w:val="single" w:color="000000" w:sz="8" w:space="0"/>
              <w:bottom w:val="single" w:color="000000" w:sz="8" w:space="0"/>
              <w:right w:val="single" w:color="000000" w:sz="8" w:space="0"/>
            </w:tcBorders>
            <w:shd w:val="clear" w:color="auto" w:fill="auto"/>
            <w:vAlign w:val="center"/>
          </w:tcPr>
          <w:p w14:paraId="31EF486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数据支撑模块</w:t>
            </w:r>
          </w:p>
        </w:tc>
        <w:tc>
          <w:tcPr>
            <w:tcW w:w="3092" w:type="pct"/>
            <w:tcBorders>
              <w:top w:val="nil"/>
              <w:left w:val="nil"/>
              <w:bottom w:val="single" w:color="000000" w:sz="8" w:space="0"/>
              <w:right w:val="single" w:color="000000" w:sz="8" w:space="0"/>
            </w:tcBorders>
            <w:shd w:val="clear" w:color="auto" w:fill="auto"/>
            <w:vAlign w:val="center"/>
          </w:tcPr>
          <w:p w14:paraId="43B9B4A8">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库点数据接入</w:t>
            </w:r>
          </w:p>
        </w:tc>
      </w:tr>
      <w:tr w14:paraId="1DBC355A">
        <w:tblPrEx>
          <w:tblCellMar>
            <w:top w:w="0" w:type="dxa"/>
            <w:left w:w="108" w:type="dxa"/>
            <w:bottom w:w="0" w:type="dxa"/>
            <w:right w:w="108" w:type="dxa"/>
          </w:tblCellMar>
        </w:tblPrEx>
        <w:trPr>
          <w:jc w:val="center"/>
        </w:trPr>
        <w:tc>
          <w:tcPr>
            <w:tcW w:w="639" w:type="pct"/>
            <w:tcBorders>
              <w:top w:val="nil"/>
              <w:left w:val="single" w:color="000000" w:sz="8" w:space="0"/>
              <w:bottom w:val="single" w:color="000000" w:sz="8" w:space="0"/>
              <w:right w:val="single" w:color="000000" w:sz="8" w:space="0"/>
            </w:tcBorders>
            <w:shd w:val="clear" w:color="auto" w:fill="auto"/>
            <w:vAlign w:val="center"/>
          </w:tcPr>
          <w:p w14:paraId="2DB3444F">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78</w:t>
            </w:r>
          </w:p>
        </w:tc>
        <w:tc>
          <w:tcPr>
            <w:tcW w:w="1267" w:type="pct"/>
            <w:vMerge w:val="continue"/>
            <w:tcBorders>
              <w:top w:val="nil"/>
              <w:left w:val="single" w:color="000000" w:sz="8" w:space="0"/>
              <w:bottom w:val="single" w:color="000000" w:sz="8" w:space="0"/>
              <w:right w:val="single" w:color="000000" w:sz="8" w:space="0"/>
            </w:tcBorders>
            <w:shd w:val="clear" w:color="auto" w:fill="auto"/>
            <w:vAlign w:val="center"/>
          </w:tcPr>
          <w:p w14:paraId="51506057">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000000" w:sz="8" w:space="0"/>
              <w:right w:val="single" w:color="000000" w:sz="8" w:space="0"/>
            </w:tcBorders>
            <w:shd w:val="clear" w:color="auto" w:fill="auto"/>
            <w:vAlign w:val="center"/>
          </w:tcPr>
          <w:p w14:paraId="138CDB0D">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数据主题库</w:t>
            </w:r>
          </w:p>
        </w:tc>
      </w:tr>
      <w:tr w14:paraId="3584F113">
        <w:tblPrEx>
          <w:tblCellMar>
            <w:top w:w="0" w:type="dxa"/>
            <w:left w:w="108" w:type="dxa"/>
            <w:bottom w:w="0" w:type="dxa"/>
            <w:right w:w="108" w:type="dxa"/>
          </w:tblCellMar>
        </w:tblPrEx>
        <w:trPr>
          <w:jc w:val="center"/>
        </w:trPr>
        <w:tc>
          <w:tcPr>
            <w:tcW w:w="639" w:type="pct"/>
            <w:tcBorders>
              <w:top w:val="nil"/>
              <w:left w:val="single" w:color="000000" w:sz="8" w:space="0"/>
              <w:bottom w:val="single" w:color="auto" w:sz="4" w:space="0"/>
              <w:right w:val="single" w:color="000000" w:sz="8" w:space="0"/>
            </w:tcBorders>
            <w:shd w:val="clear" w:color="auto" w:fill="auto"/>
            <w:vAlign w:val="center"/>
          </w:tcPr>
          <w:p w14:paraId="585776F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79</w:t>
            </w:r>
          </w:p>
        </w:tc>
        <w:tc>
          <w:tcPr>
            <w:tcW w:w="1267" w:type="pct"/>
            <w:vMerge w:val="continue"/>
            <w:tcBorders>
              <w:top w:val="nil"/>
              <w:left w:val="single" w:color="000000" w:sz="8" w:space="0"/>
              <w:bottom w:val="single" w:color="auto" w:sz="4" w:space="0"/>
              <w:right w:val="single" w:color="000000" w:sz="8" w:space="0"/>
            </w:tcBorders>
            <w:shd w:val="clear" w:color="auto" w:fill="auto"/>
            <w:vAlign w:val="center"/>
          </w:tcPr>
          <w:p w14:paraId="2E7ACCB3">
            <w:pPr>
              <w:spacing w:line="240" w:lineRule="auto"/>
              <w:ind w:firstLine="0" w:firstLineChars="0"/>
              <w:jc w:val="center"/>
              <w:rPr>
                <w:rFonts w:ascii="仿宋" w:hAnsi="仿宋" w:eastAsia="仿宋" w:cs="仿宋"/>
                <w:color w:val="000000"/>
                <w:sz w:val="21"/>
                <w:szCs w:val="21"/>
              </w:rPr>
            </w:pPr>
          </w:p>
        </w:tc>
        <w:tc>
          <w:tcPr>
            <w:tcW w:w="3092" w:type="pct"/>
            <w:tcBorders>
              <w:top w:val="nil"/>
              <w:left w:val="nil"/>
              <w:bottom w:val="single" w:color="auto" w:sz="4" w:space="0"/>
              <w:right w:val="single" w:color="000000" w:sz="8" w:space="0"/>
            </w:tcBorders>
            <w:shd w:val="clear" w:color="auto" w:fill="auto"/>
            <w:vAlign w:val="center"/>
          </w:tcPr>
          <w:p w14:paraId="380BBE01">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数据服务</w:t>
            </w:r>
          </w:p>
        </w:tc>
      </w:tr>
      <w:tr w14:paraId="4AC00D18">
        <w:tblPrEx>
          <w:tblCellMar>
            <w:top w:w="0" w:type="dxa"/>
            <w:left w:w="108" w:type="dxa"/>
            <w:bottom w:w="0" w:type="dxa"/>
            <w:right w:w="108" w:type="dxa"/>
          </w:tblCellMar>
        </w:tblPrEx>
        <w:trPr>
          <w:jc w:val="center"/>
        </w:trPr>
        <w:tc>
          <w:tcPr>
            <w:tcW w:w="639" w:type="pct"/>
            <w:tcBorders>
              <w:top w:val="single" w:color="auto" w:sz="4" w:space="0"/>
              <w:left w:val="single" w:color="000000" w:sz="8" w:space="0"/>
              <w:bottom w:val="single" w:color="auto" w:sz="4" w:space="0"/>
              <w:right w:val="single" w:color="000000" w:sz="8" w:space="0"/>
            </w:tcBorders>
            <w:shd w:val="clear" w:color="auto" w:fill="auto"/>
            <w:vAlign w:val="center"/>
          </w:tcPr>
          <w:p w14:paraId="48212F08">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80</w:t>
            </w:r>
          </w:p>
        </w:tc>
        <w:tc>
          <w:tcPr>
            <w:tcW w:w="1267" w:type="pct"/>
            <w:tcBorders>
              <w:top w:val="single" w:color="auto" w:sz="4" w:space="0"/>
              <w:left w:val="nil"/>
              <w:bottom w:val="single" w:color="auto" w:sz="4" w:space="0"/>
              <w:right w:val="single" w:color="000000" w:sz="8" w:space="0"/>
            </w:tcBorders>
            <w:shd w:val="clear" w:color="auto" w:fill="auto"/>
            <w:vAlign w:val="center"/>
          </w:tcPr>
          <w:p w14:paraId="3C162A89">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接口服务</w:t>
            </w:r>
          </w:p>
        </w:tc>
        <w:tc>
          <w:tcPr>
            <w:tcW w:w="3092" w:type="pct"/>
            <w:tcBorders>
              <w:top w:val="single" w:color="auto" w:sz="4" w:space="0"/>
              <w:left w:val="nil"/>
              <w:bottom w:val="single" w:color="auto" w:sz="4" w:space="0"/>
              <w:right w:val="single" w:color="000000" w:sz="8" w:space="0"/>
            </w:tcBorders>
            <w:shd w:val="clear" w:color="auto" w:fill="auto"/>
            <w:vAlign w:val="center"/>
          </w:tcPr>
          <w:p w14:paraId="396AA170">
            <w:pPr>
              <w:widowControl/>
              <w:spacing w:line="240" w:lineRule="auto"/>
              <w:ind w:firstLine="0" w:firstLineChars="0"/>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数据接口</w:t>
            </w:r>
          </w:p>
        </w:tc>
      </w:tr>
      <w:tr w14:paraId="71AE6823">
        <w:tblPrEx>
          <w:tblCellMar>
            <w:top w:w="0" w:type="dxa"/>
            <w:left w:w="108" w:type="dxa"/>
            <w:bottom w:w="0" w:type="dxa"/>
            <w:right w:w="108" w:type="dxa"/>
          </w:tblCellMar>
        </w:tblPrEx>
        <w:trPr>
          <w:jc w:val="center"/>
        </w:trPr>
        <w:tc>
          <w:tcPr>
            <w:tcW w:w="639" w:type="pct"/>
            <w:tcBorders>
              <w:top w:val="single" w:color="auto" w:sz="4" w:space="0"/>
              <w:left w:val="single" w:color="000000" w:sz="8" w:space="0"/>
              <w:bottom w:val="single" w:color="000000" w:sz="8" w:space="0"/>
              <w:right w:val="single" w:color="000000" w:sz="8" w:space="0"/>
            </w:tcBorders>
            <w:shd w:val="clear" w:color="auto" w:fill="auto"/>
            <w:vAlign w:val="center"/>
          </w:tcPr>
          <w:p w14:paraId="44C32F87">
            <w:pPr>
              <w:widowControl/>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81</w:t>
            </w:r>
          </w:p>
        </w:tc>
        <w:tc>
          <w:tcPr>
            <w:tcW w:w="1267" w:type="pct"/>
            <w:tcBorders>
              <w:top w:val="single" w:color="auto" w:sz="4" w:space="0"/>
              <w:left w:val="nil"/>
              <w:bottom w:val="single" w:color="000000" w:sz="8" w:space="0"/>
              <w:right w:val="single" w:color="000000" w:sz="8" w:space="0"/>
            </w:tcBorders>
            <w:shd w:val="clear" w:color="auto" w:fill="auto"/>
            <w:vAlign w:val="center"/>
          </w:tcPr>
          <w:p w14:paraId="0F0337C5">
            <w:pPr>
              <w:widowControl/>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密码应用功能模块开发</w:t>
            </w:r>
          </w:p>
        </w:tc>
        <w:tc>
          <w:tcPr>
            <w:tcW w:w="3092" w:type="pct"/>
            <w:tcBorders>
              <w:top w:val="single" w:color="auto" w:sz="4" w:space="0"/>
              <w:left w:val="nil"/>
              <w:bottom w:val="single" w:color="000000" w:sz="8" w:space="0"/>
              <w:right w:val="single" w:color="000000" w:sz="8" w:space="0"/>
            </w:tcBorders>
            <w:shd w:val="clear" w:color="auto" w:fill="auto"/>
            <w:vAlign w:val="center"/>
          </w:tcPr>
          <w:p w14:paraId="097F3F5C">
            <w:pPr>
              <w:widowControl/>
              <w:spacing w:line="240" w:lineRule="auto"/>
              <w:ind w:firstLine="0" w:firstLineChars="0"/>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用户身份认证机制模块，业务重要数据安全传输模块，服务器虚拟机设备日志/访问控制信息完整性模块，重要可执行程序签名验签模块，用户访问控制信息签名验签模块，应用系统重要数据加解密模块，应用系统重要数据签名验签模块，完整性保护工具</w:t>
            </w:r>
          </w:p>
        </w:tc>
      </w:tr>
    </w:tbl>
    <w:p w14:paraId="4ADDFE00">
      <w:pPr>
        <w:ind w:firstLine="0" w:firstLineChars="0"/>
        <w:rPr>
          <w:rFonts w:ascii="仿宋" w:hAnsi="仿宋" w:eastAsia="仿宋" w:cs="仿宋"/>
          <w:b/>
        </w:rPr>
      </w:pPr>
    </w:p>
    <w:p w14:paraId="4166266F">
      <w:pPr>
        <w:pStyle w:val="3"/>
        <w:rPr>
          <w:rFonts w:ascii="仿宋" w:hAnsi="仿宋" w:eastAsia="仿宋" w:cs="仿宋"/>
          <w:b w:val="0"/>
        </w:rPr>
      </w:pPr>
      <w:r>
        <w:rPr>
          <w:rFonts w:hint="eastAsia" w:ascii="仿宋" w:hAnsi="仿宋" w:eastAsia="仿宋" w:cs="仿宋"/>
        </w:rPr>
        <w:t>硬件购置清单</w:t>
      </w:r>
    </w:p>
    <w:tbl>
      <w:tblPr>
        <w:tblStyle w:val="36"/>
        <w:tblW w:w="4998" w:type="pct"/>
        <w:tblInd w:w="0" w:type="dxa"/>
        <w:tblLayout w:type="autofit"/>
        <w:tblCellMar>
          <w:top w:w="0" w:type="dxa"/>
          <w:left w:w="108" w:type="dxa"/>
          <w:bottom w:w="0" w:type="dxa"/>
          <w:right w:w="108" w:type="dxa"/>
        </w:tblCellMar>
      </w:tblPr>
      <w:tblGrid>
        <w:gridCol w:w="1325"/>
        <w:gridCol w:w="1325"/>
        <w:gridCol w:w="4680"/>
        <w:gridCol w:w="1195"/>
      </w:tblGrid>
      <w:tr w14:paraId="069252D1">
        <w:tblPrEx>
          <w:tblCellMar>
            <w:top w:w="0" w:type="dxa"/>
            <w:left w:w="108" w:type="dxa"/>
            <w:bottom w:w="0" w:type="dxa"/>
            <w:right w:w="108" w:type="dxa"/>
          </w:tblCellMar>
        </w:tblPrEx>
        <w:trPr>
          <w:trHeight w:val="54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D4167">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产品大类</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AE0F">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产品小类</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64A4">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产品配置</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DD6B2">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数量</w:t>
            </w:r>
          </w:p>
        </w:tc>
      </w:tr>
      <w:tr w14:paraId="3F4FB64D">
        <w:tblPrEx>
          <w:tblCellMar>
            <w:top w:w="0" w:type="dxa"/>
            <w:left w:w="108" w:type="dxa"/>
            <w:bottom w:w="0" w:type="dxa"/>
            <w:right w:w="108" w:type="dxa"/>
          </w:tblCellMar>
        </w:tblPrEx>
        <w:trPr>
          <w:trHeight w:val="84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FE1FC">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RFID设备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D5404">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RFID标签移动读写设备</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D04A2">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5.2寸1080P高分辨率触摸显示屏，1300万像素彩色摄像头，精准虹膜识别功能，精确度FAR≤1/10000000,8000mah；读卡距离：3-5米；支持物资仓储管理系统嵌入</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72E6">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5</w:t>
            </w:r>
          </w:p>
        </w:tc>
      </w:tr>
      <w:tr w14:paraId="3E8D41C3">
        <w:tblPrEx>
          <w:tblCellMar>
            <w:top w:w="0" w:type="dxa"/>
            <w:left w:w="108" w:type="dxa"/>
            <w:bottom w:w="0" w:type="dxa"/>
            <w:right w:w="108" w:type="dxa"/>
          </w:tblCellMar>
        </w:tblPrEx>
        <w:trPr>
          <w:trHeight w:val="56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6C28">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机房建设</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1F9C">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环境监控系统</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C7EDC">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温湿度传感器：</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仓内温湿度传感器，采用数字式温、湿度一体化探头，防尘、防腐蚀</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99EF">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42</w:t>
            </w:r>
          </w:p>
        </w:tc>
      </w:tr>
      <w:tr w14:paraId="5B9C0EC4">
        <w:tblPrEx>
          <w:tblCellMar>
            <w:top w:w="0" w:type="dxa"/>
            <w:left w:w="108" w:type="dxa"/>
            <w:bottom w:w="0" w:type="dxa"/>
            <w:right w:w="108" w:type="dxa"/>
          </w:tblCellMar>
        </w:tblPrEx>
        <w:trPr>
          <w:trHeight w:val="28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0AACF">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网络设备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5A04B">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交换机</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30F99">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串口服务器：</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支持RS232/482/422三种串口接口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具备接线端子、电源插头两种电源接线方式，支持9-24V宽压供电</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支持TCP、UDP等多种通讯模式</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3CD1">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42</w:t>
            </w:r>
          </w:p>
        </w:tc>
      </w:tr>
      <w:tr w14:paraId="41D03079">
        <w:tblPrEx>
          <w:tblCellMar>
            <w:top w:w="0" w:type="dxa"/>
            <w:left w:w="108" w:type="dxa"/>
            <w:bottom w:w="0" w:type="dxa"/>
            <w:right w:w="108" w:type="dxa"/>
          </w:tblCellMar>
        </w:tblPrEx>
        <w:trPr>
          <w:trHeight w:val="28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F6453">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网络设备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885F0">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无线AP</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73476">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工作模式可支持胖/瘦AP两种工作模式，支持802.11ac协议，接入速率1267Mbps，1个千兆电口，</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5866">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40</w:t>
            </w:r>
          </w:p>
        </w:tc>
      </w:tr>
      <w:tr w14:paraId="6CBCB5F4">
        <w:tblPrEx>
          <w:tblCellMar>
            <w:top w:w="0" w:type="dxa"/>
            <w:left w:w="108" w:type="dxa"/>
            <w:bottom w:w="0" w:type="dxa"/>
            <w:right w:w="108" w:type="dxa"/>
          </w:tblCellMar>
        </w:tblPrEx>
        <w:trPr>
          <w:trHeight w:val="56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6F9D">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网络设备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6DC30">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无线控制器</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9E48B">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1.接口：≥5个千兆电口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2.网关：集成网关和AC双功能,内置蓝牙功能</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3.用户认证：支持微信连WIFI、MAC地址、Portal、内置QQ、内置邮箱认证。</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4.VPN：支持L2TP、SSLVPN，实配≥5个客户端的SSLVPN授权</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5.AP管理：实配最大管理AP数量≥8</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6.AP漫游：支持二层漫游、支持三层漫游</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7.支持无线终端负载均衡、无线调优自学习、智能信道调整功能、无线链路层安全监控防御、支持无线定位；支持深度包检测；</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90CC">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3</w:t>
            </w:r>
          </w:p>
        </w:tc>
      </w:tr>
      <w:tr w14:paraId="7AEA20DB">
        <w:tblPrEx>
          <w:tblCellMar>
            <w:top w:w="0" w:type="dxa"/>
            <w:left w:w="108" w:type="dxa"/>
            <w:bottom w:w="0" w:type="dxa"/>
            <w:right w:w="108" w:type="dxa"/>
          </w:tblCellMar>
        </w:tblPrEx>
        <w:trPr>
          <w:trHeight w:val="28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D354C">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网络设备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26E91">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交换机</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86EDE">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核心交换机：</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包转发率：108Mpps/126Mpps</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业务端口描述：24个10/100/1000Base-T自适应以太网端口，4个千兆SFP口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支持GE端口聚合；支持静态聚合；支持动态聚合；支持跨设备聚合</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vlan：支持基于端口的VLAN、支持QinQ、灵活QinQ、支持VoiceVLAN、支持协议VLAN、支持MACVLAN</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DHCP：支持DHCPClient、支持DHCPSnooping、支持DHCPRelay、支持DHCPServer、支持DHCPOption82</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DNS：支持静态域名解析、支持动态域名解析客户端、支持IPv4和IPv6地址</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0B58">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3</w:t>
            </w:r>
          </w:p>
        </w:tc>
      </w:tr>
      <w:tr w14:paraId="61287222">
        <w:tblPrEx>
          <w:tblCellMar>
            <w:top w:w="0" w:type="dxa"/>
            <w:left w:w="108" w:type="dxa"/>
            <w:bottom w:w="0" w:type="dxa"/>
            <w:right w:w="108" w:type="dxa"/>
          </w:tblCellMar>
        </w:tblPrEx>
        <w:trPr>
          <w:trHeight w:val="28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B755D">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主机</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21162">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PC服务器</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909B">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防火墙：</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带机量≥200个</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接口：1个配置口（CON）、1个RJ45管理口、2个外置USBhost接口、7个千兆以太电口、2个千兆Bypass接口、2个Combo接口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可以防御Land、Smurf、Fraggle、Ping of Death、Tear Drop、IP Spoofing、IP分片报文、ARP欺骗、ARP主动反向查询、TCP报文标志位不合法超大ICMP报文、地址扫描、端口扫描、SYN Flood、UPD Flood、ICMP Flood、DNS Flood等多种恶意攻击；基础和扩展的访问控制列表、基于时间段的访问控制列表、基于用户、应用的访问控制列表、ASPF应用层报文过滤、静态和动态黑名单功能、MAC和IP绑定功能、基于MAC的访问控制列表、支持802.1q VLAN 透传</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5707">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3</w:t>
            </w:r>
          </w:p>
        </w:tc>
      </w:tr>
      <w:tr w14:paraId="50E11996">
        <w:tblPrEx>
          <w:tblCellMar>
            <w:top w:w="0" w:type="dxa"/>
            <w:left w:w="108" w:type="dxa"/>
            <w:bottom w:w="0" w:type="dxa"/>
            <w:right w:w="108" w:type="dxa"/>
          </w:tblCellMar>
        </w:tblPrEx>
        <w:trPr>
          <w:trHeight w:val="56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F688D">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音视频监控设备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E022">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摄像机</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55C4F">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球机摄像头监控：</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【200万7寸23倍红外网络球机】</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支持区域入侵侦测，越界侦测，进入区域侦测和离开区域侦等智能侦测并联动跟踪</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采用高效补光阵列，低功耗，红外补光150m</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内置加热玻璃，有效除雾</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传感器类型:1/2.8＂progressivescanCMOS</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最低照度:彩色：0.005Lux@（F1.6，AGCON）；黑白：0.001Lux@（F1.6，AGCON）；0LuxwithIR</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宽动态:120dB超宽动态</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0203">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3</w:t>
            </w:r>
          </w:p>
        </w:tc>
      </w:tr>
      <w:tr w14:paraId="0E013B0C">
        <w:tblPrEx>
          <w:tblCellMar>
            <w:top w:w="0" w:type="dxa"/>
            <w:left w:w="108" w:type="dxa"/>
            <w:bottom w:w="0" w:type="dxa"/>
            <w:right w:w="108" w:type="dxa"/>
          </w:tblCellMar>
        </w:tblPrEx>
        <w:trPr>
          <w:trHeight w:val="28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F69EE">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存储设备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FB285">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硬盘</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050BD">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4T监控级硬盘：</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4TB容量，3.5英寸 SATA 3.0接口，5400RPM</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33E2">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4</w:t>
            </w:r>
          </w:p>
        </w:tc>
      </w:tr>
      <w:tr w14:paraId="02C49EFD">
        <w:tblPrEx>
          <w:tblCellMar>
            <w:top w:w="0" w:type="dxa"/>
            <w:left w:w="108" w:type="dxa"/>
            <w:bottom w:w="0" w:type="dxa"/>
            <w:right w:w="108" w:type="dxa"/>
          </w:tblCellMar>
        </w:tblPrEx>
        <w:trPr>
          <w:trHeight w:val="56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2FBF2">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音视频监控设备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862C9">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摄像机</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273C4">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枪机摄像头监控：</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200万 1/2.7”CMOS ICR红外阵列筒型网络摄像机</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最低照度: 彩色：0.01 Lux @（F1.2, AGC ON），0 Lux with IR</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宽动态: 数字宽动态</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补光灯类型: 红外光，最远可达30 m</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视频压缩标准:</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主码流：H.265/H.264</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子码流：H.265/H.264/MJPEG</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供电方式: DC：12 V ± 25%，支持防反接保护; PoE ：802.3af，Class 3</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电流及功耗: DC：12 V，0.34 A，最大功耗：4 W; PoE：802.3af，36 V~57 V，0.14 A to 0.09 A，最大功耗：5 W</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防护: IP67</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E944">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20</w:t>
            </w:r>
          </w:p>
        </w:tc>
      </w:tr>
      <w:tr w14:paraId="37FFC6CD">
        <w:tblPrEx>
          <w:tblCellMar>
            <w:top w:w="0" w:type="dxa"/>
            <w:left w:w="108" w:type="dxa"/>
            <w:bottom w:w="0" w:type="dxa"/>
            <w:right w:w="108" w:type="dxa"/>
          </w:tblCellMar>
        </w:tblPrEx>
        <w:trPr>
          <w:trHeight w:val="56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3F5C0">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音视频监控设备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7962D">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硬盘录象机</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91B81">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2U机箱</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2个HDMI，2个VGA，支持异源输出</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8盘位，可满配8T硬盘</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2个RJ45 10M/100M/1000M自适应以太网口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2个USB2.0接口、1个USB3.0接口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1个RS-485全双工串行接口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1个RS-232串行接口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报警IO：16进4出</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17EE">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1</w:t>
            </w:r>
          </w:p>
        </w:tc>
      </w:tr>
      <w:tr w14:paraId="75F3A4C0">
        <w:tblPrEx>
          <w:tblCellMar>
            <w:top w:w="0" w:type="dxa"/>
            <w:left w:w="108" w:type="dxa"/>
            <w:bottom w:w="0" w:type="dxa"/>
            <w:right w:w="108" w:type="dxa"/>
          </w:tblCellMar>
        </w:tblPrEx>
        <w:trPr>
          <w:trHeight w:val="28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A68EF">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网络设备</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87715">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交换机</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4DCD">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接入交换机：</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8口交换机</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上行端口速率：千兆</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网管类型：网管</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下行端口速率：千兆</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适用网络：中小型网络</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端口数量：8口</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云管理交换机：支持云管理</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7DFA">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7</w:t>
            </w:r>
          </w:p>
        </w:tc>
      </w:tr>
      <w:tr w14:paraId="420E57C5">
        <w:tblPrEx>
          <w:tblCellMar>
            <w:top w:w="0" w:type="dxa"/>
            <w:left w:w="108" w:type="dxa"/>
            <w:bottom w:w="0" w:type="dxa"/>
            <w:right w:w="108" w:type="dxa"/>
          </w:tblCellMar>
        </w:tblPrEx>
        <w:trPr>
          <w:trHeight w:val="280"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5E27">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机房建设</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CB026">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机柜</w:t>
            </w:r>
          </w:p>
        </w:tc>
        <w:tc>
          <w:tcPr>
            <w:tcW w:w="27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E5B33">
            <w:pPr>
              <w:widowControl/>
              <w:spacing w:line="240" w:lineRule="auto"/>
              <w:ind w:firstLine="0" w:firstLineChars="0"/>
              <w:jc w:val="left"/>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服务器机柜：</w:t>
            </w:r>
            <w:r>
              <w:rPr>
                <w:rFonts w:hint="eastAsia" w:ascii="仿宋_GB2312" w:hAnsi="仿宋_GB2312" w:eastAsia="仿宋_GB2312" w:cs="仿宋_GB2312"/>
                <w:color w:val="000000"/>
                <w:kern w:val="0"/>
                <w:sz w:val="21"/>
                <w:szCs w:val="21"/>
                <w:lang w:bidi="ar"/>
              </w:rPr>
              <w:br w:type="textWrapping"/>
            </w:r>
            <w:r>
              <w:rPr>
                <w:rFonts w:hint="eastAsia" w:ascii="仿宋_GB2312" w:hAnsi="仿宋_GB2312" w:eastAsia="仿宋_GB2312" w:cs="仿宋_GB2312"/>
                <w:color w:val="000000"/>
                <w:kern w:val="0"/>
                <w:sz w:val="21"/>
                <w:szCs w:val="21"/>
                <w:lang w:bidi="ar"/>
              </w:rPr>
              <w:t>22U服务器机柜，深度不小于100公分，带不少于一个8位10APUD,具备ISO9001认证和质检报告，背板可拆卸，钢制锁具，可调节托盘，钢化玻璃门或者金属网孔门，带散热风扇和重型脚轮，以及套内六角扳手、方螺母钉等配套辅料</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D929D">
            <w:pPr>
              <w:widowControl/>
              <w:spacing w:line="240" w:lineRule="auto"/>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1</w:t>
            </w:r>
          </w:p>
        </w:tc>
      </w:tr>
    </w:tbl>
    <w:p w14:paraId="3B49E607">
      <w:pPr>
        <w:rPr>
          <w:rFonts w:ascii="仿宋" w:hAnsi="仿宋" w:eastAsia="仿宋" w:cs="仿宋"/>
        </w:rPr>
      </w:pPr>
    </w:p>
    <w:p w14:paraId="1D0A5CA2">
      <w:pPr>
        <w:pStyle w:val="3"/>
        <w:rPr>
          <w:rFonts w:ascii="仿宋" w:hAnsi="仿宋" w:eastAsia="仿宋" w:cs="仿宋"/>
        </w:rPr>
      </w:pPr>
      <w:r>
        <w:rPr>
          <w:rFonts w:hint="eastAsia" w:ascii="仿宋" w:hAnsi="仿宋" w:eastAsia="仿宋" w:cs="仿宋"/>
        </w:rPr>
        <w:t>技术路线</w:t>
      </w:r>
    </w:p>
    <w:p w14:paraId="31906E45">
      <w:pPr>
        <w:rPr>
          <w:rFonts w:ascii="仿宋" w:hAnsi="仿宋" w:eastAsia="仿宋" w:cs="仿宋"/>
        </w:rPr>
      </w:pPr>
      <w:r>
        <w:rPr>
          <w:rFonts w:hint="eastAsia" w:ascii="仿宋" w:hAnsi="仿宋" w:eastAsia="仿宋" w:cs="仿宋"/>
        </w:rPr>
        <w:t>（1）基于B/S技术路线</w:t>
      </w:r>
    </w:p>
    <w:p w14:paraId="0CE3287B">
      <w:pPr>
        <w:rPr>
          <w:rFonts w:ascii="仿宋" w:hAnsi="仿宋" w:eastAsia="仿宋" w:cs="仿宋"/>
        </w:rPr>
      </w:pPr>
      <w:r>
        <w:rPr>
          <w:rFonts w:hint="eastAsia" w:ascii="仿宋" w:hAnsi="仿宋" w:eastAsia="仿宋" w:cs="仿宋"/>
        </w:rPr>
        <w:t>为了充分满足系统在安全性、实用性、可移植性、易扩操作、易维护性等方面的要求，系统采用基于国产运行环境研发，支持国产硬件服务器及国产操作系统，系统构建于 B/S 三层应用体系结构之上，并采用国产中间件、国产数据库等技术和面向对象程序设计方法，将复杂的业务逻辑、流程控制逻辑和数据存取逻辑通过在不同的技术层面上实现。在应用服务器之上，实现业务逻辑的快速部署和灵活调整，充分保证数据库系统的安全可靠访问。</w:t>
      </w:r>
    </w:p>
    <w:p w14:paraId="0194C13E">
      <w:pPr>
        <w:rPr>
          <w:rFonts w:ascii="仿宋" w:hAnsi="仿宋" w:eastAsia="仿宋" w:cs="仿宋"/>
        </w:rPr>
      </w:pPr>
      <w:r>
        <w:rPr>
          <w:rFonts w:hint="eastAsia" w:ascii="仿宋" w:hAnsi="仿宋" w:eastAsia="仿宋" w:cs="仿宋"/>
        </w:rPr>
        <w:t>（2）采用微服务技术架构</w:t>
      </w:r>
    </w:p>
    <w:p w14:paraId="42C610BC">
      <w:pPr>
        <w:rPr>
          <w:rFonts w:ascii="仿宋" w:hAnsi="仿宋" w:eastAsia="仿宋" w:cs="仿宋"/>
        </w:rPr>
      </w:pPr>
      <w:r>
        <w:rPr>
          <w:rFonts w:hint="eastAsia" w:ascii="仿宋" w:hAnsi="仿宋" w:eastAsia="仿宋" w:cs="仿宋"/>
        </w:rPr>
        <w:t>本系统与其他应用系统对中间件的要求基本上是一致的：能提供一个统一的IT架构，使信息、IT资产和业务流程能够自由、安全地流动，为业务提供最佳支持。</w:t>
      </w:r>
    </w:p>
    <w:p w14:paraId="437CD264">
      <w:pPr>
        <w:rPr>
          <w:rFonts w:ascii="仿宋" w:hAnsi="仿宋" w:eastAsia="仿宋" w:cs="仿宋"/>
        </w:rPr>
      </w:pPr>
      <w:r>
        <w:rPr>
          <w:rFonts w:hint="eastAsia" w:ascii="仿宋" w:hAnsi="仿宋" w:eastAsia="仿宋" w:cs="仿宋"/>
        </w:rPr>
        <w:t>（3）采用统一消息接入技术</w:t>
      </w:r>
    </w:p>
    <w:p w14:paraId="26A02052">
      <w:pPr>
        <w:rPr>
          <w:rFonts w:ascii="仿宋" w:hAnsi="仿宋" w:eastAsia="仿宋" w:cs="仿宋"/>
        </w:rPr>
      </w:pPr>
      <w:r>
        <w:rPr>
          <w:rFonts w:hint="eastAsia" w:ascii="仿宋" w:hAnsi="仿宋" w:eastAsia="仿宋" w:cs="仿宋"/>
        </w:rPr>
        <w:t>消息队列技术是分布式应用间交换信息的一种技术。消息队列可驻留在内存或磁盘上,队列存储消息直到它们被应用程序读走。通过消息队列，应用程序可独立地执行--它们不需要知道彼此的位置、或在继续执行前不需要等待接收程序接收此消息。</w:t>
      </w:r>
    </w:p>
    <w:p w14:paraId="6804A308">
      <w:pPr>
        <w:pStyle w:val="3"/>
        <w:rPr>
          <w:rFonts w:ascii="仿宋" w:hAnsi="仿宋" w:eastAsia="仿宋" w:cs="仿宋"/>
        </w:rPr>
      </w:pPr>
      <w:r>
        <w:rPr>
          <w:rFonts w:hint="eastAsia" w:ascii="仿宋" w:hAnsi="仿宋" w:eastAsia="仿宋" w:cs="仿宋"/>
        </w:rPr>
        <w:t>性能要求</w:t>
      </w:r>
    </w:p>
    <w:p w14:paraId="14EF616B">
      <w:pPr>
        <w:pStyle w:val="137"/>
        <w:numPr>
          <w:ilvl w:val="0"/>
          <w:numId w:val="6"/>
        </w:numPr>
        <w:ind w:firstLineChars="0"/>
        <w:rPr>
          <w:sz w:val="24"/>
          <w:szCs w:val="24"/>
        </w:rPr>
      </w:pPr>
      <w:r>
        <w:rPr>
          <w:rFonts w:hint="eastAsia"/>
          <w:sz w:val="24"/>
          <w:szCs w:val="24"/>
        </w:rPr>
        <w:t>同时在线用户数≥100；</w:t>
      </w:r>
    </w:p>
    <w:p w14:paraId="3E7914D9">
      <w:pPr>
        <w:pStyle w:val="137"/>
        <w:numPr>
          <w:ilvl w:val="0"/>
          <w:numId w:val="6"/>
        </w:numPr>
        <w:ind w:firstLineChars="0"/>
        <w:rPr>
          <w:sz w:val="24"/>
          <w:szCs w:val="24"/>
        </w:rPr>
      </w:pPr>
      <w:r>
        <w:rPr>
          <w:rFonts w:hint="eastAsia"/>
          <w:sz w:val="24"/>
          <w:szCs w:val="24"/>
        </w:rPr>
        <w:t>并发用户数≥50；</w:t>
      </w:r>
    </w:p>
    <w:p w14:paraId="46218D8B">
      <w:pPr>
        <w:pStyle w:val="137"/>
        <w:numPr>
          <w:ilvl w:val="0"/>
          <w:numId w:val="6"/>
        </w:numPr>
        <w:ind w:firstLineChars="0"/>
        <w:rPr>
          <w:sz w:val="24"/>
          <w:szCs w:val="24"/>
        </w:rPr>
      </w:pPr>
      <w:r>
        <w:rPr>
          <w:rFonts w:hint="eastAsia"/>
          <w:sz w:val="24"/>
          <w:szCs w:val="24"/>
        </w:rPr>
        <w:t>系统登陆时间</w:t>
      </w:r>
      <w:r>
        <w:rPr>
          <w:rFonts w:hint="eastAsia"/>
          <w:sz w:val="21"/>
          <w:szCs w:val="21"/>
        </w:rPr>
        <w:t>≤</w:t>
      </w:r>
      <w:r>
        <w:rPr>
          <w:rFonts w:hint="eastAsia"/>
          <w:sz w:val="24"/>
          <w:szCs w:val="24"/>
        </w:rPr>
        <w:t>3秒；</w:t>
      </w:r>
    </w:p>
    <w:p w14:paraId="103FD6A1">
      <w:pPr>
        <w:pStyle w:val="137"/>
        <w:numPr>
          <w:ilvl w:val="0"/>
          <w:numId w:val="6"/>
        </w:numPr>
        <w:ind w:firstLineChars="0"/>
        <w:rPr>
          <w:sz w:val="24"/>
          <w:szCs w:val="24"/>
        </w:rPr>
      </w:pPr>
      <w:r>
        <w:rPr>
          <w:rFonts w:hint="eastAsia"/>
          <w:sz w:val="24"/>
          <w:szCs w:val="24"/>
        </w:rPr>
        <w:t>一般查询和写入操作响应时间（</w:t>
      </w:r>
      <w:r>
        <w:rPr>
          <w:sz w:val="24"/>
          <w:szCs w:val="24"/>
        </w:rPr>
        <w:t>90%</w:t>
      </w:r>
      <w:r>
        <w:rPr>
          <w:rFonts w:hint="eastAsia"/>
          <w:sz w:val="24"/>
          <w:szCs w:val="24"/>
        </w:rPr>
        <w:t>的操作页面）≤3秒；</w:t>
      </w:r>
    </w:p>
    <w:p w14:paraId="7C199CC0">
      <w:pPr>
        <w:pStyle w:val="137"/>
        <w:numPr>
          <w:ilvl w:val="0"/>
          <w:numId w:val="6"/>
        </w:numPr>
        <w:ind w:firstLineChars="0"/>
        <w:rPr>
          <w:sz w:val="24"/>
          <w:szCs w:val="24"/>
        </w:rPr>
      </w:pPr>
      <w:r>
        <w:rPr>
          <w:rFonts w:hint="eastAsia"/>
          <w:sz w:val="24"/>
          <w:szCs w:val="24"/>
        </w:rPr>
        <w:t>搜索类操作响应时间≤3秒；</w:t>
      </w:r>
    </w:p>
    <w:p w14:paraId="7D9F6FC7">
      <w:pPr>
        <w:pStyle w:val="137"/>
        <w:numPr>
          <w:ilvl w:val="0"/>
          <w:numId w:val="6"/>
        </w:numPr>
        <w:ind w:firstLineChars="0"/>
        <w:rPr>
          <w:sz w:val="24"/>
          <w:szCs w:val="24"/>
        </w:rPr>
      </w:pPr>
      <w:r>
        <w:rPr>
          <w:rFonts w:hint="eastAsia"/>
          <w:sz w:val="24"/>
          <w:szCs w:val="24"/>
        </w:rPr>
        <w:t>报表统计类操作响应时间≤5秒；</w:t>
      </w:r>
    </w:p>
    <w:p w14:paraId="68901336">
      <w:pPr>
        <w:pStyle w:val="137"/>
        <w:numPr>
          <w:ilvl w:val="0"/>
          <w:numId w:val="6"/>
        </w:numPr>
        <w:ind w:firstLineChars="0"/>
        <w:rPr>
          <w:sz w:val="24"/>
          <w:szCs w:val="24"/>
        </w:rPr>
      </w:pPr>
      <w:bookmarkStart w:id="18" w:name="OLE_LINK15"/>
      <w:r>
        <w:rPr>
          <w:rFonts w:hint="eastAsia"/>
          <w:sz w:val="24"/>
          <w:szCs w:val="24"/>
        </w:rPr>
        <w:t>响应时间较长的操作页面应显示进度条。</w:t>
      </w:r>
    </w:p>
    <w:bookmarkEnd w:id="18"/>
    <w:p w14:paraId="7A3DEA70">
      <w:pPr>
        <w:rPr>
          <w:rFonts w:ascii="仿宋" w:hAnsi="仿宋" w:eastAsia="仿宋" w:cs="仿宋"/>
        </w:rPr>
      </w:pPr>
    </w:p>
    <w:p w14:paraId="3457B323">
      <w:pPr>
        <w:pStyle w:val="3"/>
        <w:rPr>
          <w:rFonts w:ascii="仿宋" w:hAnsi="仿宋" w:eastAsia="仿宋" w:cs="仿宋"/>
        </w:rPr>
      </w:pPr>
      <w:r>
        <w:rPr>
          <w:rFonts w:hint="eastAsia" w:ascii="仿宋" w:hAnsi="仿宋" w:eastAsia="仿宋" w:cs="仿宋"/>
        </w:rPr>
        <w:t>部署环境</w:t>
      </w:r>
    </w:p>
    <w:p w14:paraId="238027A6">
      <w:pPr>
        <w:rPr>
          <w:rFonts w:ascii="仿宋" w:hAnsi="仿宋" w:eastAsia="仿宋" w:cs="仿宋"/>
        </w:rPr>
      </w:pPr>
      <w:r>
        <w:rPr>
          <w:rFonts w:hint="eastAsia" w:ascii="仿宋" w:hAnsi="仿宋" w:eastAsia="仿宋" w:cs="仿宋"/>
        </w:rPr>
        <w:t>本项目在上海市电子政务云政务外网区域和互联网区域进行部署。</w:t>
      </w:r>
    </w:p>
    <w:p w14:paraId="067DCE4B">
      <w:pPr>
        <w:pStyle w:val="3"/>
      </w:pPr>
      <w:r>
        <w:rPr>
          <w:rFonts w:hint="eastAsia"/>
        </w:rPr>
        <w:t>数据要求</w:t>
      </w:r>
    </w:p>
    <w:p w14:paraId="235FD58F">
      <w:pPr>
        <w:rPr>
          <w:rFonts w:ascii="仿宋" w:hAnsi="仿宋" w:eastAsia="仿宋" w:cs="仿宋"/>
        </w:rPr>
      </w:pPr>
      <w:r>
        <w:rPr>
          <w:rFonts w:hint="eastAsia" w:ascii="仿宋" w:hAnsi="仿宋" w:eastAsia="仿宋" w:cs="仿宋"/>
        </w:rPr>
        <w:t>根据市数据局上链要求，配合市大数据中心完成本项目数据</w:t>
      </w:r>
      <w:bookmarkStart w:id="43" w:name="_GoBack"/>
      <w:bookmarkEnd w:id="43"/>
      <w:r>
        <w:rPr>
          <w:rFonts w:hint="eastAsia" w:ascii="仿宋" w:hAnsi="仿宋" w:eastAsia="仿宋" w:cs="仿宋"/>
        </w:rPr>
        <w:t>上链工作。</w:t>
      </w:r>
    </w:p>
    <w:p w14:paraId="2E909F46">
      <w:pPr>
        <w:pStyle w:val="2"/>
        <w:rPr>
          <w:rFonts w:ascii="仿宋" w:hAnsi="仿宋" w:eastAsia="仿宋" w:cs="仿宋"/>
          <w:b w:val="0"/>
        </w:rPr>
      </w:pPr>
      <w:bookmarkStart w:id="19" w:name="_Toc63785502"/>
      <w:r>
        <w:rPr>
          <w:rFonts w:hint="eastAsia" w:ascii="仿宋" w:hAnsi="仿宋" w:eastAsia="仿宋" w:cs="仿宋"/>
        </w:rPr>
        <w:t>电子政务云资源需求</w:t>
      </w:r>
      <w:bookmarkEnd w:id="19"/>
    </w:p>
    <w:p w14:paraId="7D3B0F7A">
      <w:pPr>
        <w:rPr>
          <w:rFonts w:ascii="仿宋" w:hAnsi="仿宋" w:eastAsia="仿宋" w:cs="仿宋"/>
        </w:rPr>
      </w:pPr>
      <w:r>
        <w:rPr>
          <w:rFonts w:hint="eastAsia" w:ascii="仿宋" w:hAnsi="仿宋" w:eastAsia="仿宋" w:cs="仿宋"/>
        </w:rPr>
        <w:t>本系统部署在电子政务云，根据项目前期资源现状，本次建设根据估算拟向电子政务云：</w:t>
      </w:r>
    </w:p>
    <w:p w14:paraId="5DCDAD5C">
      <w:pPr>
        <w:rPr>
          <w:rFonts w:ascii="仿宋" w:hAnsi="仿宋" w:eastAsia="仿宋" w:cs="仿宋"/>
          <w:highlight w:val="yellow"/>
        </w:rPr>
      </w:pPr>
      <w:r>
        <w:rPr>
          <w:rFonts w:hint="eastAsia" w:ascii="仿宋" w:hAnsi="仿宋" w:eastAsia="仿宋" w:cs="仿宋"/>
        </w:rPr>
        <w:t>不多于</w:t>
      </w:r>
      <w:r>
        <w:rPr>
          <w:rFonts w:ascii="仿宋" w:hAnsi="仿宋" w:eastAsia="仿宋" w:cs="仿宋"/>
        </w:rPr>
        <w:t>9</w:t>
      </w:r>
      <w:r>
        <w:rPr>
          <w:rFonts w:hint="eastAsia" w:ascii="仿宋" w:hAnsi="仿宋" w:eastAsia="仿宋" w:cs="仿宋"/>
        </w:rPr>
        <w:t>台虚拟机资源，其中资源总和不超过</w:t>
      </w:r>
      <w:r>
        <w:rPr>
          <w:rFonts w:ascii="仿宋" w:hAnsi="仿宋" w:eastAsia="仿宋" w:cs="仿宋"/>
        </w:rPr>
        <w:t>CPU100</w:t>
      </w:r>
      <w:r>
        <w:rPr>
          <w:rFonts w:hint="eastAsia" w:ascii="仿宋" w:hAnsi="仿宋" w:eastAsia="仿宋" w:cs="仿宋"/>
        </w:rPr>
        <w:t>核</w:t>
      </w:r>
      <w:r>
        <w:rPr>
          <w:rFonts w:ascii="仿宋" w:hAnsi="仿宋" w:eastAsia="仿宋" w:cs="仿宋"/>
        </w:rPr>
        <w:t xml:space="preserve"> </w:t>
      </w:r>
      <w:r>
        <w:rPr>
          <w:rFonts w:hint="eastAsia" w:ascii="仿宋" w:hAnsi="仿宋" w:eastAsia="仿宋" w:cs="仿宋"/>
        </w:rPr>
        <w:t>、内存</w:t>
      </w:r>
      <w:r>
        <w:rPr>
          <w:rFonts w:ascii="仿宋" w:hAnsi="仿宋" w:eastAsia="仿宋" w:cs="仿宋"/>
        </w:rPr>
        <w:t>392G、存储9.96T</w:t>
      </w:r>
      <w:r>
        <w:rPr>
          <w:rFonts w:hint="eastAsia" w:ascii="仿宋" w:hAnsi="仿宋" w:eastAsia="仿宋" w:cs="仿宋"/>
        </w:rPr>
        <w:t>。</w:t>
      </w:r>
    </w:p>
    <w:p w14:paraId="36808DF2">
      <w:pPr>
        <w:pStyle w:val="2"/>
        <w:rPr>
          <w:rFonts w:ascii="仿宋" w:hAnsi="仿宋" w:eastAsia="仿宋" w:cs="仿宋"/>
        </w:rPr>
      </w:pPr>
      <w:bookmarkStart w:id="20" w:name="_Toc63785503"/>
      <w:r>
        <w:rPr>
          <w:rFonts w:hint="eastAsia" w:ascii="仿宋" w:hAnsi="仿宋" w:eastAsia="仿宋" w:cs="仿宋"/>
        </w:rPr>
        <w:t>其他工作要求</w:t>
      </w:r>
      <w:bookmarkEnd w:id="20"/>
      <w:bookmarkStart w:id="21" w:name="_Toc63785504"/>
      <w:bookmarkEnd w:id="21"/>
      <w:bookmarkStart w:id="22" w:name="_Toc62219358"/>
      <w:bookmarkEnd w:id="22"/>
      <w:bookmarkStart w:id="23" w:name="_Toc63585480"/>
      <w:bookmarkEnd w:id="23"/>
      <w:bookmarkStart w:id="24" w:name="_Toc63151871"/>
      <w:bookmarkEnd w:id="24"/>
      <w:bookmarkStart w:id="25" w:name="_Toc63785439"/>
      <w:bookmarkEnd w:id="25"/>
      <w:bookmarkStart w:id="26" w:name="_Toc63762370"/>
      <w:bookmarkEnd w:id="26"/>
      <w:bookmarkStart w:id="27" w:name="_Toc61968111"/>
      <w:bookmarkEnd w:id="27"/>
      <w:bookmarkStart w:id="28" w:name="_Toc62209488"/>
      <w:bookmarkEnd w:id="28"/>
    </w:p>
    <w:p w14:paraId="7CD2497D">
      <w:pPr>
        <w:pStyle w:val="3"/>
        <w:rPr>
          <w:rFonts w:ascii="仿宋" w:hAnsi="仿宋" w:eastAsia="仿宋" w:cs="仿宋"/>
        </w:rPr>
      </w:pPr>
      <w:bookmarkStart w:id="29" w:name="_Toc63785505"/>
      <w:r>
        <w:rPr>
          <w:rFonts w:hint="eastAsia" w:ascii="仿宋" w:hAnsi="仿宋" w:eastAsia="仿宋" w:cs="仿宋"/>
        </w:rPr>
        <w:t>售后服务要求</w:t>
      </w:r>
      <w:bookmarkEnd w:id="29"/>
    </w:p>
    <w:p w14:paraId="2A5A32AD">
      <w:pPr>
        <w:pStyle w:val="109"/>
        <w:snapToGrid w:val="0"/>
        <w:spacing w:line="360" w:lineRule="auto"/>
        <w:ind w:firstLine="480"/>
        <w:rPr>
          <w:rFonts w:hint="default" w:ascii="仿宋" w:hAnsi="仿宋" w:eastAsia="仿宋" w:cs="仿宋"/>
          <w:sz w:val="24"/>
          <w:szCs w:val="24"/>
          <w:lang w:val="en-US" w:eastAsia="zh-CN"/>
        </w:rPr>
      </w:pPr>
      <w:r>
        <w:rPr>
          <w:rFonts w:hint="eastAsia" w:ascii="仿宋" w:hAnsi="仿宋" w:eastAsia="仿宋" w:cs="仿宋"/>
          <w:sz w:val="24"/>
          <w:szCs w:val="24"/>
        </w:rPr>
        <w:t>本项目从系统验收通过之日起1年内提供7*24小时免费技术支持和售后服务，</w:t>
      </w:r>
      <w:r>
        <w:rPr>
          <w:rFonts w:hint="eastAsia" w:ascii="仿宋" w:hAnsi="仿宋" w:eastAsia="仿宋" w:cs="仿宋"/>
          <w:sz w:val="24"/>
          <w:szCs w:val="24"/>
          <w:lang w:val="en-US" w:eastAsia="zh-CN"/>
        </w:rPr>
        <w:t>硬件部分提供3年原厂质保。</w:t>
      </w:r>
    </w:p>
    <w:p w14:paraId="6156F0D6">
      <w:pPr>
        <w:pStyle w:val="109"/>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5F622159">
      <w:pPr>
        <w:pStyle w:val="109"/>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t>在质量保证期内，供应商负责信息系统的运行维护工作，确保信息系统安全、稳定、可靠地运行。本项目涉及的运行维护工作范围为：上海市物资储备电子政务网络省级平台（2025升级改造）项目相关系统的安装测试并维护系统的正常运行。</w:t>
      </w:r>
    </w:p>
    <w:p w14:paraId="52A64AD8">
      <w:pPr>
        <w:pStyle w:val="3"/>
        <w:rPr>
          <w:rFonts w:ascii="仿宋" w:hAnsi="仿宋" w:eastAsia="仿宋" w:cs="仿宋"/>
        </w:rPr>
      </w:pPr>
      <w:bookmarkStart w:id="30" w:name="_Toc63785506"/>
      <w:r>
        <w:rPr>
          <w:rFonts w:hint="eastAsia" w:ascii="仿宋" w:hAnsi="仿宋" w:eastAsia="仿宋" w:cs="仿宋"/>
        </w:rPr>
        <w:t>应急响应要求</w:t>
      </w:r>
      <w:bookmarkEnd w:id="30"/>
    </w:p>
    <w:p w14:paraId="50920F71">
      <w:pPr>
        <w:pStyle w:val="109"/>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t>供应商对系统故障应能够实时响应，若系统发生故障，接到通知后30分钟之内响应，专业工程师2小时内到达现场。特殊故障与客户沟通协商后，按照协商的方式制定解决方案并进行处理。</w:t>
      </w:r>
    </w:p>
    <w:p w14:paraId="0E674D20">
      <w:pPr>
        <w:pStyle w:val="109"/>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t>具体故障级别及对应的应急响应要求如下：</w:t>
      </w:r>
    </w:p>
    <w:p w14:paraId="2C068DC2">
      <w:pPr>
        <w:pStyle w:val="109"/>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t>一级故障：在1小时内确诊，总故障解决时间不超过4小时。</w:t>
      </w:r>
    </w:p>
    <w:p w14:paraId="127909BF">
      <w:pPr>
        <w:pStyle w:val="109"/>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t>二级故障：在2小时内确诊，并在4小时内由专家到达现场确诊并解决，总故障解决时间不超过8小时；</w:t>
      </w:r>
    </w:p>
    <w:p w14:paraId="487795B0">
      <w:pPr>
        <w:pStyle w:val="109"/>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t>三、四级故障：在4小时内确诊故障，总故障解决时间不超过16小时。</w:t>
      </w:r>
    </w:p>
    <w:p w14:paraId="2EB66EB5">
      <w:pPr>
        <w:pStyle w:val="3"/>
        <w:rPr>
          <w:rFonts w:ascii="仿宋" w:hAnsi="仿宋" w:eastAsia="仿宋" w:cs="仿宋"/>
        </w:rPr>
      </w:pPr>
      <w:bookmarkStart w:id="31" w:name="_Toc63785507"/>
      <w:r>
        <w:rPr>
          <w:rFonts w:hint="eastAsia" w:ascii="仿宋" w:hAnsi="仿宋" w:eastAsia="仿宋" w:cs="仿宋"/>
        </w:rPr>
        <w:t>培训要求</w:t>
      </w:r>
      <w:bookmarkEnd w:id="31"/>
    </w:p>
    <w:p w14:paraId="27C1F391">
      <w:pPr>
        <w:rPr>
          <w:rFonts w:ascii="仿宋" w:hAnsi="仿宋" w:eastAsia="仿宋" w:cs="仿宋"/>
        </w:rPr>
      </w:pPr>
      <w:r>
        <w:rPr>
          <w:rFonts w:hint="eastAsia" w:ascii="仿宋" w:hAnsi="仿宋" w:eastAsia="仿宋" w:cs="仿宋"/>
        </w:rPr>
        <w:t>对系统使用单位提供业务操作培训，应提供详细培训方案。</w:t>
      </w:r>
    </w:p>
    <w:p w14:paraId="56A9C509">
      <w:pPr>
        <w:rPr>
          <w:rFonts w:ascii="仿宋" w:hAnsi="仿宋" w:eastAsia="仿宋" w:cs="仿宋"/>
        </w:rPr>
      </w:pPr>
      <w:r>
        <w:rPr>
          <w:rFonts w:hint="eastAsia" w:ascii="仿宋" w:hAnsi="仿宋" w:eastAsia="仿宋" w:cs="仿宋"/>
        </w:rPr>
        <w:t>(1)在12个月的质量保证期内，提供2次与项目相关的必要培训。</w:t>
      </w:r>
    </w:p>
    <w:p w14:paraId="49F8CF6C">
      <w:pPr>
        <w:rPr>
          <w:rFonts w:ascii="仿宋" w:hAnsi="仿宋" w:eastAsia="仿宋" w:cs="仿宋"/>
        </w:rPr>
      </w:pPr>
      <w:r>
        <w:rPr>
          <w:rFonts w:hint="eastAsia" w:ascii="仿宋" w:hAnsi="仿宋" w:eastAsia="仿宋" w:cs="仿宋"/>
        </w:rPr>
        <w:t>(2)供应商需要开展分层次的人员培训工作，每次培训后应对参加培训人员进行测试，评估培训成果。培训应具有培训教材、培训环境和高水平的培训讲师。</w:t>
      </w:r>
    </w:p>
    <w:p w14:paraId="693A4450">
      <w:pPr>
        <w:rPr>
          <w:rFonts w:ascii="仿宋" w:hAnsi="仿宋" w:eastAsia="仿宋" w:cs="仿宋"/>
        </w:rPr>
      </w:pPr>
      <w:r>
        <w:rPr>
          <w:rFonts w:hint="eastAsia" w:ascii="仿宋" w:hAnsi="仿宋" w:eastAsia="仿宋" w:cs="仿宋"/>
        </w:rPr>
        <w:t>(3)供应商应提供一般用户的基础操作培训和部门信息管理员的日常应用维护的培训，确保用户对象能够掌握对应的操作技能。</w:t>
      </w:r>
    </w:p>
    <w:p w14:paraId="7B5BA858">
      <w:pPr>
        <w:pStyle w:val="3"/>
        <w:rPr>
          <w:rFonts w:ascii="仿宋" w:hAnsi="仿宋" w:eastAsia="仿宋" w:cs="仿宋"/>
        </w:rPr>
      </w:pPr>
      <w:bookmarkStart w:id="32" w:name="_Toc63785508"/>
      <w:r>
        <w:rPr>
          <w:rFonts w:hint="eastAsia" w:ascii="仿宋" w:hAnsi="仿宋" w:eastAsia="仿宋" w:cs="仿宋"/>
        </w:rPr>
        <w:t>验收要求</w:t>
      </w:r>
      <w:bookmarkEnd w:id="32"/>
    </w:p>
    <w:p w14:paraId="06563EC5">
      <w:pPr>
        <w:rPr>
          <w:rFonts w:ascii="仿宋" w:hAnsi="仿宋" w:eastAsia="仿宋" w:cs="仿宋"/>
          <w:szCs w:val="21"/>
        </w:rPr>
      </w:pPr>
      <w:r>
        <w:rPr>
          <w:rFonts w:hint="eastAsia" w:ascii="仿宋" w:hAnsi="仿宋" w:eastAsia="仿宋" w:cs="仿宋"/>
          <w:szCs w:val="21"/>
        </w:rPr>
        <w:t>本项目按下述方式开展验收。</w:t>
      </w:r>
    </w:p>
    <w:p w14:paraId="35B2B65A">
      <w:pPr>
        <w:rPr>
          <w:rFonts w:ascii="仿宋" w:hAnsi="仿宋" w:eastAsia="仿宋" w:cs="仿宋"/>
          <w:szCs w:val="21"/>
        </w:rPr>
      </w:pPr>
      <w:r>
        <w:rPr>
          <w:rFonts w:hint="eastAsia" w:ascii="仿宋" w:hAnsi="仿宋" w:eastAsia="仿宋" w:cs="仿宋"/>
          <w:szCs w:val="21"/>
        </w:rPr>
        <w:t>（1）验收分初验和终验。</w:t>
      </w:r>
    </w:p>
    <w:p w14:paraId="240A69AC">
      <w:pPr>
        <w:rPr>
          <w:rFonts w:ascii="仿宋" w:hAnsi="仿宋" w:eastAsia="仿宋" w:cs="仿宋"/>
          <w:szCs w:val="21"/>
        </w:rPr>
      </w:pPr>
      <w:r>
        <w:rPr>
          <w:rFonts w:hint="eastAsia" w:ascii="仿宋" w:hAnsi="仿宋" w:eastAsia="仿宋" w:cs="仿宋"/>
          <w:szCs w:val="21"/>
        </w:rPr>
        <w:t>（2）初验前，供应商须完成软件开发、软硬件安装和信息系统的调试等，并对本项目进行功能和运行检测，确保所有信息系统功能模块能够正常运行且已达到本项目约定的各类标准要求。供应商应以书面形式向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ascii="仿宋" w:hAnsi="仿宋" w:eastAsia="仿宋" w:cs="仿宋"/>
          <w:szCs w:val="21"/>
          <w:lang w:eastAsia="zh-CN"/>
        </w:rPr>
        <w:t>采购人</w:t>
      </w:r>
      <w:r>
        <w:rPr>
          <w:rFonts w:hint="eastAsia" w:ascii="仿宋" w:hAnsi="仿宋" w:eastAsia="仿宋" w:cs="仿宋"/>
          <w:szCs w:val="21"/>
        </w:rPr>
        <w:t>递交初验通知书。</w:t>
      </w:r>
      <w:r>
        <w:rPr>
          <w:rFonts w:hint="eastAsia" w:ascii="仿宋" w:hAnsi="仿宋" w:eastAsia="仿宋" w:cs="仿宋"/>
          <w:szCs w:val="21"/>
          <w:lang w:eastAsia="zh-CN"/>
        </w:rPr>
        <w:t>采购人</w:t>
      </w:r>
      <w:r>
        <w:rPr>
          <w:rFonts w:hint="eastAsia" w:ascii="仿宋" w:hAnsi="仿宋" w:eastAsia="仿宋" w:cs="仿宋"/>
          <w:szCs w:val="21"/>
        </w:rPr>
        <w:t>应当在接到通知后的5个工作日内确定初验的具体日期，由双方按照本项目的约定完成本项目的初验。</w:t>
      </w:r>
      <w:r>
        <w:rPr>
          <w:rFonts w:hint="eastAsia" w:ascii="仿宋" w:hAnsi="仿宋" w:eastAsia="仿宋" w:cs="仿宋"/>
          <w:szCs w:val="21"/>
          <w:lang w:eastAsia="zh-CN"/>
        </w:rPr>
        <w:t>采购人</w:t>
      </w:r>
      <w:r>
        <w:rPr>
          <w:rFonts w:hint="eastAsia" w:ascii="仿宋" w:hAnsi="仿宋" w:eastAsia="仿宋" w:cs="仿宋"/>
          <w:szCs w:val="21"/>
        </w:rPr>
        <w:t>有权委托第三方检测机构进行验收，对此供应商应当配合。</w:t>
      </w:r>
    </w:p>
    <w:p w14:paraId="3E84B032">
      <w:pPr>
        <w:rPr>
          <w:rFonts w:ascii="仿宋" w:hAnsi="仿宋" w:eastAsia="仿宋" w:cs="仿宋"/>
          <w:szCs w:val="21"/>
        </w:rPr>
      </w:pPr>
      <w:r>
        <w:rPr>
          <w:rFonts w:hint="eastAsia" w:ascii="仿宋" w:hAnsi="仿宋" w:eastAsia="仿宋" w:cs="仿宋"/>
          <w:szCs w:val="21"/>
        </w:rPr>
        <w:t>（3）初验时，供应商须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ascii="仿宋" w:hAnsi="仿宋" w:eastAsia="仿宋" w:cs="仿宋"/>
          <w:szCs w:val="21"/>
          <w:lang w:eastAsia="zh-CN"/>
        </w:rPr>
        <w:t>采购人</w:t>
      </w:r>
      <w:r>
        <w:rPr>
          <w:rFonts w:hint="eastAsia" w:ascii="仿宋" w:hAnsi="仿宋" w:eastAsia="仿宋" w:cs="仿宋"/>
          <w:szCs w:val="21"/>
        </w:rPr>
        <w:t>应向供应商出具书面报告，陈述需要改进的缺陷。供应商应立即严格依照</w:t>
      </w:r>
      <w:r>
        <w:rPr>
          <w:rFonts w:hint="eastAsia" w:ascii="仿宋" w:hAnsi="仿宋" w:eastAsia="仿宋" w:cs="仿宋"/>
          <w:szCs w:val="21"/>
          <w:lang w:eastAsia="zh-CN"/>
        </w:rPr>
        <w:t>采购人</w:t>
      </w:r>
      <w:r>
        <w:rPr>
          <w:rFonts w:hint="eastAsia" w:ascii="仿宋" w:hAnsi="仿宋" w:eastAsia="仿宋" w:cs="仿宋"/>
          <w:szCs w:val="21"/>
        </w:rPr>
        <w:t>的书面报告中的要求改进缺陷，并再次进行初验。</w:t>
      </w:r>
    </w:p>
    <w:p w14:paraId="0368374C">
      <w:pPr>
        <w:rPr>
          <w:rFonts w:ascii="仿宋" w:hAnsi="仿宋" w:eastAsia="仿宋" w:cs="仿宋"/>
          <w:szCs w:val="21"/>
        </w:rPr>
      </w:pPr>
      <w:r>
        <w:rPr>
          <w:rFonts w:hint="eastAsia" w:ascii="仿宋" w:hAnsi="仿宋" w:eastAsia="仿宋" w:cs="仿宋"/>
          <w:szCs w:val="21"/>
        </w:rPr>
        <w:t>（4）自初验通过之日起，</w:t>
      </w:r>
      <w:r>
        <w:rPr>
          <w:rFonts w:hint="eastAsia" w:ascii="仿宋" w:hAnsi="仿宋" w:eastAsia="仿宋" w:cs="仿宋"/>
          <w:szCs w:val="21"/>
          <w:lang w:eastAsia="zh-CN"/>
        </w:rPr>
        <w:t>采购人</w:t>
      </w:r>
      <w:r>
        <w:rPr>
          <w:rFonts w:hint="eastAsia" w:ascii="仿宋" w:hAnsi="仿宋" w:eastAsia="仿宋" w:cs="仿宋"/>
          <w:szCs w:val="21"/>
        </w:rPr>
        <w:t>享有供应商免费提供的7天的信息系统试运行现场驻场服务期。该期间内，供应商应当按照</w:t>
      </w:r>
      <w:r>
        <w:rPr>
          <w:rFonts w:hint="eastAsia" w:ascii="仿宋" w:hAnsi="仿宋" w:eastAsia="仿宋" w:cs="仿宋"/>
          <w:szCs w:val="21"/>
          <w:lang w:eastAsia="zh-CN"/>
        </w:rPr>
        <w:t>采购人</w:t>
      </w:r>
      <w:r>
        <w:rPr>
          <w:rFonts w:hint="eastAsia" w:ascii="仿宋" w:hAnsi="仿宋" w:eastAsia="仿宋" w:cs="仿宋"/>
          <w:szCs w:val="21"/>
        </w:rPr>
        <w:t>的要求提供现场技术支持服务，解决信息系统试运行期间可能出现的各类问题，或进一步提高与完善信息系统运行水平。</w:t>
      </w:r>
    </w:p>
    <w:p w14:paraId="501E1CE0">
      <w:pPr>
        <w:rPr>
          <w:rFonts w:ascii="仿宋" w:hAnsi="仿宋" w:eastAsia="仿宋" w:cs="仿宋"/>
          <w:szCs w:val="21"/>
        </w:rPr>
      </w:pPr>
      <w:r>
        <w:rPr>
          <w:rFonts w:hint="eastAsia" w:ascii="仿宋" w:hAnsi="仿宋" w:eastAsia="仿宋" w:cs="仿宋"/>
          <w:szCs w:val="21"/>
        </w:rPr>
        <w:t>（5）初验通过且信息系统试运行期已经达到本项目约定的时间，经供应商确认信息系统具备正常运行条件，且信息系统通过运行测试，供应商应以书面形式通知</w:t>
      </w:r>
      <w:r>
        <w:rPr>
          <w:rFonts w:hint="eastAsia" w:ascii="仿宋" w:hAnsi="仿宋" w:eastAsia="仿宋" w:cs="仿宋"/>
          <w:szCs w:val="21"/>
          <w:lang w:eastAsia="zh-CN"/>
        </w:rPr>
        <w:t>采购人</w:t>
      </w:r>
      <w:r>
        <w:rPr>
          <w:rFonts w:hint="eastAsia" w:ascii="仿宋" w:hAnsi="仿宋" w:eastAsia="仿宋" w:cs="仿宋"/>
          <w:szCs w:val="21"/>
        </w:rPr>
        <w:t>信息系统已准备就绪等待终验。</w:t>
      </w:r>
      <w:r>
        <w:rPr>
          <w:rFonts w:hint="eastAsia" w:ascii="仿宋" w:hAnsi="仿宋" w:eastAsia="仿宋" w:cs="仿宋"/>
          <w:szCs w:val="21"/>
          <w:lang w:eastAsia="zh-CN"/>
        </w:rPr>
        <w:t>采购人</w:t>
      </w:r>
      <w:r>
        <w:rPr>
          <w:rFonts w:hint="eastAsia" w:ascii="仿宋" w:hAnsi="仿宋" w:eastAsia="仿宋" w:cs="仿宋"/>
          <w:szCs w:val="21"/>
        </w:rPr>
        <w:t>在收到终验通知后的5个工作日内发起组织专家验收会。</w:t>
      </w:r>
    </w:p>
    <w:p w14:paraId="2E46950B">
      <w:pPr>
        <w:rPr>
          <w:rFonts w:ascii="仿宋" w:hAnsi="仿宋" w:eastAsia="仿宋" w:cs="仿宋"/>
          <w:szCs w:val="21"/>
        </w:rPr>
      </w:pPr>
      <w:r>
        <w:rPr>
          <w:rFonts w:hint="eastAsia" w:ascii="仿宋" w:hAnsi="仿宋" w:eastAsia="仿宋" w:cs="仿宋"/>
          <w:szCs w:val="21"/>
        </w:rPr>
        <w:t>（6）如果属于供应商原因致使本项目未能通过终验，供应商应当排除缺陷，直至本项目完全符合验收标准，由上述情形而产生的相关费用应由供应商自行承担。</w:t>
      </w:r>
    </w:p>
    <w:p w14:paraId="64D08E67">
      <w:pPr>
        <w:rPr>
          <w:rFonts w:ascii="仿宋" w:hAnsi="仿宋" w:eastAsia="仿宋" w:cs="仿宋"/>
          <w:szCs w:val="21"/>
        </w:rPr>
      </w:pPr>
      <w:r>
        <w:rPr>
          <w:rFonts w:hint="eastAsia" w:ascii="仿宋" w:hAnsi="仿宋" w:eastAsia="仿宋" w:cs="仿宋"/>
          <w:szCs w:val="21"/>
        </w:rPr>
        <w:t>（7）如果由于</w:t>
      </w:r>
      <w:r>
        <w:rPr>
          <w:rFonts w:hint="eastAsia" w:ascii="仿宋" w:hAnsi="仿宋" w:eastAsia="仿宋" w:cs="仿宋"/>
          <w:szCs w:val="21"/>
          <w:lang w:eastAsia="zh-CN"/>
        </w:rPr>
        <w:t>采购人</w:t>
      </w:r>
      <w:r>
        <w:rPr>
          <w:rFonts w:hint="eastAsia" w:ascii="仿宋" w:hAnsi="仿宋" w:eastAsia="仿宋" w:cs="仿宋"/>
          <w:szCs w:val="21"/>
        </w:rPr>
        <w:t>原因导致本项目在终验通过前出现故障或问题，供应商应及时配合排除该方面的故障或问题。</w:t>
      </w:r>
    </w:p>
    <w:p w14:paraId="2FF3E33B">
      <w:pPr>
        <w:rPr>
          <w:rFonts w:ascii="仿宋" w:hAnsi="仿宋" w:eastAsia="仿宋" w:cs="仿宋"/>
          <w:szCs w:val="21"/>
        </w:rPr>
      </w:pPr>
      <w:r>
        <w:rPr>
          <w:rFonts w:hint="eastAsia" w:ascii="仿宋" w:hAnsi="仿宋" w:eastAsia="仿宋" w:cs="仿宋"/>
          <w:szCs w:val="21"/>
        </w:rPr>
        <w:t>（8）如本项目连续3次验收未通过（含初验未通过或终验未通过），</w:t>
      </w:r>
      <w:r>
        <w:rPr>
          <w:rFonts w:hint="eastAsia" w:ascii="仿宋" w:hAnsi="仿宋" w:eastAsia="仿宋" w:cs="仿宋"/>
          <w:szCs w:val="21"/>
          <w:lang w:eastAsia="zh-CN"/>
        </w:rPr>
        <w:t>采购人</w:t>
      </w:r>
      <w:r>
        <w:rPr>
          <w:rFonts w:hint="eastAsia" w:ascii="仿宋" w:hAnsi="仿宋" w:eastAsia="仿宋" w:cs="仿宋"/>
          <w:szCs w:val="21"/>
        </w:rPr>
        <w:t>有权解除项目，并有权依照本项目约定的违约条款追究供应商的违约责任。</w:t>
      </w:r>
    </w:p>
    <w:p w14:paraId="3A6111CB">
      <w:pPr>
        <w:pStyle w:val="3"/>
        <w:rPr>
          <w:rFonts w:ascii="仿宋" w:hAnsi="仿宋" w:eastAsia="仿宋" w:cs="仿宋"/>
        </w:rPr>
      </w:pPr>
      <w:bookmarkStart w:id="33" w:name="_Toc63785509"/>
      <w:r>
        <w:rPr>
          <w:rFonts w:hint="eastAsia" w:ascii="仿宋" w:hAnsi="仿宋" w:eastAsia="仿宋" w:cs="仿宋"/>
        </w:rPr>
        <w:t>进度要求</w:t>
      </w:r>
      <w:bookmarkEnd w:id="33"/>
    </w:p>
    <w:p w14:paraId="38F47DE6">
      <w:pPr>
        <w:rPr>
          <w:rFonts w:ascii="仿宋" w:hAnsi="仿宋" w:eastAsia="仿宋" w:cs="仿宋"/>
        </w:rPr>
      </w:pPr>
      <w:r>
        <w:rPr>
          <w:rFonts w:hint="eastAsia" w:ascii="仿宋" w:hAnsi="仿宋" w:eastAsia="仿宋" w:cs="仿宋"/>
          <w:lang w:eastAsia="zh-CN"/>
        </w:rPr>
        <w:t>供应商</w:t>
      </w:r>
      <w:r>
        <w:rPr>
          <w:rFonts w:hint="eastAsia" w:ascii="仿宋" w:hAnsi="仿宋" w:eastAsia="仿宋" w:cs="仿宋"/>
        </w:rPr>
        <w:t>应根据建设内容，分阶段制定合理的时间进度，并且应根据</w:t>
      </w:r>
      <w:r>
        <w:rPr>
          <w:rFonts w:hint="eastAsia" w:ascii="仿宋" w:hAnsi="仿宋" w:eastAsia="仿宋" w:cs="仿宋"/>
          <w:lang w:eastAsia="zh-CN"/>
        </w:rPr>
        <w:t>采购人</w:t>
      </w:r>
      <w:r>
        <w:rPr>
          <w:rFonts w:hint="eastAsia" w:ascii="仿宋" w:hAnsi="仿宋" w:eastAsia="仿宋" w:cs="仿宋"/>
        </w:rPr>
        <w:t>要求进行调整和细化。</w:t>
      </w:r>
    </w:p>
    <w:p w14:paraId="168EC2A4">
      <w:pPr>
        <w:rPr>
          <w:rFonts w:ascii="仿宋" w:hAnsi="仿宋" w:eastAsia="仿宋" w:cs="仿宋"/>
        </w:rPr>
      </w:pPr>
      <w:r>
        <w:rPr>
          <w:rFonts w:hint="eastAsia" w:ascii="仿宋" w:hAnsi="仿宋" w:eastAsia="仿宋" w:cs="仿宋"/>
        </w:rPr>
        <w:t>项目总体建设周期为7个月。分为以下四个阶段：</w:t>
      </w:r>
    </w:p>
    <w:p w14:paraId="7DCDB822">
      <w:pPr>
        <w:rPr>
          <w:rFonts w:ascii="仿宋" w:hAnsi="仿宋" w:eastAsia="仿宋" w:cs="仿宋"/>
        </w:rPr>
      </w:pPr>
      <w:r>
        <w:rPr>
          <w:rFonts w:hint="eastAsia" w:ascii="仿宋" w:hAnsi="仿宋" w:eastAsia="仿宋" w:cs="仿宋"/>
        </w:rPr>
        <w:t>第一阶段为T+30日，完成系统设计。</w:t>
      </w:r>
    </w:p>
    <w:p w14:paraId="581DF725">
      <w:pPr>
        <w:rPr>
          <w:rFonts w:ascii="仿宋" w:hAnsi="仿宋" w:eastAsia="仿宋" w:cs="仿宋"/>
        </w:rPr>
      </w:pPr>
      <w:r>
        <w:rPr>
          <w:rFonts w:hint="eastAsia" w:ascii="仿宋" w:hAnsi="仿宋" w:eastAsia="仿宋" w:cs="仿宋"/>
        </w:rPr>
        <w:t>第二阶段为T+150日，完成开发测试。</w:t>
      </w:r>
    </w:p>
    <w:p w14:paraId="109F3DF5">
      <w:pPr>
        <w:rPr>
          <w:rFonts w:ascii="仿宋" w:hAnsi="仿宋" w:eastAsia="仿宋" w:cs="仿宋"/>
        </w:rPr>
      </w:pPr>
      <w:r>
        <w:rPr>
          <w:rFonts w:hint="eastAsia" w:ascii="仿宋" w:hAnsi="仿宋" w:eastAsia="仿宋" w:cs="仿宋"/>
        </w:rPr>
        <w:t>第三阶段为T+180日，完成测试联调。</w:t>
      </w:r>
    </w:p>
    <w:p w14:paraId="4818889D">
      <w:pPr>
        <w:rPr>
          <w:rFonts w:ascii="仿宋" w:hAnsi="仿宋" w:eastAsia="仿宋" w:cs="仿宋"/>
        </w:rPr>
      </w:pPr>
      <w:r>
        <w:rPr>
          <w:rFonts w:hint="eastAsia" w:ascii="仿宋" w:hAnsi="仿宋" w:eastAsia="仿宋" w:cs="仿宋"/>
        </w:rPr>
        <w:t>第四阶段为T+210日，完成验收。</w:t>
      </w:r>
    </w:p>
    <w:p w14:paraId="703DDA1B">
      <w:pPr>
        <w:pStyle w:val="3"/>
        <w:rPr>
          <w:rFonts w:ascii="仿宋" w:hAnsi="仿宋" w:eastAsia="仿宋" w:cs="仿宋"/>
        </w:rPr>
      </w:pPr>
      <w:bookmarkStart w:id="34" w:name="_Toc63785510"/>
      <w:r>
        <w:rPr>
          <w:rFonts w:hint="eastAsia" w:ascii="仿宋" w:hAnsi="仿宋" w:eastAsia="仿宋" w:cs="仿宋"/>
        </w:rPr>
        <w:t>项目团队及驻场人员要求</w:t>
      </w:r>
      <w:bookmarkEnd w:id="34"/>
    </w:p>
    <w:p w14:paraId="0FE52D4E">
      <w:pPr>
        <w:rPr>
          <w:rFonts w:ascii="仿宋" w:hAnsi="仿宋" w:eastAsia="仿宋" w:cs="仿宋"/>
        </w:rPr>
      </w:pPr>
      <w:r>
        <w:rPr>
          <w:rFonts w:hint="eastAsia" w:ascii="仿宋" w:hAnsi="仿宋" w:eastAsia="仿宋" w:cs="仿宋"/>
        </w:rPr>
        <w:t>1）</w:t>
      </w:r>
      <w:r>
        <w:rPr>
          <w:rFonts w:hint="eastAsia" w:ascii="仿宋" w:hAnsi="仿宋" w:eastAsia="仿宋" w:cs="仿宋"/>
          <w:lang w:eastAsia="zh-CN"/>
        </w:rPr>
        <w:t>供应商</w:t>
      </w:r>
      <w:r>
        <w:rPr>
          <w:rFonts w:hint="eastAsia" w:ascii="仿宋" w:hAnsi="仿宋" w:eastAsia="仿宋" w:cs="仿宋"/>
        </w:rPr>
        <w:t>须具有稳定的在职技术保障力量，能够提供及时的技术支援或服务，应针对本项目提供不少于16人的项目服务团队（包括项目经理、技术负责人、开发负责人等），</w:t>
      </w:r>
      <w:r>
        <w:rPr>
          <w:rFonts w:hint="eastAsia" w:ascii="仿宋" w:hAnsi="仿宋" w:eastAsia="仿宋" w:cs="仿宋"/>
          <w:lang w:eastAsia="zh-CN"/>
        </w:rPr>
        <w:t>供应商</w:t>
      </w:r>
      <w:r>
        <w:rPr>
          <w:rFonts w:hint="eastAsia" w:ascii="仿宋" w:hAnsi="仿宋" w:eastAsia="仿宋" w:cs="仿宋"/>
        </w:rPr>
        <w:t>的相关服务人员需具备相应的服务能力，需提供相关证明。</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4140"/>
        <w:gridCol w:w="1605"/>
        <w:gridCol w:w="1181"/>
      </w:tblGrid>
      <w:tr w14:paraId="4616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68" w:type="pct"/>
            <w:shd w:val="clear" w:color="auto" w:fill="auto"/>
            <w:noWrap/>
            <w:vAlign w:val="center"/>
          </w:tcPr>
          <w:p w14:paraId="6607C799">
            <w:pPr>
              <w:widowControl/>
              <w:spacing w:line="240" w:lineRule="auto"/>
              <w:ind w:firstLine="0" w:firstLineChars="0"/>
              <w:jc w:val="center"/>
              <w:rPr>
                <w:rFonts w:ascii="仿宋" w:hAnsi="仿宋" w:eastAsia="仿宋" w:cs="仿宋"/>
                <w:b/>
              </w:rPr>
            </w:pPr>
            <w:r>
              <w:rPr>
                <w:rFonts w:hint="eastAsia" w:ascii="仿宋" w:hAnsi="仿宋" w:eastAsia="仿宋" w:cs="仿宋"/>
                <w:b/>
              </w:rPr>
              <w:t>角色</w:t>
            </w:r>
          </w:p>
        </w:tc>
        <w:tc>
          <w:tcPr>
            <w:tcW w:w="2458" w:type="pct"/>
            <w:shd w:val="clear" w:color="auto" w:fill="auto"/>
            <w:noWrap/>
            <w:vAlign w:val="center"/>
          </w:tcPr>
          <w:p w14:paraId="5381369C">
            <w:pPr>
              <w:widowControl/>
              <w:spacing w:line="240" w:lineRule="auto"/>
              <w:ind w:firstLine="0" w:firstLineChars="0"/>
              <w:jc w:val="center"/>
              <w:rPr>
                <w:rFonts w:ascii="仿宋" w:hAnsi="仿宋" w:eastAsia="仿宋" w:cs="仿宋"/>
                <w:b/>
              </w:rPr>
            </w:pPr>
            <w:r>
              <w:rPr>
                <w:rFonts w:hint="eastAsia" w:ascii="仿宋" w:hAnsi="仿宋" w:eastAsia="仿宋" w:cs="仿宋"/>
                <w:b/>
              </w:rPr>
              <w:t>主要职责</w:t>
            </w:r>
          </w:p>
        </w:tc>
        <w:tc>
          <w:tcPr>
            <w:tcW w:w="971" w:type="pct"/>
            <w:shd w:val="clear" w:color="auto" w:fill="auto"/>
            <w:noWrap/>
            <w:vAlign w:val="center"/>
          </w:tcPr>
          <w:p w14:paraId="1F18EC72">
            <w:pPr>
              <w:widowControl/>
              <w:spacing w:line="240" w:lineRule="auto"/>
              <w:ind w:firstLine="0" w:firstLineChars="0"/>
              <w:jc w:val="center"/>
              <w:rPr>
                <w:rFonts w:ascii="仿宋" w:hAnsi="仿宋" w:eastAsia="仿宋" w:cs="仿宋"/>
                <w:b/>
              </w:rPr>
            </w:pPr>
            <w:r>
              <w:rPr>
                <w:rFonts w:hint="eastAsia" w:ascii="仿宋" w:hAnsi="仿宋" w:eastAsia="仿宋" w:cs="仿宋"/>
                <w:b/>
              </w:rPr>
              <w:t>人员数量</w:t>
            </w:r>
          </w:p>
        </w:tc>
        <w:tc>
          <w:tcPr>
            <w:tcW w:w="601" w:type="pct"/>
            <w:shd w:val="clear" w:color="auto" w:fill="auto"/>
            <w:noWrap/>
            <w:vAlign w:val="center"/>
          </w:tcPr>
          <w:p w14:paraId="1A3388DD">
            <w:pPr>
              <w:widowControl/>
              <w:spacing w:line="240" w:lineRule="auto"/>
              <w:ind w:firstLine="0" w:firstLineChars="0"/>
              <w:jc w:val="center"/>
              <w:rPr>
                <w:rFonts w:ascii="仿宋" w:hAnsi="仿宋" w:eastAsia="仿宋" w:cs="仿宋"/>
                <w:b/>
              </w:rPr>
            </w:pPr>
            <w:r>
              <w:rPr>
                <w:rFonts w:hint="eastAsia" w:ascii="仿宋" w:hAnsi="仿宋" w:eastAsia="仿宋" w:cs="仿宋"/>
                <w:b/>
              </w:rPr>
              <w:t>驻场要求</w:t>
            </w:r>
          </w:p>
        </w:tc>
      </w:tr>
      <w:tr w14:paraId="4C94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68" w:type="pct"/>
            <w:shd w:val="clear" w:color="auto" w:fill="auto"/>
            <w:noWrap/>
            <w:vAlign w:val="center"/>
          </w:tcPr>
          <w:p w14:paraId="60142418">
            <w:pPr>
              <w:widowControl/>
              <w:spacing w:line="240" w:lineRule="auto"/>
              <w:ind w:firstLine="0" w:firstLineChars="0"/>
              <w:jc w:val="center"/>
              <w:rPr>
                <w:rFonts w:ascii="仿宋" w:hAnsi="仿宋" w:eastAsia="仿宋" w:cs="仿宋"/>
              </w:rPr>
            </w:pPr>
            <w:r>
              <w:rPr>
                <w:rFonts w:hint="eastAsia" w:ascii="仿宋" w:hAnsi="仿宋" w:eastAsia="仿宋" w:cs="仿宋"/>
              </w:rPr>
              <w:t>项目经理</w:t>
            </w:r>
          </w:p>
        </w:tc>
        <w:tc>
          <w:tcPr>
            <w:tcW w:w="2458" w:type="pct"/>
            <w:shd w:val="clear" w:color="auto" w:fill="auto"/>
            <w:vAlign w:val="center"/>
          </w:tcPr>
          <w:p w14:paraId="7FB98ECC">
            <w:pPr>
              <w:widowControl/>
              <w:spacing w:line="240" w:lineRule="auto"/>
              <w:ind w:firstLine="0" w:firstLineChars="0"/>
              <w:jc w:val="center"/>
              <w:rPr>
                <w:rFonts w:ascii="仿宋" w:hAnsi="仿宋" w:eastAsia="仿宋" w:cs="仿宋"/>
              </w:rPr>
            </w:pPr>
            <w:r>
              <w:rPr>
                <w:rFonts w:hint="eastAsia" w:ascii="仿宋" w:hAnsi="仿宋" w:eastAsia="仿宋" w:cs="仿宋"/>
              </w:rPr>
              <w:t>负责项目总体质量和进度控制</w:t>
            </w:r>
          </w:p>
        </w:tc>
        <w:tc>
          <w:tcPr>
            <w:tcW w:w="971" w:type="pct"/>
            <w:shd w:val="clear" w:color="auto" w:fill="auto"/>
            <w:noWrap/>
            <w:vAlign w:val="center"/>
          </w:tcPr>
          <w:p w14:paraId="0CA81F66">
            <w:pPr>
              <w:widowControl/>
              <w:spacing w:line="240" w:lineRule="auto"/>
              <w:ind w:firstLine="0" w:firstLineChars="0"/>
              <w:jc w:val="center"/>
              <w:rPr>
                <w:rFonts w:ascii="仿宋" w:hAnsi="仿宋" w:eastAsia="仿宋" w:cs="仿宋"/>
              </w:rPr>
            </w:pPr>
            <w:r>
              <w:rPr>
                <w:rFonts w:hint="eastAsia" w:ascii="仿宋" w:hAnsi="仿宋" w:eastAsia="仿宋" w:cs="仿宋"/>
              </w:rPr>
              <w:t>1人</w:t>
            </w:r>
          </w:p>
        </w:tc>
        <w:tc>
          <w:tcPr>
            <w:tcW w:w="601" w:type="pct"/>
            <w:shd w:val="clear" w:color="auto" w:fill="auto"/>
            <w:noWrap/>
            <w:vAlign w:val="center"/>
          </w:tcPr>
          <w:p w14:paraId="28C94620">
            <w:pPr>
              <w:widowControl/>
              <w:spacing w:line="240" w:lineRule="auto"/>
              <w:ind w:firstLine="0" w:firstLineChars="0"/>
              <w:jc w:val="center"/>
              <w:rPr>
                <w:rFonts w:ascii="仿宋" w:hAnsi="仿宋" w:eastAsia="仿宋" w:cs="仿宋"/>
                <w:highlight w:val="yellow"/>
              </w:rPr>
            </w:pPr>
            <w:r>
              <w:rPr>
                <w:rFonts w:hint="eastAsia" w:ascii="仿宋" w:hAnsi="仿宋" w:eastAsia="仿宋" w:cs="仿宋"/>
              </w:rPr>
              <w:t>驻场</w:t>
            </w:r>
          </w:p>
        </w:tc>
      </w:tr>
      <w:tr w14:paraId="5BE2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68" w:type="pct"/>
            <w:shd w:val="clear" w:color="auto" w:fill="auto"/>
            <w:noWrap/>
            <w:vAlign w:val="center"/>
          </w:tcPr>
          <w:p w14:paraId="666B3D08">
            <w:pPr>
              <w:widowControl/>
              <w:spacing w:line="240" w:lineRule="auto"/>
              <w:ind w:firstLine="0" w:firstLineChars="0"/>
              <w:jc w:val="center"/>
              <w:rPr>
                <w:rFonts w:ascii="仿宋" w:hAnsi="仿宋" w:eastAsia="仿宋" w:cs="仿宋"/>
              </w:rPr>
            </w:pPr>
            <w:r>
              <w:rPr>
                <w:rFonts w:hint="eastAsia" w:ascii="仿宋" w:hAnsi="仿宋" w:eastAsia="仿宋" w:cs="仿宋"/>
              </w:rPr>
              <w:t>技术负责人</w:t>
            </w:r>
          </w:p>
        </w:tc>
        <w:tc>
          <w:tcPr>
            <w:tcW w:w="2458" w:type="pct"/>
            <w:shd w:val="clear" w:color="auto" w:fill="auto"/>
            <w:vAlign w:val="center"/>
          </w:tcPr>
          <w:p w14:paraId="3B114B1A">
            <w:pPr>
              <w:widowControl/>
              <w:spacing w:line="240" w:lineRule="auto"/>
              <w:ind w:firstLine="0" w:firstLineChars="0"/>
              <w:jc w:val="center"/>
              <w:rPr>
                <w:rFonts w:ascii="仿宋" w:hAnsi="仿宋" w:eastAsia="仿宋" w:cs="仿宋"/>
              </w:rPr>
            </w:pPr>
            <w:r>
              <w:rPr>
                <w:rFonts w:hint="eastAsia" w:ascii="仿宋" w:hAnsi="仿宋" w:eastAsia="仿宋" w:cs="仿宋"/>
              </w:rPr>
              <w:t>负责技术框架内容把控，对项目中的重大技术问题进行决策，包括技术选型、框架选择、系统设计等</w:t>
            </w:r>
          </w:p>
        </w:tc>
        <w:tc>
          <w:tcPr>
            <w:tcW w:w="971" w:type="pct"/>
            <w:shd w:val="clear" w:color="auto" w:fill="auto"/>
            <w:noWrap/>
            <w:vAlign w:val="center"/>
          </w:tcPr>
          <w:p w14:paraId="217AED34">
            <w:pPr>
              <w:widowControl/>
              <w:spacing w:line="240" w:lineRule="auto"/>
              <w:ind w:firstLine="0" w:firstLineChars="0"/>
              <w:jc w:val="center"/>
              <w:rPr>
                <w:rFonts w:ascii="仿宋" w:hAnsi="仿宋" w:eastAsia="仿宋" w:cs="仿宋"/>
              </w:rPr>
            </w:pPr>
            <w:r>
              <w:rPr>
                <w:rFonts w:hint="eastAsia" w:ascii="仿宋" w:hAnsi="仿宋" w:eastAsia="仿宋" w:cs="仿宋"/>
              </w:rPr>
              <w:t>1人</w:t>
            </w:r>
          </w:p>
        </w:tc>
        <w:tc>
          <w:tcPr>
            <w:tcW w:w="601" w:type="pct"/>
            <w:shd w:val="clear" w:color="auto" w:fill="auto"/>
            <w:noWrap/>
            <w:vAlign w:val="center"/>
          </w:tcPr>
          <w:p w14:paraId="03EAA5AF">
            <w:pPr>
              <w:widowControl/>
              <w:spacing w:line="240" w:lineRule="auto"/>
              <w:ind w:firstLine="0" w:firstLineChars="0"/>
              <w:jc w:val="center"/>
              <w:rPr>
                <w:rFonts w:ascii="仿宋" w:hAnsi="仿宋" w:eastAsia="仿宋" w:cs="仿宋"/>
              </w:rPr>
            </w:pPr>
            <w:r>
              <w:rPr>
                <w:rFonts w:hint="eastAsia" w:ascii="仿宋" w:hAnsi="仿宋" w:eastAsia="仿宋" w:cs="仿宋"/>
              </w:rPr>
              <w:t>不驻场</w:t>
            </w:r>
          </w:p>
        </w:tc>
      </w:tr>
      <w:tr w14:paraId="0909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68" w:type="pct"/>
            <w:shd w:val="clear" w:color="auto" w:fill="auto"/>
            <w:noWrap/>
            <w:vAlign w:val="center"/>
          </w:tcPr>
          <w:p w14:paraId="2670CCCC">
            <w:pPr>
              <w:widowControl/>
              <w:spacing w:line="240" w:lineRule="auto"/>
              <w:ind w:firstLine="0" w:firstLineChars="0"/>
              <w:jc w:val="center"/>
              <w:rPr>
                <w:rFonts w:ascii="仿宋" w:hAnsi="仿宋" w:eastAsia="仿宋" w:cs="仿宋"/>
              </w:rPr>
            </w:pPr>
            <w:r>
              <w:rPr>
                <w:rFonts w:hint="eastAsia" w:ascii="仿宋" w:hAnsi="仿宋" w:eastAsia="仿宋" w:cs="仿宋"/>
              </w:rPr>
              <w:t>开发负责人</w:t>
            </w:r>
          </w:p>
        </w:tc>
        <w:tc>
          <w:tcPr>
            <w:tcW w:w="2458" w:type="pct"/>
            <w:shd w:val="clear" w:color="auto" w:fill="auto"/>
            <w:vAlign w:val="center"/>
          </w:tcPr>
          <w:p w14:paraId="506D772A">
            <w:pPr>
              <w:widowControl/>
              <w:spacing w:line="240" w:lineRule="auto"/>
              <w:ind w:firstLine="0" w:firstLineChars="0"/>
              <w:jc w:val="center"/>
              <w:rPr>
                <w:rFonts w:ascii="仿宋" w:hAnsi="仿宋" w:eastAsia="仿宋" w:cs="仿宋"/>
              </w:rPr>
            </w:pPr>
            <w:r>
              <w:rPr>
                <w:rFonts w:hint="eastAsia" w:ascii="仿宋" w:hAnsi="仿宋" w:eastAsia="仿宋" w:cs="仿宋"/>
              </w:rPr>
              <w:t>负责平台软件开发框架，监督和管理代码的开发、版本控制、代码审查等</w:t>
            </w:r>
          </w:p>
        </w:tc>
        <w:tc>
          <w:tcPr>
            <w:tcW w:w="971" w:type="pct"/>
            <w:shd w:val="clear" w:color="auto" w:fill="auto"/>
            <w:noWrap/>
            <w:vAlign w:val="center"/>
          </w:tcPr>
          <w:p w14:paraId="128163EC">
            <w:pPr>
              <w:widowControl/>
              <w:spacing w:line="240" w:lineRule="auto"/>
              <w:ind w:firstLine="0" w:firstLineChars="0"/>
              <w:jc w:val="center"/>
              <w:rPr>
                <w:rFonts w:ascii="仿宋" w:hAnsi="仿宋" w:eastAsia="仿宋" w:cs="仿宋"/>
              </w:rPr>
            </w:pPr>
            <w:r>
              <w:rPr>
                <w:rFonts w:hint="eastAsia" w:ascii="仿宋" w:hAnsi="仿宋" w:eastAsia="仿宋" w:cs="仿宋"/>
              </w:rPr>
              <w:t>1人</w:t>
            </w:r>
          </w:p>
        </w:tc>
        <w:tc>
          <w:tcPr>
            <w:tcW w:w="601" w:type="pct"/>
            <w:shd w:val="clear" w:color="auto" w:fill="auto"/>
            <w:noWrap/>
            <w:vAlign w:val="center"/>
          </w:tcPr>
          <w:p w14:paraId="08E30A29">
            <w:pPr>
              <w:widowControl/>
              <w:spacing w:line="240" w:lineRule="auto"/>
              <w:ind w:firstLine="0" w:firstLineChars="0"/>
              <w:jc w:val="center"/>
              <w:rPr>
                <w:rFonts w:ascii="仿宋" w:hAnsi="仿宋" w:eastAsia="仿宋" w:cs="仿宋"/>
              </w:rPr>
            </w:pPr>
            <w:r>
              <w:rPr>
                <w:rFonts w:hint="eastAsia" w:ascii="仿宋" w:hAnsi="仿宋" w:eastAsia="仿宋" w:cs="仿宋"/>
              </w:rPr>
              <w:t>驻场</w:t>
            </w:r>
          </w:p>
        </w:tc>
      </w:tr>
      <w:tr w14:paraId="4CD4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68" w:type="pct"/>
            <w:shd w:val="clear" w:color="auto" w:fill="auto"/>
            <w:noWrap/>
            <w:vAlign w:val="center"/>
          </w:tcPr>
          <w:p w14:paraId="4E969E6E">
            <w:pPr>
              <w:widowControl/>
              <w:spacing w:line="240" w:lineRule="auto"/>
              <w:ind w:firstLine="0" w:firstLineChars="0"/>
              <w:jc w:val="center"/>
              <w:rPr>
                <w:rFonts w:ascii="仿宋" w:hAnsi="仿宋" w:eastAsia="仿宋" w:cs="仿宋"/>
              </w:rPr>
            </w:pPr>
            <w:r>
              <w:rPr>
                <w:rFonts w:hint="eastAsia" w:ascii="仿宋" w:hAnsi="仿宋" w:eastAsia="仿宋" w:cs="仿宋"/>
              </w:rPr>
              <w:t>实施人员</w:t>
            </w:r>
          </w:p>
        </w:tc>
        <w:tc>
          <w:tcPr>
            <w:tcW w:w="2458" w:type="pct"/>
            <w:shd w:val="clear" w:color="auto" w:fill="auto"/>
            <w:noWrap/>
            <w:vAlign w:val="center"/>
          </w:tcPr>
          <w:p w14:paraId="0348B9EE">
            <w:pPr>
              <w:widowControl/>
              <w:spacing w:line="240" w:lineRule="auto"/>
              <w:ind w:firstLine="0" w:firstLineChars="0"/>
              <w:jc w:val="center"/>
              <w:rPr>
                <w:rFonts w:ascii="仿宋" w:hAnsi="仿宋" w:eastAsia="仿宋" w:cs="仿宋"/>
              </w:rPr>
            </w:pPr>
            <w:r>
              <w:rPr>
                <w:rFonts w:hint="eastAsia" w:ascii="仿宋" w:hAnsi="仿宋" w:eastAsia="仿宋" w:cs="仿宋"/>
              </w:rPr>
              <w:t>负责项目具体开发与实施</w:t>
            </w:r>
          </w:p>
        </w:tc>
        <w:tc>
          <w:tcPr>
            <w:tcW w:w="971" w:type="pct"/>
            <w:shd w:val="clear" w:color="auto" w:fill="auto"/>
            <w:noWrap/>
            <w:vAlign w:val="center"/>
          </w:tcPr>
          <w:p w14:paraId="18119C61">
            <w:pPr>
              <w:widowControl/>
              <w:spacing w:line="240" w:lineRule="auto"/>
              <w:ind w:firstLine="0" w:firstLineChars="0"/>
              <w:jc w:val="center"/>
              <w:rPr>
                <w:rFonts w:ascii="仿宋" w:hAnsi="仿宋" w:eastAsia="仿宋" w:cs="仿宋"/>
              </w:rPr>
            </w:pPr>
            <w:r>
              <w:rPr>
                <w:rFonts w:hint="eastAsia" w:ascii="仿宋" w:hAnsi="仿宋" w:eastAsia="仿宋" w:cs="仿宋"/>
              </w:rPr>
              <w:t>13人</w:t>
            </w:r>
          </w:p>
        </w:tc>
        <w:tc>
          <w:tcPr>
            <w:tcW w:w="601" w:type="pct"/>
            <w:shd w:val="clear" w:color="auto" w:fill="auto"/>
            <w:noWrap/>
            <w:vAlign w:val="center"/>
          </w:tcPr>
          <w:p w14:paraId="76A90290">
            <w:pPr>
              <w:widowControl/>
              <w:spacing w:line="240" w:lineRule="auto"/>
              <w:ind w:firstLine="0" w:firstLineChars="0"/>
              <w:jc w:val="center"/>
              <w:rPr>
                <w:rFonts w:ascii="仿宋" w:hAnsi="仿宋" w:eastAsia="仿宋" w:cs="仿宋"/>
              </w:rPr>
            </w:pPr>
            <w:r>
              <w:rPr>
                <w:rFonts w:hint="eastAsia" w:ascii="仿宋" w:hAnsi="仿宋" w:eastAsia="仿宋" w:cs="仿宋"/>
              </w:rPr>
              <w:t>不驻场</w:t>
            </w:r>
          </w:p>
        </w:tc>
      </w:tr>
    </w:tbl>
    <w:p w14:paraId="4EBF267C">
      <w:pPr>
        <w:rPr>
          <w:rFonts w:hint="eastAsia" w:ascii="仿宋" w:hAnsi="仿宋" w:eastAsia="仿宋" w:cs="仿宋"/>
        </w:rPr>
      </w:pPr>
      <w:r>
        <w:rPr>
          <w:rFonts w:hint="eastAsia" w:ascii="仿宋" w:hAnsi="仿宋" w:eastAsia="仿宋" w:cs="仿宋"/>
        </w:rPr>
        <w:t>项目经理</w:t>
      </w:r>
      <w:r>
        <w:rPr>
          <w:rFonts w:hint="eastAsia" w:ascii="仿宋" w:hAnsi="仿宋" w:eastAsia="仿宋" w:cs="仿宋"/>
          <w:lang w:val="en-US" w:eastAsia="zh-CN"/>
        </w:rPr>
        <w:t>应当具有</w:t>
      </w:r>
      <w:r>
        <w:rPr>
          <w:rFonts w:hint="eastAsia" w:ascii="仿宋" w:hAnsi="仿宋" w:eastAsia="仿宋" w:cs="仿宋"/>
        </w:rPr>
        <w:t>全日制本科及以上学历</w:t>
      </w:r>
      <w:r>
        <w:rPr>
          <w:rFonts w:hint="eastAsia" w:ascii="仿宋" w:hAnsi="仿宋" w:eastAsia="仿宋" w:cs="仿宋"/>
          <w:lang w:eastAsia="zh-CN"/>
        </w:rPr>
        <w:t>，</w:t>
      </w:r>
      <w:r>
        <w:rPr>
          <w:rFonts w:hint="eastAsia" w:ascii="仿宋" w:hAnsi="仿宋" w:eastAsia="仿宋" w:cs="仿宋"/>
          <w:lang w:val="en-US" w:eastAsia="zh-CN"/>
        </w:rPr>
        <w:t>具备</w:t>
      </w:r>
      <w:r>
        <w:rPr>
          <w:rFonts w:hint="eastAsia" w:ascii="仿宋" w:hAnsi="仿宋" w:eastAsia="仿宋" w:cs="仿宋"/>
        </w:rPr>
        <w:t>信息系统项目管理师证书</w:t>
      </w:r>
      <w:r>
        <w:rPr>
          <w:rFonts w:hint="eastAsia" w:ascii="仿宋" w:hAnsi="仿宋" w:eastAsia="仿宋" w:cs="仿宋"/>
          <w:lang w:eastAsia="zh-CN"/>
        </w:rPr>
        <w:t>；</w:t>
      </w:r>
      <w:r>
        <w:rPr>
          <w:rFonts w:hint="eastAsia" w:ascii="仿宋" w:hAnsi="仿宋" w:eastAsia="仿宋" w:cs="仿宋"/>
          <w:lang w:val="en-US" w:eastAsia="zh-CN"/>
        </w:rPr>
        <w:t>团队开发人员应当具有信息系统项目管理师、系统架构设计师、系统分析师、软件设计师等相关证书。</w:t>
      </w:r>
    </w:p>
    <w:p w14:paraId="08228C49">
      <w:pPr>
        <w:rPr>
          <w:rFonts w:ascii="仿宋" w:hAnsi="仿宋" w:eastAsia="仿宋" w:cs="仿宋"/>
        </w:rPr>
      </w:pPr>
      <w:r>
        <w:rPr>
          <w:rFonts w:hint="eastAsia" w:ascii="仿宋" w:hAnsi="仿宋" w:eastAsia="仿宋" w:cs="仿宋"/>
        </w:rPr>
        <w:t>2）</w:t>
      </w:r>
      <w:r>
        <w:rPr>
          <w:rFonts w:hint="eastAsia" w:ascii="仿宋" w:hAnsi="仿宋" w:eastAsia="仿宋" w:cs="仿宋"/>
          <w:lang w:eastAsia="zh-CN"/>
        </w:rPr>
        <w:t>供应商</w:t>
      </w:r>
      <w:r>
        <w:rPr>
          <w:rFonts w:hint="eastAsia" w:ascii="仿宋" w:hAnsi="仿宋" w:eastAsia="仿宋" w:cs="仿宋"/>
        </w:rPr>
        <w:t>应针对本项目提供不少于3人的质保期间的支撑团队（其中技术经理1人，运维主管1人，技术工程师不少于1人），</w:t>
      </w:r>
      <w:r>
        <w:rPr>
          <w:rFonts w:hint="eastAsia" w:ascii="仿宋" w:hAnsi="仿宋" w:eastAsia="仿宋" w:cs="仿宋"/>
          <w:lang w:eastAsia="zh-CN"/>
        </w:rPr>
        <w:t>供应商</w:t>
      </w:r>
      <w:r>
        <w:rPr>
          <w:rFonts w:hint="eastAsia" w:ascii="仿宋" w:hAnsi="仿宋" w:eastAsia="仿宋" w:cs="仿宋"/>
        </w:rPr>
        <w:t>的相关服务人员需具备相应的服务能力，需提供相关证明。</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4113"/>
        <w:gridCol w:w="1631"/>
        <w:gridCol w:w="1180"/>
      </w:tblGrid>
      <w:tr w14:paraId="32EA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shd w:val="clear" w:color="auto" w:fill="auto"/>
            <w:noWrap/>
            <w:vAlign w:val="center"/>
          </w:tcPr>
          <w:p w14:paraId="306C914E">
            <w:pPr>
              <w:widowControl/>
              <w:spacing w:line="240" w:lineRule="auto"/>
              <w:ind w:firstLine="0" w:firstLineChars="0"/>
              <w:jc w:val="center"/>
              <w:rPr>
                <w:rFonts w:ascii="仿宋" w:hAnsi="仿宋" w:eastAsia="仿宋" w:cs="仿宋"/>
                <w:b/>
              </w:rPr>
            </w:pPr>
            <w:r>
              <w:rPr>
                <w:rFonts w:hint="eastAsia" w:ascii="仿宋" w:hAnsi="仿宋" w:eastAsia="仿宋" w:cs="仿宋"/>
                <w:b/>
              </w:rPr>
              <w:t>角色</w:t>
            </w:r>
          </w:p>
        </w:tc>
        <w:tc>
          <w:tcPr>
            <w:tcW w:w="2443" w:type="pct"/>
            <w:shd w:val="clear" w:color="auto" w:fill="auto"/>
            <w:noWrap/>
            <w:vAlign w:val="center"/>
          </w:tcPr>
          <w:p w14:paraId="500F2D6F">
            <w:pPr>
              <w:widowControl/>
              <w:spacing w:line="240" w:lineRule="auto"/>
              <w:ind w:firstLine="0" w:firstLineChars="0"/>
              <w:jc w:val="center"/>
              <w:rPr>
                <w:rFonts w:ascii="仿宋" w:hAnsi="仿宋" w:eastAsia="仿宋" w:cs="仿宋"/>
                <w:b/>
              </w:rPr>
            </w:pPr>
            <w:r>
              <w:rPr>
                <w:rFonts w:hint="eastAsia" w:ascii="仿宋" w:hAnsi="仿宋" w:eastAsia="仿宋" w:cs="仿宋"/>
                <w:b/>
              </w:rPr>
              <w:t>主要职责</w:t>
            </w:r>
          </w:p>
        </w:tc>
        <w:tc>
          <w:tcPr>
            <w:tcW w:w="988" w:type="pct"/>
            <w:shd w:val="clear" w:color="auto" w:fill="auto"/>
            <w:noWrap/>
            <w:vAlign w:val="center"/>
          </w:tcPr>
          <w:p w14:paraId="714EDBD4">
            <w:pPr>
              <w:widowControl/>
              <w:spacing w:line="240" w:lineRule="auto"/>
              <w:ind w:firstLine="0" w:firstLineChars="0"/>
              <w:jc w:val="center"/>
              <w:rPr>
                <w:rFonts w:ascii="仿宋" w:hAnsi="仿宋" w:eastAsia="仿宋" w:cs="仿宋"/>
                <w:b/>
              </w:rPr>
            </w:pPr>
            <w:r>
              <w:rPr>
                <w:rFonts w:hint="eastAsia" w:ascii="仿宋" w:hAnsi="仿宋" w:eastAsia="仿宋" w:cs="仿宋"/>
                <w:b/>
              </w:rPr>
              <w:t>人员数量</w:t>
            </w:r>
          </w:p>
        </w:tc>
        <w:tc>
          <w:tcPr>
            <w:tcW w:w="596" w:type="pct"/>
            <w:shd w:val="clear" w:color="auto" w:fill="auto"/>
            <w:noWrap/>
            <w:vAlign w:val="center"/>
          </w:tcPr>
          <w:p w14:paraId="7954526B">
            <w:pPr>
              <w:widowControl/>
              <w:spacing w:line="240" w:lineRule="auto"/>
              <w:ind w:firstLine="0" w:firstLineChars="0"/>
              <w:jc w:val="center"/>
              <w:rPr>
                <w:rFonts w:ascii="仿宋" w:hAnsi="仿宋" w:eastAsia="仿宋" w:cs="仿宋"/>
                <w:b/>
              </w:rPr>
            </w:pPr>
            <w:r>
              <w:rPr>
                <w:rFonts w:hint="eastAsia" w:ascii="仿宋" w:hAnsi="仿宋" w:eastAsia="仿宋" w:cs="仿宋"/>
                <w:b/>
              </w:rPr>
              <w:t>驻场要求</w:t>
            </w:r>
          </w:p>
        </w:tc>
      </w:tr>
      <w:tr w14:paraId="0C36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shd w:val="clear" w:color="auto" w:fill="auto"/>
            <w:noWrap/>
            <w:vAlign w:val="center"/>
          </w:tcPr>
          <w:p w14:paraId="7268F769">
            <w:pPr>
              <w:widowControl/>
              <w:spacing w:line="240" w:lineRule="auto"/>
              <w:ind w:firstLine="0" w:firstLineChars="0"/>
              <w:jc w:val="center"/>
              <w:rPr>
                <w:rFonts w:ascii="仿宋" w:hAnsi="仿宋" w:eastAsia="仿宋" w:cs="仿宋"/>
              </w:rPr>
            </w:pPr>
            <w:r>
              <w:rPr>
                <w:rFonts w:hint="eastAsia" w:ascii="仿宋" w:hAnsi="仿宋" w:eastAsia="仿宋" w:cs="仿宋"/>
              </w:rPr>
              <w:t>项目经理</w:t>
            </w:r>
          </w:p>
        </w:tc>
        <w:tc>
          <w:tcPr>
            <w:tcW w:w="2443" w:type="pct"/>
            <w:shd w:val="clear" w:color="auto" w:fill="auto"/>
            <w:vAlign w:val="center"/>
          </w:tcPr>
          <w:p w14:paraId="3FE86597">
            <w:pPr>
              <w:widowControl/>
              <w:spacing w:line="240" w:lineRule="auto"/>
              <w:ind w:firstLine="0" w:firstLineChars="0"/>
              <w:jc w:val="center"/>
              <w:rPr>
                <w:rFonts w:ascii="仿宋" w:hAnsi="仿宋" w:eastAsia="仿宋" w:cs="仿宋"/>
              </w:rPr>
            </w:pPr>
            <w:r>
              <w:rPr>
                <w:rFonts w:hint="eastAsia" w:ascii="仿宋" w:hAnsi="仿宋" w:eastAsia="仿宋" w:cs="仿宋"/>
              </w:rPr>
              <w:t>负责项目运维质量和安全控制</w:t>
            </w:r>
          </w:p>
        </w:tc>
        <w:tc>
          <w:tcPr>
            <w:tcW w:w="988" w:type="pct"/>
            <w:shd w:val="clear" w:color="auto" w:fill="auto"/>
            <w:noWrap/>
            <w:vAlign w:val="center"/>
          </w:tcPr>
          <w:p w14:paraId="518E21CE">
            <w:pPr>
              <w:widowControl/>
              <w:spacing w:line="240" w:lineRule="auto"/>
              <w:ind w:firstLine="0" w:firstLineChars="0"/>
              <w:jc w:val="center"/>
              <w:rPr>
                <w:rFonts w:ascii="仿宋" w:hAnsi="仿宋" w:eastAsia="仿宋" w:cs="仿宋"/>
              </w:rPr>
            </w:pPr>
            <w:r>
              <w:rPr>
                <w:rFonts w:hint="eastAsia" w:ascii="仿宋" w:hAnsi="仿宋" w:eastAsia="仿宋" w:cs="仿宋"/>
              </w:rPr>
              <w:t>1人</w:t>
            </w:r>
          </w:p>
        </w:tc>
        <w:tc>
          <w:tcPr>
            <w:tcW w:w="596" w:type="pct"/>
            <w:shd w:val="clear" w:color="auto" w:fill="auto"/>
            <w:noWrap/>
            <w:vAlign w:val="center"/>
          </w:tcPr>
          <w:p w14:paraId="54B3AE68">
            <w:pPr>
              <w:widowControl/>
              <w:spacing w:line="240" w:lineRule="auto"/>
              <w:ind w:firstLine="0" w:firstLineChars="0"/>
              <w:jc w:val="center"/>
              <w:rPr>
                <w:rFonts w:ascii="仿宋" w:hAnsi="仿宋" w:eastAsia="仿宋" w:cs="仿宋"/>
              </w:rPr>
            </w:pPr>
            <w:r>
              <w:rPr>
                <w:rFonts w:hint="eastAsia" w:ascii="仿宋" w:hAnsi="仿宋" w:eastAsia="仿宋" w:cs="仿宋"/>
              </w:rPr>
              <w:t>不驻场</w:t>
            </w:r>
          </w:p>
        </w:tc>
      </w:tr>
      <w:tr w14:paraId="1106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shd w:val="clear" w:color="auto" w:fill="auto"/>
            <w:noWrap/>
            <w:vAlign w:val="center"/>
          </w:tcPr>
          <w:p w14:paraId="2873CB50">
            <w:pPr>
              <w:widowControl/>
              <w:spacing w:line="240" w:lineRule="auto"/>
              <w:ind w:firstLine="0" w:firstLineChars="0"/>
              <w:jc w:val="center"/>
              <w:rPr>
                <w:rFonts w:ascii="仿宋" w:hAnsi="仿宋" w:eastAsia="仿宋" w:cs="仿宋"/>
              </w:rPr>
            </w:pPr>
            <w:r>
              <w:rPr>
                <w:rFonts w:hint="eastAsia" w:ascii="仿宋" w:hAnsi="仿宋" w:eastAsia="仿宋" w:cs="仿宋"/>
              </w:rPr>
              <w:t>运维主管</w:t>
            </w:r>
          </w:p>
        </w:tc>
        <w:tc>
          <w:tcPr>
            <w:tcW w:w="2443" w:type="pct"/>
            <w:shd w:val="clear" w:color="auto" w:fill="auto"/>
            <w:vAlign w:val="center"/>
          </w:tcPr>
          <w:p w14:paraId="7D4B8C4F">
            <w:pPr>
              <w:widowControl/>
              <w:spacing w:line="240" w:lineRule="auto"/>
              <w:ind w:firstLine="0" w:firstLineChars="0"/>
              <w:jc w:val="center"/>
              <w:rPr>
                <w:rFonts w:ascii="仿宋" w:hAnsi="仿宋" w:eastAsia="仿宋" w:cs="仿宋"/>
              </w:rPr>
            </w:pPr>
            <w:r>
              <w:rPr>
                <w:rFonts w:hint="eastAsia" w:ascii="仿宋" w:hAnsi="仿宋" w:eastAsia="仿宋" w:cs="仿宋"/>
              </w:rPr>
              <w:t>负责项目安全运行</w:t>
            </w:r>
          </w:p>
        </w:tc>
        <w:tc>
          <w:tcPr>
            <w:tcW w:w="988" w:type="pct"/>
            <w:shd w:val="clear" w:color="auto" w:fill="auto"/>
            <w:noWrap/>
            <w:vAlign w:val="center"/>
          </w:tcPr>
          <w:p w14:paraId="5652A124">
            <w:pPr>
              <w:widowControl/>
              <w:spacing w:line="240" w:lineRule="auto"/>
              <w:ind w:firstLine="0" w:firstLineChars="0"/>
              <w:jc w:val="center"/>
              <w:rPr>
                <w:rFonts w:ascii="仿宋" w:hAnsi="仿宋" w:eastAsia="仿宋" w:cs="仿宋"/>
              </w:rPr>
            </w:pPr>
            <w:r>
              <w:rPr>
                <w:rFonts w:hint="eastAsia" w:ascii="仿宋" w:hAnsi="仿宋" w:eastAsia="仿宋" w:cs="仿宋"/>
              </w:rPr>
              <w:t>1人</w:t>
            </w:r>
          </w:p>
        </w:tc>
        <w:tc>
          <w:tcPr>
            <w:tcW w:w="596" w:type="pct"/>
            <w:shd w:val="clear" w:color="auto" w:fill="auto"/>
            <w:noWrap/>
            <w:vAlign w:val="center"/>
          </w:tcPr>
          <w:p w14:paraId="3AFCD864">
            <w:pPr>
              <w:widowControl/>
              <w:spacing w:line="240" w:lineRule="auto"/>
              <w:ind w:firstLine="0" w:firstLineChars="0"/>
              <w:jc w:val="center"/>
              <w:rPr>
                <w:rFonts w:ascii="仿宋" w:hAnsi="仿宋" w:eastAsia="仿宋" w:cs="仿宋"/>
              </w:rPr>
            </w:pPr>
            <w:r>
              <w:rPr>
                <w:rFonts w:hint="eastAsia" w:ascii="仿宋" w:hAnsi="仿宋" w:eastAsia="仿宋" w:cs="仿宋"/>
              </w:rPr>
              <w:t>不驻场</w:t>
            </w:r>
          </w:p>
        </w:tc>
      </w:tr>
      <w:tr w14:paraId="5F14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shd w:val="clear" w:color="auto" w:fill="auto"/>
            <w:noWrap/>
            <w:vAlign w:val="center"/>
          </w:tcPr>
          <w:p w14:paraId="38DAC5D7">
            <w:pPr>
              <w:widowControl/>
              <w:spacing w:line="240" w:lineRule="auto"/>
              <w:ind w:firstLine="0" w:firstLineChars="0"/>
              <w:jc w:val="center"/>
              <w:rPr>
                <w:rFonts w:ascii="仿宋" w:hAnsi="仿宋" w:eastAsia="仿宋" w:cs="仿宋"/>
              </w:rPr>
            </w:pPr>
            <w:r>
              <w:rPr>
                <w:rFonts w:hint="eastAsia" w:ascii="仿宋" w:hAnsi="仿宋" w:eastAsia="仿宋" w:cs="仿宋"/>
              </w:rPr>
              <w:t>技术工程师</w:t>
            </w:r>
          </w:p>
        </w:tc>
        <w:tc>
          <w:tcPr>
            <w:tcW w:w="2443" w:type="pct"/>
            <w:shd w:val="clear" w:color="auto" w:fill="auto"/>
            <w:noWrap/>
            <w:vAlign w:val="center"/>
          </w:tcPr>
          <w:p w14:paraId="3BE48C3E">
            <w:pPr>
              <w:widowControl/>
              <w:spacing w:line="240" w:lineRule="auto"/>
              <w:ind w:firstLine="0" w:firstLineChars="0"/>
              <w:jc w:val="center"/>
              <w:rPr>
                <w:rFonts w:ascii="仿宋" w:hAnsi="仿宋" w:eastAsia="仿宋" w:cs="仿宋"/>
              </w:rPr>
            </w:pPr>
            <w:r>
              <w:rPr>
                <w:rFonts w:hint="eastAsia" w:ascii="仿宋" w:hAnsi="仿宋" w:eastAsia="仿宋" w:cs="仿宋"/>
              </w:rPr>
              <w:t>负责项目运行维护</w:t>
            </w:r>
          </w:p>
        </w:tc>
        <w:tc>
          <w:tcPr>
            <w:tcW w:w="988" w:type="pct"/>
            <w:shd w:val="clear" w:color="auto" w:fill="auto"/>
            <w:noWrap/>
            <w:vAlign w:val="center"/>
          </w:tcPr>
          <w:p w14:paraId="49E4F6C5">
            <w:pPr>
              <w:widowControl/>
              <w:spacing w:line="240" w:lineRule="auto"/>
              <w:ind w:firstLine="0" w:firstLineChars="0"/>
              <w:jc w:val="center"/>
              <w:rPr>
                <w:rFonts w:ascii="仿宋" w:hAnsi="仿宋" w:eastAsia="仿宋" w:cs="仿宋"/>
              </w:rPr>
            </w:pPr>
            <w:r>
              <w:rPr>
                <w:rFonts w:hint="eastAsia" w:ascii="仿宋" w:hAnsi="仿宋" w:eastAsia="仿宋" w:cs="仿宋"/>
              </w:rPr>
              <w:t>1人</w:t>
            </w:r>
          </w:p>
        </w:tc>
        <w:tc>
          <w:tcPr>
            <w:tcW w:w="596" w:type="pct"/>
            <w:shd w:val="clear" w:color="auto" w:fill="auto"/>
            <w:noWrap/>
            <w:vAlign w:val="center"/>
          </w:tcPr>
          <w:p w14:paraId="6FDBD202">
            <w:pPr>
              <w:widowControl/>
              <w:spacing w:line="240" w:lineRule="auto"/>
              <w:ind w:firstLine="0" w:firstLineChars="0"/>
              <w:jc w:val="center"/>
              <w:rPr>
                <w:rFonts w:ascii="仿宋" w:hAnsi="仿宋" w:eastAsia="仿宋" w:cs="仿宋"/>
              </w:rPr>
            </w:pPr>
            <w:r>
              <w:rPr>
                <w:rFonts w:hint="eastAsia" w:ascii="仿宋" w:hAnsi="仿宋" w:eastAsia="仿宋" w:cs="仿宋"/>
              </w:rPr>
              <w:t>驻场</w:t>
            </w:r>
          </w:p>
        </w:tc>
      </w:tr>
    </w:tbl>
    <w:p w14:paraId="326DCB8A">
      <w:pPr>
        <w:pStyle w:val="3"/>
        <w:rPr>
          <w:rFonts w:ascii="仿宋" w:hAnsi="仿宋" w:eastAsia="仿宋" w:cs="仿宋"/>
        </w:rPr>
      </w:pPr>
      <w:bookmarkStart w:id="35" w:name="_Toc63785511"/>
      <w:r>
        <w:rPr>
          <w:rFonts w:hint="eastAsia" w:ascii="仿宋" w:hAnsi="仿宋" w:eastAsia="仿宋" w:cs="仿宋"/>
        </w:rPr>
        <w:t>等级保护要求</w:t>
      </w:r>
      <w:bookmarkEnd w:id="35"/>
    </w:p>
    <w:p w14:paraId="39263643">
      <w:pPr>
        <w:rPr>
          <w:rFonts w:ascii="仿宋" w:hAnsi="仿宋" w:eastAsia="仿宋" w:cs="仿宋"/>
        </w:rPr>
      </w:pPr>
      <w:r>
        <w:rPr>
          <w:rFonts w:hint="eastAsia" w:ascii="仿宋" w:hAnsi="仿宋" w:eastAsia="仿宋" w:cs="仿宋"/>
        </w:rPr>
        <w:t>本项目参照信息安全等级保护三级建设，项目验收前应通过安全测评，报告关键要素应</w:t>
      </w:r>
      <w:r>
        <w:rPr>
          <w:rFonts w:hint="eastAsia" w:ascii="仿宋" w:hAnsi="仿宋" w:eastAsia="仿宋" w:cs="仿宋"/>
          <w:lang w:bidi="ar"/>
        </w:rPr>
        <w:t>符合上海市大数据中心相关要求。</w:t>
      </w:r>
    </w:p>
    <w:p w14:paraId="09FC8CF9">
      <w:pPr>
        <w:pStyle w:val="3"/>
        <w:rPr>
          <w:rFonts w:ascii="仿宋" w:hAnsi="仿宋" w:eastAsia="仿宋" w:cs="仿宋"/>
        </w:rPr>
      </w:pPr>
      <w:r>
        <w:rPr>
          <w:rFonts w:hint="eastAsia" w:ascii="仿宋" w:hAnsi="仿宋" w:eastAsia="仿宋" w:cs="仿宋"/>
        </w:rPr>
        <w:t>商业密码应用需求</w:t>
      </w:r>
    </w:p>
    <w:p w14:paraId="38B8DDC3">
      <w:pPr>
        <w:rPr>
          <w:rFonts w:ascii="仿宋" w:hAnsi="仿宋" w:eastAsia="仿宋" w:cs="仿宋"/>
        </w:rPr>
      </w:pPr>
      <w:r>
        <w:rPr>
          <w:rFonts w:hint="eastAsia" w:ascii="仿宋" w:hAnsi="仿宋" w:eastAsia="仿宋" w:cs="仿宋"/>
        </w:rPr>
        <w:t>本项目</w:t>
      </w:r>
      <w:r>
        <w:rPr>
          <w:rFonts w:hint="eastAsia" w:ascii="仿宋" w:hAnsi="仿宋" w:eastAsia="仿宋" w:cs="仿宋"/>
          <w:lang w:bidi="ar"/>
        </w:rPr>
        <w:t>验收前应通过密码应用测评，报告关键要素应符合上海市大数据中心相关要求。</w:t>
      </w:r>
    </w:p>
    <w:p w14:paraId="27204940">
      <w:pPr>
        <w:pStyle w:val="3"/>
        <w:rPr>
          <w:rFonts w:ascii="仿宋" w:hAnsi="仿宋" w:eastAsia="仿宋" w:cs="仿宋"/>
        </w:rPr>
      </w:pPr>
      <w:bookmarkStart w:id="36" w:name="_Toc63785512"/>
      <w:r>
        <w:rPr>
          <w:rFonts w:hint="eastAsia" w:ascii="仿宋" w:hAnsi="仿宋" w:eastAsia="仿宋" w:cs="仿宋"/>
        </w:rPr>
        <w:t>技术文件要求</w:t>
      </w:r>
    </w:p>
    <w:p w14:paraId="1CA6D3B3">
      <w:pPr>
        <w:rPr>
          <w:rFonts w:ascii="仿宋" w:hAnsi="仿宋" w:eastAsia="仿宋" w:cs="仿宋"/>
        </w:rPr>
      </w:pPr>
      <w:r>
        <w:rPr>
          <w:rFonts w:hint="eastAsia" w:ascii="仿宋" w:hAnsi="仿宋" w:eastAsia="仿宋" w:cs="仿宋"/>
          <w:lang w:eastAsia="zh-CN"/>
        </w:rPr>
        <w:t>供应商</w:t>
      </w:r>
      <w:r>
        <w:rPr>
          <w:rFonts w:hint="eastAsia" w:ascii="仿宋" w:hAnsi="仿宋" w:eastAsia="仿宋" w:cs="仿宋"/>
        </w:rPr>
        <w:t>提供的书面技术资料应能确保系统正常运行所需的管理、运营及维护有关的全套文件。技术文件应该全面、完整、详细。</w:t>
      </w:r>
      <w:r>
        <w:rPr>
          <w:rFonts w:hint="eastAsia" w:ascii="仿宋" w:hAnsi="仿宋" w:eastAsia="仿宋" w:cs="仿宋"/>
          <w:lang w:eastAsia="zh-CN"/>
        </w:rPr>
        <w:t>供应商</w:t>
      </w:r>
      <w:r>
        <w:rPr>
          <w:rFonts w:hint="eastAsia" w:ascii="仿宋" w:hAnsi="仿宋" w:eastAsia="仿宋" w:cs="仿宋"/>
        </w:rPr>
        <w:t>提供的技术文件至少应包括：</w:t>
      </w:r>
    </w:p>
    <w:p w14:paraId="47143D63">
      <w:pPr>
        <w:rPr>
          <w:rFonts w:ascii="仿宋" w:hAnsi="仿宋" w:eastAsia="仿宋" w:cs="仿宋"/>
        </w:rPr>
      </w:pPr>
      <w:r>
        <w:rPr>
          <w:rFonts w:hint="eastAsia" w:ascii="仿宋" w:hAnsi="仿宋" w:eastAsia="仿宋" w:cs="仿宋"/>
        </w:rPr>
        <w:t xml:space="preserve">－ 总体架构方案； </w:t>
      </w:r>
    </w:p>
    <w:p w14:paraId="6E83E41E">
      <w:pPr>
        <w:rPr>
          <w:rFonts w:ascii="仿宋" w:hAnsi="仿宋" w:eastAsia="仿宋" w:cs="仿宋"/>
        </w:rPr>
      </w:pPr>
      <w:r>
        <w:rPr>
          <w:rFonts w:hint="eastAsia" w:ascii="仿宋" w:hAnsi="仿宋" w:eastAsia="仿宋" w:cs="仿宋"/>
        </w:rPr>
        <w:t xml:space="preserve">－ 技术路线方案； </w:t>
      </w:r>
    </w:p>
    <w:p w14:paraId="54D334FB">
      <w:pPr>
        <w:rPr>
          <w:rFonts w:ascii="仿宋" w:hAnsi="仿宋" w:eastAsia="仿宋" w:cs="仿宋"/>
        </w:rPr>
      </w:pPr>
      <w:r>
        <w:rPr>
          <w:rFonts w:hint="eastAsia"/>
        </w:rPr>
        <w:t xml:space="preserve">－ </w:t>
      </w:r>
      <w:r>
        <w:rPr>
          <w:rFonts w:hint="eastAsia" w:ascii="仿宋" w:hAnsi="仿宋" w:eastAsia="仿宋" w:cs="仿宋"/>
        </w:rPr>
        <w:t>技术手册(安装、测试、操作、维护、故障排除等)； </w:t>
      </w:r>
    </w:p>
    <w:p w14:paraId="45A4522E">
      <w:pPr>
        <w:rPr>
          <w:rFonts w:ascii="仿宋" w:hAnsi="仿宋" w:eastAsia="仿宋" w:cs="仿宋"/>
        </w:rPr>
      </w:pPr>
      <w:r>
        <w:rPr>
          <w:rFonts w:hint="eastAsia" w:ascii="仿宋" w:hAnsi="仿宋" w:eastAsia="仿宋" w:cs="仿宋"/>
        </w:rPr>
        <w:t>－ 项目文档，应该包括但不限于：</w:t>
      </w:r>
    </w:p>
    <w:p w14:paraId="4BF1961D">
      <w:pPr>
        <w:ind w:firstLine="420" w:firstLineChars="0"/>
        <w:rPr>
          <w:rFonts w:ascii="仿宋" w:hAnsi="仿宋" w:eastAsia="仿宋" w:cs="仿宋"/>
        </w:rPr>
      </w:pPr>
      <w:r>
        <w:rPr>
          <w:rFonts w:hint="eastAsia" w:ascii="仿宋" w:hAnsi="仿宋" w:eastAsia="仿宋" w:cs="仿宋"/>
        </w:rPr>
        <w:t>（1）软件需求说明书</w:t>
      </w:r>
    </w:p>
    <w:p w14:paraId="0E18A37D">
      <w:pPr>
        <w:ind w:firstLine="420" w:firstLineChars="0"/>
        <w:rPr>
          <w:rFonts w:ascii="仿宋" w:hAnsi="仿宋" w:eastAsia="仿宋" w:cs="仿宋"/>
        </w:rPr>
      </w:pPr>
      <w:r>
        <w:rPr>
          <w:rFonts w:hint="eastAsia" w:ascii="仿宋" w:hAnsi="仿宋" w:eastAsia="仿宋" w:cs="仿宋"/>
        </w:rPr>
        <w:t>（2）系统概要设计说明书</w:t>
      </w:r>
    </w:p>
    <w:p w14:paraId="6244BACA">
      <w:pPr>
        <w:ind w:firstLine="420" w:firstLineChars="0"/>
        <w:rPr>
          <w:rFonts w:ascii="仿宋" w:hAnsi="仿宋" w:eastAsia="仿宋" w:cs="仿宋"/>
        </w:rPr>
      </w:pPr>
      <w:r>
        <w:rPr>
          <w:rFonts w:hint="eastAsia" w:ascii="仿宋" w:hAnsi="仿宋" w:eastAsia="仿宋" w:cs="仿宋"/>
        </w:rPr>
        <w:t>（3）系统详细设计说明书</w:t>
      </w:r>
    </w:p>
    <w:p w14:paraId="01BEC30F">
      <w:pPr>
        <w:ind w:firstLine="420" w:firstLineChars="0"/>
        <w:rPr>
          <w:rFonts w:ascii="仿宋" w:hAnsi="仿宋" w:eastAsia="仿宋" w:cs="仿宋"/>
        </w:rPr>
      </w:pPr>
      <w:r>
        <w:rPr>
          <w:rFonts w:hint="eastAsia" w:ascii="仿宋" w:hAnsi="仿宋" w:eastAsia="仿宋" w:cs="仿宋"/>
        </w:rPr>
        <w:t>（4）数据库设计说明书</w:t>
      </w:r>
    </w:p>
    <w:p w14:paraId="0E4DCA9A">
      <w:pPr>
        <w:ind w:firstLine="420" w:firstLineChars="0"/>
        <w:rPr>
          <w:rFonts w:ascii="仿宋" w:hAnsi="仿宋" w:eastAsia="仿宋" w:cs="仿宋"/>
        </w:rPr>
      </w:pPr>
      <w:r>
        <w:rPr>
          <w:rFonts w:hint="eastAsia" w:ascii="仿宋" w:hAnsi="仿宋" w:eastAsia="仿宋" w:cs="仿宋"/>
        </w:rPr>
        <w:t>（5）实施方案</w:t>
      </w:r>
    </w:p>
    <w:p w14:paraId="5962399B">
      <w:pPr>
        <w:ind w:firstLine="420" w:firstLineChars="0"/>
        <w:rPr>
          <w:rFonts w:ascii="仿宋" w:hAnsi="仿宋" w:eastAsia="仿宋" w:cs="仿宋"/>
        </w:rPr>
      </w:pPr>
      <w:r>
        <w:rPr>
          <w:rFonts w:hint="eastAsia" w:ascii="仿宋" w:hAnsi="仿宋" w:eastAsia="仿宋" w:cs="仿宋"/>
        </w:rPr>
        <w:t>（6）应用软件功能清单</w:t>
      </w:r>
    </w:p>
    <w:p w14:paraId="2848E0FA">
      <w:pPr>
        <w:rPr>
          <w:rFonts w:ascii="仿宋" w:hAnsi="仿宋" w:eastAsia="仿宋" w:cs="仿宋"/>
        </w:rPr>
      </w:pPr>
      <w:r>
        <w:rPr>
          <w:rFonts w:hint="eastAsia" w:ascii="仿宋" w:hAnsi="仿宋" w:eastAsia="仿宋" w:cs="仿宋"/>
        </w:rPr>
        <w:t>提供全套技术文件纸介质3套以及电子文件1套。</w:t>
      </w:r>
    </w:p>
    <w:p w14:paraId="0EEB9F5B">
      <w:pPr>
        <w:pStyle w:val="2"/>
        <w:rPr>
          <w:rFonts w:ascii="仿宋" w:hAnsi="仿宋" w:eastAsia="仿宋" w:cs="仿宋"/>
        </w:rPr>
      </w:pPr>
      <w:r>
        <w:rPr>
          <w:rFonts w:hint="eastAsia" w:ascii="仿宋" w:hAnsi="仿宋" w:eastAsia="仿宋" w:cs="仿宋"/>
        </w:rPr>
        <w:t>供应商要求</w:t>
      </w:r>
    </w:p>
    <w:p w14:paraId="3451EF2B">
      <w:pPr>
        <w:rPr>
          <w:rFonts w:hint="default" w:ascii="仿宋" w:hAnsi="仿宋" w:eastAsia="仿宋" w:cs="仿宋"/>
          <w:lang w:val="en-US" w:eastAsia="zh-CN"/>
        </w:rPr>
      </w:pPr>
      <w:r>
        <w:rPr>
          <w:rFonts w:hint="eastAsia" w:ascii="仿宋" w:hAnsi="仿宋" w:eastAsia="仿宋" w:cs="仿宋"/>
          <w:lang w:val="en-US" w:eastAsia="zh-CN"/>
        </w:rPr>
        <w:t>供应商应当具有类似项目建设管理经验，具备ISO27001信息安全管理体系认证证书、ISO9001质量管理体系认证证书和ISO20000信息技术服务管理体系认证证书；具有电子政务相关软件著作权登记证书的优先。</w:t>
      </w:r>
    </w:p>
    <w:p w14:paraId="6D0A253E">
      <w:pPr>
        <w:pStyle w:val="2"/>
        <w:rPr>
          <w:rFonts w:ascii="仿宋" w:hAnsi="仿宋" w:eastAsia="仿宋" w:cs="仿宋"/>
        </w:rPr>
      </w:pPr>
      <w:r>
        <w:rPr>
          <w:rFonts w:hint="eastAsia" w:ascii="仿宋" w:hAnsi="仿宋" w:eastAsia="仿宋" w:cs="仿宋"/>
        </w:rPr>
        <w:t>供应商管理要求</w:t>
      </w:r>
      <w:bookmarkEnd w:id="36"/>
    </w:p>
    <w:p w14:paraId="3943A014">
      <w:pPr>
        <w:pStyle w:val="85"/>
        <w:ind w:firstLine="480"/>
        <w:rPr>
          <w:rFonts w:ascii="仿宋" w:hAnsi="仿宋" w:eastAsia="仿宋" w:cs="仿宋"/>
          <w:sz w:val="24"/>
          <w:szCs w:val="24"/>
        </w:rPr>
      </w:pPr>
      <w:r>
        <w:rPr>
          <w:rFonts w:hint="eastAsia" w:ascii="仿宋" w:hAnsi="仿宋" w:eastAsia="仿宋" w:cs="仿宋"/>
          <w:sz w:val="24"/>
          <w:szCs w:val="24"/>
        </w:rPr>
        <w:t>1、在项目实施期间，</w:t>
      </w:r>
      <w:r>
        <w:rPr>
          <w:rFonts w:hint="eastAsia" w:ascii="仿宋" w:hAnsi="仿宋" w:eastAsia="仿宋" w:cs="仿宋"/>
          <w:sz w:val="24"/>
          <w:szCs w:val="24"/>
          <w:lang w:eastAsia="zh-CN"/>
        </w:rPr>
        <w:t>成交供应商</w:t>
      </w:r>
      <w:r>
        <w:rPr>
          <w:rFonts w:hint="eastAsia" w:ascii="仿宋" w:hAnsi="仿宋" w:eastAsia="仿宋" w:cs="仿宋"/>
          <w:sz w:val="24"/>
          <w:szCs w:val="24"/>
        </w:rPr>
        <w:t>应严格执行国家、地方、行业有关本项目业务管理和安全作业的法律、法规和制度并按规定承担相应的费用。</w:t>
      </w:r>
      <w:r>
        <w:rPr>
          <w:rFonts w:hint="eastAsia" w:ascii="仿宋" w:hAnsi="仿宋" w:eastAsia="仿宋" w:cs="仿宋"/>
          <w:sz w:val="24"/>
          <w:szCs w:val="24"/>
          <w:lang w:eastAsia="zh-CN"/>
        </w:rPr>
        <w:t>成交供应商</w:t>
      </w:r>
      <w:r>
        <w:rPr>
          <w:rFonts w:hint="eastAsia" w:ascii="仿宋" w:hAnsi="仿宋" w:eastAsia="仿宋" w:cs="仿宋"/>
          <w:sz w:val="24"/>
          <w:szCs w:val="24"/>
        </w:rPr>
        <w:t>因违反规定等原因造成的一切损失和责任由</w:t>
      </w:r>
      <w:r>
        <w:rPr>
          <w:rFonts w:hint="eastAsia" w:ascii="仿宋" w:hAnsi="仿宋" w:eastAsia="仿宋" w:cs="仿宋"/>
          <w:sz w:val="24"/>
          <w:szCs w:val="24"/>
          <w:lang w:eastAsia="zh-CN"/>
        </w:rPr>
        <w:t>成交供应商</w:t>
      </w:r>
      <w:r>
        <w:rPr>
          <w:rFonts w:hint="eastAsia" w:ascii="仿宋" w:hAnsi="仿宋" w:eastAsia="仿宋" w:cs="仿宋"/>
          <w:sz w:val="24"/>
          <w:szCs w:val="24"/>
        </w:rPr>
        <w:t>自行承担。</w:t>
      </w:r>
    </w:p>
    <w:p w14:paraId="7260F01C">
      <w:pPr>
        <w:pStyle w:val="85"/>
        <w:ind w:firstLine="48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成交供应商</w:t>
      </w:r>
      <w:r>
        <w:rPr>
          <w:rFonts w:hint="eastAsia" w:ascii="仿宋" w:hAnsi="仿宋" w:eastAsia="仿宋" w:cs="仿宋"/>
          <w:sz w:val="24"/>
          <w:szCs w:val="24"/>
        </w:rPr>
        <w:t>在</w:t>
      </w:r>
      <w:r>
        <w:rPr>
          <w:rFonts w:hint="eastAsia" w:ascii="仿宋" w:hAnsi="仿宋" w:eastAsia="仿宋" w:cs="仿宋"/>
          <w:sz w:val="24"/>
          <w:szCs w:val="24"/>
          <w:lang w:eastAsia="zh-CN"/>
        </w:rPr>
        <w:t>响应文件</w:t>
      </w:r>
      <w:r>
        <w:rPr>
          <w:rFonts w:hint="eastAsia" w:ascii="仿宋" w:hAnsi="仿宋" w:eastAsia="仿宋" w:cs="仿宋"/>
          <w:sz w:val="24"/>
          <w:szCs w:val="24"/>
        </w:rPr>
        <w:t>中承诺并经</w:t>
      </w:r>
      <w:r>
        <w:rPr>
          <w:rFonts w:hint="eastAsia" w:ascii="仿宋" w:hAnsi="仿宋" w:eastAsia="仿宋" w:cs="仿宋"/>
          <w:sz w:val="24"/>
          <w:szCs w:val="24"/>
          <w:lang w:eastAsia="zh-CN"/>
        </w:rPr>
        <w:t>采购人</w:t>
      </w:r>
      <w:r>
        <w:rPr>
          <w:rFonts w:hint="eastAsia" w:ascii="仿宋" w:hAnsi="仿宋" w:eastAsia="仿宋" w:cs="仿宋"/>
          <w:sz w:val="24"/>
          <w:szCs w:val="24"/>
        </w:rPr>
        <w:t>认定的项目负责人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ascii="仿宋" w:hAnsi="仿宋" w:eastAsia="仿宋" w:cs="仿宋"/>
          <w:sz w:val="24"/>
          <w:szCs w:val="24"/>
          <w:lang w:eastAsia="zh-CN"/>
        </w:rPr>
        <w:t>成交供应商</w:t>
      </w:r>
      <w:r>
        <w:rPr>
          <w:rFonts w:hint="eastAsia" w:ascii="仿宋" w:hAnsi="仿宋" w:eastAsia="仿宋" w:cs="仿宋"/>
          <w:sz w:val="24"/>
          <w:szCs w:val="24"/>
        </w:rPr>
        <w:t>不得调换或撤离上述人员。如采购人认为有必要，可要求</w:t>
      </w:r>
      <w:r>
        <w:rPr>
          <w:rFonts w:hint="eastAsia" w:ascii="仿宋" w:hAnsi="仿宋" w:eastAsia="仿宋" w:cs="仿宋"/>
          <w:sz w:val="24"/>
          <w:szCs w:val="24"/>
          <w:lang w:eastAsia="zh-CN"/>
        </w:rPr>
        <w:t>成交供应商</w:t>
      </w:r>
      <w:r>
        <w:rPr>
          <w:rFonts w:hint="eastAsia" w:ascii="仿宋" w:hAnsi="仿宋" w:eastAsia="仿宋" w:cs="仿宋"/>
          <w:sz w:val="24"/>
          <w:szCs w:val="24"/>
        </w:rPr>
        <w:t>对上述人员中的部分人员作出更好的调整。</w:t>
      </w:r>
    </w:p>
    <w:p w14:paraId="0BE86201">
      <w:pPr>
        <w:pStyle w:val="85"/>
        <w:ind w:firstLine="48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成交供应商</w:t>
      </w:r>
      <w:r>
        <w:rPr>
          <w:rFonts w:hint="eastAsia" w:ascii="仿宋" w:hAnsi="仿宋" w:eastAsia="仿宋" w:cs="仿宋"/>
          <w:sz w:val="24"/>
          <w:szCs w:val="24"/>
        </w:rPr>
        <w:t>在项目实施期间，应按项目实际进度与环节落实所对应项目整体及各环节管理工作，按照规范做好项目实施期间相关管理与实施记录。</w:t>
      </w:r>
    </w:p>
    <w:p w14:paraId="6D046F57">
      <w:pPr>
        <w:pStyle w:val="85"/>
        <w:ind w:firstLine="480"/>
        <w:rPr>
          <w:rFonts w:ascii="仿宋" w:hAnsi="仿宋" w:eastAsia="仿宋" w:cs="仿宋"/>
          <w:sz w:val="24"/>
          <w:szCs w:val="24"/>
        </w:rPr>
      </w:pPr>
      <w:r>
        <w:rPr>
          <w:rFonts w:hint="eastAsia" w:ascii="仿宋" w:hAnsi="仿宋" w:eastAsia="仿宋" w:cs="仿宋"/>
          <w:sz w:val="24"/>
          <w:szCs w:val="24"/>
        </w:rPr>
        <w:t>4、参与本项目的工作人员应严格遵循采购人的安全制度，保障采购人资料和设备的安全。</w:t>
      </w:r>
      <w:r>
        <w:rPr>
          <w:rFonts w:hint="eastAsia" w:ascii="仿宋" w:hAnsi="仿宋" w:eastAsia="仿宋" w:cs="仿宋"/>
          <w:sz w:val="24"/>
          <w:szCs w:val="24"/>
          <w:lang w:eastAsia="zh-CN"/>
        </w:rPr>
        <w:t>成交供应商</w:t>
      </w:r>
      <w:r>
        <w:rPr>
          <w:rFonts w:hint="eastAsia" w:ascii="仿宋" w:hAnsi="仿宋" w:eastAsia="仿宋" w:cs="仿宋"/>
          <w:sz w:val="24"/>
          <w:szCs w:val="24"/>
        </w:rPr>
        <w:t>如需进入采购人机房工作，只能在采购人规定的工作区域内对项目涉及的设备进行操作，严禁触动与项目无关的任何设备（包括任何操作行为），如需跨区操作必须得到采购人项目联系人确认。</w:t>
      </w:r>
    </w:p>
    <w:p w14:paraId="5E305889">
      <w:pPr>
        <w:pStyle w:val="85"/>
        <w:ind w:firstLine="48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成交供应商</w:t>
      </w:r>
      <w:r>
        <w:rPr>
          <w:rFonts w:hint="eastAsia" w:ascii="仿宋" w:hAnsi="仿宋" w:eastAsia="仿宋" w:cs="仿宋"/>
          <w:sz w:val="24"/>
          <w:szCs w:val="24"/>
        </w:rPr>
        <w:t>在项目实施期间必须遵守采购人的规章制度并提供实施人员名单。</w:t>
      </w:r>
    </w:p>
    <w:p w14:paraId="7FC16A64">
      <w:pPr>
        <w:pStyle w:val="85"/>
        <w:ind w:firstLine="480"/>
        <w:rPr>
          <w:rFonts w:ascii="仿宋" w:hAnsi="仿宋" w:eastAsia="仿宋" w:cs="仿宋"/>
          <w:sz w:val="24"/>
          <w:szCs w:val="24"/>
        </w:rPr>
      </w:pPr>
      <w:r>
        <w:rPr>
          <w:rFonts w:hint="eastAsia" w:ascii="仿宋" w:hAnsi="仿宋" w:eastAsia="仿宋" w:cs="仿宋"/>
          <w:sz w:val="24"/>
          <w:szCs w:val="24"/>
        </w:rPr>
        <w:t>6、各</w:t>
      </w:r>
      <w:r>
        <w:rPr>
          <w:rFonts w:hint="eastAsia" w:ascii="仿宋" w:hAnsi="仿宋" w:eastAsia="仿宋" w:cs="仿宋"/>
          <w:sz w:val="24"/>
          <w:szCs w:val="24"/>
          <w:lang w:eastAsia="zh-CN"/>
        </w:rPr>
        <w:t>供应商</w:t>
      </w:r>
      <w:r>
        <w:rPr>
          <w:rFonts w:hint="eastAsia" w:ascii="仿宋" w:hAnsi="仿宋" w:eastAsia="仿宋" w:cs="仿宋"/>
          <w:sz w:val="24"/>
          <w:szCs w:val="24"/>
        </w:rPr>
        <w:t>在</w:t>
      </w:r>
      <w:r>
        <w:rPr>
          <w:rFonts w:hint="eastAsia" w:ascii="仿宋" w:hAnsi="仿宋" w:eastAsia="仿宋" w:cs="仿宋"/>
          <w:sz w:val="24"/>
          <w:szCs w:val="24"/>
          <w:lang w:eastAsia="zh-CN"/>
        </w:rPr>
        <w:t>响应</w:t>
      </w:r>
      <w:r>
        <w:rPr>
          <w:rFonts w:hint="eastAsia" w:ascii="仿宋" w:hAnsi="仿宋" w:eastAsia="仿宋" w:cs="仿宋"/>
          <w:sz w:val="24"/>
          <w:szCs w:val="24"/>
        </w:rPr>
        <w:t>文件中要结合本项目的特点和采购人上述的具体要求制定相应的管理措施，并在报价中列支相应的费用清单，</w:t>
      </w:r>
      <w:r>
        <w:rPr>
          <w:rFonts w:hint="eastAsia" w:ascii="仿宋" w:hAnsi="仿宋" w:eastAsia="仿宋" w:cs="仿宋"/>
          <w:sz w:val="24"/>
          <w:szCs w:val="24"/>
          <w:lang w:eastAsia="zh-CN"/>
        </w:rPr>
        <w:t>供应商</w:t>
      </w:r>
      <w:r>
        <w:rPr>
          <w:rFonts w:hint="eastAsia" w:ascii="仿宋" w:hAnsi="仿宋" w:eastAsia="仿宋" w:cs="仿宋"/>
          <w:sz w:val="24"/>
          <w:szCs w:val="24"/>
        </w:rPr>
        <w:t>报价中未列支上述费用清单的，上述费用视为已包含在</w:t>
      </w:r>
      <w:r>
        <w:rPr>
          <w:rFonts w:hint="eastAsia" w:ascii="仿宋" w:hAnsi="仿宋" w:eastAsia="仿宋" w:cs="仿宋"/>
          <w:sz w:val="24"/>
          <w:szCs w:val="24"/>
          <w:lang w:eastAsia="zh-CN"/>
        </w:rPr>
        <w:t>供应商</w:t>
      </w:r>
      <w:r>
        <w:rPr>
          <w:rFonts w:hint="eastAsia" w:ascii="仿宋" w:hAnsi="仿宋" w:eastAsia="仿宋" w:cs="仿宋"/>
          <w:sz w:val="24"/>
          <w:szCs w:val="24"/>
        </w:rPr>
        <w:t>的总报价中。</w:t>
      </w:r>
    </w:p>
    <w:p w14:paraId="3A1B6A60">
      <w:pPr>
        <w:pStyle w:val="85"/>
        <w:ind w:firstLine="480"/>
        <w:rPr>
          <w:rFonts w:ascii="仿宋" w:hAnsi="仿宋" w:eastAsia="仿宋" w:cs="仿宋"/>
        </w:rPr>
      </w:pPr>
      <w:r>
        <w:rPr>
          <w:rFonts w:hint="eastAsia" w:ascii="仿宋" w:hAnsi="仿宋" w:eastAsia="仿宋" w:cs="仿宋"/>
          <w:sz w:val="24"/>
          <w:szCs w:val="24"/>
        </w:rPr>
        <w:t>7、本项目软件开发及调试将纳入采购人的管理范围，</w:t>
      </w:r>
      <w:r>
        <w:rPr>
          <w:rFonts w:hint="eastAsia" w:ascii="仿宋" w:hAnsi="仿宋" w:eastAsia="仿宋" w:cs="仿宋"/>
          <w:sz w:val="24"/>
          <w:szCs w:val="24"/>
          <w:lang w:eastAsia="zh-CN"/>
        </w:rPr>
        <w:t>成交供应商</w:t>
      </w:r>
      <w:r>
        <w:rPr>
          <w:rFonts w:hint="eastAsia" w:ascii="仿宋" w:hAnsi="仿宋" w:eastAsia="仿宋" w:cs="仿宋"/>
          <w:sz w:val="24"/>
          <w:szCs w:val="24"/>
        </w:rPr>
        <w:t>在此过程中须服从上述单位的管理协调。</w:t>
      </w:r>
    </w:p>
    <w:p w14:paraId="48CCBC04">
      <w:pPr>
        <w:pStyle w:val="85"/>
        <w:ind w:firstLine="420"/>
        <w:rPr>
          <w:rFonts w:ascii="仿宋" w:hAnsi="仿宋" w:eastAsia="仿宋" w:cs="仿宋"/>
        </w:rPr>
      </w:pPr>
    </w:p>
    <w:p w14:paraId="7155C8CE">
      <w:pPr>
        <w:pStyle w:val="2"/>
        <w:rPr>
          <w:rFonts w:ascii="仿宋" w:hAnsi="仿宋" w:eastAsia="仿宋" w:cs="仿宋"/>
        </w:rPr>
      </w:pPr>
      <w:bookmarkStart w:id="37" w:name="_Toc63785513"/>
      <w:r>
        <w:rPr>
          <w:rFonts w:hint="eastAsia" w:ascii="仿宋" w:hAnsi="仿宋" w:eastAsia="仿宋" w:cs="仿宋"/>
        </w:rPr>
        <w:t>关于转让和分包的规定</w:t>
      </w:r>
    </w:p>
    <w:p w14:paraId="0305817F">
      <w:pPr>
        <w:spacing w:line="560" w:lineRule="exact"/>
        <w:rPr>
          <w:rFonts w:ascii="仿宋" w:hAnsi="仿宋" w:eastAsia="仿宋" w:cs="仿宋"/>
          <w:b/>
          <w:sz w:val="28"/>
          <w:szCs w:val="28"/>
        </w:rPr>
      </w:pPr>
      <w:r>
        <w:rPr>
          <w:rFonts w:hint="eastAsia" w:ascii="仿宋" w:hAnsi="仿宋" w:eastAsia="仿宋" w:cs="仿宋"/>
        </w:rPr>
        <w:t>本项目不得转让、不得分包。</w:t>
      </w:r>
    </w:p>
    <w:p w14:paraId="0545A5F4">
      <w:pPr>
        <w:ind w:firstLine="0" w:firstLineChars="0"/>
        <w:rPr>
          <w:rFonts w:ascii="仿宋" w:hAnsi="仿宋" w:eastAsia="仿宋" w:cs="仿宋"/>
        </w:rPr>
      </w:pPr>
    </w:p>
    <w:p w14:paraId="5BFC39B0">
      <w:pPr>
        <w:pStyle w:val="2"/>
        <w:rPr>
          <w:rFonts w:ascii="仿宋" w:hAnsi="仿宋" w:eastAsia="仿宋" w:cs="仿宋"/>
        </w:rPr>
      </w:pPr>
      <w:r>
        <w:rPr>
          <w:rFonts w:hint="eastAsia" w:ascii="仿宋" w:hAnsi="仿宋" w:eastAsia="仿宋" w:cs="仿宋"/>
        </w:rPr>
        <w:t>知识产权及保密要求</w:t>
      </w:r>
      <w:bookmarkEnd w:id="37"/>
    </w:p>
    <w:p w14:paraId="763E00AC">
      <w:pPr>
        <w:ind w:firstLine="482"/>
        <w:rPr>
          <w:rFonts w:ascii="仿宋" w:hAnsi="仿宋" w:eastAsia="仿宋" w:cs="仿宋"/>
          <w:b/>
        </w:rPr>
      </w:pPr>
      <w:r>
        <w:rPr>
          <w:rFonts w:hint="eastAsia" w:ascii="仿宋" w:hAnsi="仿宋" w:eastAsia="仿宋" w:cs="仿宋"/>
          <w:b/>
        </w:rPr>
        <w:t>1、</w:t>
      </w:r>
      <w:r>
        <w:rPr>
          <w:rFonts w:hint="eastAsia" w:ascii="仿宋" w:hAnsi="仿宋" w:eastAsia="仿宋" w:cs="仿宋"/>
          <w:b/>
          <w:lang w:eastAsia="zh-CN"/>
        </w:rPr>
        <w:t>成交供应商</w:t>
      </w:r>
      <w:r>
        <w:rPr>
          <w:rFonts w:hint="eastAsia" w:ascii="仿宋" w:hAnsi="仿宋" w:eastAsia="仿宋" w:cs="仿宋"/>
          <w:b/>
        </w:rPr>
        <w:t>数据、文件、资料知识产权</w:t>
      </w:r>
    </w:p>
    <w:p w14:paraId="43ACBF0B">
      <w:pPr>
        <w:rPr>
          <w:rFonts w:ascii="仿宋" w:hAnsi="仿宋" w:eastAsia="仿宋" w:cs="仿宋"/>
        </w:rPr>
      </w:pPr>
      <w:r>
        <w:rPr>
          <w:rFonts w:hint="eastAsia" w:ascii="仿宋" w:hAnsi="仿宋" w:eastAsia="仿宋" w:cs="仿宋"/>
          <w:lang w:eastAsia="zh-CN"/>
        </w:rPr>
        <w:t>成交供应商</w:t>
      </w:r>
      <w:r>
        <w:rPr>
          <w:rFonts w:hint="eastAsia" w:ascii="仿宋" w:hAnsi="仿宋" w:eastAsia="仿宋" w:cs="仿宋"/>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ascii="仿宋" w:hAnsi="仿宋" w:eastAsia="仿宋" w:cs="仿宋"/>
          <w:lang w:eastAsia="zh-CN"/>
        </w:rPr>
        <w:t>成交供应商</w:t>
      </w:r>
      <w:r>
        <w:rPr>
          <w:rFonts w:hint="eastAsia" w:ascii="仿宋" w:hAnsi="仿宋" w:eastAsia="仿宋" w:cs="仿宋"/>
        </w:rPr>
        <w:t>应负责与第三方解决纠纷，若因此导致采购人损失的，采购人有权要求</w:t>
      </w:r>
      <w:r>
        <w:rPr>
          <w:rFonts w:hint="eastAsia" w:ascii="仿宋" w:hAnsi="仿宋" w:eastAsia="仿宋" w:cs="仿宋"/>
          <w:lang w:eastAsia="zh-CN"/>
        </w:rPr>
        <w:t>成交供应商</w:t>
      </w:r>
      <w:r>
        <w:rPr>
          <w:rFonts w:hint="eastAsia" w:ascii="仿宋" w:hAnsi="仿宋" w:eastAsia="仿宋" w:cs="仿宋"/>
        </w:rPr>
        <w:t>赔偿采购人因此遭受的全部损失，包括但不限于直接损失、间接损失、诉讼费／仲裁费、律师费、公证费、鉴定费等。</w:t>
      </w:r>
    </w:p>
    <w:p w14:paraId="5529ECE0">
      <w:pPr>
        <w:rPr>
          <w:rFonts w:ascii="仿宋" w:hAnsi="仿宋" w:eastAsia="仿宋" w:cs="仿宋"/>
        </w:rPr>
      </w:pPr>
      <w:r>
        <w:rPr>
          <w:rFonts w:hint="eastAsia" w:ascii="仿宋" w:hAnsi="仿宋" w:eastAsia="仿宋" w:cs="仿宋"/>
          <w:lang w:eastAsia="zh-CN"/>
        </w:rPr>
        <w:t>成交供应商</w:t>
      </w:r>
      <w:r>
        <w:rPr>
          <w:rFonts w:hint="eastAsia" w:ascii="仿宋" w:hAnsi="仿宋" w:eastAsia="仿宋" w:cs="仿宋"/>
        </w:rPr>
        <w:t>因履行本项目而产生的所有成果的知识产权等权利均归采购人所有，</w:t>
      </w:r>
      <w:r>
        <w:rPr>
          <w:rFonts w:hint="eastAsia" w:ascii="仿宋" w:hAnsi="仿宋" w:eastAsia="仿宋" w:cs="仿宋"/>
          <w:lang w:eastAsia="zh-CN"/>
        </w:rPr>
        <w:t>成交供应商</w:t>
      </w:r>
      <w:r>
        <w:rPr>
          <w:rFonts w:hint="eastAsia" w:ascii="仿宋" w:hAnsi="仿宋" w:eastAsia="仿宋" w:cs="仿宋"/>
        </w:rPr>
        <w:t>应配合采购人进行相关权利登记或申请。未经采购人书面同意，</w:t>
      </w:r>
      <w:r>
        <w:rPr>
          <w:rFonts w:hint="eastAsia" w:ascii="仿宋" w:hAnsi="仿宋" w:eastAsia="仿宋" w:cs="仿宋"/>
          <w:lang w:eastAsia="zh-CN"/>
        </w:rPr>
        <w:t>成交供应商</w:t>
      </w:r>
      <w:r>
        <w:rPr>
          <w:rFonts w:hint="eastAsia" w:ascii="仿宋" w:hAnsi="仿宋" w:eastAsia="仿宋" w:cs="仿宋"/>
        </w:rPr>
        <w:t>不得以任何形式使用或许可他人使用本项目成果的相关内容，不得擅自对外公开发表或向任何第三方透露。</w:t>
      </w:r>
    </w:p>
    <w:p w14:paraId="44712C16">
      <w:pPr>
        <w:rPr>
          <w:rFonts w:ascii="仿宋" w:hAnsi="仿宋" w:eastAsia="仿宋" w:cs="仿宋"/>
        </w:rPr>
      </w:pPr>
      <w:r>
        <w:rPr>
          <w:rFonts w:hint="eastAsia" w:ascii="仿宋" w:hAnsi="仿宋" w:eastAsia="仿宋" w:cs="仿宋"/>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44B5123F">
      <w:pPr>
        <w:ind w:firstLine="482"/>
        <w:rPr>
          <w:rFonts w:ascii="仿宋" w:hAnsi="仿宋" w:eastAsia="仿宋" w:cs="仿宋"/>
          <w:b/>
        </w:rPr>
      </w:pPr>
      <w:r>
        <w:rPr>
          <w:rFonts w:hint="eastAsia" w:ascii="仿宋" w:hAnsi="仿宋" w:eastAsia="仿宋" w:cs="仿宋"/>
          <w:b/>
        </w:rPr>
        <w:t>2、项目保密要求</w:t>
      </w:r>
    </w:p>
    <w:p w14:paraId="7189D4F3">
      <w:pPr>
        <w:rPr>
          <w:rFonts w:ascii="仿宋" w:hAnsi="仿宋" w:eastAsia="仿宋" w:cs="仿宋"/>
        </w:rPr>
      </w:pPr>
      <w:r>
        <w:rPr>
          <w:rFonts w:hint="eastAsia" w:ascii="仿宋" w:hAnsi="仿宋" w:eastAsia="仿宋" w:cs="仿宋"/>
          <w:lang w:eastAsia="zh-CN"/>
        </w:rPr>
        <w:t>成交供应商</w:t>
      </w:r>
      <w:r>
        <w:rPr>
          <w:rFonts w:hint="eastAsia" w:ascii="仿宋" w:hAnsi="仿宋" w:eastAsia="仿宋" w:cs="仿宋"/>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ascii="仿宋" w:hAnsi="仿宋" w:eastAsia="仿宋" w:cs="仿宋"/>
          <w:lang w:eastAsia="zh-CN"/>
        </w:rPr>
        <w:t>成交供应商</w:t>
      </w:r>
      <w:r>
        <w:rPr>
          <w:rFonts w:hint="eastAsia" w:ascii="仿宋" w:hAnsi="仿宋" w:eastAsia="仿宋" w:cs="仿宋"/>
        </w:rPr>
        <w:t>不得对外泄露采购人要求保密的信息，不得用于其他用途，否则</w:t>
      </w:r>
      <w:r>
        <w:rPr>
          <w:rFonts w:hint="eastAsia" w:ascii="仿宋" w:hAnsi="仿宋" w:eastAsia="仿宋" w:cs="仿宋"/>
          <w:lang w:eastAsia="zh-CN"/>
        </w:rPr>
        <w:t>成交供应商</w:t>
      </w:r>
      <w:r>
        <w:rPr>
          <w:rFonts w:hint="eastAsia" w:ascii="仿宋" w:hAnsi="仿宋" w:eastAsia="仿宋" w:cs="仿宋"/>
        </w:rPr>
        <w:t>需承担由此引起的法律责任和经济责任，包括但不限于直接损失、间接损失、律师费、诉讼费/仲裁费、调查费、公证费等。</w:t>
      </w:r>
    </w:p>
    <w:p w14:paraId="4FBB54DB">
      <w:pPr>
        <w:rPr>
          <w:rFonts w:ascii="仿宋" w:hAnsi="仿宋" w:eastAsia="仿宋" w:cs="仿宋"/>
        </w:rPr>
      </w:pPr>
      <w:r>
        <w:rPr>
          <w:rFonts w:hint="eastAsia" w:ascii="仿宋" w:hAnsi="仿宋" w:eastAsia="仿宋" w:cs="仿宋"/>
          <w:lang w:eastAsia="zh-CN"/>
        </w:rPr>
        <w:t>成交供应商</w:t>
      </w:r>
      <w:r>
        <w:rPr>
          <w:rFonts w:hint="eastAsia" w:ascii="仿宋" w:hAnsi="仿宋" w:eastAsia="仿宋" w:cs="仿宋"/>
        </w:rPr>
        <w:t>应采取必要的有效措施保证其参与本项目的人员（包括</w:t>
      </w:r>
      <w:r>
        <w:rPr>
          <w:rFonts w:hint="eastAsia" w:ascii="仿宋" w:hAnsi="仿宋" w:eastAsia="仿宋" w:cs="仿宋"/>
          <w:lang w:eastAsia="zh-CN"/>
        </w:rPr>
        <w:t>成交供应商</w:t>
      </w:r>
      <w:r>
        <w:rPr>
          <w:rFonts w:hint="eastAsia" w:ascii="仿宋" w:hAnsi="仿宋" w:eastAsia="仿宋" w:cs="仿宋"/>
        </w:rPr>
        <w:t>聘用的人员、借调的人员、实习的人员）无论是在职或离职后，以及</w:t>
      </w:r>
      <w:r>
        <w:rPr>
          <w:rFonts w:hint="eastAsia" w:ascii="仿宋" w:hAnsi="仿宋" w:eastAsia="仿宋" w:cs="仿宋"/>
          <w:lang w:eastAsia="zh-CN"/>
        </w:rPr>
        <w:t>成交供应商</w:t>
      </w:r>
      <w:r>
        <w:rPr>
          <w:rFonts w:hint="eastAsia" w:ascii="仿宋" w:hAnsi="仿宋" w:eastAsia="仿宋" w:cs="仿宋"/>
        </w:rPr>
        <w:t>的合作方无论是合作中或合作终止后，都能够履行本项目约定的保密义务。若</w:t>
      </w:r>
      <w:r>
        <w:rPr>
          <w:rFonts w:hint="eastAsia" w:ascii="仿宋" w:hAnsi="仿宋" w:eastAsia="仿宋" w:cs="仿宋"/>
          <w:lang w:eastAsia="zh-CN"/>
        </w:rPr>
        <w:t>成交供应商</w:t>
      </w:r>
      <w:r>
        <w:rPr>
          <w:rFonts w:hint="eastAsia" w:ascii="仿宋" w:hAnsi="仿宋" w:eastAsia="仿宋" w:cs="仿宋"/>
        </w:rPr>
        <w:t>人员或</w:t>
      </w:r>
      <w:r>
        <w:rPr>
          <w:rFonts w:hint="eastAsia" w:ascii="仿宋" w:hAnsi="仿宋" w:eastAsia="仿宋" w:cs="仿宋"/>
          <w:lang w:eastAsia="zh-CN"/>
        </w:rPr>
        <w:t>成交供应商</w:t>
      </w:r>
      <w:r>
        <w:rPr>
          <w:rFonts w:hint="eastAsia" w:ascii="仿宋" w:hAnsi="仿宋" w:eastAsia="仿宋" w:cs="仿宋"/>
        </w:rPr>
        <w:t>合作方违反保密规定，</w:t>
      </w:r>
      <w:r>
        <w:rPr>
          <w:rFonts w:hint="eastAsia" w:ascii="仿宋" w:hAnsi="仿宋" w:eastAsia="仿宋" w:cs="仿宋"/>
          <w:lang w:eastAsia="zh-CN"/>
        </w:rPr>
        <w:t>成交供应商</w:t>
      </w:r>
      <w:r>
        <w:rPr>
          <w:rFonts w:hint="eastAsia" w:ascii="仿宋" w:hAnsi="仿宋" w:eastAsia="仿宋" w:cs="仿宋"/>
        </w:rPr>
        <w:t>应承担连带责任。</w:t>
      </w:r>
    </w:p>
    <w:p w14:paraId="60B322A8">
      <w:pPr>
        <w:rPr>
          <w:rFonts w:ascii="仿宋" w:hAnsi="仿宋" w:eastAsia="仿宋" w:cs="仿宋"/>
        </w:rPr>
      </w:pPr>
      <w:r>
        <w:rPr>
          <w:rFonts w:hint="eastAsia" w:ascii="仿宋" w:hAnsi="仿宋" w:eastAsia="仿宋" w:cs="仿宋"/>
          <w:lang w:eastAsia="zh-CN"/>
        </w:rPr>
        <w:t>成交供应商</w:t>
      </w:r>
      <w:r>
        <w:rPr>
          <w:rFonts w:hint="eastAsia" w:ascii="仿宋" w:hAnsi="仿宋" w:eastAsia="仿宋" w:cs="仿宋"/>
        </w:rPr>
        <w:t>（含</w:t>
      </w:r>
      <w:r>
        <w:rPr>
          <w:rFonts w:hint="eastAsia" w:ascii="仿宋" w:hAnsi="仿宋" w:eastAsia="仿宋" w:cs="仿宋"/>
          <w:lang w:eastAsia="zh-CN"/>
        </w:rPr>
        <w:t>成交供应商</w:t>
      </w:r>
      <w:r>
        <w:rPr>
          <w:rFonts w:hint="eastAsia" w:ascii="仿宋" w:hAnsi="仿宋" w:eastAsia="仿宋" w:cs="仿宋"/>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34583B6">
      <w:pPr>
        <w:rPr>
          <w:rFonts w:ascii="仿宋" w:hAnsi="仿宋" w:eastAsia="仿宋" w:cs="仿宋"/>
        </w:rPr>
      </w:pPr>
      <w:r>
        <w:rPr>
          <w:rFonts w:hint="eastAsia" w:ascii="仿宋" w:hAnsi="仿宋" w:eastAsia="仿宋" w:cs="仿宋"/>
        </w:rPr>
        <w:t>以上内容的保密期限自</w:t>
      </w:r>
      <w:r>
        <w:rPr>
          <w:rFonts w:hint="eastAsia" w:ascii="仿宋" w:hAnsi="仿宋" w:eastAsia="仿宋" w:cs="仿宋"/>
          <w:lang w:eastAsia="zh-CN"/>
        </w:rPr>
        <w:t>成交供应商</w:t>
      </w:r>
      <w:r>
        <w:rPr>
          <w:rFonts w:hint="eastAsia" w:ascii="仿宋" w:hAnsi="仿宋" w:eastAsia="仿宋" w:cs="仿宋"/>
        </w:rPr>
        <w:t>知悉保密信息起始至保密信息被合法公开之日止。</w:t>
      </w:r>
    </w:p>
    <w:p w14:paraId="2CDAC08C">
      <w:pPr>
        <w:ind w:firstLine="482"/>
        <w:rPr>
          <w:rFonts w:ascii="仿宋" w:hAnsi="仿宋" w:eastAsia="仿宋" w:cs="仿宋"/>
          <w:b/>
        </w:rPr>
      </w:pPr>
      <w:r>
        <w:rPr>
          <w:rFonts w:hint="eastAsia" w:ascii="仿宋" w:hAnsi="仿宋" w:eastAsia="仿宋" w:cs="仿宋"/>
          <w:b/>
        </w:rPr>
        <w:t>3、临时账号等使用要求</w:t>
      </w:r>
    </w:p>
    <w:p w14:paraId="5F19961F">
      <w:pPr>
        <w:rPr>
          <w:rFonts w:ascii="仿宋" w:hAnsi="仿宋" w:eastAsia="仿宋" w:cs="仿宋"/>
        </w:rPr>
      </w:pPr>
      <w:r>
        <w:rPr>
          <w:rFonts w:hint="eastAsia" w:ascii="仿宋" w:hAnsi="仿宋" w:eastAsia="仿宋" w:cs="仿宋"/>
          <w:lang w:eastAsia="zh-CN"/>
        </w:rPr>
        <w:t>成交供应商</w:t>
      </w:r>
      <w:r>
        <w:rPr>
          <w:rFonts w:hint="eastAsia" w:ascii="仿宋" w:hAnsi="仿宋" w:eastAsia="仿宋" w:cs="仿宋"/>
        </w:rPr>
        <w:t>对采购人提拱的临时使用账号要保密，不得公开，对组件开发的账号密码需进行加密，避免信息安全的泄露。未经采购人的同意不得利用采购人的网络及平台进行短信、彩信、微信发送,造成的一切后果由</w:t>
      </w:r>
      <w:r>
        <w:rPr>
          <w:rFonts w:hint="eastAsia" w:ascii="仿宋" w:hAnsi="仿宋" w:eastAsia="仿宋" w:cs="仿宋"/>
          <w:lang w:eastAsia="zh-CN"/>
        </w:rPr>
        <w:t>成交供应商</w:t>
      </w:r>
      <w:r>
        <w:rPr>
          <w:rFonts w:hint="eastAsia" w:ascii="仿宋" w:hAnsi="仿宋" w:eastAsia="仿宋" w:cs="仿宋"/>
        </w:rPr>
        <w:t>负责。</w:t>
      </w:r>
    </w:p>
    <w:p w14:paraId="73A1063D">
      <w:pPr>
        <w:pStyle w:val="2"/>
        <w:rPr>
          <w:rFonts w:ascii="仿宋" w:hAnsi="仿宋" w:eastAsia="仿宋" w:cs="仿宋"/>
        </w:rPr>
      </w:pPr>
      <w:bookmarkStart w:id="38" w:name="_Toc65170093"/>
      <w:r>
        <w:rPr>
          <w:rFonts w:hint="eastAsia" w:ascii="仿宋" w:hAnsi="仿宋" w:eastAsia="仿宋" w:cs="仿宋"/>
        </w:rPr>
        <w:t>项目的变更、解除和终止</w:t>
      </w:r>
    </w:p>
    <w:p w14:paraId="03795058">
      <w:pPr>
        <w:rPr>
          <w:rFonts w:ascii="仿宋" w:hAnsi="仿宋" w:eastAsia="仿宋" w:cs="仿宋"/>
        </w:rPr>
      </w:pPr>
      <w:r>
        <w:rPr>
          <w:rFonts w:hint="eastAsia" w:ascii="仿宋" w:hAnsi="仿宋" w:eastAsia="仿宋" w:cs="仿宋"/>
        </w:rPr>
        <w:t>如果</w:t>
      </w:r>
      <w:r>
        <w:rPr>
          <w:rFonts w:hint="eastAsia" w:ascii="仿宋" w:hAnsi="仿宋" w:eastAsia="仿宋" w:cs="仿宋"/>
          <w:lang w:eastAsia="zh-CN"/>
        </w:rPr>
        <w:t>成交供应商</w:t>
      </w:r>
      <w:r>
        <w:rPr>
          <w:rFonts w:hint="eastAsia" w:ascii="仿宋" w:hAnsi="仿宋" w:eastAsia="仿宋" w:cs="仿宋"/>
        </w:rPr>
        <w:t>丧失履约能力、发生资不抵债或进入破产程序，采购人可在任何时候以书面形式通知</w:t>
      </w:r>
      <w:r>
        <w:rPr>
          <w:rFonts w:hint="eastAsia" w:ascii="仿宋" w:hAnsi="仿宋" w:eastAsia="仿宋" w:cs="仿宋"/>
          <w:lang w:eastAsia="zh-CN"/>
        </w:rPr>
        <w:t>成交供应商</w:t>
      </w:r>
      <w:r>
        <w:rPr>
          <w:rFonts w:hint="eastAsia" w:ascii="仿宋" w:hAnsi="仿宋" w:eastAsia="仿宋" w:cs="仿宋"/>
        </w:rPr>
        <w:t>终止本项目的执行而不给予</w:t>
      </w:r>
      <w:r>
        <w:rPr>
          <w:rFonts w:hint="eastAsia" w:ascii="仿宋" w:hAnsi="仿宋" w:eastAsia="仿宋" w:cs="仿宋"/>
          <w:lang w:eastAsia="zh-CN"/>
        </w:rPr>
        <w:t>成交供应商</w:t>
      </w:r>
      <w:r>
        <w:rPr>
          <w:rFonts w:hint="eastAsia" w:ascii="仿宋" w:hAnsi="仿宋" w:eastAsia="仿宋" w:cs="仿宋"/>
        </w:rPr>
        <w:t>补偿。该终止本项目将不损害或影响采购人已经采取或将要采取任何行动或补救措施的权利。</w:t>
      </w:r>
    </w:p>
    <w:p w14:paraId="600BEEF2">
      <w:pPr>
        <w:rPr>
          <w:rFonts w:ascii="仿宋" w:hAnsi="仿宋" w:eastAsia="仿宋" w:cs="仿宋"/>
        </w:rPr>
      </w:pPr>
      <w:r>
        <w:rPr>
          <w:rFonts w:hint="eastAsia" w:ascii="仿宋" w:hAnsi="仿宋" w:eastAsia="仿宋" w:cs="仿宋"/>
        </w:rPr>
        <w:t>如遇国家、行业管理部门等机构的有关标准和规定调整的，导致本项目内容须做相应调整时，双方应按照公平、合理的原则共同协商修改本项目对应的合同的相关条款。</w:t>
      </w:r>
    </w:p>
    <w:p w14:paraId="44DAB5D8">
      <w:pPr>
        <w:pStyle w:val="2"/>
        <w:rPr>
          <w:rFonts w:ascii="仿宋" w:hAnsi="仿宋" w:eastAsia="仿宋" w:cs="仿宋"/>
          <w:b w:val="0"/>
          <w:kern w:val="2"/>
        </w:rPr>
      </w:pPr>
      <w:r>
        <w:rPr>
          <w:rFonts w:hint="eastAsia" w:ascii="仿宋" w:hAnsi="仿宋" w:eastAsia="仿宋" w:cs="仿宋"/>
        </w:rPr>
        <w:t>违约责任</w:t>
      </w:r>
      <w:bookmarkEnd w:id="38"/>
    </w:p>
    <w:p w14:paraId="157F09F2">
      <w:pPr>
        <w:rPr>
          <w:rFonts w:ascii="仿宋" w:hAnsi="仿宋" w:eastAsia="仿宋" w:cs="仿宋"/>
        </w:rPr>
      </w:pPr>
      <w:r>
        <w:rPr>
          <w:rFonts w:hint="eastAsia" w:ascii="仿宋" w:hAnsi="仿宋" w:eastAsia="仿宋" w:cs="仿宋"/>
        </w:rPr>
        <w:t>1、如</w:t>
      </w:r>
      <w:r>
        <w:rPr>
          <w:rFonts w:hint="eastAsia" w:ascii="仿宋" w:hAnsi="仿宋" w:eastAsia="仿宋" w:cs="仿宋"/>
          <w:lang w:eastAsia="zh-CN"/>
        </w:rPr>
        <w:t>成交供应商</w:t>
      </w:r>
      <w:r>
        <w:rPr>
          <w:rFonts w:hint="eastAsia" w:ascii="仿宋" w:hAnsi="仿宋" w:eastAsia="仿宋" w:cs="仿宋"/>
        </w:rPr>
        <w:t>未按约定的时间或服务标准完成建设工作，采购人可要求</w:t>
      </w:r>
      <w:r>
        <w:rPr>
          <w:rFonts w:hint="eastAsia" w:ascii="仿宋" w:hAnsi="仿宋" w:eastAsia="仿宋" w:cs="仿宋"/>
          <w:lang w:eastAsia="zh-CN"/>
        </w:rPr>
        <w:t>成交供应商</w:t>
      </w:r>
      <w:r>
        <w:rPr>
          <w:rFonts w:hint="eastAsia" w:ascii="仿宋" w:hAnsi="仿宋" w:eastAsia="仿宋" w:cs="仿宋"/>
        </w:rPr>
        <w:t>在规定的时间内采取补救措施。</w:t>
      </w:r>
      <w:r>
        <w:rPr>
          <w:rFonts w:hint="eastAsia" w:ascii="仿宋" w:hAnsi="仿宋" w:eastAsia="仿宋" w:cs="仿宋"/>
          <w:lang w:eastAsia="zh-CN"/>
        </w:rPr>
        <w:t>成交供应商</w:t>
      </w:r>
      <w:r>
        <w:rPr>
          <w:rFonts w:hint="eastAsia" w:ascii="仿宋" w:hAnsi="仿宋" w:eastAsia="仿宋" w:cs="仿宋"/>
        </w:rPr>
        <w:t>还应向采购人支付本项目费用总额30%的违约金，违约金不足以弥补采购人损失的，采购人有权要求</w:t>
      </w:r>
      <w:r>
        <w:rPr>
          <w:rFonts w:hint="eastAsia" w:ascii="仿宋" w:hAnsi="仿宋" w:eastAsia="仿宋" w:cs="仿宋"/>
          <w:lang w:eastAsia="zh-CN"/>
        </w:rPr>
        <w:t>成交供应商</w:t>
      </w:r>
      <w:r>
        <w:rPr>
          <w:rFonts w:hint="eastAsia" w:ascii="仿宋" w:hAnsi="仿宋" w:eastAsia="仿宋" w:cs="仿宋"/>
        </w:rPr>
        <w:t>赔偿超过部分。</w:t>
      </w:r>
    </w:p>
    <w:p w14:paraId="45AD40A9">
      <w:pPr>
        <w:rPr>
          <w:rFonts w:ascii="仿宋" w:hAnsi="仿宋" w:eastAsia="仿宋" w:cs="仿宋"/>
        </w:rPr>
      </w:pPr>
      <w:r>
        <w:rPr>
          <w:rFonts w:hint="eastAsia" w:ascii="仿宋" w:hAnsi="仿宋" w:eastAsia="仿宋" w:cs="仿宋"/>
        </w:rPr>
        <w:t>2、因</w:t>
      </w:r>
      <w:r>
        <w:rPr>
          <w:rFonts w:hint="eastAsia" w:ascii="仿宋" w:hAnsi="仿宋" w:eastAsia="仿宋" w:cs="仿宋"/>
          <w:lang w:eastAsia="zh-CN"/>
        </w:rPr>
        <w:t>成交供应商</w:t>
      </w:r>
      <w:r>
        <w:rPr>
          <w:rFonts w:hint="eastAsia" w:ascii="仿宋" w:hAnsi="仿宋" w:eastAsia="仿宋" w:cs="仿宋"/>
        </w:rPr>
        <w:t>违反保密义务或知识产权约定的，采购人有权要求</w:t>
      </w:r>
      <w:r>
        <w:rPr>
          <w:rFonts w:hint="eastAsia" w:ascii="仿宋" w:hAnsi="仿宋" w:eastAsia="仿宋" w:cs="仿宋"/>
          <w:lang w:eastAsia="zh-CN"/>
        </w:rPr>
        <w:t>成交供应商</w:t>
      </w:r>
      <w:r>
        <w:rPr>
          <w:rFonts w:hint="eastAsia" w:ascii="仿宋" w:hAnsi="仿宋" w:eastAsia="仿宋" w:cs="仿宋"/>
        </w:rPr>
        <w:t>支付本项目费用总额30%的违约金，违约金不足以弥补采购人损失的，采购人有权要求</w:t>
      </w:r>
      <w:r>
        <w:rPr>
          <w:rFonts w:hint="eastAsia" w:ascii="仿宋" w:hAnsi="仿宋" w:eastAsia="仿宋" w:cs="仿宋"/>
          <w:lang w:eastAsia="zh-CN"/>
        </w:rPr>
        <w:t>成交供应商</w:t>
      </w:r>
      <w:r>
        <w:rPr>
          <w:rFonts w:hint="eastAsia" w:ascii="仿宋" w:hAnsi="仿宋" w:eastAsia="仿宋" w:cs="仿宋"/>
        </w:rPr>
        <w:t>赔偿超过部分。若</w:t>
      </w:r>
      <w:r>
        <w:rPr>
          <w:rFonts w:hint="eastAsia" w:ascii="仿宋" w:hAnsi="仿宋" w:eastAsia="仿宋" w:cs="仿宋"/>
          <w:lang w:eastAsia="zh-CN"/>
        </w:rPr>
        <w:t>成交供应商</w:t>
      </w:r>
      <w:r>
        <w:rPr>
          <w:rFonts w:hint="eastAsia" w:ascii="仿宋" w:hAnsi="仿宋" w:eastAsia="仿宋" w:cs="仿宋"/>
        </w:rPr>
        <w:t>违反保密义务，采购人还有权立即单方解除合同而不承担任何违约责任。</w:t>
      </w:r>
    </w:p>
    <w:p w14:paraId="229672A1">
      <w:pPr>
        <w:rPr>
          <w:rFonts w:ascii="仿宋" w:hAnsi="仿宋" w:eastAsia="仿宋" w:cs="仿宋"/>
        </w:rPr>
      </w:pPr>
      <w:r>
        <w:rPr>
          <w:rFonts w:hint="eastAsia" w:ascii="仿宋" w:hAnsi="仿宋" w:eastAsia="仿宋" w:cs="仿宋"/>
        </w:rPr>
        <w:t>3、</w:t>
      </w:r>
      <w:r>
        <w:rPr>
          <w:rFonts w:hint="eastAsia" w:ascii="仿宋" w:hAnsi="仿宋" w:eastAsia="仿宋" w:cs="仿宋"/>
          <w:lang w:eastAsia="zh-CN"/>
        </w:rPr>
        <w:t>成交供应商</w:t>
      </w:r>
      <w:r>
        <w:rPr>
          <w:rFonts w:hint="eastAsia" w:ascii="仿宋" w:hAnsi="仿宋" w:eastAsia="仿宋" w:cs="仿宋"/>
        </w:rPr>
        <w:t>有其他违反本项目合同约定的行为，</w:t>
      </w:r>
      <w:r>
        <w:rPr>
          <w:rFonts w:hint="eastAsia" w:ascii="仿宋" w:hAnsi="仿宋" w:eastAsia="仿宋" w:cs="仿宋"/>
          <w:lang w:eastAsia="zh-CN"/>
        </w:rPr>
        <w:t>成交供应商</w:t>
      </w:r>
      <w:r>
        <w:rPr>
          <w:rFonts w:hint="eastAsia" w:ascii="仿宋" w:hAnsi="仿宋" w:eastAsia="仿宋" w:cs="仿宋"/>
        </w:rPr>
        <w:t>应当支付本项目总价款金额的20%作为违约金，违约金不足以弥补采购人损失的，采购人有权要求</w:t>
      </w:r>
      <w:r>
        <w:rPr>
          <w:rFonts w:hint="eastAsia" w:ascii="仿宋" w:hAnsi="仿宋" w:eastAsia="仿宋" w:cs="仿宋"/>
          <w:lang w:eastAsia="zh-CN"/>
        </w:rPr>
        <w:t>成交供应商</w:t>
      </w:r>
      <w:r>
        <w:rPr>
          <w:rFonts w:hint="eastAsia" w:ascii="仿宋" w:hAnsi="仿宋" w:eastAsia="仿宋" w:cs="仿宋"/>
        </w:rPr>
        <w:t>赔偿超过部分。</w:t>
      </w:r>
    </w:p>
    <w:p w14:paraId="00B85F29">
      <w:pPr>
        <w:rPr>
          <w:rFonts w:ascii="仿宋" w:hAnsi="仿宋" w:eastAsia="仿宋" w:cs="仿宋"/>
        </w:rPr>
      </w:pPr>
      <w:r>
        <w:rPr>
          <w:rFonts w:hint="eastAsia" w:ascii="仿宋" w:hAnsi="仿宋" w:eastAsia="仿宋" w:cs="仿宋"/>
        </w:rPr>
        <w:t>4、</w:t>
      </w:r>
      <w:r>
        <w:rPr>
          <w:rFonts w:hint="eastAsia" w:ascii="仿宋" w:hAnsi="仿宋" w:eastAsia="仿宋" w:cs="仿宋"/>
          <w:lang w:eastAsia="zh-CN"/>
        </w:rPr>
        <w:t>成交供应商</w:t>
      </w:r>
      <w:r>
        <w:rPr>
          <w:rFonts w:hint="eastAsia" w:ascii="仿宋" w:hAnsi="仿宋" w:eastAsia="仿宋" w:cs="仿宋"/>
        </w:rPr>
        <w:t>有下列情形之一，采购人有权解除合同：</w:t>
      </w:r>
    </w:p>
    <w:p w14:paraId="3C27651D">
      <w:pPr>
        <w:rPr>
          <w:rFonts w:ascii="仿宋" w:hAnsi="仿宋" w:eastAsia="仿宋" w:cs="仿宋"/>
        </w:rPr>
      </w:pPr>
      <w:r>
        <w:rPr>
          <w:rFonts w:hint="eastAsia" w:ascii="仿宋" w:hAnsi="仿宋" w:eastAsia="仿宋" w:cs="仿宋"/>
        </w:rPr>
        <w:t>（1）因</w:t>
      </w:r>
      <w:r>
        <w:rPr>
          <w:rFonts w:hint="eastAsia" w:ascii="仿宋" w:hAnsi="仿宋" w:eastAsia="仿宋" w:cs="仿宋"/>
          <w:lang w:eastAsia="zh-CN"/>
        </w:rPr>
        <w:t>成交供应商</w:t>
      </w:r>
      <w:r>
        <w:rPr>
          <w:rFonts w:hint="eastAsia" w:ascii="仿宋" w:hAnsi="仿宋" w:eastAsia="仿宋" w:cs="仿宋"/>
        </w:rPr>
        <w:t>服务质量问题导致采购人无法实现目的；</w:t>
      </w:r>
    </w:p>
    <w:p w14:paraId="4E5ECC5F">
      <w:pPr>
        <w:rPr>
          <w:rFonts w:ascii="仿宋" w:hAnsi="仿宋" w:eastAsia="仿宋" w:cs="仿宋"/>
        </w:rPr>
      </w:pPr>
      <w:r>
        <w:rPr>
          <w:rFonts w:hint="eastAsia" w:ascii="仿宋" w:hAnsi="仿宋" w:eastAsia="仿宋" w:cs="仿宋"/>
        </w:rPr>
        <w:t>（2）擅自转让或者分包其应履行的义务的；</w:t>
      </w:r>
    </w:p>
    <w:p w14:paraId="25D33EB7">
      <w:pPr>
        <w:rPr>
          <w:rFonts w:ascii="仿宋" w:hAnsi="仿宋" w:eastAsia="仿宋" w:cs="仿宋"/>
        </w:rPr>
      </w:pPr>
      <w:r>
        <w:rPr>
          <w:rFonts w:hint="eastAsia" w:ascii="仿宋" w:hAnsi="仿宋" w:eastAsia="仿宋" w:cs="仿宋"/>
        </w:rPr>
        <w:t>（3）违反或者未履行本项目合同约定的其他相关义务，且在采购人要求的合理时间内未能纠正的。</w:t>
      </w:r>
    </w:p>
    <w:p w14:paraId="3419C308">
      <w:pPr>
        <w:pStyle w:val="2"/>
        <w:rPr>
          <w:rFonts w:ascii="仿宋" w:hAnsi="仿宋" w:eastAsia="仿宋" w:cs="仿宋"/>
        </w:rPr>
      </w:pPr>
      <w:bookmarkStart w:id="39" w:name="_Toc63785514"/>
      <w:r>
        <w:rPr>
          <w:rFonts w:hint="eastAsia" w:ascii="仿宋" w:hAnsi="仿宋" w:eastAsia="仿宋" w:cs="仿宋"/>
        </w:rPr>
        <w:t>付款</w:t>
      </w:r>
      <w:bookmarkEnd w:id="39"/>
      <w:r>
        <w:rPr>
          <w:rFonts w:hint="eastAsia" w:ascii="仿宋" w:hAnsi="仿宋" w:eastAsia="仿宋" w:cs="仿宋"/>
        </w:rPr>
        <w:t>方式</w:t>
      </w:r>
    </w:p>
    <w:p w14:paraId="5B5BC77F">
      <w:pPr>
        <w:adjustRightInd w:val="0"/>
        <w:snapToGrid w:val="0"/>
        <w:rPr>
          <w:rFonts w:ascii="仿宋" w:hAnsi="仿宋" w:eastAsia="仿宋" w:cs="仿宋"/>
          <w:szCs w:val="21"/>
        </w:rPr>
      </w:pPr>
      <w:bookmarkStart w:id="40" w:name="付款方法"/>
      <w:r>
        <w:rPr>
          <w:rFonts w:hint="eastAsia" w:ascii="仿宋" w:hAnsi="仿宋" w:eastAsia="仿宋" w:cs="仿宋"/>
          <w:szCs w:val="21"/>
        </w:rPr>
        <w:t>分期付款的时间进度要求和支付比例具体如下：</w:t>
      </w:r>
    </w:p>
    <w:p w14:paraId="6B0138D0">
      <w:pPr>
        <w:rPr>
          <w:rFonts w:ascii="仿宋" w:hAnsi="仿宋" w:eastAsia="仿宋" w:cs="仿宋"/>
        </w:rPr>
      </w:pPr>
      <w:bookmarkStart w:id="41" w:name="_Hlk122524140"/>
      <w:r>
        <w:rPr>
          <w:rFonts w:hint="eastAsia" w:ascii="仿宋" w:hAnsi="仿宋" w:eastAsia="仿宋" w:cs="仿宋"/>
        </w:rPr>
        <w:t>（1）本项目采用以下方式付款：</w:t>
      </w:r>
    </w:p>
    <w:p w14:paraId="28ED700F">
      <w:pPr>
        <w:rPr>
          <w:rFonts w:ascii="仿宋" w:hAnsi="仿宋" w:eastAsia="仿宋" w:cs="仿宋"/>
        </w:rPr>
      </w:pPr>
      <w:r>
        <w:rPr>
          <w:rFonts w:hint="eastAsia" w:ascii="仿宋" w:hAnsi="仿宋" w:eastAsia="仿宋" w:cs="仿宋"/>
        </w:rPr>
        <w:t>a.合同签订生效后且采购人收到成交人开具的等额发票后的10个工作日内，支付合同总价款的70%；</w:t>
      </w:r>
    </w:p>
    <w:p w14:paraId="37F0C9E3">
      <w:pPr>
        <w:rPr>
          <w:rFonts w:ascii="仿宋" w:hAnsi="仿宋" w:eastAsia="仿宋" w:cs="仿宋"/>
        </w:rPr>
      </w:pPr>
      <w:r>
        <w:rPr>
          <w:rFonts w:hint="eastAsia" w:ascii="仿宋" w:hAnsi="仿宋" w:eastAsia="仿宋" w:cs="仿宋"/>
        </w:rPr>
        <w:t>b.本项目通过最终验收后且采购人收到约定的项目工作成果、成交人开具的等额发票后的 10个工作日内，支付合同总价款的30%。</w:t>
      </w:r>
    </w:p>
    <w:p w14:paraId="2B7DEC86">
      <w:pPr>
        <w:rPr>
          <w:rFonts w:ascii="仿宋" w:hAnsi="仿宋" w:eastAsia="仿宋" w:cs="仿宋"/>
        </w:rPr>
      </w:pPr>
      <w:r>
        <w:rPr>
          <w:rFonts w:hint="eastAsia" w:ascii="仿宋" w:hAnsi="仿宋" w:eastAsia="仿宋" w:cs="仿宋"/>
        </w:rPr>
        <w:t>（2）成交人应当及时向采购人开具与付款金额等额的合法有效的增值税普通发票。因成交人未及时开具发票导致采购人延迟付款的，采购人不承担违约责任。</w:t>
      </w:r>
    </w:p>
    <w:bookmarkEnd w:id="40"/>
    <w:bookmarkEnd w:id="41"/>
    <w:p w14:paraId="17BEE8A7"/>
    <w:p w14:paraId="11F00358">
      <w:pPr>
        <w:pStyle w:val="2"/>
        <w:rPr>
          <w:rFonts w:ascii="仿宋" w:hAnsi="仿宋" w:eastAsia="仿宋" w:cs="仿宋"/>
        </w:rPr>
      </w:pPr>
      <w:bookmarkStart w:id="42" w:name="_Toc68798863"/>
      <w:r>
        <w:rPr>
          <w:rFonts w:hint="eastAsia" w:ascii="仿宋" w:hAnsi="仿宋" w:eastAsia="仿宋" w:cs="仿宋"/>
        </w:rPr>
        <w:t>附录</w:t>
      </w:r>
      <w:bookmarkEnd w:id="42"/>
    </w:p>
    <w:p w14:paraId="3FBD150B">
      <w:pPr>
        <w:ind w:firstLine="482"/>
        <w:rPr>
          <w:rFonts w:ascii="仿宋" w:hAnsi="仿宋" w:eastAsia="仿宋" w:cs="仿宋"/>
          <w:b/>
        </w:rPr>
      </w:pPr>
      <w:r>
        <w:rPr>
          <w:rFonts w:hint="eastAsia" w:ascii="仿宋" w:hAnsi="仿宋" w:eastAsia="仿宋" w:cs="仿宋"/>
          <w:b/>
        </w:rPr>
        <w:t>若项目建设过程中需符合相关技术标准或规范文件的要求，请将相关文件作为附件列出。</w:t>
      </w:r>
    </w:p>
    <w:p w14:paraId="53DD2B2D">
      <w:pPr>
        <w:ind w:firstLine="482"/>
        <w:rPr>
          <w:rFonts w:ascii="仿宋" w:hAnsi="仿宋" w:eastAsia="仿宋" w:cs="仿宋"/>
        </w:rPr>
      </w:pPr>
      <w:r>
        <w:rPr>
          <w:rFonts w:hint="eastAsia" w:ascii="仿宋" w:hAnsi="仿宋" w:eastAsia="仿宋" w:cs="仿宋"/>
          <w:b/>
        </w:rPr>
        <w:t>参考如下：</w:t>
      </w:r>
    </w:p>
    <w:p w14:paraId="66CE3191">
      <w:pPr>
        <w:ind w:firstLine="0" w:firstLineChars="0"/>
        <w:rPr>
          <w:rFonts w:ascii="仿宋" w:hAnsi="仿宋" w:eastAsia="仿宋" w:cs="仿宋"/>
        </w:rPr>
      </w:pPr>
      <w:r>
        <w:rPr>
          <w:rFonts w:hint="eastAsia" w:ascii="仿宋" w:hAnsi="仿宋" w:eastAsia="仿宋" w:cs="仿宋"/>
        </w:rPr>
        <w:t>1、《政务网络安全监测平台总体技术要求》</w:t>
      </w:r>
    </w:p>
    <w:p w14:paraId="0F5067D0">
      <w:pPr>
        <w:ind w:firstLine="0" w:firstLineChars="0"/>
        <w:rPr>
          <w:rFonts w:ascii="仿宋" w:hAnsi="仿宋" w:eastAsia="仿宋" w:cs="仿宋"/>
        </w:rPr>
      </w:pPr>
      <w:r>
        <w:rPr>
          <w:rFonts w:hint="eastAsia" w:ascii="仿宋" w:hAnsi="仿宋" w:eastAsia="仿宋" w:cs="仿宋"/>
        </w:rPr>
        <w:object>
          <v:shape id="_x0000_i1025" o:spt="75" type="#_x0000_t75" style="height:54.4pt;width:76.5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14:paraId="1AAB4BC4">
      <w:pPr>
        <w:ind w:firstLine="0" w:firstLineChars="0"/>
        <w:rPr>
          <w:rFonts w:ascii="仿宋" w:hAnsi="仿宋" w:eastAsia="仿宋" w:cs="仿宋"/>
        </w:rPr>
      </w:pPr>
    </w:p>
    <w:p w14:paraId="38865055">
      <w:pPr>
        <w:ind w:firstLine="0" w:firstLineChars="0"/>
        <w:jc w:val="left"/>
        <w:rPr>
          <w:rFonts w:ascii="仿宋" w:hAnsi="仿宋" w:eastAsia="仿宋" w:cs="仿宋"/>
        </w:rPr>
      </w:pPr>
      <w:r>
        <w:rPr>
          <w:rFonts w:hint="eastAsia" w:ascii="仿宋" w:hAnsi="仿宋" w:eastAsia="仿宋" w:cs="仿宋"/>
        </w:rPr>
        <w:t>2、《上海市电子政务外网建设和运行管理指南（试行）》</w:t>
      </w:r>
    </w:p>
    <w:p w14:paraId="13C49437">
      <w:pPr>
        <w:ind w:firstLine="0" w:firstLineChars="0"/>
        <w:jc w:val="left"/>
        <w:rPr>
          <w:rFonts w:ascii="仿宋" w:hAnsi="仿宋" w:eastAsia="仿宋" w:cs="仿宋"/>
        </w:rPr>
      </w:pPr>
      <w:r>
        <w:rPr>
          <w:rFonts w:hint="eastAsia" w:ascii="仿宋" w:hAnsi="仿宋" w:eastAsia="仿宋" w:cs="仿宋"/>
        </w:rPr>
        <w:object>
          <v:shape id="_x0000_i1026" o:spt="75" type="#_x0000_t75" style="height:54.4pt;width:76.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14:paraId="7776B275">
      <w:pPr>
        <w:ind w:firstLine="0" w:firstLineChars="0"/>
        <w:jc w:val="left"/>
        <w:rPr>
          <w:rFonts w:ascii="仿宋" w:hAnsi="仿宋" w:eastAsia="仿宋" w:cs="仿宋"/>
          <w:b/>
          <w:bCs/>
        </w:rPr>
      </w:pPr>
      <w:r>
        <w:rPr>
          <w:rFonts w:hint="eastAsia" w:ascii="仿宋" w:hAnsi="仿宋" w:eastAsia="仿宋" w:cs="仿宋"/>
        </w:rPr>
        <w:t>3、其他标准</w:t>
      </w:r>
    </w:p>
    <w:p w14:paraId="1FA9205A">
      <w:pPr>
        <w:rPr>
          <w:rFonts w:ascii="仿宋" w:hAnsi="仿宋" w:eastAsia="仿宋" w:cs="仿宋"/>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ì.">
    <w:altName w:val="宋体"/>
    <w:panose1 w:val="00000000000000000000"/>
    <w:charset w:val="86"/>
    <w:family w:val="roman"/>
    <w:pitch w:val="default"/>
    <w:sig w:usb0="00000000" w:usb1="00000000" w:usb2="00000000" w:usb3="00000000" w:csb0="00040001" w:csb1="00000000"/>
  </w:font>
  <w:font w:name="time">
    <w:altName w:val="宋体"/>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Microsoft Sans Serif">
    <w:panose1 w:val="020B0604020202020204"/>
    <w:charset w:val="00"/>
    <w:family w:val="swiss"/>
    <w:pitch w:val="default"/>
    <w:sig w:usb0="E5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A9D79">
    <w:pPr>
      <w:ind w:firstLine="0" w:firstLineChars="0"/>
      <w:jc w:val="center"/>
    </w:pPr>
    <w:r>
      <w:fldChar w:fldCharType="begin"/>
    </w:r>
    <w:r>
      <w:instrText xml:space="preserve">PAGE   \* MERGEFORMAT</w:instrText>
    </w:r>
    <w:r>
      <w:fldChar w:fldCharType="separate"/>
    </w:r>
    <w:r>
      <w:rPr>
        <w:lang w:val="zh-CN"/>
      </w:rPr>
      <w:t>28</w:t>
    </w:r>
    <w:r>
      <w:rPr>
        <w:lang w:val="zh-CN"/>
      </w:rPr>
      <w:fldChar w:fldCharType="end"/>
    </w:r>
  </w:p>
  <w:p w14:paraId="0E180D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6BBD8"/>
  <w:p w14:paraId="7591410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0BB6A">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91250">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4B906E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4124A">
    <w:pPr>
      <w:pStyle w:val="2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B92B8"/>
  <w:p w14:paraId="47C856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D5242">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463140"/>
    <w:multiLevelType w:val="singleLevel"/>
    <w:tmpl w:val="2A463140"/>
    <w:lvl w:ilvl="0" w:tentative="0">
      <w:start w:val="1"/>
      <w:numFmt w:val="decimal"/>
      <w:suff w:val="nothing"/>
      <w:lvlText w:val="（%1）"/>
      <w:lvlJc w:val="left"/>
    </w:lvl>
  </w:abstractNum>
  <w:abstractNum w:abstractNumId="1">
    <w:nsid w:val="3C9E6275"/>
    <w:multiLevelType w:val="singleLevel"/>
    <w:tmpl w:val="3C9E6275"/>
    <w:lvl w:ilvl="0" w:tentative="0">
      <w:start w:val="1"/>
      <w:numFmt w:val="decimal"/>
      <w:lvlText w:val="%1)"/>
      <w:lvlJc w:val="left"/>
      <w:pPr>
        <w:ind w:left="425" w:hanging="425"/>
      </w:pPr>
      <w:rPr>
        <w:rFonts w:hint="default"/>
      </w:rPr>
    </w:lvl>
  </w:abstractNum>
  <w:abstractNum w:abstractNumId="2">
    <w:nsid w:val="6350366A"/>
    <w:multiLevelType w:val="multilevel"/>
    <w:tmpl w:val="6350366A"/>
    <w:lvl w:ilvl="0" w:tentative="0">
      <w:start w:val="1"/>
      <w:numFmt w:val="none"/>
      <w:pStyle w:val="115"/>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4">
    <w:nsid w:val="6A600C3E"/>
    <w:multiLevelType w:val="singleLevel"/>
    <w:tmpl w:val="6A600C3E"/>
    <w:lvl w:ilvl="0" w:tentative="0">
      <w:start w:val="1"/>
      <w:numFmt w:val="decimal"/>
      <w:suff w:val="space"/>
      <w:lvlText w:val="%1."/>
      <w:lvlJc w:val="left"/>
      <w:pPr>
        <w:ind w:left="1145" w:hanging="425"/>
      </w:pPr>
      <w:rPr>
        <w:rFonts w:hint="default"/>
      </w:rPr>
    </w:lvl>
  </w:abstractNum>
  <w:abstractNum w:abstractNumId="5">
    <w:nsid w:val="77ECEA79"/>
    <w:multiLevelType w:val="multilevel"/>
    <w:tmpl w:val="77ECEA79"/>
    <w:lvl w:ilvl="0" w:tentative="0">
      <w:start w:val="1"/>
      <w:numFmt w:val="bullet"/>
      <w:lvlText w:val=""/>
      <w:legacy w:legacy="1" w:legacySpace="0" w:legacyIndent="420"/>
      <w:lvlJc w:val="left"/>
      <w:pPr>
        <w:ind w:left="980" w:hanging="420"/>
      </w:pPr>
      <w:rPr>
        <w:rFonts w:hint="default" w:ascii="Wingdings" w:hAnsi="Wingdings"/>
      </w:rPr>
    </w:lvl>
    <w:lvl w:ilvl="1" w:tentative="0">
      <w:start w:val="1"/>
      <w:numFmt w:val="bullet"/>
      <w:lvlText w:val=""/>
      <w:legacy w:legacy="1" w:legacySpace="0" w:legacyIndent="420"/>
      <w:lvlJc w:val="left"/>
      <w:pPr>
        <w:ind w:left="1400" w:hanging="420"/>
      </w:pPr>
      <w:rPr>
        <w:rFonts w:hint="default" w:ascii="Wingdings" w:hAnsi="Wingdings"/>
      </w:rPr>
    </w:lvl>
    <w:lvl w:ilvl="2" w:tentative="0">
      <w:start w:val="1"/>
      <w:numFmt w:val="bullet"/>
      <w:lvlText w:val=""/>
      <w:legacy w:legacy="1" w:legacySpace="0" w:legacyIndent="420"/>
      <w:lvlJc w:val="left"/>
      <w:pPr>
        <w:ind w:left="1820" w:hanging="420"/>
      </w:pPr>
      <w:rPr>
        <w:rFonts w:hint="default" w:ascii="Wingdings" w:hAnsi="Wingdings"/>
      </w:rPr>
    </w:lvl>
    <w:lvl w:ilvl="3" w:tentative="0">
      <w:start w:val="1"/>
      <w:numFmt w:val="bullet"/>
      <w:lvlText w:val=""/>
      <w:legacy w:legacy="1" w:legacySpace="0" w:legacyIndent="420"/>
      <w:lvlJc w:val="left"/>
      <w:pPr>
        <w:ind w:left="2240" w:hanging="420"/>
      </w:pPr>
      <w:rPr>
        <w:rFonts w:hint="default" w:ascii="Wingdings" w:hAnsi="Wingdings"/>
      </w:rPr>
    </w:lvl>
    <w:lvl w:ilvl="4" w:tentative="0">
      <w:start w:val="1"/>
      <w:numFmt w:val="bullet"/>
      <w:lvlText w:val=""/>
      <w:legacy w:legacy="1" w:legacySpace="0" w:legacyIndent="420"/>
      <w:lvlJc w:val="left"/>
      <w:pPr>
        <w:ind w:left="2660" w:hanging="420"/>
      </w:pPr>
      <w:rPr>
        <w:rFonts w:hint="default" w:ascii="Wingdings" w:hAnsi="Wingdings"/>
      </w:rPr>
    </w:lvl>
    <w:lvl w:ilvl="5" w:tentative="0">
      <w:start w:val="1"/>
      <w:numFmt w:val="bullet"/>
      <w:lvlText w:val=""/>
      <w:legacy w:legacy="1" w:legacySpace="0" w:legacyIndent="420"/>
      <w:lvlJc w:val="left"/>
      <w:pPr>
        <w:ind w:left="3080" w:hanging="420"/>
      </w:pPr>
      <w:rPr>
        <w:rFonts w:hint="default" w:ascii="Wingdings" w:hAnsi="Wingdings"/>
      </w:rPr>
    </w:lvl>
    <w:lvl w:ilvl="6" w:tentative="0">
      <w:start w:val="1"/>
      <w:numFmt w:val="bullet"/>
      <w:lvlText w:val=""/>
      <w:legacy w:legacy="1" w:legacySpace="0" w:legacyIndent="420"/>
      <w:lvlJc w:val="left"/>
      <w:pPr>
        <w:ind w:left="3500" w:hanging="420"/>
      </w:pPr>
      <w:rPr>
        <w:rFonts w:hint="default" w:ascii="Wingdings" w:hAnsi="Wingdings"/>
      </w:rPr>
    </w:lvl>
    <w:lvl w:ilvl="7" w:tentative="0">
      <w:start w:val="1"/>
      <w:numFmt w:val="bullet"/>
      <w:lvlText w:val=""/>
      <w:legacy w:legacy="1" w:legacySpace="0" w:legacyIndent="420"/>
      <w:lvlJc w:val="left"/>
      <w:pPr>
        <w:ind w:left="3920" w:hanging="420"/>
      </w:pPr>
      <w:rPr>
        <w:rFonts w:hint="default" w:ascii="Wingdings" w:hAnsi="Wingdings"/>
      </w:rPr>
    </w:lvl>
    <w:lvl w:ilvl="8" w:tentative="0">
      <w:start w:val="1"/>
      <w:numFmt w:val="bullet"/>
      <w:lvlText w:val=""/>
      <w:legacy w:legacy="1" w:legacySpace="0" w:legacyIndent="420"/>
      <w:lvlJc w:val="left"/>
      <w:pPr>
        <w:ind w:left="4340" w:hanging="420"/>
      </w:pPr>
      <w:rPr>
        <w:rFonts w:hint="default" w:ascii="Wingdings" w:hAnsi="Wingdings"/>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NWIwZGE3NWJhOGE3MzAxYmEyYWExMzQyMjJmYmUifQ=="/>
  </w:docVars>
  <w:rsids>
    <w:rsidRoot w:val="006910C0"/>
    <w:rsid w:val="0000005A"/>
    <w:rsid w:val="00000AED"/>
    <w:rsid w:val="00003516"/>
    <w:rsid w:val="0000380E"/>
    <w:rsid w:val="00005AFD"/>
    <w:rsid w:val="00006563"/>
    <w:rsid w:val="000074F1"/>
    <w:rsid w:val="00007A41"/>
    <w:rsid w:val="00007DA7"/>
    <w:rsid w:val="00012EF0"/>
    <w:rsid w:val="000156DE"/>
    <w:rsid w:val="00015B64"/>
    <w:rsid w:val="000165AD"/>
    <w:rsid w:val="000179E9"/>
    <w:rsid w:val="00020C18"/>
    <w:rsid w:val="00021EE6"/>
    <w:rsid w:val="0002280E"/>
    <w:rsid w:val="00022C74"/>
    <w:rsid w:val="00025122"/>
    <w:rsid w:val="000252D5"/>
    <w:rsid w:val="00026997"/>
    <w:rsid w:val="00027A64"/>
    <w:rsid w:val="00032D27"/>
    <w:rsid w:val="00032DC5"/>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443F"/>
    <w:rsid w:val="000E6072"/>
    <w:rsid w:val="000E6D61"/>
    <w:rsid w:val="000E7A23"/>
    <w:rsid w:val="000F1C29"/>
    <w:rsid w:val="000F1D1E"/>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5FC0"/>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3DEF"/>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D7E"/>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17F41"/>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2F6B"/>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1708"/>
    <w:rsid w:val="00312D31"/>
    <w:rsid w:val="00315216"/>
    <w:rsid w:val="0031691C"/>
    <w:rsid w:val="00317AEF"/>
    <w:rsid w:val="00317F49"/>
    <w:rsid w:val="0032089B"/>
    <w:rsid w:val="00323450"/>
    <w:rsid w:val="00323D93"/>
    <w:rsid w:val="0032489B"/>
    <w:rsid w:val="0032525B"/>
    <w:rsid w:val="00326920"/>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4F26"/>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2064"/>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60F3"/>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2361"/>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097"/>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859"/>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43CD"/>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226A"/>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63A6"/>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70C"/>
    <w:rsid w:val="00637EC6"/>
    <w:rsid w:val="00640AD1"/>
    <w:rsid w:val="0064240C"/>
    <w:rsid w:val="00642FF5"/>
    <w:rsid w:val="006430FB"/>
    <w:rsid w:val="00643992"/>
    <w:rsid w:val="00644DBC"/>
    <w:rsid w:val="00646FE6"/>
    <w:rsid w:val="006474CD"/>
    <w:rsid w:val="00647744"/>
    <w:rsid w:val="006479A0"/>
    <w:rsid w:val="006500D9"/>
    <w:rsid w:val="00653387"/>
    <w:rsid w:val="00653B54"/>
    <w:rsid w:val="006541A3"/>
    <w:rsid w:val="00654FAD"/>
    <w:rsid w:val="00655C9F"/>
    <w:rsid w:val="006567FF"/>
    <w:rsid w:val="00656867"/>
    <w:rsid w:val="0066109F"/>
    <w:rsid w:val="00664B26"/>
    <w:rsid w:val="0066596B"/>
    <w:rsid w:val="00665C8F"/>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0666"/>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26E74"/>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2D03"/>
    <w:rsid w:val="00775BCF"/>
    <w:rsid w:val="007818AA"/>
    <w:rsid w:val="00783140"/>
    <w:rsid w:val="007838B6"/>
    <w:rsid w:val="00783E77"/>
    <w:rsid w:val="007906F1"/>
    <w:rsid w:val="0079243D"/>
    <w:rsid w:val="0079488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684F"/>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5B67"/>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4326"/>
    <w:rsid w:val="00A86F10"/>
    <w:rsid w:val="00A87AF2"/>
    <w:rsid w:val="00A90B23"/>
    <w:rsid w:val="00A93193"/>
    <w:rsid w:val="00A93C2B"/>
    <w:rsid w:val="00A94556"/>
    <w:rsid w:val="00A974CB"/>
    <w:rsid w:val="00AA1EAC"/>
    <w:rsid w:val="00AA4131"/>
    <w:rsid w:val="00AA45E2"/>
    <w:rsid w:val="00AA7AC1"/>
    <w:rsid w:val="00AB6327"/>
    <w:rsid w:val="00AB6B8F"/>
    <w:rsid w:val="00AC0C65"/>
    <w:rsid w:val="00AC0FB2"/>
    <w:rsid w:val="00AC23E8"/>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089"/>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7A1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017"/>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3739"/>
    <w:rsid w:val="00C645EB"/>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9428D"/>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4819"/>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1034"/>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16CC"/>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339"/>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1B6C"/>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1D0"/>
    <w:rsid w:val="00F402B5"/>
    <w:rsid w:val="00F4072F"/>
    <w:rsid w:val="00F42839"/>
    <w:rsid w:val="00F44CC0"/>
    <w:rsid w:val="00F450BA"/>
    <w:rsid w:val="00F4684B"/>
    <w:rsid w:val="00F46BE9"/>
    <w:rsid w:val="00F47C3B"/>
    <w:rsid w:val="00F506CA"/>
    <w:rsid w:val="00F53A7A"/>
    <w:rsid w:val="00F54FCD"/>
    <w:rsid w:val="00F5785C"/>
    <w:rsid w:val="00F63790"/>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2B47"/>
    <w:rsid w:val="00F8412F"/>
    <w:rsid w:val="00F84791"/>
    <w:rsid w:val="00F85995"/>
    <w:rsid w:val="00F85FC5"/>
    <w:rsid w:val="00F86C22"/>
    <w:rsid w:val="00F90CB3"/>
    <w:rsid w:val="00F912A2"/>
    <w:rsid w:val="00F913A3"/>
    <w:rsid w:val="00F925C3"/>
    <w:rsid w:val="00FA0109"/>
    <w:rsid w:val="00FA0682"/>
    <w:rsid w:val="00FA458B"/>
    <w:rsid w:val="00FA5EC5"/>
    <w:rsid w:val="00FA7016"/>
    <w:rsid w:val="00FA7174"/>
    <w:rsid w:val="00FA793D"/>
    <w:rsid w:val="00FB020E"/>
    <w:rsid w:val="00FB0F17"/>
    <w:rsid w:val="00FB4B9D"/>
    <w:rsid w:val="00FB50ED"/>
    <w:rsid w:val="00FB6E18"/>
    <w:rsid w:val="00FB72C7"/>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13765F"/>
    <w:rsid w:val="01697CC8"/>
    <w:rsid w:val="017D60AB"/>
    <w:rsid w:val="021A7121"/>
    <w:rsid w:val="022B42BD"/>
    <w:rsid w:val="02C9719F"/>
    <w:rsid w:val="03430854"/>
    <w:rsid w:val="039F5FA6"/>
    <w:rsid w:val="03A25932"/>
    <w:rsid w:val="03CA29C7"/>
    <w:rsid w:val="043F75A7"/>
    <w:rsid w:val="046E5030"/>
    <w:rsid w:val="04DC7366"/>
    <w:rsid w:val="0503549C"/>
    <w:rsid w:val="051F457C"/>
    <w:rsid w:val="05AA48B1"/>
    <w:rsid w:val="06325E29"/>
    <w:rsid w:val="063A3563"/>
    <w:rsid w:val="06901BB8"/>
    <w:rsid w:val="06C62BEE"/>
    <w:rsid w:val="075263B6"/>
    <w:rsid w:val="076F36D5"/>
    <w:rsid w:val="07C81C50"/>
    <w:rsid w:val="07FD0DA7"/>
    <w:rsid w:val="08115175"/>
    <w:rsid w:val="08242A95"/>
    <w:rsid w:val="0867176E"/>
    <w:rsid w:val="086A2B77"/>
    <w:rsid w:val="09294489"/>
    <w:rsid w:val="092959F5"/>
    <w:rsid w:val="09305ADA"/>
    <w:rsid w:val="096152C3"/>
    <w:rsid w:val="096E5D49"/>
    <w:rsid w:val="09E93936"/>
    <w:rsid w:val="0A1C1A19"/>
    <w:rsid w:val="0A801366"/>
    <w:rsid w:val="0A8729A8"/>
    <w:rsid w:val="0B641C3E"/>
    <w:rsid w:val="0B7D5B98"/>
    <w:rsid w:val="0BB05F2E"/>
    <w:rsid w:val="0C150F0A"/>
    <w:rsid w:val="0C5F145C"/>
    <w:rsid w:val="0CD130F2"/>
    <w:rsid w:val="0CED0591"/>
    <w:rsid w:val="0D0F23F9"/>
    <w:rsid w:val="0D2C59A8"/>
    <w:rsid w:val="0D5C5FEA"/>
    <w:rsid w:val="0D635C0F"/>
    <w:rsid w:val="0D682F64"/>
    <w:rsid w:val="0D8B4223"/>
    <w:rsid w:val="0DF93BBD"/>
    <w:rsid w:val="0DFC18FF"/>
    <w:rsid w:val="0E2D7D0A"/>
    <w:rsid w:val="0E451499"/>
    <w:rsid w:val="0E8013B7"/>
    <w:rsid w:val="0ECA12CF"/>
    <w:rsid w:val="0ECA5F52"/>
    <w:rsid w:val="0EE53B7D"/>
    <w:rsid w:val="0EFE0D66"/>
    <w:rsid w:val="0F2722F7"/>
    <w:rsid w:val="108D67AF"/>
    <w:rsid w:val="1094298C"/>
    <w:rsid w:val="109A371A"/>
    <w:rsid w:val="10BF2CE1"/>
    <w:rsid w:val="10D604C6"/>
    <w:rsid w:val="11B515E0"/>
    <w:rsid w:val="11D8791E"/>
    <w:rsid w:val="121176FA"/>
    <w:rsid w:val="12577D0B"/>
    <w:rsid w:val="12E4536B"/>
    <w:rsid w:val="131159E5"/>
    <w:rsid w:val="133E4C8F"/>
    <w:rsid w:val="13A53267"/>
    <w:rsid w:val="13F970D2"/>
    <w:rsid w:val="14081819"/>
    <w:rsid w:val="14AA4136"/>
    <w:rsid w:val="14B1486E"/>
    <w:rsid w:val="14C50C9C"/>
    <w:rsid w:val="15015EB0"/>
    <w:rsid w:val="151D2886"/>
    <w:rsid w:val="15A22524"/>
    <w:rsid w:val="15D71780"/>
    <w:rsid w:val="15D942D4"/>
    <w:rsid w:val="15F66C34"/>
    <w:rsid w:val="160E65BF"/>
    <w:rsid w:val="163A420B"/>
    <w:rsid w:val="16505010"/>
    <w:rsid w:val="16604BD1"/>
    <w:rsid w:val="16866209"/>
    <w:rsid w:val="16A86880"/>
    <w:rsid w:val="17831C84"/>
    <w:rsid w:val="179B4103"/>
    <w:rsid w:val="17B16D61"/>
    <w:rsid w:val="17F905B5"/>
    <w:rsid w:val="180873B5"/>
    <w:rsid w:val="186F4798"/>
    <w:rsid w:val="18843664"/>
    <w:rsid w:val="189A7D92"/>
    <w:rsid w:val="18BC68C2"/>
    <w:rsid w:val="18D05E62"/>
    <w:rsid w:val="18E665F0"/>
    <w:rsid w:val="18F64223"/>
    <w:rsid w:val="19134B6E"/>
    <w:rsid w:val="19413B26"/>
    <w:rsid w:val="194A4DEB"/>
    <w:rsid w:val="19726820"/>
    <w:rsid w:val="1974699E"/>
    <w:rsid w:val="1AA80A45"/>
    <w:rsid w:val="1B1B2696"/>
    <w:rsid w:val="1B5310EE"/>
    <w:rsid w:val="1BD00993"/>
    <w:rsid w:val="1C0F3C96"/>
    <w:rsid w:val="1C283905"/>
    <w:rsid w:val="1C6D3688"/>
    <w:rsid w:val="1CC63D0A"/>
    <w:rsid w:val="1CD337B7"/>
    <w:rsid w:val="1D1E4277"/>
    <w:rsid w:val="1D4078B0"/>
    <w:rsid w:val="1D575BA7"/>
    <w:rsid w:val="1D88595F"/>
    <w:rsid w:val="1D8C4833"/>
    <w:rsid w:val="1D954158"/>
    <w:rsid w:val="1DC2081A"/>
    <w:rsid w:val="1DD94266"/>
    <w:rsid w:val="1DEF0B38"/>
    <w:rsid w:val="1E430E84"/>
    <w:rsid w:val="1E4A12EB"/>
    <w:rsid w:val="1E832882"/>
    <w:rsid w:val="1E85095D"/>
    <w:rsid w:val="1EE95587"/>
    <w:rsid w:val="1F163BEA"/>
    <w:rsid w:val="1F9D0947"/>
    <w:rsid w:val="1FFB29C6"/>
    <w:rsid w:val="209A741C"/>
    <w:rsid w:val="20B54B1F"/>
    <w:rsid w:val="217A21C5"/>
    <w:rsid w:val="21C17EA8"/>
    <w:rsid w:val="225E720F"/>
    <w:rsid w:val="226360F4"/>
    <w:rsid w:val="22AF3620"/>
    <w:rsid w:val="22E70AD4"/>
    <w:rsid w:val="23005595"/>
    <w:rsid w:val="230230BC"/>
    <w:rsid w:val="2322550C"/>
    <w:rsid w:val="23966740"/>
    <w:rsid w:val="23E02D5A"/>
    <w:rsid w:val="23EB0CF2"/>
    <w:rsid w:val="243B4AD7"/>
    <w:rsid w:val="243E2CAF"/>
    <w:rsid w:val="24DC6370"/>
    <w:rsid w:val="24F1508D"/>
    <w:rsid w:val="25205589"/>
    <w:rsid w:val="25311DA5"/>
    <w:rsid w:val="255B46D8"/>
    <w:rsid w:val="264F707C"/>
    <w:rsid w:val="265405B2"/>
    <w:rsid w:val="26551ACB"/>
    <w:rsid w:val="266F634F"/>
    <w:rsid w:val="269A42F3"/>
    <w:rsid w:val="273A5EF1"/>
    <w:rsid w:val="273E043A"/>
    <w:rsid w:val="27FF5833"/>
    <w:rsid w:val="2874303F"/>
    <w:rsid w:val="291059EA"/>
    <w:rsid w:val="293D2BE6"/>
    <w:rsid w:val="299D0B78"/>
    <w:rsid w:val="29B6075C"/>
    <w:rsid w:val="29B82D52"/>
    <w:rsid w:val="29C63095"/>
    <w:rsid w:val="2A242A96"/>
    <w:rsid w:val="2A331DAD"/>
    <w:rsid w:val="2AD128A9"/>
    <w:rsid w:val="2AD939C3"/>
    <w:rsid w:val="2AEF2177"/>
    <w:rsid w:val="2B2C08A6"/>
    <w:rsid w:val="2B586CAF"/>
    <w:rsid w:val="2BBF12EC"/>
    <w:rsid w:val="2BC649D9"/>
    <w:rsid w:val="2BD82C0B"/>
    <w:rsid w:val="2BFE283E"/>
    <w:rsid w:val="2C202DF2"/>
    <w:rsid w:val="2C2B768B"/>
    <w:rsid w:val="2C4A1610"/>
    <w:rsid w:val="2D352C95"/>
    <w:rsid w:val="2D3B04EA"/>
    <w:rsid w:val="2DD1690A"/>
    <w:rsid w:val="2E0350B7"/>
    <w:rsid w:val="2E0D0204"/>
    <w:rsid w:val="2E6E3675"/>
    <w:rsid w:val="2EB6427C"/>
    <w:rsid w:val="2EC84C29"/>
    <w:rsid w:val="2EE04BA4"/>
    <w:rsid w:val="2F2D326E"/>
    <w:rsid w:val="2F390C55"/>
    <w:rsid w:val="301E15E1"/>
    <w:rsid w:val="305D382D"/>
    <w:rsid w:val="30786A25"/>
    <w:rsid w:val="309923A3"/>
    <w:rsid w:val="31473422"/>
    <w:rsid w:val="314B2024"/>
    <w:rsid w:val="31D064D0"/>
    <w:rsid w:val="31F6203D"/>
    <w:rsid w:val="32A52BA1"/>
    <w:rsid w:val="332A1DFF"/>
    <w:rsid w:val="336051FE"/>
    <w:rsid w:val="339D22F1"/>
    <w:rsid w:val="340E0B64"/>
    <w:rsid w:val="341B320C"/>
    <w:rsid w:val="34524C3E"/>
    <w:rsid w:val="34E9175A"/>
    <w:rsid w:val="34F33F53"/>
    <w:rsid w:val="3515160D"/>
    <w:rsid w:val="358F1D4F"/>
    <w:rsid w:val="35FE4D77"/>
    <w:rsid w:val="36150687"/>
    <w:rsid w:val="3650732A"/>
    <w:rsid w:val="367952DF"/>
    <w:rsid w:val="367A601A"/>
    <w:rsid w:val="371D49F3"/>
    <w:rsid w:val="374B4BD9"/>
    <w:rsid w:val="378E6859"/>
    <w:rsid w:val="379C760F"/>
    <w:rsid w:val="37D063B4"/>
    <w:rsid w:val="37D22C05"/>
    <w:rsid w:val="394464E5"/>
    <w:rsid w:val="394E275F"/>
    <w:rsid w:val="395C4A66"/>
    <w:rsid w:val="396A5E62"/>
    <w:rsid w:val="39720B69"/>
    <w:rsid w:val="39987E7E"/>
    <w:rsid w:val="39B8594A"/>
    <w:rsid w:val="39E353D5"/>
    <w:rsid w:val="39F71049"/>
    <w:rsid w:val="39F90A3C"/>
    <w:rsid w:val="3A6F3CD9"/>
    <w:rsid w:val="3B0B4F27"/>
    <w:rsid w:val="3B0C3CF6"/>
    <w:rsid w:val="3B167032"/>
    <w:rsid w:val="3B4A2C0F"/>
    <w:rsid w:val="3B4A3312"/>
    <w:rsid w:val="3BD454F6"/>
    <w:rsid w:val="3BDF6F25"/>
    <w:rsid w:val="3BE33E0C"/>
    <w:rsid w:val="3C7D00D8"/>
    <w:rsid w:val="3CA06C0C"/>
    <w:rsid w:val="3CBA1C50"/>
    <w:rsid w:val="3CC021F6"/>
    <w:rsid w:val="3CC31863"/>
    <w:rsid w:val="3CFD1C19"/>
    <w:rsid w:val="3CFF6FB7"/>
    <w:rsid w:val="3D047E27"/>
    <w:rsid w:val="3D530EE7"/>
    <w:rsid w:val="3E1D4DF6"/>
    <w:rsid w:val="3E350391"/>
    <w:rsid w:val="3EA25851"/>
    <w:rsid w:val="3EC77A3F"/>
    <w:rsid w:val="3EDD1254"/>
    <w:rsid w:val="3F0B6299"/>
    <w:rsid w:val="3F3D2B3F"/>
    <w:rsid w:val="3F4D7F54"/>
    <w:rsid w:val="3F6C3757"/>
    <w:rsid w:val="3FB35D09"/>
    <w:rsid w:val="3FB52379"/>
    <w:rsid w:val="3FD37E62"/>
    <w:rsid w:val="3FD75841"/>
    <w:rsid w:val="3FEF631E"/>
    <w:rsid w:val="405D6A10"/>
    <w:rsid w:val="40792EE3"/>
    <w:rsid w:val="410B117F"/>
    <w:rsid w:val="41382EBC"/>
    <w:rsid w:val="41430A2A"/>
    <w:rsid w:val="41DA6594"/>
    <w:rsid w:val="421C7965"/>
    <w:rsid w:val="428D19EA"/>
    <w:rsid w:val="42BD1390"/>
    <w:rsid w:val="444C1A75"/>
    <w:rsid w:val="44536E87"/>
    <w:rsid w:val="449E060B"/>
    <w:rsid w:val="44A3526F"/>
    <w:rsid w:val="44AC4F7D"/>
    <w:rsid w:val="44B032F4"/>
    <w:rsid w:val="44E64491"/>
    <w:rsid w:val="45150889"/>
    <w:rsid w:val="45193BB3"/>
    <w:rsid w:val="454557D8"/>
    <w:rsid w:val="456E5BC6"/>
    <w:rsid w:val="457D25F7"/>
    <w:rsid w:val="45A2614F"/>
    <w:rsid w:val="45BA332E"/>
    <w:rsid w:val="468341CD"/>
    <w:rsid w:val="468711CB"/>
    <w:rsid w:val="468E4AE3"/>
    <w:rsid w:val="469D5BB1"/>
    <w:rsid w:val="46A32DAF"/>
    <w:rsid w:val="46C962CC"/>
    <w:rsid w:val="46EE1AE9"/>
    <w:rsid w:val="47174AD8"/>
    <w:rsid w:val="472C2589"/>
    <w:rsid w:val="474107AB"/>
    <w:rsid w:val="476A4343"/>
    <w:rsid w:val="477B2AD5"/>
    <w:rsid w:val="47B511DE"/>
    <w:rsid w:val="47D84C18"/>
    <w:rsid w:val="480A2040"/>
    <w:rsid w:val="488C5052"/>
    <w:rsid w:val="48BA5F87"/>
    <w:rsid w:val="49490A3B"/>
    <w:rsid w:val="49531B59"/>
    <w:rsid w:val="49A563CB"/>
    <w:rsid w:val="49B95283"/>
    <w:rsid w:val="49BD174C"/>
    <w:rsid w:val="49EB34D3"/>
    <w:rsid w:val="4A1743C6"/>
    <w:rsid w:val="4A1E71A6"/>
    <w:rsid w:val="4A4E01FE"/>
    <w:rsid w:val="4A760AEB"/>
    <w:rsid w:val="4AE46E2A"/>
    <w:rsid w:val="4AF76E31"/>
    <w:rsid w:val="4B7120A2"/>
    <w:rsid w:val="4B8D048B"/>
    <w:rsid w:val="4CAA532C"/>
    <w:rsid w:val="4CFB4227"/>
    <w:rsid w:val="4D072EF9"/>
    <w:rsid w:val="4E1C29D4"/>
    <w:rsid w:val="4E3C3076"/>
    <w:rsid w:val="4E434405"/>
    <w:rsid w:val="4E4C0BE7"/>
    <w:rsid w:val="4EC21BB5"/>
    <w:rsid w:val="4EDD7517"/>
    <w:rsid w:val="4F0B1A4E"/>
    <w:rsid w:val="4F0F42E7"/>
    <w:rsid w:val="4F3162CA"/>
    <w:rsid w:val="4F753A96"/>
    <w:rsid w:val="4FDA3EAF"/>
    <w:rsid w:val="5023004A"/>
    <w:rsid w:val="50245B70"/>
    <w:rsid w:val="50302767"/>
    <w:rsid w:val="508233BD"/>
    <w:rsid w:val="50A545DB"/>
    <w:rsid w:val="50D95873"/>
    <w:rsid w:val="50E0418D"/>
    <w:rsid w:val="513B1175"/>
    <w:rsid w:val="51843640"/>
    <w:rsid w:val="51906DC2"/>
    <w:rsid w:val="519670ED"/>
    <w:rsid w:val="51E80E04"/>
    <w:rsid w:val="520D5545"/>
    <w:rsid w:val="52451563"/>
    <w:rsid w:val="52512FE9"/>
    <w:rsid w:val="526102AF"/>
    <w:rsid w:val="528444DA"/>
    <w:rsid w:val="52F751CD"/>
    <w:rsid w:val="535404CC"/>
    <w:rsid w:val="536522FB"/>
    <w:rsid w:val="536E4EA8"/>
    <w:rsid w:val="537745D5"/>
    <w:rsid w:val="53AB5992"/>
    <w:rsid w:val="543A2A9C"/>
    <w:rsid w:val="544539BE"/>
    <w:rsid w:val="545F123E"/>
    <w:rsid w:val="546B7DA0"/>
    <w:rsid w:val="546F1000"/>
    <w:rsid w:val="54EC1735"/>
    <w:rsid w:val="552306F6"/>
    <w:rsid w:val="55620574"/>
    <w:rsid w:val="558331F9"/>
    <w:rsid w:val="55BF4672"/>
    <w:rsid w:val="55C20305"/>
    <w:rsid w:val="55E52EEA"/>
    <w:rsid w:val="55F6362C"/>
    <w:rsid w:val="56175D7E"/>
    <w:rsid w:val="563F1955"/>
    <w:rsid w:val="569E54D1"/>
    <w:rsid w:val="56E352D5"/>
    <w:rsid w:val="56E8665E"/>
    <w:rsid w:val="56FB2042"/>
    <w:rsid w:val="57007C70"/>
    <w:rsid w:val="57BD0D84"/>
    <w:rsid w:val="57E435FE"/>
    <w:rsid w:val="582D0655"/>
    <w:rsid w:val="5884729A"/>
    <w:rsid w:val="59100E6E"/>
    <w:rsid w:val="59117084"/>
    <w:rsid w:val="5951205C"/>
    <w:rsid w:val="596226E2"/>
    <w:rsid w:val="59B03B40"/>
    <w:rsid w:val="59BC2339"/>
    <w:rsid w:val="59D079E8"/>
    <w:rsid w:val="59D40847"/>
    <w:rsid w:val="59E45845"/>
    <w:rsid w:val="59FE5684"/>
    <w:rsid w:val="5A685AF9"/>
    <w:rsid w:val="5AA12EAF"/>
    <w:rsid w:val="5AE37F25"/>
    <w:rsid w:val="5AED123A"/>
    <w:rsid w:val="5B102E00"/>
    <w:rsid w:val="5B420BEA"/>
    <w:rsid w:val="5B9358C9"/>
    <w:rsid w:val="5BBE1AEF"/>
    <w:rsid w:val="5C342FCE"/>
    <w:rsid w:val="5C514BF7"/>
    <w:rsid w:val="5CAC69C3"/>
    <w:rsid w:val="5CB143F9"/>
    <w:rsid w:val="5CB23D47"/>
    <w:rsid w:val="5CC130C4"/>
    <w:rsid w:val="5CD100AD"/>
    <w:rsid w:val="5D015BB7"/>
    <w:rsid w:val="5D3937D3"/>
    <w:rsid w:val="5D76145E"/>
    <w:rsid w:val="5ED8301D"/>
    <w:rsid w:val="5EEC5906"/>
    <w:rsid w:val="5F064A5E"/>
    <w:rsid w:val="5F094BE9"/>
    <w:rsid w:val="5F38653C"/>
    <w:rsid w:val="5F4C7D60"/>
    <w:rsid w:val="5F6B5569"/>
    <w:rsid w:val="5F6F793C"/>
    <w:rsid w:val="5F745AD9"/>
    <w:rsid w:val="5F9B3EEC"/>
    <w:rsid w:val="5FAF09C4"/>
    <w:rsid w:val="5FD170F9"/>
    <w:rsid w:val="601721AD"/>
    <w:rsid w:val="6051538C"/>
    <w:rsid w:val="60617546"/>
    <w:rsid w:val="608C4642"/>
    <w:rsid w:val="60F55A32"/>
    <w:rsid w:val="61142C12"/>
    <w:rsid w:val="6138200C"/>
    <w:rsid w:val="616074B1"/>
    <w:rsid w:val="6166004F"/>
    <w:rsid w:val="61E50158"/>
    <w:rsid w:val="61F31DDE"/>
    <w:rsid w:val="62103FFE"/>
    <w:rsid w:val="62363CA5"/>
    <w:rsid w:val="62766DBA"/>
    <w:rsid w:val="62795572"/>
    <w:rsid w:val="63130278"/>
    <w:rsid w:val="6354634F"/>
    <w:rsid w:val="63705D58"/>
    <w:rsid w:val="63BF40D6"/>
    <w:rsid w:val="63C70BC6"/>
    <w:rsid w:val="63ED67C0"/>
    <w:rsid w:val="645B3440"/>
    <w:rsid w:val="64662E85"/>
    <w:rsid w:val="647C74B5"/>
    <w:rsid w:val="64DD6417"/>
    <w:rsid w:val="65390984"/>
    <w:rsid w:val="65532D27"/>
    <w:rsid w:val="658D284D"/>
    <w:rsid w:val="65DD0AAC"/>
    <w:rsid w:val="66004745"/>
    <w:rsid w:val="66125E2D"/>
    <w:rsid w:val="66480C18"/>
    <w:rsid w:val="6672453C"/>
    <w:rsid w:val="669B2BD8"/>
    <w:rsid w:val="66C06969"/>
    <w:rsid w:val="66D17DDC"/>
    <w:rsid w:val="673828C8"/>
    <w:rsid w:val="67430176"/>
    <w:rsid w:val="67D045F1"/>
    <w:rsid w:val="67D22D3A"/>
    <w:rsid w:val="67F85E08"/>
    <w:rsid w:val="67FB2323"/>
    <w:rsid w:val="68A9736E"/>
    <w:rsid w:val="691A5C56"/>
    <w:rsid w:val="69564262"/>
    <w:rsid w:val="698F39C2"/>
    <w:rsid w:val="69F307E8"/>
    <w:rsid w:val="69F5396F"/>
    <w:rsid w:val="6A567F20"/>
    <w:rsid w:val="6A8E7613"/>
    <w:rsid w:val="6A9736B6"/>
    <w:rsid w:val="6AC230A2"/>
    <w:rsid w:val="6AD62431"/>
    <w:rsid w:val="6C4E49DB"/>
    <w:rsid w:val="6C950F8E"/>
    <w:rsid w:val="6CD97953"/>
    <w:rsid w:val="6D317DF2"/>
    <w:rsid w:val="6D501E35"/>
    <w:rsid w:val="6DB921D5"/>
    <w:rsid w:val="6DD16EDF"/>
    <w:rsid w:val="6E4844BE"/>
    <w:rsid w:val="6E6557AD"/>
    <w:rsid w:val="6E6F0A3A"/>
    <w:rsid w:val="6E84240C"/>
    <w:rsid w:val="6EA2087C"/>
    <w:rsid w:val="6EB34681"/>
    <w:rsid w:val="6ECF3470"/>
    <w:rsid w:val="6ED30FD7"/>
    <w:rsid w:val="6EE275AC"/>
    <w:rsid w:val="6EED3736"/>
    <w:rsid w:val="6F061DA1"/>
    <w:rsid w:val="6F6451D9"/>
    <w:rsid w:val="6FDB2184"/>
    <w:rsid w:val="7030381B"/>
    <w:rsid w:val="706109EE"/>
    <w:rsid w:val="713F665A"/>
    <w:rsid w:val="718C16B8"/>
    <w:rsid w:val="71976D04"/>
    <w:rsid w:val="719B545C"/>
    <w:rsid w:val="719F40F5"/>
    <w:rsid w:val="71B73749"/>
    <w:rsid w:val="71EA7EFE"/>
    <w:rsid w:val="71FA11CC"/>
    <w:rsid w:val="723A4FBB"/>
    <w:rsid w:val="727D78FD"/>
    <w:rsid w:val="730F451A"/>
    <w:rsid w:val="736F2D71"/>
    <w:rsid w:val="739B0EFF"/>
    <w:rsid w:val="73CC655F"/>
    <w:rsid w:val="73F4340F"/>
    <w:rsid w:val="73F6144E"/>
    <w:rsid w:val="741C1198"/>
    <w:rsid w:val="74387CB8"/>
    <w:rsid w:val="74960B9D"/>
    <w:rsid w:val="74B360D3"/>
    <w:rsid w:val="7522622B"/>
    <w:rsid w:val="753E571C"/>
    <w:rsid w:val="75420011"/>
    <w:rsid w:val="75562B60"/>
    <w:rsid w:val="75597504"/>
    <w:rsid w:val="75957445"/>
    <w:rsid w:val="75B91FFD"/>
    <w:rsid w:val="75D01AE1"/>
    <w:rsid w:val="75ED6709"/>
    <w:rsid w:val="75FA785A"/>
    <w:rsid w:val="762A3631"/>
    <w:rsid w:val="763A4E3E"/>
    <w:rsid w:val="77304ED6"/>
    <w:rsid w:val="773F62C1"/>
    <w:rsid w:val="77524363"/>
    <w:rsid w:val="77B666F9"/>
    <w:rsid w:val="77B917B5"/>
    <w:rsid w:val="77B95F79"/>
    <w:rsid w:val="77D00A78"/>
    <w:rsid w:val="77E94545"/>
    <w:rsid w:val="78034139"/>
    <w:rsid w:val="786409AD"/>
    <w:rsid w:val="786E2ED7"/>
    <w:rsid w:val="78703975"/>
    <w:rsid w:val="787D7928"/>
    <w:rsid w:val="78815E5E"/>
    <w:rsid w:val="789C6AF6"/>
    <w:rsid w:val="78FD327E"/>
    <w:rsid w:val="79047500"/>
    <w:rsid w:val="794478E9"/>
    <w:rsid w:val="79566C8A"/>
    <w:rsid w:val="798325CB"/>
    <w:rsid w:val="79927E32"/>
    <w:rsid w:val="79951709"/>
    <w:rsid w:val="79FA58D1"/>
    <w:rsid w:val="7A111205"/>
    <w:rsid w:val="7A301431"/>
    <w:rsid w:val="7A3C2420"/>
    <w:rsid w:val="7A543C1D"/>
    <w:rsid w:val="7A747A9E"/>
    <w:rsid w:val="7A8771B0"/>
    <w:rsid w:val="7ACE72EE"/>
    <w:rsid w:val="7AD153A5"/>
    <w:rsid w:val="7B5178B1"/>
    <w:rsid w:val="7BD36518"/>
    <w:rsid w:val="7BD96C97"/>
    <w:rsid w:val="7BE420FD"/>
    <w:rsid w:val="7C42521F"/>
    <w:rsid w:val="7C4939CA"/>
    <w:rsid w:val="7C6F6241"/>
    <w:rsid w:val="7CA40E11"/>
    <w:rsid w:val="7CAB13D6"/>
    <w:rsid w:val="7CC13008"/>
    <w:rsid w:val="7CEF595E"/>
    <w:rsid w:val="7D0D296B"/>
    <w:rsid w:val="7D1B2D60"/>
    <w:rsid w:val="7D4D49B8"/>
    <w:rsid w:val="7D4E0B54"/>
    <w:rsid w:val="7D503E78"/>
    <w:rsid w:val="7D6D61E3"/>
    <w:rsid w:val="7D9A649D"/>
    <w:rsid w:val="7E0160D4"/>
    <w:rsid w:val="7E447259"/>
    <w:rsid w:val="7E895708"/>
    <w:rsid w:val="7ECD724F"/>
    <w:rsid w:val="7F39280D"/>
    <w:rsid w:val="7F4E2945"/>
    <w:rsid w:val="7FD05F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80"/>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43"/>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6"/>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64"/>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90"/>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2"/>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7"/>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101"/>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57"/>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61"/>
    <w:qFormat/>
    <w:uiPriority w:val="0"/>
    <w:pPr>
      <w:spacing w:afterLines="50"/>
      <w:ind w:firstLine="200"/>
    </w:pPr>
    <w:rPr>
      <w:rFonts w:ascii="Arial" w:hAnsi="Arial" w:eastAsia="黑体"/>
      <w:sz w:val="20"/>
      <w:szCs w:val="20"/>
    </w:rPr>
  </w:style>
  <w:style w:type="paragraph" w:styleId="14">
    <w:name w:val="Document Map"/>
    <w:basedOn w:val="1"/>
    <w:link w:val="94"/>
    <w:qFormat/>
    <w:uiPriority w:val="0"/>
    <w:rPr>
      <w:rFonts w:hAnsi="Times New Roman"/>
      <w:sz w:val="18"/>
      <w:szCs w:val="18"/>
    </w:rPr>
  </w:style>
  <w:style w:type="paragraph" w:styleId="15">
    <w:name w:val="annotation text"/>
    <w:basedOn w:val="1"/>
    <w:link w:val="54"/>
    <w:qFormat/>
    <w:uiPriority w:val="99"/>
    <w:pPr>
      <w:jc w:val="left"/>
    </w:pPr>
    <w:rPr>
      <w:rFonts w:ascii="Times New Roman" w:hAnsi="Times New Roman" w:eastAsia="仿宋"/>
      <w:sz w:val="28"/>
    </w:rPr>
  </w:style>
  <w:style w:type="paragraph" w:styleId="16">
    <w:name w:val="Body Text"/>
    <w:basedOn w:val="1"/>
    <w:next w:val="17"/>
    <w:link w:val="65"/>
    <w:unhideWhenUsed/>
    <w:qFormat/>
    <w:uiPriority w:val="0"/>
    <w:pPr>
      <w:spacing w:after="120" w:line="240" w:lineRule="auto"/>
      <w:ind w:firstLine="0" w:firstLineChars="0"/>
    </w:pPr>
    <w:rPr>
      <w:rFonts w:ascii="Times New Roman" w:hAnsi="Times New Roman"/>
      <w:sz w:val="21"/>
    </w:rPr>
  </w:style>
  <w:style w:type="paragraph" w:styleId="17">
    <w:name w:val="Body Text First Indent"/>
    <w:basedOn w:val="16"/>
    <w:qFormat/>
    <w:uiPriority w:val="0"/>
    <w:pPr>
      <w:ind w:firstLine="420" w:firstLineChars="100"/>
    </w:pPr>
  </w:style>
  <w:style w:type="paragraph" w:styleId="18">
    <w:name w:val="Body Text Indent"/>
    <w:basedOn w:val="1"/>
    <w:link w:val="89"/>
    <w:qFormat/>
    <w:uiPriority w:val="0"/>
    <w:pPr>
      <w:spacing w:after="120"/>
      <w:ind w:firstLine="200"/>
    </w:pPr>
    <w:rPr>
      <w:rFonts w:ascii="Times New Roman" w:hAnsi="Times New Roman"/>
      <w:sz w:val="21"/>
      <w:szCs w:val="20"/>
    </w:rPr>
  </w:style>
  <w:style w:type="paragraph" w:styleId="19">
    <w:name w:val="toc 5"/>
    <w:basedOn w:val="1"/>
    <w:next w:val="1"/>
    <w:unhideWhenUsed/>
    <w:qFormat/>
    <w:uiPriority w:val="39"/>
    <w:pPr>
      <w:ind w:left="1680" w:leftChars="800"/>
    </w:pPr>
    <w:rPr>
      <w:rFonts w:ascii="等线" w:hAnsi="等线" w:eastAsia="等线"/>
      <w:szCs w:val="22"/>
    </w:rPr>
  </w:style>
  <w:style w:type="paragraph" w:styleId="20">
    <w:name w:val="toc 3"/>
    <w:basedOn w:val="1"/>
    <w:next w:val="1"/>
    <w:qFormat/>
    <w:uiPriority w:val="39"/>
    <w:pPr>
      <w:tabs>
        <w:tab w:val="right" w:leader="dot" w:pos="8302"/>
      </w:tabs>
      <w:ind w:left="840" w:leftChars="400"/>
    </w:pPr>
  </w:style>
  <w:style w:type="paragraph" w:styleId="21">
    <w:name w:val="Plain Text"/>
    <w:basedOn w:val="1"/>
    <w:link w:val="71"/>
    <w:qFormat/>
    <w:uiPriority w:val="0"/>
    <w:pPr>
      <w:spacing w:line="240" w:lineRule="auto"/>
      <w:ind w:firstLine="0" w:firstLineChars="0"/>
    </w:pPr>
    <w:rPr>
      <w:rFonts w:hAnsi="Courier New"/>
      <w:sz w:val="21"/>
      <w:szCs w:val="20"/>
    </w:rPr>
  </w:style>
  <w:style w:type="paragraph" w:styleId="22">
    <w:name w:val="toc 8"/>
    <w:basedOn w:val="1"/>
    <w:next w:val="1"/>
    <w:unhideWhenUsed/>
    <w:qFormat/>
    <w:uiPriority w:val="39"/>
    <w:pPr>
      <w:ind w:left="2940" w:leftChars="1400"/>
    </w:pPr>
    <w:rPr>
      <w:rFonts w:ascii="等线" w:hAnsi="等线" w:eastAsia="等线"/>
      <w:szCs w:val="22"/>
    </w:rPr>
  </w:style>
  <w:style w:type="paragraph" w:styleId="23">
    <w:name w:val="Date"/>
    <w:basedOn w:val="1"/>
    <w:next w:val="1"/>
    <w:link w:val="56"/>
    <w:qFormat/>
    <w:uiPriority w:val="0"/>
    <w:pPr>
      <w:ind w:left="100" w:leftChars="2500"/>
    </w:pPr>
    <w:rPr>
      <w:rFonts w:ascii="Times New Roman" w:hAnsi="Times New Roman"/>
      <w:sz w:val="21"/>
    </w:rPr>
  </w:style>
  <w:style w:type="paragraph" w:styleId="24">
    <w:name w:val="Balloon Text"/>
    <w:basedOn w:val="1"/>
    <w:link w:val="99"/>
    <w:qFormat/>
    <w:uiPriority w:val="0"/>
    <w:rPr>
      <w:rFonts w:ascii="Times New Roman" w:hAnsi="Times New Roman"/>
      <w:sz w:val="18"/>
      <w:szCs w:val="18"/>
    </w:rPr>
  </w:style>
  <w:style w:type="paragraph" w:styleId="25">
    <w:name w:val="footer"/>
    <w:basedOn w:val="1"/>
    <w:link w:val="92"/>
    <w:qFormat/>
    <w:uiPriority w:val="99"/>
    <w:pPr>
      <w:tabs>
        <w:tab w:val="center" w:pos="4153"/>
        <w:tab w:val="right" w:pos="8306"/>
      </w:tabs>
      <w:snapToGrid w:val="0"/>
      <w:jc w:val="center"/>
    </w:pPr>
    <w:rPr>
      <w:rFonts w:ascii="Times New Roman" w:hAnsi="Times New Roman"/>
      <w:sz w:val="18"/>
      <w:szCs w:val="18"/>
    </w:rPr>
  </w:style>
  <w:style w:type="paragraph" w:styleId="26">
    <w:name w:val="header"/>
    <w:basedOn w:val="1"/>
    <w:link w:val="100"/>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7">
    <w:name w:val="toc 1"/>
    <w:basedOn w:val="1"/>
    <w:next w:val="1"/>
    <w:qFormat/>
    <w:uiPriority w:val="39"/>
  </w:style>
  <w:style w:type="paragraph" w:styleId="28">
    <w:name w:val="toc 4"/>
    <w:basedOn w:val="1"/>
    <w:next w:val="1"/>
    <w:unhideWhenUsed/>
    <w:qFormat/>
    <w:uiPriority w:val="39"/>
    <w:pPr>
      <w:ind w:left="1260" w:leftChars="600"/>
    </w:pPr>
    <w:rPr>
      <w:rFonts w:ascii="等线" w:hAnsi="等线" w:eastAsia="等线"/>
      <w:szCs w:val="22"/>
    </w:rPr>
  </w:style>
  <w:style w:type="paragraph" w:styleId="29">
    <w:name w:val="Subtitle"/>
    <w:basedOn w:val="1"/>
    <w:next w:val="1"/>
    <w:link w:val="91"/>
    <w:qFormat/>
    <w:uiPriority w:val="0"/>
    <w:pPr>
      <w:spacing w:before="240" w:after="60" w:line="312" w:lineRule="auto"/>
      <w:jc w:val="center"/>
      <w:outlineLvl w:val="1"/>
    </w:pPr>
    <w:rPr>
      <w:rFonts w:ascii="Calibri Light" w:hAnsi="Calibri Light"/>
      <w:b/>
      <w:bCs/>
      <w:kern w:val="28"/>
      <w:sz w:val="32"/>
      <w:szCs w:val="32"/>
    </w:rPr>
  </w:style>
  <w:style w:type="paragraph" w:styleId="30">
    <w:name w:val="toc 6"/>
    <w:basedOn w:val="1"/>
    <w:next w:val="1"/>
    <w:unhideWhenUsed/>
    <w:qFormat/>
    <w:uiPriority w:val="39"/>
    <w:pPr>
      <w:ind w:left="2100" w:leftChars="1000"/>
    </w:pPr>
    <w:rPr>
      <w:rFonts w:ascii="等线" w:hAnsi="等线" w:eastAsia="等线"/>
      <w:szCs w:val="22"/>
    </w:rPr>
  </w:style>
  <w:style w:type="paragraph" w:styleId="31">
    <w:name w:val="toc 2"/>
    <w:basedOn w:val="1"/>
    <w:next w:val="1"/>
    <w:qFormat/>
    <w:uiPriority w:val="39"/>
    <w:pPr>
      <w:tabs>
        <w:tab w:val="right" w:leader="dot" w:pos="8302"/>
      </w:tabs>
      <w:ind w:left="420" w:leftChars="200"/>
    </w:pPr>
  </w:style>
  <w:style w:type="paragraph" w:styleId="32">
    <w:name w:val="toc 9"/>
    <w:basedOn w:val="1"/>
    <w:next w:val="1"/>
    <w:unhideWhenUsed/>
    <w:qFormat/>
    <w:uiPriority w:val="39"/>
    <w:pPr>
      <w:ind w:left="3360" w:leftChars="1600"/>
    </w:pPr>
    <w:rPr>
      <w:rFonts w:ascii="等线" w:hAnsi="等线" w:eastAsia="等线"/>
      <w:szCs w:val="22"/>
    </w:rPr>
  </w:style>
  <w:style w:type="paragraph" w:styleId="33">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4">
    <w:name w:val="Title"/>
    <w:basedOn w:val="1"/>
    <w:next w:val="1"/>
    <w:link w:val="98"/>
    <w:qFormat/>
    <w:uiPriority w:val="0"/>
    <w:pPr>
      <w:spacing w:before="240" w:after="60" w:line="960" w:lineRule="auto"/>
      <w:jc w:val="center"/>
    </w:pPr>
    <w:rPr>
      <w:rFonts w:ascii="Cambria" w:hAnsi="Cambria" w:eastAsia="黑体"/>
      <w:b/>
      <w:bCs/>
      <w:sz w:val="52"/>
      <w:szCs w:val="32"/>
    </w:rPr>
  </w:style>
  <w:style w:type="paragraph" w:styleId="35">
    <w:name w:val="annotation subject"/>
    <w:basedOn w:val="15"/>
    <w:next w:val="15"/>
    <w:link w:val="87"/>
    <w:qFormat/>
    <w:uiPriority w:val="0"/>
    <w:rPr>
      <w:b/>
      <w:bCs/>
      <w:sz w:val="21"/>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2 字符1"/>
    <w:link w:val="3"/>
    <w:qFormat/>
    <w:uiPriority w:val="9"/>
    <w:rPr>
      <w:rFonts w:ascii="宋体" w:hAnsi="宋体"/>
      <w:b/>
      <w:bCs/>
      <w:kern w:val="2"/>
      <w:sz w:val="30"/>
      <w:szCs w:val="32"/>
    </w:rPr>
  </w:style>
  <w:style w:type="character" w:customStyle="1" w:styleId="44">
    <w:name w:val="标题 3 字符"/>
    <w:semiHidden/>
    <w:qFormat/>
    <w:uiPriority w:val="9"/>
    <w:rPr>
      <w:rFonts w:ascii="宋体" w:hAnsi="宋体"/>
      <w:b/>
      <w:bCs/>
      <w:kern w:val="2"/>
      <w:sz w:val="32"/>
      <w:szCs w:val="32"/>
    </w:rPr>
  </w:style>
  <w:style w:type="character" w:customStyle="1" w:styleId="45">
    <w:name w:val="标题 1 字符"/>
    <w:qFormat/>
    <w:uiPriority w:val="9"/>
    <w:rPr>
      <w:rFonts w:ascii="宋体" w:hAnsi="宋体"/>
      <w:b/>
      <w:bCs/>
      <w:kern w:val="44"/>
      <w:sz w:val="44"/>
      <w:szCs w:val="44"/>
    </w:rPr>
  </w:style>
  <w:style w:type="paragraph" w:styleId="46">
    <w:name w:val="List Paragraph"/>
    <w:basedOn w:val="1"/>
    <w:link w:val="66"/>
    <w:qFormat/>
    <w:uiPriority w:val="34"/>
    <w:pPr>
      <w:ind w:firstLine="420"/>
    </w:pPr>
    <w:rPr>
      <w:rFonts w:ascii="Times New Roman" w:hAnsi="Times New Roman"/>
      <w:sz w:val="21"/>
    </w:rPr>
  </w:style>
  <w:style w:type="character" w:customStyle="1" w:styleId="47">
    <w:name w:val="标题 2 字符"/>
    <w:semiHidden/>
    <w:qFormat/>
    <w:uiPriority w:val="9"/>
    <w:rPr>
      <w:rFonts w:ascii="等线 Light" w:hAnsi="等线 Light" w:eastAsia="等线 Light" w:cs="Times New Roman"/>
      <w:b/>
      <w:bCs/>
      <w:kern w:val="2"/>
      <w:sz w:val="32"/>
      <w:szCs w:val="32"/>
    </w:rPr>
  </w:style>
  <w:style w:type="paragraph" w:customStyle="1" w:styleId="48">
    <w:name w:val="Default"/>
    <w:next w:val="49"/>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49">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50">
    <w:name w:val="标题 4 字符"/>
    <w:semiHidden/>
    <w:qFormat/>
    <w:uiPriority w:val="9"/>
    <w:rPr>
      <w:rFonts w:ascii="等线 Light" w:hAnsi="等线 Light" w:eastAsia="等线 Light" w:cs="Times New Roman"/>
      <w:b/>
      <w:bCs/>
      <w:kern w:val="2"/>
      <w:sz w:val="28"/>
      <w:szCs w:val="28"/>
    </w:rPr>
  </w:style>
  <w:style w:type="character" w:customStyle="1" w:styleId="51">
    <w:name w:val="标题 3 字符1"/>
    <w:qFormat/>
    <w:uiPriority w:val="0"/>
    <w:rPr>
      <w:rFonts w:ascii="宋体" w:hAnsi="宋体"/>
      <w:b/>
      <w:bCs/>
      <w:kern w:val="2"/>
      <w:sz w:val="28"/>
      <w:szCs w:val="28"/>
    </w:rPr>
  </w:style>
  <w:style w:type="character" w:customStyle="1" w:styleId="52">
    <w:name w:val="首行缩进正文 Char"/>
    <w:link w:val="53"/>
    <w:qFormat/>
    <w:uiPriority w:val="0"/>
    <w:rPr>
      <w:kern w:val="2"/>
      <w:sz w:val="24"/>
    </w:rPr>
  </w:style>
  <w:style w:type="paragraph" w:customStyle="1" w:styleId="53">
    <w:name w:val="首行缩进正文"/>
    <w:basedOn w:val="1"/>
    <w:link w:val="52"/>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54">
    <w:name w:val="批注文字 字符1"/>
    <w:link w:val="15"/>
    <w:qFormat/>
    <w:uiPriority w:val="99"/>
    <w:rPr>
      <w:rFonts w:eastAsia="仿宋"/>
      <w:kern w:val="2"/>
      <w:sz w:val="28"/>
      <w:szCs w:val="24"/>
    </w:rPr>
  </w:style>
  <w:style w:type="character" w:customStyle="1" w:styleId="55">
    <w:name w:val="日期 字符"/>
    <w:semiHidden/>
    <w:qFormat/>
    <w:uiPriority w:val="99"/>
    <w:rPr>
      <w:rFonts w:ascii="宋体" w:hAnsi="宋体"/>
      <w:kern w:val="2"/>
      <w:sz w:val="24"/>
      <w:szCs w:val="24"/>
    </w:rPr>
  </w:style>
  <w:style w:type="character" w:customStyle="1" w:styleId="56">
    <w:name w:val="日期 字符1"/>
    <w:link w:val="23"/>
    <w:qFormat/>
    <w:uiPriority w:val="0"/>
    <w:rPr>
      <w:kern w:val="2"/>
      <w:sz w:val="21"/>
      <w:szCs w:val="24"/>
    </w:rPr>
  </w:style>
  <w:style w:type="character" w:customStyle="1" w:styleId="57">
    <w:name w:val="标题 9 字符"/>
    <w:link w:val="10"/>
    <w:qFormat/>
    <w:uiPriority w:val="9"/>
    <w:rPr>
      <w:rFonts w:ascii="Cambria" w:hAnsi="Cambria"/>
      <w:kern w:val="2"/>
      <w:sz w:val="21"/>
      <w:szCs w:val="21"/>
    </w:rPr>
  </w:style>
  <w:style w:type="character" w:customStyle="1" w:styleId="58">
    <w:name w:val="未处理的提及1"/>
    <w:unhideWhenUsed/>
    <w:qFormat/>
    <w:uiPriority w:val="99"/>
    <w:rPr>
      <w:color w:val="605E5C"/>
      <w:shd w:val="clear" w:color="auto" w:fill="E1DFDD"/>
    </w:rPr>
  </w:style>
  <w:style w:type="character" w:customStyle="1" w:styleId="59">
    <w:name w:val="页脚 字符"/>
    <w:qFormat/>
    <w:uiPriority w:val="99"/>
  </w:style>
  <w:style w:type="character" w:customStyle="1" w:styleId="60">
    <w:name w:val="标题 5 字符"/>
    <w:semiHidden/>
    <w:qFormat/>
    <w:uiPriority w:val="9"/>
    <w:rPr>
      <w:rFonts w:ascii="宋体" w:hAnsi="宋体"/>
      <w:b/>
      <w:bCs/>
      <w:kern w:val="2"/>
      <w:sz w:val="28"/>
      <w:szCs w:val="28"/>
    </w:rPr>
  </w:style>
  <w:style w:type="character" w:customStyle="1" w:styleId="61">
    <w:name w:val="题注 字符"/>
    <w:link w:val="13"/>
    <w:qFormat/>
    <w:locked/>
    <w:uiPriority w:val="0"/>
    <w:rPr>
      <w:rFonts w:ascii="Arial" w:hAnsi="Arial" w:eastAsia="黑体"/>
      <w:kern w:val="2"/>
    </w:rPr>
  </w:style>
  <w:style w:type="character" w:customStyle="1" w:styleId="62">
    <w:name w:val="纯文本 字符"/>
    <w:qFormat/>
    <w:uiPriority w:val="0"/>
    <w:rPr>
      <w:rFonts w:ascii="宋体" w:hAnsi="Courier New" w:cs="Courier New"/>
      <w:kern w:val="2"/>
      <w:sz w:val="21"/>
      <w:szCs w:val="21"/>
    </w:rPr>
  </w:style>
  <w:style w:type="character" w:customStyle="1" w:styleId="63">
    <w:name w:val="列表段落 字符"/>
    <w:qFormat/>
    <w:uiPriority w:val="34"/>
    <w:rPr>
      <w:kern w:val="2"/>
      <w:sz w:val="21"/>
      <w:szCs w:val="22"/>
    </w:rPr>
  </w:style>
  <w:style w:type="character" w:customStyle="1" w:styleId="64">
    <w:name w:val="标题 4 字符1"/>
    <w:link w:val="5"/>
    <w:qFormat/>
    <w:uiPriority w:val="0"/>
    <w:rPr>
      <w:rFonts w:ascii="宋体" w:hAnsi="宋体"/>
      <w:b/>
      <w:bCs/>
      <w:kern w:val="2"/>
      <w:sz w:val="30"/>
      <w:szCs w:val="30"/>
    </w:rPr>
  </w:style>
  <w:style w:type="character" w:customStyle="1" w:styleId="65">
    <w:name w:val="正文文本 字符"/>
    <w:link w:val="16"/>
    <w:qFormat/>
    <w:uiPriority w:val="0"/>
    <w:rPr>
      <w:kern w:val="2"/>
      <w:sz w:val="21"/>
      <w:szCs w:val="24"/>
    </w:rPr>
  </w:style>
  <w:style w:type="character" w:customStyle="1" w:styleId="66">
    <w:name w:val="列表段落 字符1"/>
    <w:link w:val="46"/>
    <w:qFormat/>
    <w:uiPriority w:val="34"/>
    <w:rPr>
      <w:kern w:val="2"/>
      <w:sz w:val="21"/>
      <w:szCs w:val="24"/>
    </w:rPr>
  </w:style>
  <w:style w:type="character" w:customStyle="1" w:styleId="67">
    <w:name w:val="font21"/>
    <w:qFormat/>
    <w:uiPriority w:val="0"/>
    <w:rPr>
      <w:rFonts w:ascii="Calibri" w:hAnsi="Calibri" w:cs="Calibri"/>
      <w:color w:val="000000"/>
      <w:sz w:val="21"/>
      <w:szCs w:val="21"/>
      <w:u w:val="none"/>
    </w:rPr>
  </w:style>
  <w:style w:type="character" w:customStyle="1" w:styleId="68">
    <w:name w:val="*正文 Char"/>
    <w:link w:val="69"/>
    <w:qFormat/>
    <w:uiPriority w:val="0"/>
    <w:rPr>
      <w:rFonts w:ascii="time" w:hAnsi="time"/>
      <w:sz w:val="24"/>
      <w:szCs w:val="24"/>
      <w:lang w:bidi="en-US"/>
    </w:rPr>
  </w:style>
  <w:style w:type="paragraph" w:customStyle="1" w:styleId="69">
    <w:name w:val="*正文"/>
    <w:basedOn w:val="1"/>
    <w:link w:val="68"/>
    <w:qFormat/>
    <w:uiPriority w:val="0"/>
    <w:pPr>
      <w:widowControl/>
      <w:ind w:firstLine="200"/>
      <w:contextualSpacing/>
    </w:pPr>
    <w:rPr>
      <w:rFonts w:ascii="time" w:hAnsi="time"/>
      <w:kern w:val="0"/>
      <w:lang w:bidi="en-US"/>
    </w:rPr>
  </w:style>
  <w:style w:type="character" w:customStyle="1" w:styleId="70">
    <w:name w:val="正文文本缩进 字符"/>
    <w:semiHidden/>
    <w:qFormat/>
    <w:uiPriority w:val="99"/>
    <w:rPr>
      <w:rFonts w:ascii="宋体" w:hAnsi="宋体"/>
      <w:kern w:val="2"/>
      <w:sz w:val="24"/>
      <w:szCs w:val="24"/>
    </w:rPr>
  </w:style>
  <w:style w:type="character" w:customStyle="1" w:styleId="71">
    <w:name w:val="纯文本 字符1"/>
    <w:link w:val="21"/>
    <w:qFormat/>
    <w:locked/>
    <w:uiPriority w:val="0"/>
    <w:rPr>
      <w:rFonts w:ascii="宋体" w:hAnsi="Courier New"/>
      <w:kern w:val="2"/>
      <w:sz w:val="21"/>
    </w:rPr>
  </w:style>
  <w:style w:type="character" w:customStyle="1" w:styleId="72">
    <w:name w:val="my正文 Char"/>
    <w:link w:val="73"/>
    <w:qFormat/>
    <w:uiPriority w:val="0"/>
    <w:rPr>
      <w:kern w:val="2"/>
      <w:sz w:val="21"/>
      <w:szCs w:val="24"/>
    </w:rPr>
  </w:style>
  <w:style w:type="paragraph" w:customStyle="1" w:styleId="73">
    <w:name w:val="my正文"/>
    <w:basedOn w:val="1"/>
    <w:link w:val="72"/>
    <w:qFormat/>
    <w:uiPriority w:val="0"/>
    <w:pPr>
      <w:spacing w:line="240" w:lineRule="auto"/>
      <w:ind w:firstLine="0" w:firstLineChars="0"/>
    </w:pPr>
    <w:rPr>
      <w:rFonts w:ascii="Times New Roman" w:hAnsi="Times New Roman"/>
      <w:sz w:val="21"/>
    </w:rPr>
  </w:style>
  <w:style w:type="character" w:customStyle="1" w:styleId="74">
    <w:name w:val="正文2 字符"/>
    <w:link w:val="75"/>
    <w:qFormat/>
    <w:uiPriority w:val="0"/>
    <w:rPr>
      <w:kern w:val="2"/>
      <w:sz w:val="21"/>
      <w:szCs w:val="24"/>
    </w:rPr>
  </w:style>
  <w:style w:type="paragraph" w:customStyle="1" w:styleId="75">
    <w:name w:val="正文2"/>
    <w:basedOn w:val="1"/>
    <w:link w:val="74"/>
    <w:qFormat/>
    <w:uiPriority w:val="0"/>
    <w:pPr>
      <w:ind w:firstLine="420"/>
    </w:pPr>
    <w:rPr>
      <w:rFonts w:ascii="Times New Roman" w:hAnsi="Times New Roman"/>
      <w:sz w:val="21"/>
    </w:rPr>
  </w:style>
  <w:style w:type="character" w:customStyle="1" w:styleId="76">
    <w:name w:val="font41"/>
    <w:qFormat/>
    <w:uiPriority w:val="0"/>
    <w:rPr>
      <w:rFonts w:hint="eastAsia" w:ascii="宋体" w:hAnsi="宋体" w:eastAsia="宋体" w:cs="宋体"/>
      <w:color w:val="000000"/>
      <w:sz w:val="21"/>
      <w:szCs w:val="21"/>
      <w:u w:val="none"/>
    </w:rPr>
  </w:style>
  <w:style w:type="character" w:customStyle="1" w:styleId="77">
    <w:name w:val="标题 7 字符"/>
    <w:link w:val="8"/>
    <w:qFormat/>
    <w:uiPriority w:val="9"/>
    <w:rPr>
      <w:b/>
      <w:bCs/>
      <w:kern w:val="2"/>
      <w:sz w:val="21"/>
      <w:szCs w:val="24"/>
    </w:rPr>
  </w:style>
  <w:style w:type="character" w:customStyle="1" w:styleId="78">
    <w:name w:val="批注框文本 字符"/>
    <w:semiHidden/>
    <w:qFormat/>
    <w:uiPriority w:val="99"/>
    <w:rPr>
      <w:rFonts w:ascii="宋体" w:hAnsi="宋体"/>
      <w:kern w:val="2"/>
      <w:sz w:val="18"/>
      <w:szCs w:val="18"/>
    </w:rPr>
  </w:style>
  <w:style w:type="character" w:customStyle="1" w:styleId="79">
    <w:name w:val="副标题 Char1"/>
    <w:qFormat/>
    <w:uiPriority w:val="0"/>
    <w:rPr>
      <w:rFonts w:ascii="Calibri Light" w:hAnsi="Calibri Light" w:cs="Times New Roman"/>
      <w:b/>
      <w:bCs/>
      <w:kern w:val="28"/>
      <w:sz w:val="32"/>
      <w:szCs w:val="32"/>
    </w:rPr>
  </w:style>
  <w:style w:type="character" w:customStyle="1" w:styleId="80">
    <w:name w:val="标题 1 字符1"/>
    <w:link w:val="2"/>
    <w:qFormat/>
    <w:uiPriority w:val="0"/>
    <w:rPr>
      <w:rFonts w:ascii="宋体" w:hAnsi="宋体" w:eastAsia="黑体"/>
      <w:b/>
      <w:bCs/>
      <w:kern w:val="44"/>
      <w:sz w:val="32"/>
      <w:szCs w:val="28"/>
    </w:rPr>
  </w:style>
  <w:style w:type="character" w:customStyle="1" w:styleId="81">
    <w:name w:val="批注文字 字符"/>
    <w:qFormat/>
    <w:uiPriority w:val="99"/>
    <w:rPr>
      <w:rFonts w:ascii="宋体" w:hAnsi="宋体"/>
      <w:kern w:val="2"/>
      <w:sz w:val="24"/>
      <w:szCs w:val="24"/>
    </w:rPr>
  </w:style>
  <w:style w:type="character" w:customStyle="1" w:styleId="82">
    <w:name w:val="文档结构图 字符"/>
    <w:semiHidden/>
    <w:qFormat/>
    <w:uiPriority w:val="99"/>
    <w:rPr>
      <w:rFonts w:ascii="Microsoft YaHei UI" w:hAnsi="宋体" w:eastAsia="Microsoft YaHei UI"/>
      <w:kern w:val="2"/>
      <w:sz w:val="18"/>
      <w:szCs w:val="18"/>
    </w:rPr>
  </w:style>
  <w:style w:type="character" w:customStyle="1" w:styleId="83">
    <w:name w:val="标题 6 字符"/>
    <w:semiHidden/>
    <w:qFormat/>
    <w:uiPriority w:val="9"/>
    <w:rPr>
      <w:rFonts w:ascii="等线 Light" w:hAnsi="等线 Light" w:eastAsia="等线 Light" w:cs="Times New Roman"/>
      <w:b/>
      <w:bCs/>
      <w:kern w:val="2"/>
      <w:sz w:val="24"/>
      <w:szCs w:val="24"/>
    </w:rPr>
  </w:style>
  <w:style w:type="character" w:customStyle="1" w:styleId="84">
    <w:name w:val="正文正文2 Char"/>
    <w:link w:val="85"/>
    <w:qFormat/>
    <w:uiPriority w:val="0"/>
    <w:rPr>
      <w:rFonts w:ascii="宋体" w:hAnsi="宋体"/>
      <w:kern w:val="2"/>
      <w:sz w:val="21"/>
      <w:szCs w:val="21"/>
    </w:rPr>
  </w:style>
  <w:style w:type="paragraph" w:customStyle="1" w:styleId="85">
    <w:name w:val="正文正文2"/>
    <w:basedOn w:val="1"/>
    <w:link w:val="84"/>
    <w:qFormat/>
    <w:uiPriority w:val="0"/>
    <w:pPr>
      <w:ind w:firstLine="460"/>
    </w:pPr>
    <w:rPr>
      <w:sz w:val="21"/>
      <w:szCs w:val="21"/>
    </w:rPr>
  </w:style>
  <w:style w:type="character" w:customStyle="1" w:styleId="86">
    <w:name w:val="标题 3 字符2"/>
    <w:link w:val="4"/>
    <w:qFormat/>
    <w:uiPriority w:val="0"/>
    <w:rPr>
      <w:rFonts w:ascii="宋体" w:hAnsi="宋体"/>
      <w:b/>
      <w:bCs/>
      <w:kern w:val="2"/>
      <w:sz w:val="28"/>
      <w:szCs w:val="28"/>
    </w:rPr>
  </w:style>
  <w:style w:type="character" w:customStyle="1" w:styleId="87">
    <w:name w:val="批注主题 字符1"/>
    <w:link w:val="35"/>
    <w:qFormat/>
    <w:uiPriority w:val="0"/>
    <w:rPr>
      <w:rFonts w:eastAsia="仿宋"/>
      <w:b/>
      <w:bCs/>
      <w:kern w:val="2"/>
      <w:sz w:val="21"/>
      <w:szCs w:val="24"/>
    </w:rPr>
  </w:style>
  <w:style w:type="character" w:customStyle="1" w:styleId="88">
    <w:name w:val="页眉 字符"/>
    <w:semiHidden/>
    <w:qFormat/>
    <w:uiPriority w:val="99"/>
    <w:rPr>
      <w:rFonts w:ascii="宋体" w:hAnsi="宋体"/>
      <w:kern w:val="2"/>
      <w:sz w:val="18"/>
      <w:szCs w:val="18"/>
    </w:rPr>
  </w:style>
  <w:style w:type="character" w:customStyle="1" w:styleId="89">
    <w:name w:val="正文文本缩进 字符1"/>
    <w:link w:val="18"/>
    <w:qFormat/>
    <w:uiPriority w:val="0"/>
    <w:rPr>
      <w:kern w:val="2"/>
      <w:sz w:val="21"/>
    </w:rPr>
  </w:style>
  <w:style w:type="character" w:customStyle="1" w:styleId="90">
    <w:name w:val="标题 5 字符1"/>
    <w:link w:val="6"/>
    <w:qFormat/>
    <w:uiPriority w:val="0"/>
    <w:rPr>
      <w:rFonts w:ascii="宋体" w:hAnsi="宋体"/>
      <w:b/>
      <w:bCs/>
      <w:kern w:val="2"/>
      <w:sz w:val="24"/>
      <w:szCs w:val="28"/>
    </w:rPr>
  </w:style>
  <w:style w:type="character" w:customStyle="1" w:styleId="91">
    <w:name w:val="副标题 字符1"/>
    <w:link w:val="29"/>
    <w:qFormat/>
    <w:uiPriority w:val="0"/>
    <w:rPr>
      <w:rFonts w:ascii="Calibri Light" w:hAnsi="Calibri Light"/>
      <w:b/>
      <w:bCs/>
      <w:kern w:val="28"/>
      <w:sz w:val="32"/>
      <w:szCs w:val="32"/>
    </w:rPr>
  </w:style>
  <w:style w:type="character" w:customStyle="1" w:styleId="92">
    <w:name w:val="页脚 字符1"/>
    <w:link w:val="25"/>
    <w:qFormat/>
    <w:uiPriority w:val="99"/>
    <w:rPr>
      <w:kern w:val="2"/>
      <w:sz w:val="18"/>
      <w:szCs w:val="18"/>
    </w:rPr>
  </w:style>
  <w:style w:type="character" w:customStyle="1" w:styleId="93">
    <w:name w:val="批注主题 字符"/>
    <w:semiHidden/>
    <w:qFormat/>
    <w:uiPriority w:val="99"/>
    <w:rPr>
      <w:rFonts w:ascii="宋体" w:hAnsi="宋体"/>
      <w:b/>
      <w:bCs/>
      <w:kern w:val="2"/>
      <w:sz w:val="24"/>
      <w:szCs w:val="24"/>
    </w:rPr>
  </w:style>
  <w:style w:type="character" w:customStyle="1" w:styleId="94">
    <w:name w:val="文档结构图 字符1"/>
    <w:link w:val="14"/>
    <w:qFormat/>
    <w:uiPriority w:val="0"/>
    <w:rPr>
      <w:rFonts w:ascii="宋体"/>
      <w:kern w:val="2"/>
      <w:sz w:val="18"/>
      <w:szCs w:val="18"/>
    </w:rPr>
  </w:style>
  <w:style w:type="character" w:customStyle="1" w:styleId="95">
    <w:name w:val="font31"/>
    <w:qFormat/>
    <w:uiPriority w:val="0"/>
    <w:rPr>
      <w:rFonts w:hint="eastAsia" w:ascii="宋体" w:hAnsi="宋体" w:eastAsia="宋体" w:cs="宋体"/>
      <w:color w:val="000000"/>
      <w:sz w:val="21"/>
      <w:szCs w:val="21"/>
      <w:u w:val="none"/>
    </w:rPr>
  </w:style>
  <w:style w:type="character" w:customStyle="1" w:styleId="96">
    <w:name w:val="标准正文 Char"/>
    <w:link w:val="97"/>
    <w:qFormat/>
    <w:uiPriority w:val="0"/>
    <w:rPr>
      <w:rFonts w:ascii="Arial" w:hAnsi="Arial"/>
      <w:kern w:val="2"/>
      <w:sz w:val="24"/>
    </w:rPr>
  </w:style>
  <w:style w:type="paragraph" w:customStyle="1" w:styleId="97">
    <w:name w:val="标准正文"/>
    <w:basedOn w:val="18"/>
    <w:link w:val="96"/>
    <w:qFormat/>
    <w:uiPriority w:val="0"/>
    <w:pPr>
      <w:spacing w:before="60" w:after="60"/>
      <w:ind w:firstLine="482" w:firstLineChars="0"/>
    </w:pPr>
    <w:rPr>
      <w:rFonts w:ascii="Arial" w:hAnsi="Arial"/>
      <w:sz w:val="24"/>
    </w:rPr>
  </w:style>
  <w:style w:type="character" w:customStyle="1" w:styleId="98">
    <w:name w:val="标题 字符1"/>
    <w:link w:val="34"/>
    <w:qFormat/>
    <w:uiPriority w:val="0"/>
    <w:rPr>
      <w:rFonts w:ascii="Cambria" w:hAnsi="Cambria" w:eastAsia="黑体"/>
      <w:b/>
      <w:bCs/>
      <w:kern w:val="2"/>
      <w:sz w:val="52"/>
      <w:szCs w:val="32"/>
    </w:rPr>
  </w:style>
  <w:style w:type="character" w:customStyle="1" w:styleId="99">
    <w:name w:val="批注框文本 字符1"/>
    <w:link w:val="24"/>
    <w:qFormat/>
    <w:uiPriority w:val="0"/>
    <w:rPr>
      <w:kern w:val="2"/>
      <w:sz w:val="18"/>
      <w:szCs w:val="18"/>
    </w:rPr>
  </w:style>
  <w:style w:type="character" w:customStyle="1" w:styleId="100">
    <w:name w:val="页眉 字符1"/>
    <w:link w:val="26"/>
    <w:qFormat/>
    <w:uiPriority w:val="99"/>
    <w:rPr>
      <w:kern w:val="2"/>
      <w:sz w:val="18"/>
      <w:szCs w:val="18"/>
    </w:rPr>
  </w:style>
  <w:style w:type="character" w:customStyle="1" w:styleId="101">
    <w:name w:val="标题 8 字符"/>
    <w:link w:val="9"/>
    <w:qFormat/>
    <w:uiPriority w:val="9"/>
    <w:rPr>
      <w:rFonts w:ascii="Cambria" w:hAnsi="Cambria"/>
      <w:kern w:val="2"/>
      <w:sz w:val="21"/>
      <w:szCs w:val="24"/>
    </w:rPr>
  </w:style>
  <w:style w:type="character" w:customStyle="1" w:styleId="102">
    <w:name w:val="标题 6 字符1"/>
    <w:link w:val="7"/>
    <w:qFormat/>
    <w:uiPriority w:val="0"/>
    <w:rPr>
      <w:rFonts w:ascii="Cambria" w:hAnsi="Cambria"/>
      <w:b/>
      <w:bCs/>
      <w:kern w:val="2"/>
      <w:sz w:val="24"/>
      <w:szCs w:val="24"/>
    </w:rPr>
  </w:style>
  <w:style w:type="character" w:customStyle="1" w:styleId="103">
    <w:name w:val="标题 字符"/>
    <w:qFormat/>
    <w:uiPriority w:val="10"/>
    <w:rPr>
      <w:rFonts w:ascii="等线 Light" w:hAnsi="等线 Light" w:eastAsia="等线 Light" w:cs="Times New Roman"/>
      <w:b/>
      <w:bCs/>
      <w:kern w:val="2"/>
      <w:sz w:val="32"/>
      <w:szCs w:val="32"/>
    </w:rPr>
  </w:style>
  <w:style w:type="character" w:customStyle="1" w:styleId="104">
    <w:name w:val="副标题 字符"/>
    <w:qFormat/>
    <w:uiPriority w:val="11"/>
    <w:rPr>
      <w:rFonts w:ascii="等线" w:hAnsi="等线" w:eastAsia="等线" w:cs="Times New Roman"/>
      <w:b/>
      <w:bCs/>
      <w:kern w:val="28"/>
      <w:sz w:val="32"/>
      <w:szCs w:val="32"/>
    </w:rPr>
  </w:style>
  <w:style w:type="paragraph" w:customStyle="1" w:styleId="105">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6">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7">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8">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9">
    <w:name w:val="正文缩进1"/>
    <w:basedOn w:val="1"/>
    <w:qFormat/>
    <w:uiPriority w:val="0"/>
    <w:pPr>
      <w:spacing w:line="240" w:lineRule="auto"/>
      <w:ind w:firstLine="420"/>
    </w:pPr>
    <w:rPr>
      <w:rFonts w:ascii="Times New Roman" w:hAnsi="Times New Roman"/>
      <w:sz w:val="21"/>
      <w:szCs w:val="20"/>
    </w:rPr>
  </w:style>
  <w:style w:type="paragraph" w:customStyle="1" w:styleId="110">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11">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2">
    <w:name w:val="Indent Normal"/>
    <w:basedOn w:val="1"/>
    <w:qFormat/>
    <w:uiPriority w:val="0"/>
    <w:pPr>
      <w:ind w:firstLine="150" w:firstLineChars="150"/>
    </w:pPr>
  </w:style>
  <w:style w:type="paragraph" w:customStyle="1" w:styleId="113">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4">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5">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6">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7">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8">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20">
    <w:name w:val="Char Char Char Char Char Char1 Char"/>
    <w:basedOn w:val="1"/>
    <w:qFormat/>
    <w:uiPriority w:val="0"/>
    <w:pPr>
      <w:widowControl/>
      <w:spacing w:after="160" w:line="240" w:lineRule="exact"/>
      <w:jc w:val="left"/>
    </w:pPr>
  </w:style>
  <w:style w:type="paragraph" w:customStyle="1" w:styleId="121">
    <w:name w:val="PM_Body"/>
    <w:basedOn w:val="1"/>
    <w:qFormat/>
    <w:locked/>
    <w:uiPriority w:val="0"/>
    <w:rPr>
      <w:szCs w:val="21"/>
    </w:rPr>
  </w:style>
  <w:style w:type="paragraph" w:customStyle="1" w:styleId="122">
    <w:name w:val="Char Char1"/>
    <w:basedOn w:val="1"/>
    <w:qFormat/>
    <w:uiPriority w:val="0"/>
    <w:pPr>
      <w:widowControl/>
      <w:spacing w:before="120" w:after="120"/>
    </w:pPr>
    <w:rPr>
      <w:rFonts w:ascii="Times New Roman" w:hAnsi="Times New Roman" w:cs="宋体"/>
    </w:rPr>
  </w:style>
  <w:style w:type="paragraph" w:customStyle="1" w:styleId="123">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4">
    <w:name w:val="修订1"/>
    <w:unhideWhenUsed/>
    <w:qFormat/>
    <w:uiPriority w:val="99"/>
    <w:rPr>
      <w:rFonts w:ascii="宋体" w:hAnsi="宋体" w:eastAsia="宋体" w:cs="Times New Roman"/>
      <w:kern w:val="2"/>
      <w:sz w:val="24"/>
      <w:szCs w:val="24"/>
      <w:lang w:val="en-US" w:eastAsia="zh-CN" w:bidi="ar-SA"/>
    </w:rPr>
  </w:style>
  <w:style w:type="paragraph" w:customStyle="1" w:styleId="125">
    <w:name w:val="列出段落2"/>
    <w:basedOn w:val="1"/>
    <w:qFormat/>
    <w:uiPriority w:val="0"/>
    <w:pPr>
      <w:spacing w:line="240" w:lineRule="auto"/>
      <w:ind w:firstLine="420"/>
    </w:pPr>
    <w:rPr>
      <w:rFonts w:ascii="等线" w:hAnsi="等线" w:eastAsia="等线" w:cs="等线"/>
      <w:sz w:val="21"/>
      <w:szCs w:val="21"/>
    </w:rPr>
  </w:style>
  <w:style w:type="paragraph" w:customStyle="1" w:styleId="126">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8">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9">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30">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31">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2">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3">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5">
    <w:name w:val="标题 1 Char"/>
    <w:qFormat/>
    <w:uiPriority w:val="0"/>
    <w:rPr>
      <w:rFonts w:ascii="宋体" w:hAnsi="宋体" w:eastAsia="黑体"/>
      <w:b/>
      <w:bCs/>
      <w:kern w:val="44"/>
      <w:sz w:val="32"/>
      <w:szCs w:val="28"/>
    </w:rPr>
  </w:style>
  <w:style w:type="character" w:customStyle="1" w:styleId="136">
    <w:name w:val="纯文本 Char2"/>
    <w:qFormat/>
    <w:uiPriority w:val="0"/>
    <w:rPr>
      <w:rFonts w:ascii="宋体" w:hAnsi="宋体" w:eastAsia="宋体" w:cs="Times New Roman"/>
      <w:color w:val="000000"/>
      <w:kern w:val="0"/>
      <w:sz w:val="24"/>
      <w:szCs w:val="24"/>
    </w:rPr>
  </w:style>
  <w:style w:type="paragraph" w:customStyle="1" w:styleId="137">
    <w:name w:val="可研正文"/>
    <w:basedOn w:val="1"/>
    <w:qFormat/>
    <w:uiPriority w:val="0"/>
    <w:pPr>
      <w:ind w:firstLine="200"/>
    </w:pPr>
    <w:rPr>
      <w:rFonts w:ascii="仿宋" w:eastAsia="仿宋"/>
      <w:sz w:val="28"/>
      <w:szCs w:val="28"/>
    </w:rPr>
  </w:style>
  <w:style w:type="paragraph" w:customStyle="1" w:styleId="138">
    <w:name w:val="B-表正文"/>
    <w:qFormat/>
    <w:uiPriority w:val="0"/>
    <w:rPr>
      <w:rFonts w:ascii="Times New Roman" w:hAnsi="Times New Roman" w:eastAsia="仿宋" w:cs="Arial"/>
      <w:kern w:val="2"/>
      <w:sz w:val="21"/>
      <w:szCs w:val="24"/>
      <w:lang w:val="en-US" w:eastAsia="zh-CN" w:bidi="ar-SA"/>
    </w:rPr>
  </w:style>
  <w:style w:type="paragraph" w:customStyle="1" w:styleId="139">
    <w:name w:val="样式2"/>
    <w:basedOn w:val="1"/>
    <w:qFormat/>
    <w:uiPriority w:val="0"/>
    <w:pPr>
      <w:widowControl/>
      <w:adjustRightInd w:val="0"/>
      <w:ind w:firstLine="200"/>
    </w:pPr>
    <w:rPr>
      <w:kern w:val="0"/>
      <w:lang w:eastAsia="en-US"/>
    </w:rPr>
  </w:style>
  <w:style w:type="paragraph" w:customStyle="1" w:styleId="140">
    <w:name w:val="修订2"/>
    <w:hidden/>
    <w:unhideWhenUsed/>
    <w:qFormat/>
    <w:uiPriority w:val="99"/>
    <w:rPr>
      <w:rFonts w:ascii="宋体" w:hAnsi="宋体" w:eastAsia="宋体" w:cs="Times New Roman"/>
      <w:kern w:val="2"/>
      <w:sz w:val="24"/>
      <w:szCs w:val="24"/>
      <w:lang w:val="en-US" w:eastAsia="zh-CN" w:bidi="ar-SA"/>
    </w:rPr>
  </w:style>
  <w:style w:type="paragraph" w:customStyle="1" w:styleId="141">
    <w:name w:val="修订3"/>
    <w:hidden/>
    <w:semiHidden/>
    <w:qFormat/>
    <w:uiPriority w:val="99"/>
    <w:rPr>
      <w:rFonts w:ascii="宋体" w:hAnsi="宋体" w:eastAsia="宋体" w:cs="Times New Roman"/>
      <w:kern w:val="2"/>
      <w:sz w:val="24"/>
      <w:szCs w:val="24"/>
      <w:lang w:val="en-US" w:eastAsia="zh-CN" w:bidi="ar-SA"/>
    </w:rPr>
  </w:style>
  <w:style w:type="paragraph" w:customStyle="1" w:styleId="142">
    <w:name w:val="Table Text"/>
    <w:basedOn w:val="1"/>
    <w:semiHidden/>
    <w:qFormat/>
    <w:uiPriority w:val="0"/>
    <w:rPr>
      <w:rFonts w:cs="宋体"/>
      <w:sz w:val="21"/>
      <w:szCs w:val="21"/>
      <w:lang w:eastAsia="en-US"/>
    </w:rPr>
  </w:style>
  <w:style w:type="table" w:customStyle="1" w:styleId="14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5494</Words>
  <Characters>5706</Characters>
  <Lines>118</Lines>
  <Paragraphs>33</Paragraphs>
  <TotalTime>46</TotalTime>
  <ScaleCrop>false</ScaleCrop>
  <LinksUpToDate>false</LinksUpToDate>
  <CharactersWithSpaces>5708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2025-01-09T06:42:00Z</dcterms:created>
  <dc:creator>gtig_tzb</dc:creator>
  <cp:lastModifiedBy>李瑶</cp:lastModifiedBy>
  <cp:lastPrinted>2025-01-15T09:42:00Z</cp:lastPrinted>
  <dcterms:modified xsi:type="dcterms:W3CDTF">2025-03-28T03:12:56Z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6D9B1B9829BE407FA04732434B2F61ED_13</vt:lpwstr>
  </property>
  <property fmtid="{D5CDD505-2E9C-101B-9397-08002B2CF9AE}" pid="4" name="KSOTemplateDocerSaveRecord">
    <vt:lpwstr>eyJoZGlkIjoiZDQxN2FjZjljN2U2YzMwZGExNTNmMzQwOGNkMDA4NmIiLCJ1c2VySWQiOiIxNjQ0MDgyNjc3In0=</vt:lpwstr>
  </property>
</Properties>
</file>