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sz w:val="48"/>
          <w:szCs w:val="48"/>
          <w:highlight w:val="none"/>
        </w:rPr>
      </w:pPr>
    </w:p>
    <w:p>
      <w:pPr>
        <w:ind w:firstLine="0" w:firstLineChars="0"/>
        <w:jc w:val="center"/>
        <w:rPr>
          <w:rFonts w:hint="eastAsia" w:ascii="黑体" w:hAnsi="黑体" w:eastAsia="黑体"/>
          <w:sz w:val="48"/>
          <w:szCs w:val="48"/>
          <w:highlight w:val="none"/>
        </w:rPr>
      </w:pPr>
    </w:p>
    <w:p>
      <w:pPr>
        <w:ind w:firstLine="0" w:firstLineChars="0"/>
        <w:jc w:val="center"/>
        <w:rPr>
          <w:rFonts w:hint="eastAsia" w:ascii="黑体" w:hAnsi="黑体" w:eastAsia="黑体"/>
          <w:sz w:val="48"/>
          <w:szCs w:val="48"/>
          <w:highlight w:val="none"/>
        </w:rPr>
      </w:pPr>
    </w:p>
    <w:p>
      <w:pPr>
        <w:ind w:firstLine="0" w:firstLineChars="0"/>
        <w:jc w:val="center"/>
        <w:rPr>
          <w:rFonts w:hint="eastAsia" w:ascii="黑体" w:hAnsi="黑体" w:eastAsia="黑体"/>
          <w:sz w:val="48"/>
          <w:szCs w:val="48"/>
          <w:highlight w:val="none"/>
        </w:rPr>
      </w:pPr>
    </w:p>
    <w:p>
      <w:pPr>
        <w:ind w:firstLine="0" w:firstLineChars="0"/>
        <w:jc w:val="center"/>
        <w:rPr>
          <w:rFonts w:hint="eastAsia" w:ascii="黑体" w:hAnsi="黑体" w:eastAsia="黑体"/>
          <w:sz w:val="52"/>
          <w:szCs w:val="52"/>
          <w:highlight w:val="none"/>
        </w:rPr>
      </w:pPr>
      <w:r>
        <w:rPr>
          <w:rFonts w:hint="eastAsia" w:ascii="黑体" w:hAnsi="黑体" w:eastAsia="黑体"/>
          <w:sz w:val="52"/>
          <w:szCs w:val="52"/>
          <w:highlight w:val="none"/>
        </w:rPr>
        <w:t>食品药品安全应急指挥及综合信息平台(2025升级改造)采购需求</w:t>
      </w:r>
    </w:p>
    <w:p>
      <w:pPr>
        <w:ind w:firstLine="0" w:firstLineChars="0"/>
        <w:jc w:val="center"/>
        <w:rPr>
          <w:rFonts w:hint="eastAsia" w:ascii="黑体" w:hAnsi="黑体" w:eastAsia="黑体"/>
          <w:sz w:val="72"/>
          <w:szCs w:val="72"/>
          <w:highlight w:val="none"/>
        </w:rPr>
      </w:pPr>
    </w:p>
    <w:p>
      <w:pPr>
        <w:ind w:firstLine="0" w:firstLineChars="0"/>
        <w:jc w:val="center"/>
        <w:rPr>
          <w:rFonts w:hint="eastAsia" w:ascii="黑体" w:hAnsi="黑体" w:eastAsia="黑体"/>
          <w:sz w:val="48"/>
          <w:szCs w:val="48"/>
          <w:highlight w:val="none"/>
        </w:rPr>
      </w:pPr>
    </w:p>
    <w:p>
      <w:pPr>
        <w:ind w:firstLine="0" w:firstLineChars="0"/>
        <w:jc w:val="center"/>
        <w:rPr>
          <w:rFonts w:hint="eastAsia" w:ascii="黑体" w:hAnsi="黑体" w:eastAsia="黑体"/>
          <w:sz w:val="52"/>
          <w:szCs w:val="52"/>
          <w:highlight w:val="none"/>
        </w:rPr>
      </w:pPr>
    </w:p>
    <w:p>
      <w:pPr>
        <w:ind w:firstLine="1040"/>
        <w:rPr>
          <w:rFonts w:hint="eastAsia" w:ascii="黑体" w:hAnsi="黑体" w:eastAsia="黑体"/>
          <w:sz w:val="52"/>
          <w:szCs w:val="52"/>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ind w:firstLine="1040"/>
        <w:rPr>
          <w:rFonts w:hint="eastAsia" w:ascii="黑体" w:hAnsi="黑体" w:eastAsia="黑体"/>
          <w:sz w:val="52"/>
          <w:szCs w:val="52"/>
          <w:highlight w:val="none"/>
        </w:rPr>
      </w:pPr>
    </w:p>
    <w:p>
      <w:pPr>
        <w:jc w:val="center"/>
        <w:rPr>
          <w:rFonts w:hint="eastAsia"/>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134" w:right="1797" w:bottom="1135" w:left="1797" w:header="340" w:footer="7" w:gutter="0"/>
          <w:pgNumType w:start="1"/>
          <w:cols w:space="720" w:num="1"/>
          <w:titlePg/>
          <w:docGrid w:type="linesAndChars" w:linePitch="326" w:charSpace="0"/>
        </w:sectPr>
      </w:pPr>
    </w:p>
    <w:p>
      <w:pPr>
        <w:pStyle w:val="2"/>
        <w:rPr>
          <w:rFonts w:hint="eastAsia"/>
          <w:highlight w:val="none"/>
        </w:rPr>
      </w:pPr>
      <w:bookmarkStart w:id="0" w:name="_Toc63785461"/>
      <w:r>
        <w:rPr>
          <w:rFonts w:hint="eastAsia"/>
          <w:highlight w:val="none"/>
        </w:rPr>
        <w:t>项目概况</w:t>
      </w:r>
      <w:bookmarkEnd w:id="0"/>
    </w:p>
    <w:p>
      <w:pPr>
        <w:pStyle w:val="3"/>
        <w:rPr>
          <w:rFonts w:hint="eastAsia"/>
          <w:highlight w:val="none"/>
        </w:rPr>
      </w:pPr>
      <w:r>
        <w:rPr>
          <w:rFonts w:hint="eastAsia"/>
          <w:highlight w:val="none"/>
        </w:rPr>
        <w:t>项目背景与现状</w:t>
      </w:r>
    </w:p>
    <w:p>
      <w:pPr>
        <w:pStyle w:val="4"/>
        <w:rPr>
          <w:rFonts w:hint="eastAsia" w:eastAsia="仿宋"/>
          <w:highlight w:val="none"/>
        </w:rPr>
      </w:pPr>
      <w:r>
        <w:rPr>
          <w:highlight w:val="none"/>
        </w:rPr>
        <w:t>药品（疫苗）追溯监管系统</w:t>
      </w:r>
      <w:r>
        <w:rPr>
          <w:rFonts w:hint="eastAsia"/>
          <w:highlight w:val="none"/>
        </w:rPr>
        <w:t>（</w:t>
      </w:r>
      <w:r>
        <w:rPr>
          <w:highlight w:val="none"/>
        </w:rPr>
        <w:t>升级改造</w:t>
      </w:r>
      <w:r>
        <w:rPr>
          <w:rFonts w:hint="eastAsia"/>
          <w:highlight w:val="none"/>
        </w:rPr>
        <w:t>）</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2024年2月国家药品监督管理局印发省级药品智慧监管重点任务清单（2024—2025）的通知，推动各省级药品监督管理局进一步建设智慧监管能力，明确提出积极开展追溯体系建设的任务要求，要求能够建设省级药品追溯监管系统，加强追溯监管，实现本辖区内追溯信息的汇集、管理、分析和预警，深入挖掘追溯数据价值，发挥追溯大数据在日常监管、风险防控、产品召回、应急处置等工作中的作用。</w:t>
      </w:r>
    </w:p>
    <w:p>
      <w:pPr>
        <w:rPr>
          <w:rFonts w:hint="eastAsia"/>
          <w:highlight w:val="none"/>
        </w:rPr>
      </w:pPr>
      <w:r>
        <w:rPr>
          <w:rFonts w:hint="eastAsia"/>
          <w:highlight w:val="none"/>
        </w:rPr>
        <w:t>根据“全市医疗救治大数据平台”工作专班、上海申康医院发展中心发布的《关于建设“全市医疗救治大数据中心平台”工作方案”》的要求，需要建设“上海市疫情防控药品供应保障信息上报”模块，包括重点品种库存、销量、缺货信息等的上报和数据统计分析，满足药品批发企业和药品连锁企业的数据上报要求，并满足药品监管处和市大数据中心的各类数据统计需要。</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上海市药品监督管理局目前主要使用“药品实时监控系统”、“药品零售远程动态监管系统”及“药品（疫苗）追溯监管系统”来负责药品追溯监管的相关业务，以数据采集和查询为主，没有相关的分析功能，无法发挥追溯数据的宝贵价值，且这三个系统分别负责不同的业务，但用户群体基本一致，导致用户需要切换多个系统才能完成药品追溯监管相关的全部工作。</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药品生产企业、药品批发企业、药品连锁企业、药品连锁企业、药品零售单体药房每天都需要安排人员进行手工数据上报，需要花费大量时间进行上报文件整理和上报，供监管人员进行药品流通情况查询，监管人员</w:t>
      </w:r>
      <w:r>
        <w:rPr>
          <w:rFonts w:ascii="宋体" w:hAnsi="宋体" w:eastAsia="宋体"/>
          <w:sz w:val="24"/>
          <w:szCs w:val="24"/>
          <w:highlight w:val="none"/>
        </w:rPr>
        <w:t>主要是人工进行数据查询，很难有效发现问题</w:t>
      </w:r>
      <w:r>
        <w:rPr>
          <w:rFonts w:hint="eastAsia" w:ascii="宋体" w:hAnsi="宋体" w:eastAsia="宋体"/>
          <w:sz w:val="24"/>
          <w:szCs w:val="24"/>
          <w:highlight w:val="none"/>
        </w:rPr>
        <w:t>。</w:t>
      </w:r>
    </w:p>
    <w:p>
      <w:pPr>
        <w:pStyle w:val="136"/>
        <w:ind w:firstLine="480"/>
        <w:rPr>
          <w:rFonts w:hint="eastAsia" w:ascii="宋体" w:hAnsi="宋体" w:eastAsia="宋体" w:cs="Times New Roman"/>
          <w:sz w:val="24"/>
          <w:szCs w:val="24"/>
          <w:highlight w:val="none"/>
        </w:rPr>
      </w:pPr>
      <w:r>
        <w:rPr>
          <w:rFonts w:hint="eastAsia" w:ascii="宋体" w:hAnsi="宋体" w:eastAsia="宋体"/>
          <w:sz w:val="24"/>
          <w:szCs w:val="24"/>
          <w:highlight w:val="none"/>
        </w:rPr>
        <w:t>为解决以上难点，一是需要升级药品（疫苗）追溯监管系统，以药品（疫苗）追溯监管系统为基础，将药品实时监控系统、药品零售远程动态监管系统整合在一起，</w:t>
      </w:r>
      <w:r>
        <w:rPr>
          <w:rFonts w:hint="eastAsia" w:ascii="宋体" w:hAnsi="宋体" w:eastAsia="宋体" w:cs="仿宋"/>
          <w:sz w:val="24"/>
          <w:highlight w:val="none"/>
        </w:rPr>
        <w:t>实现一个系统满足监管人员所有的药品追溯监管的业务需要</w:t>
      </w:r>
      <w:r>
        <w:rPr>
          <w:rFonts w:hint="eastAsia" w:ascii="宋体" w:hAnsi="宋体" w:eastAsia="宋体" w:cs="Times New Roman"/>
          <w:sz w:val="24"/>
          <w:szCs w:val="24"/>
          <w:highlight w:val="none"/>
        </w:rPr>
        <w:t>；二是需要为企业提供统一的数据上报接口，满足药品批发企业和药品连锁企业的数据上报需求，以及药品监管处、市大数据中心的各类数据统计需要。</w:t>
      </w:r>
    </w:p>
    <w:p>
      <w:pPr>
        <w:pStyle w:val="4"/>
        <w:rPr>
          <w:rFonts w:hint="eastAsia" w:eastAsia="仿宋"/>
          <w:highlight w:val="none"/>
        </w:rPr>
      </w:pPr>
      <w:r>
        <w:rPr>
          <w:rFonts w:hint="eastAsia"/>
          <w:highlight w:val="none"/>
        </w:rPr>
        <w:t>上海市高风险医疗器械追溯监管系统（</w:t>
      </w:r>
      <w:r>
        <w:rPr>
          <w:highlight w:val="none"/>
        </w:rPr>
        <w:t>升级改造</w:t>
      </w:r>
      <w:r>
        <w:rPr>
          <w:rFonts w:hint="eastAsia"/>
          <w:highlight w:val="none"/>
        </w:rPr>
        <w:t>）</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2023年11月26日，国务院关于印发《全面对接国际高标准经贸规则推进中国（上海）自由贸易试验区高水平制度型开放总体方案》（以下简称“国务院总体方案”）的通知，支持中国（上海）自由贸易试验区（含临港新片区，以下简称上海自贸试验区）对接国际高标准经贸规则，推进高水平制度型开放，是新时代全面深化改革和扩大开放的重要举措。为全面实施自由贸易试验区提升战略，更好发挥上海自贸试验区先行先试作用，打造国家制度型开放示范区。</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2024年2月3日，上海市人民政府关于印发《上海市落实〈全面对接国际高标准经贸规则推进中国（上海）自由贸易试验区高水平制度型开放总体方案〉的实施方案》的通知，为深入贯彻落实《全面对接国际高标准经贸规则推进中国（上海）自由贸易试验区高水平制度型开放总体方案》（以下简称“上海市政府落实方案”），持续推进中国（上海）自由贸易试验区（含临港新片区，以下简称上海自贸试验区）在更广领域、更深层次开展制度型开放先行先试，打造国家制度型开放示范区。全面落实国务院总体方案要求，稳步扩大规则、规制、管理、标准等制度型开放。用3年时间，率先在上海自贸试验区规划范围内构建与国际高标准经贸规则相衔接的制度体系和监管模式，贸易投资便利化水平达到国际一流水平，数字经济规则与国际通行做法相衔接，具备与开放型经济相适应的开放监管能力和风险防控能力，提高参与国际规则构建的整体能力，在重点领域形成参与国际合作与竞争的新动能、新优势。</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2024年4月22日，为深入贯彻国务院总体方案，落实上海市政府落实方案的相关要求，推进高水平制度型开放，发挥中国（上海）自贸试验区先行先试作用，规范进口医疗器械加贴标签的行为。上海市药品监督管理局根据《医疗器械监督管理条例》《医疗器械生产监督管理办法》《医疗器械说明书和标签管理规定》以及其他有关行政法规的要求，结合工作实际，起草了《中国（上海）自贸试验区进口医疗器械加贴中文标签规定（试行）》。</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按照国务院总体方案和上海市落实方案要求，上海自贸试验区内的境内代理人在加贴标签前要向药品监管部门进行加贴标签报告的上报，监管部门负责规范企业加贴医疗器械标签行为、对企业加贴标签行为进行监督检查和与海关共享相关信息。本项目将通过对上海市药品监督管理局现有的医疗器械追溯申报系统进行升级改造，新建进口医疗器械加贴标签监管模块，为境内代理人企业提供规范的产品加贴标签报告的上报服务，为监管部门提供完善的进口产品加贴标签管理、医疗器械唯一标识核验及企业贴标行为的监督检查能力，同时建立与海关的信息共享机制，协助海关完成通关及检验监管，为医疗器械进口提供便利。</w:t>
      </w:r>
    </w:p>
    <w:p>
      <w:pPr>
        <w:pStyle w:val="4"/>
        <w:rPr>
          <w:rFonts w:hint="eastAsia" w:eastAsia="仿宋"/>
          <w:highlight w:val="none"/>
        </w:rPr>
      </w:pPr>
      <w:r>
        <w:rPr>
          <w:rFonts w:hint="eastAsia"/>
          <w:highlight w:val="none"/>
        </w:rPr>
        <w:t>药械化案件管理系统（</w:t>
      </w:r>
      <w:r>
        <w:rPr>
          <w:highlight w:val="none"/>
        </w:rPr>
        <w:t>升级改造</w:t>
      </w:r>
      <w:r>
        <w:rPr>
          <w:rFonts w:hint="eastAsia"/>
          <w:highlight w:val="none"/>
        </w:rPr>
        <w:t>）</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药械化案件管理系统（原名：稽查办案系统）于2013年上线，用户包括市药监局业务处室、稽查局和直属单位，主要负责和和市市场局处罚系统对接实现处罚数据的落地，提供药械化相关企业案件信息的查询、统计和对外公示。</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目前药械化案件管理系统仅提供案件数据对接落地、查询和公示应用。案件数据存在更新不及时、数据不完整、不准确等问题，缺少分析和扩展应用。与市场监管行政处罚系统缺少数据交换互通。</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为落实国家市场监督管理总局关于“数字+执法”工作要求，升级药械化案件管理系统，实现对全局各渠道违法违规线索信息的统一归集和管理，推动综合执法与日常监管的深度融合，高效衔接稽查执法工作，实现违法案件处置“一网联动”。</w:t>
      </w:r>
    </w:p>
    <w:p>
      <w:pPr>
        <w:pStyle w:val="4"/>
        <w:rPr>
          <w:rFonts w:hint="eastAsia" w:eastAsia="仿宋"/>
          <w:highlight w:val="none"/>
        </w:rPr>
      </w:pPr>
      <w:r>
        <w:rPr>
          <w:rFonts w:hint="eastAsia"/>
          <w:highlight w:val="none"/>
        </w:rPr>
        <w:t>药品咨询业务管理系统（</w:t>
      </w:r>
      <w:r>
        <w:rPr>
          <w:highlight w:val="none"/>
        </w:rPr>
        <w:t>升级改造</w:t>
      </w:r>
      <w:r>
        <w:rPr>
          <w:rFonts w:hint="eastAsia"/>
          <w:highlight w:val="none"/>
        </w:rPr>
        <w:t>）</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药品咨询业务管理系统（原名：食品药品安全投诉举报管理系统），于2015年上线，用户包括市药监局业务处室、稽查局和直属单位，承担12345、市局官网等来源的投诉举报分发和办理。</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行政服务中心窗口每天都会收到大量的咨询业务，目前这些业务都通过手工记录、邮件发送等方式分派给各个业务处室进行办理和答复，效率低下，而且无法有效的进行工作任务的跟踪，经常出现任务遗漏或超期等现象。</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为解决以上问题，需要升级药品咨询业务管理系统的投诉举报工单办理程序，为投诉工单、举报工单和咨询工单分别建设独立的工单办理流程，并配套建设独立的工单办理、暂停办理、工单延期等功能。增加与“全国市场监管数字化试验区（上海）项目一期”建设</w:t>
      </w:r>
      <w:r>
        <w:rPr>
          <w:rFonts w:ascii="宋体" w:hAnsi="宋体" w:eastAsia="宋体"/>
          <w:sz w:val="24"/>
          <w:szCs w:val="24"/>
          <w:highlight w:val="none"/>
        </w:rPr>
        <w:t>的消费者权益保护子系统完成双向实时对接，确保药监局的投诉举报工单能够顺利对接和办结反馈。</w:t>
      </w:r>
    </w:p>
    <w:p>
      <w:pPr>
        <w:pStyle w:val="3"/>
        <w:rPr>
          <w:rFonts w:hint="eastAsia"/>
          <w:highlight w:val="none"/>
        </w:rPr>
      </w:pPr>
      <w:r>
        <w:rPr>
          <w:rFonts w:hint="eastAsia"/>
          <w:highlight w:val="none"/>
        </w:rPr>
        <w:t>建设期限</w:t>
      </w:r>
    </w:p>
    <w:p>
      <w:pPr>
        <w:spacing w:line="560" w:lineRule="exact"/>
        <w:rPr>
          <w:rFonts w:hint="eastAsia"/>
          <w:highlight w:val="none"/>
        </w:rPr>
      </w:pPr>
      <w:r>
        <w:rPr>
          <w:rFonts w:hint="eastAsia"/>
          <w:highlight w:val="none"/>
        </w:rPr>
        <w:t>建设期限：自合同签订之日起8个月（包括1个月试运行）</w:t>
      </w:r>
    </w:p>
    <w:p>
      <w:pPr>
        <w:pStyle w:val="3"/>
        <w:rPr>
          <w:rFonts w:hint="eastAsia"/>
          <w:highlight w:val="none"/>
        </w:rPr>
      </w:pPr>
      <w:r>
        <w:rPr>
          <w:rFonts w:hint="eastAsia"/>
          <w:highlight w:val="none"/>
        </w:rPr>
        <w:t>建设地点</w:t>
      </w:r>
    </w:p>
    <w:p>
      <w:pPr>
        <w:spacing w:line="560" w:lineRule="exact"/>
        <w:rPr>
          <w:rFonts w:hint="eastAsia"/>
          <w:highlight w:val="none"/>
        </w:rPr>
      </w:pPr>
      <w:r>
        <w:rPr>
          <w:rFonts w:hint="eastAsia"/>
          <w:highlight w:val="none"/>
        </w:rPr>
        <w:t>建设地点：上海市药品监督管理局</w:t>
      </w:r>
    </w:p>
    <w:p>
      <w:pPr>
        <w:pStyle w:val="3"/>
        <w:rPr>
          <w:rFonts w:hint="eastAsia"/>
          <w:highlight w:val="none"/>
        </w:rPr>
      </w:pPr>
      <w:r>
        <w:rPr>
          <w:rFonts w:hint="eastAsia"/>
          <w:highlight w:val="none"/>
        </w:rPr>
        <w:t>是否接受联合体投标</w:t>
      </w:r>
    </w:p>
    <w:p>
      <w:pPr>
        <w:spacing w:line="560" w:lineRule="exact"/>
        <w:rPr>
          <w:rFonts w:hint="eastAsia"/>
          <w:highlight w:val="none"/>
        </w:rPr>
      </w:pPr>
      <w:r>
        <w:rPr>
          <w:rFonts w:hint="eastAsia"/>
          <w:highlight w:val="none"/>
        </w:rPr>
        <w:t>是否接受联合体投标：否</w:t>
      </w:r>
    </w:p>
    <w:p>
      <w:pPr>
        <w:pStyle w:val="3"/>
        <w:rPr>
          <w:rFonts w:hint="eastAsia"/>
          <w:highlight w:val="none"/>
        </w:rPr>
      </w:pPr>
      <w:r>
        <w:rPr>
          <w:highlight w:val="none"/>
        </w:rPr>
        <w:t>是否按信创要求建设</w:t>
      </w:r>
    </w:p>
    <w:p>
      <w:pPr>
        <w:spacing w:line="560" w:lineRule="exact"/>
        <w:rPr>
          <w:rFonts w:hint="eastAsia"/>
          <w:highlight w:val="none"/>
        </w:rPr>
      </w:pPr>
      <w:r>
        <w:rPr>
          <w:highlight w:val="none"/>
        </w:rPr>
        <w:t>是否按信创要求建设：是</w:t>
      </w:r>
    </w:p>
    <w:p>
      <w:pPr>
        <w:pStyle w:val="3"/>
        <w:rPr>
          <w:rFonts w:hint="eastAsia"/>
          <w:highlight w:val="none"/>
        </w:rPr>
      </w:pPr>
      <w:r>
        <w:rPr>
          <w:rFonts w:hint="eastAsia"/>
          <w:highlight w:val="none"/>
        </w:rPr>
        <w:t>运维后所属大系统</w:t>
      </w:r>
    </w:p>
    <w:p>
      <w:pPr>
        <w:spacing w:line="560" w:lineRule="exact"/>
        <w:rPr>
          <w:rFonts w:hint="eastAsia"/>
          <w:highlight w:val="none"/>
        </w:rPr>
      </w:pPr>
      <w:r>
        <w:rPr>
          <w:rFonts w:hint="eastAsia"/>
          <w:highlight w:val="none"/>
        </w:rPr>
        <w:t>运维后所属大系统：药品监管大系统</w:t>
      </w:r>
    </w:p>
    <w:p>
      <w:pPr>
        <w:rPr>
          <w:rFonts w:hint="eastAsia"/>
          <w:highlight w:val="none"/>
        </w:rPr>
      </w:pPr>
    </w:p>
    <w:p>
      <w:pPr>
        <w:pStyle w:val="2"/>
        <w:rPr>
          <w:rFonts w:hint="eastAsia"/>
          <w:highlight w:val="none"/>
        </w:rPr>
      </w:pPr>
      <w:bookmarkStart w:id="1" w:name="_Toc47536272"/>
      <w:bookmarkEnd w:id="1"/>
      <w:bookmarkStart w:id="2" w:name="_Toc47532255"/>
      <w:bookmarkEnd w:id="2"/>
      <w:bookmarkStart w:id="3" w:name="_Toc47537134"/>
      <w:bookmarkEnd w:id="3"/>
      <w:bookmarkStart w:id="4" w:name="_Toc47531634"/>
      <w:bookmarkEnd w:id="4"/>
      <w:bookmarkStart w:id="5" w:name="_Toc47539070"/>
      <w:bookmarkEnd w:id="5"/>
      <w:bookmarkStart w:id="6" w:name="_Toc47532891"/>
      <w:bookmarkEnd w:id="6"/>
      <w:bookmarkStart w:id="7" w:name="_Toc47533256"/>
      <w:bookmarkEnd w:id="7"/>
      <w:bookmarkStart w:id="8" w:name="_Toc47536644"/>
      <w:bookmarkEnd w:id="8"/>
      <w:bookmarkStart w:id="9" w:name="_Toc63785463"/>
      <w:bookmarkStart w:id="10" w:name="_Toc48223882"/>
      <w:r>
        <w:rPr>
          <w:rFonts w:hint="eastAsia"/>
          <w:highlight w:val="none"/>
        </w:rPr>
        <w:t>建设目标</w:t>
      </w:r>
      <w:bookmarkEnd w:id="9"/>
      <w:bookmarkEnd w:id="10"/>
    </w:p>
    <w:p>
      <w:pPr>
        <w:pStyle w:val="3"/>
        <w:rPr>
          <w:rFonts w:hint="eastAsia"/>
          <w:highlight w:val="none"/>
        </w:rPr>
      </w:pPr>
      <w:r>
        <w:rPr>
          <w:rFonts w:hint="eastAsia"/>
          <w:highlight w:val="none"/>
        </w:rPr>
        <w:t>建设目标</w:t>
      </w:r>
    </w:p>
    <w:p>
      <w:pPr>
        <w:rPr>
          <w:rFonts w:hint="eastAsia"/>
          <w:bCs/>
          <w:highlight w:val="none"/>
        </w:rPr>
      </w:pPr>
      <w:r>
        <w:rPr>
          <w:rFonts w:hint="eastAsia"/>
          <w:bCs/>
          <w:highlight w:val="none"/>
        </w:rPr>
        <w:t>建立平战结合的大数据分析预警机制，为相关重点品种建设监测和预警模型，通过自动抓取、计算和分析，为应急状态下多部门统筹调控药品供应、完善药品应急保供体系提供支撑。满足国家药监局下发的《国家药监局综合司关于印发省级药品智慧监管重点任务清单（2024—2025）的通知》要求，加强追溯监管，实现本辖区内追溯信息的汇集、管理、分析和预警等功能，发挥追溯大数据在日常监管、风险防控、产品召回、应急处置等工作中的作用。为全市药品流通企业提供数据自动上报渠道，大大提高企业数据上报的准确率，减轻企业工作负担。实现长三角范围内药品（含疫苗）跨省委托生产监督检查任务的协同管理，支持在线发起对相关品种或企业开展委托检查任务，支持跨省委托生产监督检查结果的多方共享和互联互通。</w:t>
      </w:r>
    </w:p>
    <w:p>
      <w:pPr>
        <w:rPr>
          <w:rFonts w:hint="eastAsia"/>
          <w:bCs/>
          <w:highlight w:val="none"/>
        </w:rPr>
      </w:pPr>
      <w:r>
        <w:rPr>
          <w:rFonts w:hint="eastAsia"/>
          <w:bCs/>
          <w:highlight w:val="none"/>
        </w:rPr>
        <w:t>为境内医疗器械代理人企业提供规范的产品加贴标签报告的上报服务，为监管部门提供完善的进口产品加贴标签管理。提升监督检查能力，建立与海关的信息共享机制，为医疗器械进口提供便利，满足国务院总体方案和上海市落实方案中全面对接国际高标准经贸规则推进中国（上海）自由贸易试验区高水平制度型开放的要求。</w:t>
      </w:r>
    </w:p>
    <w:p>
      <w:pPr>
        <w:rPr>
          <w:rFonts w:hint="eastAsia"/>
          <w:bCs/>
          <w:highlight w:val="none"/>
        </w:rPr>
      </w:pPr>
      <w:r>
        <w:rPr>
          <w:rFonts w:hint="eastAsia"/>
          <w:bCs/>
          <w:highlight w:val="none"/>
        </w:rPr>
        <w:t>将监管业务过程中发现的违法违规线索进行统一管理和处置，涉嫌违法的推送至市监局的行政处罚系统进行案件办理，形成检稽深度衔接。</w:t>
      </w:r>
    </w:p>
    <w:p>
      <w:pPr>
        <w:rPr>
          <w:rFonts w:hint="eastAsia"/>
          <w:bCs/>
          <w:highlight w:val="none"/>
        </w:rPr>
      </w:pPr>
      <w:r>
        <w:rPr>
          <w:rFonts w:hint="eastAsia"/>
          <w:bCs/>
          <w:highlight w:val="none"/>
        </w:rPr>
        <w:t>设计独立的投诉、举报和咨询工单的工单办理流程，通过与市监局消费者权益保护子系统的实时双向数据对接，实现12345工单的自动接收和办结反馈。</w:t>
      </w:r>
    </w:p>
    <w:p>
      <w:pPr>
        <w:pStyle w:val="3"/>
        <w:rPr>
          <w:rFonts w:hint="eastAsia"/>
          <w:highlight w:val="none"/>
        </w:rPr>
      </w:pPr>
      <w:r>
        <w:rPr>
          <w:rFonts w:hint="eastAsia"/>
          <w:highlight w:val="none"/>
        </w:rPr>
        <w:t>应用指标</w:t>
      </w:r>
    </w:p>
    <w:p>
      <w:pPr>
        <w:rPr>
          <w:rFonts w:hint="eastAsia"/>
          <w:bCs/>
          <w:highlight w:val="none"/>
        </w:rPr>
      </w:pPr>
      <w:r>
        <w:rPr>
          <w:rFonts w:hint="eastAsia"/>
          <w:bCs/>
          <w:highlight w:val="none"/>
        </w:rPr>
        <w:t>本项目覆盖的用户范围和数量如下：</w:t>
      </w:r>
    </w:p>
    <w:p>
      <w:pPr>
        <w:pStyle w:val="136"/>
        <w:numPr>
          <w:ilvl w:val="0"/>
          <w:numId w:val="3"/>
        </w:numPr>
        <w:ind w:firstLineChars="0"/>
        <w:rPr>
          <w:rFonts w:hint="eastAsia" w:ascii="宋体" w:hAnsi="宋体" w:eastAsia="宋体"/>
          <w:b/>
          <w:bCs/>
          <w:sz w:val="24"/>
          <w:szCs w:val="24"/>
          <w:highlight w:val="none"/>
        </w:rPr>
      </w:pPr>
      <w:r>
        <w:rPr>
          <w:rFonts w:hint="eastAsia" w:ascii="宋体" w:hAnsi="宋体" w:eastAsia="宋体"/>
          <w:b/>
          <w:bCs/>
          <w:sz w:val="24"/>
          <w:szCs w:val="24"/>
          <w:highlight w:val="none"/>
        </w:rPr>
        <w:t>药品（疫苗）追溯监管系统（升级改造）</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用户主要分为监管用户与企业用户。</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监管用户范围包括：上海市药监局用户、上海市药品监督管理局稽查局、药监局直属单位用户、区县市场局用户，用户数量约300人。长三角（江苏、浙江、安徽）省级药品监管部门，用户数量约100人。</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企业用户范围包括：本市药品批发企业、药品连锁企业、药品零售企业（单体药房）预计每个企业一个账号，共计约4500个企业账号。</w:t>
      </w:r>
    </w:p>
    <w:p>
      <w:pPr>
        <w:pStyle w:val="136"/>
        <w:numPr>
          <w:ilvl w:val="0"/>
          <w:numId w:val="3"/>
        </w:numPr>
        <w:ind w:firstLineChars="0"/>
        <w:rPr>
          <w:rFonts w:hint="eastAsia" w:ascii="宋体" w:hAnsi="宋体" w:eastAsia="宋体"/>
          <w:b/>
          <w:bCs/>
          <w:sz w:val="24"/>
          <w:szCs w:val="24"/>
          <w:highlight w:val="none"/>
        </w:rPr>
      </w:pPr>
      <w:r>
        <w:rPr>
          <w:rFonts w:hint="eastAsia" w:ascii="宋体" w:hAnsi="宋体" w:eastAsia="宋体"/>
          <w:b/>
          <w:bCs/>
          <w:sz w:val="24"/>
          <w:szCs w:val="24"/>
          <w:highlight w:val="none"/>
        </w:rPr>
        <w:t>上海市高风险医疗器械追溯监管系统（升级改造）</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用户主要分为监管用户与企业用户。</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监管用户范围包括：</w:t>
      </w:r>
      <w:r>
        <w:rPr>
          <w:rFonts w:hint="eastAsia" w:ascii="宋体" w:hAnsi="宋体" w:eastAsia="宋体" w:cs="仿宋"/>
          <w:sz w:val="24"/>
          <w:szCs w:val="24"/>
          <w:highlight w:val="none"/>
        </w:rPr>
        <w:t>上海市药监局、药监局稽查局、药监局直属单位、浦东新区市场局</w:t>
      </w:r>
      <w:r>
        <w:rPr>
          <w:rFonts w:hint="eastAsia" w:ascii="宋体" w:hAnsi="宋体" w:eastAsia="宋体"/>
          <w:sz w:val="24"/>
          <w:szCs w:val="24"/>
          <w:highlight w:val="none"/>
        </w:rPr>
        <w:t>，用户数量约200人，使用功能包括监管-加贴标签报告管理、监管-唯一标识管理、监管-监督检查管理。</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企业用户范围包括：浦东医疗器械进口代理人企业。预计每个企业一个账号，共计约需开300个企业账号，使用功能包括企业-加贴标签报告管理和企业-检查整改管理。</w:t>
      </w:r>
    </w:p>
    <w:p>
      <w:pPr>
        <w:pStyle w:val="136"/>
        <w:numPr>
          <w:ilvl w:val="0"/>
          <w:numId w:val="3"/>
        </w:numPr>
        <w:ind w:firstLineChars="0"/>
        <w:rPr>
          <w:rFonts w:hint="eastAsia" w:ascii="宋体" w:hAnsi="宋体" w:eastAsia="宋体"/>
          <w:b/>
          <w:bCs/>
          <w:sz w:val="24"/>
          <w:szCs w:val="24"/>
          <w:highlight w:val="none"/>
        </w:rPr>
      </w:pPr>
      <w:r>
        <w:rPr>
          <w:rFonts w:hint="eastAsia" w:ascii="宋体" w:hAnsi="宋体" w:eastAsia="宋体"/>
          <w:b/>
          <w:bCs/>
          <w:sz w:val="24"/>
          <w:szCs w:val="24"/>
          <w:highlight w:val="none"/>
        </w:rPr>
        <w:t>药械化案件管理系统（升级改造）</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用户为监管人员，监管用户范围包括：上海市药监局用户、上海市药品监督管理局稽查局、药监局直属单位用户，用户数量约100人。</w:t>
      </w:r>
    </w:p>
    <w:p>
      <w:pPr>
        <w:pStyle w:val="136"/>
        <w:numPr>
          <w:ilvl w:val="0"/>
          <w:numId w:val="3"/>
        </w:numPr>
        <w:ind w:firstLineChars="0"/>
        <w:rPr>
          <w:rFonts w:hint="eastAsia" w:ascii="宋体" w:hAnsi="宋体" w:eastAsia="宋体"/>
          <w:b/>
          <w:bCs/>
          <w:sz w:val="24"/>
          <w:szCs w:val="24"/>
          <w:highlight w:val="none"/>
        </w:rPr>
      </w:pPr>
      <w:r>
        <w:rPr>
          <w:rFonts w:hint="eastAsia" w:ascii="宋体" w:hAnsi="宋体" w:eastAsia="宋体"/>
          <w:b/>
          <w:bCs/>
          <w:sz w:val="24"/>
          <w:szCs w:val="24"/>
          <w:highlight w:val="none"/>
        </w:rPr>
        <w:t>药品咨询业务管理系统（升级改造）</w:t>
      </w:r>
    </w:p>
    <w:p>
      <w:pPr>
        <w:pStyle w:val="136"/>
        <w:ind w:firstLine="480"/>
        <w:rPr>
          <w:rFonts w:hint="eastAsia" w:ascii="宋体" w:hAnsi="宋体" w:eastAsia="宋体"/>
          <w:sz w:val="24"/>
          <w:szCs w:val="24"/>
          <w:highlight w:val="none"/>
        </w:rPr>
      </w:pPr>
      <w:r>
        <w:rPr>
          <w:rFonts w:hint="eastAsia" w:ascii="宋体" w:hAnsi="宋体" w:eastAsia="宋体"/>
          <w:sz w:val="24"/>
          <w:szCs w:val="24"/>
          <w:highlight w:val="none"/>
        </w:rPr>
        <w:t>用户为监管人员，监管用户范围包括：上海市药监局用户、药监局直属单位用户。用户数量约100人。</w:t>
      </w:r>
    </w:p>
    <w:p>
      <w:pPr>
        <w:pStyle w:val="3"/>
        <w:rPr>
          <w:rFonts w:hint="eastAsia"/>
          <w:highlight w:val="none"/>
        </w:rPr>
      </w:pPr>
      <w:r>
        <w:rPr>
          <w:rFonts w:hint="eastAsia"/>
          <w:highlight w:val="none"/>
        </w:rPr>
        <w:t>业务绩效目标</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药品（疫苗）追溯监管系统对高风险品种药品（血液制品、麻醉药品、精神药品、集采药品、生物制品、疫苗）单品单码追溯覆盖率达到100%</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全市对接药品（疫苗）追溯监管系统上报药品购进、销售信息的药品批发和连锁企业占比≥60%企业</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全市对接药品（疫苗）追溯监管系统上报药品购进、销售、库存、药师考勤和温湿度信息的药品零售企业占比≥30%企业</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通过上海市高风险医疗器械追溯监管系统实现进口器械加贴标签上报的企业</w:t>
      </w:r>
      <w:r>
        <w:rPr>
          <w:rFonts w:hint="eastAsia" w:asciiTheme="minorEastAsia" w:hAnsiTheme="minorEastAsia" w:eastAsiaTheme="minorEastAsia"/>
          <w:sz w:val="24"/>
          <w:szCs w:val="22"/>
          <w:highlight w:val="none"/>
        </w:rPr>
        <w:tab/>
      </w:r>
      <w:r>
        <w:rPr>
          <w:rFonts w:hint="eastAsia" w:asciiTheme="minorEastAsia" w:hAnsiTheme="minorEastAsia" w:eastAsiaTheme="minorEastAsia"/>
          <w:sz w:val="24"/>
          <w:szCs w:val="22"/>
          <w:highlight w:val="none"/>
        </w:rPr>
        <w:t>≥200家</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通过上海市高风险医疗器械追溯监管系统实现进口器械加贴标签上报的产品</w:t>
      </w:r>
      <w:r>
        <w:rPr>
          <w:rFonts w:hint="eastAsia" w:asciiTheme="minorEastAsia" w:hAnsiTheme="minorEastAsia" w:eastAsiaTheme="minorEastAsia"/>
          <w:sz w:val="24"/>
          <w:szCs w:val="22"/>
          <w:highlight w:val="none"/>
        </w:rPr>
        <w:tab/>
      </w:r>
      <w:r>
        <w:rPr>
          <w:rFonts w:hint="eastAsia" w:asciiTheme="minorEastAsia" w:hAnsiTheme="minorEastAsia" w:eastAsiaTheme="minorEastAsia"/>
          <w:sz w:val="24"/>
          <w:szCs w:val="22"/>
          <w:highlight w:val="none"/>
        </w:rPr>
        <w:t>≥5000种</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药监局各业务系统案件线索归集到药械化案件管理系统的归集率达到100%</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每年通过药械化案件管理系统推送到市场局处罚系统的案源信息条数≥100条</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窗口咨询工单办理在线流转处置占比100%</w:t>
      </w:r>
    </w:p>
    <w:p>
      <w:pPr>
        <w:pStyle w:val="136"/>
        <w:numPr>
          <w:ilvl w:val="0"/>
          <w:numId w:val="4"/>
        </w:numPr>
        <w:ind w:firstLineChars="0"/>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4"/>
          <w:highlight w:val="none"/>
        </w:rPr>
        <w:t>药品（含疫苗）长三角委托检查任务在线协同办理覆盖率达到 100%</w:t>
      </w:r>
    </w:p>
    <w:p>
      <w:pPr>
        <w:pStyle w:val="3"/>
        <w:rPr>
          <w:rFonts w:hint="eastAsia"/>
          <w:highlight w:val="none"/>
        </w:rPr>
      </w:pPr>
      <w:r>
        <w:rPr>
          <w:rFonts w:hint="eastAsia"/>
          <w:highlight w:val="none"/>
        </w:rPr>
        <w:t>技术绩效目标</w:t>
      </w:r>
    </w:p>
    <w:p>
      <w:pPr>
        <w:pStyle w:val="136"/>
        <w:numPr>
          <w:ilvl w:val="0"/>
          <w:numId w:val="4"/>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软件开发完成率100%</w:t>
      </w:r>
    </w:p>
    <w:p>
      <w:pPr>
        <w:pStyle w:val="136"/>
        <w:numPr>
          <w:ilvl w:val="0"/>
          <w:numId w:val="4"/>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系统可靠性100%</w:t>
      </w:r>
    </w:p>
    <w:p>
      <w:pPr>
        <w:pStyle w:val="136"/>
        <w:numPr>
          <w:ilvl w:val="0"/>
          <w:numId w:val="4"/>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软件测试达标</w:t>
      </w:r>
    </w:p>
    <w:p>
      <w:pPr>
        <w:pStyle w:val="136"/>
        <w:numPr>
          <w:ilvl w:val="0"/>
          <w:numId w:val="4"/>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密码测试达标</w:t>
      </w:r>
    </w:p>
    <w:p>
      <w:pPr>
        <w:pStyle w:val="136"/>
        <w:numPr>
          <w:ilvl w:val="0"/>
          <w:numId w:val="4"/>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安全测试达标</w:t>
      </w:r>
    </w:p>
    <w:p>
      <w:pPr>
        <w:ind w:firstLine="482"/>
        <w:rPr>
          <w:rFonts w:hint="eastAsia"/>
          <w:b/>
          <w:highlight w:val="none"/>
        </w:rPr>
      </w:pPr>
    </w:p>
    <w:p>
      <w:pPr>
        <w:pStyle w:val="2"/>
        <w:rPr>
          <w:rFonts w:hint="eastAsia"/>
          <w:highlight w:val="none"/>
        </w:rPr>
      </w:pPr>
      <w:bookmarkStart w:id="11" w:name="_Toc47536304"/>
      <w:bookmarkEnd w:id="11"/>
      <w:bookmarkStart w:id="12" w:name="_Toc47536676"/>
      <w:bookmarkEnd w:id="12"/>
      <w:bookmarkStart w:id="13" w:name="_Toc47537166"/>
      <w:bookmarkEnd w:id="13"/>
      <w:bookmarkStart w:id="14" w:name="_Toc47539102"/>
      <w:bookmarkEnd w:id="14"/>
      <w:bookmarkStart w:id="15" w:name="_Toc47532923"/>
      <w:bookmarkEnd w:id="15"/>
      <w:bookmarkStart w:id="16" w:name="_Toc47533288"/>
      <w:bookmarkEnd w:id="16"/>
      <w:r>
        <w:rPr>
          <w:rFonts w:hint="eastAsia"/>
          <w:highlight w:val="none"/>
        </w:rPr>
        <w:t>项目建设内容</w:t>
      </w:r>
    </w:p>
    <w:p>
      <w:pPr>
        <w:pStyle w:val="3"/>
        <w:rPr>
          <w:rFonts w:hint="eastAsia"/>
          <w:highlight w:val="none"/>
        </w:rPr>
      </w:pPr>
      <w:r>
        <w:rPr>
          <w:rFonts w:hint="eastAsia"/>
          <w:highlight w:val="none"/>
        </w:rPr>
        <w:t>项目建设内容</w:t>
      </w:r>
    </w:p>
    <w:p>
      <w:pPr>
        <w:pStyle w:val="4"/>
        <w:rPr>
          <w:rFonts w:hint="eastAsia"/>
          <w:highlight w:val="none"/>
        </w:rPr>
      </w:pPr>
      <w:r>
        <w:rPr>
          <w:highlight w:val="none"/>
        </w:rPr>
        <w:t>药品（疫苗）追溯监管系统</w:t>
      </w:r>
      <w:r>
        <w:rPr>
          <w:rFonts w:hint="eastAsia"/>
          <w:highlight w:val="none"/>
        </w:rPr>
        <w:t>（</w:t>
      </w:r>
      <w:r>
        <w:rPr>
          <w:highlight w:val="none"/>
        </w:rPr>
        <w:t>升级改造</w:t>
      </w:r>
      <w:r>
        <w:rPr>
          <w:rFonts w:hint="eastAsia"/>
          <w:highlight w:val="none"/>
        </w:rPr>
        <w:t>）</w:t>
      </w:r>
    </w:p>
    <w:p>
      <w:pPr>
        <w:rPr>
          <w:rFonts w:hint="eastAsia" w:cs="仿宋" w:asciiTheme="majorEastAsia" w:hAnsiTheme="majorEastAsia" w:eastAsiaTheme="majorEastAsia"/>
          <w:highlight w:val="none"/>
        </w:rPr>
      </w:pPr>
      <w:r>
        <w:rPr>
          <w:rFonts w:hint="eastAsia" w:cs="仿宋" w:asciiTheme="majorEastAsia" w:hAnsiTheme="majorEastAsia" w:eastAsiaTheme="majorEastAsia"/>
          <w:highlight w:val="none"/>
        </w:rPr>
        <w:t>2024年2月国家药品监督管理局印发《省级药品智慧监管重点任务清单（2024—2025）的通知》，推动各省级药品监督管理局进一步建设智慧监管能力，明确提出积极开展追溯体系建设的任务要求，要求能够建设省级药品追溯监管系统，加强追溯监管，实现本辖区内追溯信息的汇集、管理、分析和预警，深入挖掘追溯数据价值，发挥追溯大数据在日常监管、风险防控、产品召回、应急处置等工作中的作用。</w:t>
      </w:r>
    </w:p>
    <w:p>
      <w:pPr>
        <w:rPr>
          <w:rFonts w:hint="eastAsia" w:cs="仿宋" w:asciiTheme="majorEastAsia" w:hAnsiTheme="majorEastAsia" w:eastAsiaTheme="majorEastAsia"/>
          <w:highlight w:val="none"/>
        </w:rPr>
      </w:pPr>
      <w:r>
        <w:rPr>
          <w:rFonts w:hint="eastAsia" w:cs="仿宋" w:asciiTheme="majorEastAsia" w:hAnsiTheme="majorEastAsia" w:eastAsiaTheme="majorEastAsia"/>
          <w:highlight w:val="none"/>
        </w:rPr>
        <w:t>本次系统升级改造将药品追溯监管相关系统进行整合，并依托药品企业上报的疫苗和重点药品单品单码追溯数据、全量药品的批次流通数据和药品零售的进销存数据进行追溯分析监管和监测预警，增加长三角协同监管实现检查任务的协同管理和检查结果的共享。</w:t>
      </w:r>
    </w:p>
    <w:p>
      <w:pPr>
        <w:pStyle w:val="4"/>
        <w:rPr>
          <w:rFonts w:hint="eastAsia"/>
          <w:highlight w:val="none"/>
        </w:rPr>
      </w:pPr>
      <w:r>
        <w:rPr>
          <w:rFonts w:hint="eastAsia"/>
          <w:highlight w:val="none"/>
        </w:rPr>
        <w:t>上海市高风险医疗器械追溯监管系统（升级改造）</w:t>
      </w:r>
    </w:p>
    <w:p>
      <w:pPr>
        <w:rPr>
          <w:rFonts w:hint="eastAsia" w:cs="仿宋" w:asciiTheme="majorEastAsia" w:hAnsiTheme="majorEastAsia" w:eastAsiaTheme="majorEastAsia"/>
          <w:highlight w:val="none"/>
        </w:rPr>
      </w:pPr>
      <w:r>
        <w:rPr>
          <w:rFonts w:hint="eastAsia" w:cs="仿宋" w:asciiTheme="majorEastAsia" w:hAnsiTheme="majorEastAsia" w:eastAsiaTheme="majorEastAsia"/>
          <w:highlight w:val="none"/>
        </w:rPr>
        <w:t>本项目将对上海市高风险医疗器械追溯监管系统进行升级改造，新建加贴标签报告管理、唯一标识管理、监督检查管理及数据共享模块，实现为境内代理人企业提供规范的产品加贴标签报告的上报服务，为监管部门提供完善的进口产品加贴标签管理、医疗器械唯一标识核验及企业贴标行为的监督检查能力，同时建立与海关的信息共享机制，协助海关完成通关及检验监管，为医疗器械进口提供便利。</w:t>
      </w:r>
    </w:p>
    <w:p>
      <w:pPr>
        <w:pStyle w:val="4"/>
        <w:rPr>
          <w:rFonts w:hint="eastAsia"/>
          <w:highlight w:val="none"/>
        </w:rPr>
      </w:pPr>
      <w:r>
        <w:rPr>
          <w:rFonts w:hint="eastAsia"/>
          <w:highlight w:val="none"/>
        </w:rPr>
        <w:t>药械化案件管理系统（</w:t>
      </w:r>
      <w:r>
        <w:rPr>
          <w:highlight w:val="none"/>
        </w:rPr>
        <w:t>升级改造</w:t>
      </w:r>
      <w:r>
        <w:rPr>
          <w:rFonts w:hint="eastAsia"/>
          <w:highlight w:val="none"/>
        </w:rPr>
        <w:t>）</w:t>
      </w:r>
    </w:p>
    <w:p>
      <w:pPr>
        <w:rPr>
          <w:rFonts w:hint="eastAsia" w:cs="仿宋" w:asciiTheme="majorEastAsia" w:hAnsiTheme="majorEastAsia" w:eastAsiaTheme="majorEastAsia"/>
          <w:highlight w:val="none"/>
        </w:rPr>
      </w:pPr>
      <w:r>
        <w:rPr>
          <w:rFonts w:hint="eastAsia" w:cs="仿宋" w:asciiTheme="majorEastAsia" w:hAnsiTheme="majorEastAsia" w:eastAsiaTheme="majorEastAsia"/>
          <w:highlight w:val="none"/>
        </w:rPr>
        <w:t>新建案由库管理，将药械化案件管理系统的案由库替换为与市场监管行政处罚系统违法行为字典库并实施对接更新，确保案件案由数据落地准确。新建违法违规线索管理，增加违法违规线索（含协助调查函）的归集、录入、分派和办理结果反馈收集，实现违法违规线索销号管理。新建禁业管理，通过智能数据分析，提高落地案件数据文本分析提取技术，确定禁业禁止、限制许可备案等关联影响许可监管业务，提高应用水平。</w:t>
      </w:r>
    </w:p>
    <w:p>
      <w:pPr>
        <w:pStyle w:val="4"/>
        <w:rPr>
          <w:rFonts w:hint="eastAsia"/>
          <w:highlight w:val="none"/>
        </w:rPr>
      </w:pPr>
      <w:r>
        <w:rPr>
          <w:rFonts w:hint="eastAsia"/>
          <w:highlight w:val="none"/>
        </w:rPr>
        <w:t>药品咨询业务管理系统（</w:t>
      </w:r>
      <w:r>
        <w:rPr>
          <w:highlight w:val="none"/>
        </w:rPr>
        <w:t>升级改造</w:t>
      </w:r>
      <w:r>
        <w:rPr>
          <w:rFonts w:hint="eastAsia"/>
          <w:highlight w:val="none"/>
        </w:rPr>
        <w:t>）</w:t>
      </w:r>
    </w:p>
    <w:p>
      <w:pPr>
        <w:rPr>
          <w:rFonts w:hint="eastAsia" w:cs="仿宋" w:asciiTheme="majorEastAsia" w:hAnsiTheme="majorEastAsia" w:eastAsiaTheme="majorEastAsia"/>
          <w:highlight w:val="none"/>
        </w:rPr>
      </w:pPr>
      <w:r>
        <w:rPr>
          <w:rFonts w:hint="eastAsia" w:cs="仿宋" w:asciiTheme="majorEastAsia" w:hAnsiTheme="majorEastAsia" w:eastAsiaTheme="majorEastAsia"/>
          <w:highlight w:val="none"/>
        </w:rPr>
        <w:t>升级</w:t>
      </w:r>
      <w:bookmarkStart w:id="17" w:name="_Hlk176508835"/>
      <w:r>
        <w:rPr>
          <w:rFonts w:hint="eastAsia" w:cs="仿宋" w:asciiTheme="majorEastAsia" w:hAnsiTheme="majorEastAsia" w:eastAsiaTheme="majorEastAsia"/>
          <w:highlight w:val="none"/>
        </w:rPr>
        <w:t>投诉举报工单办理程序，为投诉工单、举报工单和咨询工单分别建设独立的工单办理流程，并配套建设独立的工单办理、暂停办理、工单延期等功能。</w:t>
      </w:r>
      <w:bookmarkEnd w:id="17"/>
    </w:p>
    <w:p>
      <w:pPr>
        <w:rPr>
          <w:rFonts w:hint="eastAsia" w:cs="仿宋" w:asciiTheme="majorEastAsia" w:hAnsiTheme="majorEastAsia" w:eastAsiaTheme="majorEastAsia"/>
          <w:highlight w:val="none"/>
        </w:rPr>
      </w:pPr>
      <w:r>
        <w:rPr>
          <w:rFonts w:hint="eastAsia" w:cs="仿宋" w:asciiTheme="majorEastAsia" w:hAnsiTheme="majorEastAsia" w:eastAsiaTheme="majorEastAsia"/>
          <w:highlight w:val="none"/>
        </w:rPr>
        <w:t>增加和市场局数字化试验区（一期）建设的消费者权益保护子系统的实时双向数据对接，实现投诉举报工单的自动接收、退单和延期的在线办理、工单办结后办理结果的自动实时反馈。</w:t>
      </w:r>
    </w:p>
    <w:p>
      <w:pPr>
        <w:pStyle w:val="3"/>
        <w:rPr>
          <w:rFonts w:hint="eastAsia"/>
          <w:highlight w:val="none"/>
        </w:rPr>
        <w:sectPr>
          <w:type w:val="continuous"/>
          <w:pgSz w:w="11906" w:h="16838"/>
          <w:pgMar w:top="1440" w:right="1797" w:bottom="1440" w:left="1797" w:header="851" w:footer="992" w:gutter="0"/>
          <w:cols w:space="425" w:num="1"/>
          <w:docGrid w:type="linesAndChars" w:linePitch="312" w:charSpace="0"/>
        </w:sectPr>
      </w:pPr>
    </w:p>
    <w:p>
      <w:pPr>
        <w:pStyle w:val="3"/>
        <w:rPr>
          <w:rFonts w:hint="eastAsia"/>
          <w:highlight w:val="none"/>
        </w:rPr>
      </w:pPr>
      <w:r>
        <w:rPr>
          <w:rFonts w:hint="eastAsia"/>
          <w:highlight w:val="none"/>
        </w:rPr>
        <w:t>系统架构图</w:t>
      </w:r>
    </w:p>
    <w:p>
      <w:pPr>
        <w:pStyle w:val="4"/>
        <w:rPr>
          <w:rFonts w:hint="eastAsia"/>
          <w:highlight w:val="none"/>
        </w:rPr>
      </w:pPr>
      <w:r>
        <w:rPr>
          <w:highlight w:val="none"/>
        </w:rPr>
        <w:t>药品（疫苗）追溯监管系统</w:t>
      </w:r>
      <w:r>
        <w:rPr>
          <w:rFonts w:hint="eastAsia"/>
          <w:highlight w:val="none"/>
        </w:rPr>
        <w:t>（</w:t>
      </w:r>
      <w:r>
        <w:rPr>
          <w:highlight w:val="none"/>
        </w:rPr>
        <w:t>升级改造</w:t>
      </w:r>
      <w:r>
        <w:rPr>
          <w:rFonts w:hint="eastAsia"/>
          <w:highlight w:val="none"/>
        </w:rPr>
        <w:t>）</w:t>
      </w:r>
    </w:p>
    <w:p>
      <w:pPr>
        <w:pStyle w:val="136"/>
        <w:ind w:firstLine="0" w:firstLineChars="0"/>
        <w:rPr>
          <w:rFonts w:hint="eastAsia"/>
          <w:highlight w:val="none"/>
        </w:rPr>
      </w:pPr>
      <w:r>
        <w:rPr>
          <w:highlight w:val="none"/>
        </w:rPr>
        <w:drawing>
          <wp:inline distT="0" distB="0" distL="0" distR="0">
            <wp:extent cx="8141335" cy="3406775"/>
            <wp:effectExtent l="0" t="0" r="0" b="3175"/>
            <wp:docPr id="1168669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669068"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8145479" cy="3408636"/>
                    </a:xfrm>
                    <a:prstGeom prst="rect">
                      <a:avLst/>
                    </a:prstGeom>
                    <a:noFill/>
                    <a:ln>
                      <a:noFill/>
                    </a:ln>
                  </pic:spPr>
                </pic:pic>
              </a:graphicData>
            </a:graphic>
          </wp:inline>
        </w:drawing>
      </w:r>
    </w:p>
    <w:p>
      <w:pPr>
        <w:pStyle w:val="4"/>
        <w:rPr>
          <w:rFonts w:hint="eastAsia"/>
          <w:highlight w:val="none"/>
        </w:rPr>
      </w:pPr>
      <w:r>
        <w:rPr>
          <w:rFonts w:hint="eastAsia"/>
          <w:highlight w:val="none"/>
        </w:rPr>
        <w:t>上海市高风险医疗器械追溯监管系统（升级改造）</w:t>
      </w:r>
    </w:p>
    <w:p>
      <w:pPr>
        <w:pStyle w:val="136"/>
        <w:ind w:firstLine="0" w:firstLineChars="0"/>
        <w:rPr>
          <w:rFonts w:hint="eastAsia" w:ascii="楷体" w:hAnsi="楷体" w:eastAsia="楷体"/>
          <w:sz w:val="24"/>
          <w:szCs w:val="24"/>
          <w:highlight w:val="none"/>
        </w:rPr>
      </w:pPr>
      <w:r>
        <w:rPr>
          <w:rFonts w:hint="eastAsia" w:ascii="楷体" w:hAnsi="楷体" w:eastAsia="楷体"/>
          <w:sz w:val="24"/>
          <w:szCs w:val="24"/>
          <w:highlight w:val="none"/>
        </w:rPr>
        <w:object>
          <v:shape id="_x0000_i1025" o:spt="75" type="#_x0000_t75" style="height:364.5pt;width:651pt;" o:ole="t" filled="f" o:preferrelative="t" stroked="f" coordsize="21600,21600">
            <v:path/>
            <v:fill on="f" focussize="0,0"/>
            <v:stroke on="f" joinstyle="miter"/>
            <v:imagedata r:id="rId15" o:title=""/>
            <o:lock v:ext="edit" aspectratio="f"/>
            <w10:wrap type="none"/>
            <w10:anchorlock/>
          </v:shape>
          <o:OLEObject Type="Embed" ProgID="Visio.Drawing.15" ShapeID="_x0000_i1025" DrawAspect="Content" ObjectID="_1468075725" r:id="rId14">
            <o:LockedField>false</o:LockedField>
          </o:OLEObject>
        </w:object>
      </w:r>
    </w:p>
    <w:p>
      <w:pPr>
        <w:pStyle w:val="136"/>
        <w:ind w:firstLine="560"/>
        <w:rPr>
          <w:rFonts w:hint="eastAsia"/>
          <w:highlight w:val="none"/>
        </w:rPr>
        <w:sectPr>
          <w:type w:val="continuous"/>
          <w:pgSz w:w="16838" w:h="11906" w:orient="landscape"/>
          <w:pgMar w:top="1797" w:right="1440" w:bottom="1797" w:left="1440" w:header="851" w:footer="992" w:gutter="0"/>
          <w:cols w:space="425" w:num="1"/>
          <w:docGrid w:type="lines" w:linePitch="312" w:charSpace="0"/>
        </w:sectPr>
      </w:pPr>
    </w:p>
    <w:p>
      <w:pPr>
        <w:pStyle w:val="4"/>
        <w:rPr>
          <w:rFonts w:hint="eastAsia"/>
          <w:highlight w:val="none"/>
        </w:rPr>
      </w:pPr>
      <w:r>
        <w:rPr>
          <w:rFonts w:hint="eastAsia"/>
          <w:highlight w:val="none"/>
        </w:rPr>
        <w:t>药械化案件管理系统（</w:t>
      </w:r>
      <w:r>
        <w:rPr>
          <w:highlight w:val="none"/>
        </w:rPr>
        <w:t>升级改造</w:t>
      </w:r>
      <w:r>
        <w:rPr>
          <w:rFonts w:hint="eastAsia"/>
          <w:highlight w:val="none"/>
        </w:rPr>
        <w:t>）</w:t>
      </w:r>
    </w:p>
    <w:p>
      <w:pPr>
        <w:pStyle w:val="136"/>
        <w:ind w:firstLine="0" w:firstLineChars="0"/>
        <w:rPr>
          <w:rFonts w:hint="eastAsia"/>
          <w:highlight w:val="none"/>
        </w:rPr>
      </w:pPr>
      <w:r>
        <w:rPr>
          <w:highlight w:val="none"/>
        </w:rPr>
        <w:drawing>
          <wp:inline distT="0" distB="0" distL="0" distR="0">
            <wp:extent cx="5274310" cy="3171190"/>
            <wp:effectExtent l="0" t="0" r="2540" b="0"/>
            <wp:docPr id="16105886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588664"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74310" cy="3171190"/>
                    </a:xfrm>
                    <a:prstGeom prst="rect">
                      <a:avLst/>
                    </a:prstGeom>
                    <a:noFill/>
                    <a:ln>
                      <a:noFill/>
                    </a:ln>
                  </pic:spPr>
                </pic:pic>
              </a:graphicData>
            </a:graphic>
          </wp:inline>
        </w:drawing>
      </w:r>
    </w:p>
    <w:p>
      <w:pPr>
        <w:pStyle w:val="4"/>
        <w:rPr>
          <w:rFonts w:hint="eastAsia"/>
          <w:highlight w:val="none"/>
        </w:rPr>
      </w:pPr>
      <w:r>
        <w:rPr>
          <w:rFonts w:hint="eastAsia"/>
          <w:highlight w:val="none"/>
        </w:rPr>
        <w:t>药品咨询业务管理系统（</w:t>
      </w:r>
      <w:r>
        <w:rPr>
          <w:highlight w:val="none"/>
        </w:rPr>
        <w:t>升级改造</w:t>
      </w:r>
      <w:r>
        <w:rPr>
          <w:rFonts w:hint="eastAsia"/>
          <w:highlight w:val="none"/>
        </w:rPr>
        <w:t>）</w:t>
      </w:r>
    </w:p>
    <w:p>
      <w:pPr>
        <w:pStyle w:val="136"/>
        <w:ind w:firstLine="0" w:firstLineChars="0"/>
        <w:rPr>
          <w:rFonts w:hint="eastAsia"/>
          <w:highlight w:val="none"/>
        </w:rPr>
      </w:pPr>
      <w:r>
        <w:rPr>
          <w:rFonts w:hint="eastAsia"/>
          <w:highlight w:val="none"/>
        </w:rPr>
        <w:object>
          <v:shape id="_x0000_i1026" o:spt="75" type="#_x0000_t75" style="height:280.5pt;width:414.75pt;" o:ole="t" filled="f" o:preferrelative="t" stroked="f" coordsize="21600,21600">
            <v:path/>
            <v:fill on="f" focussize="0,0"/>
            <v:stroke on="f" joinstyle="miter"/>
            <v:imagedata r:id="rId18" o:title=""/>
            <o:lock v:ext="edit" aspectratio="f"/>
            <w10:wrap type="none"/>
            <w10:anchorlock/>
          </v:shape>
          <o:OLEObject Type="Embed" ProgID="Visio.Drawing.15" ShapeID="_x0000_i1026" DrawAspect="Content" ObjectID="_1468075726" r:id="rId17">
            <o:LockedField>false</o:LockedField>
          </o:OLEObject>
        </w:object>
      </w:r>
    </w:p>
    <w:p>
      <w:pPr>
        <w:pStyle w:val="136"/>
        <w:ind w:firstLine="560"/>
        <w:rPr>
          <w:rFonts w:hint="eastAsia"/>
          <w:highlight w:val="none"/>
        </w:rPr>
      </w:pPr>
    </w:p>
    <w:p>
      <w:pPr>
        <w:widowControl/>
        <w:snapToGrid w:val="0"/>
        <w:spacing w:line="440" w:lineRule="exact"/>
        <w:ind w:firstLine="482"/>
        <w:jc w:val="left"/>
        <w:rPr>
          <w:rFonts w:hint="eastAsia"/>
          <w:b/>
          <w:highlight w:val="none"/>
        </w:rPr>
      </w:pPr>
    </w:p>
    <w:p>
      <w:pPr>
        <w:pStyle w:val="3"/>
        <w:rPr>
          <w:rFonts w:hint="eastAsia"/>
          <w:highlight w:val="none"/>
        </w:rPr>
      </w:pPr>
      <w:r>
        <w:rPr>
          <w:rFonts w:hint="eastAsia"/>
          <w:highlight w:val="none"/>
        </w:rPr>
        <w:t>部署环境和网络拓扑</w:t>
      </w:r>
    </w:p>
    <w:p>
      <w:pPr>
        <w:rPr>
          <w:rFonts w:hint="eastAsia"/>
          <w:highlight w:val="none"/>
        </w:rPr>
      </w:pPr>
      <w:r>
        <w:rPr>
          <w:rFonts w:hint="eastAsia"/>
          <w:highlight w:val="none"/>
        </w:rPr>
        <w:t>本项目依托上海市电子政务云平台部署，主体部署在政务外网，并通过政务外网和互联网分别面向政府部门和企业公众提供访问。</w:t>
      </w:r>
    </w:p>
    <w:p>
      <w:pPr>
        <w:ind w:firstLine="0" w:firstLineChars="0"/>
        <w:rPr>
          <w:rFonts w:hint="eastAsia"/>
          <w:highlight w:val="none"/>
        </w:rPr>
      </w:pPr>
      <w:r>
        <w:rPr>
          <w:highlight w:val="none"/>
        </w:rPr>
        <w:object>
          <v:shape id="_x0000_i1027" o:spt="75" type="#_x0000_t75" style="height:198.75pt;width:417.75pt;" o:ole="t" filled="f" o:preferrelative="t" stroked="f" coordsize="21600,21600">
            <v:path/>
            <v:fill on="f" focussize="0,0"/>
            <v:stroke on="f" joinstyle="miter"/>
            <v:imagedata r:id="rId20" o:title=""/>
            <o:lock v:ext="edit" aspectratio="t"/>
            <w10:wrap type="none"/>
            <w10:anchorlock/>
          </v:shape>
          <o:OLEObject Type="Embed" ProgID="Visio.Drawing.15" ShapeID="_x0000_i1027" DrawAspect="Content" ObjectID="_1468075727" r:id="rId19">
            <o:LockedField>false</o:LockedField>
          </o:OLEObject>
        </w:object>
      </w:r>
    </w:p>
    <w:p>
      <w:pPr>
        <w:rPr>
          <w:rFonts w:hint="eastAsia"/>
          <w:highlight w:val="none"/>
        </w:rPr>
      </w:pPr>
    </w:p>
    <w:p>
      <w:pPr>
        <w:pStyle w:val="3"/>
        <w:rPr>
          <w:rFonts w:hint="eastAsia"/>
          <w:highlight w:val="none"/>
        </w:rPr>
      </w:pPr>
      <w:r>
        <w:rPr>
          <w:rFonts w:hint="eastAsia"/>
          <w:highlight w:val="none"/>
        </w:rPr>
        <w:t>技术指标</w:t>
      </w:r>
    </w:p>
    <w:p>
      <w:pPr>
        <w:pStyle w:val="136"/>
        <w:numPr>
          <w:ilvl w:val="0"/>
          <w:numId w:val="5"/>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同时在线用户数≥20</w:t>
      </w:r>
      <w:r>
        <w:rPr>
          <w:rFonts w:asciiTheme="minorEastAsia" w:hAnsiTheme="minorEastAsia" w:eastAsiaTheme="minorEastAsia"/>
          <w:sz w:val="24"/>
          <w:szCs w:val="24"/>
          <w:highlight w:val="none"/>
        </w:rPr>
        <w:t>0</w:t>
      </w:r>
      <w:r>
        <w:rPr>
          <w:rFonts w:hint="eastAsia" w:asciiTheme="minorEastAsia" w:hAnsiTheme="minorEastAsia" w:eastAsiaTheme="minorEastAsia"/>
          <w:sz w:val="24"/>
          <w:szCs w:val="24"/>
          <w:highlight w:val="none"/>
        </w:rPr>
        <w:t>；</w:t>
      </w:r>
    </w:p>
    <w:p>
      <w:pPr>
        <w:pStyle w:val="136"/>
        <w:numPr>
          <w:ilvl w:val="0"/>
          <w:numId w:val="5"/>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并发用户数≥5</w:t>
      </w:r>
      <w:r>
        <w:rPr>
          <w:rFonts w:asciiTheme="minorEastAsia" w:hAnsiTheme="minorEastAsia" w:eastAsiaTheme="minorEastAsia"/>
          <w:sz w:val="24"/>
          <w:szCs w:val="24"/>
          <w:highlight w:val="none"/>
        </w:rPr>
        <w:t>0</w:t>
      </w:r>
      <w:r>
        <w:rPr>
          <w:rFonts w:hint="eastAsia" w:asciiTheme="minorEastAsia" w:hAnsiTheme="minorEastAsia" w:eastAsiaTheme="minorEastAsia"/>
          <w:sz w:val="24"/>
          <w:szCs w:val="24"/>
          <w:highlight w:val="none"/>
        </w:rPr>
        <w:t>；</w:t>
      </w:r>
    </w:p>
    <w:p>
      <w:pPr>
        <w:pStyle w:val="136"/>
        <w:numPr>
          <w:ilvl w:val="0"/>
          <w:numId w:val="5"/>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系统登录时间≤1秒；</w:t>
      </w:r>
    </w:p>
    <w:p>
      <w:pPr>
        <w:pStyle w:val="136"/>
        <w:numPr>
          <w:ilvl w:val="0"/>
          <w:numId w:val="5"/>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一般查询和写入操作响应时间（</w:t>
      </w:r>
      <w:r>
        <w:rPr>
          <w:rFonts w:asciiTheme="minorEastAsia" w:hAnsiTheme="minorEastAsia" w:eastAsiaTheme="minorEastAsia"/>
          <w:sz w:val="24"/>
          <w:szCs w:val="24"/>
          <w:highlight w:val="none"/>
        </w:rPr>
        <w:t>90%</w:t>
      </w:r>
      <w:r>
        <w:rPr>
          <w:rFonts w:hint="eastAsia" w:asciiTheme="minorEastAsia" w:hAnsiTheme="minorEastAsia" w:eastAsiaTheme="minorEastAsia"/>
          <w:sz w:val="24"/>
          <w:szCs w:val="24"/>
          <w:highlight w:val="none"/>
        </w:rPr>
        <w:t>的操作页面）≤3秒；</w:t>
      </w:r>
    </w:p>
    <w:p>
      <w:pPr>
        <w:pStyle w:val="136"/>
        <w:numPr>
          <w:ilvl w:val="0"/>
          <w:numId w:val="5"/>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搜索类操作响应时间≤5秒；</w:t>
      </w:r>
    </w:p>
    <w:p>
      <w:pPr>
        <w:pStyle w:val="136"/>
        <w:numPr>
          <w:ilvl w:val="0"/>
          <w:numId w:val="5"/>
        </w:numPr>
        <w:ind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响应时间较长的操作页面应显示进度条。</w:t>
      </w:r>
    </w:p>
    <w:p>
      <w:pPr>
        <w:widowControl/>
        <w:snapToGrid w:val="0"/>
        <w:spacing w:line="440" w:lineRule="exact"/>
        <w:ind w:firstLine="442"/>
        <w:jc w:val="left"/>
        <w:rPr>
          <w:rFonts w:hint="eastAsia" w:asciiTheme="minorEastAsia" w:hAnsiTheme="minorEastAsia" w:eastAsiaTheme="minorEastAsia"/>
          <w:b/>
          <w:sz w:val="22"/>
          <w:szCs w:val="22"/>
          <w:highlight w:val="none"/>
        </w:rPr>
      </w:pPr>
    </w:p>
    <w:p>
      <w:pPr>
        <w:pStyle w:val="3"/>
        <w:rPr>
          <w:rFonts w:hint="eastAsia"/>
          <w:highlight w:val="none"/>
        </w:rPr>
      </w:pPr>
      <w:r>
        <w:rPr>
          <w:rFonts w:hint="eastAsia"/>
          <w:highlight w:val="none"/>
        </w:rPr>
        <w:t>软件开发清单</w:t>
      </w:r>
    </w:p>
    <w:tbl>
      <w:tblPr>
        <w:tblStyle w:val="3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90"/>
        <w:gridCol w:w="1743"/>
        <w:gridCol w:w="4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000000" w:fill="F3F8FC"/>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序号</w:t>
            </w:r>
          </w:p>
        </w:tc>
        <w:tc>
          <w:tcPr>
            <w:tcW w:w="1790" w:type="dxa"/>
            <w:shd w:val="clear" w:color="000000" w:fill="F3F8FC"/>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应用系统名称</w:t>
            </w:r>
          </w:p>
        </w:tc>
        <w:tc>
          <w:tcPr>
            <w:tcW w:w="1743" w:type="dxa"/>
            <w:shd w:val="clear" w:color="000000" w:fill="F3F8FC"/>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模块名称</w:t>
            </w:r>
          </w:p>
        </w:tc>
        <w:tc>
          <w:tcPr>
            <w:tcW w:w="4122" w:type="dxa"/>
            <w:shd w:val="clear" w:color="000000" w:fill="F3F8FC"/>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模块描述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现有系统整合-现有系统整合</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针对药品追溯监管的主要业务为重点品种药品及疫苗的追溯监管、普通药品的批次流通监管和药店药品零售远程监管，目前这三块业务分别由药品（疫苗）追溯监管系统、药品实时监控系统和药品零售远程动态监管系统承载相关功能，本次升级改造将进行系统整合，将药品实时监控系统和药品零售远程动态监管系统中现有的全部功能都以重新开发的方式整合到药品（疫苗）追溯监管系统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药品及疫苗追溯监管-重点药品保障管理-批发和连锁企业数据上报</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实现连锁企业在线进行特殊重点品种的每日销量、库存、缺货信息的在线填报，批发企业进行全量重点品种的每日库存、缺货信息的批量导入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药品及疫苗追溯监管-重点药品保障管理-企业上报管理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实现监管人员实时查看各类企业每天的数据上报情况，方便对未上报企业进行及时催报，也可以进行数据查看和导出各类明细、汇总、环比等数据，并支持导出卫健委需要上报的报表。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药品及疫苗追溯监管-重点药品保障管理-供应保障信息统计</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提供监管人员按天进行重点品种的日销量、总库存、警戒柱的统计，以柱状图显示。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药品及疫苗追溯监管-药品流通预警监测管理-药品排行统计</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通过自动汇总药品零售远程动态监管平台企业前置机数据，实现全部药品、疫情防控药品销量排行情况的自动统计，可以统计出上日销量、每周销量、每月销量、近三个月销量、近半年销量、近一年销量的前20名药品。</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通过自动分析上海药店的药品查询数据，实现药品查询排行情况的自动统计，可以统计出上日销量、每周销量、每月销量、近三个月销量、近半年销量、近一年销量的前20名药品。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药品及疫苗追溯监管-重点品种药品追溯-单品单码追溯</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实现重点品种药品从生产、批发到零售的等全业务链路的追溯，可以查看药品基本信息和各环节相关企业的许可、监管信息和药品流通信息。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7</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药品及疫苗追溯监管-重点品种药品追溯-药品批次分布</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重点品种批次药品当前在上海各个环节的库存分布数量的实时查询，包括生产企业库存、批发企业库存、连锁总部库存、零售门店库存、医疗机构到货等，并可以详细查看每家企业涉及当前药品的发货和收货单据详情，协助监管人员能够进行快速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8</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药品及疫苗追溯监管-追溯分析监管-单品单码追溯链缺链分析</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系统对重点品种药品的单品单码追溯链自动进行是否缺链分析并产生各类追溯异常信息，确保单品药品从生产到批发、最终到零售或医院都能全链条完整追溯。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主要分析规则包括：1）上海生产的药品追溯链要从生产节点开始，外地生产的从批发企业收货节点开始；2）上游的发货和下游的收货要一一对应，下游有收货时必须要有上游的发货。</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产生的主要异常信息包括：1）生产企业未上报生产数据；2）批发或连锁企业未上报收货数据；3）批发或连锁企业未上报发货数据。</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产生的相关异常信息可以进行统一处置，同时也会实时推送到药械化行政检查管理系统中，方便监管人员快速了解相关企业的异常信息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9</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药品及疫苗追溯监管-追溯分析监管-单品单码追溯链信息不完整分析</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系统对重点品种药品的单品单码追溯链自动进行信息准确性和完整性分析并产生各类追溯异常信息，确保追溯链信息的准确可靠。</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主要分析规则包括：1）每一级的上游发货和下游收货的时间要符合先后顺序；2）每一级的追溯信息要有完整药品基本信息和生产信息，如批准文号、生产厂家、收货地址等。</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产生的主要异常信息包括：1）下游收货时间早于上游发货时间；2）收货及发货信息不完整；3)收货及发货信息不正确。</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产生的相关异常信息可以进行统一处置，同时也会实时推送到药械化行政检查管理系统中，方便监管人员快速了解相关企业的异常信息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10</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药品及疫苗追溯监管-追溯分析监管-批次追溯链缺链分析</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系统对全部药品的批次追溯链自动进行是否缺链分析并产生各类追溯异常信息，确保单批药品从生产到批发、最终到零售或医院都能全链条完整追溯。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主要分析规则包括：1）上游的销售和下游的采购要一一对应，下游有采购时必须要有上游的销售。</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产生的主要异常信息包括：1）企业未上报销售数据；2）企业未上报采购数据。</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产生的相关异常信息可以进行统一处置，同时也会实时推送到药械化行政检查管理系统中，方便监管人员快速了解相关企业的异常信息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药品及疫苗追溯监管-追溯分析监管-批次追溯信息不匹配分析</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系统对全部药品的批次追溯链自动进行信息准确性和完整性分析并产生各类追溯异常信息，确保追溯链信息的准确可靠。</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主要分析规则包括：1）每一级的上游销售的批准文号、批号和数量等信息要和下游的采购信息一致。</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产生的主要异常信息包括：1）企业上报的采购或销售数据中的批号信息错误；2）企业上报的采购或销售数据中的产品数量错误；3）企业上报的采购或销售数据缺少产品。</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产生的相关异常信息可以进行统一处置，同时也会实时推送到药械化行政检查管理系统中，方便监管人员快速了解相关企业的异常信息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药品及疫苗追溯监管-追溯分析监管-企业追溯上报情况分析</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系统对企业上报产品追溯数据的情况进行自动分析并产生各类异常信息，确保所有企业都能够按时完成重点品种单品单码追溯信息的上报、全部药品完成批次追溯信息的上报。</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主要分析规则包括：1）周一到周五每天都要上报产品追溯数据；2）批次追溯的数据最晚隔天上报，单品单码追溯要当天上报；3）长时间没有业务要提交暂停上报申请。</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主要异常信息包括：1）企业超过7天未上报产品批次追溯数据；2）企业超过3天未上报单品单码追溯数据；3）企业上报的数据出现大幅度增加（超过上月均值的1倍以上）；4）企业上报的数据出现大幅度减少（超过上月均值的1倍以上）。</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产生的相关异常信息可以进行统一处置，同时也会实时推送到药械化行政检查管理系统中，方便监管人员快速了解相关企业的异常信息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药品及疫苗追溯监管-追溯分析监管-追溯企业管理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提供监管人员对上报产品追溯信息的企业进行统一管理，可以分类查询出哪些企业正常上报、哪些企业异常上报，并能够进行查询、导出及短信催报等操作。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药品及疫苗追溯监管-追溯分析监管-追溯异常处置管理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追溯链缺链、信息准确性等分析产生的各类异常进行统一处置管理，可以通过短信通知企业整改、忽略异常及发起现场核查计划等方式完成处置，支持对所有异常及处置情况进行查询、导出和统计。在发起核查计划时可以实时将计划推送到药械化行政检查管理系统中，并能接收相应的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药品批次流通监管-企业数据上报管理-药品批发企业自动上报数据接口</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提供标准数据上报接口实现药品批发和连锁企业自动推送每日的药品购进和销售信息，也支持进行零数据上报，提高企业数据上报的准确率，减轻企业工作负担。</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数据上报接口包括：采购数据上报接口、销售数据上报接口、医保药品信息变更维护接口（相关信息经审核后，自动推送到“上海药店”数字化服务平台）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16</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药品批次流通监管-药品流通监管-流通情况排查</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监管人员在线创建流通情况排查任务（某个药品、某个批次、某个时间段等），完成创建后系统会在后台进行相关数据的自动查询，查询完成后监管人员可以查看具体流通情况，包括涉及企业、每家企业的采购和销售数量。允许监管人员在线对相关企业发起监管计划，监管计划会自动推送到行政检查管理系统中，并能实时接收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17</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药品批次流通监管-药品流通监管-特殊药品监控预警</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监管人员对特殊药品的监控预警，可以根据规则自动监控相关药品的购进和销售情况，根据预警设置信息自动产生预警信息，包括：出现采购预警、出现销售预警、超量采购预警、超量销售预警等，并可以通过短信通知监管人员实现监管人员对预警信息的及时处置，也可以发起监管计划,监管计划会自动推送到行政检查系统中，并能实时接收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18</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药品批次流通监管-药品流通监管-监管计划管理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实现监管人员对已发起监管计划的统一管理，可以查看各个计划的检查情况，实现监管人员在完成检查后可以根据检查结果完成闭环处置。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19</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药店药品零售远程-企业数据上报管理-药品零售企业自动上报数据接口</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提供标准数据上报接口实现药品零售企业（药店）的药品购进、销售、库存、药师考勤和温湿度信息数据的自动上报，提高企业数据上报的准确率，为后续监管人员提供有效的实时数据，同时减轻企业工作负担。</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数据上报接口包括：采购数据上报接口、销售数据上报接口、药师数据上报接口、考勤数据上报接口、库存数据上报接口、温湿度数据上报接口。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20</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药店药品零售远程-药店异常监管-药店经营异常预警处置</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根据企业上报的数据自动产生药店经营异常预警，包括：药品采购异常、药品销量异常、药师考勤异常、药师多店挂职异常、医保高值药品等处方药超量销售，实现监管人员对预警信息的及时处置，也可以发起监管计划,监管计划会自动推送到行政检查系统中，并能实时接收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与市监局系统进行业务+数据融合-业务融合</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1.药械化行政检查系统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区市场局及监管所用户使用本系统对各区药品、医疗器械、化妆品生产企业、经营企业和使用单位进行日常监管、专项管理、计划管理、统计分析。</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融合方式：通过内嵌页面实现业务融合。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2.药械化抽检系统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区市场局及监管所用户使用本系统对本区药品、化妆品的生产企业、经营企业和使用单位进行质量监督抽检、快检等工作。并通过系统接收市局抽样计划安排，安排区、所抽样的计划。</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融合方式：通过内嵌页面实现业务融合。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3.药品移动监管APP</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及监管所可以使用药品移动监管APP对各区药品、医疗器械、化妆品生产企业、经营企业和使用单位进行现场移动监管，支持企业定位、信用档案查看、现场检查、智能条款匹配、照片证据采集、文书生成和电子签章等，并能和行政检查管理系统实现数据实时上传。</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融合方式：在市场局移动监管APP上增加药品监管入口，可以直接访问药品移动监管APP的业务功能，实现业务融合。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4.药品（疫苗）追溯监管系统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区市场局用户使用本系统进行疫苗、生物制品、麻醉药品、精神药品的重点品种药品进行追溯和监管。</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融合方式：通过内嵌页面实现业务融合。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5.药品实时监控系统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区市场局用户使用本系统进行各区药品流通情况追溯管理。</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融合方式：通过内嵌页面实现业务融合。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6.药品零售远程动态监管系统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区市场局和监管所用户使用本系统进行药品零售企业的远程监管。</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融合方式：通过内嵌页面实现业务融合。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7.医疗器械追溯申报系统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区市场局及监管所用户使用本系统进行医疗器械注册（备案）人、医疗器械经营企业的产品流向追溯、年度自查报告、产品主动召回和网络销售备案的审核、监管和统计分析。</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融合方式：通过内嵌页面实现业务融合。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与市监局系统进行业务+数据融合-数据融合</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1.药品咨询业务管理系统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与市监局公众诉求平台数据融合对接，具体包括：</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1）接收市市场局公众诉求平台下派的投诉举报工单；</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2）向市市场局公众诉求平台推送投诉举报工单的办理结果。</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2.药械化案件管理系统</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与市监局行政处罚与执法监督系统数据融合对接，具体包括：</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1）同步市市场局行政处罚与执法监督系统（二号令系统）中的案由信息；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2）将案件线索推送至二号令系统中；</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3）接收二号令系统推送的案件立案、处罚和结案结果。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与市监局系统进行业务+数据融合-数据对接</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与市监局数据底座数据和服务对接，通过数据中心实现向市监局数据底座的数据归集,利用数据底座的数据服务。</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对接数据包括：药械化行政检查数据、药械化抽检数据、药品购进数据、药品销售数据、药品零售数据、重点品种药品生产数据、疫苗生产数据、疫苗配送数据、医疗器械购销关系数据、医疗器械企业年度自查报数据、医疗器械主动召回报数据、医疗器械网络销售备案数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药品（含疫苗）长三角协同监管-检查任务协同管理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 xml:space="preserve">  提供长三角范围的药品监管部门对药品上市许可持有人的委托生产进行委托（联合）检查任务的协同管理，可以进行委托或联合监管任务的发布、接收和确认，在发布时需要填写被检查企业、检查内容、检查时间等内容，在接收和确认时也支持通过手机进行操作。任务发布后系统会给任务接收方发送短信通知，任务确认后也会给任务发布方发送短信通知。</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提供委托（联合）检查任务查询、确认、退回接口，支持和长三角各省市监管部门的行政检查系统进行对接，可以实时获取和处置需要确认的监管任务。</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提供协同任务的管理功能，监管人员跟对跟本省市有关的任务进行查询、确认、退回、导出等。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药品（含疫苗）长三角协同监管-检查结果共享管理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 xml:space="preserve">  提供检查结果上传接口和检查结果下载接口，支持和长三角各省监管部门的行政检查系统进行对接，各省监管部门在完成检查后将检查结果通过接口进行推送实现信息共享，推送信息至少包括被监管对象、检查人员、检查产品、缺陷情况、检查结果及检查报告附件等，各省监管部门也可以通过调用系统接口下载跟本省市有关的检查结果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提供检查结果在线录入功能，提供没有办法实现数据对接的监管部门进行使用，录入字段至少包括被监管对象、检查人员、检查产品、缺陷情况、检查结果及检查报告附件等。</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提供检查结果信息的管理功能，监管人员跟对跟本省市有关检查结果的查询、查看详情和导出。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26</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药品（疫苗）追溯监管系统（升级）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药品（含疫苗）长三角协同监管-检查人员管理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提供长三角各省市进行监管人员和部门管理，维护好的人员可以通过手机号码和短信验证码登录系统进行委托检查协同任务的管理和检查结果的共享。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27</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投诉举报管理-投诉工单办理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系统定制投诉办理流程，综合处分派投诉工单，承办部门人员接收或退回，接收的工单按流程进行办理。可实时查看处理环节信息。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提供受理人员进行投诉工单受理，可以输入投诉人 、来电号码 、来电时间 、接听时间 、转办处室/直属单位、备注、标签分类标注等信息，同时支持通过上传通话录音自动识别成详细咨询内容，减少用户手工输入的工作量。工单受理成功后进入办理流程。</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系统基于工作流引擎实现投诉工单的办理，支持用户根据工单办理流程将工单分派给业务处室。还能够内嵌局药品智慧监管知识库，并支持在话务接听过程中进行高效检索。</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1.投诉工单办理</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系统基于工作流引擎实现投诉工单的办理，支持用户根据工单办理流程将工单分派给业务处室，业务处室完成办理后反馈给上一级。</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在办理过程中如果需要退回，需要先提出退单申请，待审核通过后方可退回。</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办理过程中的每个环节都会自动计算时间，同时也会给各个承办部门进行超期预警。</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2.知识库</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能够内嵌局药品智慧监管知识库，并支持在话务接听过程中进行高效检索，支持将工单办理答复内容一键推送到知识库中，方便持续完善知识库。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28</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投诉举报管理-举报工单办理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系统定制举报办理流程，综合处分派举报工单，承办部门人员接收或退回，接收的工单按流程进行办理。可实时查看处理环节信息。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提供受理人员进行举报工单受理，可以输入投诉人 、来电号码 、来电时间 、接听时间 、转办处室/直属单位、备注、标签分类标注等信息，同时支持通过上传通话录音自动识别成详细咨询内容，减少用户手工输入的工作量。工单受理成功后进入办理流程。</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系统基于工作流引擎实现举报工单的办理，支持用户根据工单办理流程将工单分派给业务处室。还能够内嵌局药品智慧监管知识库，并支持在话务接听过程中进行高效检索。</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1.投诉工单办理</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系统基于工作流引擎实现投诉工单的办理，支持用户根据工单办理流程将工单分派给业务处室，业务处室完成办理后反馈给上一级。</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在办理过程中如果需要退回，需要先提出退单申请，待审核通过后方可退回。</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办理过程中的每个环节都会自动计算时间，同时也会给各个承办部门进行超期预警。</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2.知识库</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能够内嵌局药品智慧监管知识库，并支持在话务接听过程中进行高效检索，支持将工单办理答复内容一键推送到知识库中，方便持续完善知识库。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29</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投诉举报管理-咨询工单办理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系统定制咨询办理流程，综合处分派咨询工单，承办部门人员接收或退回，接收的工单按流程进行办理。可实时查看处理环节信息。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提供受理人员进行窗口咨询工单受理，可以输入咨询人 、来电号码 、来电时间 、接听时间 、转办处室/直属单位、备注、标签分类标注等信息，同时支持通过上传通话录音自动识别成详细咨询内容，减少用户手工输入的工作量。工单受理成功后进入办理流程。</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系统基于工作流引擎实现咨询工单的办理，支持窗口用户根据工单办理流程将工单分派给业务处室。还能够内嵌局药品智慧监管知识库，并支持在话务接听过程中进行高效检索。</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1咨询工单办理</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系统基于工作流引擎实现咨询工单的办理，支持窗口用户根据工单办理流程将工单分派给业务处室，业务处室完成办理后反馈给窗口。</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在办理过程中如果需要退回，需要先提出退单申请，待窗口审核通过后方可退回。</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办理过程中的每个环节都会自动计算时间，同时也会给各个承办部门进行超期预警。</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2.知识库</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能够内嵌局药品智慧监管知识库，并支持在话务接听过程中进行高效检索，支持将工单办理答复内容一键推送到知识库中，方便持续完善知识库。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30</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投诉举报管理-工单延期</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支持延期时间手动输入，提供咨询、投诉、举报工单延期处理。根据延期天数自动计算延期起止时间。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投诉举报管理-工单暂停与恢复</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在投诉和举报工单办理过程中，增加暂停计时和恢复计时功能，暂停计时的场景包括“检定、检验、检测、鉴定”等，系统记录每次暂停和恢复的详细操作记录。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投诉举报管理-工单催办</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1.自动催办</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系统会根据办理时限对即将过期的办件进行预警，并自动发送催办短信至经办人手机上。</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2.手动催办</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可手动编辑催办短信内容，默认发给办理人员，也可以手动添加其他人员。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统计分析-咨询工单统计</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实现对咨询工单的各类统计分析，包括出一段时间内的完成情况、超期，按工单标签进行分类统计等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业务互联-推送案件线索至稽查系统</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实现在投诉举报办理过程中将涉嫌违法违规信息作为案件线索、案源信息自动推送推送至药械化案件管理系统中，并能实时接收案件办理结果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业务互联-接收市场局消费者权益保障子系统下派的工单并完成办结反馈</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自动接收市场局消费者权益保障子系统下派的工单并完成办结反馈，具体功能包括工单受理、受理前退单、办理中退单、工单延期、办结反馈和每日对账等，涉及双方系统接口包括：工单接收接口、退单申请接口、退单审核结果反馈接口、工单信息补充接口、工单办理延期申请接口、延期申请审核结果反馈接口、工单办理结果推送接口、每日对账接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36</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药械化咨询业务管理系统（升级）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业务互联-主动向市场局消费者权益保障子系统推送工单并接收办结反馈</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主动向市场局消费者权益保障子系统推送工单并接收办结反馈，具体功能包括工单推送和办理结果接收，涉及双方系统接口包括：工单推送接口、工单办理结果反馈接口。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37</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线索及案件管理-个人工作台</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通过工作汇聚的方式实现监管人员在个人工作台上能够实现线索和协查函的集中办理，可以进行接收、办理、退回等操作，并能够根据办理时限对相关工作进行亮点状态标记（橙色（还没反馈，但未超期），红色（超期未反馈），黄色（申请延期）、绿色（不予案源登记-已办结，蓝色（案源登记），同时也支持监管人员查看当年已办线索、已办协查函的总数和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38</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线索及案件管理-案由库管理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将药械化案件管理系统的案由库替换为与市场监管行政处罚系统违法行为字典库并实施对接更新，确保案件案由数据落地准确。支持将同一个案由对应的多级案由编码，包括国家药监局案由编码、国家市场局总局案由编码，并支持标签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39</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线索及案件管理-线索管理-线索接收</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通过线索信息自动接收系统接口实现检查系统、抽样系统、投诉举报、办公网、涉网流通监测系统的线索自动对接，并支持对线索进行自动分类。同时支持用户手工录入外部单位协查函、国家局抽样平台等来源的线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40</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线索及案件管理-线索管理-线索处置</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支持基于工作流引擎进行显示的流程处置，包括线索管理部门拟办、经办单位线索管理部门接收和拟办、经办单位经办部门分派和办理、经办单位经办部门录入核查结果。</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所有环节都需要支持文书在线编辑，审批完成后自动完成电子签章。</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 xml:space="preserve">  录入核查结果包括不予案源登记和案源登记，其中不予案源登记又分为拟办结和申请延期，案源登记则会自动将线索信息推送到市市场局的处方系统中完成登记。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线索及案件管理-线索管理-案源接收</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通过案源信息自动接收系统接口实现检查系统、抽样系统、投诉举报、办公网、涉网流通监测系统进行案源的自动对接，并会自动将案源信息推送到市市场局的处方系统中完成登记。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线索及案件管理-线索管理-线索管理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用户对线索进行综合查询，可以查询线索的接收、处置信息，能够清晰查询出哪些线索还未接收、哪些还在处置中、哪些已经处置完成，针对处置完成的还可以查询按照具体处置结果来查询，支持查看线索处置的全部详情信息，也可以将线索信息导出为ex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线索及案件管理-协查管理-协查函答复</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根据线索来源自动筛选出需要答复的协查函，支持进行在线答复，可以填写好回函内容后在线生成回函文书，并支持在线文书编辑，经审批流程后自动完成电子签章，同时可以查看当前协查函对应线索的详细办理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审批流程为：经办人发起-科长审核-业务科复核-分管领导审批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线索及案件管理-协查管理-外发协查函</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提供监管用户主动在线创建外发用的协查函，可以进行协查企业选择、协查产品选择，同时支持在线文书编辑，经审批流程后自动完成电子签章。</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审批流程为：经办人发起-科长审核-业务科复核-分管领导审批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线索及案件管理-协查管理-协查函查询</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提供监管用户对接收和外发的协查进行统一查询，可以查看协查函内容和进行信息批量导出，针对接收的协查函可以查看具体的答复状态和具体答复信息。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46</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线索及案件管理-禁业管理-禁业管理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根据处罚信息中的处罚类型和事项自动刷选出涉及禁业处罚的案件，提供监管用户对详细禁业信息进行确认，系统会自动识别禁业时间、禁业情形等信息，监管用户需要选择对应的行政许可事项并对禁业时间等信息进行确认，在经过流程审批后禁业信息正式生效。</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系统自动判断每个人员的禁业截止日期，超过截止日期后将自动解除禁业现在，并恢复许可业务办理权限，并提供监管用户进行禁业信息的查询，可以查询出哪些人员目前还在禁业中，指定时间段内哪些人员解除禁业，并可以查看禁业信息详情和进行批量excel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47</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线索及案件管理-禁业管理-禁业信息共享</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通过提供个人禁业信息的查询接口，实现和局行政许可系统、医疗器械追溯申报、行政检查等系统实时共享禁业信息，可以查询出目标人员当前是否属于禁业状态、禁止从事的具体许可事项，方便其它业务系统开发相关的限制或预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48</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药械化案件管理系统（升级）</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统计分析-案由及案件统计</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实现对案由分类及标签的统计，实现基于案由的案件办理情况统计，分析出热点案由等。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49</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企业-加贴标签报告管理-加贴标签报告上报</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提供企业在加贴标签前向监管部门上报加贴标签报告，每个进口注册人都要对应一份独立的加贴标签报告，报告中要包含以下信息：</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1)加贴标签质量体系文件（含操作规程）目录；</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2)境外医疗器械注册人（备案人）与境内代理人质量授权及质量保证协议；</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3)医疗器械注册证、第一类医疗器械备案编号告知书信息，产品中文标签或副标签、中文说明书样稿；</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4)境内代理人法定代表人、企业负责人身份证明、管理者代表身份证明、学历、职称任职等相关材料；</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5)加贴标签场所证明文件及平面布局图；</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加贴标签工艺流程图。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50</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企业-加贴标签报告管理-加贴标签报告变更</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提供企业在加贴标签发生变更后进行加贴标签报告变更，系统需要自动记录每次报告变更的修改内容，并保留历史报告的内容。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企业-加贴标签报告管理-取消报告</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提供企业在产品确定退出经营后进行加贴标签报告的取消，完成取消后当前产品对应的标签数据库、产品说明书数据将被设置为无效。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企业-加贴标签报告管理-加贴标签报告管理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提供企业对自己上报的加贴标签报告进行管理，可以进行查询、查看详情、导出等操作，在查看详情时可以查看当前报告的详细信息，也可以查看当前报告的历史版本和每个版本的修改内容。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企业-检查整改管理-整改报告管理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提供企业对监管部门下发的整改要求进行统一管理，针对未完成整改的可以主动上传整改报告，待监管部门退回后可以进行修改上报。也可以查看历史完成的整改报告。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企业-检查整改管理-检查记录管理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提供企业管理自己被各级监管部门监管的检查记录，可以进行查询、查看详情和导出等操作。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监管-加贴标签报告管理-加贴标签报告管理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提供监管人员对企业上报的加贴标签报告进行管理，可以进行查询、查看详情、导出等操作。</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在查看详情时可以查看当前报告的详细信息，也可以查看当前报告的历史版本和每个版本的修改内容。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56</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监管-加贴标签报告管理-加贴标签报告检查</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在对企业报告的加贴标签进行加贴标签质量体系的监督检查时快速发起监督检查计划，监督检查计划会实时推送到“药械化行政检查管理系统”中，相关监管人员在工作台上可以看到相关计划并可以进行检查任务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57</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监管-唯一标识管理-加贴标签报告自动核验</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系统依托全量的医疗器械唯一标识数据库对企业上报的加贴标签报告中的产品信息进行自动核验，并自动记录相应的核验结果。</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核验规则如下：</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1）企业报告已经实施了医疗器械唯一标识，但唯一标识数据库中没有相关数据；</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2）企业报告中的医疗器械唯一标识和唯一以标识数据库中的不一致；</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3）企业报告没有实施医疗器械唯一标识，但唯一标识数据库中存在相关数据。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58</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监管-唯一标识管理-核验记录管理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提供监管人员对系统自动核验产生的记录进行统一管理，可以进行查询、导出、处置和发起现场检查计划。</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发起的监督检查计划会实时推送到“药械化行政检查管理系统”中，相关监管人员在工作台上可以看到相关计划并可以进行检查任务的执行。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59</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监管-监督检查管理-境外注册人监督检查</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提供监管人员对境外的注册人（备案人）开展监督检查，包括书面检查和远程检查，可以进行企业查询、检查信息录入及附件上传等操作。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60</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监管-监督检查管理-境外注册人监督检查管理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提供监管人员对境外注册人的监督检查记录进行统一管理，可以进行查询、导出、查看详情及修改删除操作。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61</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监管-监督检查管理-境内代理人监督检查管理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提供监管人员对境内代理的监督检查记录进行统一管理，可以进行查询、导出、查看详情等操作。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62</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监管-监督检查管理-检查计划管理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提供监管人员对加贴标签报告检查、产品放行检查和唯一标识核验检查过程中创建的检查计划进行统一管理，可以实时查看各计划在行政检查管理系统中的实际执行情况。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63</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监管-监督检查管理-企业整改管理</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提供监管人员对企业的整改要求进行统一管理，包括查询、催报、审核和查看详情等操作，催报和审核退回时要能够通过短信通知企业。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64</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监管-监督检查管理-统计分析</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提供监管人员对进口医疗器械的加贴标签情况、进口器械产品趋势情况、监督检查情况、唯一标识实施情况进行统计分析。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65</w:t>
            </w:r>
          </w:p>
        </w:tc>
        <w:tc>
          <w:tcPr>
            <w:tcW w:w="1790"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上海市高风险医疗器械追溯监管系统（升级改造）</w:t>
            </w:r>
          </w:p>
        </w:tc>
        <w:tc>
          <w:tcPr>
            <w:tcW w:w="174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和海关数据共享-数据实时查询接口</w:t>
            </w:r>
          </w:p>
        </w:tc>
        <w:tc>
          <w:tcPr>
            <w:tcW w:w="4122"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通过提供开放数据查询接口实现和海关的数据共享。具体接口如下：</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1)产品标签查询接口；</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2)产品副标签查询接口；</w:t>
            </w:r>
            <w:r>
              <w:rPr>
                <w:rFonts w:hint="eastAsia" w:cs="宋体" w:asciiTheme="minorEastAsia" w:hAnsiTheme="minorEastAsia" w:eastAsiaTheme="minorEastAsia"/>
                <w:color w:val="000000"/>
                <w:kern w:val="0"/>
                <w:highlight w:val="none"/>
              </w:rPr>
              <w:br w:type="textWrapping"/>
            </w:r>
            <w:r>
              <w:rPr>
                <w:rFonts w:hint="eastAsia" w:cs="宋体" w:asciiTheme="minorEastAsia" w:hAnsiTheme="minorEastAsia" w:eastAsiaTheme="minorEastAsia"/>
                <w:color w:val="000000"/>
                <w:kern w:val="0"/>
                <w:highlight w:val="none"/>
              </w:rPr>
              <w:t>产品说明书查询接口</w:t>
            </w:r>
          </w:p>
        </w:tc>
      </w:tr>
    </w:tbl>
    <w:p>
      <w:pPr>
        <w:ind w:firstLine="482"/>
        <w:rPr>
          <w:rFonts w:hint="eastAsia"/>
          <w:b/>
          <w:highlight w:val="none"/>
        </w:rPr>
      </w:pPr>
    </w:p>
    <w:p>
      <w:pPr>
        <w:rPr>
          <w:rFonts w:hint="eastAsia"/>
          <w:highlight w:val="none"/>
        </w:rPr>
      </w:pPr>
    </w:p>
    <w:p>
      <w:pPr>
        <w:pStyle w:val="2"/>
        <w:rPr>
          <w:rFonts w:hint="eastAsia"/>
          <w:highlight w:val="none"/>
        </w:rPr>
      </w:pPr>
      <w:bookmarkStart w:id="18" w:name="_Toc63785502"/>
      <w:r>
        <w:rPr>
          <w:rFonts w:hint="eastAsia"/>
          <w:highlight w:val="none"/>
        </w:rPr>
        <w:t>电子政务云资源需求</w:t>
      </w:r>
      <w:bookmarkEnd w:id="18"/>
    </w:p>
    <w:p>
      <w:pPr>
        <w:rPr>
          <w:rFonts w:hint="eastAsia"/>
          <w:highlight w:val="none"/>
        </w:rPr>
      </w:pPr>
      <w:r>
        <w:rPr>
          <w:rFonts w:hint="eastAsia"/>
          <w:highlight w:val="none"/>
        </w:rPr>
        <w:t>根据项目前期资源现状，本次建设根据估算拟向电子政务云申请4台虚拟服务器，资源CPU40核 、内存112G、存储1.7T。</w:t>
      </w:r>
    </w:p>
    <w:tbl>
      <w:tblPr>
        <w:tblStyle w:val="35"/>
        <w:tblW w:w="8456" w:type="dxa"/>
        <w:tblInd w:w="0" w:type="dxa"/>
        <w:tblLayout w:type="autofit"/>
        <w:tblCellMar>
          <w:top w:w="0" w:type="dxa"/>
          <w:left w:w="108" w:type="dxa"/>
          <w:bottom w:w="0" w:type="dxa"/>
          <w:right w:w="108" w:type="dxa"/>
        </w:tblCellMar>
      </w:tblPr>
      <w:tblGrid>
        <w:gridCol w:w="456"/>
        <w:gridCol w:w="851"/>
        <w:gridCol w:w="1512"/>
        <w:gridCol w:w="1276"/>
        <w:gridCol w:w="1241"/>
        <w:gridCol w:w="1040"/>
        <w:gridCol w:w="1040"/>
        <w:gridCol w:w="1040"/>
      </w:tblGrid>
      <w:tr>
        <w:tblPrEx>
          <w:tblCellMar>
            <w:top w:w="0" w:type="dxa"/>
            <w:left w:w="108" w:type="dxa"/>
            <w:bottom w:w="0" w:type="dxa"/>
            <w:right w:w="108" w:type="dxa"/>
          </w:tblCellMar>
        </w:tblPrEx>
        <w:trPr>
          <w:trHeight w:val="480" w:hRule="atLeast"/>
        </w:trPr>
        <w:tc>
          <w:tcPr>
            <w:tcW w:w="4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序号</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资源类型</w:t>
            </w:r>
          </w:p>
        </w:tc>
        <w:tc>
          <w:tcPr>
            <w:tcW w:w="1512"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资源名称</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资源说明</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核定核心（核）</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核定内存(GB)</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核定存储(GB)</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核定数量(台)</w:t>
            </w:r>
          </w:p>
        </w:tc>
      </w:tr>
      <w:tr>
        <w:tblPrEx>
          <w:tblCellMar>
            <w:top w:w="0" w:type="dxa"/>
            <w:left w:w="108" w:type="dxa"/>
            <w:bottom w:w="0" w:type="dxa"/>
            <w:right w:w="108" w:type="dxa"/>
          </w:tblCellMar>
        </w:tblPrEx>
        <w:trPr>
          <w:trHeight w:val="1400" w:hRule="atLeast"/>
        </w:trPr>
        <w:tc>
          <w:tcPr>
            <w:tcW w:w="42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w:t>
            </w:r>
          </w:p>
        </w:tc>
        <w:tc>
          <w:tcPr>
            <w:tcW w:w="85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虚拟机</w:t>
            </w:r>
          </w:p>
        </w:tc>
        <w:tc>
          <w:tcPr>
            <w:tcW w:w="151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药品实时监控系统企业数据上报接口服务器</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8</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w:t>
            </w:r>
          </w:p>
        </w:tc>
      </w:tr>
      <w:tr>
        <w:tblPrEx>
          <w:tblCellMar>
            <w:top w:w="0" w:type="dxa"/>
            <w:left w:w="108" w:type="dxa"/>
            <w:bottom w:w="0" w:type="dxa"/>
            <w:right w:w="108" w:type="dxa"/>
          </w:tblCellMar>
        </w:tblPrEx>
        <w:trPr>
          <w:trHeight w:val="1120" w:hRule="atLeast"/>
        </w:trPr>
        <w:tc>
          <w:tcPr>
            <w:tcW w:w="42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2</w:t>
            </w:r>
          </w:p>
        </w:tc>
        <w:tc>
          <w:tcPr>
            <w:tcW w:w="85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虚拟机</w:t>
            </w:r>
          </w:p>
        </w:tc>
        <w:tc>
          <w:tcPr>
            <w:tcW w:w="151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器械追溯申报系统数据库服务器</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64</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w:t>
            </w:r>
          </w:p>
        </w:tc>
      </w:tr>
      <w:tr>
        <w:tblPrEx>
          <w:tblCellMar>
            <w:top w:w="0" w:type="dxa"/>
            <w:left w:w="108" w:type="dxa"/>
            <w:bottom w:w="0" w:type="dxa"/>
            <w:right w:w="108" w:type="dxa"/>
          </w:tblCellMar>
        </w:tblPrEx>
        <w:trPr>
          <w:trHeight w:val="1120" w:hRule="atLeast"/>
        </w:trPr>
        <w:tc>
          <w:tcPr>
            <w:tcW w:w="42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3</w:t>
            </w:r>
          </w:p>
        </w:tc>
        <w:tc>
          <w:tcPr>
            <w:tcW w:w="85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虚拟机</w:t>
            </w:r>
          </w:p>
        </w:tc>
        <w:tc>
          <w:tcPr>
            <w:tcW w:w="151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器械追溯申报系统应用服务器</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互联网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8</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600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w:t>
            </w:r>
          </w:p>
        </w:tc>
      </w:tr>
      <w:tr>
        <w:tblPrEx>
          <w:tblCellMar>
            <w:top w:w="0" w:type="dxa"/>
            <w:left w:w="108" w:type="dxa"/>
            <w:bottom w:w="0" w:type="dxa"/>
            <w:right w:w="108" w:type="dxa"/>
          </w:tblCellMar>
        </w:tblPrEx>
        <w:trPr>
          <w:trHeight w:val="1400" w:hRule="atLeast"/>
        </w:trPr>
        <w:tc>
          <w:tcPr>
            <w:tcW w:w="42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w:t>
            </w:r>
          </w:p>
        </w:tc>
        <w:tc>
          <w:tcPr>
            <w:tcW w:w="85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虚拟机</w:t>
            </w:r>
          </w:p>
        </w:tc>
        <w:tc>
          <w:tcPr>
            <w:tcW w:w="1512"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药品零售监管系统企业数据上报接口服务器</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互联网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8</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400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highlight w:val="none"/>
              </w:rPr>
            </w:pPr>
            <w:r>
              <w:rPr>
                <w:rFonts w:hint="eastAsia" w:cs="宋体" w:asciiTheme="minorEastAsia" w:hAnsiTheme="minorEastAsia" w:eastAsiaTheme="minorEastAsia"/>
                <w:color w:val="000000"/>
                <w:kern w:val="0"/>
                <w:highlight w:val="none"/>
              </w:rPr>
              <w:t>1</w:t>
            </w:r>
          </w:p>
        </w:tc>
      </w:tr>
    </w:tbl>
    <w:p>
      <w:pPr>
        <w:rPr>
          <w:rFonts w:hint="eastAsia"/>
          <w:highlight w:val="none"/>
        </w:rPr>
      </w:pPr>
    </w:p>
    <w:p>
      <w:pPr>
        <w:pStyle w:val="2"/>
        <w:rPr>
          <w:rFonts w:hint="eastAsia"/>
          <w:highlight w:val="none"/>
        </w:rPr>
      </w:pPr>
      <w:bookmarkStart w:id="19" w:name="_Toc63785503"/>
      <w:r>
        <w:rPr>
          <w:rFonts w:hint="eastAsia"/>
          <w:highlight w:val="none"/>
        </w:rPr>
        <w:t>其他工作要求</w:t>
      </w:r>
      <w:bookmarkEnd w:id="19"/>
    </w:p>
    <w:p>
      <w:pPr>
        <w:keepNext/>
        <w:keepLines/>
        <w:numPr>
          <w:ilvl w:val="1"/>
          <w:numId w:val="6"/>
        </w:numPr>
        <w:tabs>
          <w:tab w:val="left" w:pos="360"/>
        </w:tabs>
        <w:spacing w:before="120" w:line="240" w:lineRule="auto"/>
        <w:ind w:left="0" w:firstLine="0" w:firstLineChars="0"/>
        <w:outlineLvl w:val="1"/>
        <w:rPr>
          <w:rFonts w:hint="eastAsia" w:ascii="仿宋" w:hAnsi="仿宋" w:eastAsia="仿宋"/>
          <w:b/>
          <w:vanish/>
          <w:color w:val="000000"/>
          <w:sz w:val="28"/>
          <w:szCs w:val="20"/>
          <w:highlight w:val="none"/>
        </w:rPr>
      </w:pPr>
      <w:bookmarkStart w:id="20" w:name="_Toc63585480"/>
      <w:bookmarkEnd w:id="20"/>
      <w:bookmarkStart w:id="21" w:name="_Toc63762370"/>
      <w:bookmarkEnd w:id="21"/>
      <w:bookmarkStart w:id="22" w:name="_Toc63151871"/>
      <w:bookmarkEnd w:id="22"/>
      <w:bookmarkStart w:id="23" w:name="_Toc61968111"/>
      <w:bookmarkEnd w:id="23"/>
      <w:bookmarkStart w:id="24" w:name="_Toc63785504"/>
      <w:bookmarkEnd w:id="24"/>
      <w:bookmarkStart w:id="25" w:name="_Toc62209488"/>
      <w:bookmarkEnd w:id="25"/>
      <w:bookmarkStart w:id="26" w:name="_Toc62219358"/>
      <w:bookmarkEnd w:id="26"/>
      <w:bookmarkStart w:id="27" w:name="_Toc63785439"/>
      <w:bookmarkEnd w:id="27"/>
    </w:p>
    <w:p>
      <w:pPr>
        <w:pStyle w:val="3"/>
        <w:rPr>
          <w:rFonts w:hint="eastAsia"/>
          <w:highlight w:val="none"/>
        </w:rPr>
      </w:pPr>
      <w:bookmarkStart w:id="28" w:name="_Toc63785505"/>
      <w:r>
        <w:rPr>
          <w:rFonts w:hint="eastAsia"/>
          <w:highlight w:val="none"/>
        </w:rPr>
        <w:t>售后服务要求</w:t>
      </w:r>
      <w:bookmarkEnd w:id="28"/>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本项目从系统验收通过之日起1年内提供</w:t>
      </w:r>
      <w:r>
        <w:rPr>
          <w:rFonts w:ascii="宋体" w:hAnsi="宋体"/>
          <w:sz w:val="24"/>
          <w:szCs w:val="24"/>
          <w:highlight w:val="none"/>
        </w:rPr>
        <w:t>7*24小时免费技术支持</w:t>
      </w:r>
      <w:r>
        <w:rPr>
          <w:rFonts w:hint="eastAsia" w:ascii="宋体" w:hAnsi="宋体"/>
          <w:sz w:val="24"/>
          <w:szCs w:val="24"/>
          <w:highlight w:val="none"/>
        </w:rPr>
        <w:t>和售后服务，1年后进入有偿维护期。</w:t>
      </w:r>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在质量保证期内，供应商将按照售后服务的承诺提供保修和运行维护服务，如果厂商对信息系统中软、硬件设备等产品中的部分保修期超过上述期限的，则按照厂商的规定进行免费保修。</w:t>
      </w:r>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在质量保证期内，供应商负责信息系统的运行维护工作，确保信息系统安全、稳定、可靠地运行。</w:t>
      </w:r>
    </w:p>
    <w:p>
      <w:pPr>
        <w:pStyle w:val="3"/>
        <w:rPr>
          <w:rFonts w:hint="eastAsia"/>
          <w:highlight w:val="none"/>
        </w:rPr>
      </w:pPr>
      <w:bookmarkStart w:id="29" w:name="_Toc63785506"/>
      <w:r>
        <w:rPr>
          <w:rFonts w:hint="eastAsia"/>
          <w:highlight w:val="none"/>
        </w:rPr>
        <w:t>应急响应要求</w:t>
      </w:r>
      <w:bookmarkEnd w:id="29"/>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供应商对系统故障应能够实时响应，若系统发生故障，接到通知后</w:t>
      </w:r>
      <w:r>
        <w:rPr>
          <w:rFonts w:ascii="宋体" w:hAnsi="宋体"/>
          <w:sz w:val="24"/>
          <w:szCs w:val="24"/>
          <w:highlight w:val="none"/>
        </w:rPr>
        <w:t>30分钟之内响应，专业工程师2小时内到达现场</w:t>
      </w:r>
      <w:r>
        <w:rPr>
          <w:rFonts w:hint="eastAsia" w:ascii="宋体" w:hAnsi="宋体"/>
          <w:sz w:val="24"/>
          <w:szCs w:val="24"/>
          <w:highlight w:val="none"/>
        </w:rPr>
        <w:t>。特殊故障与客户沟通协商后，按照协商的方式制定解决方案并进行处理。</w:t>
      </w:r>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具体故障级别及对应的应急响应要求如下：</w:t>
      </w:r>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一级故障：在</w:t>
      </w:r>
      <w:r>
        <w:rPr>
          <w:rFonts w:ascii="宋体" w:hAnsi="宋体"/>
          <w:sz w:val="24"/>
          <w:szCs w:val="24"/>
          <w:highlight w:val="none"/>
        </w:rPr>
        <w:t>1小时内确诊，总故障解决时间不超过4小时。</w:t>
      </w:r>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二级故障：在</w:t>
      </w:r>
      <w:r>
        <w:rPr>
          <w:rFonts w:ascii="宋体" w:hAnsi="宋体"/>
          <w:sz w:val="24"/>
          <w:szCs w:val="24"/>
          <w:highlight w:val="none"/>
        </w:rPr>
        <w:t>2小时内确诊，并在4小时内由专家到达现场确诊并解决，总故障解决时间不超过8小时；</w:t>
      </w:r>
    </w:p>
    <w:p>
      <w:pPr>
        <w:pStyle w:val="106"/>
        <w:snapToGrid w:val="0"/>
        <w:spacing w:line="360" w:lineRule="auto"/>
        <w:ind w:firstLine="480"/>
        <w:rPr>
          <w:rFonts w:hint="eastAsia" w:ascii="宋体" w:hAnsi="宋体"/>
          <w:sz w:val="24"/>
          <w:szCs w:val="24"/>
          <w:highlight w:val="none"/>
        </w:rPr>
      </w:pPr>
      <w:r>
        <w:rPr>
          <w:rFonts w:hint="eastAsia" w:ascii="宋体" w:hAnsi="宋体"/>
          <w:sz w:val="24"/>
          <w:szCs w:val="24"/>
          <w:highlight w:val="none"/>
        </w:rPr>
        <w:t>三、四级故障：在</w:t>
      </w:r>
      <w:r>
        <w:rPr>
          <w:rFonts w:ascii="宋体" w:hAnsi="宋体"/>
          <w:sz w:val="24"/>
          <w:szCs w:val="24"/>
          <w:highlight w:val="none"/>
        </w:rPr>
        <w:t>4小时内确诊故障，总故障解决时间不超过16小时。</w:t>
      </w:r>
    </w:p>
    <w:p>
      <w:pPr>
        <w:pStyle w:val="3"/>
        <w:rPr>
          <w:rFonts w:hint="eastAsia"/>
          <w:highlight w:val="none"/>
        </w:rPr>
      </w:pPr>
      <w:bookmarkStart w:id="30" w:name="_Toc63785507"/>
      <w:r>
        <w:rPr>
          <w:rFonts w:hint="eastAsia"/>
          <w:highlight w:val="none"/>
        </w:rPr>
        <w:t>培训要求</w:t>
      </w:r>
      <w:bookmarkEnd w:id="30"/>
    </w:p>
    <w:p>
      <w:pPr>
        <w:rPr>
          <w:rFonts w:hint="eastAsia"/>
          <w:highlight w:val="none"/>
        </w:rPr>
      </w:pPr>
      <w:r>
        <w:rPr>
          <w:rFonts w:hint="eastAsia"/>
          <w:highlight w:val="none"/>
        </w:rPr>
        <w:t>对系统使用单位提供业务操作培训，应提供详细培训方案。</w:t>
      </w:r>
    </w:p>
    <w:p>
      <w:pPr>
        <w:rPr>
          <w:rFonts w:hint="eastAsia"/>
          <w:highlight w:val="none"/>
        </w:rPr>
      </w:pPr>
      <w:r>
        <w:rPr>
          <w:rFonts w:hint="eastAsia"/>
          <w:highlight w:val="none"/>
        </w:rPr>
        <w:t>(1)在12个月的质量保证期内，提供2次与项目相关的必要培训。</w:t>
      </w:r>
    </w:p>
    <w:p>
      <w:pPr>
        <w:rPr>
          <w:rFonts w:hint="eastAsia"/>
          <w:highlight w:val="none"/>
        </w:rPr>
      </w:pPr>
      <w:r>
        <w:rPr>
          <w:rFonts w:hint="eastAsia"/>
          <w:highlight w:val="none"/>
        </w:rPr>
        <w:t>(2)供应商需要开展分层次的人员培训工作，每次培训后应对参加培训人员进行测试，评估培训成果。培训应具有培训教材、培训环境和高水平的培训讲师。</w:t>
      </w:r>
    </w:p>
    <w:p>
      <w:pPr>
        <w:rPr>
          <w:rFonts w:hint="eastAsia"/>
          <w:highlight w:val="none"/>
        </w:rPr>
      </w:pPr>
      <w:r>
        <w:rPr>
          <w:rFonts w:hint="eastAsia"/>
          <w:highlight w:val="none"/>
        </w:rPr>
        <w:t>(3)供应商应提供一般用户的基础操作培训和部门信息管理员的日常应用维护的培训，确保用户对象能够掌握对应的操作技能。</w:t>
      </w:r>
    </w:p>
    <w:p>
      <w:pPr>
        <w:pStyle w:val="3"/>
        <w:rPr>
          <w:rFonts w:hint="eastAsia"/>
          <w:highlight w:val="none"/>
        </w:rPr>
      </w:pPr>
      <w:bookmarkStart w:id="31" w:name="_Toc63785508"/>
      <w:r>
        <w:rPr>
          <w:rFonts w:hint="eastAsia"/>
          <w:highlight w:val="none"/>
        </w:rPr>
        <w:t>验收要求</w:t>
      </w:r>
      <w:bookmarkEnd w:id="31"/>
    </w:p>
    <w:p>
      <w:pPr>
        <w:rPr>
          <w:rFonts w:hint="eastAsia"/>
          <w:szCs w:val="21"/>
          <w:highlight w:val="none"/>
        </w:rPr>
      </w:pPr>
      <w:r>
        <w:rPr>
          <w:rFonts w:hint="eastAsia"/>
          <w:szCs w:val="21"/>
          <w:highlight w:val="none"/>
        </w:rPr>
        <w:t>本项目按下述方式开展验收。</w:t>
      </w:r>
    </w:p>
    <w:p>
      <w:pPr>
        <w:rPr>
          <w:rFonts w:hint="eastAsia"/>
          <w:szCs w:val="21"/>
          <w:highlight w:val="none"/>
        </w:rPr>
      </w:pPr>
      <w:r>
        <w:rPr>
          <w:rFonts w:hint="eastAsia"/>
          <w:szCs w:val="21"/>
          <w:highlight w:val="none"/>
        </w:rPr>
        <w:t>（</w:t>
      </w:r>
      <w:r>
        <w:rPr>
          <w:szCs w:val="21"/>
          <w:highlight w:val="none"/>
        </w:rPr>
        <w:t>1）验收分初验和终验。</w:t>
      </w:r>
    </w:p>
    <w:p>
      <w:pPr>
        <w:rPr>
          <w:rFonts w:hint="eastAsia"/>
          <w:szCs w:val="21"/>
          <w:highlight w:val="none"/>
        </w:rPr>
      </w:pPr>
      <w:r>
        <w:rPr>
          <w:rFonts w:hint="eastAsia"/>
          <w:szCs w:val="21"/>
          <w:highlight w:val="none"/>
        </w:rPr>
        <w:t>（</w:t>
      </w:r>
      <w:r>
        <w:rPr>
          <w:szCs w:val="21"/>
          <w:highlight w:val="none"/>
        </w:rPr>
        <w:t>2）初验前，供应商须完成软件开发、软硬件安装和信息系统的调试等，并对本项目进行功能和运行检测，确保所有信息系统功能模块能够正常运行且已达到本项目约定的各类标准要求。供应商应以书面形式向招标方递交初验通知书。招标方应当在接到通知后的5个工作日内确定初验的具体日期，由双方按照本项目的约定完成本项目的初验。招标方有权委托第三方检测机构进行验收，对此供应商应当配合。</w:t>
      </w:r>
    </w:p>
    <w:p>
      <w:pPr>
        <w:rPr>
          <w:rFonts w:hint="eastAsia"/>
          <w:szCs w:val="21"/>
          <w:highlight w:val="none"/>
        </w:rPr>
      </w:pPr>
      <w:r>
        <w:rPr>
          <w:rFonts w:hint="eastAsia"/>
          <w:szCs w:val="21"/>
          <w:highlight w:val="none"/>
        </w:rPr>
        <w:t>（</w:t>
      </w:r>
      <w:r>
        <w:rPr>
          <w:szCs w:val="21"/>
          <w:highlight w:val="none"/>
        </w:rPr>
        <w:t>3）初验时，供应商须提供软件文档包括《用户需求说明书》、《系统概要设计说明书》、《系统详细设计说明书》、</w:t>
      </w:r>
      <w:r>
        <w:rPr>
          <w:rFonts w:hint="eastAsia"/>
          <w:szCs w:val="21"/>
          <w:highlight w:val="none"/>
        </w:rPr>
        <w:t>《三方功能需求确认单》、</w:t>
      </w:r>
      <w:r>
        <w:rPr>
          <w:szCs w:val="21"/>
          <w:highlight w:val="none"/>
        </w:rPr>
        <w:t>《测试报告》、《用户使用手册》、《系统部署文档》等）及可安装的程序运行文件。所交付的文档与文件应当是可供自然人阅读的书面和电子文档。软件文档及可安装的程序运行文件验收通过后，视为初验通过。如有缺陷，招标方应向供应商出具书面报告，陈述需要改进的缺陷。供应商应立即严格依照招标方的书面报告中的要求改进缺陷，并再次进行初验。</w:t>
      </w:r>
    </w:p>
    <w:p>
      <w:pPr>
        <w:rPr>
          <w:rFonts w:hint="eastAsia"/>
          <w:szCs w:val="21"/>
          <w:highlight w:val="none"/>
        </w:rPr>
      </w:pPr>
      <w:r>
        <w:rPr>
          <w:rFonts w:hint="eastAsia"/>
          <w:szCs w:val="21"/>
          <w:highlight w:val="none"/>
        </w:rPr>
        <w:t>（</w:t>
      </w:r>
      <w:r>
        <w:rPr>
          <w:szCs w:val="21"/>
          <w:highlight w:val="none"/>
        </w:rPr>
        <w:t>4）自初验通过之日起，招标方享有供应商免费提供的</w:t>
      </w:r>
      <w:r>
        <w:rPr>
          <w:rFonts w:hint="eastAsia"/>
          <w:szCs w:val="21"/>
          <w:highlight w:val="none"/>
        </w:rPr>
        <w:t>两个月</w:t>
      </w:r>
      <w:r>
        <w:rPr>
          <w:szCs w:val="21"/>
          <w:highlight w:val="none"/>
        </w:rPr>
        <w:t>的信息系统试运行现场驻场服务期。该期间内，供应商应当按照招标方的要求提供现场技术支持服务，解决信息系统试运行期间可能出现的各类问题，或进一步提高与完善信息系统运行水平。</w:t>
      </w:r>
    </w:p>
    <w:p>
      <w:pPr>
        <w:rPr>
          <w:rFonts w:hint="eastAsia"/>
          <w:szCs w:val="21"/>
          <w:highlight w:val="none"/>
        </w:rPr>
      </w:pPr>
      <w:r>
        <w:rPr>
          <w:rFonts w:hint="eastAsia"/>
          <w:szCs w:val="21"/>
          <w:highlight w:val="none"/>
        </w:rPr>
        <w:t>（</w:t>
      </w:r>
      <w:r>
        <w:rPr>
          <w:szCs w:val="21"/>
          <w:highlight w:val="none"/>
        </w:rPr>
        <w:t>5）初验通过且信息系统试运行期已经达到本项目约定的时间，经供应商确认信息系统具备正常运行条件，且信息系统通过运行测试，供应商应以书面形式通知招标方信息系统已准备就绪等待终验。招标方在收到终验通知后</w:t>
      </w:r>
      <w:r>
        <w:rPr>
          <w:rFonts w:hint="eastAsia"/>
          <w:szCs w:val="21"/>
          <w:highlight w:val="none"/>
        </w:rPr>
        <w:t>20</w:t>
      </w:r>
      <w:r>
        <w:rPr>
          <w:szCs w:val="21"/>
          <w:highlight w:val="none"/>
        </w:rPr>
        <w:t>个工作日内发起组织专家验收会。</w:t>
      </w:r>
    </w:p>
    <w:p>
      <w:pPr>
        <w:rPr>
          <w:rFonts w:hint="eastAsia"/>
          <w:szCs w:val="21"/>
          <w:highlight w:val="none"/>
        </w:rPr>
      </w:pPr>
      <w:r>
        <w:rPr>
          <w:rFonts w:hint="eastAsia"/>
          <w:szCs w:val="21"/>
          <w:highlight w:val="none"/>
        </w:rPr>
        <w:t>（6</w:t>
      </w:r>
      <w:r>
        <w:rPr>
          <w:szCs w:val="21"/>
          <w:highlight w:val="none"/>
        </w:rPr>
        <w:t>）如果属于供应商原因致使本项目未能通过终验，供应商应当排除缺陷，直至本项目完全符合验收标准，由上述情形而产生的相关费用应由供应商自行承担。</w:t>
      </w:r>
    </w:p>
    <w:p>
      <w:pPr>
        <w:rPr>
          <w:rFonts w:hint="eastAsia"/>
          <w:szCs w:val="21"/>
          <w:highlight w:val="none"/>
        </w:rPr>
      </w:pPr>
      <w:r>
        <w:rPr>
          <w:rFonts w:hint="eastAsia"/>
          <w:szCs w:val="21"/>
          <w:highlight w:val="none"/>
        </w:rPr>
        <w:t>（7</w:t>
      </w:r>
      <w:r>
        <w:rPr>
          <w:szCs w:val="21"/>
          <w:highlight w:val="none"/>
        </w:rPr>
        <w:t>）如果由于招标方原因导致本项目在终验通过前出现故障或问题，供应商应及时配合排除该方面的故障或问题。</w:t>
      </w:r>
    </w:p>
    <w:p>
      <w:pPr>
        <w:rPr>
          <w:rFonts w:hint="eastAsia"/>
          <w:szCs w:val="21"/>
          <w:highlight w:val="none"/>
        </w:rPr>
      </w:pPr>
      <w:r>
        <w:rPr>
          <w:rFonts w:hint="eastAsia"/>
          <w:szCs w:val="21"/>
          <w:highlight w:val="none"/>
        </w:rPr>
        <w:t>（8</w:t>
      </w:r>
      <w:r>
        <w:rPr>
          <w:szCs w:val="21"/>
          <w:highlight w:val="none"/>
        </w:rPr>
        <w:t>）如本项目连续3次验收未通过（含初验未通过或终验未通过），招标方有权解除项目，并有权依照本项目约定的违约条款追究供应商的违约责任。</w:t>
      </w:r>
    </w:p>
    <w:p>
      <w:pPr>
        <w:pStyle w:val="3"/>
        <w:rPr>
          <w:rFonts w:hint="eastAsia"/>
          <w:highlight w:val="none"/>
        </w:rPr>
      </w:pPr>
      <w:bookmarkStart w:id="32" w:name="_Toc63785509"/>
      <w:r>
        <w:rPr>
          <w:rFonts w:hint="eastAsia"/>
          <w:highlight w:val="none"/>
        </w:rPr>
        <w:t>进度要求</w:t>
      </w:r>
      <w:bookmarkEnd w:id="32"/>
    </w:p>
    <w:p>
      <w:pPr>
        <w:rPr>
          <w:rFonts w:hint="eastAsia"/>
          <w:highlight w:val="none"/>
        </w:rPr>
      </w:pPr>
      <w:r>
        <w:rPr>
          <w:rFonts w:hint="eastAsia"/>
          <w:highlight w:val="none"/>
        </w:rPr>
        <w:t>投标人应根据建设内容，分阶段制定合理的时间进度，并且应根据招标方要求进行调整和细化。</w:t>
      </w:r>
    </w:p>
    <w:p>
      <w:pPr>
        <w:rPr>
          <w:rFonts w:hint="eastAsia"/>
          <w:highlight w:val="none"/>
        </w:rPr>
      </w:pPr>
      <w:r>
        <w:rPr>
          <w:rFonts w:hint="eastAsia"/>
          <w:highlight w:val="none"/>
        </w:rPr>
        <w:t>总建设周期为8个月，分为4个阶段。</w:t>
      </w:r>
    </w:p>
    <w:p>
      <w:pPr>
        <w:rPr>
          <w:rFonts w:hint="eastAsia"/>
          <w:highlight w:val="none"/>
        </w:rPr>
      </w:pPr>
      <w:bookmarkStart w:id="33" w:name="_Toc63785510"/>
      <w:r>
        <w:rPr>
          <w:rFonts w:hint="eastAsia"/>
          <w:highlight w:val="none"/>
        </w:rPr>
        <w:t>第一阶段为1个月，完成项目有关业务、系统和需求的调研，形成总体设计方案，完成系统架构、基础资源、功能等详细设计，并提供主体建设内容的部分系统原型。</w:t>
      </w:r>
    </w:p>
    <w:p>
      <w:pPr>
        <w:rPr>
          <w:rFonts w:hint="eastAsia"/>
          <w:highlight w:val="none"/>
        </w:rPr>
      </w:pPr>
      <w:r>
        <w:rPr>
          <w:rFonts w:hint="eastAsia"/>
          <w:highlight w:val="none"/>
        </w:rPr>
        <w:t>第二阶段为5个月，完成数据归集整合、资源申请和各模块的开发与测试工作，完成系统联调与部署，发布beta测试版本。</w:t>
      </w:r>
    </w:p>
    <w:p>
      <w:pPr>
        <w:rPr>
          <w:rFonts w:hint="eastAsia"/>
          <w:highlight w:val="none"/>
        </w:rPr>
      </w:pPr>
      <w:r>
        <w:rPr>
          <w:rFonts w:hint="eastAsia"/>
          <w:highlight w:val="none"/>
        </w:rPr>
        <w:t>第三阶段为1个月，完成项目功能试运行和项目测评，修正各模块联调中出现的问题，完成系统完善和功能迭代，直至发布正式运行版本。</w:t>
      </w:r>
    </w:p>
    <w:p>
      <w:pPr>
        <w:rPr>
          <w:rFonts w:hint="eastAsia"/>
          <w:highlight w:val="none"/>
        </w:rPr>
      </w:pPr>
      <w:r>
        <w:rPr>
          <w:rFonts w:hint="eastAsia"/>
          <w:highlight w:val="none"/>
        </w:rPr>
        <w:t>第四阶段为1个月，完成项目验收并启动项目的正式运行，根据项目运行情况和验收要求开展功能优化和绩效评价等工作。</w:t>
      </w:r>
    </w:p>
    <w:p>
      <w:pPr>
        <w:pStyle w:val="3"/>
        <w:rPr>
          <w:rFonts w:hint="eastAsia"/>
          <w:highlight w:val="none"/>
        </w:rPr>
      </w:pPr>
      <w:r>
        <w:rPr>
          <w:rFonts w:hint="eastAsia"/>
          <w:highlight w:val="none"/>
        </w:rPr>
        <w:t>项目团队及驻场人员要求</w:t>
      </w:r>
      <w:bookmarkEnd w:id="33"/>
    </w:p>
    <w:p>
      <w:pPr>
        <w:rPr>
          <w:rFonts w:hint="eastAsia"/>
          <w:highlight w:val="none"/>
        </w:rPr>
      </w:pPr>
      <w:r>
        <w:rPr>
          <w:highlight w:val="none"/>
        </w:rPr>
        <w:t>1）投标人须具有稳定的在职技术保障力量，能够提供及时的技术支援或服务，应针对本项目提供不少于</w:t>
      </w:r>
      <w:r>
        <w:rPr>
          <w:rFonts w:hint="eastAsia"/>
          <w:highlight w:val="none"/>
        </w:rPr>
        <w:t>14</w:t>
      </w:r>
      <w:r>
        <w:rPr>
          <w:highlight w:val="none"/>
        </w:rPr>
        <w:t>人的项目服务团队（包括项目经理、产品经理、技术负责人、研发等），投标单位的相关服务人员需具备相应的服务能力，需提供相关证明。</w:t>
      </w:r>
    </w:p>
    <w:tbl>
      <w:tblPr>
        <w:tblStyle w:val="35"/>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840"/>
        <w:gridCol w:w="1180"/>
        <w:gridCol w:w="2647"/>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角色</w:t>
            </w:r>
          </w:p>
        </w:tc>
        <w:tc>
          <w:tcPr>
            <w:tcW w:w="1840" w:type="dxa"/>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主要职责</w:t>
            </w:r>
          </w:p>
        </w:tc>
        <w:tc>
          <w:tcPr>
            <w:tcW w:w="1180" w:type="dxa"/>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人员数量</w:t>
            </w:r>
          </w:p>
        </w:tc>
        <w:tc>
          <w:tcPr>
            <w:tcW w:w="2647" w:type="dxa"/>
            <w:vAlign w:val="center"/>
          </w:tcPr>
          <w:p>
            <w:pPr>
              <w:widowControl/>
              <w:spacing w:line="240" w:lineRule="auto"/>
              <w:ind w:firstLine="0" w:firstLineChars="0"/>
              <w:jc w:val="center"/>
              <w:rPr>
                <w:rFonts w:hint="eastAsia"/>
                <w:b/>
                <w:highlight w:val="none"/>
              </w:rPr>
            </w:pPr>
            <w:r>
              <w:rPr>
                <w:rFonts w:hint="eastAsia"/>
                <w:b/>
                <w:highlight w:val="none"/>
              </w:rPr>
              <w:t>人员要求</w:t>
            </w:r>
          </w:p>
        </w:tc>
        <w:tc>
          <w:tcPr>
            <w:tcW w:w="1416" w:type="dxa"/>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驻场要求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项目经理</w:t>
            </w:r>
          </w:p>
        </w:tc>
        <w:tc>
          <w:tcPr>
            <w:tcW w:w="1840" w:type="dxa"/>
            <w:shd w:val="clear" w:color="auto" w:fill="auto"/>
            <w:vAlign w:val="center"/>
          </w:tcPr>
          <w:p>
            <w:pPr>
              <w:widowControl/>
              <w:spacing w:line="240" w:lineRule="auto"/>
              <w:ind w:firstLine="0" w:firstLineChars="0"/>
              <w:jc w:val="center"/>
              <w:rPr>
                <w:rFonts w:hint="eastAsia"/>
                <w:highlight w:val="none"/>
              </w:rPr>
            </w:pPr>
            <w:r>
              <w:rPr>
                <w:rFonts w:hint="eastAsia"/>
                <w:highlight w:val="none"/>
              </w:rPr>
              <w:t>负责项目质量和进度控制</w:t>
            </w:r>
          </w:p>
        </w:tc>
        <w:tc>
          <w:tcPr>
            <w:tcW w:w="1180"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1人</w:t>
            </w:r>
          </w:p>
        </w:tc>
        <w:tc>
          <w:tcPr>
            <w:tcW w:w="2647" w:type="dxa"/>
          </w:tcPr>
          <w:p>
            <w:pPr>
              <w:widowControl/>
              <w:spacing w:line="240" w:lineRule="auto"/>
              <w:ind w:firstLine="0" w:firstLineChars="0"/>
              <w:jc w:val="center"/>
              <w:rPr>
                <w:rFonts w:hint="eastAsia"/>
                <w:highlight w:val="none"/>
              </w:rPr>
            </w:pPr>
            <w:r>
              <w:rPr>
                <w:rFonts w:hint="eastAsia"/>
                <w:highlight w:val="none"/>
              </w:rPr>
              <w:t>本科及以上学历，具有信息系统项目管理师（高级）证书</w:t>
            </w:r>
          </w:p>
        </w:tc>
        <w:tc>
          <w:tcPr>
            <w:tcW w:w="1416"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不驻场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tcPr>
          <w:p>
            <w:pPr>
              <w:widowControl/>
              <w:spacing w:line="240" w:lineRule="auto"/>
              <w:ind w:firstLine="0" w:firstLineChars="0"/>
              <w:jc w:val="center"/>
              <w:rPr>
                <w:rFonts w:hint="eastAsia"/>
                <w:highlight w:val="none"/>
              </w:rPr>
            </w:pPr>
            <w:r>
              <w:rPr>
                <w:rFonts w:hint="eastAsia"/>
                <w:highlight w:val="none"/>
              </w:rPr>
              <w:t>技术负责人</w:t>
            </w:r>
          </w:p>
        </w:tc>
        <w:tc>
          <w:tcPr>
            <w:tcW w:w="1840" w:type="dxa"/>
            <w:shd w:val="clear" w:color="auto" w:fill="auto"/>
          </w:tcPr>
          <w:p>
            <w:pPr>
              <w:widowControl/>
              <w:spacing w:line="240" w:lineRule="auto"/>
              <w:ind w:firstLine="0" w:firstLineChars="0"/>
              <w:jc w:val="center"/>
              <w:rPr>
                <w:rFonts w:hint="eastAsia"/>
                <w:highlight w:val="none"/>
              </w:rPr>
            </w:pPr>
            <w:r>
              <w:rPr>
                <w:rFonts w:hint="eastAsia"/>
                <w:highlight w:val="none"/>
              </w:rPr>
              <w:t>负责项目具体开发、设计与实施</w:t>
            </w:r>
          </w:p>
        </w:tc>
        <w:tc>
          <w:tcPr>
            <w:tcW w:w="1180" w:type="dxa"/>
            <w:shd w:val="clear" w:color="auto" w:fill="auto"/>
            <w:noWrap/>
          </w:tcPr>
          <w:p>
            <w:pPr>
              <w:widowControl/>
              <w:spacing w:line="240" w:lineRule="auto"/>
              <w:ind w:firstLine="0" w:firstLineChars="0"/>
              <w:jc w:val="center"/>
              <w:rPr>
                <w:rFonts w:hint="eastAsia"/>
                <w:highlight w:val="none"/>
              </w:rPr>
            </w:pPr>
            <w:r>
              <w:rPr>
                <w:rFonts w:hint="eastAsia"/>
                <w:highlight w:val="none"/>
              </w:rPr>
              <w:t>1人</w:t>
            </w:r>
          </w:p>
        </w:tc>
        <w:tc>
          <w:tcPr>
            <w:tcW w:w="2647" w:type="dxa"/>
          </w:tcPr>
          <w:p>
            <w:pPr>
              <w:widowControl/>
              <w:spacing w:line="240" w:lineRule="auto"/>
              <w:ind w:firstLine="0" w:firstLineChars="0"/>
              <w:jc w:val="center"/>
              <w:rPr>
                <w:rFonts w:hint="eastAsia" w:eastAsia="宋体"/>
                <w:highlight w:val="none"/>
                <w:lang w:eastAsia="zh-CN"/>
              </w:rPr>
            </w:pPr>
            <w:r>
              <w:rPr>
                <w:rFonts w:hint="eastAsia"/>
                <w:highlight w:val="none"/>
              </w:rPr>
              <w:t>本科及以上学历，具备计算机类高级工程师职称或软件设计师</w:t>
            </w:r>
            <w:r>
              <w:rPr>
                <w:rFonts w:hint="eastAsia"/>
                <w:highlight w:val="none"/>
                <w:lang w:eastAsia="zh-CN"/>
              </w:rPr>
              <w:t>（</w:t>
            </w:r>
            <w:r>
              <w:rPr>
                <w:rFonts w:hint="eastAsia"/>
                <w:highlight w:val="none"/>
                <w:lang w:val="en-US" w:eastAsia="zh-CN"/>
              </w:rPr>
              <w:t>证书</w:t>
            </w:r>
            <w:r>
              <w:rPr>
                <w:rFonts w:hint="eastAsia"/>
                <w:highlight w:val="none"/>
                <w:lang w:eastAsia="zh-CN"/>
              </w:rPr>
              <w:t>）</w:t>
            </w:r>
          </w:p>
        </w:tc>
        <w:tc>
          <w:tcPr>
            <w:tcW w:w="1416"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不驻场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研发</w:t>
            </w:r>
          </w:p>
        </w:tc>
        <w:tc>
          <w:tcPr>
            <w:tcW w:w="1840"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负责项目具体开发与实施</w:t>
            </w:r>
          </w:p>
        </w:tc>
        <w:tc>
          <w:tcPr>
            <w:tcW w:w="1180"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12人</w:t>
            </w:r>
          </w:p>
        </w:tc>
        <w:tc>
          <w:tcPr>
            <w:tcW w:w="2647" w:type="dxa"/>
          </w:tcPr>
          <w:p>
            <w:pPr>
              <w:widowControl/>
              <w:spacing w:line="240" w:lineRule="auto"/>
              <w:ind w:firstLine="0" w:firstLineChars="0"/>
              <w:jc w:val="center"/>
              <w:rPr>
                <w:rFonts w:hint="eastAsia"/>
                <w:highlight w:val="none"/>
              </w:rPr>
            </w:pPr>
            <w:r>
              <w:rPr>
                <w:rFonts w:hint="eastAsia"/>
                <w:highlight w:val="none"/>
              </w:rPr>
              <w:t>专科及以上学历</w:t>
            </w:r>
          </w:p>
        </w:tc>
        <w:tc>
          <w:tcPr>
            <w:tcW w:w="1416" w:type="dxa"/>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驻场1人</w:t>
            </w:r>
          </w:p>
        </w:tc>
      </w:tr>
    </w:tbl>
    <w:p>
      <w:pPr>
        <w:rPr>
          <w:rFonts w:hint="eastAsia"/>
          <w:highlight w:val="none"/>
        </w:rPr>
      </w:pPr>
      <w:r>
        <w:rPr>
          <w:highlight w:val="none"/>
        </w:rPr>
        <w:t>2）投标人应针对本项目提供不少于</w:t>
      </w:r>
      <w:r>
        <w:rPr>
          <w:rFonts w:hint="eastAsia"/>
          <w:highlight w:val="none"/>
        </w:rPr>
        <w:t>4</w:t>
      </w:r>
      <w:r>
        <w:rPr>
          <w:highlight w:val="none"/>
        </w:rPr>
        <w:t>人的质保期间支撑团队（其中技术经理</w:t>
      </w:r>
      <w:r>
        <w:rPr>
          <w:rFonts w:hint="eastAsia"/>
          <w:highlight w:val="none"/>
        </w:rPr>
        <w:t>1</w:t>
      </w:r>
      <w:r>
        <w:rPr>
          <w:highlight w:val="none"/>
        </w:rPr>
        <w:t>人，产品经理</w:t>
      </w:r>
      <w:r>
        <w:rPr>
          <w:rFonts w:hint="eastAsia"/>
          <w:highlight w:val="none"/>
        </w:rPr>
        <w:t>1</w:t>
      </w:r>
      <w:r>
        <w:rPr>
          <w:highlight w:val="none"/>
        </w:rPr>
        <w:t>人，技术工程师不少于</w:t>
      </w:r>
      <w:r>
        <w:rPr>
          <w:rFonts w:hint="eastAsia"/>
          <w:highlight w:val="none"/>
        </w:rPr>
        <w:t>2</w:t>
      </w:r>
      <w:r>
        <w:rPr>
          <w:highlight w:val="none"/>
        </w:rPr>
        <w:t>人）；投标人的相关服务人员需具备相应的服务能力，需提供相关证明。</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3118"/>
        <w:gridCol w:w="1180"/>
        <w:gridCol w:w="1634"/>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b/>
                <w:highlight w:val="none"/>
              </w:rPr>
            </w:pPr>
            <w:bookmarkStart w:id="34" w:name="_Toc63785511"/>
            <w:bookmarkStart w:id="35" w:name="_Toc63785512"/>
            <w:r>
              <w:rPr>
                <w:rFonts w:hint="eastAsia"/>
                <w:b/>
                <w:highlight w:val="none"/>
              </w:rPr>
              <w:t>角色</w:t>
            </w:r>
          </w:p>
        </w:tc>
        <w:tc>
          <w:tcPr>
            <w:tcW w:w="0" w:type="auto"/>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主要职责</w:t>
            </w:r>
          </w:p>
        </w:tc>
        <w:tc>
          <w:tcPr>
            <w:tcW w:w="0" w:type="auto"/>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人员数量</w:t>
            </w:r>
          </w:p>
        </w:tc>
        <w:tc>
          <w:tcPr>
            <w:tcW w:w="0" w:type="auto"/>
            <w:vAlign w:val="center"/>
          </w:tcPr>
          <w:p>
            <w:pPr>
              <w:widowControl/>
              <w:spacing w:line="240" w:lineRule="auto"/>
              <w:ind w:firstLine="0" w:firstLineChars="0"/>
              <w:jc w:val="center"/>
              <w:rPr>
                <w:rFonts w:hint="eastAsia"/>
                <w:b/>
                <w:highlight w:val="none"/>
              </w:rPr>
            </w:pPr>
            <w:r>
              <w:rPr>
                <w:rFonts w:hint="eastAsia"/>
                <w:b/>
                <w:highlight w:val="none"/>
              </w:rPr>
              <w:t>人员要求</w:t>
            </w:r>
          </w:p>
        </w:tc>
        <w:tc>
          <w:tcPr>
            <w:tcW w:w="0" w:type="auto"/>
            <w:shd w:val="clear" w:color="auto" w:fill="auto"/>
            <w:noWrap/>
            <w:vAlign w:val="center"/>
          </w:tcPr>
          <w:p>
            <w:pPr>
              <w:widowControl/>
              <w:spacing w:line="240" w:lineRule="auto"/>
              <w:ind w:firstLine="0" w:firstLineChars="0"/>
              <w:jc w:val="center"/>
              <w:rPr>
                <w:rFonts w:hint="eastAsia"/>
                <w:b/>
                <w:highlight w:val="none"/>
              </w:rPr>
            </w:pPr>
            <w:r>
              <w:rPr>
                <w:rFonts w:hint="eastAsia"/>
                <w:b/>
                <w:highlight w:val="none"/>
              </w:rPr>
              <w:t>驻场要求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项目经理</w:t>
            </w:r>
          </w:p>
        </w:tc>
        <w:tc>
          <w:tcPr>
            <w:tcW w:w="0" w:type="auto"/>
            <w:shd w:val="clear" w:color="auto" w:fill="auto"/>
            <w:vAlign w:val="center"/>
          </w:tcPr>
          <w:p>
            <w:pPr>
              <w:widowControl/>
              <w:spacing w:line="240" w:lineRule="auto"/>
              <w:ind w:firstLine="0" w:firstLineChars="0"/>
              <w:jc w:val="center"/>
              <w:rPr>
                <w:rFonts w:hint="eastAsia"/>
                <w:highlight w:val="none"/>
              </w:rPr>
            </w:pPr>
            <w:r>
              <w:rPr>
                <w:rFonts w:hint="eastAsia"/>
                <w:highlight w:val="none"/>
              </w:rPr>
              <w:t>负责项目质量和进度控制</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1人</w:t>
            </w:r>
          </w:p>
        </w:tc>
        <w:tc>
          <w:tcPr>
            <w:tcW w:w="0" w:type="auto"/>
          </w:tcPr>
          <w:p>
            <w:pPr>
              <w:widowControl/>
              <w:spacing w:line="240" w:lineRule="auto"/>
              <w:ind w:firstLine="0" w:firstLineChars="0"/>
              <w:jc w:val="center"/>
              <w:rPr>
                <w:rFonts w:hint="eastAsia"/>
                <w:highlight w:val="none"/>
              </w:rPr>
            </w:pPr>
            <w:r>
              <w:rPr>
                <w:rFonts w:hint="eastAsia"/>
                <w:highlight w:val="none"/>
              </w:rPr>
              <w:t>本科及以上学历</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不驻场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产品经理</w:t>
            </w:r>
          </w:p>
        </w:tc>
        <w:tc>
          <w:tcPr>
            <w:tcW w:w="0" w:type="auto"/>
            <w:shd w:val="clear" w:color="auto" w:fill="auto"/>
            <w:vAlign w:val="center"/>
          </w:tcPr>
          <w:p>
            <w:pPr>
              <w:widowControl/>
              <w:spacing w:line="240" w:lineRule="auto"/>
              <w:ind w:firstLine="0" w:firstLineChars="0"/>
              <w:jc w:val="center"/>
              <w:rPr>
                <w:rFonts w:hint="eastAsia"/>
                <w:highlight w:val="none"/>
              </w:rPr>
            </w:pPr>
            <w:r>
              <w:rPr>
                <w:rFonts w:hint="eastAsia"/>
                <w:highlight w:val="none"/>
              </w:rPr>
              <w:t>负责项目需求评估与产品设计</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1人</w:t>
            </w:r>
          </w:p>
        </w:tc>
        <w:tc>
          <w:tcPr>
            <w:tcW w:w="0" w:type="auto"/>
          </w:tcPr>
          <w:p>
            <w:pPr>
              <w:widowControl/>
              <w:spacing w:line="240" w:lineRule="auto"/>
              <w:ind w:firstLine="0" w:firstLineChars="0"/>
              <w:jc w:val="center"/>
              <w:rPr>
                <w:rFonts w:hint="eastAsia"/>
                <w:highlight w:val="none"/>
              </w:rPr>
            </w:pPr>
            <w:r>
              <w:rPr>
                <w:rFonts w:hint="eastAsia"/>
                <w:highlight w:val="none"/>
              </w:rPr>
              <w:t>本科及以上学历</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不驻场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技术工程师</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负责项目运行维护</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2人</w:t>
            </w:r>
          </w:p>
        </w:tc>
        <w:tc>
          <w:tcPr>
            <w:tcW w:w="0" w:type="auto"/>
          </w:tcPr>
          <w:p>
            <w:pPr>
              <w:widowControl/>
              <w:spacing w:line="240" w:lineRule="auto"/>
              <w:ind w:firstLine="0" w:firstLineChars="0"/>
              <w:jc w:val="center"/>
              <w:rPr>
                <w:rFonts w:hint="eastAsia"/>
                <w:highlight w:val="none"/>
              </w:rPr>
            </w:pPr>
            <w:r>
              <w:rPr>
                <w:rFonts w:hint="eastAsia"/>
                <w:highlight w:val="none"/>
              </w:rPr>
              <w:t>专科及以上学历</w:t>
            </w:r>
          </w:p>
        </w:tc>
        <w:tc>
          <w:tcPr>
            <w:tcW w:w="0" w:type="auto"/>
            <w:shd w:val="clear" w:color="auto" w:fill="auto"/>
            <w:noWrap/>
            <w:vAlign w:val="center"/>
          </w:tcPr>
          <w:p>
            <w:pPr>
              <w:widowControl/>
              <w:spacing w:line="240" w:lineRule="auto"/>
              <w:ind w:firstLine="0" w:firstLineChars="0"/>
              <w:jc w:val="center"/>
              <w:rPr>
                <w:rFonts w:hint="eastAsia"/>
                <w:highlight w:val="none"/>
              </w:rPr>
            </w:pPr>
            <w:r>
              <w:rPr>
                <w:rFonts w:hint="eastAsia"/>
                <w:highlight w:val="none"/>
              </w:rPr>
              <w:t>1人驻场</w:t>
            </w:r>
          </w:p>
        </w:tc>
      </w:tr>
    </w:tbl>
    <w:p>
      <w:pPr>
        <w:pStyle w:val="3"/>
        <w:rPr>
          <w:rFonts w:hint="eastAsia"/>
          <w:highlight w:val="none"/>
        </w:rPr>
      </w:pPr>
      <w:r>
        <w:rPr>
          <w:highlight w:val="none"/>
        </w:rPr>
        <w:t>等级保护要求</w:t>
      </w:r>
      <w:bookmarkEnd w:id="34"/>
    </w:p>
    <w:p>
      <w:pPr>
        <w:rPr>
          <w:rFonts w:hint="eastAsia"/>
          <w:highlight w:val="none"/>
        </w:rPr>
      </w:pPr>
      <w:r>
        <w:rPr>
          <w:highlight w:val="none"/>
        </w:rPr>
        <w:t>本项目等级保护要求： 参照</w:t>
      </w:r>
      <w:r>
        <w:rPr>
          <w:rFonts w:hint="eastAsia"/>
          <w:highlight w:val="none"/>
        </w:rPr>
        <w:t>等保三级</w:t>
      </w:r>
      <w:r>
        <w:rPr>
          <w:highlight w:val="none"/>
        </w:rPr>
        <w:t>要求建设。</w:t>
      </w:r>
    </w:p>
    <w:p>
      <w:pPr>
        <w:pStyle w:val="3"/>
        <w:rPr>
          <w:rFonts w:hint="eastAsia"/>
          <w:highlight w:val="none"/>
        </w:rPr>
      </w:pPr>
      <w:r>
        <w:rPr>
          <w:rFonts w:hint="eastAsia"/>
          <w:highlight w:val="none"/>
        </w:rPr>
        <w:t>商业密码应用需求</w:t>
      </w:r>
    </w:p>
    <w:p>
      <w:pPr>
        <w:rPr>
          <w:rFonts w:hint="eastAsia"/>
          <w:highlight w:val="none"/>
        </w:rPr>
      </w:pPr>
      <w:r>
        <w:rPr>
          <w:rFonts w:hint="eastAsia"/>
          <w:highlight w:val="none"/>
        </w:rPr>
        <w:t>满足商业密码应用建设要求，并通过商业密码应用安全测评，综合评分需达到75分。</w:t>
      </w:r>
    </w:p>
    <w:p>
      <w:pPr>
        <w:pStyle w:val="3"/>
        <w:rPr>
          <w:rFonts w:hint="eastAsia"/>
          <w:highlight w:val="none"/>
        </w:rPr>
      </w:pPr>
      <w:r>
        <w:rPr>
          <w:rFonts w:hint="eastAsia"/>
          <w:highlight w:val="none"/>
        </w:rPr>
        <w:t>技术文件要求</w:t>
      </w:r>
    </w:p>
    <w:p>
      <w:pPr>
        <w:rPr>
          <w:rFonts w:hint="eastAsia"/>
          <w:highlight w:val="none"/>
        </w:rPr>
      </w:pPr>
      <w:r>
        <w:rPr>
          <w:rFonts w:hint="eastAsia"/>
          <w:highlight w:val="none"/>
        </w:rPr>
        <w:t>投标人提供的书面技术资料应能确保系统正常运行所需的管理、运营及维护有关的全套文件。技术文件应该全面、完整、详细。投标人提供的技术文件至少应包括：</w:t>
      </w:r>
    </w:p>
    <w:p>
      <w:pPr>
        <w:rPr>
          <w:rFonts w:hint="eastAsia"/>
          <w:highlight w:val="none"/>
        </w:rPr>
      </w:pPr>
      <w:r>
        <w:rPr>
          <w:rFonts w:hint="eastAsia"/>
          <w:highlight w:val="none"/>
        </w:rPr>
        <w:t>－</w:t>
      </w:r>
      <w:r>
        <w:rPr>
          <w:highlight w:val="none"/>
        </w:rPr>
        <w:t xml:space="preserve"> 系统说明文件； </w:t>
      </w:r>
    </w:p>
    <w:p>
      <w:pPr>
        <w:rPr>
          <w:rFonts w:hint="eastAsia"/>
          <w:highlight w:val="none"/>
        </w:rPr>
      </w:pPr>
      <w:r>
        <w:rPr>
          <w:rFonts w:hint="eastAsia"/>
          <w:highlight w:val="none"/>
        </w:rPr>
        <w:t>－</w:t>
      </w:r>
      <w:r>
        <w:rPr>
          <w:highlight w:val="none"/>
        </w:rPr>
        <w:t xml:space="preserve"> 技术手册(安装、测试、操作、维护、故障排除等)； </w:t>
      </w:r>
    </w:p>
    <w:p>
      <w:pPr>
        <w:rPr>
          <w:rFonts w:hint="eastAsia"/>
          <w:highlight w:val="none"/>
        </w:rPr>
      </w:pPr>
      <w:r>
        <w:rPr>
          <w:rFonts w:hint="eastAsia"/>
          <w:highlight w:val="none"/>
        </w:rPr>
        <w:t>－</w:t>
      </w:r>
      <w:r>
        <w:rPr>
          <w:highlight w:val="none"/>
        </w:rPr>
        <w:t xml:space="preserve"> 项目文档，应该包括：</w:t>
      </w:r>
    </w:p>
    <w:p>
      <w:pPr>
        <w:ind w:left="360"/>
        <w:rPr>
          <w:rFonts w:hint="eastAsia"/>
          <w:highlight w:val="none"/>
        </w:rPr>
      </w:pPr>
      <w:r>
        <w:rPr>
          <w:highlight w:val="none"/>
        </w:rPr>
        <w:t>(1)软件需求说明书</w:t>
      </w:r>
    </w:p>
    <w:p>
      <w:pPr>
        <w:ind w:left="360"/>
        <w:rPr>
          <w:rFonts w:hint="eastAsia"/>
          <w:highlight w:val="none"/>
        </w:rPr>
      </w:pPr>
      <w:r>
        <w:rPr>
          <w:highlight w:val="none"/>
        </w:rPr>
        <w:t>(2)</w:t>
      </w:r>
      <w:r>
        <w:rPr>
          <w:highlight w:val="none"/>
        </w:rPr>
        <w:tab/>
      </w:r>
      <w:r>
        <w:rPr>
          <w:highlight w:val="none"/>
        </w:rPr>
        <w:t>系统总体设计说明书</w:t>
      </w:r>
    </w:p>
    <w:p>
      <w:pPr>
        <w:ind w:left="360"/>
        <w:rPr>
          <w:rFonts w:hint="eastAsia"/>
          <w:highlight w:val="none"/>
        </w:rPr>
      </w:pPr>
      <w:r>
        <w:rPr>
          <w:highlight w:val="none"/>
        </w:rPr>
        <w:t>(3)</w:t>
      </w:r>
      <w:r>
        <w:rPr>
          <w:highlight w:val="none"/>
        </w:rPr>
        <w:tab/>
      </w:r>
      <w:r>
        <w:rPr>
          <w:highlight w:val="none"/>
        </w:rPr>
        <w:t>应用软件功能清单</w:t>
      </w:r>
    </w:p>
    <w:p>
      <w:pPr>
        <w:rPr>
          <w:rFonts w:hint="eastAsia"/>
          <w:highlight w:val="none"/>
        </w:rPr>
      </w:pPr>
      <w:r>
        <w:rPr>
          <w:rFonts w:hint="eastAsia"/>
          <w:highlight w:val="none"/>
        </w:rPr>
        <w:t>提供全套技术文件纸介质</w:t>
      </w:r>
      <w:r>
        <w:rPr>
          <w:highlight w:val="none"/>
        </w:rPr>
        <w:t>3套以及电子文件1套。</w:t>
      </w:r>
    </w:p>
    <w:p>
      <w:pPr>
        <w:pStyle w:val="2"/>
        <w:rPr>
          <w:rFonts w:hint="eastAsia"/>
          <w:highlight w:val="none"/>
        </w:rPr>
      </w:pPr>
      <w:r>
        <w:rPr>
          <w:rFonts w:hint="eastAsia"/>
          <w:highlight w:val="none"/>
        </w:rPr>
        <w:t>供应商资质要求</w:t>
      </w:r>
    </w:p>
    <w:p>
      <w:pPr>
        <w:rPr>
          <w:rFonts w:hint="default" w:eastAsia="宋体"/>
          <w:highlight w:val="none"/>
          <w:lang w:val="en-US" w:eastAsia="zh-CN"/>
        </w:rPr>
      </w:pPr>
      <w:r>
        <w:rPr>
          <w:rFonts w:hint="eastAsia"/>
          <w:highlight w:val="none"/>
          <w:lang w:val="en-US" w:eastAsia="zh-CN"/>
        </w:rPr>
        <w:t>供应商应当具有类似项目建设管理经验，具备ISO27001信息安全管理体系认证证书。</w:t>
      </w:r>
    </w:p>
    <w:p>
      <w:pPr>
        <w:pStyle w:val="2"/>
        <w:rPr>
          <w:rFonts w:hint="eastAsia"/>
          <w:highlight w:val="none"/>
        </w:rPr>
      </w:pPr>
      <w:r>
        <w:rPr>
          <w:rFonts w:hint="eastAsia"/>
          <w:highlight w:val="none"/>
        </w:rPr>
        <w:t>供应商管理要求</w:t>
      </w:r>
      <w:bookmarkEnd w:id="35"/>
    </w:p>
    <w:p>
      <w:pPr>
        <w:pStyle w:val="80"/>
        <w:ind w:firstLine="480"/>
        <w:rPr>
          <w:rFonts w:hint="eastAsia"/>
          <w:sz w:val="24"/>
          <w:szCs w:val="24"/>
          <w:highlight w:val="none"/>
        </w:rPr>
      </w:pPr>
      <w:r>
        <w:rPr>
          <w:rFonts w:hint="eastAsia"/>
          <w:sz w:val="24"/>
          <w:szCs w:val="24"/>
          <w:highlight w:val="none"/>
        </w:rPr>
        <w:t>1、在项目实施期间，中标人应严格执行国家、地方、行业有关本项目业务管理和安全作业的法律、法规和制度并按规定承担相应的费用。中标人因违反规定等原因造成的一切损失和责任由中标人自行承担。</w:t>
      </w:r>
    </w:p>
    <w:p>
      <w:pPr>
        <w:pStyle w:val="80"/>
        <w:ind w:firstLine="480"/>
        <w:rPr>
          <w:rFonts w:hint="eastAsia"/>
          <w:sz w:val="24"/>
          <w:szCs w:val="24"/>
          <w:highlight w:val="none"/>
        </w:rPr>
      </w:pPr>
      <w:r>
        <w:rPr>
          <w:rFonts w:hint="eastAsia"/>
          <w:sz w:val="24"/>
          <w:szCs w:val="24"/>
          <w:highlight w:val="none"/>
        </w:rPr>
        <w:t>2、中标人在投标书中承诺并经招标人认定的项目负责人及专业技术人员必须是本单位职工（在本单位缴纳社会保障金）和该项目实施现场的实际操作者，应具有类似本项目的实施经验，并应在软件应用调研、安装、试运行等期间常驻项目现场。未经采购人同意，中标人不得调换或撤离上述人员。如采购人认为有必要，可要求中标人对上述人员中的部分人员作出更好的调整。</w:t>
      </w:r>
    </w:p>
    <w:p>
      <w:pPr>
        <w:pStyle w:val="80"/>
        <w:ind w:firstLine="480"/>
        <w:rPr>
          <w:rFonts w:hint="eastAsia"/>
          <w:sz w:val="24"/>
          <w:szCs w:val="24"/>
          <w:highlight w:val="none"/>
        </w:rPr>
      </w:pPr>
      <w:r>
        <w:rPr>
          <w:rFonts w:hint="eastAsia"/>
          <w:sz w:val="24"/>
          <w:szCs w:val="24"/>
          <w:highlight w:val="none"/>
        </w:rPr>
        <w:t>3、中标人在项目实施期间，应按项目实际进度与环节落实所对应项目整体及各环节管理工作，按照规范做好项目实施期间相关管理与实施记录。</w:t>
      </w:r>
    </w:p>
    <w:p>
      <w:pPr>
        <w:pStyle w:val="80"/>
        <w:ind w:firstLine="480"/>
        <w:rPr>
          <w:rFonts w:hint="eastAsia"/>
          <w:sz w:val="24"/>
          <w:szCs w:val="24"/>
          <w:highlight w:val="none"/>
        </w:rPr>
      </w:pPr>
      <w:r>
        <w:rPr>
          <w:rFonts w:hint="eastAsia"/>
          <w:sz w:val="24"/>
          <w:szCs w:val="24"/>
          <w:highlight w:val="none"/>
        </w:rPr>
        <w:t>4、参与本项目的工作人员应严格遵循采购人的安全制度，保障采购人资料和设备的安全。中标方如需进入采购人机房工作，只能在采购人规定的工作区域内对项目涉及的设备进行操作，严禁触动与项目无关的任何设备（包括任何操作行为），如需跨区操作必须得到采购人项目联系人确认。</w:t>
      </w:r>
    </w:p>
    <w:p>
      <w:pPr>
        <w:pStyle w:val="80"/>
        <w:ind w:firstLine="480"/>
        <w:rPr>
          <w:rFonts w:hint="eastAsia"/>
          <w:sz w:val="24"/>
          <w:szCs w:val="24"/>
          <w:highlight w:val="none"/>
        </w:rPr>
      </w:pPr>
      <w:r>
        <w:rPr>
          <w:rFonts w:hint="eastAsia"/>
          <w:sz w:val="24"/>
          <w:szCs w:val="24"/>
          <w:highlight w:val="none"/>
        </w:rPr>
        <w:t>5、中标人在项目实施期间必须遵守采购人的规章制度并提供实施人员名单。</w:t>
      </w:r>
    </w:p>
    <w:p>
      <w:pPr>
        <w:pStyle w:val="80"/>
        <w:ind w:firstLine="480"/>
        <w:rPr>
          <w:rFonts w:hint="eastAsia"/>
          <w:sz w:val="24"/>
          <w:szCs w:val="24"/>
          <w:highlight w:val="none"/>
        </w:rPr>
      </w:pPr>
      <w:r>
        <w:rPr>
          <w:rFonts w:hint="eastAsia"/>
          <w:sz w:val="24"/>
          <w:szCs w:val="24"/>
          <w:highlight w:val="none"/>
        </w:rPr>
        <w:t>6、各投标人在投标文件中要结合本项目的特点和采购人上述的具体要求制定相应的管理措施，并在报价中列支相应的费用清单，投标人报价中未列支上述费用清单的，上述费用视为已包含在投标人的投标总报价中。</w:t>
      </w:r>
    </w:p>
    <w:p>
      <w:pPr>
        <w:pStyle w:val="80"/>
        <w:ind w:firstLine="480"/>
        <w:rPr>
          <w:rFonts w:hint="eastAsia"/>
          <w:highlight w:val="none"/>
        </w:rPr>
      </w:pPr>
      <w:r>
        <w:rPr>
          <w:rFonts w:hint="eastAsia"/>
          <w:sz w:val="24"/>
          <w:szCs w:val="24"/>
          <w:highlight w:val="none"/>
        </w:rPr>
        <w:t>7、本项目软件开发及调试将纳入采购人的管理范围，中标人在此过程中须服从上述单位的管理协调。</w:t>
      </w:r>
    </w:p>
    <w:p>
      <w:pPr>
        <w:pStyle w:val="80"/>
        <w:ind w:firstLine="420"/>
        <w:rPr>
          <w:rFonts w:hint="eastAsia"/>
          <w:highlight w:val="none"/>
        </w:rPr>
      </w:pPr>
    </w:p>
    <w:p>
      <w:pPr>
        <w:pStyle w:val="2"/>
        <w:rPr>
          <w:rFonts w:hint="eastAsia"/>
          <w:highlight w:val="none"/>
        </w:rPr>
      </w:pPr>
      <w:bookmarkStart w:id="36" w:name="_Toc63785513"/>
      <w:r>
        <w:rPr>
          <w:rFonts w:hint="eastAsia"/>
          <w:highlight w:val="none"/>
        </w:rPr>
        <w:t>关于转让和分包的规定</w:t>
      </w:r>
    </w:p>
    <w:p>
      <w:pPr>
        <w:rPr>
          <w:rFonts w:hint="eastAsia"/>
          <w:highlight w:val="none"/>
        </w:rPr>
      </w:pPr>
      <w:r>
        <w:rPr>
          <w:rFonts w:hint="eastAsia"/>
          <w:highlight w:val="none"/>
        </w:rPr>
        <w:t>本项目不得转让不得分包。</w:t>
      </w:r>
    </w:p>
    <w:p>
      <w:pPr>
        <w:pStyle w:val="2"/>
        <w:rPr>
          <w:rFonts w:hint="eastAsia"/>
          <w:highlight w:val="none"/>
        </w:rPr>
      </w:pPr>
      <w:r>
        <w:rPr>
          <w:rFonts w:hint="eastAsia"/>
          <w:highlight w:val="none"/>
        </w:rPr>
        <w:t>知识产权及保密要求</w:t>
      </w:r>
      <w:bookmarkEnd w:id="36"/>
    </w:p>
    <w:p>
      <w:pPr>
        <w:ind w:firstLine="482"/>
        <w:rPr>
          <w:rFonts w:hint="eastAsia"/>
          <w:b/>
          <w:highlight w:val="none"/>
        </w:rPr>
      </w:pPr>
      <w:r>
        <w:rPr>
          <w:b/>
          <w:highlight w:val="none"/>
        </w:rPr>
        <w:t>1、中标人数据、文件、资料知识产权</w:t>
      </w:r>
    </w:p>
    <w:p>
      <w:pPr>
        <w:rPr>
          <w:rFonts w:hint="eastAsia"/>
          <w:highlight w:val="none"/>
        </w:rPr>
      </w:pPr>
      <w:r>
        <w:rPr>
          <w:rFonts w:hint="eastAsia"/>
          <w:highlight w:val="none"/>
        </w:rPr>
        <w:t>中标人保证其所提供的服务和交付的成果以及在履行本项目义务中使用到的所有数据、文件、信息不会引起任何第三方在专利权、著作权、商标权等知识产权方面向采购人或采购人的关联方及合作方（包括但不限于采购人的主管单位和采购人的合作单位等）发出侵权指控或提出索赔。若有，中标人应负责与第三方解决纠纷，若因此导致采购人损失的，采购人有权要求中标人赔偿采购人因此遭受的全部损失，包括但不限于直接损失、间接损失、诉讼费／仲裁费、律师费、公证费、鉴定费等。</w:t>
      </w:r>
    </w:p>
    <w:p>
      <w:pPr>
        <w:rPr>
          <w:rFonts w:hint="eastAsia"/>
          <w:highlight w:val="none"/>
        </w:rPr>
      </w:pPr>
      <w:r>
        <w:rPr>
          <w:rFonts w:hint="eastAsia"/>
          <w:highlight w:val="none"/>
        </w:rPr>
        <w:t>中标人因履行本项目而产生的所有成果的知识产权等权利均归采购人所有，</w:t>
      </w:r>
      <w:r>
        <w:rPr>
          <w:rFonts w:hint="eastAsia"/>
          <w:highlight w:val="none"/>
        </w:rPr>
        <w:t>中标人应配合采购人进行相关权利登记或申请。未经采购人书面同意，中标人不得以任何形式使用或许可他人使用本项目成果的相关内容，不得擅自对外公开发表或向任何第三方透露。</w:t>
      </w:r>
    </w:p>
    <w:p>
      <w:pPr>
        <w:rPr>
          <w:rFonts w:hint="eastAsia"/>
          <w:highlight w:val="none"/>
        </w:rPr>
      </w:pPr>
      <w:r>
        <w:rPr>
          <w:rFonts w:hint="eastAsia"/>
          <w:highlight w:val="none"/>
        </w:rPr>
        <w:t>在不影响上述条款规定的由采购人取得所有成果的知识产权的前提下，双方因履行本项目而被授权接触或使用对方之知识产权（包括但不限于商标、专利、著作权等），和/或任何其他相关资料、数据等涉及的任何权利，均不视为向另一方转让上述权利或在本项目范围外授权许可另一方使用上述权利，上述权利仍应属于提供方，并仅可使用于本项目，被授权接触或使用方未经提供方书面同意，不得擅自挪作他用。</w:t>
      </w:r>
    </w:p>
    <w:p>
      <w:pPr>
        <w:ind w:firstLine="482"/>
        <w:rPr>
          <w:rFonts w:hint="eastAsia"/>
          <w:b/>
          <w:highlight w:val="none"/>
        </w:rPr>
      </w:pPr>
      <w:r>
        <w:rPr>
          <w:b/>
          <w:highlight w:val="none"/>
        </w:rPr>
        <w:t>2、项目保密要求</w:t>
      </w:r>
    </w:p>
    <w:p>
      <w:pPr>
        <w:rPr>
          <w:rFonts w:hint="eastAsia"/>
          <w:highlight w:val="none"/>
        </w:rPr>
      </w:pPr>
      <w:r>
        <w:rPr>
          <w:rFonts w:hint="eastAsia"/>
          <w:highlight w:val="none"/>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仲裁费、调查费、公证费等。</w:t>
      </w:r>
    </w:p>
    <w:p>
      <w:pPr>
        <w:rPr>
          <w:rFonts w:hint="eastAsia"/>
          <w:highlight w:val="none"/>
        </w:rPr>
      </w:pPr>
      <w:r>
        <w:rPr>
          <w:rFonts w:hint="eastAsia"/>
          <w:highlight w:val="none"/>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pPr>
        <w:rPr>
          <w:rFonts w:hint="eastAsia"/>
          <w:highlight w:val="none"/>
        </w:rPr>
      </w:pPr>
      <w:r>
        <w:rPr>
          <w:rFonts w:hint="eastAsia"/>
          <w:highlight w:val="none"/>
        </w:rPr>
        <w:t>中标人（含中标人参与本项目的人员以及其合作方）未经采购方书面许可，不得以任何形式自行使用或以任何方式向第三方披露、转让、授权、出售与本项目有关的技术成果、计算机软件、源代码、策划文档、技术诀窍、秘密信息、技术资料和其他文件。</w:t>
      </w:r>
    </w:p>
    <w:p>
      <w:pPr>
        <w:rPr>
          <w:rFonts w:hint="eastAsia"/>
          <w:highlight w:val="none"/>
        </w:rPr>
      </w:pPr>
      <w:r>
        <w:rPr>
          <w:rFonts w:hint="eastAsia"/>
          <w:highlight w:val="none"/>
        </w:rPr>
        <w:t>以上内容的保密期限自中标人知悉保密信息起始至保密信息被合法公开之日止。</w:t>
      </w:r>
    </w:p>
    <w:p>
      <w:pPr>
        <w:ind w:firstLine="482"/>
        <w:rPr>
          <w:rFonts w:hint="eastAsia"/>
          <w:b/>
          <w:highlight w:val="none"/>
        </w:rPr>
      </w:pPr>
      <w:r>
        <w:rPr>
          <w:b/>
          <w:highlight w:val="none"/>
        </w:rPr>
        <w:t>3、临时账号等使用要求</w:t>
      </w:r>
    </w:p>
    <w:p>
      <w:pPr>
        <w:rPr>
          <w:rFonts w:hint="eastAsia"/>
          <w:highlight w:val="none"/>
        </w:rPr>
      </w:pPr>
      <w:r>
        <w:rPr>
          <w:rFonts w:hint="eastAsia"/>
          <w:highlight w:val="none"/>
        </w:rPr>
        <w:t>中标人对采购人提拱的临时使用账号要保密，不得公开，对组件开发的账号密码需进行加密，避免信息安全的泄露。未经采购人的同意不得利用采购人的网络及平台进行短信、彩信、微信发送</w:t>
      </w:r>
      <w:r>
        <w:rPr>
          <w:highlight w:val="none"/>
        </w:rPr>
        <w:t>,造成的一切后果由中标人负责。</w:t>
      </w:r>
    </w:p>
    <w:p>
      <w:pPr>
        <w:pStyle w:val="2"/>
        <w:rPr>
          <w:rFonts w:hint="eastAsia"/>
          <w:highlight w:val="none"/>
        </w:rPr>
      </w:pPr>
      <w:bookmarkStart w:id="37" w:name="_Toc65170093"/>
      <w:r>
        <w:rPr>
          <w:highlight w:val="none"/>
        </w:rPr>
        <w:t>项目的变更、解除和终止</w:t>
      </w:r>
    </w:p>
    <w:p>
      <w:pPr>
        <w:rPr>
          <w:rFonts w:hint="eastAsia"/>
          <w:highlight w:val="none"/>
        </w:rPr>
      </w:pPr>
      <w:r>
        <w:rPr>
          <w:rFonts w:hint="eastAsia"/>
          <w:highlight w:val="none"/>
        </w:rPr>
        <w:t>如果中标人丧失履约能力、发生资不抵债或进入破产程序，采购人可在任何时候以书面形式通知中标人终止本项目的执行而不给予中标人补偿。该终止本项目将不损害或影响采购人已经采取或将要采取任何行动或补救措施的权利。</w:t>
      </w:r>
    </w:p>
    <w:p>
      <w:pPr>
        <w:rPr>
          <w:rFonts w:hint="eastAsia"/>
          <w:highlight w:val="none"/>
        </w:rPr>
      </w:pPr>
      <w:r>
        <w:rPr>
          <w:rFonts w:hint="eastAsia"/>
          <w:highlight w:val="none"/>
        </w:rPr>
        <w:t>如遇国家、行业管理部门等机构的有关标准和规定调整的，导致本项目内容须做相应调整时，双方应按照公平、合理的原则共同协商修改本项目对应的合同的相关条款。</w:t>
      </w:r>
    </w:p>
    <w:p>
      <w:pPr>
        <w:pStyle w:val="2"/>
        <w:rPr>
          <w:rFonts w:hint="eastAsia"/>
          <w:highlight w:val="none"/>
        </w:rPr>
      </w:pPr>
      <w:r>
        <w:rPr>
          <w:rFonts w:hint="eastAsia"/>
          <w:highlight w:val="none"/>
        </w:rPr>
        <w:t>违约责任</w:t>
      </w:r>
      <w:bookmarkEnd w:id="37"/>
    </w:p>
    <w:p>
      <w:pPr>
        <w:rPr>
          <w:rFonts w:hint="eastAsia"/>
          <w:highlight w:val="none"/>
        </w:rPr>
      </w:pPr>
      <w:r>
        <w:rPr>
          <w:highlight w:val="none"/>
        </w:rPr>
        <w:t>1、如中标人未按约定的时间或服务标准完成建设工作，采购人可要求中标人在规定的时间内采取补救措施。中标人还应向采购人支付本项目费用总额30%的违约金，违约金不足以弥补采购人损失的，采购人有权要求中标人赔偿超过部分。</w:t>
      </w:r>
    </w:p>
    <w:p>
      <w:pPr>
        <w:rPr>
          <w:rFonts w:hint="eastAsia"/>
          <w:highlight w:val="none"/>
        </w:rPr>
      </w:pPr>
      <w:r>
        <w:rPr>
          <w:highlight w:val="none"/>
        </w:rPr>
        <w:t>2、因中标人违反保密义务或知识产权约定的，采购人有权要求中标人支付本项目费用总额30%的违约金，违约金不足以弥补采购人损失的，采购人有权要求中标人赔偿超过部分。若中标人违反保密义务，采购人还有权立即单方解除合同而不承担任何违约责任。</w:t>
      </w:r>
    </w:p>
    <w:p>
      <w:pPr>
        <w:rPr>
          <w:rFonts w:hint="eastAsia"/>
          <w:highlight w:val="none"/>
        </w:rPr>
      </w:pPr>
      <w:r>
        <w:rPr>
          <w:highlight w:val="none"/>
        </w:rPr>
        <w:t>3、中标人有其他违反本项目合同约定的行为，中标人应当支付本项目总价款金额的20%作为违约金，违约金不足以弥补采购人损失的，采购人有权要求中标人赔偿超过部分。</w:t>
      </w:r>
    </w:p>
    <w:p>
      <w:pPr>
        <w:rPr>
          <w:rFonts w:hint="eastAsia"/>
          <w:highlight w:val="none"/>
        </w:rPr>
      </w:pPr>
      <w:r>
        <w:rPr>
          <w:highlight w:val="none"/>
        </w:rPr>
        <w:t>4、中标人有下列情形之一，采购人有权解除合同：</w:t>
      </w:r>
    </w:p>
    <w:p>
      <w:pPr>
        <w:rPr>
          <w:rFonts w:hint="eastAsia"/>
          <w:highlight w:val="none"/>
        </w:rPr>
      </w:pPr>
      <w:r>
        <w:rPr>
          <w:rFonts w:hint="eastAsia"/>
          <w:highlight w:val="none"/>
        </w:rPr>
        <w:t>（1</w:t>
      </w:r>
      <w:r>
        <w:rPr>
          <w:highlight w:val="none"/>
        </w:rPr>
        <w:t>）因中标人服务质量问题导致采购人无法实现目的；</w:t>
      </w:r>
    </w:p>
    <w:p>
      <w:pPr>
        <w:rPr>
          <w:rFonts w:hint="eastAsia"/>
          <w:highlight w:val="none"/>
        </w:rPr>
      </w:pPr>
      <w:r>
        <w:rPr>
          <w:rFonts w:hint="eastAsia"/>
          <w:highlight w:val="none"/>
        </w:rPr>
        <w:t>（2</w:t>
      </w:r>
      <w:r>
        <w:rPr>
          <w:highlight w:val="none"/>
        </w:rPr>
        <w:t>）擅自转让或者分包其应履行的义务的；</w:t>
      </w:r>
    </w:p>
    <w:p>
      <w:pPr>
        <w:rPr>
          <w:rFonts w:hint="eastAsia"/>
          <w:highlight w:val="none"/>
        </w:rPr>
      </w:pPr>
      <w:r>
        <w:rPr>
          <w:rFonts w:hint="eastAsia"/>
          <w:highlight w:val="none"/>
        </w:rPr>
        <w:t>（3</w:t>
      </w:r>
      <w:r>
        <w:rPr>
          <w:highlight w:val="none"/>
        </w:rPr>
        <w:t>）违反或者未履行本项目合同约定的其他相关义务，且在采购人要求的合理时间内未能纠正的。</w:t>
      </w:r>
    </w:p>
    <w:p>
      <w:pPr>
        <w:pStyle w:val="2"/>
        <w:rPr>
          <w:rFonts w:hint="eastAsia"/>
          <w:highlight w:val="none"/>
        </w:rPr>
      </w:pPr>
      <w:bookmarkStart w:id="38" w:name="_Toc68798863"/>
      <w:r>
        <w:rPr>
          <w:rFonts w:hint="eastAsia"/>
          <w:highlight w:val="none"/>
        </w:rPr>
        <w:t>附录</w:t>
      </w:r>
      <w:bookmarkEnd w:id="38"/>
      <w:bookmarkStart w:id="39" w:name="_GoBack"/>
      <w:bookmarkEnd w:id="39"/>
    </w:p>
    <w:p>
      <w:pPr>
        <w:ind w:firstLine="482"/>
        <w:rPr>
          <w:rFonts w:hint="eastAsia"/>
          <w:highlight w:val="none"/>
        </w:rPr>
      </w:pPr>
      <w:r>
        <w:rPr>
          <w:rFonts w:hint="eastAsia"/>
          <w:b/>
          <w:highlight w:val="none"/>
        </w:rPr>
        <w:t>若项目建设过程中需符合相关技术标准或规范文件的要求：</w:t>
      </w:r>
    </w:p>
    <w:p>
      <w:pPr>
        <w:ind w:firstLine="0" w:firstLineChars="0"/>
        <w:rPr>
          <w:rFonts w:hint="eastAsia"/>
          <w:highlight w:val="none"/>
        </w:rPr>
      </w:pPr>
      <w:r>
        <w:rPr>
          <w:rFonts w:hint="eastAsia"/>
          <w:highlight w:val="none"/>
        </w:rPr>
        <w:t>1、</w:t>
      </w:r>
      <w:r>
        <w:rPr>
          <w:highlight w:val="none"/>
        </w:rPr>
        <w:t>《政务网络安全监测平台总体技术要求》</w:t>
      </w:r>
    </w:p>
    <w:p>
      <w:pPr>
        <w:ind w:firstLine="0" w:firstLineChars="0"/>
        <w:jc w:val="left"/>
        <w:rPr>
          <w:rFonts w:hint="eastAsia"/>
          <w:highlight w:val="none"/>
        </w:rPr>
      </w:pPr>
      <w:r>
        <w:rPr>
          <w:rFonts w:hint="eastAsia"/>
          <w:highlight w:val="none"/>
        </w:rPr>
        <w:t>2、《上海市电子政务外网建设和运行管理指南（试行）》</w:t>
      </w:r>
    </w:p>
    <w:p>
      <w:pPr>
        <w:ind w:firstLine="0" w:firstLineChars="0"/>
        <w:jc w:val="left"/>
        <w:rPr>
          <w:rFonts w:hint="eastAsia"/>
          <w:b/>
          <w:bCs/>
          <w:highlight w:val="none"/>
        </w:rPr>
      </w:pPr>
      <w:r>
        <w:rPr>
          <w:rFonts w:hint="eastAsia"/>
          <w:highlight w:val="none"/>
        </w:rPr>
        <w:t>3、其他标准</w:t>
      </w:r>
    </w:p>
    <w:sectPr>
      <w:footerReference r:id="rId11" w:type="firs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等线 Light">
    <w:panose1 w:val="02010600030101010101"/>
    <w:charset w:val="86"/>
    <w:family w:val="auto"/>
    <w:pitch w:val="default"/>
    <w:sig w:usb0="A00002BF" w:usb1="38CF7CFA" w:usb2="00000016" w:usb3="00000000" w:csb0="0004000F" w:csb1="00000000"/>
  </w:font>
  <w:font w:name="time">
    <w:altName w:val="微软雅黑"/>
    <w:panose1 w:val="00000000000000000000"/>
    <w:charset w:val="00"/>
    <w:family w:val="roman"/>
    <w:pitch w:val="default"/>
    <w:sig w:usb0="00000000" w:usb1="00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 w:name="Microsoft Sans Serif">
    <w:panose1 w:val="020B0604020202020204"/>
    <w:charset w:val="00"/>
    <w:family w:val="swiss"/>
    <w:pitch w:val="default"/>
    <w:sig w:usb0="E5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LiberationSans">
    <w:altName w:val="Cambria"/>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rFonts w:hint="eastAsia"/>
      </w:rPr>
    </w:pPr>
    <w:r>
      <w:fldChar w:fldCharType="begin"/>
    </w:r>
    <w:r>
      <w:instrText xml:space="preserve">PAGE   \* MERGEFORMAT</w:instrText>
    </w:r>
    <w:r>
      <w:fldChar w:fldCharType="separate"/>
    </w:r>
    <w:r>
      <w:rPr>
        <w:lang w:val="zh-CN"/>
      </w:rPr>
      <w:t>11</w:t>
    </w:r>
    <w:r>
      <w:rPr>
        <w:lang w:val="zh-CN"/>
      </w:rPr>
      <w:fldChar w:fldCharType="end"/>
    </w:r>
  </w:p>
  <w:p>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rFonts w:hint="eastAsia"/>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CC7CA"/>
    <w:multiLevelType w:val="singleLevel"/>
    <w:tmpl w:val="8ABCC7CA"/>
    <w:lvl w:ilvl="0" w:tentative="0">
      <w:start w:val="1"/>
      <w:numFmt w:val="decimal"/>
      <w:lvlText w:val="%1)"/>
      <w:lvlJc w:val="left"/>
      <w:pPr>
        <w:ind w:left="425" w:hanging="425"/>
      </w:pPr>
      <w:rPr>
        <w:rFonts w:hint="default"/>
      </w:rPr>
    </w:lvl>
  </w:abstractNum>
  <w:abstractNum w:abstractNumId="1">
    <w:nsid w:val="9D083D99"/>
    <w:multiLevelType w:val="singleLevel"/>
    <w:tmpl w:val="9D083D99"/>
    <w:lvl w:ilvl="0" w:tentative="0">
      <w:start w:val="1"/>
      <w:numFmt w:val="bullet"/>
      <w:lvlText w:val=""/>
      <w:lvlJc w:val="left"/>
      <w:pPr>
        <w:tabs>
          <w:tab w:val="left" w:pos="420"/>
        </w:tabs>
        <w:ind w:left="840" w:hanging="420"/>
      </w:pPr>
      <w:rPr>
        <w:rFonts w:hint="default" w:ascii="Wingdings" w:hAnsi="Wingdings"/>
      </w:rPr>
    </w:lvl>
  </w:abstractNum>
  <w:abstractNum w:abstractNumId="2">
    <w:nsid w:val="43D33190"/>
    <w:multiLevelType w:val="multilevel"/>
    <w:tmpl w:val="43D33190"/>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3">
    <w:nsid w:val="6350366A"/>
    <w:multiLevelType w:val="multilevel"/>
    <w:tmpl w:val="6350366A"/>
    <w:lvl w:ilvl="0" w:tentative="0">
      <w:start w:val="1"/>
      <w:numFmt w:val="none"/>
      <w:pStyle w:val="112"/>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1135" w:hanging="567"/>
      </w:pPr>
    </w:lvl>
    <w:lvl w:ilvl="2" w:tentative="0">
      <w:start w:val="1"/>
      <w:numFmt w:val="decimal"/>
      <w:pStyle w:val="4"/>
      <w:isLgl/>
      <w:suff w:val="nothing"/>
      <w:lvlText w:val="%1.%2.%3、"/>
      <w:lvlJc w:val="left"/>
      <w:pPr>
        <w:ind w:left="1069" w:hanging="1069"/>
      </w:pPr>
      <w:rPr>
        <w:rFonts w:hint="default" w:ascii="宋体" w:hAnsi="宋体" w:eastAsia="宋体" w:cs="Arial"/>
      </w:rPr>
    </w:lvl>
    <w:lvl w:ilvl="3" w:tentative="0">
      <w:start w:val="1"/>
      <w:numFmt w:val="decimal"/>
      <w:pStyle w:val="5"/>
      <w:isLgl/>
      <w:suff w:val="nothing"/>
      <w:lvlText w:val="%1.%2.%3.%4、"/>
      <w:lvlJc w:val="left"/>
      <w:pPr>
        <w:ind w:left="3403" w:hanging="851"/>
      </w:pPr>
    </w:lvl>
    <w:lvl w:ilvl="4" w:tentative="0">
      <w:start w:val="1"/>
      <w:numFmt w:val="decimal"/>
      <w:pStyle w:val="6"/>
      <w:isLgl/>
      <w:suff w:val="nothing"/>
      <w:lvlText w:val="%1.%2.%3.%4.%5、"/>
      <w:lvlJc w:val="left"/>
      <w:pPr>
        <w:ind w:left="3544" w:hanging="992"/>
      </w:pPr>
      <w:rPr>
        <w:rFonts w:hint="eastAsia"/>
      </w:rPr>
    </w:lvl>
    <w:lvl w:ilvl="5" w:tentative="0">
      <w:start w:val="1"/>
      <w:numFmt w:val="decimal"/>
      <w:pStyle w:val="7"/>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5">
    <w:nsid w:val="718012BC"/>
    <w:multiLevelType w:val="multilevel"/>
    <w:tmpl w:val="718012BC"/>
    <w:lvl w:ilvl="0" w:tentative="0">
      <w:start w:val="1"/>
      <w:numFmt w:val="decimal"/>
      <w:lvlText w:val="%1."/>
      <w:lvlJc w:val="left"/>
      <w:pPr>
        <w:ind w:left="1000" w:hanging="440"/>
      </w:p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OTdmMGJkOWZhYjE0MGY3MmIyZDkzMWQ4Mjk1OGQifQ=="/>
    <w:docVar w:name="KSO_WPS_MARK_KEY" w:val="b4fb8378-d35d-4f9b-aa28-260e2e42b133"/>
  </w:docVars>
  <w:rsids>
    <w:rsidRoot w:val="006910C0"/>
    <w:rsid w:val="0000005A"/>
    <w:rsid w:val="00000AED"/>
    <w:rsid w:val="00003516"/>
    <w:rsid w:val="0000380E"/>
    <w:rsid w:val="00005AFD"/>
    <w:rsid w:val="00006563"/>
    <w:rsid w:val="000074F1"/>
    <w:rsid w:val="00007A41"/>
    <w:rsid w:val="00007DA7"/>
    <w:rsid w:val="00012EF0"/>
    <w:rsid w:val="000156DE"/>
    <w:rsid w:val="000165AD"/>
    <w:rsid w:val="000179E9"/>
    <w:rsid w:val="00020C18"/>
    <w:rsid w:val="00021EE6"/>
    <w:rsid w:val="0002280E"/>
    <w:rsid w:val="00022C74"/>
    <w:rsid w:val="00025122"/>
    <w:rsid w:val="000252D5"/>
    <w:rsid w:val="00026997"/>
    <w:rsid w:val="00027A64"/>
    <w:rsid w:val="00032D27"/>
    <w:rsid w:val="00035325"/>
    <w:rsid w:val="00035D5B"/>
    <w:rsid w:val="000378D0"/>
    <w:rsid w:val="00037F2C"/>
    <w:rsid w:val="00042C2A"/>
    <w:rsid w:val="000430EC"/>
    <w:rsid w:val="000447CB"/>
    <w:rsid w:val="00047915"/>
    <w:rsid w:val="00047D06"/>
    <w:rsid w:val="00050FBD"/>
    <w:rsid w:val="0005107A"/>
    <w:rsid w:val="0005192C"/>
    <w:rsid w:val="00052929"/>
    <w:rsid w:val="0005299F"/>
    <w:rsid w:val="000541D7"/>
    <w:rsid w:val="000545C0"/>
    <w:rsid w:val="0005586D"/>
    <w:rsid w:val="00056C0E"/>
    <w:rsid w:val="000574A8"/>
    <w:rsid w:val="000574F8"/>
    <w:rsid w:val="00057A49"/>
    <w:rsid w:val="0006231F"/>
    <w:rsid w:val="00062A05"/>
    <w:rsid w:val="00062EE6"/>
    <w:rsid w:val="0006344E"/>
    <w:rsid w:val="000649E6"/>
    <w:rsid w:val="0006794B"/>
    <w:rsid w:val="00067DCA"/>
    <w:rsid w:val="00070063"/>
    <w:rsid w:val="0007087A"/>
    <w:rsid w:val="000710EC"/>
    <w:rsid w:val="00072237"/>
    <w:rsid w:val="000724BD"/>
    <w:rsid w:val="00072ABE"/>
    <w:rsid w:val="00080B39"/>
    <w:rsid w:val="00083950"/>
    <w:rsid w:val="0008452F"/>
    <w:rsid w:val="00084E8E"/>
    <w:rsid w:val="00085A68"/>
    <w:rsid w:val="00090625"/>
    <w:rsid w:val="00090948"/>
    <w:rsid w:val="00091CD1"/>
    <w:rsid w:val="0009460E"/>
    <w:rsid w:val="000951D4"/>
    <w:rsid w:val="000A2146"/>
    <w:rsid w:val="000A2930"/>
    <w:rsid w:val="000A3276"/>
    <w:rsid w:val="000A3C35"/>
    <w:rsid w:val="000A3E30"/>
    <w:rsid w:val="000A5876"/>
    <w:rsid w:val="000A61D0"/>
    <w:rsid w:val="000A6C67"/>
    <w:rsid w:val="000A6DB8"/>
    <w:rsid w:val="000A7596"/>
    <w:rsid w:val="000B11A8"/>
    <w:rsid w:val="000B1959"/>
    <w:rsid w:val="000B2E1C"/>
    <w:rsid w:val="000B4459"/>
    <w:rsid w:val="000B4B46"/>
    <w:rsid w:val="000B5363"/>
    <w:rsid w:val="000B53BA"/>
    <w:rsid w:val="000B5466"/>
    <w:rsid w:val="000B642F"/>
    <w:rsid w:val="000B6C99"/>
    <w:rsid w:val="000C3F3C"/>
    <w:rsid w:val="000C5A75"/>
    <w:rsid w:val="000C75F7"/>
    <w:rsid w:val="000D0AB2"/>
    <w:rsid w:val="000D225C"/>
    <w:rsid w:val="000D36F2"/>
    <w:rsid w:val="000D4B26"/>
    <w:rsid w:val="000D6520"/>
    <w:rsid w:val="000D74DB"/>
    <w:rsid w:val="000E24D6"/>
    <w:rsid w:val="000E30C8"/>
    <w:rsid w:val="000E4B69"/>
    <w:rsid w:val="000E6072"/>
    <w:rsid w:val="000E6D61"/>
    <w:rsid w:val="000E7A23"/>
    <w:rsid w:val="000F1C29"/>
    <w:rsid w:val="000F1E9E"/>
    <w:rsid w:val="000F2B10"/>
    <w:rsid w:val="000F3F72"/>
    <w:rsid w:val="000F7CC7"/>
    <w:rsid w:val="001055B2"/>
    <w:rsid w:val="001068F0"/>
    <w:rsid w:val="00106AB8"/>
    <w:rsid w:val="00106C9E"/>
    <w:rsid w:val="00106E16"/>
    <w:rsid w:val="0010768B"/>
    <w:rsid w:val="00111701"/>
    <w:rsid w:val="00112A29"/>
    <w:rsid w:val="001167F6"/>
    <w:rsid w:val="00116C86"/>
    <w:rsid w:val="001171CD"/>
    <w:rsid w:val="00121ACF"/>
    <w:rsid w:val="00121D8F"/>
    <w:rsid w:val="00122037"/>
    <w:rsid w:val="0012210C"/>
    <w:rsid w:val="00122A7F"/>
    <w:rsid w:val="00123F98"/>
    <w:rsid w:val="001242A5"/>
    <w:rsid w:val="00124531"/>
    <w:rsid w:val="00126EDF"/>
    <w:rsid w:val="00127BBE"/>
    <w:rsid w:val="00130955"/>
    <w:rsid w:val="00131D52"/>
    <w:rsid w:val="001329C1"/>
    <w:rsid w:val="00132C16"/>
    <w:rsid w:val="00136320"/>
    <w:rsid w:val="00136FFA"/>
    <w:rsid w:val="00137AC6"/>
    <w:rsid w:val="00140884"/>
    <w:rsid w:val="00145512"/>
    <w:rsid w:val="001465BD"/>
    <w:rsid w:val="00146895"/>
    <w:rsid w:val="00147B45"/>
    <w:rsid w:val="00150803"/>
    <w:rsid w:val="00151D83"/>
    <w:rsid w:val="001546C9"/>
    <w:rsid w:val="00154FAE"/>
    <w:rsid w:val="00155E77"/>
    <w:rsid w:val="00156A70"/>
    <w:rsid w:val="00160A61"/>
    <w:rsid w:val="00160FC0"/>
    <w:rsid w:val="0016429B"/>
    <w:rsid w:val="00164525"/>
    <w:rsid w:val="00164C50"/>
    <w:rsid w:val="00165CB2"/>
    <w:rsid w:val="00166767"/>
    <w:rsid w:val="001707CB"/>
    <w:rsid w:val="00171477"/>
    <w:rsid w:val="00171BD7"/>
    <w:rsid w:val="00172A1A"/>
    <w:rsid w:val="00173251"/>
    <w:rsid w:val="00176BED"/>
    <w:rsid w:val="0017759D"/>
    <w:rsid w:val="00177AA3"/>
    <w:rsid w:val="001804A5"/>
    <w:rsid w:val="00181A1D"/>
    <w:rsid w:val="00181C94"/>
    <w:rsid w:val="00182C84"/>
    <w:rsid w:val="00185EA5"/>
    <w:rsid w:val="00187031"/>
    <w:rsid w:val="00191EA4"/>
    <w:rsid w:val="00192B6C"/>
    <w:rsid w:val="00192C30"/>
    <w:rsid w:val="0019381E"/>
    <w:rsid w:val="00193DCF"/>
    <w:rsid w:val="00194CF5"/>
    <w:rsid w:val="0019503C"/>
    <w:rsid w:val="00195D94"/>
    <w:rsid w:val="00196F7B"/>
    <w:rsid w:val="001971CB"/>
    <w:rsid w:val="0019795C"/>
    <w:rsid w:val="001A053A"/>
    <w:rsid w:val="001A125A"/>
    <w:rsid w:val="001A22A2"/>
    <w:rsid w:val="001A2971"/>
    <w:rsid w:val="001A3D52"/>
    <w:rsid w:val="001A460A"/>
    <w:rsid w:val="001A4A4C"/>
    <w:rsid w:val="001B0230"/>
    <w:rsid w:val="001B13AB"/>
    <w:rsid w:val="001B3907"/>
    <w:rsid w:val="001B3B49"/>
    <w:rsid w:val="001B4907"/>
    <w:rsid w:val="001B4DC5"/>
    <w:rsid w:val="001B5505"/>
    <w:rsid w:val="001C0FD9"/>
    <w:rsid w:val="001C2180"/>
    <w:rsid w:val="001C29CC"/>
    <w:rsid w:val="001C3217"/>
    <w:rsid w:val="001C3B98"/>
    <w:rsid w:val="001C3F43"/>
    <w:rsid w:val="001C581F"/>
    <w:rsid w:val="001C6028"/>
    <w:rsid w:val="001C6365"/>
    <w:rsid w:val="001C7F57"/>
    <w:rsid w:val="001D0E79"/>
    <w:rsid w:val="001D32A4"/>
    <w:rsid w:val="001D39FB"/>
    <w:rsid w:val="001D6049"/>
    <w:rsid w:val="001D7339"/>
    <w:rsid w:val="001D7F39"/>
    <w:rsid w:val="001E2750"/>
    <w:rsid w:val="001E4343"/>
    <w:rsid w:val="001E52BB"/>
    <w:rsid w:val="001E660A"/>
    <w:rsid w:val="001F05D6"/>
    <w:rsid w:val="001F42B2"/>
    <w:rsid w:val="001F5B0A"/>
    <w:rsid w:val="001F640F"/>
    <w:rsid w:val="001F6794"/>
    <w:rsid w:val="001F6BAB"/>
    <w:rsid w:val="001F6F65"/>
    <w:rsid w:val="002002DF"/>
    <w:rsid w:val="002029DB"/>
    <w:rsid w:val="00203A6F"/>
    <w:rsid w:val="00205646"/>
    <w:rsid w:val="002063F7"/>
    <w:rsid w:val="002129E5"/>
    <w:rsid w:val="00212AA4"/>
    <w:rsid w:val="00212E13"/>
    <w:rsid w:val="002163C8"/>
    <w:rsid w:val="002179FE"/>
    <w:rsid w:val="00220CC0"/>
    <w:rsid w:val="00221A36"/>
    <w:rsid w:val="00223296"/>
    <w:rsid w:val="0022329B"/>
    <w:rsid w:val="00223E68"/>
    <w:rsid w:val="002240F7"/>
    <w:rsid w:val="0022486F"/>
    <w:rsid w:val="00224B7F"/>
    <w:rsid w:val="00225314"/>
    <w:rsid w:val="00225DF4"/>
    <w:rsid w:val="00226C70"/>
    <w:rsid w:val="00230C8A"/>
    <w:rsid w:val="00231F98"/>
    <w:rsid w:val="002324F8"/>
    <w:rsid w:val="00232E2E"/>
    <w:rsid w:val="002348B0"/>
    <w:rsid w:val="00235CDC"/>
    <w:rsid w:val="00237E76"/>
    <w:rsid w:val="00240BBE"/>
    <w:rsid w:val="00240FC6"/>
    <w:rsid w:val="00241525"/>
    <w:rsid w:val="00241D87"/>
    <w:rsid w:val="00243C55"/>
    <w:rsid w:val="00243D5E"/>
    <w:rsid w:val="002451EC"/>
    <w:rsid w:val="00245ED4"/>
    <w:rsid w:val="00246B41"/>
    <w:rsid w:val="0025002B"/>
    <w:rsid w:val="002500DE"/>
    <w:rsid w:val="00252457"/>
    <w:rsid w:val="00252581"/>
    <w:rsid w:val="002535B5"/>
    <w:rsid w:val="002538CB"/>
    <w:rsid w:val="002542BD"/>
    <w:rsid w:val="002569ED"/>
    <w:rsid w:val="0025774E"/>
    <w:rsid w:val="00257D64"/>
    <w:rsid w:val="0026340A"/>
    <w:rsid w:val="002654EA"/>
    <w:rsid w:val="002704EA"/>
    <w:rsid w:val="0027061A"/>
    <w:rsid w:val="002719CC"/>
    <w:rsid w:val="002730C5"/>
    <w:rsid w:val="0027337C"/>
    <w:rsid w:val="0027602B"/>
    <w:rsid w:val="00277F5E"/>
    <w:rsid w:val="00280084"/>
    <w:rsid w:val="00280490"/>
    <w:rsid w:val="002860B8"/>
    <w:rsid w:val="0029206E"/>
    <w:rsid w:val="00293382"/>
    <w:rsid w:val="00293634"/>
    <w:rsid w:val="00294F51"/>
    <w:rsid w:val="002A16A4"/>
    <w:rsid w:val="002A2342"/>
    <w:rsid w:val="002A2568"/>
    <w:rsid w:val="002A279E"/>
    <w:rsid w:val="002A4A78"/>
    <w:rsid w:val="002A4FA3"/>
    <w:rsid w:val="002B27F9"/>
    <w:rsid w:val="002B3606"/>
    <w:rsid w:val="002B3D80"/>
    <w:rsid w:val="002B4402"/>
    <w:rsid w:val="002B4946"/>
    <w:rsid w:val="002B4C41"/>
    <w:rsid w:val="002B588D"/>
    <w:rsid w:val="002C1839"/>
    <w:rsid w:val="002C214A"/>
    <w:rsid w:val="002C28E8"/>
    <w:rsid w:val="002C3027"/>
    <w:rsid w:val="002C674D"/>
    <w:rsid w:val="002C7648"/>
    <w:rsid w:val="002C7DC4"/>
    <w:rsid w:val="002D0821"/>
    <w:rsid w:val="002D0D05"/>
    <w:rsid w:val="002D1929"/>
    <w:rsid w:val="002D1B73"/>
    <w:rsid w:val="002D3CB0"/>
    <w:rsid w:val="002D4800"/>
    <w:rsid w:val="002D5B21"/>
    <w:rsid w:val="002D6F6D"/>
    <w:rsid w:val="002E09AE"/>
    <w:rsid w:val="002E1FE6"/>
    <w:rsid w:val="002E2EA7"/>
    <w:rsid w:val="002E36D2"/>
    <w:rsid w:val="002E748B"/>
    <w:rsid w:val="002F2002"/>
    <w:rsid w:val="002F335D"/>
    <w:rsid w:val="002F4E32"/>
    <w:rsid w:val="002F503F"/>
    <w:rsid w:val="002F51DD"/>
    <w:rsid w:val="002F5D08"/>
    <w:rsid w:val="002F6895"/>
    <w:rsid w:val="002F6D13"/>
    <w:rsid w:val="003001D0"/>
    <w:rsid w:val="003038D3"/>
    <w:rsid w:val="003049C7"/>
    <w:rsid w:val="00305F0E"/>
    <w:rsid w:val="0030667A"/>
    <w:rsid w:val="003106DE"/>
    <w:rsid w:val="00311530"/>
    <w:rsid w:val="00312D31"/>
    <w:rsid w:val="00315216"/>
    <w:rsid w:val="0031691C"/>
    <w:rsid w:val="00317AEF"/>
    <w:rsid w:val="00317F49"/>
    <w:rsid w:val="0032089B"/>
    <w:rsid w:val="00323450"/>
    <w:rsid w:val="00323D93"/>
    <w:rsid w:val="0032489B"/>
    <w:rsid w:val="0032525B"/>
    <w:rsid w:val="00326A7A"/>
    <w:rsid w:val="00326D3D"/>
    <w:rsid w:val="00326FEE"/>
    <w:rsid w:val="003315D7"/>
    <w:rsid w:val="00334DE6"/>
    <w:rsid w:val="0033536D"/>
    <w:rsid w:val="003353FF"/>
    <w:rsid w:val="003366D2"/>
    <w:rsid w:val="00337C79"/>
    <w:rsid w:val="00337FEF"/>
    <w:rsid w:val="0034084C"/>
    <w:rsid w:val="00340D5E"/>
    <w:rsid w:val="00341537"/>
    <w:rsid w:val="003420B5"/>
    <w:rsid w:val="00343646"/>
    <w:rsid w:val="00344CCB"/>
    <w:rsid w:val="00345897"/>
    <w:rsid w:val="00345A05"/>
    <w:rsid w:val="00351BFC"/>
    <w:rsid w:val="00354364"/>
    <w:rsid w:val="0035575E"/>
    <w:rsid w:val="003565B4"/>
    <w:rsid w:val="00362E75"/>
    <w:rsid w:val="003631AA"/>
    <w:rsid w:val="003632D5"/>
    <w:rsid w:val="00363575"/>
    <w:rsid w:val="00364EF9"/>
    <w:rsid w:val="00367579"/>
    <w:rsid w:val="0036795B"/>
    <w:rsid w:val="00370A29"/>
    <w:rsid w:val="003722F9"/>
    <w:rsid w:val="00372349"/>
    <w:rsid w:val="00372CBC"/>
    <w:rsid w:val="00373A61"/>
    <w:rsid w:val="00374BDE"/>
    <w:rsid w:val="00376B39"/>
    <w:rsid w:val="003772C0"/>
    <w:rsid w:val="00377BAC"/>
    <w:rsid w:val="00380142"/>
    <w:rsid w:val="00380558"/>
    <w:rsid w:val="00381D3C"/>
    <w:rsid w:val="0038223E"/>
    <w:rsid w:val="00382D92"/>
    <w:rsid w:val="00385AEF"/>
    <w:rsid w:val="003860EA"/>
    <w:rsid w:val="0038781A"/>
    <w:rsid w:val="0039080B"/>
    <w:rsid w:val="0039326E"/>
    <w:rsid w:val="00394E22"/>
    <w:rsid w:val="003967A4"/>
    <w:rsid w:val="00397FA3"/>
    <w:rsid w:val="003A1596"/>
    <w:rsid w:val="003A317E"/>
    <w:rsid w:val="003A345B"/>
    <w:rsid w:val="003A49EE"/>
    <w:rsid w:val="003A674D"/>
    <w:rsid w:val="003A7123"/>
    <w:rsid w:val="003B102E"/>
    <w:rsid w:val="003B2167"/>
    <w:rsid w:val="003B4707"/>
    <w:rsid w:val="003B5F5D"/>
    <w:rsid w:val="003B62C8"/>
    <w:rsid w:val="003C0C62"/>
    <w:rsid w:val="003C12DC"/>
    <w:rsid w:val="003C2CDA"/>
    <w:rsid w:val="003D000A"/>
    <w:rsid w:val="003D31E9"/>
    <w:rsid w:val="003D544E"/>
    <w:rsid w:val="003D5980"/>
    <w:rsid w:val="003E0842"/>
    <w:rsid w:val="003E13B0"/>
    <w:rsid w:val="003E2580"/>
    <w:rsid w:val="003E2F56"/>
    <w:rsid w:val="003E3DEE"/>
    <w:rsid w:val="003E3EBB"/>
    <w:rsid w:val="003E4A4C"/>
    <w:rsid w:val="003E4CBA"/>
    <w:rsid w:val="003E4D2F"/>
    <w:rsid w:val="003E4EDC"/>
    <w:rsid w:val="003E599D"/>
    <w:rsid w:val="003E5C81"/>
    <w:rsid w:val="003E6965"/>
    <w:rsid w:val="003F00E8"/>
    <w:rsid w:val="003F1936"/>
    <w:rsid w:val="003F1BDD"/>
    <w:rsid w:val="003F385D"/>
    <w:rsid w:val="003F3BA3"/>
    <w:rsid w:val="003F3BD5"/>
    <w:rsid w:val="003F400E"/>
    <w:rsid w:val="003F6F35"/>
    <w:rsid w:val="003F7768"/>
    <w:rsid w:val="00400E8C"/>
    <w:rsid w:val="004017DC"/>
    <w:rsid w:val="00401B53"/>
    <w:rsid w:val="00402668"/>
    <w:rsid w:val="00404FEC"/>
    <w:rsid w:val="0040534D"/>
    <w:rsid w:val="00405FAD"/>
    <w:rsid w:val="004117AB"/>
    <w:rsid w:val="00412B2F"/>
    <w:rsid w:val="00415281"/>
    <w:rsid w:val="00415716"/>
    <w:rsid w:val="0041604D"/>
    <w:rsid w:val="00417842"/>
    <w:rsid w:val="00417A6E"/>
    <w:rsid w:val="0042285D"/>
    <w:rsid w:val="00427D2B"/>
    <w:rsid w:val="00430732"/>
    <w:rsid w:val="00430B13"/>
    <w:rsid w:val="00430CE5"/>
    <w:rsid w:val="0043153C"/>
    <w:rsid w:val="00431D0F"/>
    <w:rsid w:val="0043481C"/>
    <w:rsid w:val="00435E0C"/>
    <w:rsid w:val="00444307"/>
    <w:rsid w:val="0044436F"/>
    <w:rsid w:val="004443EB"/>
    <w:rsid w:val="00444432"/>
    <w:rsid w:val="00444673"/>
    <w:rsid w:val="0044621E"/>
    <w:rsid w:val="00447BF1"/>
    <w:rsid w:val="00450BA4"/>
    <w:rsid w:val="004511FC"/>
    <w:rsid w:val="0045229B"/>
    <w:rsid w:val="00456784"/>
    <w:rsid w:val="00456DCA"/>
    <w:rsid w:val="00461140"/>
    <w:rsid w:val="004611DB"/>
    <w:rsid w:val="004658B0"/>
    <w:rsid w:val="0046614B"/>
    <w:rsid w:val="004667A7"/>
    <w:rsid w:val="00467FD7"/>
    <w:rsid w:val="00470073"/>
    <w:rsid w:val="004730F8"/>
    <w:rsid w:val="00474353"/>
    <w:rsid w:val="00474555"/>
    <w:rsid w:val="004750F4"/>
    <w:rsid w:val="00476CB1"/>
    <w:rsid w:val="00480A48"/>
    <w:rsid w:val="00482501"/>
    <w:rsid w:val="00482E7D"/>
    <w:rsid w:val="00484395"/>
    <w:rsid w:val="004865FB"/>
    <w:rsid w:val="00486C03"/>
    <w:rsid w:val="004905C0"/>
    <w:rsid w:val="00491AB3"/>
    <w:rsid w:val="00497A33"/>
    <w:rsid w:val="004A1112"/>
    <w:rsid w:val="004A1DA0"/>
    <w:rsid w:val="004A1F20"/>
    <w:rsid w:val="004A2393"/>
    <w:rsid w:val="004A3569"/>
    <w:rsid w:val="004A452A"/>
    <w:rsid w:val="004A5F2C"/>
    <w:rsid w:val="004A6E4F"/>
    <w:rsid w:val="004A720D"/>
    <w:rsid w:val="004B00D0"/>
    <w:rsid w:val="004B5BFE"/>
    <w:rsid w:val="004B6084"/>
    <w:rsid w:val="004B7AE0"/>
    <w:rsid w:val="004C0BC4"/>
    <w:rsid w:val="004C260D"/>
    <w:rsid w:val="004C2D47"/>
    <w:rsid w:val="004C4357"/>
    <w:rsid w:val="004C4477"/>
    <w:rsid w:val="004C5730"/>
    <w:rsid w:val="004C6397"/>
    <w:rsid w:val="004C668F"/>
    <w:rsid w:val="004C682B"/>
    <w:rsid w:val="004D142C"/>
    <w:rsid w:val="004D29F7"/>
    <w:rsid w:val="004D36D8"/>
    <w:rsid w:val="004D4C5C"/>
    <w:rsid w:val="004D5AB0"/>
    <w:rsid w:val="004D5EAE"/>
    <w:rsid w:val="004D7A0E"/>
    <w:rsid w:val="004E00CB"/>
    <w:rsid w:val="004E06E7"/>
    <w:rsid w:val="004E0AE3"/>
    <w:rsid w:val="004E20D3"/>
    <w:rsid w:val="004E2C82"/>
    <w:rsid w:val="004E4FAE"/>
    <w:rsid w:val="004E62C7"/>
    <w:rsid w:val="004E68FF"/>
    <w:rsid w:val="004E7A1B"/>
    <w:rsid w:val="004F0B7F"/>
    <w:rsid w:val="004F1193"/>
    <w:rsid w:val="004F11DC"/>
    <w:rsid w:val="004F2124"/>
    <w:rsid w:val="004F271B"/>
    <w:rsid w:val="004F3A52"/>
    <w:rsid w:val="004F449F"/>
    <w:rsid w:val="004F4E7E"/>
    <w:rsid w:val="004F63AB"/>
    <w:rsid w:val="004F6B76"/>
    <w:rsid w:val="004F6C7C"/>
    <w:rsid w:val="004F7F1A"/>
    <w:rsid w:val="004F7FBB"/>
    <w:rsid w:val="005042B3"/>
    <w:rsid w:val="005045AB"/>
    <w:rsid w:val="00507D43"/>
    <w:rsid w:val="005103F2"/>
    <w:rsid w:val="00510E2C"/>
    <w:rsid w:val="00511FDC"/>
    <w:rsid w:val="005124C6"/>
    <w:rsid w:val="00513EBC"/>
    <w:rsid w:val="00514CE1"/>
    <w:rsid w:val="00517155"/>
    <w:rsid w:val="00517DB3"/>
    <w:rsid w:val="005200DC"/>
    <w:rsid w:val="005200F2"/>
    <w:rsid w:val="0052369D"/>
    <w:rsid w:val="005271DB"/>
    <w:rsid w:val="00530D2F"/>
    <w:rsid w:val="0053487C"/>
    <w:rsid w:val="005356E1"/>
    <w:rsid w:val="00536A8B"/>
    <w:rsid w:val="00540418"/>
    <w:rsid w:val="00541A96"/>
    <w:rsid w:val="00541C6A"/>
    <w:rsid w:val="00542C54"/>
    <w:rsid w:val="00545623"/>
    <w:rsid w:val="00546A43"/>
    <w:rsid w:val="00546C70"/>
    <w:rsid w:val="00547258"/>
    <w:rsid w:val="00550CF0"/>
    <w:rsid w:val="005559FE"/>
    <w:rsid w:val="005560D6"/>
    <w:rsid w:val="00556D07"/>
    <w:rsid w:val="005611F2"/>
    <w:rsid w:val="00561734"/>
    <w:rsid w:val="00561952"/>
    <w:rsid w:val="00564B9A"/>
    <w:rsid w:val="00565694"/>
    <w:rsid w:val="00566DD6"/>
    <w:rsid w:val="005714EF"/>
    <w:rsid w:val="00571CEC"/>
    <w:rsid w:val="00572FCE"/>
    <w:rsid w:val="005750DB"/>
    <w:rsid w:val="005759FC"/>
    <w:rsid w:val="00575B85"/>
    <w:rsid w:val="00576DB9"/>
    <w:rsid w:val="0057738F"/>
    <w:rsid w:val="005805E4"/>
    <w:rsid w:val="0058202F"/>
    <w:rsid w:val="00584221"/>
    <w:rsid w:val="00584EB6"/>
    <w:rsid w:val="00586B68"/>
    <w:rsid w:val="0058774E"/>
    <w:rsid w:val="005878CF"/>
    <w:rsid w:val="00590CA0"/>
    <w:rsid w:val="00595B01"/>
    <w:rsid w:val="00596D98"/>
    <w:rsid w:val="005979A5"/>
    <w:rsid w:val="005A0021"/>
    <w:rsid w:val="005A017B"/>
    <w:rsid w:val="005A2AEC"/>
    <w:rsid w:val="005A412D"/>
    <w:rsid w:val="005A5212"/>
    <w:rsid w:val="005B002D"/>
    <w:rsid w:val="005B0FFF"/>
    <w:rsid w:val="005B19AF"/>
    <w:rsid w:val="005B258C"/>
    <w:rsid w:val="005B61DD"/>
    <w:rsid w:val="005B6735"/>
    <w:rsid w:val="005B7831"/>
    <w:rsid w:val="005C0CD6"/>
    <w:rsid w:val="005C12D9"/>
    <w:rsid w:val="005C2146"/>
    <w:rsid w:val="005C309D"/>
    <w:rsid w:val="005C544B"/>
    <w:rsid w:val="005C5916"/>
    <w:rsid w:val="005C5AEE"/>
    <w:rsid w:val="005C774A"/>
    <w:rsid w:val="005D3734"/>
    <w:rsid w:val="005D4F16"/>
    <w:rsid w:val="005D5A53"/>
    <w:rsid w:val="005D5DA0"/>
    <w:rsid w:val="005D7FBD"/>
    <w:rsid w:val="005E19B4"/>
    <w:rsid w:val="005E1D6B"/>
    <w:rsid w:val="005E227A"/>
    <w:rsid w:val="005E2CF8"/>
    <w:rsid w:val="005E3126"/>
    <w:rsid w:val="005E7075"/>
    <w:rsid w:val="005E75A7"/>
    <w:rsid w:val="005F38E2"/>
    <w:rsid w:val="005F3EE6"/>
    <w:rsid w:val="005F438E"/>
    <w:rsid w:val="005F6736"/>
    <w:rsid w:val="005F6D2B"/>
    <w:rsid w:val="00602C10"/>
    <w:rsid w:val="00602EBD"/>
    <w:rsid w:val="00603070"/>
    <w:rsid w:val="00604CF2"/>
    <w:rsid w:val="00606DFF"/>
    <w:rsid w:val="00606FB7"/>
    <w:rsid w:val="00607209"/>
    <w:rsid w:val="00610533"/>
    <w:rsid w:val="006110F6"/>
    <w:rsid w:val="00611FA1"/>
    <w:rsid w:val="00612522"/>
    <w:rsid w:val="00612DA6"/>
    <w:rsid w:val="0061365B"/>
    <w:rsid w:val="006138B6"/>
    <w:rsid w:val="00614BC6"/>
    <w:rsid w:val="00614E33"/>
    <w:rsid w:val="006158B8"/>
    <w:rsid w:val="0061706D"/>
    <w:rsid w:val="006173DA"/>
    <w:rsid w:val="00617EF9"/>
    <w:rsid w:val="00620295"/>
    <w:rsid w:val="00622F8E"/>
    <w:rsid w:val="00626AC8"/>
    <w:rsid w:val="00627912"/>
    <w:rsid w:val="0063195F"/>
    <w:rsid w:val="00633E32"/>
    <w:rsid w:val="00636C0A"/>
    <w:rsid w:val="00637EC6"/>
    <w:rsid w:val="0064240C"/>
    <w:rsid w:val="00642FF5"/>
    <w:rsid w:val="006430FB"/>
    <w:rsid w:val="00643992"/>
    <w:rsid w:val="00644DBC"/>
    <w:rsid w:val="00646FE6"/>
    <w:rsid w:val="006474CD"/>
    <w:rsid w:val="00647744"/>
    <w:rsid w:val="006479A0"/>
    <w:rsid w:val="006500D9"/>
    <w:rsid w:val="00653B54"/>
    <w:rsid w:val="006541A3"/>
    <w:rsid w:val="00654FAD"/>
    <w:rsid w:val="006554A5"/>
    <w:rsid w:val="00655C9F"/>
    <w:rsid w:val="006567FF"/>
    <w:rsid w:val="00656867"/>
    <w:rsid w:val="0066109F"/>
    <w:rsid w:val="00664B26"/>
    <w:rsid w:val="0066596B"/>
    <w:rsid w:val="00670295"/>
    <w:rsid w:val="006704F5"/>
    <w:rsid w:val="006721B2"/>
    <w:rsid w:val="00672894"/>
    <w:rsid w:val="00674B47"/>
    <w:rsid w:val="0067609E"/>
    <w:rsid w:val="00677749"/>
    <w:rsid w:val="00680E07"/>
    <w:rsid w:val="00682B9D"/>
    <w:rsid w:val="00683806"/>
    <w:rsid w:val="00686AF9"/>
    <w:rsid w:val="006910C0"/>
    <w:rsid w:val="00691954"/>
    <w:rsid w:val="0069320E"/>
    <w:rsid w:val="00693D13"/>
    <w:rsid w:val="00694F58"/>
    <w:rsid w:val="006955BC"/>
    <w:rsid w:val="006959E2"/>
    <w:rsid w:val="00696920"/>
    <w:rsid w:val="00697EB9"/>
    <w:rsid w:val="006A20D4"/>
    <w:rsid w:val="006A268D"/>
    <w:rsid w:val="006A350F"/>
    <w:rsid w:val="006A3957"/>
    <w:rsid w:val="006A39A4"/>
    <w:rsid w:val="006A41D6"/>
    <w:rsid w:val="006A669D"/>
    <w:rsid w:val="006A6E41"/>
    <w:rsid w:val="006B012F"/>
    <w:rsid w:val="006B137D"/>
    <w:rsid w:val="006B27CF"/>
    <w:rsid w:val="006B41BD"/>
    <w:rsid w:val="006B5678"/>
    <w:rsid w:val="006B62B2"/>
    <w:rsid w:val="006C1C57"/>
    <w:rsid w:val="006C2A68"/>
    <w:rsid w:val="006C5760"/>
    <w:rsid w:val="006C6D6F"/>
    <w:rsid w:val="006D0D78"/>
    <w:rsid w:val="006D1128"/>
    <w:rsid w:val="006D2848"/>
    <w:rsid w:val="006D30E0"/>
    <w:rsid w:val="006D5521"/>
    <w:rsid w:val="006D5FE9"/>
    <w:rsid w:val="006D6CBB"/>
    <w:rsid w:val="006D76A9"/>
    <w:rsid w:val="006D77F4"/>
    <w:rsid w:val="006E0898"/>
    <w:rsid w:val="006E41CD"/>
    <w:rsid w:val="006F3BEC"/>
    <w:rsid w:val="006F555D"/>
    <w:rsid w:val="00703C00"/>
    <w:rsid w:val="007057CC"/>
    <w:rsid w:val="007066F2"/>
    <w:rsid w:val="00706AE5"/>
    <w:rsid w:val="0070740A"/>
    <w:rsid w:val="00711F93"/>
    <w:rsid w:val="00712940"/>
    <w:rsid w:val="0071428C"/>
    <w:rsid w:val="00715A16"/>
    <w:rsid w:val="007164B0"/>
    <w:rsid w:val="007166FF"/>
    <w:rsid w:val="007260CC"/>
    <w:rsid w:val="00726543"/>
    <w:rsid w:val="0073353E"/>
    <w:rsid w:val="00736633"/>
    <w:rsid w:val="00741EE7"/>
    <w:rsid w:val="00743A79"/>
    <w:rsid w:val="007444D4"/>
    <w:rsid w:val="0074594D"/>
    <w:rsid w:val="007459F3"/>
    <w:rsid w:val="00746E35"/>
    <w:rsid w:val="007470E2"/>
    <w:rsid w:val="0075232F"/>
    <w:rsid w:val="00753132"/>
    <w:rsid w:val="00754F96"/>
    <w:rsid w:val="007550B3"/>
    <w:rsid w:val="00760451"/>
    <w:rsid w:val="0077182A"/>
    <w:rsid w:val="00771913"/>
    <w:rsid w:val="00772718"/>
    <w:rsid w:val="00775BCF"/>
    <w:rsid w:val="007818AA"/>
    <w:rsid w:val="00783140"/>
    <w:rsid w:val="007838B6"/>
    <w:rsid w:val="00783E77"/>
    <w:rsid w:val="007906F1"/>
    <w:rsid w:val="0079243D"/>
    <w:rsid w:val="007947C2"/>
    <w:rsid w:val="00794A9B"/>
    <w:rsid w:val="0079583B"/>
    <w:rsid w:val="00796602"/>
    <w:rsid w:val="00797185"/>
    <w:rsid w:val="007976B7"/>
    <w:rsid w:val="00797A7E"/>
    <w:rsid w:val="00797D6F"/>
    <w:rsid w:val="007B014B"/>
    <w:rsid w:val="007B0D88"/>
    <w:rsid w:val="007B306F"/>
    <w:rsid w:val="007B4714"/>
    <w:rsid w:val="007B4E82"/>
    <w:rsid w:val="007C1996"/>
    <w:rsid w:val="007C3773"/>
    <w:rsid w:val="007C3F1F"/>
    <w:rsid w:val="007C5777"/>
    <w:rsid w:val="007D2D0D"/>
    <w:rsid w:val="007D3325"/>
    <w:rsid w:val="007D3818"/>
    <w:rsid w:val="007D6DC5"/>
    <w:rsid w:val="007D7425"/>
    <w:rsid w:val="007E0268"/>
    <w:rsid w:val="007E320E"/>
    <w:rsid w:val="007E3280"/>
    <w:rsid w:val="007E4A02"/>
    <w:rsid w:val="007E595C"/>
    <w:rsid w:val="007E59A5"/>
    <w:rsid w:val="007F3B8C"/>
    <w:rsid w:val="007F41D0"/>
    <w:rsid w:val="007F4B8B"/>
    <w:rsid w:val="007F5957"/>
    <w:rsid w:val="007F6B85"/>
    <w:rsid w:val="007F70B6"/>
    <w:rsid w:val="007F74CA"/>
    <w:rsid w:val="00800F1E"/>
    <w:rsid w:val="0080195A"/>
    <w:rsid w:val="0080239C"/>
    <w:rsid w:val="00802841"/>
    <w:rsid w:val="008037D5"/>
    <w:rsid w:val="00805447"/>
    <w:rsid w:val="008054FA"/>
    <w:rsid w:val="0080717A"/>
    <w:rsid w:val="00807DFA"/>
    <w:rsid w:val="0081009F"/>
    <w:rsid w:val="00810152"/>
    <w:rsid w:val="0081152F"/>
    <w:rsid w:val="008115AB"/>
    <w:rsid w:val="00812D2C"/>
    <w:rsid w:val="008159F4"/>
    <w:rsid w:val="008167C1"/>
    <w:rsid w:val="008167C6"/>
    <w:rsid w:val="00816B8F"/>
    <w:rsid w:val="00820331"/>
    <w:rsid w:val="00820BF5"/>
    <w:rsid w:val="008212B1"/>
    <w:rsid w:val="0082155A"/>
    <w:rsid w:val="0082209F"/>
    <w:rsid w:val="008223C2"/>
    <w:rsid w:val="008250A2"/>
    <w:rsid w:val="00825D64"/>
    <w:rsid w:val="0082650B"/>
    <w:rsid w:val="00827EC5"/>
    <w:rsid w:val="008301CE"/>
    <w:rsid w:val="0083020A"/>
    <w:rsid w:val="008312E3"/>
    <w:rsid w:val="00831D5B"/>
    <w:rsid w:val="00832DD6"/>
    <w:rsid w:val="00832F0C"/>
    <w:rsid w:val="008336F2"/>
    <w:rsid w:val="008345D9"/>
    <w:rsid w:val="008347CB"/>
    <w:rsid w:val="00835647"/>
    <w:rsid w:val="00837A2E"/>
    <w:rsid w:val="00841558"/>
    <w:rsid w:val="00842A68"/>
    <w:rsid w:val="008435BA"/>
    <w:rsid w:val="0084558B"/>
    <w:rsid w:val="0084654A"/>
    <w:rsid w:val="00847654"/>
    <w:rsid w:val="00851064"/>
    <w:rsid w:val="00855543"/>
    <w:rsid w:val="008566B3"/>
    <w:rsid w:val="008576B7"/>
    <w:rsid w:val="00857F7B"/>
    <w:rsid w:val="008619C3"/>
    <w:rsid w:val="00863DA1"/>
    <w:rsid w:val="008654A6"/>
    <w:rsid w:val="00865618"/>
    <w:rsid w:val="00865D86"/>
    <w:rsid w:val="00870495"/>
    <w:rsid w:val="00870EA1"/>
    <w:rsid w:val="008710C5"/>
    <w:rsid w:val="00874438"/>
    <w:rsid w:val="00874E75"/>
    <w:rsid w:val="008767F3"/>
    <w:rsid w:val="00876CEF"/>
    <w:rsid w:val="00877342"/>
    <w:rsid w:val="008803C3"/>
    <w:rsid w:val="00881450"/>
    <w:rsid w:val="008817C7"/>
    <w:rsid w:val="00881875"/>
    <w:rsid w:val="008848A3"/>
    <w:rsid w:val="00884AF1"/>
    <w:rsid w:val="00885F7A"/>
    <w:rsid w:val="00890712"/>
    <w:rsid w:val="00890D81"/>
    <w:rsid w:val="00892955"/>
    <w:rsid w:val="00893628"/>
    <w:rsid w:val="008941EB"/>
    <w:rsid w:val="0089545A"/>
    <w:rsid w:val="00895A02"/>
    <w:rsid w:val="008A01EE"/>
    <w:rsid w:val="008A0DAC"/>
    <w:rsid w:val="008A3B78"/>
    <w:rsid w:val="008A4166"/>
    <w:rsid w:val="008A7DBF"/>
    <w:rsid w:val="008B136C"/>
    <w:rsid w:val="008B1C05"/>
    <w:rsid w:val="008B55EF"/>
    <w:rsid w:val="008B6910"/>
    <w:rsid w:val="008C0B5C"/>
    <w:rsid w:val="008C1343"/>
    <w:rsid w:val="008C3912"/>
    <w:rsid w:val="008C5598"/>
    <w:rsid w:val="008C69EA"/>
    <w:rsid w:val="008C6F8B"/>
    <w:rsid w:val="008C7AB7"/>
    <w:rsid w:val="008C7FB4"/>
    <w:rsid w:val="008D2C8C"/>
    <w:rsid w:val="008D3040"/>
    <w:rsid w:val="008D3ECD"/>
    <w:rsid w:val="008D5C03"/>
    <w:rsid w:val="008D7580"/>
    <w:rsid w:val="008D7C35"/>
    <w:rsid w:val="008E5698"/>
    <w:rsid w:val="008E5733"/>
    <w:rsid w:val="008E77D2"/>
    <w:rsid w:val="008E78FD"/>
    <w:rsid w:val="008F199D"/>
    <w:rsid w:val="008F38A0"/>
    <w:rsid w:val="008F39C9"/>
    <w:rsid w:val="008F5EB5"/>
    <w:rsid w:val="008F678C"/>
    <w:rsid w:val="008F75A7"/>
    <w:rsid w:val="008F7E5A"/>
    <w:rsid w:val="00900A7F"/>
    <w:rsid w:val="009036EE"/>
    <w:rsid w:val="00905276"/>
    <w:rsid w:val="00905815"/>
    <w:rsid w:val="00905D1D"/>
    <w:rsid w:val="00907E11"/>
    <w:rsid w:val="0091016D"/>
    <w:rsid w:val="00910C98"/>
    <w:rsid w:val="00911910"/>
    <w:rsid w:val="00912A58"/>
    <w:rsid w:val="00913908"/>
    <w:rsid w:val="00913D26"/>
    <w:rsid w:val="0091438B"/>
    <w:rsid w:val="009147E3"/>
    <w:rsid w:val="009155AE"/>
    <w:rsid w:val="00920FD2"/>
    <w:rsid w:val="00923A43"/>
    <w:rsid w:val="0092439C"/>
    <w:rsid w:val="0092498E"/>
    <w:rsid w:val="00925B91"/>
    <w:rsid w:val="00934461"/>
    <w:rsid w:val="00934F7E"/>
    <w:rsid w:val="00936A1C"/>
    <w:rsid w:val="0094282F"/>
    <w:rsid w:val="00943E35"/>
    <w:rsid w:val="00945278"/>
    <w:rsid w:val="0094658D"/>
    <w:rsid w:val="00947678"/>
    <w:rsid w:val="00947878"/>
    <w:rsid w:val="009504C2"/>
    <w:rsid w:val="0095254A"/>
    <w:rsid w:val="0095273B"/>
    <w:rsid w:val="009559E1"/>
    <w:rsid w:val="009568D5"/>
    <w:rsid w:val="0095750E"/>
    <w:rsid w:val="00957CD3"/>
    <w:rsid w:val="00957E9D"/>
    <w:rsid w:val="0096269B"/>
    <w:rsid w:val="00963FB0"/>
    <w:rsid w:val="00964C86"/>
    <w:rsid w:val="00965E82"/>
    <w:rsid w:val="009664BB"/>
    <w:rsid w:val="009669F8"/>
    <w:rsid w:val="00966F89"/>
    <w:rsid w:val="00970A5A"/>
    <w:rsid w:val="00973B5D"/>
    <w:rsid w:val="0097755E"/>
    <w:rsid w:val="00981467"/>
    <w:rsid w:val="00981C24"/>
    <w:rsid w:val="009852F6"/>
    <w:rsid w:val="00985DE5"/>
    <w:rsid w:val="00986254"/>
    <w:rsid w:val="0098729E"/>
    <w:rsid w:val="00990067"/>
    <w:rsid w:val="00992977"/>
    <w:rsid w:val="009937D4"/>
    <w:rsid w:val="00993C78"/>
    <w:rsid w:val="009948C7"/>
    <w:rsid w:val="00995850"/>
    <w:rsid w:val="0099796C"/>
    <w:rsid w:val="009A194E"/>
    <w:rsid w:val="009A1EA2"/>
    <w:rsid w:val="009A209E"/>
    <w:rsid w:val="009A3FD7"/>
    <w:rsid w:val="009A6652"/>
    <w:rsid w:val="009A74FD"/>
    <w:rsid w:val="009B25D8"/>
    <w:rsid w:val="009B42E3"/>
    <w:rsid w:val="009B463C"/>
    <w:rsid w:val="009B5859"/>
    <w:rsid w:val="009C6D07"/>
    <w:rsid w:val="009C7CEC"/>
    <w:rsid w:val="009D154D"/>
    <w:rsid w:val="009D18EF"/>
    <w:rsid w:val="009D3B76"/>
    <w:rsid w:val="009D3BE8"/>
    <w:rsid w:val="009D44E0"/>
    <w:rsid w:val="009D573B"/>
    <w:rsid w:val="009D59A0"/>
    <w:rsid w:val="009D716A"/>
    <w:rsid w:val="009E1AC4"/>
    <w:rsid w:val="009E20B8"/>
    <w:rsid w:val="009E2396"/>
    <w:rsid w:val="009E29A0"/>
    <w:rsid w:val="009E35F6"/>
    <w:rsid w:val="009E41B5"/>
    <w:rsid w:val="009E55D7"/>
    <w:rsid w:val="009E627C"/>
    <w:rsid w:val="009F110B"/>
    <w:rsid w:val="009F1498"/>
    <w:rsid w:val="009F1E9F"/>
    <w:rsid w:val="009F3793"/>
    <w:rsid w:val="009F54F2"/>
    <w:rsid w:val="00A0056B"/>
    <w:rsid w:val="00A01657"/>
    <w:rsid w:val="00A01C65"/>
    <w:rsid w:val="00A0213D"/>
    <w:rsid w:val="00A04C73"/>
    <w:rsid w:val="00A0679A"/>
    <w:rsid w:val="00A07A2B"/>
    <w:rsid w:val="00A11567"/>
    <w:rsid w:val="00A12375"/>
    <w:rsid w:val="00A125B8"/>
    <w:rsid w:val="00A13124"/>
    <w:rsid w:val="00A15370"/>
    <w:rsid w:val="00A156AB"/>
    <w:rsid w:val="00A16B8D"/>
    <w:rsid w:val="00A177F0"/>
    <w:rsid w:val="00A21293"/>
    <w:rsid w:val="00A2134B"/>
    <w:rsid w:val="00A21623"/>
    <w:rsid w:val="00A220EB"/>
    <w:rsid w:val="00A22302"/>
    <w:rsid w:val="00A25F1B"/>
    <w:rsid w:val="00A27DE0"/>
    <w:rsid w:val="00A325F3"/>
    <w:rsid w:val="00A33103"/>
    <w:rsid w:val="00A33294"/>
    <w:rsid w:val="00A35DCB"/>
    <w:rsid w:val="00A3690E"/>
    <w:rsid w:val="00A37751"/>
    <w:rsid w:val="00A403B8"/>
    <w:rsid w:val="00A406B1"/>
    <w:rsid w:val="00A4113E"/>
    <w:rsid w:val="00A42435"/>
    <w:rsid w:val="00A43624"/>
    <w:rsid w:val="00A438BA"/>
    <w:rsid w:val="00A446FD"/>
    <w:rsid w:val="00A4622C"/>
    <w:rsid w:val="00A46F46"/>
    <w:rsid w:val="00A524E8"/>
    <w:rsid w:val="00A52CB6"/>
    <w:rsid w:val="00A52F99"/>
    <w:rsid w:val="00A538BB"/>
    <w:rsid w:val="00A539B2"/>
    <w:rsid w:val="00A54164"/>
    <w:rsid w:val="00A56737"/>
    <w:rsid w:val="00A60002"/>
    <w:rsid w:val="00A603D8"/>
    <w:rsid w:val="00A60AE2"/>
    <w:rsid w:val="00A61834"/>
    <w:rsid w:val="00A618B0"/>
    <w:rsid w:val="00A62790"/>
    <w:rsid w:val="00A6291F"/>
    <w:rsid w:val="00A634CC"/>
    <w:rsid w:val="00A63F53"/>
    <w:rsid w:val="00A7111E"/>
    <w:rsid w:val="00A755B6"/>
    <w:rsid w:val="00A75B1A"/>
    <w:rsid w:val="00A80ED4"/>
    <w:rsid w:val="00A816C4"/>
    <w:rsid w:val="00A82981"/>
    <w:rsid w:val="00A86F10"/>
    <w:rsid w:val="00A87AF2"/>
    <w:rsid w:val="00A90B23"/>
    <w:rsid w:val="00A93193"/>
    <w:rsid w:val="00A93C2B"/>
    <w:rsid w:val="00A94556"/>
    <w:rsid w:val="00A974CB"/>
    <w:rsid w:val="00AA0CF8"/>
    <w:rsid w:val="00AA1EAC"/>
    <w:rsid w:val="00AA25FF"/>
    <w:rsid w:val="00AA45E2"/>
    <w:rsid w:val="00AA7AC1"/>
    <w:rsid w:val="00AB6327"/>
    <w:rsid w:val="00AB6B8F"/>
    <w:rsid w:val="00AC0C65"/>
    <w:rsid w:val="00AC0FB2"/>
    <w:rsid w:val="00AC3721"/>
    <w:rsid w:val="00AC41C6"/>
    <w:rsid w:val="00AC670D"/>
    <w:rsid w:val="00AC70C7"/>
    <w:rsid w:val="00AC76B7"/>
    <w:rsid w:val="00AD0223"/>
    <w:rsid w:val="00AD123A"/>
    <w:rsid w:val="00AD15FF"/>
    <w:rsid w:val="00AD1AA5"/>
    <w:rsid w:val="00AD2920"/>
    <w:rsid w:val="00AD2CD5"/>
    <w:rsid w:val="00AD2DFC"/>
    <w:rsid w:val="00AD38C4"/>
    <w:rsid w:val="00AD5983"/>
    <w:rsid w:val="00AD5A4A"/>
    <w:rsid w:val="00AD60EE"/>
    <w:rsid w:val="00AD6A2B"/>
    <w:rsid w:val="00AD73D4"/>
    <w:rsid w:val="00AE1EA2"/>
    <w:rsid w:val="00AE2874"/>
    <w:rsid w:val="00AE2F98"/>
    <w:rsid w:val="00AE3602"/>
    <w:rsid w:val="00AE5342"/>
    <w:rsid w:val="00AE5987"/>
    <w:rsid w:val="00AE6472"/>
    <w:rsid w:val="00AF0BE6"/>
    <w:rsid w:val="00AF1345"/>
    <w:rsid w:val="00AF38A8"/>
    <w:rsid w:val="00AF63EB"/>
    <w:rsid w:val="00B0083F"/>
    <w:rsid w:val="00B016D2"/>
    <w:rsid w:val="00B018EC"/>
    <w:rsid w:val="00B060C7"/>
    <w:rsid w:val="00B11AB7"/>
    <w:rsid w:val="00B12213"/>
    <w:rsid w:val="00B13710"/>
    <w:rsid w:val="00B22881"/>
    <w:rsid w:val="00B23EFC"/>
    <w:rsid w:val="00B24B72"/>
    <w:rsid w:val="00B25DB8"/>
    <w:rsid w:val="00B2656C"/>
    <w:rsid w:val="00B266E6"/>
    <w:rsid w:val="00B3094D"/>
    <w:rsid w:val="00B30B04"/>
    <w:rsid w:val="00B311BC"/>
    <w:rsid w:val="00B31810"/>
    <w:rsid w:val="00B31C10"/>
    <w:rsid w:val="00B3446D"/>
    <w:rsid w:val="00B34652"/>
    <w:rsid w:val="00B34F89"/>
    <w:rsid w:val="00B358C8"/>
    <w:rsid w:val="00B36185"/>
    <w:rsid w:val="00B3662F"/>
    <w:rsid w:val="00B373CD"/>
    <w:rsid w:val="00B377C8"/>
    <w:rsid w:val="00B400B8"/>
    <w:rsid w:val="00B404DE"/>
    <w:rsid w:val="00B40765"/>
    <w:rsid w:val="00B4232D"/>
    <w:rsid w:val="00B42682"/>
    <w:rsid w:val="00B43065"/>
    <w:rsid w:val="00B44784"/>
    <w:rsid w:val="00B449D0"/>
    <w:rsid w:val="00B456AB"/>
    <w:rsid w:val="00B462D4"/>
    <w:rsid w:val="00B46C2A"/>
    <w:rsid w:val="00B47E8B"/>
    <w:rsid w:val="00B51C67"/>
    <w:rsid w:val="00B53F86"/>
    <w:rsid w:val="00B53FDC"/>
    <w:rsid w:val="00B55431"/>
    <w:rsid w:val="00B55CAE"/>
    <w:rsid w:val="00B576C6"/>
    <w:rsid w:val="00B57A84"/>
    <w:rsid w:val="00B6141B"/>
    <w:rsid w:val="00B615F2"/>
    <w:rsid w:val="00B61A28"/>
    <w:rsid w:val="00B63BAB"/>
    <w:rsid w:val="00B65C6D"/>
    <w:rsid w:val="00B66B06"/>
    <w:rsid w:val="00B67862"/>
    <w:rsid w:val="00B70634"/>
    <w:rsid w:val="00B70BE4"/>
    <w:rsid w:val="00B73880"/>
    <w:rsid w:val="00B73CF1"/>
    <w:rsid w:val="00B745B3"/>
    <w:rsid w:val="00B7595C"/>
    <w:rsid w:val="00B7599D"/>
    <w:rsid w:val="00B7648F"/>
    <w:rsid w:val="00B76E13"/>
    <w:rsid w:val="00B771EE"/>
    <w:rsid w:val="00B7765B"/>
    <w:rsid w:val="00B77B4B"/>
    <w:rsid w:val="00B80ABC"/>
    <w:rsid w:val="00B814C2"/>
    <w:rsid w:val="00B820DA"/>
    <w:rsid w:val="00B900FE"/>
    <w:rsid w:val="00B9064C"/>
    <w:rsid w:val="00BA0A14"/>
    <w:rsid w:val="00BA228D"/>
    <w:rsid w:val="00BA398D"/>
    <w:rsid w:val="00BA39D3"/>
    <w:rsid w:val="00BA5C56"/>
    <w:rsid w:val="00BA776F"/>
    <w:rsid w:val="00BB0C0D"/>
    <w:rsid w:val="00BB0D69"/>
    <w:rsid w:val="00BB366E"/>
    <w:rsid w:val="00BB3AF0"/>
    <w:rsid w:val="00BB4F70"/>
    <w:rsid w:val="00BB67FF"/>
    <w:rsid w:val="00BC11B9"/>
    <w:rsid w:val="00BC138C"/>
    <w:rsid w:val="00BC14CF"/>
    <w:rsid w:val="00BC1659"/>
    <w:rsid w:val="00BC2C91"/>
    <w:rsid w:val="00BC3A9C"/>
    <w:rsid w:val="00BC5288"/>
    <w:rsid w:val="00BC6A71"/>
    <w:rsid w:val="00BC6B2F"/>
    <w:rsid w:val="00BC7695"/>
    <w:rsid w:val="00BD0637"/>
    <w:rsid w:val="00BD08A8"/>
    <w:rsid w:val="00BD1BAC"/>
    <w:rsid w:val="00BD1FA8"/>
    <w:rsid w:val="00BD25A6"/>
    <w:rsid w:val="00BD46AF"/>
    <w:rsid w:val="00BD4C95"/>
    <w:rsid w:val="00BD65FC"/>
    <w:rsid w:val="00BD7660"/>
    <w:rsid w:val="00BE0666"/>
    <w:rsid w:val="00BE24B9"/>
    <w:rsid w:val="00BE2AE8"/>
    <w:rsid w:val="00BE2D55"/>
    <w:rsid w:val="00BE38DD"/>
    <w:rsid w:val="00BE4AB1"/>
    <w:rsid w:val="00BE69C5"/>
    <w:rsid w:val="00BF114D"/>
    <w:rsid w:val="00BF16C3"/>
    <w:rsid w:val="00BF38E0"/>
    <w:rsid w:val="00BF44FA"/>
    <w:rsid w:val="00BF57E1"/>
    <w:rsid w:val="00C003B4"/>
    <w:rsid w:val="00C00A5F"/>
    <w:rsid w:val="00C042E0"/>
    <w:rsid w:val="00C04840"/>
    <w:rsid w:val="00C051D9"/>
    <w:rsid w:val="00C06333"/>
    <w:rsid w:val="00C06F68"/>
    <w:rsid w:val="00C075BA"/>
    <w:rsid w:val="00C10A3A"/>
    <w:rsid w:val="00C11E20"/>
    <w:rsid w:val="00C15D16"/>
    <w:rsid w:val="00C20015"/>
    <w:rsid w:val="00C247DD"/>
    <w:rsid w:val="00C25B43"/>
    <w:rsid w:val="00C26A54"/>
    <w:rsid w:val="00C3261C"/>
    <w:rsid w:val="00C329F0"/>
    <w:rsid w:val="00C3318B"/>
    <w:rsid w:val="00C33C20"/>
    <w:rsid w:val="00C35362"/>
    <w:rsid w:val="00C357EA"/>
    <w:rsid w:val="00C379F8"/>
    <w:rsid w:val="00C37A1C"/>
    <w:rsid w:val="00C42323"/>
    <w:rsid w:val="00C4316E"/>
    <w:rsid w:val="00C453A9"/>
    <w:rsid w:val="00C465D5"/>
    <w:rsid w:val="00C4756A"/>
    <w:rsid w:val="00C47C39"/>
    <w:rsid w:val="00C50649"/>
    <w:rsid w:val="00C50E1F"/>
    <w:rsid w:val="00C51C09"/>
    <w:rsid w:val="00C52BB6"/>
    <w:rsid w:val="00C53471"/>
    <w:rsid w:val="00C55143"/>
    <w:rsid w:val="00C5611B"/>
    <w:rsid w:val="00C5695E"/>
    <w:rsid w:val="00C61528"/>
    <w:rsid w:val="00C63457"/>
    <w:rsid w:val="00C64964"/>
    <w:rsid w:val="00C6631E"/>
    <w:rsid w:val="00C67473"/>
    <w:rsid w:val="00C67AA4"/>
    <w:rsid w:val="00C7148C"/>
    <w:rsid w:val="00C72192"/>
    <w:rsid w:val="00C732E5"/>
    <w:rsid w:val="00C73D0B"/>
    <w:rsid w:val="00C75017"/>
    <w:rsid w:val="00C765B4"/>
    <w:rsid w:val="00C813EA"/>
    <w:rsid w:val="00C81496"/>
    <w:rsid w:val="00C82036"/>
    <w:rsid w:val="00C82CE6"/>
    <w:rsid w:val="00C82E22"/>
    <w:rsid w:val="00C85144"/>
    <w:rsid w:val="00C86696"/>
    <w:rsid w:val="00C86738"/>
    <w:rsid w:val="00C86A27"/>
    <w:rsid w:val="00C91517"/>
    <w:rsid w:val="00C929BD"/>
    <w:rsid w:val="00C931A2"/>
    <w:rsid w:val="00CA02E1"/>
    <w:rsid w:val="00CA15DA"/>
    <w:rsid w:val="00CA224E"/>
    <w:rsid w:val="00CA41C5"/>
    <w:rsid w:val="00CA42B7"/>
    <w:rsid w:val="00CA4A53"/>
    <w:rsid w:val="00CA51F5"/>
    <w:rsid w:val="00CB218A"/>
    <w:rsid w:val="00CB225A"/>
    <w:rsid w:val="00CB69E6"/>
    <w:rsid w:val="00CB761B"/>
    <w:rsid w:val="00CC13DF"/>
    <w:rsid w:val="00CC1EEE"/>
    <w:rsid w:val="00CC562B"/>
    <w:rsid w:val="00CC69EB"/>
    <w:rsid w:val="00CC6C15"/>
    <w:rsid w:val="00CC7FCF"/>
    <w:rsid w:val="00CD2749"/>
    <w:rsid w:val="00CD2A60"/>
    <w:rsid w:val="00CD306F"/>
    <w:rsid w:val="00CD3971"/>
    <w:rsid w:val="00CD3DAB"/>
    <w:rsid w:val="00CE0DF1"/>
    <w:rsid w:val="00CE3786"/>
    <w:rsid w:val="00CE4027"/>
    <w:rsid w:val="00CE47CC"/>
    <w:rsid w:val="00CE68F6"/>
    <w:rsid w:val="00CE7E27"/>
    <w:rsid w:val="00CF22AC"/>
    <w:rsid w:val="00CF2F0A"/>
    <w:rsid w:val="00CF79E8"/>
    <w:rsid w:val="00D015AA"/>
    <w:rsid w:val="00D021B8"/>
    <w:rsid w:val="00D03D90"/>
    <w:rsid w:val="00D04024"/>
    <w:rsid w:val="00D043EB"/>
    <w:rsid w:val="00D06705"/>
    <w:rsid w:val="00D06A9B"/>
    <w:rsid w:val="00D0750D"/>
    <w:rsid w:val="00D07DD8"/>
    <w:rsid w:val="00D1038F"/>
    <w:rsid w:val="00D10BF7"/>
    <w:rsid w:val="00D10FEB"/>
    <w:rsid w:val="00D140A0"/>
    <w:rsid w:val="00D203D1"/>
    <w:rsid w:val="00D2057A"/>
    <w:rsid w:val="00D21D98"/>
    <w:rsid w:val="00D2317F"/>
    <w:rsid w:val="00D231A9"/>
    <w:rsid w:val="00D24391"/>
    <w:rsid w:val="00D2472B"/>
    <w:rsid w:val="00D253DD"/>
    <w:rsid w:val="00D26FFA"/>
    <w:rsid w:val="00D31DD8"/>
    <w:rsid w:val="00D3215D"/>
    <w:rsid w:val="00D33352"/>
    <w:rsid w:val="00D347D9"/>
    <w:rsid w:val="00D35565"/>
    <w:rsid w:val="00D36A19"/>
    <w:rsid w:val="00D40DCF"/>
    <w:rsid w:val="00D41075"/>
    <w:rsid w:val="00D4186F"/>
    <w:rsid w:val="00D41C76"/>
    <w:rsid w:val="00D41DD8"/>
    <w:rsid w:val="00D4222C"/>
    <w:rsid w:val="00D425CE"/>
    <w:rsid w:val="00D42F40"/>
    <w:rsid w:val="00D4396C"/>
    <w:rsid w:val="00D4446F"/>
    <w:rsid w:val="00D44B55"/>
    <w:rsid w:val="00D45490"/>
    <w:rsid w:val="00D457B8"/>
    <w:rsid w:val="00D457E1"/>
    <w:rsid w:val="00D47BEB"/>
    <w:rsid w:val="00D50487"/>
    <w:rsid w:val="00D50563"/>
    <w:rsid w:val="00D50F50"/>
    <w:rsid w:val="00D5235F"/>
    <w:rsid w:val="00D52F50"/>
    <w:rsid w:val="00D55A98"/>
    <w:rsid w:val="00D56B49"/>
    <w:rsid w:val="00D6053F"/>
    <w:rsid w:val="00D6073D"/>
    <w:rsid w:val="00D618D6"/>
    <w:rsid w:val="00D62426"/>
    <w:rsid w:val="00D62804"/>
    <w:rsid w:val="00D70F55"/>
    <w:rsid w:val="00D70FA5"/>
    <w:rsid w:val="00D74171"/>
    <w:rsid w:val="00D7474C"/>
    <w:rsid w:val="00D8032C"/>
    <w:rsid w:val="00D80CE2"/>
    <w:rsid w:val="00D83080"/>
    <w:rsid w:val="00D84D5F"/>
    <w:rsid w:val="00D851E2"/>
    <w:rsid w:val="00D87FFA"/>
    <w:rsid w:val="00D91419"/>
    <w:rsid w:val="00D92A09"/>
    <w:rsid w:val="00D92D2A"/>
    <w:rsid w:val="00D92EEC"/>
    <w:rsid w:val="00D93470"/>
    <w:rsid w:val="00D9395F"/>
    <w:rsid w:val="00D93D55"/>
    <w:rsid w:val="00D941FA"/>
    <w:rsid w:val="00D94B59"/>
    <w:rsid w:val="00D95315"/>
    <w:rsid w:val="00D95EAB"/>
    <w:rsid w:val="00DA0B39"/>
    <w:rsid w:val="00DA1203"/>
    <w:rsid w:val="00DA2316"/>
    <w:rsid w:val="00DA25E0"/>
    <w:rsid w:val="00DA2700"/>
    <w:rsid w:val="00DA3001"/>
    <w:rsid w:val="00DA3C5D"/>
    <w:rsid w:val="00DA3EFF"/>
    <w:rsid w:val="00DA7769"/>
    <w:rsid w:val="00DB08C6"/>
    <w:rsid w:val="00DB1BC2"/>
    <w:rsid w:val="00DB1CBB"/>
    <w:rsid w:val="00DB31ED"/>
    <w:rsid w:val="00DB4124"/>
    <w:rsid w:val="00DB4511"/>
    <w:rsid w:val="00DB4F0C"/>
    <w:rsid w:val="00DB7C02"/>
    <w:rsid w:val="00DC0176"/>
    <w:rsid w:val="00DC043F"/>
    <w:rsid w:val="00DC093E"/>
    <w:rsid w:val="00DC0E29"/>
    <w:rsid w:val="00DC0E7A"/>
    <w:rsid w:val="00DC2A65"/>
    <w:rsid w:val="00DC2A86"/>
    <w:rsid w:val="00DC3631"/>
    <w:rsid w:val="00DC37F7"/>
    <w:rsid w:val="00DC6F54"/>
    <w:rsid w:val="00DD0C00"/>
    <w:rsid w:val="00DD0F8C"/>
    <w:rsid w:val="00DD116C"/>
    <w:rsid w:val="00DD23D5"/>
    <w:rsid w:val="00DD2AF1"/>
    <w:rsid w:val="00DD46DA"/>
    <w:rsid w:val="00DD6072"/>
    <w:rsid w:val="00DD62BE"/>
    <w:rsid w:val="00DD77D9"/>
    <w:rsid w:val="00DD7CA4"/>
    <w:rsid w:val="00DE167C"/>
    <w:rsid w:val="00DE3B70"/>
    <w:rsid w:val="00DE5813"/>
    <w:rsid w:val="00DE6363"/>
    <w:rsid w:val="00DF10B1"/>
    <w:rsid w:val="00DF1FDA"/>
    <w:rsid w:val="00DF3DD0"/>
    <w:rsid w:val="00DF4D50"/>
    <w:rsid w:val="00DF538C"/>
    <w:rsid w:val="00DF6043"/>
    <w:rsid w:val="00E021C2"/>
    <w:rsid w:val="00E024A3"/>
    <w:rsid w:val="00E0423D"/>
    <w:rsid w:val="00E057B5"/>
    <w:rsid w:val="00E0581E"/>
    <w:rsid w:val="00E079C5"/>
    <w:rsid w:val="00E07CBD"/>
    <w:rsid w:val="00E07F56"/>
    <w:rsid w:val="00E10A16"/>
    <w:rsid w:val="00E1112F"/>
    <w:rsid w:val="00E1318F"/>
    <w:rsid w:val="00E13B3B"/>
    <w:rsid w:val="00E13E29"/>
    <w:rsid w:val="00E16857"/>
    <w:rsid w:val="00E16C3A"/>
    <w:rsid w:val="00E20651"/>
    <w:rsid w:val="00E2107C"/>
    <w:rsid w:val="00E21E70"/>
    <w:rsid w:val="00E224DE"/>
    <w:rsid w:val="00E23DCE"/>
    <w:rsid w:val="00E26363"/>
    <w:rsid w:val="00E272A4"/>
    <w:rsid w:val="00E305F9"/>
    <w:rsid w:val="00E306AC"/>
    <w:rsid w:val="00E34446"/>
    <w:rsid w:val="00E3633B"/>
    <w:rsid w:val="00E36870"/>
    <w:rsid w:val="00E374E1"/>
    <w:rsid w:val="00E417AB"/>
    <w:rsid w:val="00E43D48"/>
    <w:rsid w:val="00E4542D"/>
    <w:rsid w:val="00E45BE0"/>
    <w:rsid w:val="00E46CAD"/>
    <w:rsid w:val="00E47521"/>
    <w:rsid w:val="00E4760C"/>
    <w:rsid w:val="00E507A6"/>
    <w:rsid w:val="00E5103C"/>
    <w:rsid w:val="00E5375C"/>
    <w:rsid w:val="00E561AD"/>
    <w:rsid w:val="00E57FAF"/>
    <w:rsid w:val="00E60BA9"/>
    <w:rsid w:val="00E62C58"/>
    <w:rsid w:val="00E63510"/>
    <w:rsid w:val="00E635EA"/>
    <w:rsid w:val="00E655E5"/>
    <w:rsid w:val="00E65F4E"/>
    <w:rsid w:val="00E662E0"/>
    <w:rsid w:val="00E67D5D"/>
    <w:rsid w:val="00E71C7A"/>
    <w:rsid w:val="00E73119"/>
    <w:rsid w:val="00E73E1E"/>
    <w:rsid w:val="00E767FF"/>
    <w:rsid w:val="00E84C91"/>
    <w:rsid w:val="00E84E60"/>
    <w:rsid w:val="00E8556E"/>
    <w:rsid w:val="00E86B2D"/>
    <w:rsid w:val="00E86F4D"/>
    <w:rsid w:val="00E87D08"/>
    <w:rsid w:val="00E90D0E"/>
    <w:rsid w:val="00E91B2D"/>
    <w:rsid w:val="00E92FCA"/>
    <w:rsid w:val="00E95CAA"/>
    <w:rsid w:val="00EA0A39"/>
    <w:rsid w:val="00EA0EB2"/>
    <w:rsid w:val="00EA236F"/>
    <w:rsid w:val="00EA3023"/>
    <w:rsid w:val="00EA3E49"/>
    <w:rsid w:val="00EA3FC8"/>
    <w:rsid w:val="00EA5B8C"/>
    <w:rsid w:val="00EA62A7"/>
    <w:rsid w:val="00EB0DC9"/>
    <w:rsid w:val="00EB1383"/>
    <w:rsid w:val="00EB252D"/>
    <w:rsid w:val="00EB29FA"/>
    <w:rsid w:val="00EB2CCE"/>
    <w:rsid w:val="00EB385F"/>
    <w:rsid w:val="00EB3E49"/>
    <w:rsid w:val="00EB5FC3"/>
    <w:rsid w:val="00EB6DA9"/>
    <w:rsid w:val="00EC1561"/>
    <w:rsid w:val="00EC462E"/>
    <w:rsid w:val="00EC6CD8"/>
    <w:rsid w:val="00EC786F"/>
    <w:rsid w:val="00ED1866"/>
    <w:rsid w:val="00ED3134"/>
    <w:rsid w:val="00ED38E2"/>
    <w:rsid w:val="00ED5C44"/>
    <w:rsid w:val="00ED635B"/>
    <w:rsid w:val="00EE6D2B"/>
    <w:rsid w:val="00EE742D"/>
    <w:rsid w:val="00EF0A22"/>
    <w:rsid w:val="00EF1267"/>
    <w:rsid w:val="00EF180C"/>
    <w:rsid w:val="00EF29EB"/>
    <w:rsid w:val="00EF3B6B"/>
    <w:rsid w:val="00EF4B43"/>
    <w:rsid w:val="00EF6750"/>
    <w:rsid w:val="00EF770B"/>
    <w:rsid w:val="00EF7BD2"/>
    <w:rsid w:val="00F02836"/>
    <w:rsid w:val="00F02FB5"/>
    <w:rsid w:val="00F0534E"/>
    <w:rsid w:val="00F05C30"/>
    <w:rsid w:val="00F05FBC"/>
    <w:rsid w:val="00F10F1B"/>
    <w:rsid w:val="00F14179"/>
    <w:rsid w:val="00F15786"/>
    <w:rsid w:val="00F167C5"/>
    <w:rsid w:val="00F20B5A"/>
    <w:rsid w:val="00F21F0B"/>
    <w:rsid w:val="00F236AB"/>
    <w:rsid w:val="00F24EA4"/>
    <w:rsid w:val="00F27087"/>
    <w:rsid w:val="00F2773C"/>
    <w:rsid w:val="00F300B3"/>
    <w:rsid w:val="00F30DB9"/>
    <w:rsid w:val="00F30FB8"/>
    <w:rsid w:val="00F31D68"/>
    <w:rsid w:val="00F33152"/>
    <w:rsid w:val="00F338F2"/>
    <w:rsid w:val="00F349D3"/>
    <w:rsid w:val="00F3533E"/>
    <w:rsid w:val="00F35B84"/>
    <w:rsid w:val="00F402B5"/>
    <w:rsid w:val="00F4072F"/>
    <w:rsid w:val="00F42839"/>
    <w:rsid w:val="00F43961"/>
    <w:rsid w:val="00F44CC0"/>
    <w:rsid w:val="00F450BA"/>
    <w:rsid w:val="00F4684B"/>
    <w:rsid w:val="00F46BE9"/>
    <w:rsid w:val="00F47C3B"/>
    <w:rsid w:val="00F506CA"/>
    <w:rsid w:val="00F53A7A"/>
    <w:rsid w:val="00F54FCD"/>
    <w:rsid w:val="00F5785C"/>
    <w:rsid w:val="00F65E3C"/>
    <w:rsid w:val="00F67076"/>
    <w:rsid w:val="00F677FA"/>
    <w:rsid w:val="00F7115A"/>
    <w:rsid w:val="00F717AA"/>
    <w:rsid w:val="00F72714"/>
    <w:rsid w:val="00F744C3"/>
    <w:rsid w:val="00F75EE2"/>
    <w:rsid w:val="00F75F69"/>
    <w:rsid w:val="00F76014"/>
    <w:rsid w:val="00F802D3"/>
    <w:rsid w:val="00F80F94"/>
    <w:rsid w:val="00F81BA2"/>
    <w:rsid w:val="00F823A4"/>
    <w:rsid w:val="00F8412F"/>
    <w:rsid w:val="00F84791"/>
    <w:rsid w:val="00F85995"/>
    <w:rsid w:val="00F85FC5"/>
    <w:rsid w:val="00F86C22"/>
    <w:rsid w:val="00F87EF7"/>
    <w:rsid w:val="00F90CB3"/>
    <w:rsid w:val="00F912A2"/>
    <w:rsid w:val="00F913A3"/>
    <w:rsid w:val="00F925C3"/>
    <w:rsid w:val="00FA0109"/>
    <w:rsid w:val="00FA3392"/>
    <w:rsid w:val="00FA458B"/>
    <w:rsid w:val="00FA5EC5"/>
    <w:rsid w:val="00FA7016"/>
    <w:rsid w:val="00FA7174"/>
    <w:rsid w:val="00FA793D"/>
    <w:rsid w:val="00FB015C"/>
    <w:rsid w:val="00FB020E"/>
    <w:rsid w:val="00FB0F17"/>
    <w:rsid w:val="00FB4B9D"/>
    <w:rsid w:val="00FB50ED"/>
    <w:rsid w:val="00FB6A09"/>
    <w:rsid w:val="00FB6E18"/>
    <w:rsid w:val="00FC144B"/>
    <w:rsid w:val="00FC2169"/>
    <w:rsid w:val="00FC28E2"/>
    <w:rsid w:val="00FC3BF6"/>
    <w:rsid w:val="00FC3D22"/>
    <w:rsid w:val="00FC6FE1"/>
    <w:rsid w:val="00FD0C3D"/>
    <w:rsid w:val="00FD16C2"/>
    <w:rsid w:val="00FD2F6B"/>
    <w:rsid w:val="00FD66DC"/>
    <w:rsid w:val="00FE064A"/>
    <w:rsid w:val="00FE0B55"/>
    <w:rsid w:val="00FE1E98"/>
    <w:rsid w:val="00FE2452"/>
    <w:rsid w:val="00FE5469"/>
    <w:rsid w:val="00FE66C2"/>
    <w:rsid w:val="00FE684A"/>
    <w:rsid w:val="00FE6F23"/>
    <w:rsid w:val="00FF0F8C"/>
    <w:rsid w:val="00FF408B"/>
    <w:rsid w:val="00FF43E1"/>
    <w:rsid w:val="02343284"/>
    <w:rsid w:val="02B323C7"/>
    <w:rsid w:val="03430854"/>
    <w:rsid w:val="039F5FA6"/>
    <w:rsid w:val="057330D8"/>
    <w:rsid w:val="08115CCB"/>
    <w:rsid w:val="08891D2A"/>
    <w:rsid w:val="09305ADA"/>
    <w:rsid w:val="0A1749F8"/>
    <w:rsid w:val="0D8870BB"/>
    <w:rsid w:val="0E8013B7"/>
    <w:rsid w:val="0F670FFA"/>
    <w:rsid w:val="10D604C6"/>
    <w:rsid w:val="11B515E0"/>
    <w:rsid w:val="11BE65B2"/>
    <w:rsid w:val="12E27315"/>
    <w:rsid w:val="13A53267"/>
    <w:rsid w:val="13F970D2"/>
    <w:rsid w:val="14AA4136"/>
    <w:rsid w:val="15BA3C50"/>
    <w:rsid w:val="163A420B"/>
    <w:rsid w:val="16610576"/>
    <w:rsid w:val="175B3D41"/>
    <w:rsid w:val="18627B26"/>
    <w:rsid w:val="19413B26"/>
    <w:rsid w:val="1BBC62F1"/>
    <w:rsid w:val="1BD11E8B"/>
    <w:rsid w:val="1C6D3688"/>
    <w:rsid w:val="1CAA6093"/>
    <w:rsid w:val="1CC63D0A"/>
    <w:rsid w:val="1D626CBA"/>
    <w:rsid w:val="1DC2081A"/>
    <w:rsid w:val="1DD94266"/>
    <w:rsid w:val="1F9D0947"/>
    <w:rsid w:val="1FFB29C6"/>
    <w:rsid w:val="20E56222"/>
    <w:rsid w:val="21040504"/>
    <w:rsid w:val="215B52C8"/>
    <w:rsid w:val="225B73E8"/>
    <w:rsid w:val="22AF3620"/>
    <w:rsid w:val="22E16319"/>
    <w:rsid w:val="22E70AD4"/>
    <w:rsid w:val="2364030E"/>
    <w:rsid w:val="241E153E"/>
    <w:rsid w:val="2454634B"/>
    <w:rsid w:val="24F1508D"/>
    <w:rsid w:val="25EB0FC4"/>
    <w:rsid w:val="266F634F"/>
    <w:rsid w:val="291059EA"/>
    <w:rsid w:val="2A506E02"/>
    <w:rsid w:val="2A907A5B"/>
    <w:rsid w:val="2BBF12EC"/>
    <w:rsid w:val="2BC649D9"/>
    <w:rsid w:val="2BF33229"/>
    <w:rsid w:val="2CF5698F"/>
    <w:rsid w:val="303652F3"/>
    <w:rsid w:val="303E058D"/>
    <w:rsid w:val="310F3D14"/>
    <w:rsid w:val="335B4EBC"/>
    <w:rsid w:val="346F4007"/>
    <w:rsid w:val="3515160D"/>
    <w:rsid w:val="353F7482"/>
    <w:rsid w:val="354F2269"/>
    <w:rsid w:val="37C14E9C"/>
    <w:rsid w:val="390130D5"/>
    <w:rsid w:val="39730417"/>
    <w:rsid w:val="3C7D00D8"/>
    <w:rsid w:val="3CA06C0C"/>
    <w:rsid w:val="3D0816E4"/>
    <w:rsid w:val="3EA25851"/>
    <w:rsid w:val="3F6C3757"/>
    <w:rsid w:val="405D6A10"/>
    <w:rsid w:val="41DA6594"/>
    <w:rsid w:val="42B81A6C"/>
    <w:rsid w:val="444C1A75"/>
    <w:rsid w:val="44A3526F"/>
    <w:rsid w:val="44B032F4"/>
    <w:rsid w:val="456C35FF"/>
    <w:rsid w:val="457D25F7"/>
    <w:rsid w:val="468341CD"/>
    <w:rsid w:val="46AB4D23"/>
    <w:rsid w:val="47160D44"/>
    <w:rsid w:val="472C2589"/>
    <w:rsid w:val="48CC544E"/>
    <w:rsid w:val="4A760AEB"/>
    <w:rsid w:val="4BC6087B"/>
    <w:rsid w:val="4EF36619"/>
    <w:rsid w:val="4F29269C"/>
    <w:rsid w:val="4F3162CA"/>
    <w:rsid w:val="4F756145"/>
    <w:rsid w:val="50C40B6A"/>
    <w:rsid w:val="50D95873"/>
    <w:rsid w:val="526102AF"/>
    <w:rsid w:val="528444DA"/>
    <w:rsid w:val="537745D5"/>
    <w:rsid w:val="552306F6"/>
    <w:rsid w:val="55376AE3"/>
    <w:rsid w:val="568A3285"/>
    <w:rsid w:val="56E352D5"/>
    <w:rsid w:val="572F455A"/>
    <w:rsid w:val="575B51A9"/>
    <w:rsid w:val="57E435FE"/>
    <w:rsid w:val="582D0655"/>
    <w:rsid w:val="583F3E8F"/>
    <w:rsid w:val="5951205C"/>
    <w:rsid w:val="59D079E8"/>
    <w:rsid w:val="59D40847"/>
    <w:rsid w:val="5AE37F25"/>
    <w:rsid w:val="5CB23D47"/>
    <w:rsid w:val="5DE03A1E"/>
    <w:rsid w:val="5FAF09C4"/>
    <w:rsid w:val="608C4642"/>
    <w:rsid w:val="62795572"/>
    <w:rsid w:val="64DD6417"/>
    <w:rsid w:val="66004745"/>
    <w:rsid w:val="662B5A52"/>
    <w:rsid w:val="6A567F20"/>
    <w:rsid w:val="6BE91BB0"/>
    <w:rsid w:val="6CD97953"/>
    <w:rsid w:val="6E822963"/>
    <w:rsid w:val="6ED30FD7"/>
    <w:rsid w:val="6FC36CFC"/>
    <w:rsid w:val="71F72C8D"/>
    <w:rsid w:val="727D78FD"/>
    <w:rsid w:val="73A846EC"/>
    <w:rsid w:val="73CC655F"/>
    <w:rsid w:val="75224CF5"/>
    <w:rsid w:val="75957445"/>
    <w:rsid w:val="75D01AE1"/>
    <w:rsid w:val="761C404F"/>
    <w:rsid w:val="769709D0"/>
    <w:rsid w:val="76AD2283"/>
    <w:rsid w:val="77035551"/>
    <w:rsid w:val="77524363"/>
    <w:rsid w:val="77790B6A"/>
    <w:rsid w:val="77B917B5"/>
    <w:rsid w:val="78703975"/>
    <w:rsid w:val="7A1759C0"/>
    <w:rsid w:val="7ACC0F57"/>
    <w:rsid w:val="7AE361A2"/>
    <w:rsid w:val="7BE420FD"/>
    <w:rsid w:val="7D0D296B"/>
    <w:rsid w:val="7D4E0B54"/>
    <w:rsid w:val="7D503E78"/>
    <w:rsid w:val="7E0160D4"/>
    <w:rsid w:val="7F406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link w:val="75"/>
    <w:qFormat/>
    <w:uiPriority w:val="9"/>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link w:val="88"/>
    <w:qFormat/>
    <w:uiPriority w:val="9"/>
    <w:pPr>
      <w:keepNext/>
      <w:keepLines/>
      <w:numPr>
        <w:ilvl w:val="1"/>
        <w:numId w:val="1"/>
      </w:numPr>
      <w:spacing w:before="120" w:after="120"/>
      <w:ind w:firstLine="0" w:firstLineChars="0"/>
      <w:outlineLvl w:val="1"/>
    </w:pPr>
    <w:rPr>
      <w:b/>
      <w:bCs/>
      <w:sz w:val="30"/>
      <w:szCs w:val="32"/>
    </w:rPr>
  </w:style>
  <w:style w:type="paragraph" w:styleId="4">
    <w:name w:val="heading 3"/>
    <w:basedOn w:val="1"/>
    <w:next w:val="1"/>
    <w:link w:val="81"/>
    <w:qFormat/>
    <w:uiPriority w:val="9"/>
    <w:pPr>
      <w:keepNext/>
      <w:keepLines/>
      <w:numPr>
        <w:ilvl w:val="2"/>
        <w:numId w:val="1"/>
      </w:numPr>
      <w:spacing w:before="120" w:after="120"/>
      <w:ind w:firstLine="0" w:firstLineChars="0"/>
      <w:outlineLvl w:val="2"/>
    </w:pPr>
    <w:rPr>
      <w:b/>
      <w:bCs/>
      <w:sz w:val="28"/>
      <w:szCs w:val="28"/>
    </w:rPr>
  </w:style>
  <w:style w:type="paragraph" w:styleId="5">
    <w:name w:val="heading 4"/>
    <w:basedOn w:val="1"/>
    <w:next w:val="1"/>
    <w:link w:val="58"/>
    <w:qFormat/>
    <w:uiPriority w:val="9"/>
    <w:pPr>
      <w:keepNext/>
      <w:keepLines/>
      <w:numPr>
        <w:ilvl w:val="3"/>
        <w:numId w:val="1"/>
      </w:numPr>
      <w:spacing w:before="120" w:after="120"/>
      <w:ind w:left="851" w:firstLine="0" w:firstLineChars="0"/>
      <w:outlineLvl w:val="3"/>
    </w:pPr>
    <w:rPr>
      <w:b/>
      <w:bCs/>
      <w:sz w:val="30"/>
      <w:szCs w:val="30"/>
    </w:rPr>
  </w:style>
  <w:style w:type="paragraph" w:styleId="6">
    <w:name w:val="heading 5"/>
    <w:basedOn w:val="1"/>
    <w:next w:val="1"/>
    <w:link w:val="86"/>
    <w:qFormat/>
    <w:uiPriority w:val="9"/>
    <w:pPr>
      <w:keepNext/>
      <w:keepLines/>
      <w:numPr>
        <w:ilvl w:val="4"/>
        <w:numId w:val="1"/>
      </w:numPr>
      <w:spacing w:before="120" w:after="120"/>
      <w:ind w:left="0" w:firstLine="0" w:firstLineChars="0"/>
      <w:outlineLvl w:val="4"/>
    </w:pPr>
    <w:rPr>
      <w:b/>
      <w:bCs/>
      <w:szCs w:val="28"/>
    </w:rPr>
  </w:style>
  <w:style w:type="paragraph" w:styleId="7">
    <w:name w:val="heading 6"/>
    <w:basedOn w:val="1"/>
    <w:next w:val="1"/>
    <w:link w:val="99"/>
    <w:qFormat/>
    <w:uiPriority w:val="9"/>
    <w:pPr>
      <w:keepNext/>
      <w:keepLines/>
      <w:numPr>
        <w:ilvl w:val="5"/>
        <w:numId w:val="1"/>
      </w:numPr>
      <w:spacing w:before="120" w:after="120"/>
      <w:ind w:firstLine="0" w:firstLineChars="0"/>
      <w:outlineLvl w:val="5"/>
    </w:pPr>
    <w:rPr>
      <w:rFonts w:ascii="Cambria" w:hAnsi="Cambria"/>
      <w:b/>
      <w:bCs/>
    </w:rPr>
  </w:style>
  <w:style w:type="paragraph" w:styleId="8">
    <w:name w:val="heading 7"/>
    <w:basedOn w:val="1"/>
    <w:next w:val="1"/>
    <w:link w:val="72"/>
    <w:qFormat/>
    <w:uiPriority w:val="9"/>
    <w:pPr>
      <w:keepNext/>
      <w:keepLines/>
      <w:spacing w:before="240" w:after="64" w:line="319" w:lineRule="auto"/>
      <w:ind w:firstLine="0" w:firstLineChars="0"/>
      <w:outlineLvl w:val="6"/>
    </w:pPr>
    <w:rPr>
      <w:rFonts w:ascii="Times New Roman" w:hAnsi="Times New Roman"/>
      <w:b/>
      <w:bCs/>
      <w:sz w:val="21"/>
    </w:rPr>
  </w:style>
  <w:style w:type="paragraph" w:styleId="9">
    <w:name w:val="heading 8"/>
    <w:basedOn w:val="1"/>
    <w:next w:val="1"/>
    <w:link w:val="98"/>
    <w:qFormat/>
    <w:uiPriority w:val="9"/>
    <w:pPr>
      <w:keepNext/>
      <w:keepLines/>
      <w:spacing w:before="240" w:after="64" w:line="319" w:lineRule="auto"/>
      <w:ind w:firstLine="0" w:firstLineChars="0"/>
      <w:outlineLvl w:val="7"/>
    </w:pPr>
    <w:rPr>
      <w:rFonts w:ascii="Cambria" w:hAnsi="Cambria"/>
      <w:sz w:val="21"/>
    </w:rPr>
  </w:style>
  <w:style w:type="paragraph" w:styleId="10">
    <w:name w:val="heading 9"/>
    <w:basedOn w:val="1"/>
    <w:next w:val="1"/>
    <w:link w:val="48"/>
    <w:qFormat/>
    <w:uiPriority w:val="9"/>
    <w:pPr>
      <w:keepNext/>
      <w:keepLines/>
      <w:spacing w:before="240" w:after="64" w:line="319" w:lineRule="auto"/>
      <w:ind w:firstLine="0" w:firstLineChars="0"/>
      <w:outlineLvl w:val="8"/>
    </w:pPr>
    <w:rPr>
      <w:rFonts w:ascii="Cambria" w:hAnsi="Cambria"/>
      <w:sz w:val="21"/>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等线" w:hAnsi="等线" w:eastAsia="等线"/>
      <w:szCs w:val="22"/>
    </w:rPr>
  </w:style>
  <w:style w:type="paragraph" w:styleId="12">
    <w:name w:val="Normal Indent"/>
    <w:basedOn w:val="1"/>
    <w:unhideWhenUsed/>
    <w:qFormat/>
    <w:uiPriority w:val="99"/>
    <w:pPr>
      <w:spacing w:line="240" w:lineRule="auto"/>
      <w:ind w:firstLine="420"/>
    </w:pPr>
    <w:rPr>
      <w:rFonts w:ascii="Calibri" w:hAnsi="Calibri"/>
      <w:sz w:val="21"/>
    </w:rPr>
  </w:style>
  <w:style w:type="paragraph" w:styleId="13">
    <w:name w:val="caption"/>
    <w:basedOn w:val="1"/>
    <w:next w:val="1"/>
    <w:link w:val="54"/>
    <w:qFormat/>
    <w:uiPriority w:val="0"/>
    <w:pPr>
      <w:spacing w:afterLines="50"/>
      <w:ind w:firstLine="200"/>
    </w:pPr>
    <w:rPr>
      <w:rFonts w:ascii="Arial" w:hAnsi="Arial" w:eastAsia="黑体"/>
      <w:sz w:val="20"/>
      <w:szCs w:val="20"/>
    </w:rPr>
  </w:style>
  <w:style w:type="paragraph" w:styleId="14">
    <w:name w:val="Document Map"/>
    <w:basedOn w:val="1"/>
    <w:link w:val="91"/>
    <w:qFormat/>
    <w:uiPriority w:val="0"/>
    <w:rPr>
      <w:rFonts w:hAnsi="Times New Roman"/>
      <w:sz w:val="18"/>
      <w:szCs w:val="18"/>
    </w:rPr>
  </w:style>
  <w:style w:type="paragraph" w:styleId="15">
    <w:name w:val="annotation text"/>
    <w:basedOn w:val="1"/>
    <w:link w:val="45"/>
    <w:qFormat/>
    <w:uiPriority w:val="99"/>
    <w:pPr>
      <w:jc w:val="left"/>
    </w:pPr>
    <w:rPr>
      <w:rFonts w:ascii="Times New Roman" w:hAnsi="Times New Roman" w:eastAsia="仿宋"/>
      <w:sz w:val="28"/>
    </w:rPr>
  </w:style>
  <w:style w:type="paragraph" w:styleId="16">
    <w:name w:val="Body Text"/>
    <w:basedOn w:val="1"/>
    <w:link w:val="59"/>
    <w:unhideWhenUsed/>
    <w:qFormat/>
    <w:uiPriority w:val="0"/>
    <w:pPr>
      <w:spacing w:after="120" w:line="240" w:lineRule="auto"/>
      <w:ind w:firstLine="0" w:firstLineChars="0"/>
    </w:pPr>
    <w:rPr>
      <w:rFonts w:ascii="Times New Roman" w:hAnsi="Times New Roman"/>
      <w:sz w:val="21"/>
    </w:rPr>
  </w:style>
  <w:style w:type="paragraph" w:styleId="17">
    <w:name w:val="Body Text Indent"/>
    <w:basedOn w:val="1"/>
    <w:link w:val="85"/>
    <w:qFormat/>
    <w:uiPriority w:val="0"/>
    <w:pPr>
      <w:spacing w:after="120"/>
      <w:ind w:firstLine="200"/>
    </w:pPr>
    <w:rPr>
      <w:rFonts w:ascii="Times New Roman" w:hAnsi="Times New Roman"/>
      <w:sz w:val="21"/>
      <w:szCs w:val="20"/>
    </w:rPr>
  </w:style>
  <w:style w:type="paragraph" w:styleId="18">
    <w:name w:val="toc 5"/>
    <w:basedOn w:val="1"/>
    <w:next w:val="1"/>
    <w:unhideWhenUsed/>
    <w:qFormat/>
    <w:uiPriority w:val="39"/>
    <w:pPr>
      <w:ind w:left="1680" w:leftChars="800"/>
    </w:pPr>
    <w:rPr>
      <w:rFonts w:ascii="等线" w:hAnsi="等线" w:eastAsia="等线"/>
      <w:szCs w:val="22"/>
    </w:rPr>
  </w:style>
  <w:style w:type="paragraph" w:styleId="19">
    <w:name w:val="toc 3"/>
    <w:basedOn w:val="1"/>
    <w:next w:val="1"/>
    <w:qFormat/>
    <w:uiPriority w:val="39"/>
    <w:pPr>
      <w:tabs>
        <w:tab w:val="right" w:leader="dot" w:pos="8302"/>
      </w:tabs>
      <w:ind w:left="840" w:leftChars="400"/>
    </w:pPr>
  </w:style>
  <w:style w:type="paragraph" w:styleId="20">
    <w:name w:val="Plain Text"/>
    <w:basedOn w:val="1"/>
    <w:link w:val="66"/>
    <w:qFormat/>
    <w:uiPriority w:val="0"/>
    <w:pPr>
      <w:spacing w:line="240" w:lineRule="auto"/>
      <w:ind w:firstLine="0" w:firstLineChars="0"/>
    </w:pPr>
    <w:rPr>
      <w:rFonts w:hAnsi="Courier New"/>
      <w:sz w:val="21"/>
      <w:szCs w:val="20"/>
    </w:rPr>
  </w:style>
  <w:style w:type="paragraph" w:styleId="21">
    <w:name w:val="toc 8"/>
    <w:basedOn w:val="1"/>
    <w:next w:val="1"/>
    <w:unhideWhenUsed/>
    <w:qFormat/>
    <w:uiPriority w:val="39"/>
    <w:pPr>
      <w:ind w:left="2940" w:leftChars="1400"/>
    </w:pPr>
    <w:rPr>
      <w:rFonts w:ascii="等线" w:hAnsi="等线" w:eastAsia="等线"/>
      <w:szCs w:val="22"/>
    </w:rPr>
  </w:style>
  <w:style w:type="paragraph" w:styleId="22">
    <w:name w:val="Date"/>
    <w:basedOn w:val="1"/>
    <w:next w:val="1"/>
    <w:link w:val="47"/>
    <w:qFormat/>
    <w:uiPriority w:val="0"/>
    <w:pPr>
      <w:ind w:left="100" w:leftChars="2500"/>
    </w:pPr>
    <w:rPr>
      <w:rFonts w:ascii="Times New Roman" w:hAnsi="Times New Roman"/>
      <w:sz w:val="21"/>
    </w:rPr>
  </w:style>
  <w:style w:type="paragraph" w:styleId="23">
    <w:name w:val="Balloon Text"/>
    <w:basedOn w:val="1"/>
    <w:link w:val="96"/>
    <w:qFormat/>
    <w:uiPriority w:val="0"/>
    <w:rPr>
      <w:rFonts w:ascii="Times New Roman" w:hAnsi="Times New Roman"/>
      <w:sz w:val="18"/>
      <w:szCs w:val="18"/>
    </w:rPr>
  </w:style>
  <w:style w:type="paragraph" w:styleId="24">
    <w:name w:val="footer"/>
    <w:basedOn w:val="1"/>
    <w:link w:val="89"/>
    <w:qFormat/>
    <w:uiPriority w:val="99"/>
    <w:pPr>
      <w:tabs>
        <w:tab w:val="center" w:pos="4153"/>
        <w:tab w:val="right" w:pos="8306"/>
      </w:tabs>
      <w:snapToGrid w:val="0"/>
      <w:jc w:val="center"/>
    </w:pPr>
    <w:rPr>
      <w:rFonts w:ascii="Times New Roman" w:hAnsi="Times New Roman"/>
      <w:sz w:val="18"/>
      <w:szCs w:val="18"/>
    </w:rPr>
  </w:style>
  <w:style w:type="paragraph" w:styleId="25">
    <w:name w:val="header"/>
    <w:basedOn w:val="1"/>
    <w:link w:val="97"/>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26">
    <w:name w:val="toc 1"/>
    <w:basedOn w:val="1"/>
    <w:next w:val="1"/>
    <w:qFormat/>
    <w:uiPriority w:val="39"/>
  </w:style>
  <w:style w:type="paragraph" w:styleId="27">
    <w:name w:val="toc 4"/>
    <w:basedOn w:val="1"/>
    <w:next w:val="1"/>
    <w:unhideWhenUsed/>
    <w:qFormat/>
    <w:uiPriority w:val="39"/>
    <w:pPr>
      <w:ind w:left="1260" w:leftChars="600"/>
    </w:pPr>
    <w:rPr>
      <w:rFonts w:ascii="等线" w:hAnsi="等线" w:eastAsia="等线"/>
      <w:szCs w:val="22"/>
    </w:rPr>
  </w:style>
  <w:style w:type="paragraph" w:styleId="28">
    <w:name w:val="Subtitle"/>
    <w:basedOn w:val="1"/>
    <w:next w:val="1"/>
    <w:link w:val="87"/>
    <w:qFormat/>
    <w:uiPriority w:val="0"/>
    <w:pPr>
      <w:spacing w:before="240" w:after="60" w:line="312" w:lineRule="auto"/>
      <w:jc w:val="center"/>
      <w:outlineLvl w:val="1"/>
    </w:pPr>
    <w:rPr>
      <w:rFonts w:ascii="Calibri Light" w:hAnsi="Calibri Light"/>
      <w:b/>
      <w:bCs/>
      <w:kern w:val="28"/>
      <w:sz w:val="32"/>
      <w:szCs w:val="32"/>
    </w:rPr>
  </w:style>
  <w:style w:type="paragraph" w:styleId="29">
    <w:name w:val="toc 6"/>
    <w:basedOn w:val="1"/>
    <w:next w:val="1"/>
    <w:unhideWhenUsed/>
    <w:qFormat/>
    <w:uiPriority w:val="39"/>
    <w:pPr>
      <w:ind w:left="2100" w:leftChars="1000"/>
    </w:pPr>
    <w:rPr>
      <w:rFonts w:ascii="等线" w:hAnsi="等线" w:eastAsia="等线"/>
      <w:szCs w:val="22"/>
    </w:rPr>
  </w:style>
  <w:style w:type="paragraph" w:styleId="30">
    <w:name w:val="toc 2"/>
    <w:basedOn w:val="1"/>
    <w:next w:val="1"/>
    <w:qFormat/>
    <w:uiPriority w:val="39"/>
    <w:pPr>
      <w:tabs>
        <w:tab w:val="right" w:leader="dot" w:pos="8302"/>
      </w:tabs>
      <w:ind w:left="420" w:leftChars="200"/>
    </w:pPr>
  </w:style>
  <w:style w:type="paragraph" w:styleId="31">
    <w:name w:val="toc 9"/>
    <w:basedOn w:val="1"/>
    <w:next w:val="1"/>
    <w:unhideWhenUsed/>
    <w:qFormat/>
    <w:uiPriority w:val="39"/>
    <w:pPr>
      <w:ind w:left="3360" w:leftChars="1600"/>
    </w:pPr>
    <w:rPr>
      <w:rFonts w:ascii="等线" w:hAnsi="等线" w:eastAsia="等线"/>
      <w:szCs w:val="22"/>
    </w:rPr>
  </w:style>
  <w:style w:type="paragraph" w:styleId="32">
    <w:name w:val="Normal (Web)"/>
    <w:basedOn w:val="1"/>
    <w:qFormat/>
    <w:uiPriority w:val="99"/>
    <w:pPr>
      <w:widowControl/>
      <w:spacing w:before="100" w:after="100"/>
      <w:jc w:val="left"/>
    </w:pPr>
    <w:rPr>
      <w:rFonts w:hint="eastAsia" w:ascii="Arial Unicode MS" w:hAnsi="Arial Unicode MS" w:eastAsia="Arial Unicode MS"/>
      <w:kern w:val="0"/>
    </w:rPr>
  </w:style>
  <w:style w:type="paragraph" w:styleId="33">
    <w:name w:val="Title"/>
    <w:basedOn w:val="1"/>
    <w:next w:val="1"/>
    <w:link w:val="95"/>
    <w:qFormat/>
    <w:uiPriority w:val="0"/>
    <w:pPr>
      <w:spacing w:before="240" w:after="60" w:line="960" w:lineRule="auto"/>
      <w:jc w:val="center"/>
    </w:pPr>
    <w:rPr>
      <w:rFonts w:ascii="Cambria" w:hAnsi="Cambria" w:eastAsia="黑体"/>
      <w:b/>
      <w:bCs/>
      <w:sz w:val="52"/>
      <w:szCs w:val="32"/>
    </w:rPr>
  </w:style>
  <w:style w:type="paragraph" w:styleId="34">
    <w:name w:val="annotation subject"/>
    <w:basedOn w:val="15"/>
    <w:next w:val="15"/>
    <w:link w:val="83"/>
    <w:qFormat/>
    <w:uiPriority w:val="0"/>
    <w:rPr>
      <w:b/>
      <w:bCs/>
      <w:sz w:val="21"/>
    </w:rPr>
  </w:style>
  <w:style w:type="table" w:styleId="36">
    <w:name w:val="Table Grid"/>
    <w:basedOn w:val="35"/>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unhideWhenUsed/>
    <w:qFormat/>
    <w:uiPriority w:val="99"/>
    <w:rPr>
      <w:color w:val="954F72"/>
      <w:u w:val="single"/>
    </w:rPr>
  </w:style>
  <w:style w:type="character" w:styleId="40">
    <w:name w:val="Hyperlink"/>
    <w:qFormat/>
    <w:uiPriority w:val="99"/>
    <w:rPr>
      <w:color w:val="0000FF"/>
      <w:u w:val="single"/>
    </w:rPr>
  </w:style>
  <w:style w:type="character" w:styleId="41">
    <w:name w:val="annotation reference"/>
    <w:qFormat/>
    <w:uiPriority w:val="99"/>
    <w:rPr>
      <w:sz w:val="21"/>
      <w:szCs w:val="21"/>
    </w:rPr>
  </w:style>
  <w:style w:type="character" w:customStyle="1" w:styleId="42">
    <w:name w:val="标题 3 字符1"/>
    <w:qFormat/>
    <w:uiPriority w:val="0"/>
    <w:rPr>
      <w:rFonts w:ascii="宋体" w:hAnsi="宋体"/>
      <w:b/>
      <w:bCs/>
      <w:kern w:val="2"/>
      <w:sz w:val="28"/>
      <w:szCs w:val="28"/>
    </w:rPr>
  </w:style>
  <w:style w:type="character" w:customStyle="1" w:styleId="43">
    <w:name w:val="首行缩进正文 Char"/>
    <w:link w:val="44"/>
    <w:qFormat/>
    <w:uiPriority w:val="0"/>
    <w:rPr>
      <w:kern w:val="2"/>
      <w:sz w:val="24"/>
    </w:rPr>
  </w:style>
  <w:style w:type="paragraph" w:customStyle="1" w:styleId="44">
    <w:name w:val="首行缩进正文"/>
    <w:basedOn w:val="1"/>
    <w:link w:val="43"/>
    <w:qFormat/>
    <w:uiPriority w:val="0"/>
    <w:pPr>
      <w:widowControl/>
      <w:adjustRightInd w:val="0"/>
      <w:snapToGrid w:val="0"/>
      <w:spacing w:afterLines="50" w:line="276" w:lineRule="auto"/>
      <w:ind w:firstLine="420" w:firstLineChars="0"/>
      <w:jc w:val="left"/>
    </w:pPr>
    <w:rPr>
      <w:rFonts w:ascii="Times New Roman" w:hAnsi="Times New Roman"/>
      <w:szCs w:val="20"/>
    </w:rPr>
  </w:style>
  <w:style w:type="character" w:customStyle="1" w:styleId="45">
    <w:name w:val="批注文字 字符1"/>
    <w:link w:val="15"/>
    <w:qFormat/>
    <w:uiPriority w:val="99"/>
    <w:rPr>
      <w:rFonts w:eastAsia="仿宋"/>
      <w:kern w:val="2"/>
      <w:sz w:val="28"/>
      <w:szCs w:val="24"/>
    </w:rPr>
  </w:style>
  <w:style w:type="character" w:customStyle="1" w:styleId="46">
    <w:name w:val="日期 字符"/>
    <w:semiHidden/>
    <w:qFormat/>
    <w:uiPriority w:val="99"/>
    <w:rPr>
      <w:rFonts w:ascii="宋体" w:hAnsi="宋体"/>
      <w:kern w:val="2"/>
      <w:sz w:val="24"/>
      <w:szCs w:val="24"/>
    </w:rPr>
  </w:style>
  <w:style w:type="character" w:customStyle="1" w:styleId="47">
    <w:name w:val="日期 字符1"/>
    <w:link w:val="22"/>
    <w:qFormat/>
    <w:uiPriority w:val="0"/>
    <w:rPr>
      <w:kern w:val="2"/>
      <w:sz w:val="21"/>
      <w:szCs w:val="24"/>
    </w:rPr>
  </w:style>
  <w:style w:type="character" w:customStyle="1" w:styleId="48">
    <w:name w:val="标题 9 字符"/>
    <w:link w:val="10"/>
    <w:qFormat/>
    <w:uiPriority w:val="9"/>
    <w:rPr>
      <w:rFonts w:ascii="Cambria" w:hAnsi="Cambria"/>
      <w:kern w:val="2"/>
      <w:sz w:val="21"/>
      <w:szCs w:val="21"/>
    </w:rPr>
  </w:style>
  <w:style w:type="character" w:customStyle="1" w:styleId="49">
    <w:name w:val="未处理的提及1"/>
    <w:unhideWhenUsed/>
    <w:qFormat/>
    <w:uiPriority w:val="99"/>
    <w:rPr>
      <w:color w:val="605E5C"/>
      <w:shd w:val="clear" w:color="auto" w:fill="E1DFDD"/>
    </w:rPr>
  </w:style>
  <w:style w:type="character" w:customStyle="1" w:styleId="50">
    <w:name w:val="标题 1 字符"/>
    <w:qFormat/>
    <w:uiPriority w:val="9"/>
    <w:rPr>
      <w:rFonts w:ascii="宋体" w:hAnsi="宋体"/>
      <w:b/>
      <w:bCs/>
      <w:kern w:val="44"/>
      <w:sz w:val="44"/>
      <w:szCs w:val="44"/>
    </w:rPr>
  </w:style>
  <w:style w:type="character" w:customStyle="1" w:styleId="51">
    <w:name w:val="标题 3 字符"/>
    <w:semiHidden/>
    <w:qFormat/>
    <w:uiPriority w:val="9"/>
    <w:rPr>
      <w:rFonts w:ascii="宋体" w:hAnsi="宋体"/>
      <w:b/>
      <w:bCs/>
      <w:kern w:val="2"/>
      <w:sz w:val="32"/>
      <w:szCs w:val="32"/>
    </w:rPr>
  </w:style>
  <w:style w:type="character" w:customStyle="1" w:styleId="52">
    <w:name w:val="页脚 字符"/>
    <w:qFormat/>
    <w:uiPriority w:val="99"/>
  </w:style>
  <w:style w:type="character" w:customStyle="1" w:styleId="53">
    <w:name w:val="标题 5 字符"/>
    <w:semiHidden/>
    <w:qFormat/>
    <w:uiPriority w:val="9"/>
    <w:rPr>
      <w:rFonts w:ascii="宋体" w:hAnsi="宋体"/>
      <w:b/>
      <w:bCs/>
      <w:kern w:val="2"/>
      <w:sz w:val="28"/>
      <w:szCs w:val="28"/>
    </w:rPr>
  </w:style>
  <w:style w:type="character" w:customStyle="1" w:styleId="54">
    <w:name w:val="题注 字符"/>
    <w:link w:val="13"/>
    <w:qFormat/>
    <w:locked/>
    <w:uiPriority w:val="0"/>
    <w:rPr>
      <w:rFonts w:ascii="Arial" w:hAnsi="Arial" w:eastAsia="黑体"/>
      <w:kern w:val="2"/>
    </w:rPr>
  </w:style>
  <w:style w:type="character" w:customStyle="1" w:styleId="55">
    <w:name w:val="标题 2 字符"/>
    <w:semiHidden/>
    <w:qFormat/>
    <w:uiPriority w:val="9"/>
    <w:rPr>
      <w:rFonts w:ascii="等线 Light" w:hAnsi="等线 Light" w:eastAsia="等线 Light" w:cs="Times New Roman"/>
      <w:b/>
      <w:bCs/>
      <w:kern w:val="2"/>
      <w:sz w:val="32"/>
      <w:szCs w:val="32"/>
    </w:rPr>
  </w:style>
  <w:style w:type="character" w:customStyle="1" w:styleId="56">
    <w:name w:val="纯文本 字符"/>
    <w:qFormat/>
    <w:uiPriority w:val="0"/>
    <w:rPr>
      <w:rFonts w:ascii="宋体" w:hAnsi="Courier New" w:cs="Courier New"/>
      <w:kern w:val="2"/>
      <w:sz w:val="21"/>
      <w:szCs w:val="21"/>
    </w:rPr>
  </w:style>
  <w:style w:type="character" w:customStyle="1" w:styleId="57">
    <w:name w:val="列表段落 字符"/>
    <w:qFormat/>
    <w:uiPriority w:val="1"/>
    <w:rPr>
      <w:kern w:val="2"/>
      <w:sz w:val="21"/>
      <w:szCs w:val="22"/>
    </w:rPr>
  </w:style>
  <w:style w:type="character" w:customStyle="1" w:styleId="58">
    <w:name w:val="标题 4 字符1"/>
    <w:link w:val="5"/>
    <w:qFormat/>
    <w:uiPriority w:val="0"/>
    <w:rPr>
      <w:rFonts w:ascii="宋体" w:hAnsi="宋体"/>
      <w:b/>
      <w:bCs/>
      <w:kern w:val="2"/>
      <w:sz w:val="30"/>
      <w:szCs w:val="30"/>
    </w:rPr>
  </w:style>
  <w:style w:type="character" w:customStyle="1" w:styleId="59">
    <w:name w:val="正文文本 字符"/>
    <w:link w:val="16"/>
    <w:qFormat/>
    <w:uiPriority w:val="0"/>
    <w:rPr>
      <w:kern w:val="2"/>
      <w:sz w:val="21"/>
      <w:szCs w:val="24"/>
    </w:rPr>
  </w:style>
  <w:style w:type="character" w:customStyle="1" w:styleId="60">
    <w:name w:val="列表段落 字符1"/>
    <w:link w:val="61"/>
    <w:qFormat/>
    <w:uiPriority w:val="34"/>
    <w:rPr>
      <w:kern w:val="2"/>
      <w:sz w:val="21"/>
      <w:szCs w:val="24"/>
    </w:rPr>
  </w:style>
  <w:style w:type="paragraph" w:styleId="61">
    <w:name w:val="List Paragraph"/>
    <w:basedOn w:val="1"/>
    <w:link w:val="60"/>
    <w:qFormat/>
    <w:uiPriority w:val="34"/>
    <w:pPr>
      <w:ind w:firstLine="420"/>
    </w:pPr>
    <w:rPr>
      <w:rFonts w:ascii="Times New Roman" w:hAnsi="Times New Roman"/>
      <w:sz w:val="21"/>
    </w:rPr>
  </w:style>
  <w:style w:type="character" w:customStyle="1" w:styleId="62">
    <w:name w:val="font21"/>
    <w:qFormat/>
    <w:uiPriority w:val="0"/>
    <w:rPr>
      <w:rFonts w:ascii="Calibri" w:hAnsi="Calibri" w:cs="Calibri"/>
      <w:color w:val="000000"/>
      <w:sz w:val="21"/>
      <w:szCs w:val="21"/>
      <w:u w:val="none"/>
    </w:rPr>
  </w:style>
  <w:style w:type="character" w:customStyle="1" w:styleId="63">
    <w:name w:val="*正文 Char"/>
    <w:link w:val="64"/>
    <w:qFormat/>
    <w:uiPriority w:val="0"/>
    <w:rPr>
      <w:rFonts w:ascii="time" w:hAnsi="time"/>
      <w:sz w:val="24"/>
      <w:szCs w:val="24"/>
      <w:lang w:bidi="en-US"/>
    </w:rPr>
  </w:style>
  <w:style w:type="paragraph" w:customStyle="1" w:styleId="64">
    <w:name w:val="*正文"/>
    <w:basedOn w:val="1"/>
    <w:link w:val="63"/>
    <w:qFormat/>
    <w:uiPriority w:val="0"/>
    <w:pPr>
      <w:widowControl/>
      <w:ind w:firstLine="200"/>
      <w:contextualSpacing/>
    </w:pPr>
    <w:rPr>
      <w:rFonts w:ascii="time" w:hAnsi="time"/>
      <w:kern w:val="0"/>
      <w:lang w:bidi="en-US"/>
    </w:rPr>
  </w:style>
  <w:style w:type="character" w:customStyle="1" w:styleId="65">
    <w:name w:val="正文文本缩进 字符"/>
    <w:semiHidden/>
    <w:qFormat/>
    <w:uiPriority w:val="99"/>
    <w:rPr>
      <w:rFonts w:ascii="宋体" w:hAnsi="宋体"/>
      <w:kern w:val="2"/>
      <w:sz w:val="24"/>
      <w:szCs w:val="24"/>
    </w:rPr>
  </w:style>
  <w:style w:type="character" w:customStyle="1" w:styleId="66">
    <w:name w:val="纯文本 字符1"/>
    <w:link w:val="20"/>
    <w:qFormat/>
    <w:locked/>
    <w:uiPriority w:val="0"/>
    <w:rPr>
      <w:rFonts w:ascii="宋体" w:hAnsi="Courier New"/>
      <w:kern w:val="2"/>
      <w:sz w:val="21"/>
    </w:rPr>
  </w:style>
  <w:style w:type="character" w:customStyle="1" w:styleId="67">
    <w:name w:val="my正文 Char"/>
    <w:link w:val="68"/>
    <w:qFormat/>
    <w:uiPriority w:val="0"/>
    <w:rPr>
      <w:kern w:val="2"/>
      <w:sz w:val="21"/>
      <w:szCs w:val="24"/>
    </w:rPr>
  </w:style>
  <w:style w:type="paragraph" w:customStyle="1" w:styleId="68">
    <w:name w:val="my正文"/>
    <w:basedOn w:val="1"/>
    <w:link w:val="67"/>
    <w:qFormat/>
    <w:uiPriority w:val="0"/>
    <w:pPr>
      <w:spacing w:line="240" w:lineRule="auto"/>
      <w:ind w:firstLine="0" w:firstLineChars="0"/>
    </w:pPr>
    <w:rPr>
      <w:rFonts w:ascii="Times New Roman" w:hAnsi="Times New Roman"/>
      <w:sz w:val="21"/>
    </w:rPr>
  </w:style>
  <w:style w:type="character" w:customStyle="1" w:styleId="69">
    <w:name w:val="正文2 字符"/>
    <w:link w:val="70"/>
    <w:qFormat/>
    <w:uiPriority w:val="0"/>
    <w:rPr>
      <w:kern w:val="2"/>
      <w:sz w:val="21"/>
      <w:szCs w:val="24"/>
    </w:rPr>
  </w:style>
  <w:style w:type="paragraph" w:customStyle="1" w:styleId="70">
    <w:name w:val="正文2"/>
    <w:basedOn w:val="1"/>
    <w:link w:val="69"/>
    <w:qFormat/>
    <w:uiPriority w:val="0"/>
    <w:pPr>
      <w:ind w:firstLine="420"/>
    </w:pPr>
    <w:rPr>
      <w:rFonts w:ascii="Times New Roman" w:hAnsi="Times New Roman"/>
      <w:sz w:val="21"/>
    </w:rPr>
  </w:style>
  <w:style w:type="character" w:customStyle="1" w:styleId="71">
    <w:name w:val="font41"/>
    <w:qFormat/>
    <w:uiPriority w:val="0"/>
    <w:rPr>
      <w:rFonts w:hint="eastAsia" w:ascii="宋体" w:hAnsi="宋体" w:eastAsia="宋体" w:cs="宋体"/>
      <w:color w:val="000000"/>
      <w:sz w:val="21"/>
      <w:szCs w:val="21"/>
      <w:u w:val="none"/>
    </w:rPr>
  </w:style>
  <w:style w:type="character" w:customStyle="1" w:styleId="72">
    <w:name w:val="标题 7 字符"/>
    <w:link w:val="8"/>
    <w:qFormat/>
    <w:uiPriority w:val="9"/>
    <w:rPr>
      <w:b/>
      <w:bCs/>
      <w:kern w:val="2"/>
      <w:sz w:val="21"/>
      <w:szCs w:val="24"/>
    </w:rPr>
  </w:style>
  <w:style w:type="character" w:customStyle="1" w:styleId="73">
    <w:name w:val="批注框文本 字符"/>
    <w:semiHidden/>
    <w:qFormat/>
    <w:uiPriority w:val="99"/>
    <w:rPr>
      <w:rFonts w:ascii="宋体" w:hAnsi="宋体"/>
      <w:kern w:val="2"/>
      <w:sz w:val="18"/>
      <w:szCs w:val="18"/>
    </w:rPr>
  </w:style>
  <w:style w:type="character" w:customStyle="1" w:styleId="74">
    <w:name w:val="副标题 Char1"/>
    <w:qFormat/>
    <w:uiPriority w:val="0"/>
    <w:rPr>
      <w:rFonts w:ascii="Calibri Light" w:hAnsi="Calibri Light" w:cs="Times New Roman"/>
      <w:b/>
      <w:bCs/>
      <w:kern w:val="28"/>
      <w:sz w:val="32"/>
      <w:szCs w:val="32"/>
    </w:rPr>
  </w:style>
  <w:style w:type="character" w:customStyle="1" w:styleId="75">
    <w:name w:val="标题 1 字符1"/>
    <w:link w:val="2"/>
    <w:qFormat/>
    <w:uiPriority w:val="0"/>
    <w:rPr>
      <w:rFonts w:ascii="宋体" w:hAnsi="宋体" w:eastAsia="黑体"/>
      <w:b/>
      <w:bCs/>
      <w:kern w:val="44"/>
      <w:sz w:val="32"/>
      <w:szCs w:val="28"/>
    </w:rPr>
  </w:style>
  <w:style w:type="character" w:customStyle="1" w:styleId="76">
    <w:name w:val="批注文字 字符"/>
    <w:qFormat/>
    <w:uiPriority w:val="99"/>
    <w:rPr>
      <w:rFonts w:ascii="宋体" w:hAnsi="宋体"/>
      <w:kern w:val="2"/>
      <w:sz w:val="24"/>
      <w:szCs w:val="24"/>
    </w:rPr>
  </w:style>
  <w:style w:type="character" w:customStyle="1" w:styleId="77">
    <w:name w:val="文档结构图 字符"/>
    <w:semiHidden/>
    <w:qFormat/>
    <w:uiPriority w:val="99"/>
    <w:rPr>
      <w:rFonts w:ascii="Microsoft YaHei UI" w:hAnsi="宋体" w:eastAsia="Microsoft YaHei UI"/>
      <w:kern w:val="2"/>
      <w:sz w:val="18"/>
      <w:szCs w:val="18"/>
    </w:rPr>
  </w:style>
  <w:style w:type="character" w:customStyle="1" w:styleId="78">
    <w:name w:val="标题 6 字符"/>
    <w:semiHidden/>
    <w:qFormat/>
    <w:uiPriority w:val="9"/>
    <w:rPr>
      <w:rFonts w:ascii="等线 Light" w:hAnsi="等线 Light" w:eastAsia="等线 Light" w:cs="Times New Roman"/>
      <w:b/>
      <w:bCs/>
      <w:kern w:val="2"/>
      <w:sz w:val="24"/>
      <w:szCs w:val="24"/>
    </w:rPr>
  </w:style>
  <w:style w:type="character" w:customStyle="1" w:styleId="79">
    <w:name w:val="正文正文2 Char"/>
    <w:link w:val="80"/>
    <w:qFormat/>
    <w:uiPriority w:val="0"/>
    <w:rPr>
      <w:rFonts w:ascii="宋体" w:hAnsi="宋体"/>
      <w:kern w:val="2"/>
      <w:sz w:val="21"/>
      <w:szCs w:val="21"/>
    </w:rPr>
  </w:style>
  <w:style w:type="paragraph" w:customStyle="1" w:styleId="80">
    <w:name w:val="正文正文2"/>
    <w:basedOn w:val="1"/>
    <w:link w:val="79"/>
    <w:qFormat/>
    <w:uiPriority w:val="0"/>
    <w:pPr>
      <w:ind w:firstLine="460"/>
    </w:pPr>
    <w:rPr>
      <w:sz w:val="21"/>
      <w:szCs w:val="21"/>
    </w:rPr>
  </w:style>
  <w:style w:type="character" w:customStyle="1" w:styleId="81">
    <w:name w:val="标题 3 字符2"/>
    <w:link w:val="4"/>
    <w:qFormat/>
    <w:uiPriority w:val="0"/>
    <w:rPr>
      <w:rFonts w:ascii="宋体" w:hAnsi="宋体"/>
      <w:b/>
      <w:bCs/>
      <w:kern w:val="2"/>
      <w:sz w:val="28"/>
      <w:szCs w:val="28"/>
    </w:rPr>
  </w:style>
  <w:style w:type="character" w:customStyle="1" w:styleId="82">
    <w:name w:val="标题 4 字符"/>
    <w:semiHidden/>
    <w:qFormat/>
    <w:uiPriority w:val="9"/>
    <w:rPr>
      <w:rFonts w:ascii="等线 Light" w:hAnsi="等线 Light" w:eastAsia="等线 Light" w:cs="Times New Roman"/>
      <w:b/>
      <w:bCs/>
      <w:kern w:val="2"/>
      <w:sz w:val="28"/>
      <w:szCs w:val="28"/>
    </w:rPr>
  </w:style>
  <w:style w:type="character" w:customStyle="1" w:styleId="83">
    <w:name w:val="批注主题 字符1"/>
    <w:link w:val="34"/>
    <w:qFormat/>
    <w:uiPriority w:val="0"/>
    <w:rPr>
      <w:rFonts w:eastAsia="仿宋"/>
      <w:b/>
      <w:bCs/>
      <w:kern w:val="2"/>
      <w:sz w:val="21"/>
      <w:szCs w:val="24"/>
    </w:rPr>
  </w:style>
  <w:style w:type="character" w:customStyle="1" w:styleId="84">
    <w:name w:val="页眉 字符"/>
    <w:semiHidden/>
    <w:qFormat/>
    <w:uiPriority w:val="99"/>
    <w:rPr>
      <w:rFonts w:ascii="宋体" w:hAnsi="宋体"/>
      <w:kern w:val="2"/>
      <w:sz w:val="18"/>
      <w:szCs w:val="18"/>
    </w:rPr>
  </w:style>
  <w:style w:type="character" w:customStyle="1" w:styleId="85">
    <w:name w:val="正文文本缩进 字符1"/>
    <w:link w:val="17"/>
    <w:qFormat/>
    <w:uiPriority w:val="0"/>
    <w:rPr>
      <w:kern w:val="2"/>
      <w:sz w:val="21"/>
    </w:rPr>
  </w:style>
  <w:style w:type="character" w:customStyle="1" w:styleId="86">
    <w:name w:val="标题 5 字符1"/>
    <w:link w:val="6"/>
    <w:qFormat/>
    <w:uiPriority w:val="0"/>
    <w:rPr>
      <w:rFonts w:ascii="宋体" w:hAnsi="宋体"/>
      <w:b/>
      <w:bCs/>
      <w:kern w:val="2"/>
      <w:sz w:val="24"/>
      <w:szCs w:val="28"/>
    </w:rPr>
  </w:style>
  <w:style w:type="character" w:customStyle="1" w:styleId="87">
    <w:name w:val="副标题 字符1"/>
    <w:link w:val="28"/>
    <w:qFormat/>
    <w:uiPriority w:val="0"/>
    <w:rPr>
      <w:rFonts w:ascii="Calibri Light" w:hAnsi="Calibri Light"/>
      <w:b/>
      <w:bCs/>
      <w:kern w:val="28"/>
      <w:sz w:val="32"/>
      <w:szCs w:val="32"/>
    </w:rPr>
  </w:style>
  <w:style w:type="character" w:customStyle="1" w:styleId="88">
    <w:name w:val="标题 2 字符1"/>
    <w:link w:val="3"/>
    <w:qFormat/>
    <w:uiPriority w:val="9"/>
    <w:rPr>
      <w:rFonts w:ascii="宋体" w:hAnsi="宋体"/>
      <w:b/>
      <w:bCs/>
      <w:kern w:val="2"/>
      <w:sz w:val="30"/>
      <w:szCs w:val="32"/>
    </w:rPr>
  </w:style>
  <w:style w:type="character" w:customStyle="1" w:styleId="89">
    <w:name w:val="页脚 字符1"/>
    <w:link w:val="24"/>
    <w:qFormat/>
    <w:uiPriority w:val="99"/>
    <w:rPr>
      <w:kern w:val="2"/>
      <w:sz w:val="18"/>
      <w:szCs w:val="18"/>
    </w:rPr>
  </w:style>
  <w:style w:type="character" w:customStyle="1" w:styleId="90">
    <w:name w:val="批注主题 字符"/>
    <w:semiHidden/>
    <w:qFormat/>
    <w:uiPriority w:val="99"/>
    <w:rPr>
      <w:rFonts w:ascii="宋体" w:hAnsi="宋体"/>
      <w:b/>
      <w:bCs/>
      <w:kern w:val="2"/>
      <w:sz w:val="24"/>
      <w:szCs w:val="24"/>
    </w:rPr>
  </w:style>
  <w:style w:type="character" w:customStyle="1" w:styleId="91">
    <w:name w:val="文档结构图 字符1"/>
    <w:link w:val="14"/>
    <w:qFormat/>
    <w:uiPriority w:val="0"/>
    <w:rPr>
      <w:rFonts w:ascii="宋体"/>
      <w:kern w:val="2"/>
      <w:sz w:val="18"/>
      <w:szCs w:val="18"/>
    </w:rPr>
  </w:style>
  <w:style w:type="character" w:customStyle="1" w:styleId="92">
    <w:name w:val="font31"/>
    <w:qFormat/>
    <w:uiPriority w:val="0"/>
    <w:rPr>
      <w:rFonts w:hint="eastAsia" w:ascii="宋体" w:hAnsi="宋体" w:eastAsia="宋体" w:cs="宋体"/>
      <w:color w:val="000000"/>
      <w:sz w:val="21"/>
      <w:szCs w:val="21"/>
      <w:u w:val="none"/>
    </w:rPr>
  </w:style>
  <w:style w:type="character" w:customStyle="1" w:styleId="93">
    <w:name w:val="标准正文 Char"/>
    <w:link w:val="94"/>
    <w:qFormat/>
    <w:uiPriority w:val="0"/>
    <w:rPr>
      <w:rFonts w:ascii="Arial" w:hAnsi="Arial"/>
      <w:kern w:val="2"/>
      <w:sz w:val="24"/>
    </w:rPr>
  </w:style>
  <w:style w:type="paragraph" w:customStyle="1" w:styleId="94">
    <w:name w:val="标准正文"/>
    <w:basedOn w:val="17"/>
    <w:link w:val="93"/>
    <w:qFormat/>
    <w:uiPriority w:val="0"/>
    <w:pPr>
      <w:spacing w:before="60" w:after="60"/>
      <w:ind w:firstLine="482" w:firstLineChars="0"/>
    </w:pPr>
    <w:rPr>
      <w:rFonts w:ascii="Arial" w:hAnsi="Arial"/>
      <w:sz w:val="24"/>
    </w:rPr>
  </w:style>
  <w:style w:type="character" w:customStyle="1" w:styleId="95">
    <w:name w:val="标题 字符1"/>
    <w:link w:val="33"/>
    <w:qFormat/>
    <w:uiPriority w:val="0"/>
    <w:rPr>
      <w:rFonts w:ascii="Cambria" w:hAnsi="Cambria" w:eastAsia="黑体"/>
      <w:b/>
      <w:bCs/>
      <w:kern w:val="2"/>
      <w:sz w:val="52"/>
      <w:szCs w:val="32"/>
    </w:rPr>
  </w:style>
  <w:style w:type="character" w:customStyle="1" w:styleId="96">
    <w:name w:val="批注框文本 字符1"/>
    <w:link w:val="23"/>
    <w:qFormat/>
    <w:uiPriority w:val="0"/>
    <w:rPr>
      <w:kern w:val="2"/>
      <w:sz w:val="18"/>
      <w:szCs w:val="18"/>
    </w:rPr>
  </w:style>
  <w:style w:type="character" w:customStyle="1" w:styleId="97">
    <w:name w:val="页眉 字符1"/>
    <w:link w:val="25"/>
    <w:qFormat/>
    <w:uiPriority w:val="99"/>
    <w:rPr>
      <w:kern w:val="2"/>
      <w:sz w:val="18"/>
      <w:szCs w:val="18"/>
    </w:rPr>
  </w:style>
  <w:style w:type="character" w:customStyle="1" w:styleId="98">
    <w:name w:val="标题 8 字符"/>
    <w:link w:val="9"/>
    <w:qFormat/>
    <w:uiPriority w:val="9"/>
    <w:rPr>
      <w:rFonts w:ascii="Cambria" w:hAnsi="Cambria"/>
      <w:kern w:val="2"/>
      <w:sz w:val="21"/>
      <w:szCs w:val="24"/>
    </w:rPr>
  </w:style>
  <w:style w:type="character" w:customStyle="1" w:styleId="99">
    <w:name w:val="标题 6 字符1"/>
    <w:link w:val="7"/>
    <w:qFormat/>
    <w:uiPriority w:val="0"/>
    <w:rPr>
      <w:rFonts w:ascii="Cambria" w:hAnsi="Cambria"/>
      <w:b/>
      <w:bCs/>
      <w:kern w:val="2"/>
      <w:sz w:val="24"/>
      <w:szCs w:val="24"/>
    </w:rPr>
  </w:style>
  <w:style w:type="character" w:customStyle="1" w:styleId="100">
    <w:name w:val="标题 字符"/>
    <w:qFormat/>
    <w:uiPriority w:val="10"/>
    <w:rPr>
      <w:rFonts w:ascii="等线 Light" w:hAnsi="等线 Light" w:eastAsia="等线 Light" w:cs="Times New Roman"/>
      <w:b/>
      <w:bCs/>
      <w:kern w:val="2"/>
      <w:sz w:val="32"/>
      <w:szCs w:val="32"/>
    </w:rPr>
  </w:style>
  <w:style w:type="character" w:customStyle="1" w:styleId="101">
    <w:name w:val="副标题 字符"/>
    <w:qFormat/>
    <w:uiPriority w:val="11"/>
    <w:rPr>
      <w:rFonts w:ascii="等线" w:hAnsi="等线" w:eastAsia="等线" w:cs="Times New Roman"/>
      <w:b/>
      <w:bCs/>
      <w:kern w:val="28"/>
      <w:sz w:val="32"/>
      <w:szCs w:val="32"/>
    </w:rPr>
  </w:style>
  <w:style w:type="paragraph" w:customStyle="1" w:styleId="102">
    <w:name w:val="xl72"/>
    <w:basedOn w:val="1"/>
    <w:qFormat/>
    <w:uiPriority w:val="0"/>
    <w:pPr>
      <w:widowControl/>
      <w:spacing w:before="100" w:beforeAutospacing="1" w:after="100" w:afterAutospacing="1" w:line="240" w:lineRule="auto"/>
      <w:ind w:firstLine="0" w:firstLineChars="0"/>
      <w:jc w:val="center"/>
    </w:pPr>
    <w:rPr>
      <w:rFonts w:cs="宋体"/>
      <w:kern w:val="0"/>
    </w:rPr>
  </w:style>
  <w:style w:type="paragraph" w:customStyle="1" w:styleId="103">
    <w:name w:val="正文（深信服）"/>
    <w:qFormat/>
    <w:uiPriority w:val="0"/>
    <w:pPr>
      <w:spacing w:line="360" w:lineRule="auto"/>
      <w:ind w:firstLine="420"/>
    </w:pPr>
    <w:rPr>
      <w:rFonts w:ascii="Arial" w:hAnsi="Arial" w:eastAsia="宋体" w:cs="Times New Roman"/>
      <w:sz w:val="24"/>
      <w:szCs w:val="21"/>
      <w:shd w:val="clear" w:color="auto" w:fill="FFFFFF"/>
      <w:lang w:val="en-US" w:eastAsia="zh-CN" w:bidi="ar-SA"/>
    </w:rPr>
  </w:style>
  <w:style w:type="paragraph" w:customStyle="1" w:styleId="104">
    <w:name w:val="xl70"/>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05">
    <w:name w:val="_Style 2"/>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paragraph" w:customStyle="1" w:styleId="106">
    <w:name w:val="正文缩进1"/>
    <w:basedOn w:val="1"/>
    <w:qFormat/>
    <w:uiPriority w:val="0"/>
    <w:pPr>
      <w:spacing w:line="240" w:lineRule="auto"/>
      <w:ind w:firstLine="420"/>
    </w:pPr>
    <w:rPr>
      <w:rFonts w:ascii="Times New Roman" w:hAnsi="Times New Roman"/>
      <w:sz w:val="21"/>
      <w:szCs w:val="20"/>
    </w:rPr>
  </w:style>
  <w:style w:type="paragraph" w:customStyle="1" w:styleId="107">
    <w:name w:val="xl68"/>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08">
    <w:name w:val="前言、引言标题"/>
    <w:next w:val="1"/>
    <w:qFormat/>
    <w:uiPriority w:val="99"/>
    <w:pPr>
      <w:shd w:val="clear" w:color="FFFFFF" w:fill="FFFFFF"/>
      <w:tabs>
        <w:tab w:val="left" w:pos="425"/>
      </w:tabs>
      <w:spacing w:before="640" w:after="560"/>
      <w:jc w:val="center"/>
      <w:outlineLvl w:val="0"/>
    </w:pPr>
    <w:rPr>
      <w:rFonts w:ascii="黑体" w:hAnsi="Times New Roman" w:eastAsia="黑体" w:cs="Times New Roman"/>
      <w:sz w:val="32"/>
      <w:lang w:val="en-US" w:eastAsia="zh-CN" w:bidi="ar-SA"/>
    </w:rPr>
  </w:style>
  <w:style w:type="paragraph" w:customStyle="1" w:styleId="109">
    <w:name w:val="Indent Normal"/>
    <w:basedOn w:val="1"/>
    <w:qFormat/>
    <w:uiPriority w:val="0"/>
    <w:pPr>
      <w:ind w:firstLine="150" w:firstLineChars="150"/>
    </w:pPr>
  </w:style>
  <w:style w:type="paragraph" w:customStyle="1" w:styleId="110">
    <w:name w:val="msonormal"/>
    <w:basedOn w:val="1"/>
    <w:qFormat/>
    <w:uiPriority w:val="0"/>
    <w:pPr>
      <w:widowControl/>
      <w:spacing w:before="100" w:beforeAutospacing="1" w:after="100" w:afterAutospacing="1" w:line="240" w:lineRule="auto"/>
      <w:ind w:firstLine="0" w:firstLineChars="0"/>
      <w:jc w:val="left"/>
    </w:pPr>
    <w:rPr>
      <w:rFonts w:cs="宋体"/>
      <w:kern w:val="0"/>
    </w:rPr>
  </w:style>
  <w:style w:type="paragraph" w:customStyle="1" w:styleId="111">
    <w:name w:val="正文 缩进2字符"/>
    <w:basedOn w:val="1"/>
    <w:qFormat/>
    <w:uiPriority w:val="0"/>
    <w:pPr>
      <w:spacing w:afterLines="50" w:line="240" w:lineRule="auto"/>
      <w:ind w:firstLine="0" w:firstLineChars="0"/>
    </w:pPr>
    <w:rPr>
      <w:rFonts w:ascii="Times New Roman" w:hAnsi="Times New Roman" w:cs="宋体"/>
      <w:sz w:val="21"/>
      <w:szCs w:val="20"/>
    </w:rPr>
  </w:style>
  <w:style w:type="paragraph" w:customStyle="1" w:styleId="112">
    <w:name w:val="列项●（二级）"/>
    <w:qFormat/>
    <w:uiPriority w:val="0"/>
    <w:pPr>
      <w:numPr>
        <w:ilvl w:val="0"/>
        <w:numId w:val="2"/>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3">
    <w:name w:val="助手文本"/>
    <w:basedOn w:val="1"/>
    <w:qFormat/>
    <w:uiPriority w:val="0"/>
    <w:pPr>
      <w:autoSpaceDE w:val="0"/>
      <w:autoSpaceDN w:val="0"/>
      <w:adjustRightInd w:val="0"/>
      <w:spacing w:beforeLines="50" w:afterLines="50"/>
      <w:ind w:left="14" w:firstLine="434"/>
      <w:textAlignment w:val="baseline"/>
    </w:pPr>
    <w:rPr>
      <w:rFonts w:ascii="楷体_GB2312" w:eastAsia="楷体_GB2312"/>
      <w:kern w:val="0"/>
      <w:szCs w:val="20"/>
      <w:u w:val="single"/>
    </w:rPr>
  </w:style>
  <w:style w:type="paragraph" w:customStyle="1" w:styleId="114">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15">
    <w:name w:val="段"/>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11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cs="宋体"/>
      <w:kern w:val="0"/>
    </w:rPr>
  </w:style>
  <w:style w:type="paragraph" w:customStyle="1" w:styleId="117">
    <w:name w:val="Char Char Char Char Char Char1 Char"/>
    <w:basedOn w:val="1"/>
    <w:qFormat/>
    <w:uiPriority w:val="0"/>
    <w:pPr>
      <w:widowControl/>
      <w:spacing w:after="160" w:line="240" w:lineRule="exact"/>
      <w:jc w:val="left"/>
    </w:pPr>
  </w:style>
  <w:style w:type="paragraph" w:customStyle="1" w:styleId="118">
    <w:name w:val="PM_Body"/>
    <w:basedOn w:val="1"/>
    <w:qFormat/>
    <w:locked/>
    <w:uiPriority w:val="0"/>
    <w:rPr>
      <w:szCs w:val="21"/>
    </w:rPr>
  </w:style>
  <w:style w:type="paragraph" w:customStyle="1" w:styleId="119">
    <w:name w:val="Char Char1"/>
    <w:basedOn w:val="1"/>
    <w:qFormat/>
    <w:uiPriority w:val="0"/>
    <w:pPr>
      <w:widowControl/>
      <w:spacing w:before="120" w:after="120"/>
    </w:pPr>
    <w:rPr>
      <w:rFonts w:ascii="Times New Roman" w:hAnsi="Times New Roman" w:cs="宋体"/>
    </w:rPr>
  </w:style>
  <w:style w:type="paragraph" w:customStyle="1" w:styleId="120">
    <w:name w:val="xl71"/>
    <w:basedOn w:val="1"/>
    <w:qFormat/>
    <w:uiPriority w:val="0"/>
    <w:pPr>
      <w:widowControl/>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21">
    <w:name w:val="修订1"/>
    <w:unhideWhenUsed/>
    <w:qFormat/>
    <w:uiPriority w:val="99"/>
    <w:rPr>
      <w:rFonts w:ascii="宋体" w:hAnsi="宋体" w:eastAsia="宋体" w:cs="Times New Roman"/>
      <w:kern w:val="2"/>
      <w:sz w:val="24"/>
      <w:szCs w:val="24"/>
      <w:lang w:val="en-US" w:eastAsia="zh-CN" w:bidi="ar-SA"/>
    </w:rPr>
  </w:style>
  <w:style w:type="paragraph" w:customStyle="1" w:styleId="122">
    <w:name w:val="列出段落2"/>
    <w:basedOn w:val="1"/>
    <w:qFormat/>
    <w:uiPriority w:val="0"/>
    <w:pPr>
      <w:spacing w:line="240" w:lineRule="auto"/>
      <w:ind w:firstLine="420"/>
    </w:pPr>
    <w:rPr>
      <w:rFonts w:ascii="等线" w:hAnsi="等线" w:eastAsia="等线" w:cs="等线"/>
      <w:sz w:val="21"/>
      <w:szCs w:val="21"/>
    </w:rPr>
  </w:style>
  <w:style w:type="paragraph" w:customStyle="1" w:styleId="123">
    <w:name w:val="xl69"/>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kern w:val="0"/>
      <w:sz w:val="18"/>
      <w:szCs w:val="18"/>
    </w:rPr>
  </w:style>
  <w:style w:type="paragraph" w:customStyle="1" w:styleId="12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25">
    <w:name w:val="文档正文文本（中安网脉）"/>
    <w:basedOn w:val="1"/>
    <w:qFormat/>
    <w:uiPriority w:val="0"/>
    <w:pPr>
      <w:ind w:firstLine="200"/>
    </w:pPr>
    <w:rPr>
      <w:rFonts w:ascii="Times New Roman" w:hAnsi="Times New Roman" w:eastAsia="仿宋_GB2312"/>
      <w:color w:val="000000"/>
      <w:szCs w:val="28"/>
    </w:rPr>
  </w:style>
  <w:style w:type="paragraph" w:customStyle="1" w:styleId="126">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27">
    <w:name w:val="正文样式"/>
    <w:unhideWhenUsed/>
    <w:qFormat/>
    <w:uiPriority w:val="0"/>
    <w:pPr>
      <w:widowControl w:val="0"/>
      <w:adjustRightInd w:val="0"/>
      <w:snapToGrid w:val="0"/>
      <w:spacing w:line="360" w:lineRule="auto"/>
      <w:ind w:firstLine="200" w:firstLineChars="200"/>
      <w:jc w:val="both"/>
    </w:pPr>
    <w:rPr>
      <w:rFonts w:ascii="Times New Roman" w:hAnsi="Times New Roman" w:eastAsia="宋体" w:cs="Times New Roman"/>
      <w:bCs/>
      <w:snapToGrid w:val="0"/>
      <w:sz w:val="24"/>
      <w:szCs w:val="44"/>
      <w:lang w:val="en-US" w:eastAsia="zh-CN" w:bidi="ar-SA"/>
    </w:rPr>
  </w:style>
  <w:style w:type="paragraph" w:customStyle="1" w:styleId="128">
    <w:name w:val="样式 行距: 1.5 倍行距 首行缩进:  2 字符"/>
    <w:basedOn w:val="1"/>
    <w:qFormat/>
    <w:uiPriority w:val="0"/>
    <w:pPr>
      <w:ind w:firstLine="560"/>
      <w:jc w:val="left"/>
    </w:pPr>
    <w:rPr>
      <w:rFonts w:ascii="仿宋" w:hAnsi="仿宋" w:eastAsia="仿宋" w:cs="宋体"/>
      <w:sz w:val="28"/>
      <w:szCs w:val="20"/>
    </w:rPr>
  </w:style>
  <w:style w:type="paragraph" w:customStyle="1" w:styleId="129">
    <w:name w:val="TOC 标题1"/>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table" w:customStyle="1" w:styleId="130">
    <w:name w:val="!我的表格1"/>
    <w:basedOn w:val="3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
    <w:name w:val="网格型1"/>
    <w:basedOn w:val="35"/>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标题 1 Char"/>
    <w:qFormat/>
    <w:uiPriority w:val="0"/>
    <w:rPr>
      <w:rFonts w:ascii="宋体" w:hAnsi="宋体" w:eastAsia="黑体"/>
      <w:b/>
      <w:bCs/>
      <w:kern w:val="44"/>
      <w:sz w:val="32"/>
      <w:szCs w:val="28"/>
    </w:rPr>
  </w:style>
  <w:style w:type="character" w:customStyle="1" w:styleId="133">
    <w:name w:val="纯文本 Char2"/>
    <w:qFormat/>
    <w:uiPriority w:val="0"/>
    <w:rPr>
      <w:rFonts w:ascii="宋体" w:hAnsi="宋体" w:eastAsia="宋体" w:cs="Times New Roman"/>
      <w:color w:val="000000"/>
      <w:kern w:val="0"/>
      <w:sz w:val="24"/>
      <w:szCs w:val="24"/>
    </w:rPr>
  </w:style>
  <w:style w:type="character" w:customStyle="1" w:styleId="134">
    <w:name w:val="fontstyle01"/>
    <w:basedOn w:val="37"/>
    <w:qFormat/>
    <w:uiPriority w:val="0"/>
    <w:rPr>
      <w:rFonts w:hint="eastAsia" w:ascii="宋体" w:hAnsi="宋体" w:eastAsia="宋体"/>
      <w:color w:val="000000"/>
      <w:sz w:val="22"/>
      <w:szCs w:val="22"/>
    </w:rPr>
  </w:style>
  <w:style w:type="character" w:customStyle="1" w:styleId="135">
    <w:name w:val="fontstyle11"/>
    <w:basedOn w:val="37"/>
    <w:qFormat/>
    <w:uiPriority w:val="0"/>
    <w:rPr>
      <w:rFonts w:hint="default" w:ascii="LiberationSans" w:hAnsi="LiberationSans"/>
      <w:color w:val="000000"/>
      <w:sz w:val="22"/>
      <w:szCs w:val="22"/>
    </w:rPr>
  </w:style>
  <w:style w:type="paragraph" w:customStyle="1" w:styleId="136">
    <w:name w:val="可研正文"/>
    <w:basedOn w:val="1"/>
    <w:link w:val="137"/>
    <w:qFormat/>
    <w:uiPriority w:val="0"/>
    <w:pPr>
      <w:ind w:firstLine="200"/>
    </w:pPr>
    <w:rPr>
      <w:rFonts w:ascii="仿宋" w:hAnsi="仿宋" w:eastAsia="仿宋" w:cstheme="minorBidi"/>
      <w:sz w:val="28"/>
      <w:szCs w:val="28"/>
    </w:rPr>
  </w:style>
  <w:style w:type="character" w:customStyle="1" w:styleId="137">
    <w:name w:val="可研正文 Char"/>
    <w:link w:val="136"/>
    <w:qFormat/>
    <w:uiPriority w:val="0"/>
    <w:rPr>
      <w:rFonts w:ascii="仿宋" w:hAnsi="仿宋" w:eastAsia="仿宋" w:cstheme="minorBidi"/>
      <w:kern w:val="2"/>
      <w:sz w:val="28"/>
      <w:szCs w:val="28"/>
    </w:rPr>
  </w:style>
  <w:style w:type="paragraph" w:customStyle="1" w:styleId="138">
    <w:name w:val="Revision"/>
    <w:hidden/>
    <w:unhideWhenUsed/>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package" Target="embeddings/Microsoft_Visio___3.vsdx"/><Relationship Id="rId18" Type="http://schemas.openxmlformats.org/officeDocument/2006/relationships/image" Target="media/image4.emf"/><Relationship Id="rId17" Type="http://schemas.openxmlformats.org/officeDocument/2006/relationships/package" Target="embeddings/Microsoft_Visio___2.vsdx"/><Relationship Id="rId16" Type="http://schemas.openxmlformats.org/officeDocument/2006/relationships/image" Target="media/image3.png"/><Relationship Id="rId15" Type="http://schemas.openxmlformats.org/officeDocument/2006/relationships/image" Target="media/image2.emf"/><Relationship Id="rId14" Type="http://schemas.openxmlformats.org/officeDocument/2006/relationships/package" Target="embeddings/Microsoft_Visio___1.vsdx"/><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36</Pages>
  <Words>24343</Words>
  <Characters>24732</Characters>
  <Lines>187</Lines>
  <Paragraphs>52</Paragraphs>
  <TotalTime>10</TotalTime>
  <ScaleCrop>false</ScaleCrop>
  <LinksUpToDate>false</LinksUpToDate>
  <CharactersWithSpaces>24797</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2024-12-04T05:37:00Z</dcterms:created>
  <dc:creator>gtig_tzb</dc:creator>
  <cp:lastModifiedBy>241</cp:lastModifiedBy>
  <cp:lastPrinted>2020-08-06T12:08:00Z</cp:lastPrinted>
  <dcterms:modified xsi:type="dcterms:W3CDTF">2025-02-10T08:50:37Z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9C5348C516D24EB6ACCADEA2E2A8DFBB_13</vt:lpwstr>
  </property>
  <property fmtid="{D5CDD505-2E9C-101B-9397-08002B2CF9AE}" pid="4" name="KSOTemplateDocerSaveRecord">
    <vt:lpwstr>eyJoZGlkIjoiMWU1ZjkxNGUyMzVhYzE1MmMwNzgzYzRiMmY1NzhlYTUiLCJ1c2VySWQiOiI1ODE5NTUyMjkifQ==</vt:lpwstr>
  </property>
</Properties>
</file>