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sz w:val="48"/>
          <w:szCs w:val="48"/>
        </w:rPr>
      </w:pPr>
    </w:p>
    <w:p>
      <w:pPr>
        <w:ind w:firstLine="0" w:firstLineChars="0"/>
        <w:jc w:val="center"/>
        <w:rPr>
          <w:rFonts w:hint="eastAsia" w:ascii="黑体" w:hAnsi="黑体" w:eastAsia="黑体"/>
          <w:sz w:val="48"/>
          <w:szCs w:val="48"/>
        </w:rPr>
      </w:pPr>
    </w:p>
    <w:p>
      <w:pPr>
        <w:ind w:firstLine="0" w:firstLineChars="0"/>
        <w:jc w:val="center"/>
        <w:rPr>
          <w:rFonts w:hint="eastAsia" w:ascii="黑体" w:hAnsi="黑体" w:eastAsia="黑体"/>
          <w:sz w:val="48"/>
          <w:szCs w:val="48"/>
        </w:rPr>
      </w:pPr>
    </w:p>
    <w:p>
      <w:pPr>
        <w:ind w:firstLine="0" w:firstLineChars="0"/>
        <w:jc w:val="center"/>
        <w:rPr>
          <w:rFonts w:hint="eastAsia" w:ascii="黑体" w:hAnsi="黑体" w:eastAsia="黑体"/>
          <w:sz w:val="48"/>
          <w:szCs w:val="48"/>
        </w:rPr>
      </w:pPr>
    </w:p>
    <w:p>
      <w:pPr>
        <w:ind w:firstLine="0" w:firstLineChars="0"/>
        <w:jc w:val="center"/>
        <w:rPr>
          <w:rFonts w:hint="eastAsia" w:ascii="黑体" w:hAnsi="黑体" w:eastAsia="黑体"/>
          <w:sz w:val="52"/>
          <w:szCs w:val="52"/>
        </w:rPr>
      </w:pPr>
      <w:r>
        <w:rPr>
          <w:rFonts w:hint="eastAsia" w:ascii="黑体" w:hAnsi="黑体" w:eastAsia="黑体"/>
          <w:sz w:val="52"/>
          <w:szCs w:val="52"/>
        </w:rPr>
        <w:t>上海市药品监督管理局行政审批</w:t>
      </w:r>
    </w:p>
    <w:p>
      <w:pPr>
        <w:ind w:firstLine="0" w:firstLineChars="0"/>
        <w:jc w:val="center"/>
        <w:rPr>
          <w:rFonts w:hint="eastAsia" w:ascii="黑体" w:hAnsi="黑体" w:eastAsia="黑体"/>
          <w:sz w:val="52"/>
          <w:szCs w:val="52"/>
        </w:rPr>
      </w:pPr>
      <w:r>
        <w:rPr>
          <w:rFonts w:hint="eastAsia" w:ascii="黑体" w:hAnsi="黑体" w:eastAsia="黑体"/>
          <w:sz w:val="52"/>
          <w:szCs w:val="52"/>
        </w:rPr>
        <w:t>系统(2025升级改造)采购需求</w:t>
      </w:r>
    </w:p>
    <w:p>
      <w:pPr>
        <w:ind w:firstLine="0" w:firstLineChars="0"/>
        <w:jc w:val="center"/>
        <w:rPr>
          <w:rFonts w:hint="eastAsia" w:ascii="黑体" w:hAnsi="黑体" w:eastAsia="黑体"/>
          <w:sz w:val="72"/>
          <w:szCs w:val="72"/>
        </w:rPr>
      </w:pPr>
    </w:p>
    <w:p>
      <w:pPr>
        <w:ind w:firstLine="0" w:firstLineChars="0"/>
        <w:jc w:val="center"/>
        <w:rPr>
          <w:rFonts w:hint="eastAsia" w:ascii="黑体" w:hAnsi="黑体" w:eastAsia="黑体"/>
          <w:sz w:val="48"/>
          <w:szCs w:val="48"/>
        </w:rPr>
      </w:pPr>
    </w:p>
    <w:p>
      <w:pPr>
        <w:ind w:firstLine="0" w:firstLineChars="0"/>
        <w:jc w:val="center"/>
        <w:rPr>
          <w:rFonts w:hint="eastAsia" w:ascii="黑体" w:hAnsi="黑体" w:eastAsia="黑体"/>
          <w:sz w:val="52"/>
          <w:szCs w:val="52"/>
        </w:rPr>
      </w:pPr>
    </w:p>
    <w:p>
      <w:pPr>
        <w:ind w:firstLine="1040"/>
        <w:rPr>
          <w:rFonts w:hint="eastAsia" w:ascii="黑体" w:hAnsi="黑体" w:eastAsia="黑体"/>
          <w:sz w:val="52"/>
          <w:szCs w:val="52"/>
        </w:rPr>
      </w:pPr>
    </w:p>
    <w:p>
      <w:pPr>
        <w:rPr>
          <w:rFonts w:hint="eastAsia"/>
        </w:rPr>
      </w:pPr>
    </w:p>
    <w:p>
      <w:pPr>
        <w:rPr>
          <w:rFonts w:hint="eastAsia"/>
        </w:rPr>
      </w:pPr>
    </w:p>
    <w:p>
      <w:pPr>
        <w:rPr>
          <w:rFonts w:hint="eastAsia"/>
        </w:rPr>
      </w:pPr>
    </w:p>
    <w:p>
      <w:pPr>
        <w:rPr>
          <w:rFonts w:hint="eastAsia"/>
        </w:rPr>
      </w:pPr>
    </w:p>
    <w:p>
      <w:pPr>
        <w:rPr>
          <w:rFonts w:hint="eastAsia"/>
        </w:rPr>
      </w:pPr>
    </w:p>
    <w:p>
      <w:pPr>
        <w:ind w:firstLine="1040"/>
        <w:rPr>
          <w:rFonts w:hint="eastAsia" w:ascii="黑体" w:hAnsi="黑体" w:eastAsia="黑体"/>
          <w:sz w:val="52"/>
          <w:szCs w:val="52"/>
        </w:rPr>
      </w:pPr>
    </w:p>
    <w:p>
      <w:pPr>
        <w:jc w:val="center"/>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1134" w:right="1797" w:bottom="1135" w:left="1797" w:header="340" w:footer="7" w:gutter="0"/>
          <w:pgNumType w:start="1"/>
          <w:cols w:space="720" w:num="1"/>
          <w:titlePg/>
          <w:docGrid w:type="linesAndChars" w:linePitch="326" w:charSpace="0"/>
        </w:sectPr>
      </w:pPr>
    </w:p>
    <w:p>
      <w:pPr>
        <w:pStyle w:val="2"/>
        <w:rPr>
          <w:rFonts w:hint="eastAsia"/>
        </w:rPr>
      </w:pPr>
      <w:bookmarkStart w:id="0" w:name="_Toc63785461"/>
      <w:r>
        <w:rPr>
          <w:rFonts w:hint="eastAsia"/>
        </w:rPr>
        <w:t>项目概况</w:t>
      </w:r>
      <w:bookmarkEnd w:id="0"/>
    </w:p>
    <w:p>
      <w:pPr>
        <w:pStyle w:val="3"/>
        <w:rPr>
          <w:rFonts w:hint="eastAsia"/>
        </w:rPr>
      </w:pPr>
      <w:r>
        <w:rPr>
          <w:rFonts w:hint="eastAsia"/>
        </w:rPr>
        <w:t>项目背景</w:t>
      </w:r>
    </w:p>
    <w:p>
      <w:pPr>
        <w:spacing w:line="560" w:lineRule="exact"/>
        <w:rPr>
          <w:rFonts w:hint="eastAsia"/>
        </w:rPr>
      </w:pPr>
      <w:r>
        <w:rPr>
          <w:rFonts w:hint="eastAsia"/>
        </w:rPr>
        <w:t>根据2023、2024年的上海市“一网通办”工作中关于“智慧好办”、“办不成事”、“随申办”企业云等内容的要求，对标《上海市优化政务服务提升行政效能深化“一网通办”改革行动方案（2024-2026年）》《2024年上海市优化政务服务提升行政效能深化“一网通办”改革工作任务分工》等相关文件要求，市药监局行政审批系统还需要落实深化智慧好办、拓展服务场景接入企业云等工作要求。同时，在药品、化妆品、医疗器械的政务服务事项中，根据相关法律法规国家市场监督管理总局和国家药品监督管理局发布了新的管理办法文件。上海市药监局需要落实相关工作、落实监管要求，药监局行政审批系统作为相关工作开展的平台，迫切需要同步进行升级。</w:t>
      </w:r>
    </w:p>
    <w:p>
      <w:pPr>
        <w:spacing w:line="560" w:lineRule="exact"/>
        <w:rPr>
          <w:rFonts w:hint="eastAsia"/>
        </w:rPr>
      </w:pPr>
      <w:r>
        <w:rPr>
          <w:rFonts w:hint="eastAsia"/>
        </w:rPr>
        <w:t>结合当前上海市药品监督管理局业务处室、上海市医疗器械化妆品审评核查中心在药械化审评、审批的实际业务需要，在“一网通办”大系统下新建智能审评子系统，对化妆品备案审查（现使用国家局系统办理）、第二类医疗器械产品注册技术审评和体系核查业务提供智能辅助服务，提高审评审批效率、缩短审评审批时间、支持行业快速发展。</w:t>
      </w:r>
    </w:p>
    <w:p>
      <w:pPr>
        <w:pStyle w:val="3"/>
        <w:rPr>
          <w:rFonts w:hint="eastAsia"/>
        </w:rPr>
      </w:pPr>
      <w:r>
        <w:rPr>
          <w:rFonts w:hint="eastAsia"/>
        </w:rPr>
        <w:t>现状</w:t>
      </w:r>
    </w:p>
    <w:p>
      <w:pPr>
        <w:spacing w:line="560" w:lineRule="exact"/>
        <w:rPr>
          <w:rFonts w:hint="eastAsia" w:cs="仿宋"/>
        </w:rPr>
      </w:pPr>
      <w:r>
        <w:rPr>
          <w:rFonts w:hint="eastAsia" w:cs="仿宋"/>
        </w:rPr>
        <w:t>现有“一网通办”大系统主要分为三大部分业务部分，包括面向企业和公众的申报端，面向监管人员的行政审批端，面向数据应用的后台数据接口服务端。申报端功能是药械化各政务服务事项和公共服务事项的“一网通办”申报、办理进度查询、统一物流、电子缴款书等功能；行政审批端包括了药械化各类事项的收件、受理、审批、电子文书、电子证照、电子归档等功能；数据接口服务端主要是实现了电子证照库、办件库、大数据能力服务中台等对接，支撑了单点登录、材料免交、数据同步、“同步制发”等业务的开展。</w:t>
      </w:r>
    </w:p>
    <w:p>
      <w:pPr>
        <w:spacing w:line="560" w:lineRule="exact"/>
        <w:rPr>
          <w:rFonts w:hint="eastAsia"/>
        </w:rPr>
      </w:pPr>
      <w:r>
        <w:rPr>
          <w:rFonts w:hint="eastAsia"/>
        </w:rPr>
        <w:t>本项目建设的内容是在现有系统的资源的基础上，根据上海市“一网通办”改革工作的要求和药品监管领域的业务需求进行升级改造建设。项目中特殊情形购药、网络销售报告、委托存储报告等事项都是根据法规新实施的监管要求，项目是利用现有的申报端、行政审批端的基础上增加事项表单、增加文书等来实现。对项目中“智慧好办”的建设是在现有高频事项功能的基础上，加强数据应用和引用数源目录增强预填、利用大数据中心智能服务中台落实智能预审、新建自助办理终端办理等，进而达到“799”的服务效能指标。在“随申办”企业云建设中，将独立现有系统的应用建设新的移动端申报服务的功能，并接入“随申办”企业云中。“办不成事”线上反馈窗口功能主要是在现有系统功能基础上，增加页面功能的接入来满足业务要求。</w:t>
      </w:r>
    </w:p>
    <w:p>
      <w:pPr>
        <w:spacing w:line="560" w:lineRule="exact"/>
        <w:rPr>
          <w:rFonts w:hint="eastAsia"/>
        </w:rPr>
      </w:pPr>
      <w:r>
        <w:rPr>
          <w:rFonts w:hint="eastAsia"/>
        </w:rPr>
        <w:t>现有系统的行政审批端中具有“一网通办”电子归档功能，但根据最新工作要求区市场局使用业务条线提供的系统，条线系统应该提供归档数据的返还，来支持区局进行电子归档工作。本项目将在现有归档功能基础上，新增区级事项档案数据返还区市场局的接口服务。</w:t>
      </w:r>
    </w:p>
    <w:p>
      <w:pPr>
        <w:spacing w:line="560" w:lineRule="exact"/>
        <w:rPr>
          <w:rFonts w:hint="eastAsia"/>
        </w:rPr>
      </w:pPr>
      <w:r>
        <w:rPr>
          <w:rFonts w:hint="eastAsia"/>
        </w:rPr>
        <w:t>目前本市第二类医疗器械产品注册和化妆品产品备案审查业务的基本情况是：上海市第二类医疗器械注册审评和核查工作，目前使用的“医疗器械技术审评信息化系统”基本实现了纸质审评向网上审评的过渡，但目前系统实现的还是最基础的审评流程的电子化，在辅助申报、智能校验、报告生成、分析预警、问答检索等方面还不能为人工审评提供较好的技术支持。审评和核查人员在审评过程中还需要在系统外查阅审评指导原则，手动查阅市局数据、历史审评数据等，整体技术审评的用户还是比较长。化妆品产品备案审查方面，监管人员在化妆品备案审查工作中，面临着申请案量大，增长速度快，审查人力资源严重不足的问题，而且使用的系统在化妆品备案审查信息查看、对比等方面操作复杂，使用效率很低。</w:t>
      </w:r>
    </w:p>
    <w:p>
      <w:pPr>
        <w:pStyle w:val="3"/>
        <w:rPr>
          <w:rFonts w:hint="eastAsia"/>
        </w:rPr>
      </w:pPr>
      <w:r>
        <w:rPr>
          <w:rFonts w:hint="eastAsia"/>
        </w:rPr>
        <w:t>建设期限</w:t>
      </w:r>
    </w:p>
    <w:p>
      <w:pPr>
        <w:spacing w:line="560" w:lineRule="exact"/>
        <w:rPr>
          <w:rFonts w:hint="eastAsia"/>
        </w:rPr>
      </w:pPr>
      <w:r>
        <w:rPr>
          <w:rFonts w:hint="eastAsia"/>
        </w:rPr>
        <w:t>建设期限：自合同签订之日起8个月（包括1个月试运行）</w:t>
      </w:r>
    </w:p>
    <w:p>
      <w:pPr>
        <w:pStyle w:val="3"/>
        <w:rPr>
          <w:rFonts w:hint="eastAsia"/>
        </w:rPr>
      </w:pPr>
      <w:r>
        <w:rPr>
          <w:rFonts w:hint="eastAsia"/>
        </w:rPr>
        <w:t>建设地点</w:t>
      </w:r>
    </w:p>
    <w:p>
      <w:pPr>
        <w:spacing w:line="560" w:lineRule="exact"/>
        <w:rPr>
          <w:rFonts w:hint="eastAsia"/>
        </w:rPr>
      </w:pPr>
      <w:r>
        <w:rPr>
          <w:rFonts w:hint="eastAsia"/>
        </w:rPr>
        <w:t>建设地点：上海市药品监督管理局</w:t>
      </w:r>
    </w:p>
    <w:p>
      <w:pPr>
        <w:pStyle w:val="3"/>
        <w:rPr>
          <w:rFonts w:hint="eastAsia"/>
        </w:rPr>
      </w:pPr>
      <w:r>
        <w:t>是否按信创要求建设</w:t>
      </w:r>
    </w:p>
    <w:p>
      <w:pPr>
        <w:spacing w:line="560" w:lineRule="exact"/>
        <w:rPr>
          <w:rFonts w:hint="eastAsia"/>
        </w:rPr>
      </w:pPr>
      <w:r>
        <w:t>是否按信创要求建设：是</w:t>
      </w:r>
    </w:p>
    <w:p>
      <w:pPr>
        <w:pStyle w:val="3"/>
        <w:rPr>
          <w:rFonts w:hint="eastAsia"/>
        </w:rPr>
      </w:pPr>
      <w:r>
        <w:rPr>
          <w:rFonts w:hint="eastAsia"/>
        </w:rPr>
        <w:t>运维后所属大系统</w:t>
      </w:r>
    </w:p>
    <w:p>
      <w:pPr>
        <w:spacing w:line="560" w:lineRule="exact"/>
        <w:rPr>
          <w:rFonts w:hint="eastAsia"/>
        </w:rPr>
      </w:pPr>
      <w:r>
        <w:rPr>
          <w:rFonts w:hint="eastAsia"/>
        </w:rPr>
        <w:t>运维后所属大系统：</w:t>
      </w:r>
      <w:r>
        <w:rPr>
          <w:rFonts w:hint="eastAsia"/>
          <w:color w:val="000000" w:themeColor="text1"/>
          <w:szCs w:val="21"/>
          <w14:textFill>
            <w14:solidFill>
              <w14:schemeClr w14:val="tx1"/>
            </w14:solidFill>
          </w14:textFill>
        </w:rPr>
        <w:t>“一网通办”大系统</w:t>
      </w:r>
    </w:p>
    <w:p>
      <w:pPr>
        <w:rPr>
          <w:rFonts w:hint="eastAsia"/>
        </w:rPr>
      </w:pPr>
    </w:p>
    <w:p>
      <w:pPr>
        <w:pStyle w:val="2"/>
        <w:rPr>
          <w:rFonts w:hint="eastAsia"/>
        </w:rPr>
      </w:pPr>
      <w:bookmarkStart w:id="1" w:name="_Toc47536644"/>
      <w:bookmarkEnd w:id="1"/>
      <w:bookmarkStart w:id="2" w:name="_Toc47532255"/>
      <w:bookmarkEnd w:id="2"/>
      <w:bookmarkStart w:id="3" w:name="_Toc47539070"/>
      <w:bookmarkEnd w:id="3"/>
      <w:bookmarkStart w:id="4" w:name="_Toc47536272"/>
      <w:bookmarkEnd w:id="4"/>
      <w:bookmarkStart w:id="5" w:name="_Toc47532891"/>
      <w:bookmarkEnd w:id="5"/>
      <w:bookmarkStart w:id="6" w:name="_Toc47537134"/>
      <w:bookmarkEnd w:id="6"/>
      <w:bookmarkStart w:id="7" w:name="_Toc47533256"/>
      <w:bookmarkEnd w:id="7"/>
      <w:bookmarkStart w:id="8" w:name="_Toc47531634"/>
      <w:bookmarkEnd w:id="8"/>
      <w:bookmarkStart w:id="9" w:name="_Toc48223882"/>
      <w:bookmarkStart w:id="10" w:name="_Toc63785463"/>
      <w:r>
        <w:rPr>
          <w:rFonts w:hint="eastAsia"/>
        </w:rPr>
        <w:t>建设目标</w:t>
      </w:r>
      <w:bookmarkEnd w:id="9"/>
      <w:bookmarkEnd w:id="10"/>
    </w:p>
    <w:p>
      <w:pPr>
        <w:pStyle w:val="3"/>
        <w:rPr>
          <w:rFonts w:hint="eastAsia"/>
        </w:rPr>
      </w:pPr>
      <w:r>
        <w:rPr>
          <w:rFonts w:hint="eastAsia"/>
        </w:rPr>
        <w:t>建设目标</w:t>
      </w:r>
    </w:p>
    <w:p>
      <w:pPr>
        <w:ind w:firstLine="482"/>
        <w:rPr>
          <w:rFonts w:hint="eastAsia"/>
          <w:b/>
        </w:rPr>
      </w:pPr>
      <w:r>
        <w:rPr>
          <w:rFonts w:hint="eastAsia"/>
          <w:b/>
        </w:rPr>
        <w:t>1、贯彻落实数字政府建设要求</w:t>
      </w:r>
    </w:p>
    <w:p>
      <w:pPr>
        <w:rPr>
          <w:rFonts w:hint="eastAsia"/>
          <w:bCs/>
        </w:rPr>
      </w:pPr>
      <w:r>
        <w:rPr>
          <w:rFonts w:hint="eastAsia"/>
          <w:bCs/>
        </w:rPr>
        <w:t>落实国务院、国家药监局关于加强药品监管能力政策要求，落实上海市委市政府全面推进上海城市数字化转型政策文件要求，落实《上海市优化政务服务提升行政效能深化“一网通办”改革行动方案（2024-2026年）》《2024年上海市优化政务服务提升行政效能深化“一网通办”改革工作任务分工》相关工作要求，拓展“智慧好办”服务范围，实现2025年占年度总办件量80%的高频事项“首办成功率”达到90%；进一步拓展“随申办”企业云接入的办理事项。推进政务服务“智慧精准”、“公平可及”。</w:t>
      </w:r>
    </w:p>
    <w:p>
      <w:pPr>
        <w:ind w:firstLine="482"/>
        <w:rPr>
          <w:rFonts w:hint="eastAsia"/>
          <w:b/>
        </w:rPr>
      </w:pPr>
      <w:r>
        <w:rPr>
          <w:rFonts w:hint="eastAsia"/>
          <w:b/>
        </w:rPr>
        <w:t>2、落实新的法律法规实施要求</w:t>
      </w:r>
    </w:p>
    <w:p>
      <w:pPr>
        <w:rPr>
          <w:rFonts w:hint="eastAsia"/>
          <w:bCs/>
        </w:rPr>
      </w:pPr>
      <w:r>
        <w:rPr>
          <w:rFonts w:hint="eastAsia"/>
          <w:bCs/>
        </w:rPr>
        <w:t>落实国家市场总局和国家药监局近期发布的市场监管总局发布《药品网络销售监督管理办法》和《药品经营和使用质量监督管理办法》的监管要求，使行政审批系统能够及时支持新法规的实施。</w:t>
      </w:r>
    </w:p>
    <w:p>
      <w:pPr>
        <w:ind w:firstLine="482"/>
        <w:rPr>
          <w:rFonts w:hint="eastAsia"/>
          <w:b/>
        </w:rPr>
      </w:pPr>
      <w:r>
        <w:rPr>
          <w:rFonts w:hint="eastAsia"/>
          <w:b/>
        </w:rPr>
        <w:t>3、推进全国市场监管数字化试验区（上海）建设</w:t>
      </w:r>
    </w:p>
    <w:p>
      <w:pPr>
        <w:rPr>
          <w:rFonts w:hint="eastAsia"/>
          <w:bCs/>
        </w:rPr>
      </w:pPr>
      <w:r>
        <w:rPr>
          <w:rFonts w:hint="eastAsia"/>
          <w:bCs/>
        </w:rPr>
        <w:t>根据上海市市场监督管理局《全国市场监管数字化试验区（上海）建设方案》建设内容要求，针对化妆品备案审查（现使用国家局系统办理）、第二类医疗器械产品注册技术审评和体系核查业务，在上海市医疗器械化妆品审评核查中心的医疗器械注册电子申报系统（eRPS系统）和国家局化妆品产品备案系统的基础上，建设智能审评子系统，通过AI技术的应用能够大幅提高上海市医疗器械化妆品审评核查中心进行业务办理的效率，显著缩短医疗器械审评、化妆品审查的时间。使企业申报材料的质量更高，审评通过率更高。助力本市的医疗器械行业、化妆品行业蓬勃发展。</w:t>
      </w:r>
    </w:p>
    <w:p>
      <w:pPr>
        <w:pStyle w:val="3"/>
        <w:rPr>
          <w:rFonts w:hint="eastAsia"/>
        </w:rPr>
      </w:pPr>
      <w:r>
        <w:rPr>
          <w:rFonts w:hint="eastAsia"/>
        </w:rPr>
        <w:t>应用指标</w:t>
      </w:r>
    </w:p>
    <w:p>
      <w:pPr>
        <w:rPr>
          <w:rFonts w:hint="eastAsia"/>
          <w:bCs/>
        </w:rPr>
      </w:pPr>
      <w:r>
        <w:rPr>
          <w:rFonts w:hint="eastAsia"/>
          <w:bCs/>
        </w:rPr>
        <w:t>本项目覆盖的用户范围和数量如下：</w:t>
      </w:r>
    </w:p>
    <w:tbl>
      <w:tblPr>
        <w:tblStyle w:val="36"/>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835"/>
        <w:gridCol w:w="3402"/>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序号</w:t>
            </w:r>
          </w:p>
        </w:tc>
        <w:tc>
          <w:tcPr>
            <w:tcW w:w="2835" w:type="dxa"/>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主要建设内容</w:t>
            </w:r>
          </w:p>
        </w:tc>
        <w:tc>
          <w:tcPr>
            <w:tcW w:w="3402" w:type="dxa"/>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服务对象</w:t>
            </w:r>
          </w:p>
        </w:tc>
        <w:tc>
          <w:tcPr>
            <w:tcW w:w="1559" w:type="dxa"/>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用户量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“随申办”企业云接入</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药品、医疗器械、化妆品企业</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50000家企业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强化“智慧好办”能力，拓展“智慧好办”服务范围</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药品、医疗器械、化妆品企业</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50000家企业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全面接入线上“办不成事”问题反映窗口</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药品、医疗器械、化妆品企业</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50000家企业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特殊情形购药报告</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因科学研究、检验检测、慈善捐助、突发公共卫生事件等有特殊购药需求的单位</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100家单位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药品网络销售企业报告</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从事药品网络销售的药品经营企业</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5000家企业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药品上市许可持有人委托存储报告</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药品上市许可持有人</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300家企业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药品上市许可持有人委托销售报告</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药品上市许可持有人</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300家企业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医疗器械注册人医疗器械产品品种报告升级</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医疗器械注册人</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上海市进行第二类医疗器械产品注册企业服务</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医疗器械注册申报企业、创新企业</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1300家企业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医疗器械智能审评核查模块</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医疗器械注册审评、核查人员</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2835"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化妆品产品备案后审查模块</w:t>
            </w:r>
          </w:p>
        </w:tc>
        <w:tc>
          <w:tcPr>
            <w:tcW w:w="3402"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化妆品备案审查人员</w:t>
            </w:r>
          </w:p>
        </w:tc>
        <w:tc>
          <w:tcPr>
            <w:tcW w:w="1559" w:type="dxa"/>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30人</w:t>
            </w:r>
          </w:p>
        </w:tc>
      </w:tr>
    </w:tbl>
    <w:p>
      <w:pPr>
        <w:rPr>
          <w:rFonts w:hint="eastAsia"/>
          <w:bCs/>
        </w:rPr>
      </w:pPr>
    </w:p>
    <w:p>
      <w:pPr>
        <w:pStyle w:val="3"/>
        <w:rPr>
          <w:rFonts w:hint="eastAsia"/>
        </w:rPr>
      </w:pPr>
      <w:r>
        <w:rPr>
          <w:rFonts w:hint="eastAsia"/>
        </w:rPr>
        <w:t>业务绩效目标</w:t>
      </w:r>
    </w:p>
    <w:tbl>
      <w:tblPr>
        <w:tblStyle w:val="35"/>
        <w:tblW w:w="83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6"/>
        <w:gridCol w:w="1130"/>
        <w:gridCol w:w="11"/>
        <w:gridCol w:w="1123"/>
        <w:gridCol w:w="1984"/>
        <w:gridCol w:w="2414"/>
        <w:gridCol w:w="1008"/>
        <w:gridCol w:w="1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1847" w:type="dxa"/>
            <w:gridSpan w:val="3"/>
            <w:shd w:val="clear" w:color="auto" w:fill="auto"/>
            <w:vAlign w:val="center"/>
          </w:tcPr>
          <w:p>
            <w:pPr>
              <w:pStyle w:val="136"/>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业务目标</w:t>
            </w:r>
          </w:p>
        </w:tc>
        <w:tc>
          <w:tcPr>
            <w:tcW w:w="6546" w:type="dxa"/>
            <w:gridSpan w:val="5"/>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业务指标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序号</w:t>
            </w:r>
          </w:p>
        </w:tc>
        <w:tc>
          <w:tcPr>
            <w:tcW w:w="1130" w:type="dxa"/>
            <w:shd w:val="clear" w:color="auto" w:fill="auto"/>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一级指标</w:t>
            </w:r>
          </w:p>
        </w:tc>
        <w:tc>
          <w:tcPr>
            <w:tcW w:w="1134" w:type="dxa"/>
            <w:gridSpan w:val="2"/>
            <w:shd w:val="clear" w:color="auto" w:fill="auto"/>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二级指标</w:t>
            </w:r>
          </w:p>
        </w:tc>
        <w:tc>
          <w:tcPr>
            <w:tcW w:w="1984" w:type="dxa"/>
            <w:shd w:val="clear" w:color="auto" w:fill="auto"/>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三级指标</w:t>
            </w:r>
          </w:p>
        </w:tc>
        <w:tc>
          <w:tcPr>
            <w:tcW w:w="2414" w:type="dxa"/>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四级指标</w:t>
            </w:r>
          </w:p>
        </w:tc>
        <w:tc>
          <w:tcPr>
            <w:tcW w:w="1008" w:type="dxa"/>
            <w:shd w:val="clear" w:color="auto" w:fill="auto"/>
            <w:vAlign w:val="center"/>
          </w:tcPr>
          <w:p>
            <w:pPr>
              <w:pStyle w:val="136"/>
              <w:widowControl w:val="0"/>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指标值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cs="Times New Roman" w:asciiTheme="minorEastAsia" w:hAnsiTheme="minorEastAsia" w:eastAsiaTheme="minorEastAsia"/>
                <w:szCs w:val="21"/>
              </w:rPr>
              <w:t>1</w:t>
            </w:r>
          </w:p>
        </w:tc>
        <w:tc>
          <w:tcPr>
            <w:tcW w:w="1130" w:type="dxa"/>
            <w:vMerge w:val="restart"/>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通用指标</w:t>
            </w:r>
          </w:p>
        </w:tc>
        <w:tc>
          <w:tcPr>
            <w:tcW w:w="1134" w:type="dxa"/>
            <w:gridSpan w:val="2"/>
            <w:vMerge w:val="restart"/>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产出指标</w:t>
            </w:r>
          </w:p>
        </w:tc>
        <w:tc>
          <w:tcPr>
            <w:tcW w:w="1984" w:type="dxa"/>
            <w:vMerge w:val="restart"/>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产出质量</w:t>
            </w:r>
          </w:p>
        </w:tc>
        <w:tc>
          <w:tcPr>
            <w:tcW w:w="2414" w:type="dxa"/>
          </w:tcPr>
          <w:p>
            <w:pPr>
              <w:pStyle w:val="136"/>
              <w:jc w:val="center"/>
              <w:rPr>
                <w:rFonts w:hint="eastAsia" w:asciiTheme="minorEastAsia" w:hAnsiTheme="minorEastAsia" w:eastAsiaTheme="minorEastAsia"/>
                <w:szCs w:val="21"/>
              </w:rPr>
            </w:pPr>
            <w:r>
              <w:rPr>
                <w:rFonts w:hint="eastAsia" w:asciiTheme="minorEastAsia" w:hAnsiTheme="minorEastAsia" w:eastAsiaTheme="minorEastAsia"/>
                <w:szCs w:val="21"/>
              </w:rPr>
              <w:t>一次性验收合率</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w:t>
            </w:r>
          </w:p>
        </w:tc>
        <w:tc>
          <w:tcPr>
            <w:tcW w:w="1130"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134" w:type="dxa"/>
            <w:gridSpan w:val="2"/>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984"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2414" w:type="dxa"/>
          </w:tcPr>
          <w:p>
            <w:pPr>
              <w:pStyle w:val="136"/>
              <w:jc w:val="center"/>
              <w:rPr>
                <w:rFonts w:hint="eastAsia" w:asciiTheme="minorEastAsia" w:hAnsiTheme="minorEastAsia" w:eastAsiaTheme="minorEastAsia"/>
                <w:szCs w:val="21"/>
              </w:rPr>
            </w:pPr>
            <w:r>
              <w:rPr>
                <w:rFonts w:hint="eastAsia" w:asciiTheme="minorEastAsia" w:hAnsiTheme="minorEastAsia" w:eastAsiaTheme="minorEastAsia"/>
                <w:szCs w:val="21"/>
              </w:rPr>
              <w:t>数据安全事件发生次数</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0次</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w:t>
            </w:r>
          </w:p>
        </w:tc>
        <w:tc>
          <w:tcPr>
            <w:tcW w:w="1130"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134" w:type="dxa"/>
            <w:gridSpan w:val="2"/>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984"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产出时效</w:t>
            </w:r>
          </w:p>
        </w:tc>
        <w:tc>
          <w:tcPr>
            <w:tcW w:w="2414" w:type="dxa"/>
          </w:tcPr>
          <w:p>
            <w:pPr>
              <w:pStyle w:val="136"/>
              <w:jc w:val="center"/>
              <w:rPr>
                <w:rFonts w:hint="eastAsia" w:asciiTheme="minorEastAsia" w:hAnsiTheme="minorEastAsia" w:eastAsiaTheme="minorEastAsia"/>
                <w:szCs w:val="21"/>
              </w:rPr>
            </w:pPr>
            <w:r>
              <w:rPr>
                <w:rFonts w:hint="eastAsia" w:asciiTheme="minorEastAsia" w:hAnsiTheme="minorEastAsia" w:eastAsiaTheme="minorEastAsia"/>
                <w:szCs w:val="21"/>
              </w:rPr>
              <w:t>项目建设周期</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12个月</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w:t>
            </w:r>
          </w:p>
        </w:tc>
        <w:tc>
          <w:tcPr>
            <w:tcW w:w="1130"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134" w:type="dxa"/>
            <w:gridSpan w:val="2"/>
            <w:vMerge w:val="restart"/>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应用系统</w:t>
            </w:r>
          </w:p>
        </w:tc>
        <w:tc>
          <w:tcPr>
            <w:tcW w:w="1984" w:type="dxa"/>
            <w:shd w:val="clear" w:color="auto" w:fill="auto"/>
            <w:vAlign w:val="center"/>
          </w:tcPr>
          <w:p>
            <w:pPr>
              <w:pStyle w:val="136"/>
              <w:jc w:val="center"/>
              <w:rPr>
                <w:rFonts w:hint="eastAsia" w:asciiTheme="minorEastAsia" w:hAnsiTheme="minorEastAsia" w:eastAsiaTheme="minorEastAsia"/>
                <w:szCs w:val="21"/>
              </w:rPr>
            </w:pPr>
            <w:r>
              <w:rPr>
                <w:rFonts w:hint="eastAsia" w:asciiTheme="minorEastAsia" w:hAnsiTheme="minorEastAsia" w:eastAsiaTheme="minorEastAsia"/>
                <w:szCs w:val="21"/>
              </w:rPr>
              <w:t>系统能力利用水平</w:t>
            </w:r>
          </w:p>
        </w:tc>
        <w:tc>
          <w:tcPr>
            <w:tcW w:w="2414" w:type="dxa"/>
          </w:tcPr>
          <w:p>
            <w:pPr>
              <w:pStyle w:val="136"/>
              <w:jc w:val="center"/>
              <w:rPr>
                <w:rFonts w:hint="eastAsia" w:asciiTheme="minorEastAsia" w:hAnsiTheme="minorEastAsia" w:eastAsiaTheme="minorEastAsia"/>
                <w:szCs w:val="21"/>
              </w:rPr>
            </w:pPr>
            <w:r>
              <w:rPr>
                <w:rFonts w:hint="eastAsia" w:asciiTheme="minorEastAsia" w:hAnsiTheme="minorEastAsia" w:eastAsiaTheme="minorEastAsia"/>
                <w:szCs w:val="21"/>
              </w:rPr>
              <w:t>线上办件占比</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&gt; 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w:t>
            </w:r>
          </w:p>
        </w:tc>
        <w:tc>
          <w:tcPr>
            <w:tcW w:w="1130"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134" w:type="dxa"/>
            <w:gridSpan w:val="2"/>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984"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用户使用情况</w:t>
            </w:r>
          </w:p>
        </w:tc>
        <w:tc>
          <w:tcPr>
            <w:tcW w:w="2414" w:type="dxa"/>
          </w:tcPr>
          <w:p>
            <w:pPr>
              <w:pStyle w:val="136"/>
              <w:jc w:val="center"/>
              <w:rPr>
                <w:rFonts w:hint="eastAsia" w:asciiTheme="minorEastAsia" w:hAnsiTheme="minorEastAsia" w:eastAsiaTheme="minorEastAsia"/>
                <w:szCs w:val="21"/>
              </w:rPr>
            </w:pPr>
            <w:r>
              <w:rPr>
                <w:rFonts w:hint="eastAsia" w:asciiTheme="minorEastAsia" w:hAnsiTheme="minorEastAsia" w:eastAsiaTheme="minorEastAsia"/>
                <w:szCs w:val="21"/>
              </w:rPr>
              <w:t>系统用户量</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50000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w:t>
            </w:r>
          </w:p>
        </w:tc>
        <w:tc>
          <w:tcPr>
            <w:tcW w:w="1130" w:type="dxa"/>
            <w:vMerge w:val="restart"/>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行业指标</w:t>
            </w:r>
          </w:p>
        </w:tc>
        <w:tc>
          <w:tcPr>
            <w:tcW w:w="1134" w:type="dxa"/>
            <w:gridSpan w:val="2"/>
            <w:vMerge w:val="restart"/>
            <w:shd w:val="clear" w:color="auto" w:fill="auto"/>
            <w:vAlign w:val="center"/>
          </w:tcPr>
          <w:p>
            <w:pPr>
              <w:pStyle w:val="136"/>
              <w:widowControl w:val="0"/>
              <w:jc w:val="both"/>
              <w:rPr>
                <w:rFonts w:hint="eastAsia" w:asciiTheme="minorEastAsia" w:hAnsiTheme="minorEastAsia" w:eastAsiaTheme="minorEastAsia"/>
                <w:szCs w:val="21"/>
              </w:rPr>
            </w:pPr>
            <w:r>
              <w:rPr>
                <w:rFonts w:hint="eastAsia" w:asciiTheme="minorEastAsia" w:hAnsiTheme="minorEastAsia" w:eastAsiaTheme="minorEastAsia"/>
                <w:szCs w:val="21"/>
              </w:rPr>
              <w:t>药品监管</w:t>
            </w:r>
          </w:p>
        </w:tc>
        <w:tc>
          <w:tcPr>
            <w:tcW w:w="1984"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效益指标</w:t>
            </w:r>
          </w:p>
        </w:tc>
        <w:tc>
          <w:tcPr>
            <w:tcW w:w="2414" w:type="dxa"/>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高频事项预填率</w:t>
            </w:r>
          </w:p>
        </w:tc>
        <w:tc>
          <w:tcPr>
            <w:tcW w:w="1008"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&gt;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7</w:t>
            </w:r>
          </w:p>
        </w:tc>
        <w:tc>
          <w:tcPr>
            <w:tcW w:w="1130"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134" w:type="dxa"/>
            <w:gridSpan w:val="2"/>
            <w:vMerge w:val="continue"/>
            <w:shd w:val="clear" w:color="auto" w:fill="auto"/>
            <w:vAlign w:val="center"/>
          </w:tcPr>
          <w:p>
            <w:pPr>
              <w:pStyle w:val="136"/>
              <w:widowControl w:val="0"/>
              <w:jc w:val="both"/>
              <w:rPr>
                <w:rFonts w:hint="eastAsia" w:asciiTheme="minorEastAsia" w:hAnsiTheme="minorEastAsia" w:eastAsiaTheme="minorEastAsia"/>
                <w:szCs w:val="21"/>
              </w:rPr>
            </w:pPr>
          </w:p>
        </w:tc>
        <w:tc>
          <w:tcPr>
            <w:tcW w:w="1984"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效益指标</w:t>
            </w:r>
          </w:p>
        </w:tc>
        <w:tc>
          <w:tcPr>
            <w:tcW w:w="2414" w:type="dxa"/>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企业云办理查询办理量</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 xml:space="preserve">&gt; 500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8</w:t>
            </w:r>
          </w:p>
        </w:tc>
        <w:tc>
          <w:tcPr>
            <w:tcW w:w="1130"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134" w:type="dxa"/>
            <w:gridSpan w:val="2"/>
            <w:vMerge w:val="continue"/>
            <w:shd w:val="clear" w:color="auto" w:fill="auto"/>
            <w:vAlign w:val="center"/>
          </w:tcPr>
          <w:p>
            <w:pPr>
              <w:pStyle w:val="136"/>
              <w:widowControl w:val="0"/>
              <w:jc w:val="both"/>
              <w:rPr>
                <w:rFonts w:hint="eastAsia" w:asciiTheme="minorEastAsia" w:hAnsiTheme="minorEastAsia" w:eastAsiaTheme="minorEastAsia"/>
                <w:szCs w:val="21"/>
              </w:rPr>
            </w:pPr>
          </w:p>
        </w:tc>
        <w:tc>
          <w:tcPr>
            <w:tcW w:w="1984"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效益指标</w:t>
            </w:r>
          </w:p>
        </w:tc>
        <w:tc>
          <w:tcPr>
            <w:tcW w:w="2414" w:type="dxa"/>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预审进口化妆品备案申请件数</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&gt;10000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7" w:type="dxa"/>
          <w:trHeight w:val="288" w:hRule="atLeast"/>
          <w:jc w:val="center"/>
        </w:trPr>
        <w:tc>
          <w:tcPr>
            <w:tcW w:w="706" w:type="dxa"/>
            <w:shd w:val="clear" w:color="auto" w:fill="auto"/>
            <w:vAlign w:val="center"/>
          </w:tcPr>
          <w:p>
            <w:pPr>
              <w:pStyle w:val="136"/>
              <w:widowControl w:val="0"/>
              <w:jc w:val="center"/>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9</w:t>
            </w:r>
          </w:p>
        </w:tc>
        <w:tc>
          <w:tcPr>
            <w:tcW w:w="1130" w:type="dxa"/>
            <w:vMerge w:val="continue"/>
            <w:shd w:val="clear" w:color="auto" w:fill="auto"/>
            <w:vAlign w:val="center"/>
          </w:tcPr>
          <w:p>
            <w:pPr>
              <w:pStyle w:val="136"/>
              <w:widowControl w:val="0"/>
              <w:jc w:val="center"/>
              <w:rPr>
                <w:rFonts w:hint="eastAsia" w:asciiTheme="minorEastAsia" w:hAnsiTheme="minorEastAsia" w:eastAsiaTheme="minorEastAsia"/>
                <w:szCs w:val="21"/>
              </w:rPr>
            </w:pPr>
          </w:p>
        </w:tc>
        <w:tc>
          <w:tcPr>
            <w:tcW w:w="1134" w:type="dxa"/>
            <w:gridSpan w:val="2"/>
            <w:vMerge w:val="continue"/>
            <w:shd w:val="clear" w:color="auto" w:fill="auto"/>
            <w:vAlign w:val="center"/>
          </w:tcPr>
          <w:p>
            <w:pPr>
              <w:pStyle w:val="136"/>
              <w:widowControl w:val="0"/>
              <w:jc w:val="both"/>
              <w:rPr>
                <w:rFonts w:hint="eastAsia" w:asciiTheme="minorEastAsia" w:hAnsiTheme="minorEastAsia" w:eastAsiaTheme="minorEastAsia"/>
                <w:szCs w:val="21"/>
              </w:rPr>
            </w:pPr>
          </w:p>
        </w:tc>
        <w:tc>
          <w:tcPr>
            <w:tcW w:w="1984"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效益指标</w:t>
            </w:r>
          </w:p>
        </w:tc>
        <w:tc>
          <w:tcPr>
            <w:tcW w:w="2414" w:type="dxa"/>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进行智能辅助审评的医疗器械产品注册申请件</w:t>
            </w:r>
          </w:p>
        </w:tc>
        <w:tc>
          <w:tcPr>
            <w:tcW w:w="1008" w:type="dxa"/>
            <w:shd w:val="clear" w:color="auto" w:fill="auto"/>
            <w:vAlign w:val="center"/>
          </w:tcPr>
          <w:p>
            <w:pPr>
              <w:pStyle w:val="136"/>
              <w:widowControl w:val="0"/>
              <w:jc w:val="center"/>
              <w:rPr>
                <w:rFonts w:hint="eastAsia" w:asciiTheme="minorEastAsia" w:hAnsiTheme="minorEastAsia" w:eastAsiaTheme="minorEastAsia"/>
                <w:szCs w:val="21"/>
              </w:rPr>
            </w:pPr>
            <w:r>
              <w:rPr>
                <w:rFonts w:hint="eastAsia" w:asciiTheme="minorEastAsia" w:hAnsiTheme="minorEastAsia" w:eastAsiaTheme="minorEastAsia"/>
                <w:szCs w:val="21"/>
              </w:rPr>
              <w:t>&gt;500</w:t>
            </w:r>
          </w:p>
        </w:tc>
      </w:tr>
    </w:tbl>
    <w:p>
      <w:pPr>
        <w:ind w:firstLine="482"/>
        <w:rPr>
          <w:rFonts w:hint="eastAsia"/>
          <w:b/>
        </w:rPr>
      </w:pPr>
    </w:p>
    <w:p>
      <w:pPr>
        <w:pStyle w:val="3"/>
        <w:rPr>
          <w:rFonts w:hint="eastAsia"/>
        </w:rPr>
      </w:pPr>
      <w:r>
        <w:rPr>
          <w:rFonts w:hint="eastAsia"/>
        </w:rPr>
        <w:t>技术绩效目标</w:t>
      </w:r>
    </w:p>
    <w:tbl>
      <w:tblPr>
        <w:tblStyle w:val="3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
        <w:gridCol w:w="834"/>
        <w:gridCol w:w="709"/>
        <w:gridCol w:w="709"/>
        <w:gridCol w:w="1276"/>
        <w:gridCol w:w="99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37"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b/>
                <w:bCs/>
                <w:kern w:val="0"/>
                <w:sz w:val="21"/>
                <w:szCs w:val="21"/>
              </w:rPr>
              <w:t>序号</w:t>
            </w:r>
          </w:p>
        </w:tc>
        <w:tc>
          <w:tcPr>
            <w:tcW w:w="834"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b/>
                <w:bCs/>
                <w:kern w:val="0"/>
                <w:sz w:val="21"/>
                <w:szCs w:val="21"/>
              </w:rPr>
              <w:t>一级指标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b/>
                <w:bCs/>
                <w:kern w:val="0"/>
                <w:sz w:val="21"/>
                <w:szCs w:val="21"/>
              </w:rPr>
              <w:t>二级指标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b/>
                <w:bCs/>
                <w:kern w:val="0"/>
                <w:sz w:val="21"/>
                <w:szCs w:val="21"/>
              </w:rPr>
              <w:t>三级指标</w:t>
            </w:r>
          </w:p>
        </w:tc>
        <w:tc>
          <w:tcPr>
            <w:tcW w:w="1276"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b/>
                <w:bCs/>
                <w:kern w:val="0"/>
                <w:sz w:val="21"/>
                <w:szCs w:val="21"/>
              </w:rPr>
              <w:t>四级指标</w:t>
            </w:r>
          </w:p>
        </w:tc>
        <w:tc>
          <w:tcPr>
            <w:tcW w:w="992"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b/>
                <w:bCs/>
                <w:kern w:val="0"/>
                <w:sz w:val="21"/>
                <w:szCs w:val="21"/>
              </w:rPr>
              <w:t>指标值</w:t>
            </w:r>
          </w:p>
        </w:tc>
        <w:tc>
          <w:tcPr>
            <w:tcW w:w="3402"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b/>
                <w:bCs/>
                <w:kern w:val="0"/>
                <w:sz w:val="21"/>
                <w:szCs w:val="21"/>
              </w:rPr>
              <w:t>指标解释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437"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1</w:t>
            </w:r>
          </w:p>
        </w:tc>
        <w:tc>
          <w:tcPr>
            <w:tcW w:w="834" w:type="dxa"/>
            <w:vMerge w:val="restart"/>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通用指标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产出数量</w:t>
            </w:r>
          </w:p>
        </w:tc>
        <w:tc>
          <w:tcPr>
            <w:tcW w:w="1276"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软件开发完成率</w:t>
            </w:r>
          </w:p>
        </w:tc>
        <w:tc>
          <w:tcPr>
            <w:tcW w:w="992"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100%</w:t>
            </w:r>
          </w:p>
        </w:tc>
        <w:tc>
          <w:tcPr>
            <w:tcW w:w="3402"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反映按照项目方案设计，完成软件开发情况。指标值=完成开发的功能模块数量/计划开发的功能模块数量*100%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437"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3</w:t>
            </w:r>
          </w:p>
        </w:tc>
        <w:tc>
          <w:tcPr>
            <w:tcW w:w="834" w:type="dxa"/>
            <w:vMerge w:val="continue"/>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产出质量</w:t>
            </w:r>
          </w:p>
        </w:tc>
        <w:tc>
          <w:tcPr>
            <w:tcW w:w="1276"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系统可靠性</w:t>
            </w:r>
          </w:p>
        </w:tc>
        <w:tc>
          <w:tcPr>
            <w:tcW w:w="992"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100%</w:t>
            </w:r>
          </w:p>
        </w:tc>
        <w:tc>
          <w:tcPr>
            <w:tcW w:w="3402"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考察设备系统不间断运行情况。指标值=测试期设备系统连续运行时间/测试期时间*100%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37"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4</w:t>
            </w:r>
          </w:p>
        </w:tc>
        <w:tc>
          <w:tcPr>
            <w:tcW w:w="834" w:type="dxa"/>
            <w:vMerge w:val="continue"/>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产出质量</w:t>
            </w:r>
          </w:p>
        </w:tc>
        <w:tc>
          <w:tcPr>
            <w:tcW w:w="1276"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软件测试达标</w:t>
            </w:r>
          </w:p>
        </w:tc>
        <w:tc>
          <w:tcPr>
            <w:tcW w:w="992"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达标</w:t>
            </w:r>
          </w:p>
        </w:tc>
        <w:tc>
          <w:tcPr>
            <w:tcW w:w="3402"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反映软件测试达标情况。指标值=测试结果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37"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5</w:t>
            </w:r>
          </w:p>
        </w:tc>
        <w:tc>
          <w:tcPr>
            <w:tcW w:w="834" w:type="dxa"/>
            <w:vMerge w:val="continue"/>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产出质量</w:t>
            </w:r>
          </w:p>
        </w:tc>
        <w:tc>
          <w:tcPr>
            <w:tcW w:w="1276"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密码测试达标</w:t>
            </w:r>
          </w:p>
        </w:tc>
        <w:tc>
          <w:tcPr>
            <w:tcW w:w="992"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达标</w:t>
            </w:r>
          </w:p>
        </w:tc>
        <w:tc>
          <w:tcPr>
            <w:tcW w:w="3402"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反映密码测试达标情况。指标值=测试结果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37"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6</w:t>
            </w:r>
          </w:p>
        </w:tc>
        <w:tc>
          <w:tcPr>
            <w:tcW w:w="834" w:type="dxa"/>
            <w:vMerge w:val="continue"/>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产出指标</w:t>
            </w:r>
          </w:p>
        </w:tc>
        <w:tc>
          <w:tcPr>
            <w:tcW w:w="709"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产出质量</w:t>
            </w:r>
          </w:p>
        </w:tc>
        <w:tc>
          <w:tcPr>
            <w:tcW w:w="1276"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安全测试达标</w:t>
            </w:r>
          </w:p>
        </w:tc>
        <w:tc>
          <w:tcPr>
            <w:tcW w:w="992" w:type="dxa"/>
            <w:shd w:val="clear" w:color="auto" w:fill="auto"/>
            <w:vAlign w:val="center"/>
          </w:tcPr>
          <w:p>
            <w:pPr>
              <w:widowControl/>
              <w:spacing w:line="240" w:lineRule="auto"/>
              <w:ind w:firstLine="0" w:firstLineChars="0"/>
              <w:jc w:val="center"/>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color w:val="000000"/>
                <w:kern w:val="0"/>
                <w:sz w:val="21"/>
                <w:szCs w:val="21"/>
              </w:rPr>
              <w:t>达标</w:t>
            </w:r>
          </w:p>
        </w:tc>
        <w:tc>
          <w:tcPr>
            <w:tcW w:w="3402" w:type="dxa"/>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kern w:val="0"/>
                <w:sz w:val="21"/>
                <w:szCs w:val="21"/>
              </w:rPr>
            </w:pPr>
            <w:r>
              <w:rPr>
                <w:rFonts w:hint="eastAsia" w:cs="Arial" w:asciiTheme="minorEastAsia" w:hAnsiTheme="minorEastAsia" w:eastAsiaTheme="minorEastAsia"/>
                <w:kern w:val="0"/>
                <w:sz w:val="21"/>
                <w:szCs w:val="21"/>
              </w:rPr>
              <w:t>反映安全测试达标情况。指标值=测试结果</w:t>
            </w:r>
          </w:p>
        </w:tc>
      </w:tr>
    </w:tbl>
    <w:p>
      <w:pPr>
        <w:ind w:firstLine="482"/>
        <w:rPr>
          <w:rFonts w:hint="eastAsia"/>
          <w:b/>
        </w:rPr>
      </w:pPr>
    </w:p>
    <w:p>
      <w:pPr>
        <w:pStyle w:val="2"/>
        <w:rPr>
          <w:rFonts w:hint="eastAsia"/>
        </w:rPr>
      </w:pPr>
      <w:bookmarkStart w:id="11" w:name="_Toc47533288"/>
      <w:bookmarkEnd w:id="11"/>
      <w:bookmarkStart w:id="12" w:name="_Toc47532923"/>
      <w:bookmarkEnd w:id="12"/>
      <w:bookmarkStart w:id="13" w:name="_Toc47536676"/>
      <w:bookmarkEnd w:id="13"/>
      <w:bookmarkStart w:id="14" w:name="_Toc47539102"/>
      <w:bookmarkEnd w:id="14"/>
      <w:bookmarkStart w:id="15" w:name="_Toc47536304"/>
      <w:bookmarkEnd w:id="15"/>
      <w:bookmarkStart w:id="16" w:name="_Toc47537166"/>
      <w:bookmarkEnd w:id="16"/>
      <w:r>
        <w:rPr>
          <w:rFonts w:hint="eastAsia"/>
        </w:rPr>
        <w:t>项目建设内容</w:t>
      </w:r>
    </w:p>
    <w:p>
      <w:pPr>
        <w:pStyle w:val="3"/>
        <w:rPr>
          <w:rFonts w:hint="eastAsia"/>
        </w:rPr>
      </w:pPr>
      <w:r>
        <w:rPr>
          <w:rFonts w:hint="eastAsia"/>
        </w:rPr>
        <w:t>项目建设内容</w:t>
      </w:r>
    </w:p>
    <w:p>
      <w:pPr>
        <w:pStyle w:val="4"/>
        <w:rPr>
          <w:rFonts w:hint="eastAsia"/>
        </w:rPr>
      </w:pPr>
      <w:r>
        <w:rPr>
          <w:rFonts w:hint="eastAsia"/>
        </w:rPr>
        <w:t>升级市药监局行政审批综合业务子系统</w:t>
      </w:r>
    </w:p>
    <w:p>
      <w:pPr>
        <w:pStyle w:val="5"/>
        <w:rPr>
          <w:rFonts w:hint="eastAsia"/>
        </w:rPr>
      </w:pPr>
      <w:r>
        <w:rPr>
          <w:rFonts w:hint="eastAsia"/>
        </w:rPr>
        <w:t>药品监管事项接入“随申办”企业云</w:t>
      </w:r>
    </w:p>
    <w:p>
      <w:pPr>
        <w:pStyle w:val="137"/>
        <w:ind w:firstLine="480"/>
        <w:rPr>
          <w:rFonts w:hint="eastAsia" w:cs="宋体" w:asciiTheme="minorEastAsia" w:hAnsiTheme="minorEastAsia" w:eastAsiaTheme="minorEastAsia"/>
          <w:sz w:val="24"/>
          <w:szCs w:val="22"/>
        </w:rPr>
      </w:pPr>
      <w:r>
        <w:rPr>
          <w:rFonts w:hint="eastAsia" w:cs="宋体" w:asciiTheme="minorEastAsia" w:hAnsiTheme="minorEastAsia" w:eastAsiaTheme="minorEastAsia"/>
          <w:sz w:val="24"/>
          <w:szCs w:val="22"/>
        </w:rPr>
        <w:t>根据《本市优化为企服务强化办事集成建设“随申办”企业云移动端工作方案》中推动“随申办”企业云用户注册数、访问量和活跃度进一步提高，实现各部门、各单位具备在移动端提供政务服务条件的市场主体服务事项“应接尽接、应上尽上”等要求，在2024年建设的基础上，进一步扩大上海市药品监督管理局政务服务事项、公共服务事项的企业云接入范围。公众服务事项全部接入“随申办”企业云，政务服务事项70%的事项都有办理情形接入“随申办”企业云。</w:t>
      </w:r>
    </w:p>
    <w:p>
      <w:pPr>
        <w:pStyle w:val="5"/>
        <w:rPr>
          <w:rFonts w:hint="eastAsia"/>
        </w:rPr>
      </w:pPr>
      <w:r>
        <w:rPr>
          <w:rFonts w:hint="eastAsia"/>
        </w:rPr>
        <w:t>升级行政许可网上申报子系统</w:t>
      </w:r>
    </w:p>
    <w:p>
      <w:pPr>
        <w:pStyle w:val="62"/>
        <w:numPr>
          <w:ilvl w:val="0"/>
          <w:numId w:val="3"/>
        </w:numPr>
        <w:ind w:firstLineChars="0"/>
        <w:rPr>
          <w:rFonts w:hint="eastAsia" w:asciiTheme="minorEastAsia" w:hAnsiTheme="minorEastAsia" w:eastAsiaTheme="minorEastAsia"/>
          <w:b/>
          <w:bCs/>
          <w:sz w:val="24"/>
        </w:rPr>
      </w:pPr>
      <w:r>
        <w:rPr>
          <w:rFonts w:hint="eastAsia" w:asciiTheme="minorEastAsia" w:hAnsiTheme="minorEastAsia" w:eastAsiaTheme="minorEastAsia"/>
          <w:b/>
          <w:bCs/>
          <w:sz w:val="24"/>
        </w:rPr>
        <w:t>强化“智慧好办”能力，拓展“智慧好办”服务范围</w:t>
      </w:r>
    </w:p>
    <w:p>
      <w:pPr>
        <w:pStyle w:val="137"/>
        <w:ind w:firstLine="480"/>
        <w:rPr>
          <w:rFonts w:hint="eastAsia" w:cs="宋体" w:asciiTheme="minorEastAsia" w:hAnsiTheme="minorEastAsia" w:eastAsiaTheme="minorEastAsia"/>
          <w:sz w:val="24"/>
          <w:szCs w:val="22"/>
        </w:rPr>
      </w:pPr>
      <w:r>
        <w:rPr>
          <w:rFonts w:hint="eastAsia" w:cs="宋体" w:asciiTheme="minorEastAsia" w:hAnsiTheme="minorEastAsia" w:eastAsiaTheme="minorEastAsia"/>
          <w:sz w:val="24"/>
          <w:szCs w:val="22"/>
        </w:rPr>
        <w:t>根据《上海市优化政务服务提升行政效能深化“一网通办”改革行动方案（2024-2026年）》中“主要目标”的工作要求。进一步深化“智慧好办”的服务能力，推行人工智能双向赋能政务服务。提供智能预填、智能预审、自动审批等智能服务，实现高频事项“799”服务效能。既申报预填比例达到70%、首办成功率达到90%、人工帮办解决率达到90%、实际办件网办率总体达到85%.</w:t>
      </w:r>
    </w:p>
    <w:p>
      <w:pPr>
        <w:pStyle w:val="137"/>
        <w:ind w:firstLine="480"/>
        <w:rPr>
          <w:rFonts w:hint="eastAsia" w:cs="宋体" w:asciiTheme="minorEastAsia" w:hAnsiTheme="minorEastAsia" w:eastAsiaTheme="minorEastAsia"/>
          <w:sz w:val="24"/>
          <w:szCs w:val="22"/>
        </w:rPr>
      </w:pPr>
      <w:r>
        <w:rPr>
          <w:rFonts w:hint="eastAsia" w:cs="宋体" w:asciiTheme="minorEastAsia" w:hAnsiTheme="minorEastAsia" w:eastAsiaTheme="minorEastAsia"/>
          <w:sz w:val="24"/>
          <w:szCs w:val="22"/>
        </w:rPr>
        <w:t>拓展服务范围，优先完成2024年新增优化高频事项中“第一类医疗器械生产备案”的事项，同步深化23年“双100”事项中的高频事项。最后根据办件量统计，落实占年度办件量80%的高频事项实现“799”服务目标。</w:t>
      </w:r>
    </w:p>
    <w:p>
      <w:pPr>
        <w:pStyle w:val="62"/>
        <w:numPr>
          <w:ilvl w:val="0"/>
          <w:numId w:val="3"/>
        </w:numPr>
        <w:ind w:firstLineChars="0"/>
        <w:rPr>
          <w:rFonts w:hint="eastAsia" w:asciiTheme="minorEastAsia" w:hAnsiTheme="minorEastAsia" w:eastAsiaTheme="minorEastAsia"/>
          <w:b/>
          <w:bCs/>
          <w:sz w:val="24"/>
        </w:rPr>
      </w:pPr>
      <w:r>
        <w:rPr>
          <w:rFonts w:hint="eastAsia" w:asciiTheme="minorEastAsia" w:hAnsiTheme="minorEastAsia" w:eastAsiaTheme="minorEastAsia"/>
          <w:b/>
          <w:bCs/>
          <w:sz w:val="24"/>
        </w:rPr>
        <w:t>全面接入线上“办不成事”问题反映窗口</w:t>
      </w:r>
    </w:p>
    <w:p>
      <w:pPr>
        <w:pStyle w:val="137"/>
        <w:ind w:firstLine="480"/>
        <w:rPr>
          <w:rFonts w:hint="eastAsia" w:cs="宋体" w:asciiTheme="minorEastAsia" w:hAnsiTheme="minorEastAsia" w:eastAsiaTheme="minorEastAsia"/>
          <w:sz w:val="24"/>
          <w:szCs w:val="22"/>
        </w:rPr>
      </w:pPr>
      <w:r>
        <w:rPr>
          <w:rFonts w:hint="eastAsia" w:cs="宋体" w:asciiTheme="minorEastAsia" w:hAnsiTheme="minorEastAsia" w:eastAsiaTheme="minorEastAsia"/>
          <w:sz w:val="24"/>
          <w:szCs w:val="22"/>
        </w:rPr>
        <w:t>根据《关于推进线上线下“办不成事”问题反映窗口建设的工作通知》中“关于线上‘办不成事’问题反映窗口建设”要求，优先实现药监局高频政务服务事项开设线上“办不成事”问题反映窗口；再拓展到占年办件量80%的事项接入线上“办不成事”问题反馈窗口。</w:t>
      </w:r>
    </w:p>
    <w:p>
      <w:pPr>
        <w:pStyle w:val="137"/>
        <w:ind w:firstLine="480"/>
        <w:rPr>
          <w:rFonts w:hint="eastAsia" w:cs="宋体" w:asciiTheme="minorEastAsia" w:hAnsiTheme="minorEastAsia" w:eastAsiaTheme="minorEastAsia"/>
          <w:sz w:val="24"/>
          <w:szCs w:val="22"/>
        </w:rPr>
      </w:pPr>
      <w:r>
        <w:rPr>
          <w:rFonts w:hint="eastAsia" w:cs="宋体" w:asciiTheme="minorEastAsia" w:hAnsiTheme="minorEastAsia" w:eastAsiaTheme="minorEastAsia"/>
          <w:sz w:val="24"/>
          <w:szCs w:val="22"/>
        </w:rPr>
        <w:t>2025年，持续拓展“智慧好办”服务范围，推进占年度总办件量80%的高频事项“首办成功率”总体达到90%。</w:t>
      </w:r>
    </w:p>
    <w:p>
      <w:pPr>
        <w:pStyle w:val="62"/>
        <w:numPr>
          <w:ilvl w:val="0"/>
          <w:numId w:val="3"/>
        </w:numPr>
        <w:ind w:firstLineChars="0"/>
        <w:rPr>
          <w:rFonts w:hint="eastAsia" w:asciiTheme="minorEastAsia" w:hAnsiTheme="minorEastAsia" w:eastAsiaTheme="minorEastAsia"/>
          <w:b/>
          <w:bCs/>
          <w:sz w:val="24"/>
        </w:rPr>
      </w:pPr>
      <w:r>
        <w:rPr>
          <w:rFonts w:hint="eastAsia" w:asciiTheme="minorEastAsia" w:hAnsiTheme="minorEastAsia" w:eastAsiaTheme="minorEastAsia"/>
          <w:b/>
          <w:bCs/>
          <w:sz w:val="24"/>
        </w:rPr>
        <w:t>建设和升级药品监管政务服务和公众服务事项</w:t>
      </w:r>
    </w:p>
    <w:p>
      <w:pPr>
        <w:pStyle w:val="137"/>
        <w:ind w:firstLine="480"/>
        <w:rPr>
          <w:rFonts w:hint="eastAsia" w:cs="宋体" w:asciiTheme="minorEastAsia" w:hAnsiTheme="minorEastAsia" w:eastAsiaTheme="minorEastAsia"/>
          <w:sz w:val="24"/>
          <w:szCs w:val="22"/>
        </w:rPr>
      </w:pPr>
      <w:r>
        <w:rPr>
          <w:rFonts w:hint="eastAsia" w:cs="宋体" w:asciiTheme="minorEastAsia" w:hAnsiTheme="minorEastAsia" w:eastAsiaTheme="minorEastAsia"/>
          <w:sz w:val="24"/>
          <w:szCs w:val="22"/>
        </w:rPr>
        <w:t>根据《药品经营和使用质量监督管理办法》《药品网络销售监督管理办法》《关于进一步加强医疗器械注册人委托生产监督管理》等要求，进行建设和升级政务服务事项包括：</w:t>
      </w:r>
    </w:p>
    <w:p>
      <w:pPr>
        <w:pStyle w:val="137"/>
        <w:numPr>
          <w:ilvl w:val="0"/>
          <w:numId w:val="4"/>
        </w:numPr>
        <w:ind w:firstLineChars="0"/>
        <w:rPr>
          <w:rFonts w:hint="eastAsia" w:ascii="宋体" w:hAnsi="宋体" w:eastAsia="宋体" w:cs="宋体"/>
          <w:sz w:val="24"/>
          <w:szCs w:val="22"/>
        </w:rPr>
      </w:pPr>
      <w:r>
        <w:rPr>
          <w:rFonts w:hint="eastAsia" w:ascii="宋体" w:hAnsi="宋体" w:eastAsia="宋体" w:cs="宋体"/>
          <w:sz w:val="24"/>
          <w:szCs w:val="22"/>
        </w:rPr>
        <w:t>建设特殊情形购药报告</w:t>
      </w:r>
    </w:p>
    <w:p>
      <w:pPr>
        <w:pStyle w:val="137"/>
        <w:numPr>
          <w:ilvl w:val="0"/>
          <w:numId w:val="4"/>
        </w:numPr>
        <w:ind w:firstLineChars="0"/>
        <w:rPr>
          <w:rFonts w:hint="eastAsia" w:ascii="宋体" w:hAnsi="宋体" w:eastAsia="宋体" w:cs="宋体"/>
          <w:sz w:val="24"/>
          <w:szCs w:val="22"/>
        </w:rPr>
      </w:pPr>
      <w:r>
        <w:rPr>
          <w:rFonts w:hint="eastAsia" w:ascii="宋体" w:hAnsi="宋体" w:eastAsia="宋体" w:cs="宋体"/>
          <w:sz w:val="24"/>
          <w:szCs w:val="22"/>
        </w:rPr>
        <w:t>建设药品网络销售企业报告</w:t>
      </w:r>
    </w:p>
    <w:p>
      <w:pPr>
        <w:pStyle w:val="137"/>
        <w:numPr>
          <w:ilvl w:val="0"/>
          <w:numId w:val="4"/>
        </w:numPr>
        <w:ind w:firstLineChars="0"/>
        <w:rPr>
          <w:rFonts w:hint="eastAsia" w:ascii="宋体" w:hAnsi="宋体" w:eastAsia="宋体" w:cs="宋体"/>
          <w:sz w:val="24"/>
          <w:szCs w:val="22"/>
        </w:rPr>
      </w:pPr>
      <w:r>
        <w:rPr>
          <w:rFonts w:hint="eastAsia" w:ascii="宋体" w:hAnsi="宋体" w:eastAsia="宋体" w:cs="宋体"/>
          <w:sz w:val="24"/>
          <w:szCs w:val="22"/>
        </w:rPr>
        <w:t>建设药品上市许可持有人委托存储报告</w:t>
      </w:r>
    </w:p>
    <w:p>
      <w:pPr>
        <w:pStyle w:val="137"/>
        <w:numPr>
          <w:ilvl w:val="0"/>
          <w:numId w:val="4"/>
        </w:numPr>
        <w:ind w:firstLineChars="0"/>
        <w:rPr>
          <w:rFonts w:hint="eastAsia" w:ascii="宋体" w:hAnsi="宋体" w:eastAsia="宋体" w:cs="宋体"/>
          <w:sz w:val="24"/>
          <w:szCs w:val="22"/>
        </w:rPr>
      </w:pPr>
      <w:r>
        <w:rPr>
          <w:rFonts w:hint="eastAsia" w:ascii="宋体" w:hAnsi="宋体" w:eastAsia="宋体" w:cs="宋体"/>
          <w:sz w:val="24"/>
          <w:szCs w:val="22"/>
        </w:rPr>
        <w:t>建设药品上市许可持有人委托销售报告</w:t>
      </w:r>
    </w:p>
    <w:p>
      <w:pPr>
        <w:pStyle w:val="137"/>
        <w:numPr>
          <w:ilvl w:val="0"/>
          <w:numId w:val="4"/>
        </w:numPr>
        <w:ind w:firstLineChars="0"/>
        <w:rPr>
          <w:rFonts w:hint="eastAsia" w:ascii="宋体" w:hAnsi="宋体" w:eastAsia="宋体"/>
          <w:sz w:val="24"/>
          <w:szCs w:val="24"/>
        </w:rPr>
      </w:pPr>
      <w:r>
        <w:rPr>
          <w:rFonts w:hint="eastAsia" w:ascii="宋体" w:hAnsi="宋体" w:eastAsia="宋体" w:cs="宋体"/>
          <w:sz w:val="24"/>
          <w:szCs w:val="22"/>
        </w:rPr>
        <w:t>升级医疗器械产品品种报告</w:t>
      </w:r>
    </w:p>
    <w:p>
      <w:pPr>
        <w:pStyle w:val="5"/>
        <w:rPr>
          <w:rFonts w:hint="eastAsia" w:cs="宋体"/>
          <w:szCs w:val="24"/>
        </w:rPr>
      </w:pPr>
      <w:r>
        <w:rPr>
          <w:rFonts w:hint="eastAsia" w:cs="宋体"/>
          <w:szCs w:val="24"/>
        </w:rPr>
        <w:t>行政事业性收费事项收费金额调整</w:t>
      </w:r>
    </w:p>
    <w:p>
      <w:pPr>
        <w:pStyle w:val="137"/>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根据《上海市发展和改革委员会上海市财政局关于阶段性降低部分行政事业性收费标准的通知》要求，建设行政事项收费金额配置功能，并改造缴费功能缴费标准，支持行业发展后续可能还会存在的相关收费标准调整。</w:t>
      </w:r>
    </w:p>
    <w:p>
      <w:pPr>
        <w:pStyle w:val="5"/>
        <w:rPr>
          <w:rFonts w:hint="eastAsia"/>
        </w:rPr>
      </w:pPr>
      <w:r>
        <w:rPr>
          <w:rFonts w:hint="eastAsia"/>
        </w:rPr>
        <w:t>区级事项“一网通办”归档数据返还</w:t>
      </w:r>
    </w:p>
    <w:p>
      <w:pPr>
        <w:pStyle w:val="137"/>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根据大数据中心和市档案局的要求，为支持各区市场局更好的落实“一网通办”电子归档。使用市药监局“一网通办”系统办理的区级事项，市局系统要提供事项办理数据返还的接口服务，各区可以通过结果获取本区事项市局，进行后续电子档案管理。</w:t>
      </w:r>
    </w:p>
    <w:p>
      <w:pPr>
        <w:pStyle w:val="4"/>
        <w:rPr>
          <w:rFonts w:hint="eastAsia"/>
        </w:rPr>
      </w:pPr>
      <w:r>
        <w:rPr>
          <w:rFonts w:hint="eastAsia"/>
        </w:rPr>
        <w:t>建设智能审评子系统</w:t>
      </w:r>
    </w:p>
    <w:p>
      <w:pPr>
        <w:pStyle w:val="137"/>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智能审评子系统是市场监管数字化试验区“药品安全监管在线”行政许可数智化的重要组成部分，系统与行政审批系统相互关联。</w:t>
      </w:r>
    </w:p>
    <w:p>
      <w:pPr>
        <w:pStyle w:val="137"/>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1、在企业申报前提供更多咨询服务，申报中提供智能的及时的自动预审，减少材料和内容错漏的低级错误，实现医疗器械产品注册申报质量的提高。</w:t>
      </w:r>
    </w:p>
    <w:p>
      <w:pPr>
        <w:pStyle w:val="137"/>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2、系统自动关联审评指导原则参考、自动采集数据编写报告架构、根据品种的审评要点自动辅助审评企业的申请资料，缩短医疗器械注册审评的时限。</w:t>
      </w:r>
    </w:p>
    <w:p>
      <w:pPr>
        <w:pStyle w:val="137"/>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3、在核查计划安排、免于现场检查判定、缺陷项判定等方面引入人工智能，辅助检查人员工作，提高体系核查效率。</w:t>
      </w:r>
    </w:p>
    <w:p>
      <w:pPr>
        <w:pStyle w:val="137"/>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4、重新构建化妆品备案申报信息“</w:t>
      </w:r>
      <w:r>
        <w:rPr>
          <w:rFonts w:cs="Times New Roman" w:asciiTheme="minorEastAsia" w:hAnsiTheme="minorEastAsia" w:eastAsiaTheme="minorEastAsia"/>
          <w:sz w:val="24"/>
          <w:szCs w:val="24"/>
        </w:rPr>
        <w:t>7个模块”的展现形式，便利审查人员查看申请</w:t>
      </w:r>
      <w:r>
        <w:rPr>
          <w:rFonts w:hint="eastAsia" w:cs="Times New Roman" w:asciiTheme="minorEastAsia" w:hAnsiTheme="minorEastAsia" w:eastAsiaTheme="minorEastAsia"/>
          <w:sz w:val="24"/>
          <w:szCs w:val="24"/>
        </w:rPr>
        <w:t>。</w:t>
      </w:r>
    </w:p>
    <w:p>
      <w:pPr>
        <w:pStyle w:val="137"/>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5、构建化妆品备案的“并联”审查，实现同时能够审查多个相关联产品，大幅缩短审查平均用时。</w:t>
      </w:r>
    </w:p>
    <w:p>
      <w:pPr>
        <w:pStyle w:val="137"/>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6、运用</w:t>
      </w:r>
      <w:r>
        <w:rPr>
          <w:rFonts w:cs="Times New Roman" w:asciiTheme="minorEastAsia" w:hAnsiTheme="minorEastAsia" w:eastAsiaTheme="minorEastAsia"/>
          <w:sz w:val="24"/>
          <w:szCs w:val="24"/>
        </w:rPr>
        <w:t>OCR、大语言模型等技术，对化妆品审评提供后台智能的预审查</w:t>
      </w:r>
      <w:r>
        <w:rPr>
          <w:rFonts w:hint="eastAsia" w:cs="Times New Roman" w:asciiTheme="minorEastAsia" w:hAnsiTheme="minorEastAsia" w:eastAsiaTheme="minorEastAsia"/>
          <w:sz w:val="24"/>
          <w:szCs w:val="24"/>
        </w:rPr>
        <w:t>。</w:t>
      </w:r>
    </w:p>
    <w:p>
      <w:pPr>
        <w:pStyle w:val="137"/>
        <w:ind w:firstLine="480"/>
        <w:rPr>
          <w:rFonts w:hint="eastAsia" w:asciiTheme="minorEastAsia" w:hAnsiTheme="minorEastAsia" w:eastAsiaTheme="minorEastAsia"/>
          <w:sz w:val="24"/>
          <w:szCs w:val="24"/>
        </w:rPr>
      </w:pPr>
      <w:r>
        <w:rPr>
          <w:rFonts w:hint="eastAsia" w:cs="Times New Roman" w:asciiTheme="minorEastAsia" w:hAnsiTheme="minorEastAsia" w:eastAsiaTheme="minorEastAsia"/>
          <w:sz w:val="24"/>
          <w:szCs w:val="24"/>
        </w:rPr>
        <w:t>7、</w:t>
      </w:r>
      <w:r>
        <w:rPr>
          <w:rFonts w:cs="Times New Roman" w:asciiTheme="minorEastAsia" w:hAnsiTheme="minorEastAsia" w:eastAsiaTheme="minorEastAsia"/>
          <w:sz w:val="24"/>
          <w:szCs w:val="24"/>
        </w:rPr>
        <w:t>基于历史器械审评问题、化妆品备案审查问题、企业咨询的问题，分析高频问题，用于确定下一步服务企业的方向，并在审评审查中提醒用户重点关注。</w:t>
      </w:r>
    </w:p>
    <w:p>
      <w:pPr>
        <w:pStyle w:val="3"/>
        <w:rPr>
          <w:rFonts w:hint="eastAsia"/>
        </w:rPr>
      </w:pPr>
      <w:r>
        <w:rPr>
          <w:rFonts w:hint="eastAsia"/>
        </w:rPr>
        <w:t>系统架构图</w:t>
      </w:r>
    </w:p>
    <w:p>
      <w:pPr>
        <w:widowControl/>
        <w:snapToGrid w:val="0"/>
        <w:spacing w:line="240" w:lineRule="auto"/>
        <w:ind w:firstLine="0" w:firstLineChars="0"/>
        <w:jc w:val="left"/>
        <w:rPr>
          <w:rFonts w:hint="eastAsia"/>
          <w:b/>
        </w:rPr>
      </w:pPr>
      <w:r>
        <w:rPr>
          <w:rFonts w:hint="eastAsia"/>
        </w:rPr>
        <w:drawing>
          <wp:inline distT="0" distB="0" distL="114300" distR="114300">
            <wp:extent cx="5269230" cy="3485515"/>
            <wp:effectExtent l="0" t="0" r="0" b="0"/>
            <wp:docPr id="31" name="ECB019B1-382A-4266-B25C-5B523AA43C14-14" descr="C:/Users/Administrator/AppData/Local/Temp/wps.EATUIM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ECB019B1-382A-4266-B25C-5B523AA43C14-14" descr="C:/Users/Administrator/AppData/Local/Temp/wps.EATUIMwps"/>
                    <pic:cNvPicPr>
                      <a:picLocks noChangeAspect="1"/>
                    </pic:cNvPicPr>
                  </pic:nvPicPr>
                  <pic:blipFill>
                    <a:blip r:embed="rId13"/>
                    <a:stretch>
                      <a:fillRect/>
                    </a:stretch>
                  </pic:blipFill>
                  <pic:spPr>
                    <a:xfrm>
                      <a:off x="0" y="0"/>
                      <a:ext cx="5269230" cy="3485515"/>
                    </a:xfrm>
                    <a:prstGeom prst="rect">
                      <a:avLst/>
                    </a:prstGeom>
                  </pic:spPr>
                </pic:pic>
              </a:graphicData>
            </a:graphic>
          </wp:inline>
        </w:drawing>
      </w:r>
    </w:p>
    <w:p>
      <w:pPr>
        <w:rPr>
          <w:rFonts w:hint="eastAsia"/>
        </w:rPr>
      </w:pPr>
      <w:r>
        <w:rPr>
          <w:rFonts w:hint="eastAsia"/>
        </w:rPr>
        <w:t>市药监局行政审批综合业务管理系统通过数据接口等方式，调用“一网通办”的各个服务，调用试验区项目“数字底座”的智能网关服务等。智能审评子系统应用“数字底座”的“慧治平台”能力，构建专业场景的智能服务能力赋能医疗器械审评和化妆品备案审查。</w:t>
      </w:r>
    </w:p>
    <w:p>
      <w:pPr>
        <w:pStyle w:val="3"/>
        <w:rPr>
          <w:rFonts w:hint="eastAsia"/>
        </w:rPr>
      </w:pPr>
      <w:r>
        <w:rPr>
          <w:rFonts w:hint="eastAsia"/>
        </w:rPr>
        <w:t>部署环境和网络拓扑</w:t>
      </w:r>
    </w:p>
    <w:p>
      <w:pPr>
        <w:rPr>
          <w:rFonts w:hint="eastAsia"/>
        </w:rPr>
      </w:pPr>
      <w:r>
        <w:rPr>
          <w:rFonts w:hint="eastAsia"/>
        </w:rPr>
        <w:t>本项目依托上海市电子政务云平台部署，主体部署在政务外网，并通过政务外网和互联网分别面向政府部门和企业公众提供访问。</w:t>
      </w:r>
    </w:p>
    <w:p>
      <w:pPr>
        <w:ind w:firstLine="0" w:firstLineChars="0"/>
        <w:rPr>
          <w:rFonts w:hint="eastAsia"/>
        </w:rPr>
      </w:pPr>
      <w:r>
        <w:object>
          <v:shape id="_x0000_i1025" o:spt="75" type="#_x0000_t75" style="height:198.75pt;width:418.5pt;" o:ole="t" filled="f" o:preferrelative="t" stroked="f" coordsize="21600,21600">
            <v:path/>
            <v:fill on="f" focussize="0,0"/>
            <v:stroke on="f" joinstyle="miter"/>
            <v:imagedata r:id="rId15" o:title=""/>
            <o:lock v:ext="edit" aspectratio="t"/>
            <w10:wrap type="none"/>
            <w10:anchorlock/>
          </v:shape>
          <o:OLEObject Type="Embed" ProgID="Visio.Drawing.15" ShapeID="_x0000_i1025" DrawAspect="Content" ObjectID="_1468075725" r:id="rId14">
            <o:LockedField>false</o:LockedField>
          </o:OLEObject>
        </w:object>
      </w:r>
    </w:p>
    <w:p>
      <w:pPr>
        <w:pStyle w:val="3"/>
        <w:rPr>
          <w:rFonts w:hint="eastAsia"/>
        </w:rPr>
      </w:pPr>
      <w:r>
        <w:rPr>
          <w:rFonts w:hint="eastAsia"/>
        </w:rPr>
        <w:t>技术指标</w:t>
      </w:r>
    </w:p>
    <w:p>
      <w:pPr>
        <w:pStyle w:val="137"/>
        <w:numPr>
          <w:ilvl w:val="0"/>
          <w:numId w:val="5"/>
        </w:numPr>
        <w:ind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同时在线用户数≥2</w:t>
      </w:r>
      <w:r>
        <w:rPr>
          <w:rFonts w:asciiTheme="minorEastAsia" w:hAnsiTheme="minorEastAsia" w:eastAsiaTheme="minorEastAsia"/>
          <w:sz w:val="24"/>
          <w:szCs w:val="24"/>
        </w:rPr>
        <w:t>0</w:t>
      </w:r>
      <w:r>
        <w:rPr>
          <w:rFonts w:hint="eastAsia" w:asciiTheme="minorEastAsia" w:hAnsiTheme="minorEastAsia" w:eastAsiaTheme="minorEastAsia"/>
          <w:sz w:val="24"/>
          <w:szCs w:val="24"/>
        </w:rPr>
        <w:t>；</w:t>
      </w:r>
    </w:p>
    <w:p>
      <w:pPr>
        <w:pStyle w:val="137"/>
        <w:numPr>
          <w:ilvl w:val="0"/>
          <w:numId w:val="5"/>
        </w:numPr>
        <w:ind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并发用户数≥10</w:t>
      </w:r>
      <w:r>
        <w:rPr>
          <w:rFonts w:asciiTheme="minorEastAsia" w:hAnsiTheme="minorEastAsia" w:eastAsiaTheme="minorEastAsia"/>
          <w:sz w:val="24"/>
          <w:szCs w:val="24"/>
        </w:rPr>
        <w:t>0</w:t>
      </w:r>
      <w:r>
        <w:rPr>
          <w:rFonts w:hint="eastAsia" w:asciiTheme="minorEastAsia" w:hAnsiTheme="minorEastAsia" w:eastAsiaTheme="minorEastAsia"/>
          <w:sz w:val="24"/>
          <w:szCs w:val="24"/>
        </w:rPr>
        <w:t>；</w:t>
      </w:r>
    </w:p>
    <w:p>
      <w:pPr>
        <w:pStyle w:val="137"/>
        <w:numPr>
          <w:ilvl w:val="0"/>
          <w:numId w:val="5"/>
        </w:numPr>
        <w:ind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系统登录时间≤1秒；</w:t>
      </w:r>
    </w:p>
    <w:p>
      <w:pPr>
        <w:pStyle w:val="137"/>
        <w:numPr>
          <w:ilvl w:val="0"/>
          <w:numId w:val="5"/>
        </w:numPr>
        <w:ind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一般查询和写入操作响应时间（</w:t>
      </w:r>
      <w:r>
        <w:rPr>
          <w:rFonts w:asciiTheme="minorEastAsia" w:hAnsiTheme="minorEastAsia" w:eastAsiaTheme="minorEastAsia"/>
          <w:sz w:val="24"/>
          <w:szCs w:val="24"/>
        </w:rPr>
        <w:t>90%</w:t>
      </w:r>
      <w:r>
        <w:rPr>
          <w:rFonts w:hint="eastAsia" w:asciiTheme="minorEastAsia" w:hAnsiTheme="minorEastAsia" w:eastAsiaTheme="minorEastAsia"/>
          <w:sz w:val="24"/>
          <w:szCs w:val="24"/>
        </w:rPr>
        <w:t>的操作页面）≤3秒；</w:t>
      </w:r>
    </w:p>
    <w:p>
      <w:pPr>
        <w:pStyle w:val="137"/>
        <w:numPr>
          <w:ilvl w:val="0"/>
          <w:numId w:val="5"/>
        </w:numPr>
        <w:ind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搜索类操作响应时间≤5秒；</w:t>
      </w:r>
    </w:p>
    <w:p>
      <w:pPr>
        <w:pStyle w:val="137"/>
        <w:numPr>
          <w:ilvl w:val="0"/>
          <w:numId w:val="5"/>
        </w:numPr>
        <w:ind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响应时间较长的操作页面应显示进度条。</w:t>
      </w:r>
    </w:p>
    <w:p>
      <w:pPr>
        <w:pStyle w:val="3"/>
        <w:rPr>
          <w:rFonts w:hint="eastAsia"/>
        </w:rPr>
      </w:pPr>
      <w:r>
        <w:rPr>
          <w:rFonts w:hint="eastAsia"/>
        </w:rPr>
        <w:t>软件开发清单</w:t>
      </w:r>
    </w:p>
    <w:tbl>
      <w:tblPr>
        <w:tblStyle w:val="3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843"/>
        <w:gridCol w:w="2693"/>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04" w:type="dxa"/>
            <w:shd w:val="clear" w:color="000000" w:fill="F3F8FC"/>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序号</w:t>
            </w:r>
          </w:p>
        </w:tc>
        <w:tc>
          <w:tcPr>
            <w:tcW w:w="1843" w:type="dxa"/>
            <w:shd w:val="clear" w:color="000000" w:fill="F3F8FC"/>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应用系统名称</w:t>
            </w:r>
          </w:p>
        </w:tc>
        <w:tc>
          <w:tcPr>
            <w:tcW w:w="2693" w:type="dxa"/>
            <w:shd w:val="clear" w:color="000000" w:fill="F3F8FC"/>
            <w:noWrap/>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模块名称</w:t>
            </w:r>
          </w:p>
        </w:tc>
        <w:tc>
          <w:tcPr>
            <w:tcW w:w="3119" w:type="dxa"/>
            <w:shd w:val="clear" w:color="000000" w:fill="F3F8FC"/>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模块描述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药监事项接入“随申办”企业云-公共服务事项</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出具《药品出口销售证明》、出具《出口欧盟原料药证明》、出具《医疗器械产品出口销售证明》、上海市药品生产企业信息查询、上海市药品批发企业信息查询、上海市药品零售连锁企业信息查询、上海市药品零售企业信息查询、上海市第二类医疗器械注册信息查询、上海市第一类医疗器械备案信息查询、上海市第二、三类医疗器械生产企业信息查询、上海市第一类医疗器械生产企业信息查询、上海市化妆品生产企业信息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药监事项接入“随申办”企业云-政务服务事项</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药品生产企业登记事项变更、医疗器械网络销售企业信息告知、医疗器械网络交易服务第三方平台备案、第三类医疗器械经营许可（第三方物流）登记事项变更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行政许可网上申报子系统-高频事项“智慧好办”改造</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事项智能预填改造、事项审查要点管理、智能预审改造、第一类医疗器械生产备案自助办理终端接入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4</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行政许可网上申报子系统-“办不成事”线上反馈窗口接入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“办不成事”线上反馈窗口接入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5</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行政许可网上申报子系统-特殊情形购药报告功能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特殊情形购药报告在线申报、特殊情形购药审查功能、特殊情形购药报告数据的查询导出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6</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行政许可网上申报子系统-药品网络销售企业报告功能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药品网络销售企业报告线上申报功能、药品网络销售企业报告审查功能、药品网络销售企业数据查询功能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7</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行政许可网上申报子系统-药品上市许可持有人委托存储报告功能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药品上市许可持有人委托存储报告线上申报功能、药品上市许可持有人委托存储报告审查功能、药品上市许可持有人委托存储报告数据查询导出功能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8</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行政许可网上申报子系统-药品上市许可持有人委托销售报告功能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药品上市许可持有人委托销售报告网上申报、药品上市许可持有人委托销售报告信息审查功能、药品上市许可持有人委托销售报告数据查询导出功能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9</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行政许可网上申报子系统-医疗器械注册人仅委托生产产品品种报告功能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医疗器械生产企业填报升级、新增委托外省企业生产的注册人填报、医疗器械产品信息的填报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10</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行政审批系统-行政事业收费事项收费金额调整</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行政事项收费金额配置功能、缴费功能缴费标准改造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11</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上海市药品监督管理局行政审批综合业务系统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行政审批系统-区级事项电子档案返还接口</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区局身份认证功能、档案数据、文件同步接口、同步记录日志管理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12</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申请数据辅助审评模块（大语言模型对自然语言理解和逻辑推理能力）-化妆品产品备案申请表信息审查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申请数据辅助审评模块（大语言模型对自然语言理解和逻辑推理能力）-化妆品产品备案申请表信息审查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13</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申请数据辅助审评模块（大语言模型对自然语言理解和逻辑推理能力）-化妆品命名依据审查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申请数据辅助审评模块（大语言模型对自然语言理解和逻辑推理能力）-化妆品命名依据审查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14</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申请数据辅助审评模块（大语言模型对自然语言理解和逻辑推理能力）-化妆品产品配方数据审查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申请数据辅助审评模块（大语言模型对自然语言理解和逻辑推理能力）-化妆品产品配方数据审查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15</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申请数据辅助审评模块（大语言模型对自然语言理解和逻辑推理能力）-化妆品产品标签数据审查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申请数据辅助审评模块（大语言模型对自然语言理解和逻辑推理能力）-化妆品产品标签数据审查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16</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申请数据辅助审评模块（大语言模型对自然语言理解和逻辑推理能力）-化妆品产品检验数据审查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申请数据辅助审评模块（大语言模型对自然语言理解和逻辑推理能力）-化妆品产品检验数据审查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17</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申请数据辅助审评模块（大语言模型对自然语言理解和逻辑推理能力）-医疗器械产品智能分类界定</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申请数据辅助审评模块（大语言模型对自然语言理解和逻辑推理能力）-医疗器械产品智能分类界定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18</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申请数据辅助审评模块（大语言模型对自然语言理解和逻辑推理能力）-医疗器械产品名称和功能是否符合产品分类</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申请数据辅助审评模块（大语言模型对自然语言理解和逻辑推理能力）-医疗器械产品名称和功能是否符合产品分类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19</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申请数据辅助审评模块（大语言模型对自然语言理解和逻辑推理能力）-医疗器械产品适配标准智能检查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申请数据辅助审评模块（大语言模型对自然语言理解和逻辑推理能力）-医疗器械产品适配标准智能检查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20</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申请数据辅助审评模块（大语言模型对自然语言理解和逻辑推理能力）-医疗器械企业免于现场检查的智能评估</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申请数据辅助审评模块（大语言模型对自然语言理解和逻辑推理能力）-医疗器械企业免于现场检查的智能评估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21</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申请材料智能辅助审评模块（大语言模型对材料识别和归纳的能力）-化妆品产品安全评估报告材料智能辅助审查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申请材料智能辅助审评模块（大语言模型对材料识别和归纳的能力）-化妆品产品安全评估报告材料智能辅助审查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22</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申请材料智能辅助审评模块（大语言模型对材料识别和归纳的能力）-化妆品产品检验报告智能辅助审查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申请材料智能辅助审评模块（大语言模型对材料识别和归纳的能力）-化妆品产品检验报告智能辅助审查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23</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申请材料智能辅助审评模块（大语言模型对材料识别和归纳的能力）-化妆品产品授权委托关系证明文件智能辅助审查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申请材料智能辅助审评模块（大语言模型对材料识别和归纳的能力）-化妆品产品授权委托关系证明文件智能辅助审查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24</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申请材料智能辅助审评模块（大语言模型对材料识别和归纳的能力）-化妆品产品已上市销售相关材料审查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申请材料智能辅助审评模块（大语言模型对材料识别和归纳的能力）-化妆品产品已上市销售相关材料审查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25</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申请材料智能辅助审评模块（大语言模型对材料识别和归纳的能力）-医疗器械产品注册材料智能立卷审查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申请材料智能辅助审评模块（大语言模型对材料识别和归纳的能力）-医疗器械产品注册材料智能立卷审查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26</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申请材料智能辅助审评模块（大语言模型对材料识别和归纳的能力）-医疗器械产品注册产品技术要求智能辅助审查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申请材料智能辅助审评模块（大语言模型对材料识别和归纳的能力）-医疗器械产品注册产品技术要求智能辅助审查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27</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申请材料智能辅助审评模块（大语言模型对材料识别和归纳的能力）-体外诊断试剂产品说明书智能辅助审查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申请材料智能辅助审评模块（大语言模型对材料识别和归纳的能力）-体外诊断试剂产品说明书智能辅助审查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28</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申请材料智能辅助审评模块（大语言模型对材料识别和归纳的能力）-医疗器械延续注册材料智能比对审查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申请材料智能辅助审评模块（大语言模型对材料识别和归纳的能力）-医疗器械延续注册材料智能比对审查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29</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申请材料智能辅助审评模块（大语言模型对材料识别和归纳的能力）-医疗器械注册企业体系核查材料智能审查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申请材料智能辅助审评模块（大语言模型对材料识别和归纳的能力）-医疗器械注册企业体系核查材料智能审查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30</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审评文书辅助生成模块（生成式人工智能）-补正通知文书的自动生成</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审评文书辅助生成模块（生成式人工智能）-补正通知文书的自动生成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31</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审评文书辅助生成模块（生成式人工智能）-整改通知文书的自动生成</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审评文书辅助生成模块（生成式人工智能）-整改通知文书的自动生成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32</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审评文书辅助生成模块（生成式人工智能）-医疗器械技术审评报告的辅助生成</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审评文书辅助生成模块（生成式人工智能）-医疗器械技术审评报告的辅助生成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33</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审评文书辅助生成模块（生成式人工智能）-医疗器械体系核查报告的辅助生成</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审评文书辅助生成模块（生成式人工智能）-医疗器械体系核查报告的辅助生成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34</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智能审评、审查规则管理模块-医疗器械审评核查资源库数据分类管理</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智能审评、审查规则管理模块-医疗器械审评核查资源库数据分类管理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35</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智能审评、审查规则管理模块-审评、审查数据资源需求管理</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智能审评、审查规则管理模块-审评、审查数据资源需求管理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36</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智能审评、审查规则管理模块-化妆品备案审查要点大语言模型提示词（Prompt）管理</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智能审评、审查规则管理模块-化妆品备案审查要点大语言模型提示词（Prompt）管理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37</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智能审评、审查规则管理模块-医疗器械各品种各材料审查要点大语言模型提示词（Prompt）管理</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智能审评、审查规则管理模块-医疗器械各品种各材料审查要点大语言模型提示词（Prompt）管理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38</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基于数据应用的审查审评辅助功能-化妆品多模块信息对照审查功能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基于数据应用的审查审评辅助功能-化妆品多模块信息对照审查功能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39</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基于数据应用的审查审评辅助功能-同系列化妆品产品并联审查功能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基于数据应用的审查审评辅助功能-同系列化妆品产品并联审查功能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40</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基于数据应用的审查审评辅助功能-同备案号化妆品多次变更并联审查功能</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基于数据应用的审查审评辅助功能-同备案号化妆品多次变更并联审查功能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41</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数据资源应用接口模块-企业许可类数据同步接口</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数据资源应用接口模块-企业许可类数据同步接口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42</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数据资源应用接口模块-器械审评核查资源库数据同步接口</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数据资源应用接口模块-器械审评核查资源库数据同步接口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43</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数据资源应用接口模块-化妆品备案业务数据对接</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数据资源应用接口模块-化妆品备案业务数据对接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04"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44</w:t>
            </w:r>
          </w:p>
        </w:tc>
        <w:tc>
          <w:tcPr>
            <w:tcW w:w="1843" w:type="dxa"/>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w:t>
            </w:r>
          </w:p>
        </w:tc>
        <w:tc>
          <w:tcPr>
            <w:tcW w:w="2693"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数据资源应用接口模块-慧智平台大语言模型调用接口</w:t>
            </w:r>
          </w:p>
        </w:tc>
        <w:tc>
          <w:tcPr>
            <w:tcW w:w="3119" w:type="dxa"/>
            <w:shd w:val="clear" w:color="auto" w:fill="auto"/>
            <w:vAlign w:val="center"/>
          </w:tcPr>
          <w:p>
            <w:pPr>
              <w:widowControl/>
              <w:spacing w:line="240" w:lineRule="auto"/>
              <w:ind w:firstLine="0" w:firstLineChars="0"/>
              <w:jc w:val="left"/>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数据资源应用接口模块-慧智平台大语言模型调用接口</w:t>
            </w:r>
          </w:p>
        </w:tc>
      </w:tr>
    </w:tbl>
    <w:p>
      <w:pPr>
        <w:rPr>
          <w:rFonts w:hint="eastAsia"/>
        </w:rPr>
      </w:pPr>
    </w:p>
    <w:p>
      <w:pPr>
        <w:pStyle w:val="2"/>
        <w:rPr>
          <w:rFonts w:hint="eastAsia"/>
        </w:rPr>
      </w:pPr>
      <w:bookmarkStart w:id="17" w:name="_Toc63785502"/>
      <w:r>
        <w:rPr>
          <w:rFonts w:hint="eastAsia"/>
        </w:rPr>
        <w:t>电子政务云资源需求</w:t>
      </w:r>
      <w:bookmarkEnd w:id="17"/>
    </w:p>
    <w:p>
      <w:pPr>
        <w:rPr>
          <w:rFonts w:hint="eastAsia"/>
        </w:rPr>
      </w:pPr>
      <w:r>
        <w:rPr>
          <w:rFonts w:hint="eastAsia"/>
        </w:rPr>
        <w:t>根据项目前期资源现状，本次建设根据估算拟向电子政务云申请8台虚拟服务器，资源CPU120核 、内存304G、存储3400T；在现有行政审批系统的存储资源基础上，申请增加3000G存储空间。</w:t>
      </w:r>
    </w:p>
    <w:tbl>
      <w:tblPr>
        <w:tblStyle w:val="35"/>
        <w:tblW w:w="8360" w:type="dxa"/>
        <w:tblInd w:w="0" w:type="dxa"/>
        <w:tblLayout w:type="autofit"/>
        <w:tblCellMar>
          <w:top w:w="0" w:type="dxa"/>
          <w:left w:w="108" w:type="dxa"/>
          <w:bottom w:w="0" w:type="dxa"/>
          <w:right w:w="108" w:type="dxa"/>
        </w:tblCellMar>
      </w:tblPr>
      <w:tblGrid>
        <w:gridCol w:w="562"/>
        <w:gridCol w:w="1040"/>
        <w:gridCol w:w="1654"/>
        <w:gridCol w:w="708"/>
        <w:gridCol w:w="1276"/>
        <w:gridCol w:w="1040"/>
        <w:gridCol w:w="1040"/>
        <w:gridCol w:w="1040"/>
      </w:tblGrid>
      <w:tr>
        <w:tblPrEx>
          <w:tblCellMar>
            <w:top w:w="0" w:type="dxa"/>
            <w:left w:w="108" w:type="dxa"/>
            <w:bottom w:w="0" w:type="dxa"/>
            <w:right w:w="108" w:type="dxa"/>
          </w:tblCellMar>
        </w:tblPrEx>
        <w:trPr>
          <w:trHeight w:val="480" w:hRule="atLeast"/>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序号</w:t>
            </w:r>
          </w:p>
        </w:tc>
        <w:tc>
          <w:tcPr>
            <w:tcW w:w="10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资源类型</w:t>
            </w:r>
          </w:p>
        </w:tc>
        <w:tc>
          <w:tcPr>
            <w:tcW w:w="1654"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资源名称</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资源说明</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资源核心（核）</w:t>
            </w:r>
          </w:p>
        </w:tc>
        <w:tc>
          <w:tcPr>
            <w:tcW w:w="10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资源内存(GB)</w:t>
            </w:r>
          </w:p>
        </w:tc>
        <w:tc>
          <w:tcPr>
            <w:tcW w:w="10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资源存储(GB)</w:t>
            </w:r>
          </w:p>
        </w:tc>
        <w:tc>
          <w:tcPr>
            <w:tcW w:w="1040"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hint="eastAsia" w:cs="宋体" w:asciiTheme="minorEastAsia" w:hAnsiTheme="minorEastAsia" w:eastAsiaTheme="minorEastAsia"/>
                <w:b/>
                <w:bCs/>
                <w:color w:val="000000"/>
                <w:kern w:val="0"/>
              </w:rPr>
            </w:pPr>
            <w:r>
              <w:rPr>
                <w:rFonts w:hint="eastAsia" w:cs="宋体" w:asciiTheme="minorEastAsia" w:hAnsiTheme="minorEastAsia" w:eastAsiaTheme="minorEastAsia"/>
                <w:b/>
                <w:bCs/>
                <w:color w:val="000000"/>
                <w:kern w:val="0"/>
              </w:rPr>
              <w:t>资源数量(台)</w:t>
            </w:r>
          </w:p>
        </w:tc>
      </w:tr>
      <w:tr>
        <w:tblPrEx>
          <w:tblCellMar>
            <w:top w:w="0" w:type="dxa"/>
            <w:left w:w="108" w:type="dxa"/>
            <w:bottom w:w="0" w:type="dxa"/>
            <w:right w:w="108" w:type="dxa"/>
          </w:tblCellMar>
        </w:tblPrEx>
        <w:trPr>
          <w:trHeight w:val="1120"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虚拟机</w:t>
            </w:r>
          </w:p>
        </w:tc>
        <w:tc>
          <w:tcPr>
            <w:tcW w:w="165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行政审批系统文件存储服务器</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政务外网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3000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w:t>
            </w:r>
          </w:p>
        </w:tc>
      </w:tr>
      <w:tr>
        <w:tblPrEx>
          <w:tblCellMar>
            <w:top w:w="0" w:type="dxa"/>
            <w:left w:w="108" w:type="dxa"/>
            <w:bottom w:w="0" w:type="dxa"/>
            <w:right w:w="108" w:type="dxa"/>
          </w:tblCellMar>
        </w:tblPrEx>
        <w:trPr>
          <w:trHeight w:val="1120"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虚拟机</w:t>
            </w:r>
          </w:p>
        </w:tc>
        <w:tc>
          <w:tcPr>
            <w:tcW w:w="165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智能审评子系统-数据库服务器</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政务外网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64</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600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w:t>
            </w:r>
          </w:p>
        </w:tc>
      </w:tr>
      <w:tr>
        <w:tblPrEx>
          <w:tblCellMar>
            <w:top w:w="0" w:type="dxa"/>
            <w:left w:w="108" w:type="dxa"/>
            <w:bottom w:w="0" w:type="dxa"/>
            <w:right w:w="108" w:type="dxa"/>
          </w:tblCellMar>
        </w:tblPrEx>
        <w:trPr>
          <w:trHeight w:val="840"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虚拟机</w:t>
            </w:r>
          </w:p>
        </w:tc>
        <w:tc>
          <w:tcPr>
            <w:tcW w:w="165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智能审评子系统-应用服务器</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政务外网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32</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w:t>
            </w:r>
          </w:p>
        </w:tc>
      </w:tr>
      <w:tr>
        <w:tblPrEx>
          <w:tblCellMar>
            <w:top w:w="0" w:type="dxa"/>
            <w:left w:w="108" w:type="dxa"/>
            <w:bottom w:w="0" w:type="dxa"/>
            <w:right w:w="108" w:type="dxa"/>
          </w:tblCellMar>
        </w:tblPrEx>
        <w:trPr>
          <w:trHeight w:val="1400"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4</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虚拟机</w:t>
            </w:r>
          </w:p>
        </w:tc>
        <w:tc>
          <w:tcPr>
            <w:tcW w:w="165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智能审评子系统-对接接口服务器兼访问前置机</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政务外网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32</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w:t>
            </w:r>
          </w:p>
        </w:tc>
      </w:tr>
      <w:tr>
        <w:tblPrEx>
          <w:tblCellMar>
            <w:top w:w="0" w:type="dxa"/>
            <w:left w:w="108" w:type="dxa"/>
            <w:bottom w:w="0" w:type="dxa"/>
            <w:right w:w="108" w:type="dxa"/>
          </w:tblCellMar>
        </w:tblPrEx>
        <w:trPr>
          <w:trHeight w:val="1120"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5</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虚拟机</w:t>
            </w:r>
          </w:p>
        </w:tc>
        <w:tc>
          <w:tcPr>
            <w:tcW w:w="165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智能审评子系统-文件接口服务器</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政务外网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8</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700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w:t>
            </w:r>
          </w:p>
        </w:tc>
      </w:tr>
      <w:tr>
        <w:tblPrEx>
          <w:tblCellMar>
            <w:top w:w="0" w:type="dxa"/>
            <w:left w:w="108" w:type="dxa"/>
            <w:bottom w:w="0" w:type="dxa"/>
            <w:right w:w="108" w:type="dxa"/>
          </w:tblCellMar>
        </w:tblPrEx>
        <w:trPr>
          <w:trHeight w:val="840"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虚拟机</w:t>
            </w:r>
          </w:p>
        </w:tc>
        <w:tc>
          <w:tcPr>
            <w:tcW w:w="165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智能审评子系统-应用服务器</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互联网</w:t>
            </w:r>
          </w:p>
        </w:tc>
        <w:tc>
          <w:tcPr>
            <w:tcW w:w="127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16</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32</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300</w:t>
            </w:r>
          </w:p>
        </w:tc>
        <w:tc>
          <w:tcPr>
            <w:tcW w:w="104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cs="宋体" w:asciiTheme="minorEastAsia" w:hAnsiTheme="minorEastAsia" w:eastAsiaTheme="minorEastAsia"/>
                <w:color w:val="000000"/>
                <w:kern w:val="0"/>
              </w:rPr>
            </w:pPr>
            <w:r>
              <w:rPr>
                <w:rFonts w:hint="eastAsia" w:cs="宋体" w:asciiTheme="minorEastAsia" w:hAnsiTheme="minorEastAsia" w:eastAsiaTheme="minorEastAsia"/>
                <w:color w:val="000000"/>
                <w:kern w:val="0"/>
              </w:rPr>
              <w:t>2</w:t>
            </w:r>
          </w:p>
        </w:tc>
      </w:tr>
    </w:tbl>
    <w:p>
      <w:pPr>
        <w:rPr>
          <w:rFonts w:hint="eastAsia"/>
        </w:rPr>
      </w:pPr>
    </w:p>
    <w:p>
      <w:pPr>
        <w:pStyle w:val="2"/>
        <w:rPr>
          <w:rFonts w:hint="eastAsia"/>
        </w:rPr>
      </w:pPr>
      <w:bookmarkStart w:id="18" w:name="_Toc63785503"/>
      <w:r>
        <w:rPr>
          <w:rFonts w:hint="eastAsia"/>
        </w:rPr>
        <w:t>其他工作要求</w:t>
      </w:r>
      <w:bookmarkEnd w:id="18"/>
    </w:p>
    <w:p>
      <w:pPr>
        <w:keepNext/>
        <w:keepLines/>
        <w:numPr>
          <w:ilvl w:val="1"/>
          <w:numId w:val="6"/>
        </w:numPr>
        <w:tabs>
          <w:tab w:val="left" w:pos="360"/>
        </w:tabs>
        <w:spacing w:before="120" w:line="240" w:lineRule="auto"/>
        <w:ind w:left="0" w:firstLine="0" w:firstLineChars="0"/>
        <w:outlineLvl w:val="1"/>
        <w:rPr>
          <w:rFonts w:hint="eastAsia" w:ascii="仿宋" w:hAnsi="仿宋" w:eastAsia="仿宋"/>
          <w:b/>
          <w:vanish/>
          <w:color w:val="000000"/>
          <w:sz w:val="28"/>
          <w:szCs w:val="20"/>
        </w:rPr>
      </w:pPr>
      <w:bookmarkStart w:id="19" w:name="_Toc63785439"/>
      <w:bookmarkEnd w:id="19"/>
      <w:bookmarkStart w:id="20" w:name="_Toc63585480"/>
      <w:bookmarkEnd w:id="20"/>
      <w:bookmarkStart w:id="21" w:name="_Toc63151871"/>
      <w:bookmarkEnd w:id="21"/>
      <w:bookmarkStart w:id="22" w:name="_Toc61968111"/>
      <w:bookmarkEnd w:id="22"/>
      <w:bookmarkStart w:id="23" w:name="_Toc63762370"/>
      <w:bookmarkEnd w:id="23"/>
      <w:bookmarkStart w:id="24" w:name="_Toc62219358"/>
      <w:bookmarkEnd w:id="24"/>
      <w:bookmarkStart w:id="25" w:name="_Toc63785504"/>
      <w:bookmarkEnd w:id="25"/>
      <w:bookmarkStart w:id="26" w:name="_Toc62209488"/>
      <w:bookmarkEnd w:id="26"/>
    </w:p>
    <w:p>
      <w:pPr>
        <w:pStyle w:val="3"/>
        <w:rPr>
          <w:rFonts w:hint="eastAsia"/>
        </w:rPr>
      </w:pPr>
      <w:bookmarkStart w:id="27" w:name="_Toc63785505"/>
      <w:r>
        <w:rPr>
          <w:rFonts w:hint="eastAsia"/>
        </w:rPr>
        <w:t>售后服务要求</w:t>
      </w:r>
      <w:bookmarkEnd w:id="27"/>
    </w:p>
    <w:p>
      <w:pPr>
        <w:pStyle w:val="107"/>
        <w:snapToGrid w:val="0"/>
        <w:spacing w:line="360" w:lineRule="auto"/>
        <w:ind w:firstLine="480"/>
        <w:rPr>
          <w:rFonts w:hint="eastAsia" w:ascii="宋体" w:hAnsi="宋体"/>
          <w:sz w:val="24"/>
          <w:szCs w:val="24"/>
        </w:rPr>
      </w:pPr>
      <w:r>
        <w:rPr>
          <w:rFonts w:hint="eastAsia" w:ascii="宋体" w:hAnsi="宋体"/>
          <w:sz w:val="24"/>
          <w:szCs w:val="24"/>
        </w:rPr>
        <w:t>本项目从系统验收通过之日起1年内提供</w:t>
      </w:r>
      <w:r>
        <w:rPr>
          <w:rFonts w:ascii="宋体" w:hAnsi="宋体"/>
          <w:sz w:val="24"/>
          <w:szCs w:val="24"/>
        </w:rPr>
        <w:t>7*24小时免费技术支持</w:t>
      </w:r>
      <w:r>
        <w:rPr>
          <w:rFonts w:hint="eastAsia" w:ascii="宋体" w:hAnsi="宋体"/>
          <w:sz w:val="24"/>
          <w:szCs w:val="24"/>
        </w:rPr>
        <w:t>和售后服务，1年后进入有偿维护期。</w:t>
      </w:r>
    </w:p>
    <w:p>
      <w:pPr>
        <w:pStyle w:val="107"/>
        <w:snapToGrid w:val="0"/>
        <w:spacing w:line="360" w:lineRule="auto"/>
        <w:ind w:firstLine="480"/>
        <w:rPr>
          <w:rFonts w:hint="eastAsia" w:ascii="宋体" w:hAnsi="宋体"/>
          <w:sz w:val="24"/>
          <w:szCs w:val="24"/>
        </w:rPr>
      </w:pPr>
      <w:r>
        <w:rPr>
          <w:rFonts w:hint="eastAsia" w:ascii="宋体" w:hAnsi="宋体"/>
          <w:sz w:val="24"/>
          <w:szCs w:val="24"/>
        </w:rPr>
        <w:t>在质量保证期内，供应商将按照售后服务的承诺提供保修和运行维护服务，如果厂商对信息系统中软、硬件设备等产品中的部分保修期超过上述期限的，则按照厂商的规定进行免费保修。</w:t>
      </w:r>
    </w:p>
    <w:p>
      <w:pPr>
        <w:pStyle w:val="107"/>
        <w:snapToGrid w:val="0"/>
        <w:spacing w:line="360" w:lineRule="auto"/>
        <w:ind w:firstLine="480"/>
        <w:rPr>
          <w:rFonts w:hint="eastAsia" w:ascii="宋体" w:hAnsi="宋体"/>
          <w:sz w:val="24"/>
          <w:szCs w:val="24"/>
        </w:rPr>
      </w:pPr>
      <w:r>
        <w:rPr>
          <w:rFonts w:hint="eastAsia" w:ascii="宋体" w:hAnsi="宋体"/>
          <w:sz w:val="24"/>
          <w:szCs w:val="24"/>
        </w:rPr>
        <w:t>在质量保证期内，供应商负责信息系统的运行维护工作，确保信息系统安全、稳定、可靠地运行。本项目涉及的运行维护工作范围为：系统定期巡检、系统安全补丁升级、系统和应用漏洞修复、</w:t>
      </w:r>
      <w:r>
        <w:rPr>
          <w:rFonts w:ascii="宋体" w:hAnsi="宋体"/>
          <w:sz w:val="24"/>
          <w:szCs w:val="24"/>
        </w:rPr>
        <w:t>Bug修复、功能优化。</w:t>
      </w:r>
    </w:p>
    <w:p>
      <w:pPr>
        <w:pStyle w:val="3"/>
        <w:rPr>
          <w:rFonts w:hint="eastAsia"/>
        </w:rPr>
      </w:pPr>
      <w:bookmarkStart w:id="28" w:name="_Toc63785506"/>
      <w:r>
        <w:rPr>
          <w:rFonts w:hint="eastAsia"/>
        </w:rPr>
        <w:t>应急响应要求</w:t>
      </w:r>
      <w:bookmarkEnd w:id="28"/>
    </w:p>
    <w:p>
      <w:pPr>
        <w:pStyle w:val="107"/>
        <w:snapToGrid w:val="0"/>
        <w:spacing w:line="360" w:lineRule="auto"/>
        <w:ind w:firstLine="480"/>
        <w:rPr>
          <w:rFonts w:hint="eastAsia" w:ascii="宋体" w:hAnsi="宋体"/>
          <w:sz w:val="24"/>
          <w:szCs w:val="24"/>
        </w:rPr>
      </w:pPr>
      <w:r>
        <w:rPr>
          <w:rFonts w:hint="eastAsia" w:ascii="宋体" w:hAnsi="宋体"/>
          <w:sz w:val="24"/>
          <w:szCs w:val="24"/>
        </w:rPr>
        <w:t>供应商对系统故障应能够实时响应，若系统发生故障，接到通知后</w:t>
      </w:r>
      <w:r>
        <w:rPr>
          <w:rFonts w:ascii="宋体" w:hAnsi="宋体"/>
          <w:sz w:val="24"/>
          <w:szCs w:val="24"/>
        </w:rPr>
        <w:t>30分钟之内响应，专业工程师2小时内到达现场</w:t>
      </w:r>
      <w:r>
        <w:rPr>
          <w:rFonts w:hint="eastAsia" w:ascii="宋体" w:hAnsi="宋体"/>
          <w:sz w:val="24"/>
          <w:szCs w:val="24"/>
        </w:rPr>
        <w:t>。特殊故障与客户沟通协商后，按照协商的方式制定解决方案并进行处理。</w:t>
      </w:r>
    </w:p>
    <w:p>
      <w:pPr>
        <w:pStyle w:val="107"/>
        <w:snapToGrid w:val="0"/>
        <w:spacing w:line="360" w:lineRule="auto"/>
        <w:ind w:firstLine="480"/>
        <w:rPr>
          <w:rFonts w:hint="eastAsia" w:ascii="宋体" w:hAnsi="宋体"/>
          <w:sz w:val="24"/>
          <w:szCs w:val="24"/>
        </w:rPr>
      </w:pPr>
      <w:r>
        <w:rPr>
          <w:rFonts w:hint="eastAsia" w:ascii="宋体" w:hAnsi="宋体"/>
          <w:sz w:val="24"/>
          <w:szCs w:val="24"/>
        </w:rPr>
        <w:t>具体故障级别及对应的应急响应要求如下：</w:t>
      </w:r>
    </w:p>
    <w:p>
      <w:pPr>
        <w:pStyle w:val="107"/>
        <w:snapToGrid w:val="0"/>
        <w:spacing w:line="360" w:lineRule="auto"/>
        <w:ind w:firstLine="480"/>
        <w:rPr>
          <w:rFonts w:hint="eastAsia" w:ascii="宋体" w:hAnsi="宋体"/>
          <w:sz w:val="24"/>
          <w:szCs w:val="24"/>
        </w:rPr>
      </w:pPr>
      <w:r>
        <w:rPr>
          <w:rFonts w:hint="eastAsia" w:ascii="宋体" w:hAnsi="宋体"/>
          <w:sz w:val="24"/>
          <w:szCs w:val="24"/>
        </w:rPr>
        <w:t>一级故障：在</w:t>
      </w:r>
      <w:r>
        <w:rPr>
          <w:rFonts w:ascii="宋体" w:hAnsi="宋体"/>
          <w:sz w:val="24"/>
          <w:szCs w:val="24"/>
        </w:rPr>
        <w:t>1小时内确诊，总故障解决时间不超过4小时。</w:t>
      </w:r>
    </w:p>
    <w:p>
      <w:pPr>
        <w:pStyle w:val="107"/>
        <w:snapToGrid w:val="0"/>
        <w:spacing w:line="360" w:lineRule="auto"/>
        <w:ind w:firstLine="480"/>
        <w:rPr>
          <w:rFonts w:hint="eastAsia" w:ascii="宋体" w:hAnsi="宋体"/>
          <w:sz w:val="24"/>
          <w:szCs w:val="24"/>
        </w:rPr>
      </w:pPr>
      <w:r>
        <w:rPr>
          <w:rFonts w:hint="eastAsia" w:ascii="宋体" w:hAnsi="宋体"/>
          <w:sz w:val="24"/>
          <w:szCs w:val="24"/>
        </w:rPr>
        <w:t>二级故障：在</w:t>
      </w:r>
      <w:r>
        <w:rPr>
          <w:rFonts w:ascii="宋体" w:hAnsi="宋体"/>
          <w:sz w:val="24"/>
          <w:szCs w:val="24"/>
        </w:rPr>
        <w:t>2小时内确诊，并在4小时内由专家到达现场确诊并解决，总故障解决时间不超过8小时；</w:t>
      </w:r>
    </w:p>
    <w:p>
      <w:pPr>
        <w:pStyle w:val="107"/>
        <w:snapToGrid w:val="0"/>
        <w:spacing w:line="360" w:lineRule="auto"/>
        <w:ind w:firstLine="480"/>
        <w:rPr>
          <w:rFonts w:hint="eastAsia" w:ascii="宋体" w:hAnsi="宋体"/>
          <w:sz w:val="24"/>
          <w:szCs w:val="24"/>
        </w:rPr>
      </w:pPr>
      <w:r>
        <w:rPr>
          <w:rFonts w:hint="eastAsia" w:ascii="宋体" w:hAnsi="宋体"/>
          <w:sz w:val="24"/>
          <w:szCs w:val="24"/>
        </w:rPr>
        <w:t>三、四级故障：在</w:t>
      </w:r>
      <w:r>
        <w:rPr>
          <w:rFonts w:ascii="宋体" w:hAnsi="宋体"/>
          <w:sz w:val="24"/>
          <w:szCs w:val="24"/>
        </w:rPr>
        <w:t>4小时内确诊故障，总故障解决时间不超过16小时。</w:t>
      </w:r>
    </w:p>
    <w:p>
      <w:pPr>
        <w:pStyle w:val="3"/>
        <w:rPr>
          <w:rFonts w:hint="eastAsia"/>
        </w:rPr>
      </w:pPr>
      <w:bookmarkStart w:id="29" w:name="_Toc63785507"/>
      <w:r>
        <w:rPr>
          <w:rFonts w:hint="eastAsia"/>
        </w:rPr>
        <w:t>培训要求</w:t>
      </w:r>
      <w:bookmarkEnd w:id="29"/>
    </w:p>
    <w:p>
      <w:pPr>
        <w:rPr>
          <w:rFonts w:hint="eastAsia"/>
        </w:rPr>
      </w:pPr>
      <w:r>
        <w:rPr>
          <w:rFonts w:hint="eastAsia"/>
        </w:rPr>
        <w:t>对系统使用单位提供业务操作培训，应提供详细培训方案。</w:t>
      </w:r>
    </w:p>
    <w:p>
      <w:pPr>
        <w:rPr>
          <w:rFonts w:hint="eastAsia"/>
        </w:rPr>
      </w:pPr>
      <w:r>
        <w:rPr>
          <w:rFonts w:hint="eastAsia"/>
        </w:rPr>
        <w:t>(1)在12个月的质量保证期内，提供2次与项目相关的必要培训。</w:t>
      </w:r>
    </w:p>
    <w:p>
      <w:pPr>
        <w:rPr>
          <w:rFonts w:hint="eastAsia"/>
        </w:rPr>
      </w:pPr>
      <w:r>
        <w:rPr>
          <w:rFonts w:hint="eastAsia"/>
        </w:rPr>
        <w:t>(2)供应商需要开展分层次的人员培训工作，每次培训后应对参加培训人员进行测试，评估培训成果。培训应具有培训教材、培训环境和高水平的培训讲师。</w:t>
      </w:r>
    </w:p>
    <w:p>
      <w:pPr>
        <w:rPr>
          <w:rFonts w:hint="eastAsia"/>
        </w:rPr>
      </w:pPr>
      <w:r>
        <w:rPr>
          <w:rFonts w:hint="eastAsia"/>
        </w:rPr>
        <w:t>(3)供应商应提供一般用户的基础操作培训和部门信息管理员的日常应用维护的培训，确保用户对象能够掌握对应的操作技能。</w:t>
      </w:r>
    </w:p>
    <w:p>
      <w:pPr>
        <w:pStyle w:val="3"/>
        <w:rPr>
          <w:rFonts w:hint="eastAsia"/>
        </w:rPr>
      </w:pPr>
      <w:bookmarkStart w:id="30" w:name="_Toc63785508"/>
      <w:r>
        <w:rPr>
          <w:rFonts w:hint="eastAsia"/>
        </w:rPr>
        <w:t>验收要求</w:t>
      </w:r>
      <w:bookmarkEnd w:id="30"/>
    </w:p>
    <w:p>
      <w:pPr>
        <w:rPr>
          <w:rFonts w:hint="eastAsia"/>
          <w:szCs w:val="21"/>
        </w:rPr>
      </w:pPr>
      <w:r>
        <w:rPr>
          <w:rFonts w:hint="eastAsia"/>
          <w:szCs w:val="21"/>
        </w:rPr>
        <w:t>本项目按下述方式开展验收。</w:t>
      </w:r>
    </w:p>
    <w:p>
      <w:pPr>
        <w:rPr>
          <w:rFonts w:hint="eastAsia"/>
          <w:szCs w:val="21"/>
        </w:rPr>
      </w:pPr>
      <w:r>
        <w:rPr>
          <w:rFonts w:hint="eastAsia"/>
          <w:szCs w:val="21"/>
        </w:rPr>
        <w:t>（</w:t>
      </w:r>
      <w:r>
        <w:rPr>
          <w:szCs w:val="21"/>
        </w:rPr>
        <w:t>1）验收分初验和终验。</w:t>
      </w:r>
    </w:p>
    <w:p>
      <w:pPr>
        <w:rPr>
          <w:rFonts w:hint="eastAsia"/>
          <w:szCs w:val="21"/>
        </w:rPr>
      </w:pPr>
      <w:r>
        <w:rPr>
          <w:rFonts w:hint="eastAsia"/>
          <w:szCs w:val="21"/>
        </w:rPr>
        <w:t>（</w:t>
      </w:r>
      <w:r>
        <w:rPr>
          <w:szCs w:val="21"/>
        </w:rPr>
        <w:t>2）初验前，供应商须完成软件开发、软硬件安装和信息系统的调试等，并对本项目进行功能和运行检测，确保所有信息系统功能模块能够正常运行且已达到本项目约定的各类标准要求。供应商应以书面形式向招标方递交初验通知书。招标方应当在接到通知后的5个工作日内确定初验的具体日期，由双方按照本项目的约定完成本项目的初验。招标方有权委托第三方检测机构进行验收，对此供应商应当配合。</w:t>
      </w:r>
    </w:p>
    <w:p>
      <w:pPr>
        <w:rPr>
          <w:rFonts w:hint="eastAsia"/>
          <w:szCs w:val="21"/>
        </w:rPr>
      </w:pPr>
      <w:r>
        <w:rPr>
          <w:rFonts w:hint="eastAsia"/>
          <w:szCs w:val="21"/>
        </w:rPr>
        <w:t>（</w:t>
      </w:r>
      <w:r>
        <w:rPr>
          <w:szCs w:val="21"/>
        </w:rPr>
        <w:t>3）初验时，供应商须提供软件文档包括《用户需求说明书》、《系统概要设计说明书》、《系统详细设计说明书》、</w:t>
      </w:r>
      <w:r>
        <w:rPr>
          <w:rFonts w:hint="eastAsia"/>
          <w:szCs w:val="21"/>
        </w:rPr>
        <w:t>《三方功能需求确认单》、</w:t>
      </w:r>
      <w:r>
        <w:rPr>
          <w:szCs w:val="21"/>
        </w:rPr>
        <w:t>《测试报告》、《用户使用手册》、《系统部署文档》等）及可安装的程序运行文件。所交付的文档与文件应当是可供自然人阅读的书面和电子文档。软件文档及可安装的程序运行文件验收通过后，视为初验通过。如有缺陷，招标方应向供应商出具书面报告，陈述需要改进的缺陷。供应商应立即严格依照招标方的书面报告中的要求改进缺陷，并再次进行初验。</w:t>
      </w:r>
    </w:p>
    <w:p>
      <w:pPr>
        <w:rPr>
          <w:rFonts w:hint="eastAsia"/>
          <w:szCs w:val="21"/>
        </w:rPr>
      </w:pPr>
      <w:r>
        <w:rPr>
          <w:rFonts w:hint="eastAsia"/>
          <w:szCs w:val="21"/>
        </w:rPr>
        <w:t>（</w:t>
      </w:r>
      <w:r>
        <w:rPr>
          <w:szCs w:val="21"/>
        </w:rPr>
        <w:t>4）自初验通过之日起，招标方享有供应商免费提供的</w:t>
      </w:r>
      <w:r>
        <w:rPr>
          <w:rFonts w:hint="eastAsia"/>
          <w:szCs w:val="21"/>
        </w:rPr>
        <w:t>30</w:t>
      </w:r>
      <w:r>
        <w:rPr>
          <w:szCs w:val="21"/>
        </w:rPr>
        <w:t>天的信息系统试运行现场驻场服务期。该期间内，供应商应当按照招标方的要求提供现场技术支持服务，解决信息系统试运行期间可能出现的各类问题，或进一步提高与完善信息系统运行水平。</w:t>
      </w:r>
    </w:p>
    <w:p>
      <w:pPr>
        <w:rPr>
          <w:rFonts w:hint="eastAsia"/>
          <w:szCs w:val="21"/>
        </w:rPr>
      </w:pPr>
      <w:r>
        <w:rPr>
          <w:rFonts w:hint="eastAsia"/>
          <w:szCs w:val="21"/>
        </w:rPr>
        <w:t>（</w:t>
      </w:r>
      <w:r>
        <w:rPr>
          <w:szCs w:val="21"/>
        </w:rPr>
        <w:t>5）初验通过且信息系统试运行期已经达到本项目约定的时间，经供应商确认信息系统具备正常运行条件，且信息系统通过运行测试，供应商应以书面形式通知招标方信息系统已准备就绪等待终验。招标方在收到终验通知后的</w:t>
      </w:r>
      <w:r>
        <w:rPr>
          <w:rFonts w:hint="eastAsia"/>
          <w:szCs w:val="21"/>
        </w:rPr>
        <w:t>20</w:t>
      </w:r>
      <w:r>
        <w:rPr>
          <w:szCs w:val="21"/>
        </w:rPr>
        <w:t>个工作日内发起组织专家验收会。</w:t>
      </w:r>
    </w:p>
    <w:p>
      <w:pPr>
        <w:rPr>
          <w:rFonts w:hint="eastAsia"/>
          <w:szCs w:val="21"/>
        </w:rPr>
      </w:pPr>
      <w:r>
        <w:rPr>
          <w:rFonts w:hint="eastAsia"/>
          <w:szCs w:val="21"/>
        </w:rPr>
        <w:t>（6</w:t>
      </w:r>
      <w:r>
        <w:rPr>
          <w:szCs w:val="21"/>
        </w:rPr>
        <w:t>）如果属于供应商原因致使本项目未能通过终验，供应商应当排除缺陷，直至本项目完全符合验收标准，由上述情形而产生的相关费用应由供应商自行承担。</w:t>
      </w:r>
    </w:p>
    <w:p>
      <w:pPr>
        <w:rPr>
          <w:rFonts w:hint="eastAsia"/>
          <w:szCs w:val="21"/>
        </w:rPr>
      </w:pPr>
      <w:r>
        <w:rPr>
          <w:rFonts w:hint="eastAsia"/>
          <w:szCs w:val="21"/>
        </w:rPr>
        <w:t>（7</w:t>
      </w:r>
      <w:r>
        <w:rPr>
          <w:szCs w:val="21"/>
        </w:rPr>
        <w:t>）如果由于招标方原因导致本项目在终验通过前出现故障或问题，供应商应及时配合排除该方面的故障或问题。</w:t>
      </w:r>
    </w:p>
    <w:p>
      <w:pPr>
        <w:rPr>
          <w:rFonts w:hint="eastAsia"/>
          <w:szCs w:val="21"/>
        </w:rPr>
      </w:pPr>
      <w:r>
        <w:rPr>
          <w:rFonts w:hint="eastAsia"/>
          <w:szCs w:val="21"/>
        </w:rPr>
        <w:t>（8</w:t>
      </w:r>
      <w:r>
        <w:rPr>
          <w:szCs w:val="21"/>
        </w:rPr>
        <w:t>）如本项目连续3次验收未通过（含初验未通过或终验未通过），招标方有权解除项目，并有权依照本项目约定的违约条款追究供应商的违约责任。</w:t>
      </w:r>
    </w:p>
    <w:p>
      <w:pPr>
        <w:pStyle w:val="3"/>
        <w:rPr>
          <w:rFonts w:hint="eastAsia"/>
        </w:rPr>
      </w:pPr>
      <w:bookmarkStart w:id="31" w:name="_Toc63785509"/>
      <w:r>
        <w:rPr>
          <w:rFonts w:hint="eastAsia"/>
        </w:rPr>
        <w:t>进度要求</w:t>
      </w:r>
      <w:bookmarkEnd w:id="31"/>
    </w:p>
    <w:p>
      <w:pPr>
        <w:rPr>
          <w:rFonts w:hint="eastAsia"/>
        </w:rPr>
      </w:pPr>
      <w:r>
        <w:rPr>
          <w:rFonts w:hint="eastAsia"/>
        </w:rPr>
        <w:t>投标人应根据建设内容，分阶段制定合理的时间进度，并且应根据招标方要求进行调整和细化。</w:t>
      </w:r>
    </w:p>
    <w:p>
      <w:pPr>
        <w:rPr>
          <w:rFonts w:hint="eastAsia"/>
        </w:rPr>
      </w:pPr>
      <w:r>
        <w:rPr>
          <w:rFonts w:hint="eastAsia"/>
        </w:rPr>
        <w:t>总建设周期为8个月，分为4个阶段。</w:t>
      </w:r>
    </w:p>
    <w:p>
      <w:pPr>
        <w:rPr>
          <w:rFonts w:hint="eastAsia"/>
        </w:rPr>
      </w:pPr>
      <w:bookmarkStart w:id="32" w:name="_Toc63785510"/>
      <w:r>
        <w:rPr>
          <w:rFonts w:hint="eastAsia"/>
        </w:rPr>
        <w:t>第一阶段为1个月，完成项目有关业务、系统和需求的调研，形成总体设计方案，完成系统架构、基础资源、功能等详细设计，并提供主体建设内容的部分系统原型。</w:t>
      </w:r>
    </w:p>
    <w:p>
      <w:pPr>
        <w:rPr>
          <w:rFonts w:hint="eastAsia"/>
        </w:rPr>
      </w:pPr>
      <w:r>
        <w:rPr>
          <w:rFonts w:hint="eastAsia"/>
        </w:rPr>
        <w:t>第二阶段为5个月，完成数据归集整合、资源申请和各模块的开发与测试工作，完成系统联调与部署，发布beta测试版本。</w:t>
      </w:r>
    </w:p>
    <w:p>
      <w:pPr>
        <w:rPr>
          <w:rFonts w:hint="eastAsia"/>
        </w:rPr>
      </w:pPr>
      <w:r>
        <w:rPr>
          <w:rFonts w:hint="eastAsia"/>
        </w:rPr>
        <w:t>第三阶段为1个月，完成项目功能试运行，修正各模块联调中出现的问题，完成系统完善和功能迭代，直至发布正式运行版本。</w:t>
      </w:r>
    </w:p>
    <w:p>
      <w:pPr>
        <w:rPr>
          <w:rFonts w:hint="eastAsia"/>
        </w:rPr>
      </w:pPr>
      <w:r>
        <w:rPr>
          <w:rFonts w:hint="eastAsia"/>
        </w:rPr>
        <w:t>第四阶段为1个月，完成项目验收并启动项目的正式运行，根据项目运行情况和验收要求开展项目测评、功能优化和绩效评价等工作。</w:t>
      </w:r>
    </w:p>
    <w:p>
      <w:pPr>
        <w:pStyle w:val="3"/>
        <w:rPr>
          <w:rFonts w:hint="eastAsia"/>
        </w:rPr>
      </w:pPr>
      <w:r>
        <w:rPr>
          <w:rFonts w:hint="eastAsia"/>
        </w:rPr>
        <w:t>项目团队及驻场人员要求</w:t>
      </w:r>
      <w:bookmarkEnd w:id="32"/>
    </w:p>
    <w:p>
      <w:pPr>
        <w:rPr>
          <w:rFonts w:hint="eastAsia"/>
        </w:rPr>
      </w:pPr>
      <w:r>
        <w:t>1）投标人须具有稳定的在职技术保障力量，能够提供及时的技术支援或服务，应针对本项目提供不少于</w:t>
      </w:r>
      <w:r>
        <w:rPr>
          <w:rFonts w:hint="eastAsia"/>
        </w:rPr>
        <w:t>13</w:t>
      </w:r>
      <w:r>
        <w:t>人的项目服务团队（包括项目经理、技术负责人、研发等），投标单位的相关服务人员需具备相应的服务能力，需提供相关证明。</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840"/>
        <w:gridCol w:w="1180"/>
        <w:gridCol w:w="2647"/>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vAlign w:val="center"/>
          </w:tcPr>
          <w:p>
            <w:pPr>
              <w:widowControl/>
              <w:spacing w:line="240" w:lineRule="auto"/>
              <w:ind w:firstLine="0" w:firstLineChars="0"/>
              <w:jc w:val="center"/>
              <w:rPr>
                <w:rFonts w:hint="eastAsia"/>
                <w:b/>
              </w:rPr>
            </w:pPr>
            <w:r>
              <w:rPr>
                <w:rFonts w:hint="eastAsia"/>
                <w:b/>
              </w:rPr>
              <w:t>角色</w:t>
            </w:r>
          </w:p>
        </w:tc>
        <w:tc>
          <w:tcPr>
            <w:tcW w:w="1840" w:type="dxa"/>
            <w:shd w:val="clear" w:color="auto" w:fill="auto"/>
            <w:noWrap/>
            <w:vAlign w:val="center"/>
          </w:tcPr>
          <w:p>
            <w:pPr>
              <w:widowControl/>
              <w:spacing w:line="240" w:lineRule="auto"/>
              <w:ind w:firstLine="0" w:firstLineChars="0"/>
              <w:jc w:val="center"/>
              <w:rPr>
                <w:rFonts w:hint="eastAsia"/>
                <w:b/>
              </w:rPr>
            </w:pPr>
            <w:r>
              <w:rPr>
                <w:rFonts w:hint="eastAsia"/>
                <w:b/>
              </w:rPr>
              <w:t>主要职责</w:t>
            </w:r>
          </w:p>
        </w:tc>
        <w:tc>
          <w:tcPr>
            <w:tcW w:w="1180" w:type="dxa"/>
            <w:shd w:val="clear" w:color="auto" w:fill="auto"/>
            <w:noWrap/>
            <w:vAlign w:val="center"/>
          </w:tcPr>
          <w:p>
            <w:pPr>
              <w:widowControl/>
              <w:spacing w:line="240" w:lineRule="auto"/>
              <w:ind w:firstLine="0" w:firstLineChars="0"/>
              <w:jc w:val="center"/>
              <w:rPr>
                <w:rFonts w:hint="eastAsia"/>
                <w:b/>
              </w:rPr>
            </w:pPr>
            <w:r>
              <w:rPr>
                <w:rFonts w:hint="eastAsia"/>
                <w:b/>
              </w:rPr>
              <w:t>人员数量</w:t>
            </w:r>
          </w:p>
        </w:tc>
        <w:tc>
          <w:tcPr>
            <w:tcW w:w="2647" w:type="dxa"/>
            <w:vAlign w:val="center"/>
          </w:tcPr>
          <w:p>
            <w:pPr>
              <w:widowControl/>
              <w:spacing w:line="240" w:lineRule="auto"/>
              <w:ind w:firstLine="0" w:firstLineChars="0"/>
              <w:jc w:val="center"/>
              <w:rPr>
                <w:rFonts w:hint="eastAsia"/>
                <w:b/>
              </w:rPr>
            </w:pPr>
            <w:r>
              <w:rPr>
                <w:rFonts w:hint="eastAsia"/>
                <w:b/>
              </w:rPr>
              <w:t>人员要求</w:t>
            </w:r>
          </w:p>
        </w:tc>
        <w:tc>
          <w:tcPr>
            <w:tcW w:w="1180" w:type="dxa"/>
            <w:shd w:val="clear" w:color="auto" w:fill="auto"/>
            <w:noWrap/>
            <w:vAlign w:val="center"/>
          </w:tcPr>
          <w:p>
            <w:pPr>
              <w:widowControl/>
              <w:spacing w:line="240" w:lineRule="auto"/>
              <w:ind w:firstLine="0" w:firstLineChars="0"/>
              <w:jc w:val="center"/>
              <w:rPr>
                <w:rFonts w:hint="eastAsia"/>
                <w:b/>
              </w:rPr>
            </w:pPr>
            <w:r>
              <w:rPr>
                <w:rFonts w:hint="eastAsia"/>
                <w:b/>
              </w:rPr>
              <w:t>驻场要求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vAlign w:val="center"/>
          </w:tcPr>
          <w:p>
            <w:pPr>
              <w:widowControl/>
              <w:spacing w:line="240" w:lineRule="auto"/>
              <w:ind w:firstLine="0" w:firstLineChars="0"/>
              <w:jc w:val="center"/>
              <w:rPr>
                <w:rFonts w:hint="eastAsia"/>
              </w:rPr>
            </w:pPr>
            <w:bookmarkStart w:id="33" w:name="OLE_LINK19" w:colFirst="3" w:colLast="3"/>
            <w:r>
              <w:rPr>
                <w:rFonts w:hint="eastAsia"/>
              </w:rPr>
              <w:t>项目经理</w:t>
            </w:r>
          </w:p>
        </w:tc>
        <w:tc>
          <w:tcPr>
            <w:tcW w:w="1840" w:type="dxa"/>
            <w:shd w:val="clear" w:color="auto" w:fill="auto"/>
            <w:vAlign w:val="center"/>
          </w:tcPr>
          <w:p>
            <w:pPr>
              <w:widowControl/>
              <w:spacing w:line="240" w:lineRule="auto"/>
              <w:ind w:firstLine="0" w:firstLineChars="0"/>
              <w:jc w:val="center"/>
              <w:rPr>
                <w:rFonts w:hint="eastAsia"/>
              </w:rPr>
            </w:pPr>
            <w:r>
              <w:rPr>
                <w:rFonts w:hint="eastAsia"/>
              </w:rPr>
              <w:t>负责项目质量和进度控制</w:t>
            </w:r>
          </w:p>
        </w:tc>
        <w:tc>
          <w:tcPr>
            <w:tcW w:w="1180" w:type="dxa"/>
            <w:shd w:val="clear" w:color="auto" w:fill="auto"/>
            <w:noWrap/>
            <w:vAlign w:val="center"/>
          </w:tcPr>
          <w:p>
            <w:pPr>
              <w:widowControl/>
              <w:spacing w:line="240" w:lineRule="auto"/>
              <w:ind w:firstLine="0" w:firstLineChars="0"/>
              <w:jc w:val="center"/>
              <w:rPr>
                <w:rFonts w:hint="eastAsia"/>
              </w:rPr>
            </w:pPr>
            <w:r>
              <w:rPr>
                <w:rFonts w:hint="eastAsia"/>
              </w:rPr>
              <w:t>1人</w:t>
            </w:r>
          </w:p>
        </w:tc>
        <w:tc>
          <w:tcPr>
            <w:tcW w:w="2647" w:type="dxa"/>
          </w:tcPr>
          <w:p>
            <w:pPr>
              <w:widowControl/>
              <w:spacing w:line="240" w:lineRule="auto"/>
              <w:ind w:firstLine="0" w:firstLineChars="0"/>
              <w:jc w:val="center"/>
              <w:rPr>
                <w:rFonts w:hint="eastAsia" w:eastAsia="宋体"/>
                <w:lang w:val="en-US" w:eastAsia="zh-CN"/>
              </w:rPr>
            </w:pPr>
            <w:r>
              <w:rPr>
                <w:rFonts w:hint="eastAsia"/>
              </w:rPr>
              <w:t>本科及以上学历</w:t>
            </w:r>
            <w:bookmarkStart w:id="34" w:name="OLE_LINK20"/>
            <w:r>
              <w:rPr>
                <w:rFonts w:hint="eastAsia" w:cs="宋体"/>
              </w:rPr>
              <w:t>，具有软考取得的软件设计师（中级）证书或任意高级证书、或计算机类中级工程师职称证书</w:t>
            </w:r>
            <w:bookmarkEnd w:id="34"/>
          </w:p>
        </w:tc>
        <w:tc>
          <w:tcPr>
            <w:tcW w:w="1180" w:type="dxa"/>
            <w:shd w:val="clear" w:color="auto" w:fill="auto"/>
            <w:noWrap/>
            <w:vAlign w:val="center"/>
          </w:tcPr>
          <w:p>
            <w:pPr>
              <w:widowControl/>
              <w:spacing w:line="240" w:lineRule="auto"/>
              <w:ind w:firstLine="0" w:firstLineChars="0"/>
              <w:jc w:val="center"/>
              <w:rPr>
                <w:rFonts w:hint="eastAsia"/>
              </w:rPr>
            </w:pPr>
            <w:bookmarkStart w:id="35" w:name="OLE_LINK18"/>
            <w:r>
              <w:rPr>
                <w:rFonts w:hint="eastAsia"/>
              </w:rPr>
              <w:t>驻场</w:t>
            </w:r>
            <w:bookmarkEnd w:id="35"/>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tcPr>
          <w:p>
            <w:pPr>
              <w:widowControl/>
              <w:spacing w:line="240" w:lineRule="auto"/>
              <w:ind w:firstLine="0" w:firstLineChars="0"/>
              <w:jc w:val="center"/>
              <w:rPr>
                <w:rFonts w:hint="eastAsia"/>
              </w:rPr>
            </w:pPr>
            <w:bookmarkStart w:id="36" w:name="OLE_LINK10"/>
            <w:r>
              <w:rPr>
                <w:rFonts w:hint="eastAsia"/>
              </w:rPr>
              <w:t>技术负责人</w:t>
            </w:r>
            <w:bookmarkEnd w:id="36"/>
          </w:p>
        </w:tc>
        <w:tc>
          <w:tcPr>
            <w:tcW w:w="1840" w:type="dxa"/>
            <w:shd w:val="clear" w:color="auto" w:fill="auto"/>
          </w:tcPr>
          <w:p>
            <w:pPr>
              <w:widowControl/>
              <w:spacing w:line="240" w:lineRule="auto"/>
              <w:ind w:firstLine="0" w:firstLineChars="0"/>
              <w:jc w:val="center"/>
              <w:rPr>
                <w:rFonts w:hint="eastAsia"/>
              </w:rPr>
            </w:pPr>
            <w:r>
              <w:rPr>
                <w:rFonts w:hint="eastAsia"/>
              </w:rPr>
              <w:t>负责项目具体开发、设计与实施</w:t>
            </w:r>
          </w:p>
        </w:tc>
        <w:tc>
          <w:tcPr>
            <w:tcW w:w="1180" w:type="dxa"/>
            <w:shd w:val="clear" w:color="auto" w:fill="auto"/>
            <w:noWrap/>
          </w:tcPr>
          <w:p>
            <w:pPr>
              <w:widowControl/>
              <w:spacing w:line="240" w:lineRule="auto"/>
              <w:ind w:firstLine="0" w:firstLineChars="0"/>
              <w:jc w:val="center"/>
              <w:rPr>
                <w:rFonts w:hint="eastAsia"/>
              </w:rPr>
            </w:pPr>
            <w:r>
              <w:rPr>
                <w:rFonts w:hint="eastAsia"/>
              </w:rPr>
              <w:t>1人</w:t>
            </w:r>
          </w:p>
        </w:tc>
        <w:tc>
          <w:tcPr>
            <w:tcW w:w="2647" w:type="dxa"/>
          </w:tcPr>
          <w:p>
            <w:pPr>
              <w:widowControl/>
              <w:spacing w:line="240" w:lineRule="auto"/>
              <w:ind w:firstLine="0" w:firstLineChars="0"/>
              <w:jc w:val="center"/>
              <w:rPr>
                <w:rFonts w:hint="eastAsia"/>
              </w:rPr>
            </w:pPr>
            <w:r>
              <w:rPr>
                <w:rFonts w:hint="eastAsia"/>
              </w:rPr>
              <w:t>本科及以上学历</w:t>
            </w:r>
            <w:bookmarkStart w:id="37" w:name="OLE_LINK21"/>
            <w:r>
              <w:rPr>
                <w:rFonts w:hint="eastAsia"/>
                <w:lang w:eastAsia="zh-CN"/>
              </w:rPr>
              <w:t>，</w:t>
            </w:r>
            <w:r>
              <w:rPr>
                <w:rFonts w:hint="eastAsia" w:cs="宋体"/>
              </w:rPr>
              <w:t>具有软考取得的软件设计师（中级）证书或任意高级证书、计算机类中级工程师职称证书、或信息安全保障人员认证证书</w:t>
            </w:r>
            <w:bookmarkEnd w:id="37"/>
          </w:p>
        </w:tc>
        <w:tc>
          <w:tcPr>
            <w:tcW w:w="1180" w:type="dxa"/>
            <w:shd w:val="clear" w:color="auto" w:fill="auto"/>
            <w:noWrap/>
          </w:tcPr>
          <w:p>
            <w:pPr>
              <w:widowControl/>
              <w:spacing w:line="240" w:lineRule="auto"/>
              <w:ind w:firstLine="0" w:firstLineChars="0"/>
              <w:jc w:val="center"/>
              <w:rPr>
                <w:rFonts w:hint="eastAsia"/>
              </w:rPr>
            </w:pPr>
            <w:r>
              <w:rPr>
                <w:rFonts w:hint="eastAsia"/>
              </w:rPr>
              <w:t>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6" w:type="dxa"/>
            <w:shd w:val="clear" w:color="auto" w:fill="auto"/>
            <w:noWrap/>
            <w:vAlign w:val="center"/>
          </w:tcPr>
          <w:p>
            <w:pPr>
              <w:widowControl/>
              <w:spacing w:line="240" w:lineRule="auto"/>
              <w:ind w:firstLine="0" w:firstLineChars="0"/>
              <w:jc w:val="center"/>
              <w:rPr>
                <w:rFonts w:hint="eastAsia"/>
              </w:rPr>
            </w:pPr>
            <w:r>
              <w:rPr>
                <w:rFonts w:hint="eastAsia"/>
              </w:rPr>
              <w:t>研发</w:t>
            </w:r>
          </w:p>
        </w:tc>
        <w:tc>
          <w:tcPr>
            <w:tcW w:w="1840" w:type="dxa"/>
            <w:shd w:val="clear" w:color="auto" w:fill="auto"/>
            <w:noWrap/>
            <w:vAlign w:val="center"/>
          </w:tcPr>
          <w:p>
            <w:pPr>
              <w:widowControl/>
              <w:spacing w:line="240" w:lineRule="auto"/>
              <w:ind w:firstLine="0" w:firstLineChars="0"/>
              <w:jc w:val="center"/>
              <w:rPr>
                <w:rFonts w:hint="eastAsia"/>
              </w:rPr>
            </w:pPr>
            <w:r>
              <w:rPr>
                <w:rFonts w:hint="eastAsia"/>
              </w:rPr>
              <w:t>负责项目具体开发与实施</w:t>
            </w:r>
          </w:p>
        </w:tc>
        <w:tc>
          <w:tcPr>
            <w:tcW w:w="1180" w:type="dxa"/>
            <w:shd w:val="clear" w:color="auto" w:fill="auto"/>
            <w:noWrap/>
            <w:vAlign w:val="center"/>
          </w:tcPr>
          <w:p>
            <w:pPr>
              <w:widowControl/>
              <w:spacing w:line="240" w:lineRule="auto"/>
              <w:ind w:firstLine="0" w:firstLineChars="0"/>
              <w:jc w:val="center"/>
              <w:rPr>
                <w:rFonts w:hint="eastAsia"/>
              </w:rPr>
            </w:pPr>
            <w:r>
              <w:rPr>
                <w:rFonts w:hint="eastAsia"/>
              </w:rPr>
              <w:t>11人</w:t>
            </w:r>
          </w:p>
        </w:tc>
        <w:tc>
          <w:tcPr>
            <w:tcW w:w="2647" w:type="dxa"/>
          </w:tcPr>
          <w:p>
            <w:pPr>
              <w:widowControl/>
              <w:spacing w:line="240" w:lineRule="auto"/>
              <w:ind w:firstLine="0" w:firstLineChars="0"/>
              <w:jc w:val="center"/>
              <w:rPr>
                <w:rFonts w:hint="eastAsia"/>
              </w:rPr>
            </w:pPr>
            <w:r>
              <w:rPr>
                <w:rFonts w:hint="eastAsia"/>
              </w:rPr>
              <w:t>专科及以上学历</w:t>
            </w:r>
          </w:p>
        </w:tc>
        <w:tc>
          <w:tcPr>
            <w:tcW w:w="1180" w:type="dxa"/>
            <w:shd w:val="clear" w:color="auto" w:fill="auto"/>
            <w:noWrap/>
            <w:vAlign w:val="center"/>
          </w:tcPr>
          <w:p>
            <w:pPr>
              <w:widowControl/>
              <w:spacing w:line="240" w:lineRule="auto"/>
              <w:ind w:firstLine="0" w:firstLineChars="0"/>
              <w:jc w:val="center"/>
              <w:rPr>
                <w:rFonts w:hint="eastAsia"/>
              </w:rPr>
            </w:pPr>
            <w:r>
              <w:rPr>
                <w:rFonts w:hint="eastAsia"/>
              </w:rPr>
              <w:t>驻场3人</w:t>
            </w:r>
          </w:p>
        </w:tc>
      </w:tr>
    </w:tbl>
    <w:p>
      <w:pPr>
        <w:rPr>
          <w:rFonts w:hint="eastAsia"/>
        </w:rPr>
      </w:pPr>
      <w:bookmarkStart w:id="38" w:name="_Toc63785511"/>
      <w:bookmarkStart w:id="39" w:name="_Toc63785512"/>
      <w:r>
        <w:t>2）投标人应针对本项目提供不少于</w:t>
      </w:r>
      <w:r>
        <w:rPr>
          <w:rFonts w:hint="eastAsia"/>
        </w:rPr>
        <w:t>5</w:t>
      </w:r>
      <w:r>
        <w:t>人的质保期间支撑团队（其中技术经理</w:t>
      </w:r>
      <w:r>
        <w:rPr>
          <w:rFonts w:hint="eastAsia"/>
        </w:rPr>
        <w:t>1</w:t>
      </w:r>
      <w:r>
        <w:t>人，产品经理</w:t>
      </w:r>
      <w:r>
        <w:rPr>
          <w:rFonts w:hint="eastAsia"/>
        </w:rPr>
        <w:t>1</w:t>
      </w:r>
      <w:r>
        <w:t>人，技术工程师不少于</w:t>
      </w:r>
      <w:r>
        <w:rPr>
          <w:rFonts w:hint="eastAsia"/>
        </w:rPr>
        <w:t>3</w:t>
      </w:r>
      <w:r>
        <w:t>人）；投标人的相关服务人员需具备相应的服务能力，需提供相关证明（最近一个季度依法缴纳社保费的证明）。</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3118"/>
        <w:gridCol w:w="1180"/>
        <w:gridCol w:w="1634"/>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b/>
              </w:rPr>
            </w:pPr>
            <w:r>
              <w:rPr>
                <w:rFonts w:hint="eastAsia"/>
                <w:b/>
              </w:rPr>
              <w:t>角色</w:t>
            </w:r>
          </w:p>
        </w:tc>
        <w:tc>
          <w:tcPr>
            <w:tcW w:w="0" w:type="auto"/>
            <w:shd w:val="clear" w:color="auto" w:fill="auto"/>
            <w:noWrap/>
            <w:vAlign w:val="center"/>
          </w:tcPr>
          <w:p>
            <w:pPr>
              <w:widowControl/>
              <w:spacing w:line="240" w:lineRule="auto"/>
              <w:ind w:firstLine="0" w:firstLineChars="0"/>
              <w:jc w:val="center"/>
              <w:rPr>
                <w:rFonts w:hint="eastAsia"/>
                <w:b/>
              </w:rPr>
            </w:pPr>
            <w:r>
              <w:rPr>
                <w:rFonts w:hint="eastAsia"/>
                <w:b/>
              </w:rPr>
              <w:t>主要职责</w:t>
            </w:r>
          </w:p>
        </w:tc>
        <w:tc>
          <w:tcPr>
            <w:tcW w:w="0" w:type="auto"/>
            <w:shd w:val="clear" w:color="auto" w:fill="auto"/>
            <w:noWrap/>
            <w:vAlign w:val="center"/>
          </w:tcPr>
          <w:p>
            <w:pPr>
              <w:widowControl/>
              <w:spacing w:line="240" w:lineRule="auto"/>
              <w:ind w:firstLine="0" w:firstLineChars="0"/>
              <w:jc w:val="center"/>
              <w:rPr>
                <w:rFonts w:hint="eastAsia"/>
                <w:b/>
              </w:rPr>
            </w:pPr>
            <w:r>
              <w:rPr>
                <w:rFonts w:hint="eastAsia"/>
                <w:b/>
              </w:rPr>
              <w:t>人员数量</w:t>
            </w:r>
          </w:p>
        </w:tc>
        <w:tc>
          <w:tcPr>
            <w:tcW w:w="0" w:type="auto"/>
            <w:vAlign w:val="center"/>
          </w:tcPr>
          <w:p>
            <w:pPr>
              <w:widowControl/>
              <w:spacing w:line="240" w:lineRule="auto"/>
              <w:ind w:firstLine="0" w:firstLineChars="0"/>
              <w:jc w:val="center"/>
              <w:rPr>
                <w:rFonts w:hint="eastAsia"/>
                <w:b/>
              </w:rPr>
            </w:pPr>
            <w:r>
              <w:rPr>
                <w:rFonts w:hint="eastAsia"/>
                <w:b/>
              </w:rPr>
              <w:t>人员要求</w:t>
            </w:r>
          </w:p>
        </w:tc>
        <w:tc>
          <w:tcPr>
            <w:tcW w:w="0" w:type="auto"/>
            <w:shd w:val="clear" w:color="auto" w:fill="auto"/>
            <w:noWrap/>
            <w:vAlign w:val="center"/>
          </w:tcPr>
          <w:p>
            <w:pPr>
              <w:widowControl/>
              <w:spacing w:line="240" w:lineRule="auto"/>
              <w:ind w:firstLine="0" w:firstLineChars="0"/>
              <w:jc w:val="center"/>
              <w:rPr>
                <w:rFonts w:hint="eastAsia"/>
                <w:b/>
              </w:rPr>
            </w:pPr>
            <w:r>
              <w:rPr>
                <w:rFonts w:hint="eastAsia"/>
                <w:b/>
              </w:rPr>
              <w:t>驻场要求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rPr>
            </w:pPr>
            <w:r>
              <w:rPr>
                <w:rFonts w:hint="eastAsia"/>
              </w:rPr>
              <w:t>项目经理</w:t>
            </w:r>
          </w:p>
        </w:tc>
        <w:tc>
          <w:tcPr>
            <w:tcW w:w="0" w:type="auto"/>
            <w:shd w:val="clear" w:color="auto" w:fill="auto"/>
            <w:vAlign w:val="center"/>
          </w:tcPr>
          <w:p>
            <w:pPr>
              <w:widowControl/>
              <w:spacing w:line="240" w:lineRule="auto"/>
              <w:ind w:firstLine="0" w:firstLineChars="0"/>
              <w:jc w:val="center"/>
              <w:rPr>
                <w:rFonts w:hint="eastAsia"/>
              </w:rPr>
            </w:pPr>
            <w:r>
              <w:rPr>
                <w:rFonts w:hint="eastAsia"/>
              </w:rPr>
              <w:t>负责项目质量和进度控制</w:t>
            </w:r>
          </w:p>
        </w:tc>
        <w:tc>
          <w:tcPr>
            <w:tcW w:w="0" w:type="auto"/>
            <w:shd w:val="clear" w:color="auto" w:fill="auto"/>
            <w:noWrap/>
            <w:vAlign w:val="center"/>
          </w:tcPr>
          <w:p>
            <w:pPr>
              <w:widowControl/>
              <w:spacing w:line="240" w:lineRule="auto"/>
              <w:ind w:firstLine="0" w:firstLineChars="0"/>
              <w:jc w:val="center"/>
              <w:rPr>
                <w:rFonts w:hint="eastAsia"/>
              </w:rPr>
            </w:pPr>
            <w:r>
              <w:rPr>
                <w:rFonts w:hint="eastAsia"/>
              </w:rPr>
              <w:t>1人</w:t>
            </w:r>
          </w:p>
        </w:tc>
        <w:tc>
          <w:tcPr>
            <w:tcW w:w="0" w:type="auto"/>
          </w:tcPr>
          <w:p>
            <w:pPr>
              <w:widowControl/>
              <w:spacing w:line="240" w:lineRule="auto"/>
              <w:ind w:firstLine="0" w:firstLineChars="0"/>
              <w:jc w:val="center"/>
              <w:rPr>
                <w:rFonts w:hint="eastAsia"/>
              </w:rPr>
            </w:pPr>
            <w:r>
              <w:rPr>
                <w:rFonts w:hint="eastAsia"/>
              </w:rPr>
              <w:t>本科及以上学历</w:t>
            </w:r>
          </w:p>
        </w:tc>
        <w:tc>
          <w:tcPr>
            <w:tcW w:w="0" w:type="auto"/>
            <w:shd w:val="clear" w:color="auto" w:fill="auto"/>
            <w:noWrap/>
            <w:vAlign w:val="center"/>
          </w:tcPr>
          <w:p>
            <w:pPr>
              <w:widowControl/>
              <w:spacing w:line="240" w:lineRule="auto"/>
              <w:ind w:firstLine="0" w:firstLineChars="0"/>
              <w:jc w:val="center"/>
              <w:rPr>
                <w:rFonts w:hint="eastAsia"/>
              </w:rPr>
            </w:pPr>
            <w:r>
              <w:rPr>
                <w:rFonts w:hint="eastAsia"/>
              </w:rPr>
              <w:t>不驻场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rPr>
            </w:pPr>
            <w:r>
              <w:rPr>
                <w:rFonts w:hint="eastAsia"/>
              </w:rPr>
              <w:t>产品经理</w:t>
            </w:r>
          </w:p>
        </w:tc>
        <w:tc>
          <w:tcPr>
            <w:tcW w:w="0" w:type="auto"/>
            <w:shd w:val="clear" w:color="auto" w:fill="auto"/>
            <w:vAlign w:val="center"/>
          </w:tcPr>
          <w:p>
            <w:pPr>
              <w:widowControl/>
              <w:spacing w:line="240" w:lineRule="auto"/>
              <w:ind w:firstLine="0" w:firstLineChars="0"/>
              <w:jc w:val="center"/>
              <w:rPr>
                <w:rFonts w:hint="eastAsia"/>
              </w:rPr>
            </w:pPr>
            <w:r>
              <w:rPr>
                <w:rFonts w:hint="eastAsia"/>
              </w:rPr>
              <w:t>负责项目需求评估与产品设计</w:t>
            </w:r>
          </w:p>
        </w:tc>
        <w:tc>
          <w:tcPr>
            <w:tcW w:w="0" w:type="auto"/>
            <w:shd w:val="clear" w:color="auto" w:fill="auto"/>
            <w:noWrap/>
            <w:vAlign w:val="center"/>
          </w:tcPr>
          <w:p>
            <w:pPr>
              <w:widowControl/>
              <w:spacing w:line="240" w:lineRule="auto"/>
              <w:ind w:firstLine="0" w:firstLineChars="0"/>
              <w:jc w:val="center"/>
              <w:rPr>
                <w:rFonts w:hint="eastAsia"/>
              </w:rPr>
            </w:pPr>
            <w:r>
              <w:rPr>
                <w:rFonts w:hint="eastAsia"/>
              </w:rPr>
              <w:t>1人</w:t>
            </w:r>
          </w:p>
        </w:tc>
        <w:tc>
          <w:tcPr>
            <w:tcW w:w="0" w:type="auto"/>
          </w:tcPr>
          <w:p>
            <w:pPr>
              <w:widowControl/>
              <w:spacing w:line="240" w:lineRule="auto"/>
              <w:ind w:firstLine="0" w:firstLineChars="0"/>
              <w:jc w:val="center"/>
              <w:rPr>
                <w:rFonts w:hint="eastAsia"/>
              </w:rPr>
            </w:pPr>
            <w:r>
              <w:rPr>
                <w:rFonts w:hint="eastAsia"/>
              </w:rPr>
              <w:t>本科及以上学历</w:t>
            </w:r>
          </w:p>
        </w:tc>
        <w:tc>
          <w:tcPr>
            <w:tcW w:w="0" w:type="auto"/>
            <w:shd w:val="clear" w:color="auto" w:fill="auto"/>
            <w:noWrap/>
            <w:vAlign w:val="center"/>
          </w:tcPr>
          <w:p>
            <w:pPr>
              <w:widowControl/>
              <w:spacing w:line="240" w:lineRule="auto"/>
              <w:ind w:firstLine="0" w:firstLineChars="0"/>
              <w:jc w:val="center"/>
              <w:rPr>
                <w:rFonts w:hint="eastAsia"/>
              </w:rPr>
            </w:pPr>
            <w:r>
              <w:rPr>
                <w:rFonts w:hint="eastAsia"/>
              </w:rPr>
              <w:t>不驻场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widowControl/>
              <w:spacing w:line="240" w:lineRule="auto"/>
              <w:ind w:firstLine="0" w:firstLineChars="0"/>
              <w:jc w:val="center"/>
              <w:rPr>
                <w:rFonts w:hint="eastAsia"/>
              </w:rPr>
            </w:pPr>
            <w:r>
              <w:rPr>
                <w:rFonts w:hint="eastAsia"/>
              </w:rPr>
              <w:t>技术工程师</w:t>
            </w:r>
          </w:p>
        </w:tc>
        <w:tc>
          <w:tcPr>
            <w:tcW w:w="0" w:type="auto"/>
            <w:shd w:val="clear" w:color="auto" w:fill="auto"/>
            <w:noWrap/>
            <w:vAlign w:val="center"/>
          </w:tcPr>
          <w:p>
            <w:pPr>
              <w:widowControl/>
              <w:spacing w:line="240" w:lineRule="auto"/>
              <w:ind w:firstLine="0" w:firstLineChars="0"/>
              <w:jc w:val="center"/>
              <w:rPr>
                <w:rFonts w:hint="eastAsia"/>
              </w:rPr>
            </w:pPr>
            <w:r>
              <w:rPr>
                <w:rFonts w:hint="eastAsia"/>
              </w:rPr>
              <w:t>负责项目运行维护</w:t>
            </w:r>
          </w:p>
        </w:tc>
        <w:tc>
          <w:tcPr>
            <w:tcW w:w="0" w:type="auto"/>
            <w:shd w:val="clear" w:color="auto" w:fill="auto"/>
            <w:noWrap/>
            <w:vAlign w:val="center"/>
          </w:tcPr>
          <w:p>
            <w:pPr>
              <w:widowControl/>
              <w:spacing w:line="240" w:lineRule="auto"/>
              <w:ind w:firstLine="0" w:firstLineChars="0"/>
              <w:jc w:val="center"/>
              <w:rPr>
                <w:rFonts w:hint="eastAsia"/>
              </w:rPr>
            </w:pPr>
            <w:r>
              <w:rPr>
                <w:rFonts w:hint="eastAsia"/>
              </w:rPr>
              <w:t>3人</w:t>
            </w:r>
          </w:p>
        </w:tc>
        <w:tc>
          <w:tcPr>
            <w:tcW w:w="0" w:type="auto"/>
          </w:tcPr>
          <w:p>
            <w:pPr>
              <w:widowControl/>
              <w:spacing w:line="240" w:lineRule="auto"/>
              <w:ind w:firstLine="0" w:firstLineChars="0"/>
              <w:jc w:val="center"/>
              <w:rPr>
                <w:rFonts w:hint="eastAsia"/>
              </w:rPr>
            </w:pPr>
            <w:r>
              <w:rPr>
                <w:rFonts w:hint="eastAsia"/>
              </w:rPr>
              <w:t>专科及以上学历</w:t>
            </w:r>
          </w:p>
        </w:tc>
        <w:tc>
          <w:tcPr>
            <w:tcW w:w="0" w:type="auto"/>
            <w:shd w:val="clear" w:color="auto" w:fill="auto"/>
            <w:noWrap/>
            <w:vAlign w:val="center"/>
          </w:tcPr>
          <w:p>
            <w:pPr>
              <w:widowControl/>
              <w:spacing w:line="240" w:lineRule="auto"/>
              <w:ind w:firstLine="0" w:firstLineChars="0"/>
              <w:jc w:val="center"/>
              <w:rPr>
                <w:rFonts w:hint="eastAsia"/>
              </w:rPr>
            </w:pPr>
            <w:r>
              <w:rPr>
                <w:rFonts w:hint="eastAsia"/>
              </w:rPr>
              <w:t>驻场2人</w:t>
            </w:r>
          </w:p>
        </w:tc>
      </w:tr>
    </w:tbl>
    <w:p>
      <w:pPr>
        <w:pStyle w:val="3"/>
        <w:rPr>
          <w:rFonts w:hint="eastAsia"/>
        </w:rPr>
      </w:pPr>
      <w:r>
        <w:t>等级保护要求</w:t>
      </w:r>
      <w:bookmarkEnd w:id="38"/>
    </w:p>
    <w:p>
      <w:pPr>
        <w:rPr>
          <w:rFonts w:hint="eastAsia"/>
        </w:rPr>
      </w:pPr>
      <w:r>
        <w:t>本项目等级保护要求： 参照</w:t>
      </w:r>
      <w:r>
        <w:rPr>
          <w:rFonts w:hint="eastAsia"/>
        </w:rPr>
        <w:t>等保三级</w:t>
      </w:r>
      <w:r>
        <w:t>要求建设。</w:t>
      </w:r>
    </w:p>
    <w:p>
      <w:pPr>
        <w:pStyle w:val="3"/>
        <w:rPr>
          <w:rFonts w:hint="eastAsia"/>
        </w:rPr>
      </w:pPr>
      <w:r>
        <w:rPr>
          <w:rFonts w:hint="eastAsia"/>
        </w:rPr>
        <w:t>商业密码应用需求</w:t>
      </w:r>
    </w:p>
    <w:p>
      <w:pPr>
        <w:rPr>
          <w:rFonts w:hint="eastAsia"/>
        </w:rPr>
      </w:pPr>
      <w:r>
        <w:rPr>
          <w:rFonts w:hint="eastAsia"/>
        </w:rPr>
        <w:t>满足商业密码应用建设要求，并通过商业密码应用安全测评，综合评分需达到75分。</w:t>
      </w:r>
    </w:p>
    <w:p>
      <w:pPr>
        <w:pStyle w:val="3"/>
        <w:rPr>
          <w:rFonts w:hint="eastAsia"/>
        </w:rPr>
      </w:pPr>
      <w:r>
        <w:rPr>
          <w:rFonts w:hint="eastAsia"/>
        </w:rPr>
        <w:t>技术文件要求</w:t>
      </w:r>
    </w:p>
    <w:p>
      <w:pPr>
        <w:rPr>
          <w:rFonts w:hint="eastAsia"/>
        </w:rPr>
      </w:pPr>
      <w:r>
        <w:rPr>
          <w:rFonts w:hint="eastAsia"/>
        </w:rPr>
        <w:t>投标人提供的书面技术资料应能确保系统正常运行所需的管理、运营及维护有关的全套文件。技术文件应该全面、完整、详细。投标人提供的技术文件至少应包括：</w:t>
      </w:r>
    </w:p>
    <w:p>
      <w:pPr>
        <w:rPr>
          <w:rFonts w:hint="eastAsia"/>
        </w:rPr>
      </w:pPr>
      <w:r>
        <w:rPr>
          <w:rFonts w:hint="eastAsia"/>
        </w:rPr>
        <w:t>－</w:t>
      </w:r>
      <w:r>
        <w:t xml:space="preserve"> 系统说明文件； </w:t>
      </w:r>
    </w:p>
    <w:p>
      <w:pPr>
        <w:rPr>
          <w:rFonts w:hint="eastAsia"/>
        </w:rPr>
      </w:pPr>
      <w:r>
        <w:rPr>
          <w:rFonts w:hint="eastAsia"/>
        </w:rPr>
        <w:t>－</w:t>
      </w:r>
      <w:r>
        <w:t xml:space="preserve"> 技术手册(安装、测试、操作、维护、故障排除等)； </w:t>
      </w:r>
    </w:p>
    <w:p>
      <w:pPr>
        <w:rPr>
          <w:rFonts w:hint="eastAsia"/>
        </w:rPr>
      </w:pPr>
      <w:r>
        <w:rPr>
          <w:rFonts w:hint="eastAsia"/>
        </w:rPr>
        <w:t>－</w:t>
      </w:r>
      <w:r>
        <w:t xml:space="preserve"> 项目文档，应该包括：</w:t>
      </w:r>
    </w:p>
    <w:p>
      <w:pPr>
        <w:ind w:left="360"/>
        <w:rPr>
          <w:rFonts w:hint="eastAsia"/>
        </w:rPr>
      </w:pPr>
      <w:r>
        <w:t>(1)软件需求说明书</w:t>
      </w:r>
    </w:p>
    <w:p>
      <w:pPr>
        <w:ind w:left="360"/>
        <w:rPr>
          <w:rFonts w:hint="eastAsia"/>
        </w:rPr>
      </w:pPr>
      <w:r>
        <w:t>(2)</w:t>
      </w:r>
      <w:r>
        <w:tab/>
      </w:r>
      <w:r>
        <w:t>系统总体设计说明书</w:t>
      </w:r>
    </w:p>
    <w:p>
      <w:pPr>
        <w:ind w:left="360"/>
        <w:rPr>
          <w:rFonts w:hint="eastAsia"/>
        </w:rPr>
      </w:pPr>
      <w:r>
        <w:t>(3)</w:t>
      </w:r>
      <w:r>
        <w:tab/>
      </w:r>
      <w:r>
        <w:t>应用软件功能清单</w:t>
      </w:r>
    </w:p>
    <w:p>
      <w:pPr>
        <w:rPr>
          <w:rFonts w:hint="eastAsia"/>
        </w:rPr>
      </w:pPr>
      <w:r>
        <w:rPr>
          <w:rFonts w:hint="eastAsia"/>
        </w:rPr>
        <w:t>提供全套技术文件纸介质</w:t>
      </w:r>
      <w:r>
        <w:t>3套以及电子文件1套。</w:t>
      </w:r>
    </w:p>
    <w:p>
      <w:pPr>
        <w:pStyle w:val="2"/>
        <w:rPr>
          <w:rFonts w:hint="eastAsia"/>
        </w:rPr>
      </w:pPr>
      <w:r>
        <w:rPr>
          <w:rFonts w:hint="eastAsia"/>
        </w:rPr>
        <w:t>供应商要求</w:t>
      </w:r>
    </w:p>
    <w:p>
      <w:pPr>
        <w:rPr>
          <w:rFonts w:hint="default" w:eastAsia="宋体"/>
          <w:lang w:val="en-US" w:eastAsia="zh-CN"/>
        </w:rPr>
      </w:pPr>
      <w:bookmarkStart w:id="40" w:name="OLE_LINK22"/>
      <w:r>
        <w:rPr>
          <w:rFonts w:hint="eastAsia"/>
          <w:lang w:val="en-US" w:eastAsia="zh-CN"/>
        </w:rPr>
        <w:t>供应商应当具有类似项目建设开发经验，具备</w:t>
      </w:r>
      <w:r>
        <w:rPr>
          <w:rFonts w:hint="eastAsia"/>
        </w:rPr>
        <w:t>ISO9001质量管理体系认证证书、ISO20000信息技术服务管理体系认证证书、ISO27001信息安全管理体系认证证书</w:t>
      </w:r>
      <w:r>
        <w:rPr>
          <w:rFonts w:hint="eastAsia"/>
          <w:lang w:val="en-US" w:eastAsia="zh-CN"/>
        </w:rPr>
        <w:t>的优先。</w:t>
      </w:r>
      <w:bookmarkEnd w:id="40"/>
    </w:p>
    <w:p>
      <w:pPr>
        <w:pStyle w:val="2"/>
        <w:rPr>
          <w:rFonts w:hint="eastAsia"/>
        </w:rPr>
      </w:pPr>
      <w:r>
        <w:rPr>
          <w:rFonts w:hint="eastAsia"/>
        </w:rPr>
        <w:t>供应商管理要求</w:t>
      </w:r>
      <w:bookmarkEnd w:id="39"/>
    </w:p>
    <w:p>
      <w:pPr>
        <w:pStyle w:val="81"/>
        <w:ind w:firstLine="480"/>
        <w:rPr>
          <w:rFonts w:hint="eastAsia"/>
          <w:sz w:val="24"/>
          <w:szCs w:val="24"/>
        </w:rPr>
      </w:pPr>
      <w:r>
        <w:rPr>
          <w:rFonts w:hint="eastAsia"/>
          <w:sz w:val="24"/>
          <w:szCs w:val="24"/>
        </w:rPr>
        <w:t>1、在项目实施期间，中标人应严格执行国家、地方、行业有关本项目业务管理和安全作业的法律、法规和制度并按规定承担相应的费用。中标人因违反规定等原因造成的一切损失和责任由中标人自行承担。</w:t>
      </w:r>
    </w:p>
    <w:p>
      <w:pPr>
        <w:pStyle w:val="81"/>
        <w:ind w:firstLine="480"/>
        <w:rPr>
          <w:rFonts w:hint="eastAsia"/>
          <w:sz w:val="24"/>
          <w:szCs w:val="24"/>
        </w:rPr>
      </w:pPr>
      <w:r>
        <w:rPr>
          <w:rFonts w:hint="eastAsia"/>
          <w:sz w:val="24"/>
          <w:szCs w:val="24"/>
        </w:rPr>
        <w:t>2、中标人在投标书中承诺并经招标人认定的项目负责人及专业技术人员必须是本单位职工（在本单位缴纳社会保障金）和该项目实施现场的实际操作者，应具有类似本项目的实施经验，并应在软件应用调研、安装、试运行等期间常驻项目现场。未经采购人同意，中标人不得调换或撤离上述人员。如采购人认为有必要，可要求中标人对上述人员中的部分人员作出更好的调整。</w:t>
      </w:r>
    </w:p>
    <w:p>
      <w:pPr>
        <w:pStyle w:val="81"/>
        <w:ind w:firstLine="480"/>
        <w:rPr>
          <w:rFonts w:hint="eastAsia"/>
          <w:sz w:val="24"/>
          <w:szCs w:val="24"/>
        </w:rPr>
      </w:pPr>
      <w:r>
        <w:rPr>
          <w:rFonts w:hint="eastAsia"/>
          <w:sz w:val="24"/>
          <w:szCs w:val="24"/>
        </w:rPr>
        <w:t>3、中标人在项目实施期间，应按项目实际进度与环节落实所对应项目整体及各环节管理工作，按照规范做好项目实施期间相关管理与实施记录。</w:t>
      </w:r>
    </w:p>
    <w:p>
      <w:pPr>
        <w:pStyle w:val="81"/>
        <w:ind w:firstLine="480"/>
        <w:rPr>
          <w:rFonts w:hint="eastAsia"/>
          <w:sz w:val="24"/>
          <w:szCs w:val="24"/>
        </w:rPr>
      </w:pPr>
      <w:r>
        <w:rPr>
          <w:rFonts w:hint="eastAsia"/>
          <w:sz w:val="24"/>
          <w:szCs w:val="24"/>
        </w:rPr>
        <w:t>4、参与本项目的工作人员应严格遵循采购人的安全制度，保障采购人资料和设备的安全。中标方如需进入采购人机房工作，只能在采购人规定的工作区域内对项目涉及的设备进行操作，严禁触动与项目无关的任何设备（包括任何操作行为），如需跨区操作必须得到采购人项目联系人确认。</w:t>
      </w:r>
    </w:p>
    <w:p>
      <w:pPr>
        <w:pStyle w:val="81"/>
        <w:ind w:firstLine="480"/>
        <w:rPr>
          <w:rFonts w:hint="eastAsia"/>
          <w:sz w:val="24"/>
          <w:szCs w:val="24"/>
        </w:rPr>
      </w:pPr>
      <w:r>
        <w:rPr>
          <w:rFonts w:hint="eastAsia"/>
          <w:sz w:val="24"/>
          <w:szCs w:val="24"/>
        </w:rPr>
        <w:t>5、中标人在项目实施期间必须遵守采购人的规章制度并提供实施人员名单。</w:t>
      </w:r>
    </w:p>
    <w:p>
      <w:pPr>
        <w:pStyle w:val="81"/>
        <w:ind w:firstLine="480"/>
        <w:rPr>
          <w:rFonts w:hint="eastAsia"/>
          <w:sz w:val="24"/>
          <w:szCs w:val="24"/>
        </w:rPr>
      </w:pPr>
      <w:r>
        <w:rPr>
          <w:rFonts w:hint="eastAsia"/>
          <w:sz w:val="24"/>
          <w:szCs w:val="24"/>
        </w:rPr>
        <w:t>6、各投标人在投标文件中要结合本项目的特点和采购人上述的具体要求制定相应的管理措施，并在报价中列支相应的费用清单，投标人报价中未列支上述费用清单的，上述费用视为已包含在投标人的投标总报价中。</w:t>
      </w:r>
    </w:p>
    <w:p>
      <w:pPr>
        <w:pStyle w:val="81"/>
        <w:ind w:firstLine="480"/>
        <w:rPr>
          <w:rFonts w:hint="eastAsia"/>
        </w:rPr>
      </w:pPr>
      <w:r>
        <w:rPr>
          <w:rFonts w:hint="eastAsia"/>
          <w:sz w:val="24"/>
          <w:szCs w:val="24"/>
        </w:rPr>
        <w:t>7、本项目软件开发及调试将纳入采购人的管理范围，中标人在此过程中须服从上述单位的管理协调。</w:t>
      </w:r>
    </w:p>
    <w:p>
      <w:pPr>
        <w:pStyle w:val="81"/>
        <w:ind w:firstLine="420"/>
        <w:rPr>
          <w:rFonts w:hint="eastAsia"/>
        </w:rPr>
      </w:pPr>
    </w:p>
    <w:p>
      <w:pPr>
        <w:pStyle w:val="2"/>
        <w:rPr>
          <w:rFonts w:hint="eastAsia"/>
        </w:rPr>
      </w:pPr>
      <w:bookmarkStart w:id="41" w:name="_Toc63785513"/>
      <w:r>
        <w:rPr>
          <w:rFonts w:hint="eastAsia"/>
        </w:rPr>
        <w:t>关于转让和分包的规定</w:t>
      </w:r>
    </w:p>
    <w:p>
      <w:pPr>
        <w:rPr>
          <w:rFonts w:hint="eastAsia"/>
        </w:rPr>
      </w:pPr>
      <w:r>
        <w:rPr>
          <w:rFonts w:hint="eastAsia"/>
        </w:rPr>
        <w:t>本项目不得转让不得分包。</w:t>
      </w:r>
    </w:p>
    <w:p>
      <w:pPr>
        <w:pStyle w:val="2"/>
        <w:rPr>
          <w:rFonts w:hint="eastAsia"/>
        </w:rPr>
      </w:pPr>
      <w:r>
        <w:rPr>
          <w:rFonts w:hint="eastAsia"/>
        </w:rPr>
        <w:t>知识产权及保密要求</w:t>
      </w:r>
      <w:bookmarkEnd w:id="41"/>
    </w:p>
    <w:p>
      <w:pPr>
        <w:ind w:firstLine="482"/>
        <w:rPr>
          <w:rFonts w:hint="eastAsia"/>
          <w:b/>
        </w:rPr>
      </w:pPr>
      <w:r>
        <w:rPr>
          <w:b/>
        </w:rPr>
        <w:t>1、中标人数据、文件、资料知识产权</w:t>
      </w:r>
    </w:p>
    <w:p>
      <w:pPr>
        <w:rPr>
          <w:rFonts w:hint="eastAsia"/>
        </w:rPr>
      </w:pPr>
      <w:r>
        <w:rPr>
          <w:rFonts w:hint="eastAsia"/>
        </w:rPr>
        <w:t>中标人保证其所提供的服务和交付的成果以及在履行本项目义务中使用到的所有数据、文件、信息不会引起任何第三方在专利权、著作权、商标权等知识产权方面向采购人或采购人的关联方及合作方（包括但不限于采购人的主管单位和采购人的合作单位等）发出侵权指控或提出索赔。若有，中标人应负责与第三方解决纠纷，若因此导致采购人损失的，采购人有权要求中标人赔偿采购人因此遭受的全部损失，包括但不限于直接损失、间接损失、诉讼费／仲裁费、律师费、公证费、鉴定费等。</w:t>
      </w:r>
    </w:p>
    <w:p>
      <w:pPr>
        <w:rPr>
          <w:rFonts w:hint="eastAsia"/>
        </w:rPr>
      </w:pPr>
      <w:r>
        <w:rPr>
          <w:rFonts w:hint="eastAsia"/>
        </w:rPr>
        <w:t>中标人因履行本项目而产生的所有成果的知识产权等权利均归采购人所有，中标人应配合采购人进行相关权利登记或申请。未经采购人书面同意，中标人不得以任何形式使用或许可他人使用本项目成果的相关内容，不得擅自对外公开发表或向任何第三方透露。</w:t>
      </w:r>
    </w:p>
    <w:p>
      <w:pPr>
        <w:rPr>
          <w:rFonts w:hint="eastAsia"/>
        </w:rPr>
      </w:pPr>
      <w:r>
        <w:rPr>
          <w:rFonts w:hint="eastAsia"/>
        </w:rPr>
        <w:t>在不影响上述条款规定的由采购人取得所有成果的知识产权的前提下，双方因履行本项目而被授权接触或使用对方之知识产权（包括但不限于商标、专利、著作权等），和/或任何其他相关资料、数据等涉及的任何权利，均不视为向另一方转让上述权利或在本项目范围外授权许可另一方使用上述权利，上述权利仍应属于提供方，并仅可使用于本项目，被授权接触或使用方未经提供方书面同意，不得擅自挪作他用。</w:t>
      </w:r>
    </w:p>
    <w:p>
      <w:pPr>
        <w:ind w:firstLine="482"/>
        <w:rPr>
          <w:rFonts w:hint="eastAsia"/>
          <w:b/>
        </w:rPr>
      </w:pPr>
      <w:r>
        <w:rPr>
          <w:b/>
        </w:rPr>
        <w:t>2、项目保密要求</w:t>
      </w:r>
    </w:p>
    <w:p>
      <w:pPr>
        <w:rPr>
          <w:rFonts w:hint="eastAsia"/>
        </w:rPr>
      </w:pPr>
      <w:r>
        <w:rPr>
          <w:rFonts w:hint="eastAsia"/>
        </w:rPr>
        <w:t>中标人因履行本项目而知悉的所有数据、信息和资料（包括但不限于账号信息、图表、文字、计算过程、任何形式的文件、访谈记录、现场实测数据、采购人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仲裁费、调查费、公证费等。</w:t>
      </w:r>
    </w:p>
    <w:p>
      <w:pPr>
        <w:rPr>
          <w:rFonts w:hint="eastAsia"/>
        </w:rPr>
      </w:pPr>
      <w:r>
        <w:rPr>
          <w:rFonts w:hint="eastAsia"/>
        </w:rPr>
        <w:t>中标人应采取必要的有效措施保证其参与本项目的人员（包括中标人聘用的人员、借调的人员、实习的人员）无论是在职或离职后，以及中标人的合作方无论是合作中或合作终止后，都能够履行本项目约定的保密义务。若中标人人员或中标人合作方违反保密规定，中标人应承担连带责任。</w:t>
      </w:r>
    </w:p>
    <w:p>
      <w:pPr>
        <w:rPr>
          <w:rFonts w:hint="eastAsia"/>
        </w:rPr>
      </w:pPr>
      <w:r>
        <w:rPr>
          <w:rFonts w:hint="eastAsia"/>
        </w:rPr>
        <w:t>中标人（含中标人参与本项目的人员以及其合作方）未经采购方书面许可，不得以任何形式自行使用或以任何方式向第三方披露、转让、授权、出售与本项目有关的技术成果、计算机软件、源代码、策划文档、技术诀窍、秘密信息、技术资料和其他文件。</w:t>
      </w:r>
    </w:p>
    <w:p>
      <w:pPr>
        <w:rPr>
          <w:rFonts w:hint="eastAsia"/>
        </w:rPr>
      </w:pPr>
      <w:r>
        <w:rPr>
          <w:rFonts w:hint="eastAsia"/>
        </w:rPr>
        <w:t>以上内容的保密期限自中标人知悉保密信息起始至保密信息被合法公开之日止。</w:t>
      </w:r>
    </w:p>
    <w:p>
      <w:pPr>
        <w:ind w:firstLine="482"/>
        <w:rPr>
          <w:rFonts w:hint="eastAsia"/>
          <w:b/>
        </w:rPr>
      </w:pPr>
      <w:r>
        <w:rPr>
          <w:b/>
        </w:rPr>
        <w:t>3、临时账号等使用要求</w:t>
      </w:r>
    </w:p>
    <w:p>
      <w:pPr>
        <w:rPr>
          <w:rFonts w:hint="eastAsia"/>
        </w:rPr>
      </w:pPr>
      <w:r>
        <w:rPr>
          <w:rFonts w:hint="eastAsia"/>
        </w:rPr>
        <w:t>中标人对采购人提拱的临时使用账号要保密，不得公开，对组件开发的账号密码需进行加密，避免信息安全的泄露。未经采购人的同意不得利用采购人的网络及平台进行短信、彩信、微信发送</w:t>
      </w:r>
      <w:r>
        <w:t>,造成的一切后果由中标人负责。</w:t>
      </w:r>
    </w:p>
    <w:p>
      <w:pPr>
        <w:pStyle w:val="2"/>
        <w:rPr>
          <w:rFonts w:hint="eastAsia"/>
        </w:rPr>
      </w:pPr>
      <w:bookmarkStart w:id="42" w:name="_Toc65170093"/>
      <w:r>
        <w:t>项目的变更、解除和终止</w:t>
      </w:r>
    </w:p>
    <w:p>
      <w:pPr>
        <w:rPr>
          <w:rFonts w:hint="eastAsia"/>
        </w:rPr>
      </w:pPr>
      <w:r>
        <w:rPr>
          <w:rFonts w:hint="eastAsia"/>
        </w:rPr>
        <w:t>如果中标人丧失履约能力、发生资不抵债或进入破产程序，采购人可在任何时候以书面形式通知中标人终止本项目的执行而不给予中标人补偿。该终止本项目将不损害或影响采购人已经采取或将要采取任何行动或补救措施的权利。</w:t>
      </w:r>
    </w:p>
    <w:p>
      <w:pPr>
        <w:rPr>
          <w:rFonts w:hint="eastAsia"/>
        </w:rPr>
      </w:pPr>
      <w:r>
        <w:rPr>
          <w:rFonts w:hint="eastAsia"/>
        </w:rPr>
        <w:t>如遇国家、行业管理部门等机构的有关标准和规定调整的，导致本项目内容须做相应调整时，双方应按照公平、合理的原则共同协商修改本项目对应的合同的相关条款。</w:t>
      </w:r>
    </w:p>
    <w:p>
      <w:pPr>
        <w:pStyle w:val="2"/>
        <w:rPr>
          <w:rFonts w:hint="eastAsia"/>
        </w:rPr>
      </w:pPr>
      <w:r>
        <w:rPr>
          <w:rFonts w:hint="eastAsia"/>
        </w:rPr>
        <w:t>违约责任</w:t>
      </w:r>
      <w:bookmarkEnd w:id="42"/>
    </w:p>
    <w:p>
      <w:pPr>
        <w:rPr>
          <w:rFonts w:hint="eastAsia"/>
        </w:rPr>
      </w:pPr>
      <w:r>
        <w:t>1、如中标人未按约定的时间或服务标准完成建设工作，采购人可要求中标人在规定的时间内采取补救措施。中标人还应向采购人支付本项目费用总额30%的违约金，违约金不足以弥补采购人损失的，采购人有权要求中标人赔偿超过部分。</w:t>
      </w:r>
    </w:p>
    <w:p>
      <w:pPr>
        <w:rPr>
          <w:rFonts w:hint="eastAsia"/>
        </w:rPr>
      </w:pPr>
      <w:r>
        <w:t>2、因中标人违反保密义务或知识产权约定的，采购人有权要求中标人支付本项目费用总额30%的违约金，违约金不足以弥补采购人损失的，采购人有权要求中标人赔偿超过部分。若中标人违反保密义务，采购人还有权立即单方解除合同而不承担任何违约责任。</w:t>
      </w:r>
    </w:p>
    <w:p>
      <w:pPr>
        <w:rPr>
          <w:rFonts w:hint="eastAsia"/>
        </w:rPr>
      </w:pPr>
      <w:r>
        <w:t>3、中标人有其他违反本项目合同约定的行为，中标人应当支付本项目总价款金额的20%作为违约金，违约金不足以弥补采购人损失的，采购人有权要求中标人赔偿超过部分。</w:t>
      </w:r>
    </w:p>
    <w:p>
      <w:pPr>
        <w:rPr>
          <w:rFonts w:hint="eastAsia"/>
        </w:rPr>
      </w:pPr>
      <w:r>
        <w:t>4、中标人有下列情形之一，采购人有权解除合同：</w:t>
      </w:r>
    </w:p>
    <w:p>
      <w:pPr>
        <w:rPr>
          <w:rFonts w:hint="eastAsia"/>
        </w:rPr>
      </w:pPr>
      <w:r>
        <w:rPr>
          <w:rFonts w:hint="eastAsia"/>
        </w:rPr>
        <w:t>（1</w:t>
      </w:r>
      <w:r>
        <w:t>）因中标人服务质量问题导致采购人无法实现目的；</w:t>
      </w:r>
    </w:p>
    <w:p>
      <w:pPr>
        <w:rPr>
          <w:rFonts w:hint="eastAsia"/>
        </w:rPr>
      </w:pPr>
      <w:r>
        <w:rPr>
          <w:rFonts w:hint="eastAsia"/>
        </w:rPr>
        <w:t>（2</w:t>
      </w:r>
      <w:r>
        <w:t>）擅自转让或者分包其应履行的义务的；</w:t>
      </w:r>
    </w:p>
    <w:p>
      <w:pPr>
        <w:rPr>
          <w:rFonts w:hint="eastAsia"/>
        </w:rPr>
      </w:pPr>
      <w:r>
        <w:rPr>
          <w:rFonts w:hint="eastAsia"/>
        </w:rPr>
        <w:t>（3</w:t>
      </w:r>
      <w:r>
        <w:t>）违反或者未履行本项目合同约定的其他相关义务，且在采购人要求的合理时间内未能纠正的。</w:t>
      </w:r>
    </w:p>
    <w:p>
      <w:pPr>
        <w:pStyle w:val="2"/>
        <w:rPr>
          <w:rFonts w:hint="eastAsia"/>
        </w:rPr>
      </w:pPr>
      <w:bookmarkStart w:id="43" w:name="_Toc68798863"/>
      <w:r>
        <w:rPr>
          <w:rFonts w:hint="eastAsia"/>
        </w:rPr>
        <w:t>附录</w:t>
      </w:r>
      <w:bookmarkEnd w:id="43"/>
    </w:p>
    <w:p>
      <w:pPr>
        <w:ind w:firstLine="482"/>
        <w:rPr>
          <w:rFonts w:hint="eastAsia"/>
        </w:rPr>
      </w:pPr>
      <w:r>
        <w:rPr>
          <w:rFonts w:hint="eastAsia"/>
          <w:b/>
        </w:rPr>
        <w:t>项目建设过程中需符合相关技术标准或规范文件的要求：</w:t>
      </w:r>
    </w:p>
    <w:p>
      <w:pPr>
        <w:ind w:firstLine="0" w:firstLineChars="0"/>
        <w:rPr>
          <w:rFonts w:hint="eastAsia"/>
        </w:rPr>
      </w:pPr>
      <w:r>
        <w:rPr>
          <w:rFonts w:hint="eastAsia"/>
        </w:rPr>
        <w:t>1、</w:t>
      </w:r>
      <w:r>
        <w:t>《政务网络安全监测平台总体技术要求》</w:t>
      </w:r>
    </w:p>
    <w:p>
      <w:pPr>
        <w:ind w:firstLine="0" w:firstLineChars="0"/>
        <w:jc w:val="left"/>
        <w:rPr>
          <w:rFonts w:hint="eastAsia"/>
        </w:rPr>
      </w:pPr>
      <w:r>
        <w:rPr>
          <w:rFonts w:hint="eastAsia"/>
        </w:rPr>
        <w:t>2、《上海市电子政务外网建设和运行管理指南（试行）》</w:t>
      </w:r>
    </w:p>
    <w:p>
      <w:pPr>
        <w:ind w:firstLine="0" w:firstLineChars="0"/>
        <w:jc w:val="left"/>
        <w:rPr>
          <w:rFonts w:hint="eastAsia"/>
          <w:b/>
          <w:bCs/>
        </w:rPr>
      </w:pPr>
      <w:r>
        <w:rPr>
          <w:rFonts w:hint="eastAsia"/>
        </w:rPr>
        <w:t>3、其他标准</w:t>
      </w:r>
      <w:bookmarkStart w:id="44" w:name="_GoBack"/>
      <w:bookmarkEnd w:id="44"/>
    </w:p>
    <w:sectPr>
      <w:footerReference r:id="rId11" w:type="firs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等线 Light">
    <w:panose1 w:val="02010600030101010101"/>
    <w:charset w:val="86"/>
    <w:family w:val="auto"/>
    <w:pitch w:val="default"/>
    <w:sig w:usb0="A00002BF" w:usb1="38CF7CFA" w:usb2="00000016" w:usb3="00000000" w:csb0="0004000F" w:csb1="00000000"/>
  </w:font>
  <w:font w:name="time">
    <w:altName w:val="微软雅黑"/>
    <w:panose1 w:val="00000000000000000000"/>
    <w:charset w:val="00"/>
    <w:family w:val="roman"/>
    <w:pitch w:val="default"/>
    <w:sig w:usb0="00000000" w:usb1="00000000" w:usb2="00000000" w:usb3="00000000" w:csb0="00040001" w:csb1="00000000"/>
  </w:font>
  <w:font w:name="Microsoft YaHei UI">
    <w:panose1 w:val="020B0503020204020204"/>
    <w:charset w:val="86"/>
    <w:family w:val="swiss"/>
    <w:pitch w:val="default"/>
    <w:sig w:usb0="80000287" w:usb1="2ACF3C50" w:usb2="00000016" w:usb3="00000000" w:csb0="0004001F" w:csb1="00000000"/>
  </w:font>
  <w:font w:name="Microsoft Sans Serif">
    <w:panose1 w:val="020B0604020202020204"/>
    <w:charset w:val="00"/>
    <w:family w:val="swiss"/>
    <w:pitch w:val="default"/>
    <w:sig w:usb0="E5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LiberationSans">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rFonts w:hint="eastAsia"/>
      </w:rPr>
    </w:pPr>
    <w:r>
      <w:fldChar w:fldCharType="begin"/>
    </w:r>
    <w:r>
      <w:instrText xml:space="preserve">PAGE   \* MERGEFORMAT</w:instrText>
    </w:r>
    <w:r>
      <w:fldChar w:fldCharType="separate"/>
    </w:r>
    <w:r>
      <w:rPr>
        <w:lang w:val="zh-CN"/>
      </w:rPr>
      <w:t>11</w:t>
    </w:r>
    <w:r>
      <w:rPr>
        <w:lang w:val="zh-CN"/>
      </w:rPr>
      <w:fldChar w:fldCharType="end"/>
    </w:r>
  </w:p>
  <w:p>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p>
    <w:pP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rFonts w:hint="eastAsia"/>
        <w:lang w:val="zh-CN"/>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p>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BCC7CA"/>
    <w:multiLevelType w:val="singleLevel"/>
    <w:tmpl w:val="8ABCC7CA"/>
    <w:lvl w:ilvl="0" w:tentative="0">
      <w:start w:val="1"/>
      <w:numFmt w:val="decimal"/>
      <w:lvlText w:val="%1)"/>
      <w:lvlJc w:val="left"/>
      <w:pPr>
        <w:ind w:left="425" w:hanging="425"/>
      </w:pPr>
      <w:rPr>
        <w:rFonts w:hint="default"/>
      </w:rPr>
    </w:lvl>
  </w:abstractNum>
  <w:abstractNum w:abstractNumId="1">
    <w:nsid w:val="C0F9F89B"/>
    <w:multiLevelType w:val="singleLevel"/>
    <w:tmpl w:val="C0F9F89B"/>
    <w:lvl w:ilvl="0" w:tentative="0">
      <w:start w:val="1"/>
      <w:numFmt w:val="decimal"/>
      <w:lvlText w:val="(%1)"/>
      <w:lvlJc w:val="left"/>
      <w:pPr>
        <w:tabs>
          <w:tab w:val="left" w:pos="420"/>
        </w:tabs>
        <w:ind w:left="845" w:hanging="425"/>
      </w:pPr>
      <w:rPr>
        <w:rFonts w:hint="default"/>
      </w:rPr>
    </w:lvl>
  </w:abstractNum>
  <w:abstractNum w:abstractNumId="2">
    <w:nsid w:val="43D33190"/>
    <w:multiLevelType w:val="multilevel"/>
    <w:tmpl w:val="43D33190"/>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3">
    <w:nsid w:val="6350366A"/>
    <w:multiLevelType w:val="multilevel"/>
    <w:tmpl w:val="6350366A"/>
    <w:lvl w:ilvl="0" w:tentative="0">
      <w:start w:val="1"/>
      <w:numFmt w:val="none"/>
      <w:pStyle w:val="113"/>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A2F4AB3"/>
    <w:multiLevelType w:val="multilevel"/>
    <w:tmpl w:val="6A2F4AB3"/>
    <w:lvl w:ilvl="0" w:tentative="0">
      <w:start w:val="1"/>
      <w:numFmt w:val="chineseCountingThousand"/>
      <w:pStyle w:val="2"/>
      <w:suff w:val="nothing"/>
      <w:lvlText w:val="%1、"/>
      <w:lvlJc w:val="left"/>
      <w:pPr>
        <w:ind w:left="425" w:hanging="425"/>
      </w:pPr>
      <w:rPr>
        <w:rFonts w:hint="eastAsia"/>
        <w:sz w:val="32"/>
        <w:szCs w:val="32"/>
      </w:rPr>
    </w:lvl>
    <w:lvl w:ilvl="1" w:tentative="0">
      <w:start w:val="1"/>
      <w:numFmt w:val="decimal"/>
      <w:pStyle w:val="3"/>
      <w:isLgl/>
      <w:suff w:val="nothing"/>
      <w:lvlText w:val="%1.%2、"/>
      <w:lvlJc w:val="left"/>
      <w:pPr>
        <w:ind w:left="1135" w:hanging="567"/>
      </w:pPr>
    </w:lvl>
    <w:lvl w:ilvl="2" w:tentative="0">
      <w:start w:val="1"/>
      <w:numFmt w:val="decimal"/>
      <w:pStyle w:val="4"/>
      <w:isLgl/>
      <w:suff w:val="nothing"/>
      <w:lvlText w:val="%1.%2.%3、"/>
      <w:lvlJc w:val="left"/>
      <w:pPr>
        <w:ind w:left="1069" w:hanging="1069"/>
      </w:pPr>
      <w:rPr>
        <w:rFonts w:hint="default" w:ascii="宋体" w:hAnsi="宋体" w:eastAsia="宋体" w:cs="Arial"/>
      </w:rPr>
    </w:lvl>
    <w:lvl w:ilvl="3" w:tentative="0">
      <w:start w:val="1"/>
      <w:numFmt w:val="decimal"/>
      <w:pStyle w:val="5"/>
      <w:isLgl/>
      <w:suff w:val="nothing"/>
      <w:lvlText w:val="%1.%2.%3.%4、"/>
      <w:lvlJc w:val="left"/>
      <w:pPr>
        <w:ind w:left="3403" w:hanging="851"/>
      </w:pPr>
    </w:lvl>
    <w:lvl w:ilvl="4" w:tentative="0">
      <w:start w:val="1"/>
      <w:numFmt w:val="decimal"/>
      <w:pStyle w:val="6"/>
      <w:isLgl/>
      <w:suff w:val="nothing"/>
      <w:lvlText w:val="%1.%2.%3.%4.%5、"/>
      <w:lvlJc w:val="left"/>
      <w:pPr>
        <w:ind w:left="3544" w:hanging="992"/>
      </w:pPr>
      <w:rPr>
        <w:rFonts w:hint="eastAsia"/>
      </w:rPr>
    </w:lvl>
    <w:lvl w:ilvl="5" w:tentative="0">
      <w:start w:val="1"/>
      <w:numFmt w:val="decimal"/>
      <w:pStyle w:val="7"/>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5">
    <w:nsid w:val="732400AB"/>
    <w:multiLevelType w:val="multilevel"/>
    <w:tmpl w:val="732400AB"/>
    <w:lvl w:ilvl="0" w:tentative="0">
      <w:start w:val="1"/>
      <w:numFmt w:val="decimal"/>
      <w:lvlText w:val="%1."/>
      <w:lvlJc w:val="left"/>
      <w:pPr>
        <w:ind w:left="922" w:hanging="440"/>
      </w:p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num w:numId="1">
    <w:abstractNumId w:val="4"/>
  </w:num>
  <w:num w:numId="2">
    <w:abstractNumId w:val="3"/>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hOTdmMGJkOWZhYjE0MGY3MmIyZDkzMWQ4Mjk1OGQifQ=="/>
    <w:docVar w:name="KSO_WPS_MARK_KEY" w:val="004e7974-df03-46fc-aa1c-ddee4f555c10"/>
  </w:docVars>
  <w:rsids>
    <w:rsidRoot w:val="006910C0"/>
    <w:rsid w:val="0000005A"/>
    <w:rsid w:val="00000AED"/>
    <w:rsid w:val="00003516"/>
    <w:rsid w:val="0000380E"/>
    <w:rsid w:val="00005AFD"/>
    <w:rsid w:val="00006563"/>
    <w:rsid w:val="000074F1"/>
    <w:rsid w:val="00007A41"/>
    <w:rsid w:val="00007DA7"/>
    <w:rsid w:val="00012EF0"/>
    <w:rsid w:val="000156DE"/>
    <w:rsid w:val="000165AD"/>
    <w:rsid w:val="000179E9"/>
    <w:rsid w:val="00020C18"/>
    <w:rsid w:val="00021EE6"/>
    <w:rsid w:val="0002280E"/>
    <w:rsid w:val="00022C74"/>
    <w:rsid w:val="00022EF8"/>
    <w:rsid w:val="00024005"/>
    <w:rsid w:val="00025122"/>
    <w:rsid w:val="000252D5"/>
    <w:rsid w:val="00026997"/>
    <w:rsid w:val="00027A64"/>
    <w:rsid w:val="00032D27"/>
    <w:rsid w:val="00035325"/>
    <w:rsid w:val="00035D5B"/>
    <w:rsid w:val="00037217"/>
    <w:rsid w:val="000378D0"/>
    <w:rsid w:val="00037F2C"/>
    <w:rsid w:val="00042C2A"/>
    <w:rsid w:val="000430EC"/>
    <w:rsid w:val="000447CB"/>
    <w:rsid w:val="00047915"/>
    <w:rsid w:val="00047D06"/>
    <w:rsid w:val="00050FBD"/>
    <w:rsid w:val="0005107A"/>
    <w:rsid w:val="0005192C"/>
    <w:rsid w:val="00052929"/>
    <w:rsid w:val="0005299F"/>
    <w:rsid w:val="000541D7"/>
    <w:rsid w:val="000545C0"/>
    <w:rsid w:val="0005586D"/>
    <w:rsid w:val="00056C0E"/>
    <w:rsid w:val="000574A8"/>
    <w:rsid w:val="000574F8"/>
    <w:rsid w:val="00057A49"/>
    <w:rsid w:val="0006231F"/>
    <w:rsid w:val="00062A05"/>
    <w:rsid w:val="00062EE6"/>
    <w:rsid w:val="0006344E"/>
    <w:rsid w:val="000649E6"/>
    <w:rsid w:val="0006794B"/>
    <w:rsid w:val="00067DCA"/>
    <w:rsid w:val="00070063"/>
    <w:rsid w:val="0007087A"/>
    <w:rsid w:val="000710EC"/>
    <w:rsid w:val="00072237"/>
    <w:rsid w:val="000724BD"/>
    <w:rsid w:val="00072ABE"/>
    <w:rsid w:val="00077AD4"/>
    <w:rsid w:val="00077B69"/>
    <w:rsid w:val="00080B39"/>
    <w:rsid w:val="00083950"/>
    <w:rsid w:val="0008452F"/>
    <w:rsid w:val="00084E8E"/>
    <w:rsid w:val="00085A68"/>
    <w:rsid w:val="00090625"/>
    <w:rsid w:val="00090948"/>
    <w:rsid w:val="00091CD1"/>
    <w:rsid w:val="0009460E"/>
    <w:rsid w:val="000951D4"/>
    <w:rsid w:val="000A2146"/>
    <w:rsid w:val="000A2930"/>
    <w:rsid w:val="000A3276"/>
    <w:rsid w:val="000A3C35"/>
    <w:rsid w:val="000A3E30"/>
    <w:rsid w:val="000A5876"/>
    <w:rsid w:val="000A61D0"/>
    <w:rsid w:val="000A6C67"/>
    <w:rsid w:val="000A6DB8"/>
    <w:rsid w:val="000A7596"/>
    <w:rsid w:val="000B11A8"/>
    <w:rsid w:val="000B1959"/>
    <w:rsid w:val="000B2E1C"/>
    <w:rsid w:val="000B4459"/>
    <w:rsid w:val="000B4B46"/>
    <w:rsid w:val="000B5363"/>
    <w:rsid w:val="000B53BA"/>
    <w:rsid w:val="000B642F"/>
    <w:rsid w:val="000B6C99"/>
    <w:rsid w:val="000C3F3C"/>
    <w:rsid w:val="000C5A75"/>
    <w:rsid w:val="000C75F7"/>
    <w:rsid w:val="000D093F"/>
    <w:rsid w:val="000D0AB2"/>
    <w:rsid w:val="000D1C7A"/>
    <w:rsid w:val="000D225C"/>
    <w:rsid w:val="000D36F2"/>
    <w:rsid w:val="000D4B26"/>
    <w:rsid w:val="000D74DB"/>
    <w:rsid w:val="000E1124"/>
    <w:rsid w:val="000E24D6"/>
    <w:rsid w:val="000E3F29"/>
    <w:rsid w:val="000E4B69"/>
    <w:rsid w:val="000E6072"/>
    <w:rsid w:val="000E6D61"/>
    <w:rsid w:val="000E6E2D"/>
    <w:rsid w:val="000E7A23"/>
    <w:rsid w:val="000F1C29"/>
    <w:rsid w:val="000F1E9E"/>
    <w:rsid w:val="000F2B10"/>
    <w:rsid w:val="000F3F72"/>
    <w:rsid w:val="000F7CC7"/>
    <w:rsid w:val="001055B2"/>
    <w:rsid w:val="001068F0"/>
    <w:rsid w:val="00106AB8"/>
    <w:rsid w:val="00106C9E"/>
    <w:rsid w:val="00106E16"/>
    <w:rsid w:val="0010768B"/>
    <w:rsid w:val="00111701"/>
    <w:rsid w:val="00112A29"/>
    <w:rsid w:val="001167F6"/>
    <w:rsid w:val="00116C86"/>
    <w:rsid w:val="00121ACF"/>
    <w:rsid w:val="00121D8F"/>
    <w:rsid w:val="00122037"/>
    <w:rsid w:val="0012210C"/>
    <w:rsid w:val="00122A7F"/>
    <w:rsid w:val="00122E76"/>
    <w:rsid w:val="00123F98"/>
    <w:rsid w:val="001242A5"/>
    <w:rsid w:val="00124531"/>
    <w:rsid w:val="00126EDF"/>
    <w:rsid w:val="00127BBE"/>
    <w:rsid w:val="00131D52"/>
    <w:rsid w:val="001329C1"/>
    <w:rsid w:val="00132C16"/>
    <w:rsid w:val="00136320"/>
    <w:rsid w:val="00136FFA"/>
    <w:rsid w:val="00137AC6"/>
    <w:rsid w:val="00145512"/>
    <w:rsid w:val="001465BD"/>
    <w:rsid w:val="00147B45"/>
    <w:rsid w:val="00150803"/>
    <w:rsid w:val="00151D83"/>
    <w:rsid w:val="001546C9"/>
    <w:rsid w:val="00154FAE"/>
    <w:rsid w:val="00155E77"/>
    <w:rsid w:val="00156A70"/>
    <w:rsid w:val="00160A61"/>
    <w:rsid w:val="00160FC0"/>
    <w:rsid w:val="0016429B"/>
    <w:rsid w:val="00164525"/>
    <w:rsid w:val="00164C50"/>
    <w:rsid w:val="00165CB2"/>
    <w:rsid w:val="00166767"/>
    <w:rsid w:val="001707CB"/>
    <w:rsid w:val="00171477"/>
    <w:rsid w:val="00172A1A"/>
    <w:rsid w:val="00173251"/>
    <w:rsid w:val="00176BED"/>
    <w:rsid w:val="0017759D"/>
    <w:rsid w:val="001804A5"/>
    <w:rsid w:val="00181C94"/>
    <w:rsid w:val="00182C84"/>
    <w:rsid w:val="00187031"/>
    <w:rsid w:val="00191EA4"/>
    <w:rsid w:val="00192B6C"/>
    <w:rsid w:val="00192C30"/>
    <w:rsid w:val="0019381E"/>
    <w:rsid w:val="00194CF5"/>
    <w:rsid w:val="0019503C"/>
    <w:rsid w:val="00195D94"/>
    <w:rsid w:val="00196F7B"/>
    <w:rsid w:val="001971CB"/>
    <w:rsid w:val="0019795C"/>
    <w:rsid w:val="001A053A"/>
    <w:rsid w:val="001A22A2"/>
    <w:rsid w:val="001A2971"/>
    <w:rsid w:val="001A3D52"/>
    <w:rsid w:val="001A460A"/>
    <w:rsid w:val="001A4A4C"/>
    <w:rsid w:val="001B0230"/>
    <w:rsid w:val="001B13AB"/>
    <w:rsid w:val="001B3907"/>
    <w:rsid w:val="001B3B49"/>
    <w:rsid w:val="001B4907"/>
    <w:rsid w:val="001B4DC5"/>
    <w:rsid w:val="001B5505"/>
    <w:rsid w:val="001C2180"/>
    <w:rsid w:val="001C29CC"/>
    <w:rsid w:val="001C3217"/>
    <w:rsid w:val="001C3B98"/>
    <w:rsid w:val="001C581F"/>
    <w:rsid w:val="001C6028"/>
    <w:rsid w:val="001C6365"/>
    <w:rsid w:val="001C6814"/>
    <w:rsid w:val="001C7F57"/>
    <w:rsid w:val="001D0E79"/>
    <w:rsid w:val="001D1967"/>
    <w:rsid w:val="001D32A4"/>
    <w:rsid w:val="001D4B7C"/>
    <w:rsid w:val="001D6049"/>
    <w:rsid w:val="001D7339"/>
    <w:rsid w:val="001D7F39"/>
    <w:rsid w:val="001E2750"/>
    <w:rsid w:val="001E4343"/>
    <w:rsid w:val="001E52BB"/>
    <w:rsid w:val="001E660A"/>
    <w:rsid w:val="001F05D6"/>
    <w:rsid w:val="001F0836"/>
    <w:rsid w:val="001F5B0A"/>
    <w:rsid w:val="001F640F"/>
    <w:rsid w:val="001F6794"/>
    <w:rsid w:val="001F6F65"/>
    <w:rsid w:val="002002DF"/>
    <w:rsid w:val="00201765"/>
    <w:rsid w:val="00203A6F"/>
    <w:rsid w:val="00205646"/>
    <w:rsid w:val="002063F7"/>
    <w:rsid w:val="002067D8"/>
    <w:rsid w:val="002129E5"/>
    <w:rsid w:val="00212AA4"/>
    <w:rsid w:val="00212E13"/>
    <w:rsid w:val="002163C8"/>
    <w:rsid w:val="002179FE"/>
    <w:rsid w:val="00220CC0"/>
    <w:rsid w:val="00221A36"/>
    <w:rsid w:val="00223296"/>
    <w:rsid w:val="0022329B"/>
    <w:rsid w:val="002240F7"/>
    <w:rsid w:val="0022486F"/>
    <w:rsid w:val="00225314"/>
    <w:rsid w:val="00225DF4"/>
    <w:rsid w:val="00226C70"/>
    <w:rsid w:val="00230527"/>
    <w:rsid w:val="00230C8A"/>
    <w:rsid w:val="00231F98"/>
    <w:rsid w:val="002324F8"/>
    <w:rsid w:val="002348B0"/>
    <w:rsid w:val="00235CDC"/>
    <w:rsid w:val="00237E76"/>
    <w:rsid w:val="00240BBE"/>
    <w:rsid w:val="00241525"/>
    <w:rsid w:val="00241D87"/>
    <w:rsid w:val="00243C55"/>
    <w:rsid w:val="00243D5E"/>
    <w:rsid w:val="002451EC"/>
    <w:rsid w:val="00245ED4"/>
    <w:rsid w:val="00246B41"/>
    <w:rsid w:val="0025002B"/>
    <w:rsid w:val="002500DE"/>
    <w:rsid w:val="00252457"/>
    <w:rsid w:val="00252581"/>
    <w:rsid w:val="002535B5"/>
    <w:rsid w:val="002538CB"/>
    <w:rsid w:val="002542BD"/>
    <w:rsid w:val="002569ED"/>
    <w:rsid w:val="00256B98"/>
    <w:rsid w:val="0025774E"/>
    <w:rsid w:val="00257D64"/>
    <w:rsid w:val="0026340A"/>
    <w:rsid w:val="002654EA"/>
    <w:rsid w:val="002704EA"/>
    <w:rsid w:val="0027061A"/>
    <w:rsid w:val="0027174E"/>
    <w:rsid w:val="002719CC"/>
    <w:rsid w:val="002730C5"/>
    <w:rsid w:val="0027337C"/>
    <w:rsid w:val="00274A95"/>
    <w:rsid w:val="0027602B"/>
    <w:rsid w:val="00277F5E"/>
    <w:rsid w:val="00280084"/>
    <w:rsid w:val="00280335"/>
    <w:rsid w:val="00280490"/>
    <w:rsid w:val="002860B8"/>
    <w:rsid w:val="0029206E"/>
    <w:rsid w:val="00293382"/>
    <w:rsid w:val="00294F51"/>
    <w:rsid w:val="002A2342"/>
    <w:rsid w:val="002A279E"/>
    <w:rsid w:val="002A4C18"/>
    <w:rsid w:val="002A4FA3"/>
    <w:rsid w:val="002B27F9"/>
    <w:rsid w:val="002B3606"/>
    <w:rsid w:val="002B3D80"/>
    <w:rsid w:val="002B4402"/>
    <w:rsid w:val="002B4946"/>
    <w:rsid w:val="002B4C41"/>
    <w:rsid w:val="002B588D"/>
    <w:rsid w:val="002C1839"/>
    <w:rsid w:val="002C214A"/>
    <w:rsid w:val="002C28E8"/>
    <w:rsid w:val="002C3027"/>
    <w:rsid w:val="002C674D"/>
    <w:rsid w:val="002C7648"/>
    <w:rsid w:val="002C7DC4"/>
    <w:rsid w:val="002D0821"/>
    <w:rsid w:val="002D0AC6"/>
    <w:rsid w:val="002D1929"/>
    <w:rsid w:val="002D1B73"/>
    <w:rsid w:val="002D3CB0"/>
    <w:rsid w:val="002D4800"/>
    <w:rsid w:val="002D5B21"/>
    <w:rsid w:val="002D6F6D"/>
    <w:rsid w:val="002E09AE"/>
    <w:rsid w:val="002E1FE6"/>
    <w:rsid w:val="002E2EA7"/>
    <w:rsid w:val="002E36D2"/>
    <w:rsid w:val="002E748B"/>
    <w:rsid w:val="002F2002"/>
    <w:rsid w:val="002F335D"/>
    <w:rsid w:val="002F4E32"/>
    <w:rsid w:val="002F503F"/>
    <w:rsid w:val="002F51DD"/>
    <w:rsid w:val="002F5D08"/>
    <w:rsid w:val="002F6895"/>
    <w:rsid w:val="002F6D13"/>
    <w:rsid w:val="003038D3"/>
    <w:rsid w:val="003049C7"/>
    <w:rsid w:val="00305F0E"/>
    <w:rsid w:val="0030667A"/>
    <w:rsid w:val="003106DE"/>
    <w:rsid w:val="00311530"/>
    <w:rsid w:val="00312D31"/>
    <w:rsid w:val="00315216"/>
    <w:rsid w:val="0031691C"/>
    <w:rsid w:val="00317AEF"/>
    <w:rsid w:val="00317B31"/>
    <w:rsid w:val="00317F49"/>
    <w:rsid w:val="0032089B"/>
    <w:rsid w:val="00323450"/>
    <w:rsid w:val="00323D93"/>
    <w:rsid w:val="0032489B"/>
    <w:rsid w:val="0032525B"/>
    <w:rsid w:val="00326A7A"/>
    <w:rsid w:val="00326FEE"/>
    <w:rsid w:val="00330C65"/>
    <w:rsid w:val="003315D7"/>
    <w:rsid w:val="00334DE6"/>
    <w:rsid w:val="0033536D"/>
    <w:rsid w:val="003353FF"/>
    <w:rsid w:val="003366D2"/>
    <w:rsid w:val="00337C79"/>
    <w:rsid w:val="00337FEF"/>
    <w:rsid w:val="0034084C"/>
    <w:rsid w:val="00340D5E"/>
    <w:rsid w:val="00341537"/>
    <w:rsid w:val="003420B5"/>
    <w:rsid w:val="00343646"/>
    <w:rsid w:val="00344CCB"/>
    <w:rsid w:val="00345897"/>
    <w:rsid w:val="00351BFC"/>
    <w:rsid w:val="0035575E"/>
    <w:rsid w:val="003565B4"/>
    <w:rsid w:val="00362E75"/>
    <w:rsid w:val="003631AA"/>
    <w:rsid w:val="003632D5"/>
    <w:rsid w:val="00363575"/>
    <w:rsid w:val="00364EF9"/>
    <w:rsid w:val="00367579"/>
    <w:rsid w:val="0036795B"/>
    <w:rsid w:val="00370A29"/>
    <w:rsid w:val="003722F9"/>
    <w:rsid w:val="00372349"/>
    <w:rsid w:val="00372CBC"/>
    <w:rsid w:val="00373A61"/>
    <w:rsid w:val="00374BDE"/>
    <w:rsid w:val="00376B39"/>
    <w:rsid w:val="003772C0"/>
    <w:rsid w:val="00377BAC"/>
    <w:rsid w:val="00380142"/>
    <w:rsid w:val="00380558"/>
    <w:rsid w:val="00381D3C"/>
    <w:rsid w:val="0038223E"/>
    <w:rsid w:val="00382D92"/>
    <w:rsid w:val="00385AEF"/>
    <w:rsid w:val="003860EA"/>
    <w:rsid w:val="0038781A"/>
    <w:rsid w:val="0039080B"/>
    <w:rsid w:val="0039326E"/>
    <w:rsid w:val="00394E22"/>
    <w:rsid w:val="0039632E"/>
    <w:rsid w:val="003967A4"/>
    <w:rsid w:val="00397FA3"/>
    <w:rsid w:val="003A1596"/>
    <w:rsid w:val="003A317E"/>
    <w:rsid w:val="003A345B"/>
    <w:rsid w:val="003A49EE"/>
    <w:rsid w:val="003A66FC"/>
    <w:rsid w:val="003A674D"/>
    <w:rsid w:val="003A7123"/>
    <w:rsid w:val="003B102E"/>
    <w:rsid w:val="003B2167"/>
    <w:rsid w:val="003B5F5D"/>
    <w:rsid w:val="003B62C8"/>
    <w:rsid w:val="003C0C62"/>
    <w:rsid w:val="003C12DC"/>
    <w:rsid w:val="003C2CDA"/>
    <w:rsid w:val="003C4354"/>
    <w:rsid w:val="003D000A"/>
    <w:rsid w:val="003D2E50"/>
    <w:rsid w:val="003D31E9"/>
    <w:rsid w:val="003D382D"/>
    <w:rsid w:val="003D544E"/>
    <w:rsid w:val="003D5980"/>
    <w:rsid w:val="003E0842"/>
    <w:rsid w:val="003E13B0"/>
    <w:rsid w:val="003E2580"/>
    <w:rsid w:val="003E3DEE"/>
    <w:rsid w:val="003E3EBB"/>
    <w:rsid w:val="003E4A4C"/>
    <w:rsid w:val="003E4CBA"/>
    <w:rsid w:val="003E4D2F"/>
    <w:rsid w:val="003E4EDC"/>
    <w:rsid w:val="003E599D"/>
    <w:rsid w:val="003E5C81"/>
    <w:rsid w:val="003E6965"/>
    <w:rsid w:val="003F00E8"/>
    <w:rsid w:val="003F1936"/>
    <w:rsid w:val="003F1BDD"/>
    <w:rsid w:val="003F3BA3"/>
    <w:rsid w:val="003F3BD5"/>
    <w:rsid w:val="003F400E"/>
    <w:rsid w:val="003F6F35"/>
    <w:rsid w:val="003F7768"/>
    <w:rsid w:val="00400E8C"/>
    <w:rsid w:val="004017DC"/>
    <w:rsid w:val="00401B53"/>
    <w:rsid w:val="00402668"/>
    <w:rsid w:val="00404014"/>
    <w:rsid w:val="00404FEC"/>
    <w:rsid w:val="0040534D"/>
    <w:rsid w:val="00405FAD"/>
    <w:rsid w:val="00410ACC"/>
    <w:rsid w:val="004117AB"/>
    <w:rsid w:val="00412B2F"/>
    <w:rsid w:val="00415281"/>
    <w:rsid w:val="00415716"/>
    <w:rsid w:val="0041604D"/>
    <w:rsid w:val="00417842"/>
    <w:rsid w:val="00417A6E"/>
    <w:rsid w:val="0042285D"/>
    <w:rsid w:val="00422AFC"/>
    <w:rsid w:val="00427D2B"/>
    <w:rsid w:val="00430B13"/>
    <w:rsid w:val="00430CE5"/>
    <w:rsid w:val="0043153C"/>
    <w:rsid w:val="00431D0F"/>
    <w:rsid w:val="0043481C"/>
    <w:rsid w:val="00435E0C"/>
    <w:rsid w:val="00444307"/>
    <w:rsid w:val="0044436F"/>
    <w:rsid w:val="004443EB"/>
    <w:rsid w:val="00444432"/>
    <w:rsid w:val="00444673"/>
    <w:rsid w:val="0044621E"/>
    <w:rsid w:val="00447BF1"/>
    <w:rsid w:val="00450BA4"/>
    <w:rsid w:val="004511FC"/>
    <w:rsid w:val="00456784"/>
    <w:rsid w:val="00456DCA"/>
    <w:rsid w:val="00461140"/>
    <w:rsid w:val="004611DB"/>
    <w:rsid w:val="004658B0"/>
    <w:rsid w:val="0046614B"/>
    <w:rsid w:val="004667A7"/>
    <w:rsid w:val="00467FD7"/>
    <w:rsid w:val="00470073"/>
    <w:rsid w:val="004730F8"/>
    <w:rsid w:val="00474353"/>
    <w:rsid w:val="00474555"/>
    <w:rsid w:val="004750F4"/>
    <w:rsid w:val="00476CB1"/>
    <w:rsid w:val="0047754A"/>
    <w:rsid w:val="00480A48"/>
    <w:rsid w:val="00482501"/>
    <w:rsid w:val="00482E7D"/>
    <w:rsid w:val="00484395"/>
    <w:rsid w:val="00486129"/>
    <w:rsid w:val="004865FB"/>
    <w:rsid w:val="00486C03"/>
    <w:rsid w:val="004905C0"/>
    <w:rsid w:val="00491AB3"/>
    <w:rsid w:val="00495763"/>
    <w:rsid w:val="00497A33"/>
    <w:rsid w:val="004A0C23"/>
    <w:rsid w:val="004A1112"/>
    <w:rsid w:val="004A1DA0"/>
    <w:rsid w:val="004A1F20"/>
    <w:rsid w:val="004A2393"/>
    <w:rsid w:val="004A3569"/>
    <w:rsid w:val="004A452A"/>
    <w:rsid w:val="004A5F2C"/>
    <w:rsid w:val="004A6E4F"/>
    <w:rsid w:val="004A720D"/>
    <w:rsid w:val="004B00D0"/>
    <w:rsid w:val="004B410B"/>
    <w:rsid w:val="004B5560"/>
    <w:rsid w:val="004B5BFE"/>
    <w:rsid w:val="004B6084"/>
    <w:rsid w:val="004B7AE0"/>
    <w:rsid w:val="004C0BC4"/>
    <w:rsid w:val="004C0E32"/>
    <w:rsid w:val="004C260D"/>
    <w:rsid w:val="004C2D47"/>
    <w:rsid w:val="004C4357"/>
    <w:rsid w:val="004C4477"/>
    <w:rsid w:val="004C5730"/>
    <w:rsid w:val="004C6397"/>
    <w:rsid w:val="004C668F"/>
    <w:rsid w:val="004C682B"/>
    <w:rsid w:val="004D142C"/>
    <w:rsid w:val="004D29F7"/>
    <w:rsid w:val="004D36D8"/>
    <w:rsid w:val="004D4C5C"/>
    <w:rsid w:val="004D5AB0"/>
    <w:rsid w:val="004D5EAE"/>
    <w:rsid w:val="004D7A0E"/>
    <w:rsid w:val="004E06E7"/>
    <w:rsid w:val="004E0AE3"/>
    <w:rsid w:val="004E20D3"/>
    <w:rsid w:val="004E2C82"/>
    <w:rsid w:val="004E4FAE"/>
    <w:rsid w:val="004E62C7"/>
    <w:rsid w:val="004E68FF"/>
    <w:rsid w:val="004E7A1B"/>
    <w:rsid w:val="004F0B7F"/>
    <w:rsid w:val="004F1193"/>
    <w:rsid w:val="004F11DC"/>
    <w:rsid w:val="004F2124"/>
    <w:rsid w:val="004F271B"/>
    <w:rsid w:val="004F3A52"/>
    <w:rsid w:val="004F449F"/>
    <w:rsid w:val="004F4E7E"/>
    <w:rsid w:val="004F63AB"/>
    <w:rsid w:val="004F6B76"/>
    <w:rsid w:val="004F6C7C"/>
    <w:rsid w:val="004F7F1A"/>
    <w:rsid w:val="004F7FBB"/>
    <w:rsid w:val="005042B3"/>
    <w:rsid w:val="005045AB"/>
    <w:rsid w:val="00507D43"/>
    <w:rsid w:val="005103F2"/>
    <w:rsid w:val="00510E2C"/>
    <w:rsid w:val="00511FDC"/>
    <w:rsid w:val="005124C6"/>
    <w:rsid w:val="00513EBC"/>
    <w:rsid w:val="00514CE1"/>
    <w:rsid w:val="00517155"/>
    <w:rsid w:val="00517DB3"/>
    <w:rsid w:val="005200DC"/>
    <w:rsid w:val="005200F2"/>
    <w:rsid w:val="0052369D"/>
    <w:rsid w:val="005271DB"/>
    <w:rsid w:val="00530D2F"/>
    <w:rsid w:val="0053487C"/>
    <w:rsid w:val="005356E1"/>
    <w:rsid w:val="00536A8B"/>
    <w:rsid w:val="00540418"/>
    <w:rsid w:val="00541A96"/>
    <w:rsid w:val="00541C6A"/>
    <w:rsid w:val="00542C54"/>
    <w:rsid w:val="00546A43"/>
    <w:rsid w:val="00546C70"/>
    <w:rsid w:val="00547258"/>
    <w:rsid w:val="00550CF0"/>
    <w:rsid w:val="005535CE"/>
    <w:rsid w:val="005559FE"/>
    <w:rsid w:val="005560D6"/>
    <w:rsid w:val="00556D07"/>
    <w:rsid w:val="005611F2"/>
    <w:rsid w:val="00561734"/>
    <w:rsid w:val="00561952"/>
    <w:rsid w:val="00564B9A"/>
    <w:rsid w:val="00565694"/>
    <w:rsid w:val="00566DD6"/>
    <w:rsid w:val="00570E73"/>
    <w:rsid w:val="00571287"/>
    <w:rsid w:val="005714EF"/>
    <w:rsid w:val="00571CEC"/>
    <w:rsid w:val="00572FCE"/>
    <w:rsid w:val="005750DB"/>
    <w:rsid w:val="005759FC"/>
    <w:rsid w:val="00575B85"/>
    <w:rsid w:val="00576DB9"/>
    <w:rsid w:val="0057738F"/>
    <w:rsid w:val="005805E4"/>
    <w:rsid w:val="0058202F"/>
    <w:rsid w:val="00584221"/>
    <w:rsid w:val="00584EB6"/>
    <w:rsid w:val="00586B68"/>
    <w:rsid w:val="0058774E"/>
    <w:rsid w:val="005878CF"/>
    <w:rsid w:val="00590CA0"/>
    <w:rsid w:val="00595B01"/>
    <w:rsid w:val="00596D98"/>
    <w:rsid w:val="005979A5"/>
    <w:rsid w:val="005A0021"/>
    <w:rsid w:val="005A017B"/>
    <w:rsid w:val="005A2AEC"/>
    <w:rsid w:val="005A412D"/>
    <w:rsid w:val="005A5212"/>
    <w:rsid w:val="005B002D"/>
    <w:rsid w:val="005B0FFF"/>
    <w:rsid w:val="005B19AF"/>
    <w:rsid w:val="005B258C"/>
    <w:rsid w:val="005B4B4A"/>
    <w:rsid w:val="005B61DD"/>
    <w:rsid w:val="005B6735"/>
    <w:rsid w:val="005B7831"/>
    <w:rsid w:val="005C0CD6"/>
    <w:rsid w:val="005C12D9"/>
    <w:rsid w:val="005C2146"/>
    <w:rsid w:val="005C25D7"/>
    <w:rsid w:val="005C309D"/>
    <w:rsid w:val="005C544B"/>
    <w:rsid w:val="005C5916"/>
    <w:rsid w:val="005C5AEE"/>
    <w:rsid w:val="005C774A"/>
    <w:rsid w:val="005D3734"/>
    <w:rsid w:val="005D4F16"/>
    <w:rsid w:val="005D5A53"/>
    <w:rsid w:val="005D5DA0"/>
    <w:rsid w:val="005D7FBD"/>
    <w:rsid w:val="005E19B4"/>
    <w:rsid w:val="005E1D6B"/>
    <w:rsid w:val="005E227A"/>
    <w:rsid w:val="005E2C0E"/>
    <w:rsid w:val="005E2CF8"/>
    <w:rsid w:val="005E3126"/>
    <w:rsid w:val="005E7075"/>
    <w:rsid w:val="005E75A7"/>
    <w:rsid w:val="005F38E2"/>
    <w:rsid w:val="005F3EE6"/>
    <w:rsid w:val="005F6736"/>
    <w:rsid w:val="00602C10"/>
    <w:rsid w:val="00602EBD"/>
    <w:rsid w:val="00604CF2"/>
    <w:rsid w:val="00606DBB"/>
    <w:rsid w:val="00606DFF"/>
    <w:rsid w:val="00606FB7"/>
    <w:rsid w:val="00607209"/>
    <w:rsid w:val="00610533"/>
    <w:rsid w:val="006110F6"/>
    <w:rsid w:val="00611FA1"/>
    <w:rsid w:val="00612522"/>
    <w:rsid w:val="00612DA6"/>
    <w:rsid w:val="0061365B"/>
    <w:rsid w:val="006138B6"/>
    <w:rsid w:val="00614BC6"/>
    <w:rsid w:val="00614E33"/>
    <w:rsid w:val="006158B8"/>
    <w:rsid w:val="0061706D"/>
    <w:rsid w:val="006173DA"/>
    <w:rsid w:val="00617EF9"/>
    <w:rsid w:val="00617FA8"/>
    <w:rsid w:val="00620295"/>
    <w:rsid w:val="006229FE"/>
    <w:rsid w:val="00622F8E"/>
    <w:rsid w:val="00626AC8"/>
    <w:rsid w:val="00627912"/>
    <w:rsid w:val="0063195F"/>
    <w:rsid w:val="00635CF7"/>
    <w:rsid w:val="00636C0A"/>
    <w:rsid w:val="00637EC6"/>
    <w:rsid w:val="0064240C"/>
    <w:rsid w:val="00642FF5"/>
    <w:rsid w:val="006430FB"/>
    <w:rsid w:val="00643992"/>
    <w:rsid w:val="00644DBC"/>
    <w:rsid w:val="00646FE6"/>
    <w:rsid w:val="006474CD"/>
    <w:rsid w:val="00647744"/>
    <w:rsid w:val="006479A0"/>
    <w:rsid w:val="006500D9"/>
    <w:rsid w:val="00653B54"/>
    <w:rsid w:val="006541A3"/>
    <w:rsid w:val="00654FAD"/>
    <w:rsid w:val="006554A5"/>
    <w:rsid w:val="00655C9F"/>
    <w:rsid w:val="006567FF"/>
    <w:rsid w:val="00656867"/>
    <w:rsid w:val="0066109F"/>
    <w:rsid w:val="00664B26"/>
    <w:rsid w:val="0066596B"/>
    <w:rsid w:val="00670295"/>
    <w:rsid w:val="006704F5"/>
    <w:rsid w:val="00672894"/>
    <w:rsid w:val="00674B47"/>
    <w:rsid w:val="0067609E"/>
    <w:rsid w:val="00677749"/>
    <w:rsid w:val="00680E07"/>
    <w:rsid w:val="00682B9D"/>
    <w:rsid w:val="00683806"/>
    <w:rsid w:val="00686AF9"/>
    <w:rsid w:val="006910C0"/>
    <w:rsid w:val="00691954"/>
    <w:rsid w:val="0069320E"/>
    <w:rsid w:val="00693D13"/>
    <w:rsid w:val="00693E48"/>
    <w:rsid w:val="00694F58"/>
    <w:rsid w:val="006955BC"/>
    <w:rsid w:val="006959E2"/>
    <w:rsid w:val="00696920"/>
    <w:rsid w:val="00697EB9"/>
    <w:rsid w:val="006A20D4"/>
    <w:rsid w:val="006A268D"/>
    <w:rsid w:val="006A350F"/>
    <w:rsid w:val="006A3957"/>
    <w:rsid w:val="006A39A4"/>
    <w:rsid w:val="006A41D6"/>
    <w:rsid w:val="006A6554"/>
    <w:rsid w:val="006A669D"/>
    <w:rsid w:val="006A6E41"/>
    <w:rsid w:val="006B012F"/>
    <w:rsid w:val="006B27CF"/>
    <w:rsid w:val="006B41BD"/>
    <w:rsid w:val="006B5678"/>
    <w:rsid w:val="006B62B2"/>
    <w:rsid w:val="006C1C57"/>
    <w:rsid w:val="006C5760"/>
    <w:rsid w:val="006C6D6F"/>
    <w:rsid w:val="006D0D78"/>
    <w:rsid w:val="006D1128"/>
    <w:rsid w:val="006D2848"/>
    <w:rsid w:val="006D30E0"/>
    <w:rsid w:val="006D5521"/>
    <w:rsid w:val="006D5FE9"/>
    <w:rsid w:val="006D6CBB"/>
    <w:rsid w:val="006D76A9"/>
    <w:rsid w:val="006D77F4"/>
    <w:rsid w:val="006E0898"/>
    <w:rsid w:val="006E41CD"/>
    <w:rsid w:val="006F3BEC"/>
    <w:rsid w:val="00703C00"/>
    <w:rsid w:val="007057CC"/>
    <w:rsid w:val="007066F2"/>
    <w:rsid w:val="00706AE5"/>
    <w:rsid w:val="0070740A"/>
    <w:rsid w:val="00711BAE"/>
    <w:rsid w:val="00711F93"/>
    <w:rsid w:val="00712940"/>
    <w:rsid w:val="00712CA4"/>
    <w:rsid w:val="0071428C"/>
    <w:rsid w:val="00715A16"/>
    <w:rsid w:val="007164B0"/>
    <w:rsid w:val="007166FF"/>
    <w:rsid w:val="007260CC"/>
    <w:rsid w:val="00726543"/>
    <w:rsid w:val="0073353E"/>
    <w:rsid w:val="00736633"/>
    <w:rsid w:val="00741CA0"/>
    <w:rsid w:val="00741EE7"/>
    <w:rsid w:val="00743A79"/>
    <w:rsid w:val="007444D4"/>
    <w:rsid w:val="0074594D"/>
    <w:rsid w:val="007459F3"/>
    <w:rsid w:val="00746E35"/>
    <w:rsid w:val="007470E2"/>
    <w:rsid w:val="0075232F"/>
    <w:rsid w:val="00753132"/>
    <w:rsid w:val="007550B3"/>
    <w:rsid w:val="00760451"/>
    <w:rsid w:val="0077182A"/>
    <w:rsid w:val="00771913"/>
    <w:rsid w:val="00772718"/>
    <w:rsid w:val="00775BCF"/>
    <w:rsid w:val="007818AA"/>
    <w:rsid w:val="00783140"/>
    <w:rsid w:val="007838B6"/>
    <w:rsid w:val="00783E77"/>
    <w:rsid w:val="007906F1"/>
    <w:rsid w:val="0079243D"/>
    <w:rsid w:val="007947C2"/>
    <w:rsid w:val="00794A9B"/>
    <w:rsid w:val="0079583B"/>
    <w:rsid w:val="00796602"/>
    <w:rsid w:val="00797185"/>
    <w:rsid w:val="007976B7"/>
    <w:rsid w:val="00797A7E"/>
    <w:rsid w:val="00797D6F"/>
    <w:rsid w:val="007A2BA2"/>
    <w:rsid w:val="007B014B"/>
    <w:rsid w:val="007B0D88"/>
    <w:rsid w:val="007B306F"/>
    <w:rsid w:val="007B4714"/>
    <w:rsid w:val="007B4E82"/>
    <w:rsid w:val="007B773D"/>
    <w:rsid w:val="007C1996"/>
    <w:rsid w:val="007C3773"/>
    <w:rsid w:val="007C3DD6"/>
    <w:rsid w:val="007C3F1F"/>
    <w:rsid w:val="007C593C"/>
    <w:rsid w:val="007D18C6"/>
    <w:rsid w:val="007D2D0D"/>
    <w:rsid w:val="007D3325"/>
    <w:rsid w:val="007D3818"/>
    <w:rsid w:val="007D6DC5"/>
    <w:rsid w:val="007D7425"/>
    <w:rsid w:val="007E320E"/>
    <w:rsid w:val="007E3280"/>
    <w:rsid w:val="007E4A02"/>
    <w:rsid w:val="007E595C"/>
    <w:rsid w:val="007E59A5"/>
    <w:rsid w:val="007F33D9"/>
    <w:rsid w:val="007F3B8C"/>
    <w:rsid w:val="007F41D0"/>
    <w:rsid w:val="007F4B8B"/>
    <w:rsid w:val="007F5957"/>
    <w:rsid w:val="007F6B85"/>
    <w:rsid w:val="007F70B6"/>
    <w:rsid w:val="007F74CA"/>
    <w:rsid w:val="00800F1E"/>
    <w:rsid w:val="0080195A"/>
    <w:rsid w:val="0080239C"/>
    <w:rsid w:val="00802841"/>
    <w:rsid w:val="008037D5"/>
    <w:rsid w:val="00805447"/>
    <w:rsid w:val="008054FA"/>
    <w:rsid w:val="0080717A"/>
    <w:rsid w:val="00807DFA"/>
    <w:rsid w:val="0081009F"/>
    <w:rsid w:val="00810152"/>
    <w:rsid w:val="008115AB"/>
    <w:rsid w:val="00812D2C"/>
    <w:rsid w:val="00815348"/>
    <w:rsid w:val="008159F4"/>
    <w:rsid w:val="008167C1"/>
    <w:rsid w:val="008167C6"/>
    <w:rsid w:val="00816B8F"/>
    <w:rsid w:val="00817F96"/>
    <w:rsid w:val="00820331"/>
    <w:rsid w:val="00820BF5"/>
    <w:rsid w:val="008212B1"/>
    <w:rsid w:val="0082155A"/>
    <w:rsid w:val="0082209F"/>
    <w:rsid w:val="008223C2"/>
    <w:rsid w:val="008250A2"/>
    <w:rsid w:val="00825D64"/>
    <w:rsid w:val="0082650B"/>
    <w:rsid w:val="008301CE"/>
    <w:rsid w:val="008312E3"/>
    <w:rsid w:val="00831D5B"/>
    <w:rsid w:val="00832DD6"/>
    <w:rsid w:val="00832F0C"/>
    <w:rsid w:val="008336F2"/>
    <w:rsid w:val="008345D9"/>
    <w:rsid w:val="008347CB"/>
    <w:rsid w:val="00835647"/>
    <w:rsid w:val="00837A2E"/>
    <w:rsid w:val="00841558"/>
    <w:rsid w:val="00842A68"/>
    <w:rsid w:val="00843554"/>
    <w:rsid w:val="008435BA"/>
    <w:rsid w:val="0084558B"/>
    <w:rsid w:val="0084654A"/>
    <w:rsid w:val="00847654"/>
    <w:rsid w:val="00851064"/>
    <w:rsid w:val="00852426"/>
    <w:rsid w:val="00855543"/>
    <w:rsid w:val="008566B3"/>
    <w:rsid w:val="008576B7"/>
    <w:rsid w:val="00857F7B"/>
    <w:rsid w:val="00863DA1"/>
    <w:rsid w:val="008654A6"/>
    <w:rsid w:val="00865D86"/>
    <w:rsid w:val="00870495"/>
    <w:rsid w:val="00870EA1"/>
    <w:rsid w:val="008710C5"/>
    <w:rsid w:val="00874438"/>
    <w:rsid w:val="00874E75"/>
    <w:rsid w:val="008767F3"/>
    <w:rsid w:val="00876CEF"/>
    <w:rsid w:val="00877342"/>
    <w:rsid w:val="008803C3"/>
    <w:rsid w:val="00881450"/>
    <w:rsid w:val="008817C7"/>
    <w:rsid w:val="00881875"/>
    <w:rsid w:val="008848A3"/>
    <w:rsid w:val="00884AF1"/>
    <w:rsid w:val="00885F7A"/>
    <w:rsid w:val="00887E19"/>
    <w:rsid w:val="00890712"/>
    <w:rsid w:val="00890D81"/>
    <w:rsid w:val="00892955"/>
    <w:rsid w:val="00893628"/>
    <w:rsid w:val="008941EB"/>
    <w:rsid w:val="0089545A"/>
    <w:rsid w:val="00895A02"/>
    <w:rsid w:val="008A01EE"/>
    <w:rsid w:val="008A0DAC"/>
    <w:rsid w:val="008A34E9"/>
    <w:rsid w:val="008A3B78"/>
    <w:rsid w:val="008A4166"/>
    <w:rsid w:val="008A7DBF"/>
    <w:rsid w:val="008B136C"/>
    <w:rsid w:val="008B1C05"/>
    <w:rsid w:val="008B55EF"/>
    <w:rsid w:val="008B6910"/>
    <w:rsid w:val="008C0B5C"/>
    <w:rsid w:val="008C1343"/>
    <w:rsid w:val="008C3912"/>
    <w:rsid w:val="008C5598"/>
    <w:rsid w:val="008C69EA"/>
    <w:rsid w:val="008C6F8B"/>
    <w:rsid w:val="008C7AB7"/>
    <w:rsid w:val="008C7FB4"/>
    <w:rsid w:val="008D2C8C"/>
    <w:rsid w:val="008D3040"/>
    <w:rsid w:val="008D3ECD"/>
    <w:rsid w:val="008D5C03"/>
    <w:rsid w:val="008D7580"/>
    <w:rsid w:val="008D7C35"/>
    <w:rsid w:val="008E2B7E"/>
    <w:rsid w:val="008E5698"/>
    <w:rsid w:val="008E5733"/>
    <w:rsid w:val="008E77D2"/>
    <w:rsid w:val="008E78FD"/>
    <w:rsid w:val="008F199D"/>
    <w:rsid w:val="008F38A0"/>
    <w:rsid w:val="008F39C9"/>
    <w:rsid w:val="008F5EB5"/>
    <w:rsid w:val="008F678C"/>
    <w:rsid w:val="008F75A7"/>
    <w:rsid w:val="008F7E5A"/>
    <w:rsid w:val="00900A7F"/>
    <w:rsid w:val="00900ADC"/>
    <w:rsid w:val="009036EE"/>
    <w:rsid w:val="00905815"/>
    <w:rsid w:val="00905D1D"/>
    <w:rsid w:val="0091016D"/>
    <w:rsid w:val="00910C98"/>
    <w:rsid w:val="00911910"/>
    <w:rsid w:val="00912A58"/>
    <w:rsid w:val="00913908"/>
    <w:rsid w:val="00913D26"/>
    <w:rsid w:val="0091438B"/>
    <w:rsid w:val="009147E3"/>
    <w:rsid w:val="009155AE"/>
    <w:rsid w:val="00916FD9"/>
    <w:rsid w:val="00920FD2"/>
    <w:rsid w:val="00923A43"/>
    <w:rsid w:val="0092439C"/>
    <w:rsid w:val="0092498E"/>
    <w:rsid w:val="00925B91"/>
    <w:rsid w:val="00934461"/>
    <w:rsid w:val="00934F7E"/>
    <w:rsid w:val="00936A1C"/>
    <w:rsid w:val="0094282F"/>
    <w:rsid w:val="00943E35"/>
    <w:rsid w:val="00945278"/>
    <w:rsid w:val="0094658D"/>
    <w:rsid w:val="00947678"/>
    <w:rsid w:val="00947878"/>
    <w:rsid w:val="009504C2"/>
    <w:rsid w:val="0095254A"/>
    <w:rsid w:val="0095273B"/>
    <w:rsid w:val="009559E1"/>
    <w:rsid w:val="009568D5"/>
    <w:rsid w:val="00957CD3"/>
    <w:rsid w:val="009614EC"/>
    <w:rsid w:val="0096269B"/>
    <w:rsid w:val="00963FB0"/>
    <w:rsid w:val="00964C86"/>
    <w:rsid w:val="00965E82"/>
    <w:rsid w:val="009664BB"/>
    <w:rsid w:val="009669F8"/>
    <w:rsid w:val="00966F89"/>
    <w:rsid w:val="00973B5D"/>
    <w:rsid w:val="0097647E"/>
    <w:rsid w:val="0097755E"/>
    <w:rsid w:val="00981467"/>
    <w:rsid w:val="00981C24"/>
    <w:rsid w:val="009852F6"/>
    <w:rsid w:val="00985DE5"/>
    <w:rsid w:val="00986254"/>
    <w:rsid w:val="0098729E"/>
    <w:rsid w:val="00990067"/>
    <w:rsid w:val="00992977"/>
    <w:rsid w:val="009937D4"/>
    <w:rsid w:val="00993C78"/>
    <w:rsid w:val="009948C7"/>
    <w:rsid w:val="00995850"/>
    <w:rsid w:val="0099796C"/>
    <w:rsid w:val="009A194E"/>
    <w:rsid w:val="009A1EA2"/>
    <w:rsid w:val="009A209E"/>
    <w:rsid w:val="009A3FD7"/>
    <w:rsid w:val="009A6652"/>
    <w:rsid w:val="009A74FD"/>
    <w:rsid w:val="009B25D8"/>
    <w:rsid w:val="009B42E3"/>
    <w:rsid w:val="009B5859"/>
    <w:rsid w:val="009C0878"/>
    <w:rsid w:val="009C6D07"/>
    <w:rsid w:val="009C7CEC"/>
    <w:rsid w:val="009D154D"/>
    <w:rsid w:val="009D18EF"/>
    <w:rsid w:val="009D3BE8"/>
    <w:rsid w:val="009D44E0"/>
    <w:rsid w:val="009D573B"/>
    <w:rsid w:val="009D59A0"/>
    <w:rsid w:val="009D716A"/>
    <w:rsid w:val="009E1AC4"/>
    <w:rsid w:val="009E20B8"/>
    <w:rsid w:val="009E29A0"/>
    <w:rsid w:val="009E35F6"/>
    <w:rsid w:val="009E41B5"/>
    <w:rsid w:val="009E55D7"/>
    <w:rsid w:val="009E627C"/>
    <w:rsid w:val="009F110B"/>
    <w:rsid w:val="009F1498"/>
    <w:rsid w:val="009F1B33"/>
    <w:rsid w:val="009F1E9F"/>
    <w:rsid w:val="009F3793"/>
    <w:rsid w:val="009F54F2"/>
    <w:rsid w:val="00A0056B"/>
    <w:rsid w:val="00A01657"/>
    <w:rsid w:val="00A01C65"/>
    <w:rsid w:val="00A0213D"/>
    <w:rsid w:val="00A04C73"/>
    <w:rsid w:val="00A0679A"/>
    <w:rsid w:val="00A07A2B"/>
    <w:rsid w:val="00A11567"/>
    <w:rsid w:val="00A12375"/>
    <w:rsid w:val="00A125B8"/>
    <w:rsid w:val="00A13124"/>
    <w:rsid w:val="00A15370"/>
    <w:rsid w:val="00A156AB"/>
    <w:rsid w:val="00A16B8D"/>
    <w:rsid w:val="00A177F0"/>
    <w:rsid w:val="00A21293"/>
    <w:rsid w:val="00A2134B"/>
    <w:rsid w:val="00A21623"/>
    <w:rsid w:val="00A220EB"/>
    <w:rsid w:val="00A22302"/>
    <w:rsid w:val="00A25F1B"/>
    <w:rsid w:val="00A304E9"/>
    <w:rsid w:val="00A325F3"/>
    <w:rsid w:val="00A33103"/>
    <w:rsid w:val="00A33294"/>
    <w:rsid w:val="00A35DCB"/>
    <w:rsid w:val="00A3690E"/>
    <w:rsid w:val="00A37751"/>
    <w:rsid w:val="00A406B1"/>
    <w:rsid w:val="00A4113E"/>
    <w:rsid w:val="00A42435"/>
    <w:rsid w:val="00A43506"/>
    <w:rsid w:val="00A43624"/>
    <w:rsid w:val="00A438BA"/>
    <w:rsid w:val="00A446FD"/>
    <w:rsid w:val="00A46F46"/>
    <w:rsid w:val="00A52CB6"/>
    <w:rsid w:val="00A52F99"/>
    <w:rsid w:val="00A538BB"/>
    <w:rsid w:val="00A539B2"/>
    <w:rsid w:val="00A54164"/>
    <w:rsid w:val="00A56737"/>
    <w:rsid w:val="00A60002"/>
    <w:rsid w:val="00A603D8"/>
    <w:rsid w:val="00A60AE2"/>
    <w:rsid w:val="00A61834"/>
    <w:rsid w:val="00A618B0"/>
    <w:rsid w:val="00A62790"/>
    <w:rsid w:val="00A6291F"/>
    <w:rsid w:val="00A63F53"/>
    <w:rsid w:val="00A6454C"/>
    <w:rsid w:val="00A7111E"/>
    <w:rsid w:val="00A72152"/>
    <w:rsid w:val="00A7507A"/>
    <w:rsid w:val="00A755B6"/>
    <w:rsid w:val="00A75B1A"/>
    <w:rsid w:val="00A80ED4"/>
    <w:rsid w:val="00A816C4"/>
    <w:rsid w:val="00A82981"/>
    <w:rsid w:val="00A848C6"/>
    <w:rsid w:val="00A86F10"/>
    <w:rsid w:val="00A87AF2"/>
    <w:rsid w:val="00A90B23"/>
    <w:rsid w:val="00A93193"/>
    <w:rsid w:val="00A93836"/>
    <w:rsid w:val="00A93C2B"/>
    <w:rsid w:val="00A94556"/>
    <w:rsid w:val="00A974CB"/>
    <w:rsid w:val="00AA1EAC"/>
    <w:rsid w:val="00AA25FF"/>
    <w:rsid w:val="00AA45E2"/>
    <w:rsid w:val="00AA7AC1"/>
    <w:rsid w:val="00AB6327"/>
    <w:rsid w:val="00AB6B8F"/>
    <w:rsid w:val="00AC0C65"/>
    <w:rsid w:val="00AC0FB2"/>
    <w:rsid w:val="00AC3721"/>
    <w:rsid w:val="00AC41C6"/>
    <w:rsid w:val="00AC670D"/>
    <w:rsid w:val="00AC70C7"/>
    <w:rsid w:val="00AC76B7"/>
    <w:rsid w:val="00AD0223"/>
    <w:rsid w:val="00AD123A"/>
    <w:rsid w:val="00AD15FF"/>
    <w:rsid w:val="00AD1AA5"/>
    <w:rsid w:val="00AD2920"/>
    <w:rsid w:val="00AD2CD5"/>
    <w:rsid w:val="00AD2DFC"/>
    <w:rsid w:val="00AD38C4"/>
    <w:rsid w:val="00AD54F7"/>
    <w:rsid w:val="00AD5A4A"/>
    <w:rsid w:val="00AD60EE"/>
    <w:rsid w:val="00AD6A2B"/>
    <w:rsid w:val="00AD73D4"/>
    <w:rsid w:val="00AE1EA2"/>
    <w:rsid w:val="00AE2874"/>
    <w:rsid w:val="00AE2F98"/>
    <w:rsid w:val="00AE3602"/>
    <w:rsid w:val="00AE3E59"/>
    <w:rsid w:val="00AE5342"/>
    <w:rsid w:val="00AE5987"/>
    <w:rsid w:val="00AE6472"/>
    <w:rsid w:val="00AF1345"/>
    <w:rsid w:val="00AF38A8"/>
    <w:rsid w:val="00AF63EB"/>
    <w:rsid w:val="00B016D2"/>
    <w:rsid w:val="00B018EC"/>
    <w:rsid w:val="00B060C7"/>
    <w:rsid w:val="00B11AB7"/>
    <w:rsid w:val="00B12213"/>
    <w:rsid w:val="00B13710"/>
    <w:rsid w:val="00B22881"/>
    <w:rsid w:val="00B23EFC"/>
    <w:rsid w:val="00B24B72"/>
    <w:rsid w:val="00B25DB8"/>
    <w:rsid w:val="00B2656C"/>
    <w:rsid w:val="00B266E6"/>
    <w:rsid w:val="00B3094D"/>
    <w:rsid w:val="00B30B04"/>
    <w:rsid w:val="00B311BC"/>
    <w:rsid w:val="00B31810"/>
    <w:rsid w:val="00B31C10"/>
    <w:rsid w:val="00B3446D"/>
    <w:rsid w:val="00B34652"/>
    <w:rsid w:val="00B34F89"/>
    <w:rsid w:val="00B358C8"/>
    <w:rsid w:val="00B36185"/>
    <w:rsid w:val="00B3662F"/>
    <w:rsid w:val="00B373CD"/>
    <w:rsid w:val="00B377C8"/>
    <w:rsid w:val="00B400B8"/>
    <w:rsid w:val="00B404DE"/>
    <w:rsid w:val="00B40765"/>
    <w:rsid w:val="00B4232D"/>
    <w:rsid w:val="00B42682"/>
    <w:rsid w:val="00B43065"/>
    <w:rsid w:val="00B44784"/>
    <w:rsid w:val="00B449D0"/>
    <w:rsid w:val="00B456AB"/>
    <w:rsid w:val="00B462D4"/>
    <w:rsid w:val="00B46C2A"/>
    <w:rsid w:val="00B47E8B"/>
    <w:rsid w:val="00B51C67"/>
    <w:rsid w:val="00B53F86"/>
    <w:rsid w:val="00B53FDC"/>
    <w:rsid w:val="00B55431"/>
    <w:rsid w:val="00B55CAE"/>
    <w:rsid w:val="00B576C6"/>
    <w:rsid w:val="00B6141B"/>
    <w:rsid w:val="00B615F2"/>
    <w:rsid w:val="00B61A28"/>
    <w:rsid w:val="00B63BAB"/>
    <w:rsid w:val="00B65C6D"/>
    <w:rsid w:val="00B66B06"/>
    <w:rsid w:val="00B67862"/>
    <w:rsid w:val="00B70634"/>
    <w:rsid w:val="00B70BE4"/>
    <w:rsid w:val="00B73880"/>
    <w:rsid w:val="00B73CF1"/>
    <w:rsid w:val="00B745B3"/>
    <w:rsid w:val="00B7595C"/>
    <w:rsid w:val="00B7599D"/>
    <w:rsid w:val="00B7648F"/>
    <w:rsid w:val="00B76E13"/>
    <w:rsid w:val="00B771EE"/>
    <w:rsid w:val="00B7765B"/>
    <w:rsid w:val="00B77B4B"/>
    <w:rsid w:val="00B80ABC"/>
    <w:rsid w:val="00B814C2"/>
    <w:rsid w:val="00B83F06"/>
    <w:rsid w:val="00B900FE"/>
    <w:rsid w:val="00B9064C"/>
    <w:rsid w:val="00BA0A14"/>
    <w:rsid w:val="00BA228D"/>
    <w:rsid w:val="00BA398D"/>
    <w:rsid w:val="00BA39D3"/>
    <w:rsid w:val="00BA5C56"/>
    <w:rsid w:val="00BA776F"/>
    <w:rsid w:val="00BA7FAA"/>
    <w:rsid w:val="00BB0C0D"/>
    <w:rsid w:val="00BB0D69"/>
    <w:rsid w:val="00BB1F2B"/>
    <w:rsid w:val="00BB366E"/>
    <w:rsid w:val="00BB3AF0"/>
    <w:rsid w:val="00BB4F70"/>
    <w:rsid w:val="00BB67FF"/>
    <w:rsid w:val="00BC11B9"/>
    <w:rsid w:val="00BC138C"/>
    <w:rsid w:val="00BC14CF"/>
    <w:rsid w:val="00BC1659"/>
    <w:rsid w:val="00BC2C91"/>
    <w:rsid w:val="00BC39A2"/>
    <w:rsid w:val="00BC3A9C"/>
    <w:rsid w:val="00BC4605"/>
    <w:rsid w:val="00BC5288"/>
    <w:rsid w:val="00BC6A71"/>
    <w:rsid w:val="00BC6B2F"/>
    <w:rsid w:val="00BC7695"/>
    <w:rsid w:val="00BD0637"/>
    <w:rsid w:val="00BD08A8"/>
    <w:rsid w:val="00BD1BAC"/>
    <w:rsid w:val="00BD1FA8"/>
    <w:rsid w:val="00BD25A6"/>
    <w:rsid w:val="00BD46AF"/>
    <w:rsid w:val="00BD4C95"/>
    <w:rsid w:val="00BD65FC"/>
    <w:rsid w:val="00BD7660"/>
    <w:rsid w:val="00BE0666"/>
    <w:rsid w:val="00BE1AD1"/>
    <w:rsid w:val="00BE24B9"/>
    <w:rsid w:val="00BE2AE8"/>
    <w:rsid w:val="00BE2D55"/>
    <w:rsid w:val="00BE38DD"/>
    <w:rsid w:val="00BE4AB1"/>
    <w:rsid w:val="00BF16C3"/>
    <w:rsid w:val="00BF38E0"/>
    <w:rsid w:val="00BF44FA"/>
    <w:rsid w:val="00BF57E1"/>
    <w:rsid w:val="00C003B4"/>
    <w:rsid w:val="00C00A5F"/>
    <w:rsid w:val="00C042E0"/>
    <w:rsid w:val="00C051D9"/>
    <w:rsid w:val="00C06333"/>
    <w:rsid w:val="00C06F68"/>
    <w:rsid w:val="00C075BA"/>
    <w:rsid w:val="00C10A3A"/>
    <w:rsid w:val="00C11E20"/>
    <w:rsid w:val="00C15D16"/>
    <w:rsid w:val="00C20015"/>
    <w:rsid w:val="00C247DD"/>
    <w:rsid w:val="00C25B43"/>
    <w:rsid w:val="00C26A54"/>
    <w:rsid w:val="00C3141E"/>
    <w:rsid w:val="00C3261C"/>
    <w:rsid w:val="00C3318B"/>
    <w:rsid w:val="00C33C20"/>
    <w:rsid w:val="00C35362"/>
    <w:rsid w:val="00C357EA"/>
    <w:rsid w:val="00C379F8"/>
    <w:rsid w:val="00C37A1C"/>
    <w:rsid w:val="00C42323"/>
    <w:rsid w:val="00C4316E"/>
    <w:rsid w:val="00C453A9"/>
    <w:rsid w:val="00C465D5"/>
    <w:rsid w:val="00C4756A"/>
    <w:rsid w:val="00C47C39"/>
    <w:rsid w:val="00C50649"/>
    <w:rsid w:val="00C50E1F"/>
    <w:rsid w:val="00C51C09"/>
    <w:rsid w:val="00C52BB6"/>
    <w:rsid w:val="00C53471"/>
    <w:rsid w:val="00C55143"/>
    <w:rsid w:val="00C5611B"/>
    <w:rsid w:val="00C5695E"/>
    <w:rsid w:val="00C61528"/>
    <w:rsid w:val="00C63457"/>
    <w:rsid w:val="00C64964"/>
    <w:rsid w:val="00C6631E"/>
    <w:rsid w:val="00C67473"/>
    <w:rsid w:val="00C67AA4"/>
    <w:rsid w:val="00C7148C"/>
    <w:rsid w:val="00C72192"/>
    <w:rsid w:val="00C723A2"/>
    <w:rsid w:val="00C732E5"/>
    <w:rsid w:val="00C73D0B"/>
    <w:rsid w:val="00C75017"/>
    <w:rsid w:val="00C765B4"/>
    <w:rsid w:val="00C813EA"/>
    <w:rsid w:val="00C81496"/>
    <w:rsid w:val="00C82036"/>
    <w:rsid w:val="00C82CE6"/>
    <w:rsid w:val="00C82E22"/>
    <w:rsid w:val="00C84C07"/>
    <w:rsid w:val="00C85144"/>
    <w:rsid w:val="00C86738"/>
    <w:rsid w:val="00C86A27"/>
    <w:rsid w:val="00C90D5A"/>
    <w:rsid w:val="00C91517"/>
    <w:rsid w:val="00C929BD"/>
    <w:rsid w:val="00C931A2"/>
    <w:rsid w:val="00CA02E1"/>
    <w:rsid w:val="00CA15DA"/>
    <w:rsid w:val="00CA224E"/>
    <w:rsid w:val="00CA41C5"/>
    <w:rsid w:val="00CA41E5"/>
    <w:rsid w:val="00CA42B7"/>
    <w:rsid w:val="00CA4A53"/>
    <w:rsid w:val="00CA51F5"/>
    <w:rsid w:val="00CA5339"/>
    <w:rsid w:val="00CB218A"/>
    <w:rsid w:val="00CB225A"/>
    <w:rsid w:val="00CB69E6"/>
    <w:rsid w:val="00CB761B"/>
    <w:rsid w:val="00CC13DF"/>
    <w:rsid w:val="00CC1EEE"/>
    <w:rsid w:val="00CC562B"/>
    <w:rsid w:val="00CC69EB"/>
    <w:rsid w:val="00CC6C15"/>
    <w:rsid w:val="00CC7FCF"/>
    <w:rsid w:val="00CD1BBD"/>
    <w:rsid w:val="00CD2749"/>
    <w:rsid w:val="00CD2A60"/>
    <w:rsid w:val="00CD306F"/>
    <w:rsid w:val="00CD3971"/>
    <w:rsid w:val="00CD3DAB"/>
    <w:rsid w:val="00CE0DF1"/>
    <w:rsid w:val="00CE306F"/>
    <w:rsid w:val="00CE3786"/>
    <w:rsid w:val="00CE4027"/>
    <w:rsid w:val="00CE47CC"/>
    <w:rsid w:val="00CE68F6"/>
    <w:rsid w:val="00CE7E27"/>
    <w:rsid w:val="00CF22AC"/>
    <w:rsid w:val="00CF2F0A"/>
    <w:rsid w:val="00CF79E8"/>
    <w:rsid w:val="00D015AA"/>
    <w:rsid w:val="00D021B8"/>
    <w:rsid w:val="00D03D90"/>
    <w:rsid w:val="00D04024"/>
    <w:rsid w:val="00D043EB"/>
    <w:rsid w:val="00D06705"/>
    <w:rsid w:val="00D06A9B"/>
    <w:rsid w:val="00D0750D"/>
    <w:rsid w:val="00D07DD8"/>
    <w:rsid w:val="00D1038F"/>
    <w:rsid w:val="00D10BF7"/>
    <w:rsid w:val="00D10FEB"/>
    <w:rsid w:val="00D140A0"/>
    <w:rsid w:val="00D203D1"/>
    <w:rsid w:val="00D2057A"/>
    <w:rsid w:val="00D21C01"/>
    <w:rsid w:val="00D21D98"/>
    <w:rsid w:val="00D2317F"/>
    <w:rsid w:val="00D231A9"/>
    <w:rsid w:val="00D24391"/>
    <w:rsid w:val="00D2472B"/>
    <w:rsid w:val="00D253DD"/>
    <w:rsid w:val="00D26FFA"/>
    <w:rsid w:val="00D3215D"/>
    <w:rsid w:val="00D33352"/>
    <w:rsid w:val="00D343E5"/>
    <w:rsid w:val="00D347D9"/>
    <w:rsid w:val="00D35565"/>
    <w:rsid w:val="00D3595B"/>
    <w:rsid w:val="00D36A19"/>
    <w:rsid w:val="00D40DCF"/>
    <w:rsid w:val="00D41075"/>
    <w:rsid w:val="00D4186F"/>
    <w:rsid w:val="00D41C76"/>
    <w:rsid w:val="00D41DD8"/>
    <w:rsid w:val="00D4222C"/>
    <w:rsid w:val="00D425CE"/>
    <w:rsid w:val="00D42F40"/>
    <w:rsid w:val="00D4396C"/>
    <w:rsid w:val="00D4446F"/>
    <w:rsid w:val="00D44B55"/>
    <w:rsid w:val="00D45490"/>
    <w:rsid w:val="00D457B8"/>
    <w:rsid w:val="00D457E1"/>
    <w:rsid w:val="00D47BEB"/>
    <w:rsid w:val="00D50487"/>
    <w:rsid w:val="00D50563"/>
    <w:rsid w:val="00D50F50"/>
    <w:rsid w:val="00D5235F"/>
    <w:rsid w:val="00D52F50"/>
    <w:rsid w:val="00D55A98"/>
    <w:rsid w:val="00D56B49"/>
    <w:rsid w:val="00D6053F"/>
    <w:rsid w:val="00D6073D"/>
    <w:rsid w:val="00D618D6"/>
    <w:rsid w:val="00D62426"/>
    <w:rsid w:val="00D62804"/>
    <w:rsid w:val="00D70F55"/>
    <w:rsid w:val="00D70FA5"/>
    <w:rsid w:val="00D74171"/>
    <w:rsid w:val="00D7474C"/>
    <w:rsid w:val="00D756BE"/>
    <w:rsid w:val="00D8032C"/>
    <w:rsid w:val="00D80CE2"/>
    <w:rsid w:val="00D83080"/>
    <w:rsid w:val="00D84D5F"/>
    <w:rsid w:val="00D851E2"/>
    <w:rsid w:val="00D87FFA"/>
    <w:rsid w:val="00D91419"/>
    <w:rsid w:val="00D92A09"/>
    <w:rsid w:val="00D92D2A"/>
    <w:rsid w:val="00D92EEC"/>
    <w:rsid w:val="00D93470"/>
    <w:rsid w:val="00D9395F"/>
    <w:rsid w:val="00D93D55"/>
    <w:rsid w:val="00D941FA"/>
    <w:rsid w:val="00D94B59"/>
    <w:rsid w:val="00D95315"/>
    <w:rsid w:val="00D95EAB"/>
    <w:rsid w:val="00DA0B39"/>
    <w:rsid w:val="00DA1203"/>
    <w:rsid w:val="00DA185A"/>
    <w:rsid w:val="00DA2316"/>
    <w:rsid w:val="00DA25E0"/>
    <w:rsid w:val="00DA2700"/>
    <w:rsid w:val="00DA3001"/>
    <w:rsid w:val="00DA3C5D"/>
    <w:rsid w:val="00DA3EFF"/>
    <w:rsid w:val="00DA7769"/>
    <w:rsid w:val="00DB08C6"/>
    <w:rsid w:val="00DB1BC2"/>
    <w:rsid w:val="00DB1CBB"/>
    <w:rsid w:val="00DB31ED"/>
    <w:rsid w:val="00DB4124"/>
    <w:rsid w:val="00DB4511"/>
    <w:rsid w:val="00DB4F0C"/>
    <w:rsid w:val="00DB7E0B"/>
    <w:rsid w:val="00DC0176"/>
    <w:rsid w:val="00DC043F"/>
    <w:rsid w:val="00DC093E"/>
    <w:rsid w:val="00DC0E29"/>
    <w:rsid w:val="00DC0E7A"/>
    <w:rsid w:val="00DC2A65"/>
    <w:rsid w:val="00DC2A86"/>
    <w:rsid w:val="00DC3631"/>
    <w:rsid w:val="00DC37F7"/>
    <w:rsid w:val="00DC50D9"/>
    <w:rsid w:val="00DC6F54"/>
    <w:rsid w:val="00DD0C00"/>
    <w:rsid w:val="00DD0F8C"/>
    <w:rsid w:val="00DD116C"/>
    <w:rsid w:val="00DD23D5"/>
    <w:rsid w:val="00DD26CD"/>
    <w:rsid w:val="00DD2AF1"/>
    <w:rsid w:val="00DD46DA"/>
    <w:rsid w:val="00DD6072"/>
    <w:rsid w:val="00DD62BE"/>
    <w:rsid w:val="00DD77D9"/>
    <w:rsid w:val="00DD7CA4"/>
    <w:rsid w:val="00DE167C"/>
    <w:rsid w:val="00DE3B70"/>
    <w:rsid w:val="00DE5813"/>
    <w:rsid w:val="00DF10B1"/>
    <w:rsid w:val="00DF1FDA"/>
    <w:rsid w:val="00DF3DD0"/>
    <w:rsid w:val="00DF4D50"/>
    <w:rsid w:val="00DF538C"/>
    <w:rsid w:val="00E021C2"/>
    <w:rsid w:val="00E024A3"/>
    <w:rsid w:val="00E0423D"/>
    <w:rsid w:val="00E04CD9"/>
    <w:rsid w:val="00E057B5"/>
    <w:rsid w:val="00E0581E"/>
    <w:rsid w:val="00E079C5"/>
    <w:rsid w:val="00E07CBD"/>
    <w:rsid w:val="00E07F56"/>
    <w:rsid w:val="00E10A16"/>
    <w:rsid w:val="00E1112F"/>
    <w:rsid w:val="00E1318F"/>
    <w:rsid w:val="00E13B3B"/>
    <w:rsid w:val="00E13E29"/>
    <w:rsid w:val="00E16857"/>
    <w:rsid w:val="00E16C3A"/>
    <w:rsid w:val="00E20651"/>
    <w:rsid w:val="00E2107C"/>
    <w:rsid w:val="00E21E70"/>
    <w:rsid w:val="00E224DE"/>
    <w:rsid w:val="00E225DA"/>
    <w:rsid w:val="00E23DCE"/>
    <w:rsid w:val="00E26363"/>
    <w:rsid w:val="00E26BCE"/>
    <w:rsid w:val="00E272A4"/>
    <w:rsid w:val="00E305F9"/>
    <w:rsid w:val="00E306AC"/>
    <w:rsid w:val="00E34446"/>
    <w:rsid w:val="00E3633B"/>
    <w:rsid w:val="00E36870"/>
    <w:rsid w:val="00E374E1"/>
    <w:rsid w:val="00E417AB"/>
    <w:rsid w:val="00E43D48"/>
    <w:rsid w:val="00E4542D"/>
    <w:rsid w:val="00E45BE0"/>
    <w:rsid w:val="00E46CAD"/>
    <w:rsid w:val="00E47521"/>
    <w:rsid w:val="00E4760C"/>
    <w:rsid w:val="00E5026B"/>
    <w:rsid w:val="00E507A6"/>
    <w:rsid w:val="00E5103C"/>
    <w:rsid w:val="00E5375C"/>
    <w:rsid w:val="00E561AD"/>
    <w:rsid w:val="00E57FAF"/>
    <w:rsid w:val="00E60BA9"/>
    <w:rsid w:val="00E63510"/>
    <w:rsid w:val="00E635EA"/>
    <w:rsid w:val="00E655E5"/>
    <w:rsid w:val="00E65F4E"/>
    <w:rsid w:val="00E662E0"/>
    <w:rsid w:val="00E67D5D"/>
    <w:rsid w:val="00E71C7A"/>
    <w:rsid w:val="00E73119"/>
    <w:rsid w:val="00E73E1E"/>
    <w:rsid w:val="00E767FF"/>
    <w:rsid w:val="00E77FA6"/>
    <w:rsid w:val="00E84C91"/>
    <w:rsid w:val="00E84E60"/>
    <w:rsid w:val="00E8556E"/>
    <w:rsid w:val="00E86B2D"/>
    <w:rsid w:val="00E86F4D"/>
    <w:rsid w:val="00E87D08"/>
    <w:rsid w:val="00E90D0E"/>
    <w:rsid w:val="00E91B2D"/>
    <w:rsid w:val="00E92FCA"/>
    <w:rsid w:val="00E95CAA"/>
    <w:rsid w:val="00EA0A39"/>
    <w:rsid w:val="00EA0EB2"/>
    <w:rsid w:val="00EA236F"/>
    <w:rsid w:val="00EA3023"/>
    <w:rsid w:val="00EA3E49"/>
    <w:rsid w:val="00EA3FC8"/>
    <w:rsid w:val="00EA5B8C"/>
    <w:rsid w:val="00EB0DC9"/>
    <w:rsid w:val="00EB1383"/>
    <w:rsid w:val="00EB252D"/>
    <w:rsid w:val="00EB29FA"/>
    <w:rsid w:val="00EB2CCE"/>
    <w:rsid w:val="00EB385F"/>
    <w:rsid w:val="00EB3E49"/>
    <w:rsid w:val="00EB5FC3"/>
    <w:rsid w:val="00EB6DA9"/>
    <w:rsid w:val="00EC1561"/>
    <w:rsid w:val="00EC1B2D"/>
    <w:rsid w:val="00EC462E"/>
    <w:rsid w:val="00EC4B52"/>
    <w:rsid w:val="00EC6CD8"/>
    <w:rsid w:val="00EC786F"/>
    <w:rsid w:val="00ED1866"/>
    <w:rsid w:val="00ED3134"/>
    <w:rsid w:val="00ED38E2"/>
    <w:rsid w:val="00ED5C44"/>
    <w:rsid w:val="00ED635B"/>
    <w:rsid w:val="00EE6D2B"/>
    <w:rsid w:val="00EE742D"/>
    <w:rsid w:val="00EF0A22"/>
    <w:rsid w:val="00EF1267"/>
    <w:rsid w:val="00EF180C"/>
    <w:rsid w:val="00EF22F7"/>
    <w:rsid w:val="00EF3B6B"/>
    <w:rsid w:val="00EF4B43"/>
    <w:rsid w:val="00EF6750"/>
    <w:rsid w:val="00EF770B"/>
    <w:rsid w:val="00F02836"/>
    <w:rsid w:val="00F02FB5"/>
    <w:rsid w:val="00F0534E"/>
    <w:rsid w:val="00F05C30"/>
    <w:rsid w:val="00F05FBC"/>
    <w:rsid w:val="00F10F1B"/>
    <w:rsid w:val="00F14179"/>
    <w:rsid w:val="00F15786"/>
    <w:rsid w:val="00F167C5"/>
    <w:rsid w:val="00F20B5A"/>
    <w:rsid w:val="00F21F0B"/>
    <w:rsid w:val="00F236AB"/>
    <w:rsid w:val="00F24EA4"/>
    <w:rsid w:val="00F27087"/>
    <w:rsid w:val="00F2773C"/>
    <w:rsid w:val="00F300B3"/>
    <w:rsid w:val="00F30DB9"/>
    <w:rsid w:val="00F30FB8"/>
    <w:rsid w:val="00F31D68"/>
    <w:rsid w:val="00F33152"/>
    <w:rsid w:val="00F338F2"/>
    <w:rsid w:val="00F349D3"/>
    <w:rsid w:val="00F34FF9"/>
    <w:rsid w:val="00F3533E"/>
    <w:rsid w:val="00F35B84"/>
    <w:rsid w:val="00F3735D"/>
    <w:rsid w:val="00F37734"/>
    <w:rsid w:val="00F402B5"/>
    <w:rsid w:val="00F4072F"/>
    <w:rsid w:val="00F42839"/>
    <w:rsid w:val="00F43961"/>
    <w:rsid w:val="00F44CC0"/>
    <w:rsid w:val="00F450BA"/>
    <w:rsid w:val="00F4684B"/>
    <w:rsid w:val="00F46BE9"/>
    <w:rsid w:val="00F47C3B"/>
    <w:rsid w:val="00F506CA"/>
    <w:rsid w:val="00F53A7A"/>
    <w:rsid w:val="00F54FCD"/>
    <w:rsid w:val="00F5785C"/>
    <w:rsid w:val="00F65E3C"/>
    <w:rsid w:val="00F67076"/>
    <w:rsid w:val="00F677FA"/>
    <w:rsid w:val="00F6788F"/>
    <w:rsid w:val="00F7115A"/>
    <w:rsid w:val="00F717AA"/>
    <w:rsid w:val="00F72714"/>
    <w:rsid w:val="00F744C3"/>
    <w:rsid w:val="00F75EE2"/>
    <w:rsid w:val="00F75F69"/>
    <w:rsid w:val="00F76014"/>
    <w:rsid w:val="00F802D3"/>
    <w:rsid w:val="00F80F94"/>
    <w:rsid w:val="00F81BA2"/>
    <w:rsid w:val="00F823A4"/>
    <w:rsid w:val="00F8412F"/>
    <w:rsid w:val="00F84791"/>
    <w:rsid w:val="00F85995"/>
    <w:rsid w:val="00F85FC5"/>
    <w:rsid w:val="00F86792"/>
    <w:rsid w:val="00F86C22"/>
    <w:rsid w:val="00F87EF7"/>
    <w:rsid w:val="00F90CB3"/>
    <w:rsid w:val="00F912A2"/>
    <w:rsid w:val="00F913A3"/>
    <w:rsid w:val="00F9186E"/>
    <w:rsid w:val="00F925C3"/>
    <w:rsid w:val="00FA0109"/>
    <w:rsid w:val="00FA3329"/>
    <w:rsid w:val="00FA458B"/>
    <w:rsid w:val="00FA5EC5"/>
    <w:rsid w:val="00FA7016"/>
    <w:rsid w:val="00FA7174"/>
    <w:rsid w:val="00FA793D"/>
    <w:rsid w:val="00FB020E"/>
    <w:rsid w:val="00FB0F17"/>
    <w:rsid w:val="00FB4B9D"/>
    <w:rsid w:val="00FB50ED"/>
    <w:rsid w:val="00FB6E18"/>
    <w:rsid w:val="00FC144B"/>
    <w:rsid w:val="00FC2169"/>
    <w:rsid w:val="00FC28E2"/>
    <w:rsid w:val="00FC3B00"/>
    <w:rsid w:val="00FC3BF6"/>
    <w:rsid w:val="00FC3D22"/>
    <w:rsid w:val="00FC6FE1"/>
    <w:rsid w:val="00FD0C3D"/>
    <w:rsid w:val="00FD16C2"/>
    <w:rsid w:val="00FD1ECA"/>
    <w:rsid w:val="00FD2F6B"/>
    <w:rsid w:val="00FE064A"/>
    <w:rsid w:val="00FE0B55"/>
    <w:rsid w:val="00FE1E98"/>
    <w:rsid w:val="00FE2452"/>
    <w:rsid w:val="00FE5469"/>
    <w:rsid w:val="00FE66C2"/>
    <w:rsid w:val="00FE684A"/>
    <w:rsid w:val="00FE6F23"/>
    <w:rsid w:val="00FF0F8C"/>
    <w:rsid w:val="00FF3004"/>
    <w:rsid w:val="00FF408B"/>
    <w:rsid w:val="00FF43E1"/>
    <w:rsid w:val="019E4ED3"/>
    <w:rsid w:val="03430854"/>
    <w:rsid w:val="039F5FA6"/>
    <w:rsid w:val="05A0746B"/>
    <w:rsid w:val="09305ADA"/>
    <w:rsid w:val="0E8013B7"/>
    <w:rsid w:val="10D604C6"/>
    <w:rsid w:val="11B515E0"/>
    <w:rsid w:val="13A53267"/>
    <w:rsid w:val="13F970D2"/>
    <w:rsid w:val="14AA4136"/>
    <w:rsid w:val="163A420B"/>
    <w:rsid w:val="19257F5C"/>
    <w:rsid w:val="19413B26"/>
    <w:rsid w:val="1C6D3688"/>
    <w:rsid w:val="1CC63D0A"/>
    <w:rsid w:val="1DC2081A"/>
    <w:rsid w:val="1DD94266"/>
    <w:rsid w:val="1F9D0947"/>
    <w:rsid w:val="1FFB29C6"/>
    <w:rsid w:val="22AF3620"/>
    <w:rsid w:val="22E70AD4"/>
    <w:rsid w:val="24F1508D"/>
    <w:rsid w:val="253905D9"/>
    <w:rsid w:val="266F634F"/>
    <w:rsid w:val="291059EA"/>
    <w:rsid w:val="2BBF12EC"/>
    <w:rsid w:val="2BC649D9"/>
    <w:rsid w:val="327A3A92"/>
    <w:rsid w:val="3515160D"/>
    <w:rsid w:val="38347392"/>
    <w:rsid w:val="3BFC46F4"/>
    <w:rsid w:val="3C7D00D8"/>
    <w:rsid w:val="3CA06C0C"/>
    <w:rsid w:val="3CAB7EC8"/>
    <w:rsid w:val="3EA25851"/>
    <w:rsid w:val="3F6C3757"/>
    <w:rsid w:val="405D6A10"/>
    <w:rsid w:val="41DA6594"/>
    <w:rsid w:val="444C1A75"/>
    <w:rsid w:val="44A3526F"/>
    <w:rsid w:val="44B032F4"/>
    <w:rsid w:val="457D25F7"/>
    <w:rsid w:val="468341CD"/>
    <w:rsid w:val="472C2589"/>
    <w:rsid w:val="49303C2F"/>
    <w:rsid w:val="495908AB"/>
    <w:rsid w:val="4A760AEB"/>
    <w:rsid w:val="4F3162CA"/>
    <w:rsid w:val="50D95873"/>
    <w:rsid w:val="519D3E2C"/>
    <w:rsid w:val="526102AF"/>
    <w:rsid w:val="528444DA"/>
    <w:rsid w:val="537745D5"/>
    <w:rsid w:val="552306F6"/>
    <w:rsid w:val="5563713A"/>
    <w:rsid w:val="56E352D5"/>
    <w:rsid w:val="57E435FE"/>
    <w:rsid w:val="582D0655"/>
    <w:rsid w:val="585A4825"/>
    <w:rsid w:val="5951205C"/>
    <w:rsid w:val="59D079E8"/>
    <w:rsid w:val="59D40847"/>
    <w:rsid w:val="5AE37F25"/>
    <w:rsid w:val="5BE072DA"/>
    <w:rsid w:val="5CB23D47"/>
    <w:rsid w:val="5FAF09C4"/>
    <w:rsid w:val="608C4642"/>
    <w:rsid w:val="62795572"/>
    <w:rsid w:val="641116DB"/>
    <w:rsid w:val="64DD6417"/>
    <w:rsid w:val="66004745"/>
    <w:rsid w:val="667016B7"/>
    <w:rsid w:val="6766247C"/>
    <w:rsid w:val="69185D7B"/>
    <w:rsid w:val="691D4191"/>
    <w:rsid w:val="69D12FAB"/>
    <w:rsid w:val="6A567F20"/>
    <w:rsid w:val="6B162AE6"/>
    <w:rsid w:val="6B3E3FF4"/>
    <w:rsid w:val="6CD97953"/>
    <w:rsid w:val="6ED30FD7"/>
    <w:rsid w:val="727D78FD"/>
    <w:rsid w:val="73CC655F"/>
    <w:rsid w:val="747D7A85"/>
    <w:rsid w:val="75957445"/>
    <w:rsid w:val="75D01AE1"/>
    <w:rsid w:val="77524363"/>
    <w:rsid w:val="77B917B5"/>
    <w:rsid w:val="78703975"/>
    <w:rsid w:val="7BE420FD"/>
    <w:rsid w:val="7D0D296B"/>
    <w:rsid w:val="7D4E0B54"/>
    <w:rsid w:val="7D503E78"/>
    <w:rsid w:val="7E016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2">
    <w:name w:val="heading 1"/>
    <w:basedOn w:val="1"/>
    <w:next w:val="1"/>
    <w:link w:val="76"/>
    <w:qFormat/>
    <w:uiPriority w:val="9"/>
    <w:pPr>
      <w:keepNext/>
      <w:keepLines/>
      <w:numPr>
        <w:ilvl w:val="0"/>
        <w:numId w:val="1"/>
      </w:numPr>
      <w:spacing w:before="120" w:after="120"/>
      <w:ind w:firstLine="0" w:firstLineChars="0"/>
      <w:outlineLvl w:val="0"/>
    </w:pPr>
    <w:rPr>
      <w:rFonts w:eastAsia="黑体"/>
      <w:b/>
      <w:bCs/>
      <w:kern w:val="44"/>
      <w:sz w:val="32"/>
      <w:szCs w:val="28"/>
    </w:rPr>
  </w:style>
  <w:style w:type="paragraph" w:styleId="3">
    <w:name w:val="heading 2"/>
    <w:basedOn w:val="1"/>
    <w:next w:val="1"/>
    <w:link w:val="89"/>
    <w:qFormat/>
    <w:uiPriority w:val="9"/>
    <w:pPr>
      <w:keepNext/>
      <w:keepLines/>
      <w:numPr>
        <w:ilvl w:val="1"/>
        <w:numId w:val="1"/>
      </w:numPr>
      <w:spacing w:before="120" w:after="120"/>
      <w:ind w:firstLine="0" w:firstLineChars="0"/>
      <w:outlineLvl w:val="1"/>
    </w:pPr>
    <w:rPr>
      <w:b/>
      <w:bCs/>
      <w:sz w:val="30"/>
      <w:szCs w:val="32"/>
    </w:rPr>
  </w:style>
  <w:style w:type="paragraph" w:styleId="4">
    <w:name w:val="heading 3"/>
    <w:basedOn w:val="1"/>
    <w:next w:val="1"/>
    <w:link w:val="82"/>
    <w:qFormat/>
    <w:uiPriority w:val="9"/>
    <w:pPr>
      <w:keepNext/>
      <w:keepLines/>
      <w:numPr>
        <w:ilvl w:val="2"/>
        <w:numId w:val="1"/>
      </w:numPr>
      <w:spacing w:before="120" w:after="120"/>
      <w:ind w:firstLine="0" w:firstLineChars="0"/>
      <w:outlineLvl w:val="2"/>
    </w:pPr>
    <w:rPr>
      <w:b/>
      <w:bCs/>
      <w:sz w:val="28"/>
      <w:szCs w:val="28"/>
    </w:rPr>
  </w:style>
  <w:style w:type="paragraph" w:styleId="5">
    <w:name w:val="heading 4"/>
    <w:basedOn w:val="1"/>
    <w:next w:val="1"/>
    <w:link w:val="59"/>
    <w:qFormat/>
    <w:uiPriority w:val="0"/>
    <w:pPr>
      <w:keepNext/>
      <w:keepLines/>
      <w:numPr>
        <w:ilvl w:val="3"/>
        <w:numId w:val="1"/>
      </w:numPr>
      <w:spacing w:before="120" w:after="120"/>
      <w:ind w:left="851" w:firstLine="0" w:firstLineChars="0"/>
      <w:outlineLvl w:val="3"/>
    </w:pPr>
    <w:rPr>
      <w:b/>
      <w:bCs/>
      <w:sz w:val="30"/>
      <w:szCs w:val="30"/>
    </w:rPr>
  </w:style>
  <w:style w:type="paragraph" w:styleId="6">
    <w:name w:val="heading 5"/>
    <w:basedOn w:val="1"/>
    <w:next w:val="1"/>
    <w:link w:val="87"/>
    <w:qFormat/>
    <w:uiPriority w:val="9"/>
    <w:pPr>
      <w:keepNext/>
      <w:keepLines/>
      <w:numPr>
        <w:ilvl w:val="4"/>
        <w:numId w:val="1"/>
      </w:numPr>
      <w:spacing w:before="120" w:after="120"/>
      <w:ind w:left="0" w:firstLine="0" w:firstLineChars="0"/>
      <w:outlineLvl w:val="4"/>
    </w:pPr>
    <w:rPr>
      <w:b/>
      <w:bCs/>
      <w:szCs w:val="28"/>
    </w:rPr>
  </w:style>
  <w:style w:type="paragraph" w:styleId="7">
    <w:name w:val="heading 6"/>
    <w:basedOn w:val="1"/>
    <w:next w:val="1"/>
    <w:link w:val="100"/>
    <w:qFormat/>
    <w:uiPriority w:val="9"/>
    <w:pPr>
      <w:keepNext/>
      <w:keepLines/>
      <w:numPr>
        <w:ilvl w:val="5"/>
        <w:numId w:val="1"/>
      </w:numPr>
      <w:spacing w:before="120" w:after="120"/>
      <w:ind w:firstLine="0" w:firstLineChars="0"/>
      <w:outlineLvl w:val="5"/>
    </w:pPr>
    <w:rPr>
      <w:rFonts w:ascii="Cambria" w:hAnsi="Cambria"/>
      <w:b/>
      <w:bCs/>
    </w:rPr>
  </w:style>
  <w:style w:type="paragraph" w:styleId="8">
    <w:name w:val="heading 7"/>
    <w:basedOn w:val="1"/>
    <w:next w:val="1"/>
    <w:link w:val="73"/>
    <w:qFormat/>
    <w:uiPriority w:val="9"/>
    <w:pPr>
      <w:keepNext/>
      <w:keepLines/>
      <w:spacing w:before="240" w:after="64" w:line="319" w:lineRule="auto"/>
      <w:ind w:firstLine="0" w:firstLineChars="0"/>
      <w:outlineLvl w:val="6"/>
    </w:pPr>
    <w:rPr>
      <w:rFonts w:ascii="Times New Roman" w:hAnsi="Times New Roman"/>
      <w:b/>
      <w:bCs/>
      <w:sz w:val="21"/>
    </w:rPr>
  </w:style>
  <w:style w:type="paragraph" w:styleId="9">
    <w:name w:val="heading 8"/>
    <w:basedOn w:val="1"/>
    <w:next w:val="1"/>
    <w:link w:val="99"/>
    <w:qFormat/>
    <w:uiPriority w:val="9"/>
    <w:pPr>
      <w:keepNext/>
      <w:keepLines/>
      <w:spacing w:before="240" w:after="64" w:line="319" w:lineRule="auto"/>
      <w:ind w:firstLine="0" w:firstLineChars="0"/>
      <w:outlineLvl w:val="7"/>
    </w:pPr>
    <w:rPr>
      <w:rFonts w:ascii="Cambria" w:hAnsi="Cambria"/>
      <w:sz w:val="21"/>
    </w:rPr>
  </w:style>
  <w:style w:type="paragraph" w:styleId="10">
    <w:name w:val="heading 9"/>
    <w:basedOn w:val="1"/>
    <w:next w:val="1"/>
    <w:link w:val="49"/>
    <w:qFormat/>
    <w:uiPriority w:val="9"/>
    <w:pPr>
      <w:keepNext/>
      <w:keepLines/>
      <w:spacing w:before="240" w:after="64" w:line="319" w:lineRule="auto"/>
      <w:ind w:firstLine="0" w:firstLineChars="0"/>
      <w:outlineLvl w:val="8"/>
    </w:pPr>
    <w:rPr>
      <w:rFonts w:ascii="Cambria" w:hAnsi="Cambria"/>
      <w:sz w:val="21"/>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等线" w:hAnsi="等线" w:eastAsia="等线"/>
      <w:szCs w:val="22"/>
    </w:rPr>
  </w:style>
  <w:style w:type="paragraph" w:styleId="12">
    <w:name w:val="Normal Indent"/>
    <w:basedOn w:val="1"/>
    <w:unhideWhenUsed/>
    <w:qFormat/>
    <w:uiPriority w:val="99"/>
    <w:pPr>
      <w:spacing w:line="240" w:lineRule="auto"/>
      <w:ind w:firstLine="420"/>
    </w:pPr>
    <w:rPr>
      <w:rFonts w:ascii="Calibri" w:hAnsi="Calibri"/>
      <w:sz w:val="21"/>
    </w:rPr>
  </w:style>
  <w:style w:type="paragraph" w:styleId="13">
    <w:name w:val="caption"/>
    <w:basedOn w:val="1"/>
    <w:next w:val="1"/>
    <w:link w:val="55"/>
    <w:qFormat/>
    <w:uiPriority w:val="0"/>
    <w:pPr>
      <w:spacing w:afterLines="50"/>
      <w:ind w:firstLine="200"/>
    </w:pPr>
    <w:rPr>
      <w:rFonts w:ascii="Arial" w:hAnsi="Arial" w:eastAsia="黑体"/>
      <w:sz w:val="20"/>
      <w:szCs w:val="20"/>
    </w:rPr>
  </w:style>
  <w:style w:type="paragraph" w:styleId="14">
    <w:name w:val="Document Map"/>
    <w:basedOn w:val="1"/>
    <w:link w:val="92"/>
    <w:qFormat/>
    <w:uiPriority w:val="0"/>
    <w:rPr>
      <w:rFonts w:hAnsi="Times New Roman"/>
      <w:sz w:val="18"/>
      <w:szCs w:val="18"/>
    </w:rPr>
  </w:style>
  <w:style w:type="paragraph" w:styleId="15">
    <w:name w:val="annotation text"/>
    <w:basedOn w:val="1"/>
    <w:link w:val="46"/>
    <w:qFormat/>
    <w:uiPriority w:val="99"/>
    <w:pPr>
      <w:jc w:val="left"/>
    </w:pPr>
    <w:rPr>
      <w:rFonts w:ascii="Times New Roman" w:hAnsi="Times New Roman" w:eastAsia="仿宋"/>
      <w:sz w:val="28"/>
    </w:rPr>
  </w:style>
  <w:style w:type="paragraph" w:styleId="16">
    <w:name w:val="Body Text"/>
    <w:basedOn w:val="1"/>
    <w:link w:val="60"/>
    <w:unhideWhenUsed/>
    <w:qFormat/>
    <w:uiPriority w:val="0"/>
    <w:pPr>
      <w:spacing w:after="120" w:line="240" w:lineRule="auto"/>
      <w:ind w:firstLine="0" w:firstLineChars="0"/>
    </w:pPr>
    <w:rPr>
      <w:rFonts w:ascii="Times New Roman" w:hAnsi="Times New Roman"/>
      <w:sz w:val="21"/>
    </w:rPr>
  </w:style>
  <w:style w:type="paragraph" w:styleId="17">
    <w:name w:val="Body Text Indent"/>
    <w:basedOn w:val="1"/>
    <w:link w:val="86"/>
    <w:qFormat/>
    <w:uiPriority w:val="0"/>
    <w:pPr>
      <w:spacing w:after="120"/>
      <w:ind w:firstLine="200"/>
    </w:pPr>
    <w:rPr>
      <w:rFonts w:ascii="Times New Roman" w:hAnsi="Times New Roman"/>
      <w:sz w:val="21"/>
      <w:szCs w:val="20"/>
    </w:rPr>
  </w:style>
  <w:style w:type="paragraph" w:styleId="18">
    <w:name w:val="toc 5"/>
    <w:basedOn w:val="1"/>
    <w:next w:val="1"/>
    <w:unhideWhenUsed/>
    <w:qFormat/>
    <w:uiPriority w:val="39"/>
    <w:pPr>
      <w:ind w:left="1680" w:leftChars="800"/>
    </w:pPr>
    <w:rPr>
      <w:rFonts w:ascii="等线" w:hAnsi="等线" w:eastAsia="等线"/>
      <w:szCs w:val="22"/>
    </w:rPr>
  </w:style>
  <w:style w:type="paragraph" w:styleId="19">
    <w:name w:val="toc 3"/>
    <w:basedOn w:val="1"/>
    <w:next w:val="1"/>
    <w:qFormat/>
    <w:uiPriority w:val="39"/>
    <w:pPr>
      <w:tabs>
        <w:tab w:val="right" w:leader="dot" w:pos="8302"/>
      </w:tabs>
      <w:ind w:left="840" w:leftChars="400"/>
    </w:pPr>
  </w:style>
  <w:style w:type="paragraph" w:styleId="20">
    <w:name w:val="Plain Text"/>
    <w:basedOn w:val="1"/>
    <w:link w:val="67"/>
    <w:qFormat/>
    <w:uiPriority w:val="0"/>
    <w:pPr>
      <w:spacing w:line="240" w:lineRule="auto"/>
      <w:ind w:firstLine="0" w:firstLineChars="0"/>
    </w:pPr>
    <w:rPr>
      <w:rFonts w:hAnsi="Courier New"/>
      <w:sz w:val="21"/>
      <w:szCs w:val="20"/>
    </w:rPr>
  </w:style>
  <w:style w:type="paragraph" w:styleId="21">
    <w:name w:val="toc 8"/>
    <w:basedOn w:val="1"/>
    <w:next w:val="1"/>
    <w:unhideWhenUsed/>
    <w:qFormat/>
    <w:uiPriority w:val="39"/>
    <w:pPr>
      <w:ind w:left="2940" w:leftChars="1400"/>
    </w:pPr>
    <w:rPr>
      <w:rFonts w:ascii="等线" w:hAnsi="等线" w:eastAsia="等线"/>
      <w:szCs w:val="22"/>
    </w:rPr>
  </w:style>
  <w:style w:type="paragraph" w:styleId="22">
    <w:name w:val="Date"/>
    <w:basedOn w:val="1"/>
    <w:next w:val="1"/>
    <w:link w:val="48"/>
    <w:qFormat/>
    <w:uiPriority w:val="0"/>
    <w:pPr>
      <w:ind w:left="100" w:leftChars="2500"/>
    </w:pPr>
    <w:rPr>
      <w:rFonts w:ascii="Times New Roman" w:hAnsi="Times New Roman"/>
      <w:sz w:val="21"/>
    </w:rPr>
  </w:style>
  <w:style w:type="paragraph" w:styleId="23">
    <w:name w:val="Balloon Text"/>
    <w:basedOn w:val="1"/>
    <w:link w:val="97"/>
    <w:qFormat/>
    <w:uiPriority w:val="0"/>
    <w:rPr>
      <w:rFonts w:ascii="Times New Roman" w:hAnsi="Times New Roman"/>
      <w:sz w:val="18"/>
      <w:szCs w:val="18"/>
    </w:rPr>
  </w:style>
  <w:style w:type="paragraph" w:styleId="24">
    <w:name w:val="footer"/>
    <w:basedOn w:val="1"/>
    <w:link w:val="90"/>
    <w:qFormat/>
    <w:uiPriority w:val="99"/>
    <w:pPr>
      <w:tabs>
        <w:tab w:val="center" w:pos="4153"/>
        <w:tab w:val="right" w:pos="8306"/>
      </w:tabs>
      <w:snapToGrid w:val="0"/>
      <w:jc w:val="center"/>
    </w:pPr>
    <w:rPr>
      <w:rFonts w:ascii="Times New Roman" w:hAnsi="Times New Roman"/>
      <w:sz w:val="18"/>
      <w:szCs w:val="18"/>
    </w:rPr>
  </w:style>
  <w:style w:type="paragraph" w:styleId="25">
    <w:name w:val="header"/>
    <w:basedOn w:val="1"/>
    <w:link w:val="98"/>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styleId="26">
    <w:name w:val="toc 1"/>
    <w:basedOn w:val="1"/>
    <w:next w:val="1"/>
    <w:qFormat/>
    <w:uiPriority w:val="39"/>
  </w:style>
  <w:style w:type="paragraph" w:styleId="27">
    <w:name w:val="toc 4"/>
    <w:basedOn w:val="1"/>
    <w:next w:val="1"/>
    <w:unhideWhenUsed/>
    <w:qFormat/>
    <w:uiPriority w:val="39"/>
    <w:pPr>
      <w:ind w:left="1260" w:leftChars="600"/>
    </w:pPr>
    <w:rPr>
      <w:rFonts w:ascii="等线" w:hAnsi="等线" w:eastAsia="等线"/>
      <w:szCs w:val="22"/>
    </w:rPr>
  </w:style>
  <w:style w:type="paragraph" w:styleId="28">
    <w:name w:val="Subtitle"/>
    <w:basedOn w:val="1"/>
    <w:next w:val="1"/>
    <w:link w:val="88"/>
    <w:qFormat/>
    <w:uiPriority w:val="0"/>
    <w:pPr>
      <w:spacing w:before="240" w:after="60" w:line="312" w:lineRule="auto"/>
      <w:jc w:val="center"/>
      <w:outlineLvl w:val="1"/>
    </w:pPr>
    <w:rPr>
      <w:rFonts w:ascii="Calibri Light" w:hAnsi="Calibri Light"/>
      <w:b/>
      <w:bCs/>
      <w:kern w:val="28"/>
      <w:sz w:val="32"/>
      <w:szCs w:val="32"/>
    </w:rPr>
  </w:style>
  <w:style w:type="paragraph" w:styleId="29">
    <w:name w:val="toc 6"/>
    <w:basedOn w:val="1"/>
    <w:next w:val="1"/>
    <w:unhideWhenUsed/>
    <w:qFormat/>
    <w:uiPriority w:val="39"/>
    <w:pPr>
      <w:ind w:left="2100" w:leftChars="1000"/>
    </w:pPr>
    <w:rPr>
      <w:rFonts w:ascii="等线" w:hAnsi="等线" w:eastAsia="等线"/>
      <w:szCs w:val="22"/>
    </w:rPr>
  </w:style>
  <w:style w:type="paragraph" w:styleId="30">
    <w:name w:val="toc 2"/>
    <w:basedOn w:val="1"/>
    <w:next w:val="1"/>
    <w:qFormat/>
    <w:uiPriority w:val="39"/>
    <w:pPr>
      <w:tabs>
        <w:tab w:val="right" w:leader="dot" w:pos="8302"/>
      </w:tabs>
      <w:ind w:left="420" w:leftChars="200"/>
    </w:pPr>
  </w:style>
  <w:style w:type="paragraph" w:styleId="31">
    <w:name w:val="toc 9"/>
    <w:basedOn w:val="1"/>
    <w:next w:val="1"/>
    <w:unhideWhenUsed/>
    <w:qFormat/>
    <w:uiPriority w:val="39"/>
    <w:pPr>
      <w:ind w:left="3360" w:leftChars="1600"/>
    </w:pPr>
    <w:rPr>
      <w:rFonts w:ascii="等线" w:hAnsi="等线" w:eastAsia="等线"/>
      <w:szCs w:val="22"/>
    </w:rPr>
  </w:style>
  <w:style w:type="paragraph" w:styleId="32">
    <w:name w:val="Normal (Web)"/>
    <w:basedOn w:val="1"/>
    <w:qFormat/>
    <w:uiPriority w:val="99"/>
    <w:pPr>
      <w:widowControl/>
      <w:spacing w:before="100" w:after="100"/>
      <w:jc w:val="left"/>
    </w:pPr>
    <w:rPr>
      <w:rFonts w:hint="eastAsia" w:ascii="Arial Unicode MS" w:hAnsi="Arial Unicode MS" w:eastAsia="Arial Unicode MS"/>
      <w:kern w:val="0"/>
    </w:rPr>
  </w:style>
  <w:style w:type="paragraph" w:styleId="33">
    <w:name w:val="Title"/>
    <w:basedOn w:val="1"/>
    <w:next w:val="1"/>
    <w:link w:val="96"/>
    <w:qFormat/>
    <w:uiPriority w:val="0"/>
    <w:pPr>
      <w:spacing w:before="240" w:after="60" w:line="960" w:lineRule="auto"/>
      <w:jc w:val="center"/>
    </w:pPr>
    <w:rPr>
      <w:rFonts w:ascii="Cambria" w:hAnsi="Cambria" w:eastAsia="黑体"/>
      <w:b/>
      <w:bCs/>
      <w:sz w:val="52"/>
      <w:szCs w:val="32"/>
    </w:rPr>
  </w:style>
  <w:style w:type="paragraph" w:styleId="34">
    <w:name w:val="annotation subject"/>
    <w:basedOn w:val="15"/>
    <w:next w:val="15"/>
    <w:link w:val="84"/>
    <w:qFormat/>
    <w:uiPriority w:val="0"/>
    <w:rPr>
      <w:b/>
      <w:bCs/>
      <w:sz w:val="21"/>
    </w:rPr>
  </w:style>
  <w:style w:type="table" w:styleId="36">
    <w:name w:val="Table Grid"/>
    <w:basedOn w:val="35"/>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FollowedHyperlink"/>
    <w:unhideWhenUsed/>
    <w:qFormat/>
    <w:uiPriority w:val="99"/>
    <w:rPr>
      <w:color w:val="954F72"/>
      <w:u w:val="single"/>
    </w:rPr>
  </w:style>
  <w:style w:type="character" w:styleId="40">
    <w:name w:val="Hyperlink"/>
    <w:qFormat/>
    <w:uiPriority w:val="99"/>
    <w:rPr>
      <w:color w:val="0000FF"/>
      <w:u w:val="single"/>
    </w:rPr>
  </w:style>
  <w:style w:type="character" w:styleId="41">
    <w:name w:val="annotation reference"/>
    <w:qFormat/>
    <w:uiPriority w:val="99"/>
    <w:rPr>
      <w:sz w:val="21"/>
      <w:szCs w:val="21"/>
    </w:rPr>
  </w:style>
  <w:style w:type="character" w:customStyle="1" w:styleId="42">
    <w:name w:val="标题 1 Char"/>
    <w:qFormat/>
    <w:uiPriority w:val="0"/>
    <w:rPr>
      <w:rFonts w:ascii="宋体" w:hAnsi="宋体" w:eastAsia="黑体"/>
      <w:b/>
      <w:bCs/>
      <w:kern w:val="44"/>
      <w:sz w:val="32"/>
      <w:szCs w:val="28"/>
    </w:rPr>
  </w:style>
  <w:style w:type="character" w:customStyle="1" w:styleId="43">
    <w:name w:val="标题 3 字符1"/>
    <w:qFormat/>
    <w:uiPriority w:val="0"/>
    <w:rPr>
      <w:rFonts w:ascii="宋体" w:hAnsi="宋体"/>
      <w:b/>
      <w:bCs/>
      <w:kern w:val="2"/>
      <w:sz w:val="28"/>
      <w:szCs w:val="28"/>
    </w:rPr>
  </w:style>
  <w:style w:type="character" w:customStyle="1" w:styleId="44">
    <w:name w:val="首行缩进正文 Char"/>
    <w:link w:val="45"/>
    <w:qFormat/>
    <w:uiPriority w:val="0"/>
    <w:rPr>
      <w:kern w:val="2"/>
      <w:sz w:val="24"/>
    </w:rPr>
  </w:style>
  <w:style w:type="paragraph" w:customStyle="1" w:styleId="45">
    <w:name w:val="首行缩进正文"/>
    <w:basedOn w:val="1"/>
    <w:link w:val="44"/>
    <w:qFormat/>
    <w:uiPriority w:val="0"/>
    <w:pPr>
      <w:widowControl/>
      <w:adjustRightInd w:val="0"/>
      <w:snapToGrid w:val="0"/>
      <w:spacing w:afterLines="50" w:line="276" w:lineRule="auto"/>
      <w:ind w:firstLine="420" w:firstLineChars="0"/>
      <w:jc w:val="left"/>
    </w:pPr>
    <w:rPr>
      <w:rFonts w:ascii="Times New Roman" w:hAnsi="Times New Roman"/>
      <w:szCs w:val="20"/>
    </w:rPr>
  </w:style>
  <w:style w:type="character" w:customStyle="1" w:styleId="46">
    <w:name w:val="批注文字 字符1"/>
    <w:link w:val="15"/>
    <w:qFormat/>
    <w:uiPriority w:val="99"/>
    <w:rPr>
      <w:rFonts w:eastAsia="仿宋"/>
      <w:kern w:val="2"/>
      <w:sz w:val="28"/>
      <w:szCs w:val="24"/>
    </w:rPr>
  </w:style>
  <w:style w:type="character" w:customStyle="1" w:styleId="47">
    <w:name w:val="日期 字符"/>
    <w:semiHidden/>
    <w:qFormat/>
    <w:uiPriority w:val="99"/>
    <w:rPr>
      <w:rFonts w:ascii="宋体" w:hAnsi="宋体"/>
      <w:kern w:val="2"/>
      <w:sz w:val="24"/>
      <w:szCs w:val="24"/>
    </w:rPr>
  </w:style>
  <w:style w:type="character" w:customStyle="1" w:styleId="48">
    <w:name w:val="日期 字符1"/>
    <w:link w:val="22"/>
    <w:qFormat/>
    <w:uiPriority w:val="0"/>
    <w:rPr>
      <w:kern w:val="2"/>
      <w:sz w:val="21"/>
      <w:szCs w:val="24"/>
    </w:rPr>
  </w:style>
  <w:style w:type="character" w:customStyle="1" w:styleId="49">
    <w:name w:val="标题 9 字符"/>
    <w:link w:val="10"/>
    <w:qFormat/>
    <w:uiPriority w:val="9"/>
    <w:rPr>
      <w:rFonts w:ascii="Cambria" w:hAnsi="Cambria"/>
      <w:kern w:val="2"/>
      <w:sz w:val="21"/>
      <w:szCs w:val="21"/>
    </w:rPr>
  </w:style>
  <w:style w:type="character" w:customStyle="1" w:styleId="50">
    <w:name w:val="未处理的提及1"/>
    <w:unhideWhenUsed/>
    <w:qFormat/>
    <w:uiPriority w:val="99"/>
    <w:rPr>
      <w:color w:val="605E5C"/>
      <w:shd w:val="clear" w:color="auto" w:fill="E1DFDD"/>
    </w:rPr>
  </w:style>
  <w:style w:type="character" w:customStyle="1" w:styleId="51">
    <w:name w:val="标题 1 字符"/>
    <w:qFormat/>
    <w:uiPriority w:val="9"/>
    <w:rPr>
      <w:rFonts w:ascii="宋体" w:hAnsi="宋体"/>
      <w:b/>
      <w:bCs/>
      <w:kern w:val="44"/>
      <w:sz w:val="44"/>
      <w:szCs w:val="44"/>
    </w:rPr>
  </w:style>
  <w:style w:type="character" w:customStyle="1" w:styleId="52">
    <w:name w:val="标题 3 字符"/>
    <w:semiHidden/>
    <w:qFormat/>
    <w:uiPriority w:val="9"/>
    <w:rPr>
      <w:rFonts w:ascii="宋体" w:hAnsi="宋体"/>
      <w:b/>
      <w:bCs/>
      <w:kern w:val="2"/>
      <w:sz w:val="32"/>
      <w:szCs w:val="32"/>
    </w:rPr>
  </w:style>
  <w:style w:type="character" w:customStyle="1" w:styleId="53">
    <w:name w:val="页脚 字符"/>
    <w:qFormat/>
    <w:uiPriority w:val="99"/>
  </w:style>
  <w:style w:type="character" w:customStyle="1" w:styleId="54">
    <w:name w:val="标题 5 字符"/>
    <w:semiHidden/>
    <w:qFormat/>
    <w:uiPriority w:val="9"/>
    <w:rPr>
      <w:rFonts w:ascii="宋体" w:hAnsi="宋体"/>
      <w:b/>
      <w:bCs/>
      <w:kern w:val="2"/>
      <w:sz w:val="28"/>
      <w:szCs w:val="28"/>
    </w:rPr>
  </w:style>
  <w:style w:type="character" w:customStyle="1" w:styleId="55">
    <w:name w:val="题注 字符"/>
    <w:link w:val="13"/>
    <w:qFormat/>
    <w:locked/>
    <w:uiPriority w:val="0"/>
    <w:rPr>
      <w:rFonts w:ascii="Arial" w:hAnsi="Arial" w:eastAsia="黑体"/>
      <w:kern w:val="2"/>
    </w:rPr>
  </w:style>
  <w:style w:type="character" w:customStyle="1" w:styleId="56">
    <w:name w:val="标题 2 字符"/>
    <w:semiHidden/>
    <w:qFormat/>
    <w:uiPriority w:val="9"/>
    <w:rPr>
      <w:rFonts w:ascii="等线 Light" w:hAnsi="等线 Light" w:eastAsia="等线 Light" w:cs="Times New Roman"/>
      <w:b/>
      <w:bCs/>
      <w:kern w:val="2"/>
      <w:sz w:val="32"/>
      <w:szCs w:val="32"/>
    </w:rPr>
  </w:style>
  <w:style w:type="character" w:customStyle="1" w:styleId="57">
    <w:name w:val="纯文本 字符"/>
    <w:qFormat/>
    <w:uiPriority w:val="0"/>
    <w:rPr>
      <w:rFonts w:ascii="宋体" w:hAnsi="Courier New" w:cs="Courier New"/>
      <w:kern w:val="2"/>
      <w:sz w:val="21"/>
      <w:szCs w:val="21"/>
    </w:rPr>
  </w:style>
  <w:style w:type="character" w:customStyle="1" w:styleId="58">
    <w:name w:val="列表段落 字符"/>
    <w:qFormat/>
    <w:uiPriority w:val="34"/>
    <w:rPr>
      <w:kern w:val="2"/>
      <w:sz w:val="21"/>
      <w:szCs w:val="22"/>
    </w:rPr>
  </w:style>
  <w:style w:type="character" w:customStyle="1" w:styleId="59">
    <w:name w:val="标题 4 字符1"/>
    <w:link w:val="5"/>
    <w:qFormat/>
    <w:uiPriority w:val="0"/>
    <w:rPr>
      <w:rFonts w:ascii="宋体" w:hAnsi="宋体"/>
      <w:b/>
      <w:bCs/>
      <w:kern w:val="2"/>
      <w:sz w:val="30"/>
      <w:szCs w:val="30"/>
    </w:rPr>
  </w:style>
  <w:style w:type="character" w:customStyle="1" w:styleId="60">
    <w:name w:val="正文文本 字符"/>
    <w:link w:val="16"/>
    <w:qFormat/>
    <w:uiPriority w:val="0"/>
    <w:rPr>
      <w:kern w:val="2"/>
      <w:sz w:val="21"/>
      <w:szCs w:val="24"/>
    </w:rPr>
  </w:style>
  <w:style w:type="character" w:customStyle="1" w:styleId="61">
    <w:name w:val="列表段落 字符1"/>
    <w:link w:val="62"/>
    <w:qFormat/>
    <w:uiPriority w:val="34"/>
    <w:rPr>
      <w:kern w:val="2"/>
      <w:sz w:val="21"/>
      <w:szCs w:val="24"/>
    </w:rPr>
  </w:style>
  <w:style w:type="paragraph" w:styleId="62">
    <w:name w:val="List Paragraph"/>
    <w:basedOn w:val="1"/>
    <w:link w:val="61"/>
    <w:qFormat/>
    <w:uiPriority w:val="34"/>
    <w:pPr>
      <w:ind w:firstLine="420"/>
    </w:pPr>
    <w:rPr>
      <w:rFonts w:ascii="Times New Roman" w:hAnsi="Times New Roman"/>
      <w:sz w:val="21"/>
    </w:rPr>
  </w:style>
  <w:style w:type="character" w:customStyle="1" w:styleId="63">
    <w:name w:val="font21"/>
    <w:qFormat/>
    <w:uiPriority w:val="0"/>
    <w:rPr>
      <w:rFonts w:ascii="Calibri" w:hAnsi="Calibri" w:cs="Calibri"/>
      <w:color w:val="000000"/>
      <w:sz w:val="21"/>
      <w:szCs w:val="21"/>
      <w:u w:val="none"/>
    </w:rPr>
  </w:style>
  <w:style w:type="character" w:customStyle="1" w:styleId="64">
    <w:name w:val="*正文 Char"/>
    <w:link w:val="65"/>
    <w:qFormat/>
    <w:uiPriority w:val="0"/>
    <w:rPr>
      <w:rFonts w:ascii="time" w:hAnsi="time"/>
      <w:sz w:val="24"/>
      <w:szCs w:val="24"/>
      <w:lang w:bidi="en-US"/>
    </w:rPr>
  </w:style>
  <w:style w:type="paragraph" w:customStyle="1" w:styleId="65">
    <w:name w:val="*正文"/>
    <w:basedOn w:val="1"/>
    <w:link w:val="64"/>
    <w:qFormat/>
    <w:uiPriority w:val="0"/>
    <w:pPr>
      <w:widowControl/>
      <w:ind w:firstLine="200"/>
      <w:contextualSpacing/>
    </w:pPr>
    <w:rPr>
      <w:rFonts w:ascii="time" w:hAnsi="time"/>
      <w:kern w:val="0"/>
      <w:lang w:bidi="en-US"/>
    </w:rPr>
  </w:style>
  <w:style w:type="character" w:customStyle="1" w:styleId="66">
    <w:name w:val="正文文本缩进 字符"/>
    <w:semiHidden/>
    <w:qFormat/>
    <w:uiPriority w:val="99"/>
    <w:rPr>
      <w:rFonts w:ascii="宋体" w:hAnsi="宋体"/>
      <w:kern w:val="2"/>
      <w:sz w:val="24"/>
      <w:szCs w:val="24"/>
    </w:rPr>
  </w:style>
  <w:style w:type="character" w:customStyle="1" w:styleId="67">
    <w:name w:val="纯文本 字符1"/>
    <w:link w:val="20"/>
    <w:qFormat/>
    <w:locked/>
    <w:uiPriority w:val="0"/>
    <w:rPr>
      <w:rFonts w:ascii="宋体" w:hAnsi="Courier New"/>
      <w:kern w:val="2"/>
      <w:sz w:val="21"/>
    </w:rPr>
  </w:style>
  <w:style w:type="character" w:customStyle="1" w:styleId="68">
    <w:name w:val="my正文 Char"/>
    <w:link w:val="69"/>
    <w:qFormat/>
    <w:uiPriority w:val="0"/>
    <w:rPr>
      <w:kern w:val="2"/>
      <w:sz w:val="21"/>
      <w:szCs w:val="24"/>
    </w:rPr>
  </w:style>
  <w:style w:type="paragraph" w:customStyle="1" w:styleId="69">
    <w:name w:val="my正文"/>
    <w:basedOn w:val="1"/>
    <w:link w:val="68"/>
    <w:qFormat/>
    <w:uiPriority w:val="0"/>
    <w:pPr>
      <w:spacing w:line="240" w:lineRule="auto"/>
      <w:ind w:firstLine="0" w:firstLineChars="0"/>
    </w:pPr>
    <w:rPr>
      <w:rFonts w:ascii="Times New Roman" w:hAnsi="Times New Roman"/>
      <w:sz w:val="21"/>
    </w:rPr>
  </w:style>
  <w:style w:type="character" w:customStyle="1" w:styleId="70">
    <w:name w:val="正文2 字符"/>
    <w:link w:val="71"/>
    <w:qFormat/>
    <w:uiPriority w:val="0"/>
    <w:rPr>
      <w:kern w:val="2"/>
      <w:sz w:val="21"/>
      <w:szCs w:val="24"/>
    </w:rPr>
  </w:style>
  <w:style w:type="paragraph" w:customStyle="1" w:styleId="71">
    <w:name w:val="正文2"/>
    <w:basedOn w:val="1"/>
    <w:link w:val="70"/>
    <w:qFormat/>
    <w:uiPriority w:val="0"/>
    <w:pPr>
      <w:ind w:firstLine="420"/>
    </w:pPr>
    <w:rPr>
      <w:rFonts w:ascii="Times New Roman" w:hAnsi="Times New Roman"/>
      <w:sz w:val="21"/>
    </w:rPr>
  </w:style>
  <w:style w:type="character" w:customStyle="1" w:styleId="72">
    <w:name w:val="font41"/>
    <w:qFormat/>
    <w:uiPriority w:val="0"/>
    <w:rPr>
      <w:rFonts w:hint="eastAsia" w:ascii="宋体" w:hAnsi="宋体" w:eastAsia="宋体" w:cs="宋体"/>
      <w:color w:val="000000"/>
      <w:sz w:val="21"/>
      <w:szCs w:val="21"/>
      <w:u w:val="none"/>
    </w:rPr>
  </w:style>
  <w:style w:type="character" w:customStyle="1" w:styleId="73">
    <w:name w:val="标题 7 字符"/>
    <w:link w:val="8"/>
    <w:qFormat/>
    <w:uiPriority w:val="9"/>
    <w:rPr>
      <w:b/>
      <w:bCs/>
      <w:kern w:val="2"/>
      <w:sz w:val="21"/>
      <w:szCs w:val="24"/>
    </w:rPr>
  </w:style>
  <w:style w:type="character" w:customStyle="1" w:styleId="74">
    <w:name w:val="批注框文本 字符"/>
    <w:semiHidden/>
    <w:qFormat/>
    <w:uiPriority w:val="99"/>
    <w:rPr>
      <w:rFonts w:ascii="宋体" w:hAnsi="宋体"/>
      <w:kern w:val="2"/>
      <w:sz w:val="18"/>
      <w:szCs w:val="18"/>
    </w:rPr>
  </w:style>
  <w:style w:type="character" w:customStyle="1" w:styleId="75">
    <w:name w:val="副标题 Char1"/>
    <w:qFormat/>
    <w:uiPriority w:val="0"/>
    <w:rPr>
      <w:rFonts w:ascii="Calibri Light" w:hAnsi="Calibri Light" w:cs="Times New Roman"/>
      <w:b/>
      <w:bCs/>
      <w:kern w:val="28"/>
      <w:sz w:val="32"/>
      <w:szCs w:val="32"/>
    </w:rPr>
  </w:style>
  <w:style w:type="character" w:customStyle="1" w:styleId="76">
    <w:name w:val="标题 1 字符1"/>
    <w:link w:val="2"/>
    <w:qFormat/>
    <w:uiPriority w:val="0"/>
    <w:rPr>
      <w:rFonts w:ascii="宋体" w:hAnsi="宋体" w:eastAsia="黑体"/>
      <w:b/>
      <w:bCs/>
      <w:kern w:val="44"/>
      <w:sz w:val="32"/>
      <w:szCs w:val="28"/>
    </w:rPr>
  </w:style>
  <w:style w:type="character" w:customStyle="1" w:styleId="77">
    <w:name w:val="批注文字 字符"/>
    <w:qFormat/>
    <w:uiPriority w:val="99"/>
    <w:rPr>
      <w:rFonts w:ascii="宋体" w:hAnsi="宋体"/>
      <w:kern w:val="2"/>
      <w:sz w:val="24"/>
      <w:szCs w:val="24"/>
    </w:rPr>
  </w:style>
  <w:style w:type="character" w:customStyle="1" w:styleId="78">
    <w:name w:val="文档结构图 字符"/>
    <w:semiHidden/>
    <w:qFormat/>
    <w:uiPriority w:val="99"/>
    <w:rPr>
      <w:rFonts w:ascii="Microsoft YaHei UI" w:hAnsi="宋体" w:eastAsia="Microsoft YaHei UI"/>
      <w:kern w:val="2"/>
      <w:sz w:val="18"/>
      <w:szCs w:val="18"/>
    </w:rPr>
  </w:style>
  <w:style w:type="character" w:customStyle="1" w:styleId="79">
    <w:name w:val="标题 6 字符"/>
    <w:semiHidden/>
    <w:qFormat/>
    <w:uiPriority w:val="9"/>
    <w:rPr>
      <w:rFonts w:ascii="等线 Light" w:hAnsi="等线 Light" w:eastAsia="等线 Light" w:cs="Times New Roman"/>
      <w:b/>
      <w:bCs/>
      <w:kern w:val="2"/>
      <w:sz w:val="24"/>
      <w:szCs w:val="24"/>
    </w:rPr>
  </w:style>
  <w:style w:type="character" w:customStyle="1" w:styleId="80">
    <w:name w:val="正文正文2 Char"/>
    <w:link w:val="81"/>
    <w:qFormat/>
    <w:uiPriority w:val="0"/>
    <w:rPr>
      <w:rFonts w:ascii="宋体" w:hAnsi="宋体"/>
      <w:kern w:val="2"/>
      <w:sz w:val="21"/>
      <w:szCs w:val="21"/>
    </w:rPr>
  </w:style>
  <w:style w:type="paragraph" w:customStyle="1" w:styleId="81">
    <w:name w:val="正文正文2"/>
    <w:basedOn w:val="1"/>
    <w:link w:val="80"/>
    <w:qFormat/>
    <w:uiPriority w:val="0"/>
    <w:pPr>
      <w:ind w:firstLine="460"/>
    </w:pPr>
    <w:rPr>
      <w:sz w:val="21"/>
      <w:szCs w:val="21"/>
    </w:rPr>
  </w:style>
  <w:style w:type="character" w:customStyle="1" w:styleId="82">
    <w:name w:val="标题 3 字符2"/>
    <w:link w:val="4"/>
    <w:qFormat/>
    <w:uiPriority w:val="0"/>
    <w:rPr>
      <w:rFonts w:ascii="宋体" w:hAnsi="宋体"/>
      <w:b/>
      <w:bCs/>
      <w:kern w:val="2"/>
      <w:sz w:val="28"/>
      <w:szCs w:val="28"/>
    </w:rPr>
  </w:style>
  <w:style w:type="character" w:customStyle="1" w:styleId="83">
    <w:name w:val="标题 4 字符"/>
    <w:semiHidden/>
    <w:qFormat/>
    <w:uiPriority w:val="9"/>
    <w:rPr>
      <w:rFonts w:ascii="等线 Light" w:hAnsi="等线 Light" w:eastAsia="等线 Light" w:cs="Times New Roman"/>
      <w:b/>
      <w:bCs/>
      <w:kern w:val="2"/>
      <w:sz w:val="28"/>
      <w:szCs w:val="28"/>
    </w:rPr>
  </w:style>
  <w:style w:type="character" w:customStyle="1" w:styleId="84">
    <w:name w:val="批注主题 字符1"/>
    <w:link w:val="34"/>
    <w:qFormat/>
    <w:uiPriority w:val="0"/>
    <w:rPr>
      <w:rFonts w:eastAsia="仿宋"/>
      <w:b/>
      <w:bCs/>
      <w:kern w:val="2"/>
      <w:sz w:val="21"/>
      <w:szCs w:val="24"/>
    </w:rPr>
  </w:style>
  <w:style w:type="character" w:customStyle="1" w:styleId="85">
    <w:name w:val="页眉 字符"/>
    <w:semiHidden/>
    <w:qFormat/>
    <w:uiPriority w:val="99"/>
    <w:rPr>
      <w:rFonts w:ascii="宋体" w:hAnsi="宋体"/>
      <w:kern w:val="2"/>
      <w:sz w:val="18"/>
      <w:szCs w:val="18"/>
    </w:rPr>
  </w:style>
  <w:style w:type="character" w:customStyle="1" w:styleId="86">
    <w:name w:val="正文文本缩进 字符1"/>
    <w:link w:val="17"/>
    <w:qFormat/>
    <w:uiPriority w:val="0"/>
    <w:rPr>
      <w:kern w:val="2"/>
      <w:sz w:val="21"/>
    </w:rPr>
  </w:style>
  <w:style w:type="character" w:customStyle="1" w:styleId="87">
    <w:name w:val="标题 5 字符1"/>
    <w:link w:val="6"/>
    <w:qFormat/>
    <w:uiPriority w:val="0"/>
    <w:rPr>
      <w:rFonts w:ascii="宋体" w:hAnsi="宋体"/>
      <w:b/>
      <w:bCs/>
      <w:kern w:val="2"/>
      <w:sz w:val="24"/>
      <w:szCs w:val="28"/>
    </w:rPr>
  </w:style>
  <w:style w:type="character" w:customStyle="1" w:styleId="88">
    <w:name w:val="副标题 字符1"/>
    <w:link w:val="28"/>
    <w:qFormat/>
    <w:uiPriority w:val="0"/>
    <w:rPr>
      <w:rFonts w:ascii="Calibri Light" w:hAnsi="Calibri Light"/>
      <w:b/>
      <w:bCs/>
      <w:kern w:val="28"/>
      <w:sz w:val="32"/>
      <w:szCs w:val="32"/>
    </w:rPr>
  </w:style>
  <w:style w:type="character" w:customStyle="1" w:styleId="89">
    <w:name w:val="标题 2 字符1"/>
    <w:link w:val="3"/>
    <w:qFormat/>
    <w:uiPriority w:val="9"/>
    <w:rPr>
      <w:rFonts w:ascii="宋体" w:hAnsi="宋体"/>
      <w:b/>
      <w:bCs/>
      <w:kern w:val="2"/>
      <w:sz w:val="30"/>
      <w:szCs w:val="32"/>
    </w:rPr>
  </w:style>
  <w:style w:type="character" w:customStyle="1" w:styleId="90">
    <w:name w:val="页脚 字符1"/>
    <w:link w:val="24"/>
    <w:qFormat/>
    <w:uiPriority w:val="99"/>
    <w:rPr>
      <w:kern w:val="2"/>
      <w:sz w:val="18"/>
      <w:szCs w:val="18"/>
    </w:rPr>
  </w:style>
  <w:style w:type="character" w:customStyle="1" w:styleId="91">
    <w:name w:val="批注主题 字符"/>
    <w:semiHidden/>
    <w:qFormat/>
    <w:uiPriority w:val="99"/>
    <w:rPr>
      <w:rFonts w:ascii="宋体" w:hAnsi="宋体"/>
      <w:b/>
      <w:bCs/>
      <w:kern w:val="2"/>
      <w:sz w:val="24"/>
      <w:szCs w:val="24"/>
    </w:rPr>
  </w:style>
  <w:style w:type="character" w:customStyle="1" w:styleId="92">
    <w:name w:val="文档结构图 字符1"/>
    <w:link w:val="14"/>
    <w:qFormat/>
    <w:uiPriority w:val="0"/>
    <w:rPr>
      <w:rFonts w:ascii="宋体"/>
      <w:kern w:val="2"/>
      <w:sz w:val="18"/>
      <w:szCs w:val="18"/>
    </w:rPr>
  </w:style>
  <w:style w:type="character" w:customStyle="1" w:styleId="93">
    <w:name w:val="font31"/>
    <w:qFormat/>
    <w:uiPriority w:val="0"/>
    <w:rPr>
      <w:rFonts w:hint="eastAsia" w:ascii="宋体" w:hAnsi="宋体" w:eastAsia="宋体" w:cs="宋体"/>
      <w:color w:val="000000"/>
      <w:sz w:val="21"/>
      <w:szCs w:val="21"/>
      <w:u w:val="none"/>
    </w:rPr>
  </w:style>
  <w:style w:type="character" w:customStyle="1" w:styleId="94">
    <w:name w:val="标准正文 Char"/>
    <w:link w:val="95"/>
    <w:qFormat/>
    <w:uiPriority w:val="0"/>
    <w:rPr>
      <w:rFonts w:ascii="Arial" w:hAnsi="Arial"/>
      <w:kern w:val="2"/>
      <w:sz w:val="24"/>
    </w:rPr>
  </w:style>
  <w:style w:type="paragraph" w:customStyle="1" w:styleId="95">
    <w:name w:val="标准正文"/>
    <w:basedOn w:val="17"/>
    <w:link w:val="94"/>
    <w:qFormat/>
    <w:uiPriority w:val="0"/>
    <w:pPr>
      <w:spacing w:before="60" w:after="60"/>
      <w:ind w:firstLine="482" w:firstLineChars="0"/>
    </w:pPr>
    <w:rPr>
      <w:rFonts w:ascii="Arial" w:hAnsi="Arial"/>
      <w:sz w:val="24"/>
    </w:rPr>
  </w:style>
  <w:style w:type="character" w:customStyle="1" w:styleId="96">
    <w:name w:val="标题 字符1"/>
    <w:link w:val="33"/>
    <w:qFormat/>
    <w:uiPriority w:val="0"/>
    <w:rPr>
      <w:rFonts w:ascii="Cambria" w:hAnsi="Cambria" w:eastAsia="黑体"/>
      <w:b/>
      <w:bCs/>
      <w:kern w:val="2"/>
      <w:sz w:val="52"/>
      <w:szCs w:val="32"/>
    </w:rPr>
  </w:style>
  <w:style w:type="character" w:customStyle="1" w:styleId="97">
    <w:name w:val="批注框文本 字符1"/>
    <w:link w:val="23"/>
    <w:qFormat/>
    <w:uiPriority w:val="0"/>
    <w:rPr>
      <w:kern w:val="2"/>
      <w:sz w:val="18"/>
      <w:szCs w:val="18"/>
    </w:rPr>
  </w:style>
  <w:style w:type="character" w:customStyle="1" w:styleId="98">
    <w:name w:val="页眉 字符1"/>
    <w:link w:val="25"/>
    <w:qFormat/>
    <w:uiPriority w:val="99"/>
    <w:rPr>
      <w:kern w:val="2"/>
      <w:sz w:val="18"/>
      <w:szCs w:val="18"/>
    </w:rPr>
  </w:style>
  <w:style w:type="character" w:customStyle="1" w:styleId="99">
    <w:name w:val="标题 8 字符"/>
    <w:link w:val="9"/>
    <w:qFormat/>
    <w:uiPriority w:val="9"/>
    <w:rPr>
      <w:rFonts w:ascii="Cambria" w:hAnsi="Cambria"/>
      <w:kern w:val="2"/>
      <w:sz w:val="21"/>
      <w:szCs w:val="24"/>
    </w:rPr>
  </w:style>
  <w:style w:type="character" w:customStyle="1" w:styleId="100">
    <w:name w:val="标题 6 字符1"/>
    <w:link w:val="7"/>
    <w:qFormat/>
    <w:uiPriority w:val="0"/>
    <w:rPr>
      <w:rFonts w:ascii="Cambria" w:hAnsi="Cambria"/>
      <w:b/>
      <w:bCs/>
      <w:kern w:val="2"/>
      <w:sz w:val="24"/>
      <w:szCs w:val="24"/>
    </w:rPr>
  </w:style>
  <w:style w:type="character" w:customStyle="1" w:styleId="101">
    <w:name w:val="标题 字符"/>
    <w:qFormat/>
    <w:uiPriority w:val="10"/>
    <w:rPr>
      <w:rFonts w:ascii="等线 Light" w:hAnsi="等线 Light" w:eastAsia="等线 Light" w:cs="Times New Roman"/>
      <w:b/>
      <w:bCs/>
      <w:kern w:val="2"/>
      <w:sz w:val="32"/>
      <w:szCs w:val="32"/>
    </w:rPr>
  </w:style>
  <w:style w:type="character" w:customStyle="1" w:styleId="102">
    <w:name w:val="副标题 字符"/>
    <w:qFormat/>
    <w:uiPriority w:val="11"/>
    <w:rPr>
      <w:rFonts w:ascii="等线" w:hAnsi="等线" w:eastAsia="等线" w:cs="Times New Roman"/>
      <w:b/>
      <w:bCs/>
      <w:kern w:val="28"/>
      <w:sz w:val="32"/>
      <w:szCs w:val="32"/>
    </w:rPr>
  </w:style>
  <w:style w:type="paragraph" w:customStyle="1" w:styleId="103">
    <w:name w:val="xl72"/>
    <w:basedOn w:val="1"/>
    <w:qFormat/>
    <w:uiPriority w:val="0"/>
    <w:pPr>
      <w:widowControl/>
      <w:spacing w:before="100" w:beforeAutospacing="1" w:after="100" w:afterAutospacing="1" w:line="240" w:lineRule="auto"/>
      <w:ind w:firstLine="0" w:firstLineChars="0"/>
      <w:jc w:val="center"/>
    </w:pPr>
    <w:rPr>
      <w:rFonts w:cs="宋体"/>
      <w:kern w:val="0"/>
    </w:rPr>
  </w:style>
  <w:style w:type="paragraph" w:customStyle="1" w:styleId="104">
    <w:name w:val="正文（深信服）"/>
    <w:qFormat/>
    <w:uiPriority w:val="0"/>
    <w:pPr>
      <w:spacing w:line="360" w:lineRule="auto"/>
      <w:ind w:firstLine="420"/>
    </w:pPr>
    <w:rPr>
      <w:rFonts w:ascii="Arial" w:hAnsi="Arial" w:eastAsia="宋体" w:cs="Times New Roman"/>
      <w:sz w:val="24"/>
      <w:szCs w:val="21"/>
      <w:shd w:val="clear" w:color="auto" w:fill="FFFFFF"/>
      <w:lang w:val="en-US" w:eastAsia="zh-CN" w:bidi="ar-SA"/>
    </w:rPr>
  </w:style>
  <w:style w:type="paragraph" w:customStyle="1" w:styleId="105">
    <w:name w:val="xl70"/>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06">
    <w:name w:val="_Style 2"/>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paragraph" w:customStyle="1" w:styleId="107">
    <w:name w:val="正文缩进1"/>
    <w:basedOn w:val="1"/>
    <w:qFormat/>
    <w:uiPriority w:val="0"/>
    <w:pPr>
      <w:spacing w:line="240" w:lineRule="auto"/>
      <w:ind w:firstLine="420"/>
    </w:pPr>
    <w:rPr>
      <w:rFonts w:ascii="Times New Roman" w:hAnsi="Times New Roman"/>
      <w:sz w:val="21"/>
      <w:szCs w:val="20"/>
    </w:rPr>
  </w:style>
  <w:style w:type="paragraph" w:customStyle="1" w:styleId="108">
    <w:name w:val="xl68"/>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09">
    <w:name w:val="前言、引言标题"/>
    <w:next w:val="1"/>
    <w:qFormat/>
    <w:uiPriority w:val="99"/>
    <w:pPr>
      <w:shd w:val="clear" w:color="FFFFFF" w:fill="FFFFFF"/>
      <w:tabs>
        <w:tab w:val="left" w:pos="425"/>
      </w:tabs>
      <w:spacing w:before="640" w:after="560"/>
      <w:jc w:val="center"/>
      <w:outlineLvl w:val="0"/>
    </w:pPr>
    <w:rPr>
      <w:rFonts w:ascii="黑体" w:hAnsi="Times New Roman" w:eastAsia="黑体" w:cs="Times New Roman"/>
      <w:sz w:val="32"/>
      <w:lang w:val="en-US" w:eastAsia="zh-CN" w:bidi="ar-SA"/>
    </w:rPr>
  </w:style>
  <w:style w:type="paragraph" w:customStyle="1" w:styleId="110">
    <w:name w:val="Indent Normal"/>
    <w:basedOn w:val="1"/>
    <w:qFormat/>
    <w:uiPriority w:val="0"/>
    <w:pPr>
      <w:ind w:firstLine="150" w:firstLineChars="150"/>
    </w:pPr>
  </w:style>
  <w:style w:type="paragraph" w:customStyle="1" w:styleId="111">
    <w:name w:val="msonormal"/>
    <w:basedOn w:val="1"/>
    <w:qFormat/>
    <w:uiPriority w:val="0"/>
    <w:pPr>
      <w:widowControl/>
      <w:spacing w:before="100" w:beforeAutospacing="1" w:after="100" w:afterAutospacing="1" w:line="240" w:lineRule="auto"/>
      <w:ind w:firstLine="0" w:firstLineChars="0"/>
      <w:jc w:val="left"/>
    </w:pPr>
    <w:rPr>
      <w:rFonts w:cs="宋体"/>
      <w:kern w:val="0"/>
    </w:rPr>
  </w:style>
  <w:style w:type="paragraph" w:customStyle="1" w:styleId="112">
    <w:name w:val="正文 缩进2字符"/>
    <w:basedOn w:val="1"/>
    <w:qFormat/>
    <w:uiPriority w:val="0"/>
    <w:pPr>
      <w:spacing w:afterLines="50" w:line="240" w:lineRule="auto"/>
      <w:ind w:firstLine="0" w:firstLineChars="0"/>
    </w:pPr>
    <w:rPr>
      <w:rFonts w:ascii="Times New Roman" w:hAnsi="Times New Roman" w:cs="宋体"/>
      <w:sz w:val="21"/>
      <w:szCs w:val="20"/>
    </w:rPr>
  </w:style>
  <w:style w:type="paragraph" w:customStyle="1" w:styleId="113">
    <w:name w:val="列项●（二级）"/>
    <w:qFormat/>
    <w:uiPriority w:val="0"/>
    <w:pPr>
      <w:numPr>
        <w:ilvl w:val="0"/>
        <w:numId w:val="2"/>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4">
    <w:name w:val="助手文本"/>
    <w:basedOn w:val="1"/>
    <w:qFormat/>
    <w:uiPriority w:val="0"/>
    <w:pPr>
      <w:autoSpaceDE w:val="0"/>
      <w:autoSpaceDN w:val="0"/>
      <w:adjustRightInd w:val="0"/>
      <w:spacing w:beforeLines="50" w:afterLines="50"/>
      <w:ind w:left="14" w:firstLine="434"/>
      <w:textAlignment w:val="baseline"/>
    </w:pPr>
    <w:rPr>
      <w:rFonts w:ascii="楷体_GB2312" w:eastAsia="楷体_GB2312"/>
      <w:kern w:val="0"/>
      <w:szCs w:val="20"/>
      <w:u w:val="single"/>
    </w:rPr>
  </w:style>
  <w:style w:type="paragraph" w:customStyle="1" w:styleId="115">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16">
    <w:name w:val="段"/>
    <w:qFormat/>
    <w:uiPriority w:val="0"/>
    <w:pPr>
      <w:autoSpaceDE w:val="0"/>
      <w:autoSpaceDN w:val="0"/>
      <w:ind w:firstLine="200" w:firstLineChars="200"/>
      <w:jc w:val="both"/>
    </w:pPr>
    <w:rPr>
      <w:rFonts w:ascii="宋体" w:hAnsi="Times New Roman" w:eastAsia="宋体" w:cs="Calibri"/>
      <w:sz w:val="21"/>
      <w:lang w:val="en-US" w:eastAsia="zh-CN"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cs="宋体"/>
      <w:kern w:val="0"/>
    </w:rPr>
  </w:style>
  <w:style w:type="paragraph" w:customStyle="1" w:styleId="118">
    <w:name w:val="Char Char Char Char Char Char1 Char"/>
    <w:basedOn w:val="1"/>
    <w:qFormat/>
    <w:uiPriority w:val="0"/>
    <w:pPr>
      <w:widowControl/>
      <w:spacing w:after="160" w:line="240" w:lineRule="exact"/>
      <w:jc w:val="left"/>
    </w:pPr>
  </w:style>
  <w:style w:type="paragraph" w:customStyle="1" w:styleId="119">
    <w:name w:val="PM_Body"/>
    <w:basedOn w:val="1"/>
    <w:qFormat/>
    <w:locked/>
    <w:uiPriority w:val="0"/>
    <w:rPr>
      <w:szCs w:val="21"/>
    </w:rPr>
  </w:style>
  <w:style w:type="paragraph" w:customStyle="1" w:styleId="120">
    <w:name w:val="Char Char1"/>
    <w:basedOn w:val="1"/>
    <w:qFormat/>
    <w:uiPriority w:val="0"/>
    <w:pPr>
      <w:widowControl/>
      <w:spacing w:before="120" w:after="120"/>
    </w:pPr>
    <w:rPr>
      <w:rFonts w:ascii="Times New Roman" w:hAnsi="Times New Roman" w:cs="宋体"/>
    </w:rPr>
  </w:style>
  <w:style w:type="paragraph" w:customStyle="1" w:styleId="121">
    <w:name w:val="xl71"/>
    <w:basedOn w:val="1"/>
    <w:qFormat/>
    <w:uiPriority w:val="0"/>
    <w:pPr>
      <w:widowControl/>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22">
    <w:name w:val="修订1"/>
    <w:unhideWhenUsed/>
    <w:qFormat/>
    <w:uiPriority w:val="99"/>
    <w:rPr>
      <w:rFonts w:ascii="宋体" w:hAnsi="宋体" w:eastAsia="宋体" w:cs="Times New Roman"/>
      <w:kern w:val="2"/>
      <w:sz w:val="24"/>
      <w:szCs w:val="24"/>
      <w:lang w:val="en-US" w:eastAsia="zh-CN" w:bidi="ar-SA"/>
    </w:rPr>
  </w:style>
  <w:style w:type="paragraph" w:customStyle="1" w:styleId="123">
    <w:name w:val="列出段落2"/>
    <w:basedOn w:val="1"/>
    <w:qFormat/>
    <w:uiPriority w:val="0"/>
    <w:pPr>
      <w:spacing w:line="240" w:lineRule="auto"/>
      <w:ind w:firstLine="420"/>
    </w:pPr>
    <w:rPr>
      <w:rFonts w:ascii="等线" w:hAnsi="等线" w:eastAsia="等线" w:cs="等线"/>
      <w:sz w:val="21"/>
      <w:szCs w:val="21"/>
    </w:rPr>
  </w:style>
  <w:style w:type="paragraph" w:customStyle="1" w:styleId="124">
    <w:name w:val="xl69"/>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kern w:val="0"/>
      <w:sz w:val="18"/>
      <w:szCs w:val="18"/>
    </w:rPr>
  </w:style>
  <w:style w:type="paragraph" w:customStyle="1" w:styleId="12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26">
    <w:name w:val="文档正文文本（中安网脉）"/>
    <w:basedOn w:val="1"/>
    <w:qFormat/>
    <w:uiPriority w:val="0"/>
    <w:pPr>
      <w:ind w:firstLine="200"/>
    </w:pPr>
    <w:rPr>
      <w:rFonts w:ascii="Times New Roman" w:hAnsi="Times New Roman" w:eastAsia="仿宋_GB2312"/>
      <w:color w:val="000000"/>
      <w:szCs w:val="28"/>
    </w:rPr>
  </w:style>
  <w:style w:type="paragraph" w:customStyle="1" w:styleId="127">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28">
    <w:name w:val="正文样式"/>
    <w:unhideWhenUsed/>
    <w:qFormat/>
    <w:uiPriority w:val="0"/>
    <w:pPr>
      <w:widowControl w:val="0"/>
      <w:adjustRightInd w:val="0"/>
      <w:snapToGrid w:val="0"/>
      <w:spacing w:line="360" w:lineRule="auto"/>
      <w:ind w:firstLine="200" w:firstLineChars="200"/>
      <w:jc w:val="both"/>
    </w:pPr>
    <w:rPr>
      <w:rFonts w:ascii="Times New Roman" w:hAnsi="Times New Roman" w:eastAsia="宋体" w:cs="Times New Roman"/>
      <w:bCs/>
      <w:snapToGrid w:val="0"/>
      <w:sz w:val="24"/>
      <w:szCs w:val="44"/>
      <w:lang w:val="en-US" w:eastAsia="zh-CN" w:bidi="ar-SA"/>
    </w:rPr>
  </w:style>
  <w:style w:type="paragraph" w:customStyle="1" w:styleId="129">
    <w:name w:val="样式 行距: 1.5 倍行距 首行缩进:  2 字符"/>
    <w:basedOn w:val="1"/>
    <w:qFormat/>
    <w:uiPriority w:val="0"/>
    <w:pPr>
      <w:ind w:firstLine="560"/>
      <w:jc w:val="left"/>
    </w:pPr>
    <w:rPr>
      <w:rFonts w:ascii="仿宋" w:hAnsi="仿宋" w:eastAsia="仿宋" w:cs="宋体"/>
      <w:sz w:val="28"/>
      <w:szCs w:val="20"/>
    </w:rPr>
  </w:style>
  <w:style w:type="paragraph" w:customStyle="1" w:styleId="130">
    <w:name w:val="TOC 标题1"/>
    <w:basedOn w:val="2"/>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table" w:customStyle="1" w:styleId="131">
    <w:name w:val="!我的表格1"/>
    <w:basedOn w:val="3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
    <w:name w:val="网格型1"/>
    <w:basedOn w:val="35"/>
    <w:unhideWhenUsed/>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3">
    <w:name w:val="纯文本 Char2"/>
    <w:qFormat/>
    <w:uiPriority w:val="0"/>
    <w:rPr>
      <w:rFonts w:ascii="宋体" w:hAnsi="宋体" w:eastAsia="宋体" w:cs="Times New Roman"/>
      <w:color w:val="000000"/>
      <w:kern w:val="0"/>
      <w:sz w:val="24"/>
      <w:szCs w:val="24"/>
    </w:rPr>
  </w:style>
  <w:style w:type="character" w:customStyle="1" w:styleId="134">
    <w:name w:val="fontstyle01"/>
    <w:basedOn w:val="37"/>
    <w:qFormat/>
    <w:uiPriority w:val="0"/>
    <w:rPr>
      <w:rFonts w:hint="eastAsia" w:ascii="宋体" w:hAnsi="宋体" w:eastAsia="宋体"/>
      <w:color w:val="000000"/>
      <w:sz w:val="22"/>
      <w:szCs w:val="22"/>
    </w:rPr>
  </w:style>
  <w:style w:type="character" w:customStyle="1" w:styleId="135">
    <w:name w:val="fontstyle11"/>
    <w:basedOn w:val="37"/>
    <w:qFormat/>
    <w:uiPriority w:val="0"/>
    <w:rPr>
      <w:rFonts w:hint="default" w:ascii="LiberationSans" w:hAnsi="LiberationSans"/>
      <w:color w:val="000000"/>
      <w:sz w:val="22"/>
      <w:szCs w:val="22"/>
    </w:rPr>
  </w:style>
  <w:style w:type="paragraph" w:customStyle="1" w:styleId="136">
    <w:name w:val="B-表正文"/>
    <w:qFormat/>
    <w:uiPriority w:val="0"/>
    <w:rPr>
      <w:rFonts w:ascii="Times New Roman" w:hAnsi="Times New Roman" w:eastAsia="仿宋" w:cstheme="minorBidi"/>
      <w:kern w:val="2"/>
      <w:sz w:val="21"/>
      <w:szCs w:val="24"/>
      <w:lang w:val="en-US" w:eastAsia="zh-CN" w:bidi="ar-SA"/>
    </w:rPr>
  </w:style>
  <w:style w:type="paragraph" w:customStyle="1" w:styleId="137">
    <w:name w:val="可研正文"/>
    <w:basedOn w:val="1"/>
    <w:link w:val="138"/>
    <w:qFormat/>
    <w:uiPriority w:val="0"/>
    <w:pPr>
      <w:ind w:firstLine="200"/>
    </w:pPr>
    <w:rPr>
      <w:rFonts w:ascii="仿宋" w:hAnsi="仿宋" w:eastAsia="仿宋" w:cstheme="minorBidi"/>
      <w:sz w:val="28"/>
      <w:szCs w:val="28"/>
    </w:rPr>
  </w:style>
  <w:style w:type="character" w:customStyle="1" w:styleId="138">
    <w:name w:val="可研正文 Char"/>
    <w:link w:val="137"/>
    <w:qFormat/>
    <w:uiPriority w:val="0"/>
    <w:rPr>
      <w:rFonts w:ascii="仿宋" w:hAnsi="仿宋" w:eastAsia="仿宋" w:cstheme="minorBidi"/>
      <w:kern w:val="2"/>
      <w:sz w:val="28"/>
      <w:szCs w:val="28"/>
    </w:rPr>
  </w:style>
  <w:style w:type="paragraph" w:customStyle="1" w:styleId="139">
    <w:name w:val="Revision"/>
    <w:hidden/>
    <w:unhideWhenUsed/>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2.emf"/><Relationship Id="rId14" Type="http://schemas.openxmlformats.org/officeDocument/2006/relationships/package" Target="embeddings/Microsoft_Visio___1.vsdx"/><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23</Pages>
  <Words>14239</Words>
  <Characters>14553</Characters>
  <Lines>130</Lines>
  <Paragraphs>36</Paragraphs>
  <TotalTime>138</TotalTime>
  <ScaleCrop>false</ScaleCrop>
  <LinksUpToDate>false</LinksUpToDate>
  <CharactersWithSpaces>14566</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2024-12-04T05:37:00Z</dcterms:created>
  <dc:creator>gtig_tzb</dc:creator>
  <cp:lastModifiedBy>241</cp:lastModifiedBy>
  <cp:lastPrinted>2020-08-06T12:08:00Z</cp:lastPrinted>
  <dcterms:modified xsi:type="dcterms:W3CDTF">2025-02-10T08:56:38Z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ICV">
    <vt:lpwstr>F93414833800470D949AB7DCFBF17555_13</vt:lpwstr>
  </property>
</Properties>
</file>