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C357E">
      <w:pPr>
        <w:jc w:val="center"/>
        <w:rPr>
          <w:rFonts w:hint="eastAsia" w:ascii="思源宋体" w:hAnsi="思源宋体" w:eastAsia="思源宋体" w:cs="思源宋体"/>
          <w:sz w:val="44"/>
          <w:szCs w:val="44"/>
        </w:rPr>
      </w:pPr>
      <w:r>
        <w:rPr>
          <w:rFonts w:hint="eastAsia" w:ascii="思源宋体" w:hAnsi="思源宋体" w:eastAsia="思源宋体" w:cs="思源宋体"/>
          <w:sz w:val="44"/>
          <w:szCs w:val="44"/>
          <w:lang w:val="en-US" w:eastAsia="zh-CN"/>
        </w:rPr>
        <w:t>上海大学学生公寓楼家具采购</w:t>
      </w:r>
      <w:r>
        <w:rPr>
          <w:rFonts w:hint="eastAsia" w:ascii="思源宋体" w:hAnsi="思源宋体" w:eastAsia="思源宋体" w:cs="思源宋体"/>
          <w:sz w:val="44"/>
          <w:szCs w:val="44"/>
        </w:rPr>
        <w:t>需求</w:t>
      </w:r>
    </w:p>
    <w:p w14:paraId="4F7FD6BD">
      <w:pPr>
        <w:pStyle w:val="20"/>
        <w:outlineLvl w:val="0"/>
        <w:rPr>
          <w:rFonts w:cs="宋体"/>
          <w:b/>
          <w:bCs/>
          <w:color w:val="auto"/>
          <w:sz w:val="28"/>
          <w:szCs w:val="28"/>
        </w:rPr>
      </w:pPr>
      <w:r>
        <w:rPr>
          <w:rFonts w:hint="eastAsia" w:cs="宋体"/>
          <w:b/>
          <w:bCs/>
          <w:color w:val="auto"/>
          <w:sz w:val="28"/>
          <w:szCs w:val="28"/>
        </w:rPr>
        <w:t>一、项目概述</w:t>
      </w:r>
    </w:p>
    <w:p w14:paraId="13CF6C5E">
      <w:pPr>
        <w:pStyle w:val="20"/>
        <w:ind w:firstLine="420"/>
        <w:rPr>
          <w:rFonts w:cs="宋体"/>
          <w:color w:val="auto"/>
          <w:sz w:val="24"/>
          <w:szCs w:val="24"/>
        </w:rPr>
      </w:pPr>
      <w:r>
        <w:rPr>
          <w:rFonts w:hint="eastAsia" w:cs="宋体"/>
          <w:color w:val="auto"/>
          <w:sz w:val="24"/>
          <w:szCs w:val="24"/>
        </w:rPr>
        <w:t>项目地址：上海大学（上海市宝山区上大路99号）</w:t>
      </w:r>
    </w:p>
    <w:p w14:paraId="4B13259D">
      <w:pPr>
        <w:pStyle w:val="20"/>
        <w:outlineLvl w:val="0"/>
        <w:rPr>
          <w:rFonts w:hint="eastAsia" w:cs="宋体"/>
          <w:b/>
          <w:bCs/>
          <w:color w:val="auto"/>
          <w:sz w:val="28"/>
          <w:szCs w:val="28"/>
        </w:rPr>
      </w:pPr>
      <w:r>
        <w:rPr>
          <w:rFonts w:hint="eastAsia" w:cs="宋体"/>
          <w:b/>
          <w:bCs/>
          <w:color w:val="auto"/>
          <w:sz w:val="28"/>
          <w:szCs w:val="28"/>
        </w:rPr>
        <w:t>二、家具种类、规格、数量及技术要求</w:t>
      </w:r>
    </w:p>
    <w:p w14:paraId="1EBFE400">
      <w:pPr>
        <w:pStyle w:val="20"/>
        <w:ind w:firstLine="420"/>
        <w:rPr>
          <w:rFonts w:cs="宋体"/>
          <w:color w:val="auto"/>
          <w:sz w:val="24"/>
          <w:szCs w:val="24"/>
        </w:rPr>
      </w:pPr>
      <w:r>
        <w:rPr>
          <w:rFonts w:hint="eastAsia" w:cs="宋体"/>
          <w:color w:val="auto"/>
          <w:sz w:val="24"/>
          <w:szCs w:val="24"/>
          <w:lang w:eastAsia="zh-CN"/>
        </w:rPr>
        <w:t>包</w:t>
      </w:r>
      <w:r>
        <w:rPr>
          <w:rFonts w:hint="eastAsia" w:cs="宋体"/>
          <w:color w:val="auto"/>
          <w:sz w:val="24"/>
          <w:szCs w:val="24"/>
          <w:lang w:val="en-US" w:eastAsia="zh-CN"/>
        </w:rPr>
        <w:t>1、包2均</w:t>
      </w:r>
      <w:r>
        <w:rPr>
          <w:rFonts w:hint="eastAsia" w:cs="宋体"/>
          <w:color w:val="auto"/>
          <w:sz w:val="24"/>
          <w:szCs w:val="24"/>
        </w:rPr>
        <w:t>见附件表格</w:t>
      </w:r>
    </w:p>
    <w:p w14:paraId="48ADA273">
      <w:pPr>
        <w:pStyle w:val="20"/>
        <w:outlineLvl w:val="0"/>
        <w:rPr>
          <w:rFonts w:hint="eastAsia" w:cs="宋体"/>
          <w:b/>
          <w:bCs/>
          <w:color w:val="auto"/>
          <w:sz w:val="28"/>
          <w:szCs w:val="28"/>
        </w:rPr>
      </w:pPr>
      <w:r>
        <w:rPr>
          <w:rFonts w:hint="eastAsia" w:cs="宋体"/>
          <w:b/>
          <w:bCs/>
          <w:color w:val="auto"/>
          <w:sz w:val="28"/>
          <w:szCs w:val="28"/>
        </w:rPr>
        <w:t>三、出样要求</w:t>
      </w:r>
    </w:p>
    <w:p w14:paraId="5B8E0AF1">
      <w:pPr>
        <w:pStyle w:val="20"/>
        <w:ind w:firstLine="420"/>
        <w:rPr>
          <w:rFonts w:cs="宋体"/>
          <w:color w:val="auto"/>
          <w:sz w:val="24"/>
          <w:szCs w:val="24"/>
        </w:rPr>
      </w:pPr>
      <w:r>
        <w:rPr>
          <w:rFonts w:hint="eastAsia" w:cs="宋体"/>
          <w:color w:val="auto"/>
          <w:sz w:val="24"/>
          <w:szCs w:val="24"/>
        </w:rPr>
        <w:t>1.投标实样送达地点：上大路99号，联系人：徐老师，联系电话：18918279381</w:t>
      </w:r>
    </w:p>
    <w:p w14:paraId="3C62BDFC">
      <w:pPr>
        <w:pStyle w:val="20"/>
        <w:ind w:firstLine="420"/>
        <w:rPr>
          <w:rFonts w:cs="宋体"/>
          <w:sz w:val="24"/>
          <w:szCs w:val="24"/>
        </w:rPr>
      </w:pPr>
      <w:r>
        <w:rPr>
          <w:rFonts w:hint="eastAsia" w:cs="宋体"/>
          <w:color w:val="auto"/>
          <w:sz w:val="24"/>
          <w:szCs w:val="24"/>
        </w:rPr>
        <w:t>2.实样接收时间：</w:t>
      </w:r>
      <w:r>
        <w:rPr>
          <w:rFonts w:hint="eastAsia" w:cs="宋体"/>
          <w:color w:val="auto"/>
        </w:rPr>
        <w:t>投标截止之日前</w:t>
      </w:r>
      <w:r>
        <w:rPr>
          <w:rFonts w:hint="eastAsia" w:cs="宋体"/>
          <w:color w:val="auto"/>
          <w:lang w:val="en-US" w:eastAsia="zh-CN"/>
        </w:rPr>
        <w:t>2</w:t>
      </w:r>
      <w:r>
        <w:rPr>
          <w:rFonts w:cs="宋体"/>
          <w:color w:val="auto"/>
        </w:rPr>
        <w:t>个工作日内</w:t>
      </w:r>
      <w:r>
        <w:rPr>
          <w:rFonts w:hint="eastAsia" w:cs="宋体"/>
          <w:color w:val="auto"/>
          <w:sz w:val="24"/>
          <w:szCs w:val="24"/>
          <w:lang w:val="en-US" w:eastAsia="zh-CN"/>
        </w:rPr>
        <w:t>的</w:t>
      </w:r>
      <w:r>
        <w:rPr>
          <w:rFonts w:hint="eastAsia" w:cs="宋体"/>
          <w:color w:val="auto"/>
          <w:sz w:val="24"/>
          <w:szCs w:val="24"/>
        </w:rPr>
        <w:t>每天9点-16点间，完成实样送达及现场搭样，逾期不再接受任何实样。实样上应注明投标人的名称。</w:t>
      </w:r>
    </w:p>
    <w:p w14:paraId="12B4F1EF">
      <w:pPr>
        <w:pStyle w:val="20"/>
        <w:ind w:firstLine="480" w:firstLineChars="200"/>
        <w:rPr>
          <w:rFonts w:cs="宋体"/>
          <w:sz w:val="24"/>
          <w:szCs w:val="24"/>
        </w:rPr>
      </w:pPr>
      <w:r>
        <w:rPr>
          <w:rFonts w:hint="eastAsia" w:cs="宋体"/>
          <w:sz w:val="24"/>
          <w:szCs w:val="24"/>
        </w:rPr>
        <w:t>3. 投标实样内容及制作要求见下表。</w:t>
      </w:r>
    </w:p>
    <w:p w14:paraId="2AA0F948">
      <w:pPr>
        <w:pStyle w:val="20"/>
        <w:ind w:firstLine="480" w:firstLineChars="200"/>
        <w:rPr>
          <w:rFonts w:cs="宋体"/>
        </w:rPr>
      </w:pPr>
      <w:r>
        <w:rPr>
          <w:rFonts w:hint="eastAsia" w:cs="宋体"/>
          <w:sz w:val="24"/>
          <w:szCs w:val="24"/>
        </w:rPr>
        <w:t>投标人需要按以下要求提交样品，中标样品交由采购人作为履约验收参考，最终产品使用的原辅材料不得低于样品的标准。</w:t>
      </w:r>
      <w:r>
        <w:rPr>
          <w:rFonts w:hint="eastAsia" w:cs="宋体"/>
        </w:rPr>
        <w:t>尺寸和规格可根据情况合理波动。投标人中标后需按照采购需求中要求的规格尺寸生产，不得影响交付正常使用。</w:t>
      </w:r>
    </w:p>
    <w:p w14:paraId="46705391">
      <w:pPr>
        <w:pStyle w:val="20"/>
        <w:rPr>
          <w:rFonts w:hint="default" w:eastAsia="宋体" w:cs="宋体"/>
          <w:sz w:val="24"/>
          <w:szCs w:val="24"/>
          <w:lang w:val="en-US" w:eastAsia="zh-CN"/>
        </w:rPr>
      </w:pPr>
      <w:r>
        <w:rPr>
          <w:rFonts w:hint="eastAsia" w:cs="宋体"/>
          <w:sz w:val="24"/>
          <w:szCs w:val="24"/>
          <w:lang w:eastAsia="zh-CN"/>
        </w:rPr>
        <w:t>包</w:t>
      </w:r>
      <w:r>
        <w:rPr>
          <w:rFonts w:hint="eastAsia" w:cs="宋体"/>
          <w:sz w:val="24"/>
          <w:szCs w:val="24"/>
          <w:lang w:val="en-US" w:eastAsia="zh-CN"/>
        </w:rPr>
        <w:t>1：上海大学新世纪11幢公寓楼宿舍</w:t>
      </w:r>
    </w:p>
    <w:tbl>
      <w:tblPr>
        <w:tblStyle w:val="14"/>
        <w:tblW w:w="9613"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976"/>
        <w:gridCol w:w="3688"/>
        <w:gridCol w:w="2115"/>
      </w:tblGrid>
      <w:tr w14:paraId="713CB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34" w:type="dxa"/>
            <w:noWrap/>
            <w:vAlign w:val="center"/>
          </w:tcPr>
          <w:p w14:paraId="3A9E836A">
            <w:pPr>
              <w:widowControl/>
              <w:jc w:val="center"/>
              <w:rPr>
                <w:rFonts w:ascii="宋体" w:hAnsi="宋体" w:eastAsia="宋体" w:cs="宋体"/>
                <w:kern w:val="0"/>
                <w:szCs w:val="21"/>
              </w:rPr>
            </w:pPr>
            <w:r>
              <w:rPr>
                <w:rFonts w:hint="eastAsia" w:ascii="宋体" w:hAnsi="宋体" w:eastAsia="宋体" w:cs="宋体"/>
                <w:kern w:val="0"/>
                <w:szCs w:val="21"/>
              </w:rPr>
              <w:t>序号</w:t>
            </w:r>
          </w:p>
        </w:tc>
        <w:tc>
          <w:tcPr>
            <w:tcW w:w="2976" w:type="dxa"/>
            <w:noWrap/>
            <w:vAlign w:val="center"/>
          </w:tcPr>
          <w:p w14:paraId="5C548F08">
            <w:pPr>
              <w:widowControl/>
              <w:jc w:val="center"/>
              <w:rPr>
                <w:rFonts w:ascii="宋体" w:hAnsi="宋体" w:eastAsia="宋体" w:cs="宋体"/>
                <w:kern w:val="0"/>
                <w:szCs w:val="21"/>
              </w:rPr>
            </w:pPr>
            <w:r>
              <w:rPr>
                <w:rFonts w:hint="eastAsia" w:ascii="宋体" w:hAnsi="宋体" w:eastAsia="宋体" w:cs="宋体"/>
                <w:kern w:val="0"/>
                <w:szCs w:val="21"/>
              </w:rPr>
              <w:t>样品名称</w:t>
            </w:r>
          </w:p>
        </w:tc>
        <w:tc>
          <w:tcPr>
            <w:tcW w:w="3688" w:type="dxa"/>
            <w:noWrap/>
            <w:vAlign w:val="center"/>
          </w:tcPr>
          <w:p w14:paraId="0B581C46">
            <w:pPr>
              <w:widowControl/>
              <w:jc w:val="center"/>
              <w:rPr>
                <w:rFonts w:ascii="宋体" w:hAnsi="宋体" w:eastAsia="宋体" w:cs="宋体"/>
                <w:kern w:val="0"/>
                <w:szCs w:val="21"/>
              </w:rPr>
            </w:pPr>
            <w:r>
              <w:rPr>
                <w:rFonts w:hint="eastAsia" w:ascii="宋体" w:hAnsi="宋体" w:eastAsia="宋体" w:cs="宋体"/>
                <w:kern w:val="0"/>
                <w:szCs w:val="21"/>
              </w:rPr>
              <w:t>制作要求</w:t>
            </w:r>
          </w:p>
        </w:tc>
        <w:tc>
          <w:tcPr>
            <w:tcW w:w="2115" w:type="dxa"/>
            <w:noWrap/>
            <w:vAlign w:val="center"/>
          </w:tcPr>
          <w:p w14:paraId="69D54A9C">
            <w:pPr>
              <w:widowControl/>
              <w:jc w:val="center"/>
              <w:rPr>
                <w:rFonts w:hint="eastAsia" w:ascii="宋体" w:hAnsi="宋体" w:eastAsia="宋体" w:cs="宋体"/>
                <w:kern w:val="0"/>
                <w:szCs w:val="21"/>
                <w:lang w:eastAsia="zh-CN"/>
              </w:rPr>
            </w:pPr>
            <w:r>
              <w:rPr>
                <w:rFonts w:hint="eastAsia" w:ascii="宋体" w:hAnsi="宋体" w:eastAsia="宋体" w:cs="宋体"/>
                <w:kern w:val="0"/>
                <w:szCs w:val="21"/>
              </w:rPr>
              <w:t>制</w:t>
            </w:r>
            <w:r>
              <w:rPr>
                <w:rFonts w:hint="eastAsia" w:ascii="宋体" w:hAnsi="宋体" w:eastAsia="宋体" w:cs="宋体"/>
                <w:kern w:val="0"/>
                <w:szCs w:val="21"/>
                <w:lang w:eastAsia="zh-CN"/>
              </w:rPr>
              <w:t>数量</w:t>
            </w:r>
          </w:p>
        </w:tc>
      </w:tr>
      <w:tr w14:paraId="3FDD1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834" w:type="dxa"/>
            <w:noWrap/>
            <w:vAlign w:val="center"/>
          </w:tcPr>
          <w:p w14:paraId="0C0E53BF">
            <w:pPr>
              <w:widowControl/>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w:t>
            </w:r>
          </w:p>
        </w:tc>
        <w:tc>
          <w:tcPr>
            <w:tcW w:w="2976" w:type="dxa"/>
            <w:vAlign w:val="center"/>
          </w:tcPr>
          <w:p w14:paraId="05A8F041">
            <w:pPr>
              <w:widowControl/>
              <w:jc w:val="center"/>
              <w:rPr>
                <w:rFonts w:ascii="宋体" w:hAnsi="宋体" w:eastAsia="宋体" w:cs="宋体"/>
                <w:kern w:val="0"/>
                <w:szCs w:val="21"/>
              </w:rPr>
            </w:pPr>
            <w:r>
              <w:rPr>
                <w:rFonts w:hint="eastAsia" w:ascii="宋体" w:hAnsi="宋体" w:eastAsia="宋体" w:cs="宋体"/>
                <w:kern w:val="0"/>
                <w:szCs w:val="21"/>
              </w:rPr>
              <w:t>两人位侧梯床架</w:t>
            </w:r>
          </w:p>
        </w:tc>
        <w:tc>
          <w:tcPr>
            <w:tcW w:w="3688" w:type="dxa"/>
            <w:vAlign w:val="center"/>
          </w:tcPr>
          <w:p w14:paraId="54678377">
            <w:pPr>
              <w:tabs>
                <w:tab w:val="left" w:pos="1283"/>
              </w:tabs>
              <w:jc w:val="left"/>
              <w:rPr>
                <w:rFonts w:ascii="宋体" w:hAnsi="宋体" w:eastAsia="宋体" w:cs="宋体"/>
                <w:szCs w:val="21"/>
              </w:rPr>
            </w:pPr>
            <w:r>
              <w:rPr>
                <w:rFonts w:hint="eastAsia" w:ascii="宋体" w:hAnsi="宋体" w:eastAsia="宋体" w:cs="宋体"/>
                <w:szCs w:val="21"/>
                <w:lang w:eastAsia="zh-CN"/>
              </w:rPr>
              <w:t>详见家具清单</w:t>
            </w:r>
          </w:p>
        </w:tc>
        <w:tc>
          <w:tcPr>
            <w:tcW w:w="2115" w:type="dxa"/>
            <w:noWrap/>
            <w:vAlign w:val="center"/>
          </w:tcPr>
          <w:p w14:paraId="1C113779">
            <w:pPr>
              <w:widowControl/>
              <w:jc w:val="center"/>
              <w:rPr>
                <w:rFonts w:ascii="宋体" w:hAnsi="宋体" w:eastAsia="宋体" w:cs="宋体"/>
                <w:kern w:val="0"/>
                <w:szCs w:val="21"/>
              </w:rPr>
            </w:pPr>
            <w:r>
              <w:rPr>
                <w:rFonts w:hint="eastAsia"/>
                <w:lang w:val="en-US" w:eastAsia="zh-CN"/>
              </w:rPr>
              <w:t>1</w:t>
            </w:r>
          </w:p>
        </w:tc>
      </w:tr>
      <w:tr w14:paraId="55D32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34" w:type="dxa"/>
            <w:noWrap/>
            <w:vAlign w:val="center"/>
          </w:tcPr>
          <w:p w14:paraId="574C0A64">
            <w:pPr>
              <w:widowControl/>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w:t>
            </w:r>
          </w:p>
        </w:tc>
        <w:tc>
          <w:tcPr>
            <w:tcW w:w="2976" w:type="dxa"/>
            <w:vAlign w:val="center"/>
          </w:tcPr>
          <w:p w14:paraId="26B390B4">
            <w:pPr>
              <w:widowControl/>
              <w:jc w:val="center"/>
              <w:rPr>
                <w:rFonts w:ascii="宋体" w:hAnsi="宋体" w:eastAsia="宋体" w:cs="宋体"/>
                <w:kern w:val="0"/>
                <w:szCs w:val="21"/>
              </w:rPr>
            </w:pPr>
            <w:r>
              <w:rPr>
                <w:rFonts w:hint="eastAsia" w:ascii="宋体" w:hAnsi="宋体" w:eastAsia="宋体" w:cs="宋体"/>
                <w:kern w:val="0"/>
                <w:szCs w:val="21"/>
              </w:rPr>
              <w:t>床下组合柜</w:t>
            </w:r>
          </w:p>
        </w:tc>
        <w:tc>
          <w:tcPr>
            <w:tcW w:w="3688" w:type="dxa"/>
            <w:vAlign w:val="center"/>
          </w:tcPr>
          <w:p w14:paraId="5434789F">
            <w:pPr>
              <w:widowControl/>
              <w:tabs>
                <w:tab w:val="left" w:pos="1107"/>
              </w:tabs>
              <w:jc w:val="left"/>
              <w:rPr>
                <w:rFonts w:ascii="宋体" w:hAnsi="宋体" w:eastAsia="宋体" w:cs="宋体"/>
                <w:kern w:val="0"/>
                <w:szCs w:val="21"/>
              </w:rPr>
            </w:pPr>
            <w:r>
              <w:rPr>
                <w:rFonts w:hint="eastAsia" w:ascii="宋体" w:hAnsi="宋体" w:eastAsia="宋体" w:cs="宋体"/>
                <w:szCs w:val="21"/>
                <w:lang w:eastAsia="zh-CN"/>
              </w:rPr>
              <w:t>详见家具清单</w:t>
            </w:r>
          </w:p>
        </w:tc>
        <w:tc>
          <w:tcPr>
            <w:tcW w:w="2115" w:type="dxa"/>
            <w:noWrap/>
            <w:vAlign w:val="center"/>
          </w:tcPr>
          <w:p w14:paraId="281ABEC8">
            <w:pPr>
              <w:widowControl/>
              <w:jc w:val="center"/>
              <w:rPr>
                <w:rFonts w:ascii="宋体" w:hAnsi="宋体" w:eastAsia="宋体" w:cs="宋体"/>
                <w:kern w:val="0"/>
                <w:szCs w:val="21"/>
              </w:rPr>
            </w:pPr>
            <w:r>
              <w:rPr>
                <w:rFonts w:hint="eastAsia"/>
                <w:lang w:val="en-US" w:eastAsia="zh-CN"/>
              </w:rPr>
              <w:t>1</w:t>
            </w:r>
          </w:p>
        </w:tc>
      </w:tr>
      <w:tr w14:paraId="12077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34" w:type="dxa"/>
            <w:noWrap/>
            <w:vAlign w:val="center"/>
          </w:tcPr>
          <w:p w14:paraId="6A8C366C">
            <w:pPr>
              <w:widowControl/>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w:t>
            </w:r>
          </w:p>
        </w:tc>
        <w:tc>
          <w:tcPr>
            <w:tcW w:w="2976" w:type="dxa"/>
            <w:vAlign w:val="center"/>
          </w:tcPr>
          <w:p w14:paraId="5E830992">
            <w:pPr>
              <w:widowControl/>
              <w:jc w:val="center"/>
              <w:rPr>
                <w:rFonts w:hint="eastAsia" w:ascii="宋体" w:hAnsi="宋体" w:eastAsia="宋体" w:cs="宋体"/>
                <w:kern w:val="0"/>
                <w:szCs w:val="21"/>
                <w:lang w:eastAsia="zh-CN"/>
              </w:rPr>
            </w:pPr>
            <w:r>
              <w:rPr>
                <w:rFonts w:hint="eastAsia" w:ascii="宋体" w:hAnsi="宋体" w:eastAsia="宋体" w:cs="宋体"/>
                <w:kern w:val="0"/>
                <w:szCs w:val="21"/>
              </w:rPr>
              <w:t>椅子</w:t>
            </w:r>
          </w:p>
        </w:tc>
        <w:tc>
          <w:tcPr>
            <w:tcW w:w="3688" w:type="dxa"/>
            <w:vAlign w:val="center"/>
          </w:tcPr>
          <w:p w14:paraId="01DE3679">
            <w:pPr>
              <w:widowControl/>
              <w:tabs>
                <w:tab w:val="left" w:pos="1107"/>
              </w:tabs>
              <w:jc w:val="left"/>
              <w:rPr>
                <w:rFonts w:ascii="宋体" w:hAnsi="宋体" w:eastAsia="宋体" w:cs="宋体"/>
                <w:kern w:val="0"/>
                <w:szCs w:val="21"/>
              </w:rPr>
            </w:pPr>
            <w:r>
              <w:rPr>
                <w:rFonts w:hint="eastAsia" w:ascii="宋体" w:hAnsi="宋体" w:eastAsia="宋体" w:cs="宋体"/>
                <w:szCs w:val="21"/>
                <w:lang w:eastAsia="zh-CN"/>
              </w:rPr>
              <w:t>详见家具清单</w:t>
            </w:r>
          </w:p>
        </w:tc>
        <w:tc>
          <w:tcPr>
            <w:tcW w:w="2115" w:type="dxa"/>
            <w:noWrap/>
            <w:vAlign w:val="center"/>
          </w:tcPr>
          <w:p w14:paraId="7994DFCA">
            <w:pPr>
              <w:widowControl/>
              <w:jc w:val="center"/>
              <w:rPr>
                <w:rFonts w:ascii="宋体" w:hAnsi="宋体" w:eastAsia="宋体" w:cs="宋体"/>
                <w:kern w:val="0"/>
                <w:szCs w:val="21"/>
              </w:rPr>
            </w:pPr>
            <w:r>
              <w:rPr>
                <w:rFonts w:hint="eastAsia"/>
                <w:lang w:val="en-US" w:eastAsia="zh-CN"/>
              </w:rPr>
              <w:t>1</w:t>
            </w:r>
          </w:p>
        </w:tc>
      </w:tr>
    </w:tbl>
    <w:p w14:paraId="5503AB5A">
      <w:pPr>
        <w:pStyle w:val="20"/>
        <w:outlineLvl w:val="9"/>
        <w:rPr>
          <w:rFonts w:hint="eastAsia" w:ascii="宋体" w:hAnsi="宋体" w:eastAsia="宋体" w:cs="宋体"/>
          <w:b w:val="0"/>
          <w:bCs w:val="0"/>
          <w:color w:val="000000" w:themeColor="text1"/>
          <w:sz w:val="24"/>
          <w:szCs w:val="24"/>
          <w:lang w:eastAsia="zh-CN"/>
          <w14:textFill>
            <w14:solidFill>
              <w14:schemeClr w14:val="tx1"/>
            </w14:solidFill>
          </w14:textFill>
        </w:rPr>
      </w:pPr>
    </w:p>
    <w:p w14:paraId="64EF01CE">
      <w:pPr>
        <w:pStyle w:val="20"/>
        <w:outlineLvl w:val="9"/>
        <w:rPr>
          <w:rFonts w:hint="eastAsia" w:eastAsia="宋体" w:cs="宋体"/>
          <w:b w:val="0"/>
          <w:bCs w:val="0"/>
          <w:color w:val="000000" w:themeColor="text1"/>
          <w:sz w:val="24"/>
          <w:szCs w:val="24"/>
          <w:lang w:val="en-US" w:eastAsia="zh-CN"/>
          <w14:textFill>
            <w14:solidFill>
              <w14:schemeClr w14:val="tx1"/>
            </w14:solidFill>
          </w14:textFill>
        </w:rPr>
      </w:pPr>
      <w:r>
        <w:rPr>
          <w:rFonts w:hint="eastAsia" w:cs="宋体"/>
          <w:b w:val="0"/>
          <w:bCs w:val="0"/>
          <w:color w:val="000000" w:themeColor="text1"/>
          <w:sz w:val="24"/>
          <w:szCs w:val="24"/>
          <w:lang w:eastAsia="zh-CN"/>
          <w14:textFill>
            <w14:solidFill>
              <w14:schemeClr w14:val="tx1"/>
            </w14:solidFill>
          </w14:textFill>
        </w:rPr>
        <w:t>包</w:t>
      </w:r>
      <w:r>
        <w:rPr>
          <w:rFonts w:hint="eastAsia" w:cs="宋体"/>
          <w:b w:val="0"/>
          <w:bCs w:val="0"/>
          <w:color w:val="000000" w:themeColor="text1"/>
          <w:sz w:val="24"/>
          <w:szCs w:val="24"/>
          <w:lang w:val="en-US" w:eastAsia="zh-CN"/>
          <w14:textFill>
            <w14:solidFill>
              <w14:schemeClr w14:val="tx1"/>
            </w14:solidFill>
          </w14:textFill>
        </w:rPr>
        <w:t>2：</w:t>
      </w:r>
      <w:r>
        <w:rPr>
          <w:rFonts w:hint="eastAsia" w:ascii="宋体" w:hAnsi="宋体" w:eastAsia="宋体" w:cs="宋体"/>
          <w:b w:val="0"/>
          <w:bCs w:val="0"/>
          <w:color w:val="000000" w:themeColor="text1"/>
          <w:sz w:val="24"/>
          <w:szCs w:val="24"/>
          <w:lang w:val="en-US" w:eastAsia="zh-CN"/>
          <w14:textFill>
            <w14:solidFill>
              <w14:schemeClr w14:val="tx1"/>
            </w14:solidFill>
          </w14:textFill>
        </w:rPr>
        <w:t>上海大学学生公寓Y楼家具</w:t>
      </w:r>
    </w:p>
    <w:tbl>
      <w:tblPr>
        <w:tblStyle w:val="14"/>
        <w:tblW w:w="9613"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976"/>
        <w:gridCol w:w="3673"/>
        <w:gridCol w:w="2130"/>
      </w:tblGrid>
      <w:tr w14:paraId="26962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34" w:type="dxa"/>
            <w:noWrap/>
            <w:vAlign w:val="center"/>
          </w:tcPr>
          <w:p w14:paraId="36205D91">
            <w:pPr>
              <w:widowControl/>
              <w:jc w:val="center"/>
              <w:rPr>
                <w:rFonts w:ascii="宋体" w:hAnsi="宋体" w:eastAsia="宋体" w:cs="宋体"/>
                <w:kern w:val="0"/>
                <w:szCs w:val="21"/>
              </w:rPr>
            </w:pPr>
            <w:r>
              <w:rPr>
                <w:rFonts w:hint="eastAsia" w:ascii="宋体" w:hAnsi="宋体" w:eastAsia="宋体" w:cs="宋体"/>
                <w:kern w:val="0"/>
                <w:szCs w:val="21"/>
              </w:rPr>
              <w:t>序号</w:t>
            </w:r>
          </w:p>
        </w:tc>
        <w:tc>
          <w:tcPr>
            <w:tcW w:w="2976" w:type="dxa"/>
            <w:noWrap/>
            <w:vAlign w:val="center"/>
          </w:tcPr>
          <w:p w14:paraId="26046A88">
            <w:pPr>
              <w:widowControl/>
              <w:jc w:val="center"/>
              <w:rPr>
                <w:rFonts w:ascii="宋体" w:hAnsi="宋体" w:eastAsia="宋体" w:cs="宋体"/>
                <w:kern w:val="0"/>
                <w:szCs w:val="21"/>
              </w:rPr>
            </w:pPr>
            <w:r>
              <w:rPr>
                <w:rFonts w:hint="eastAsia" w:ascii="宋体" w:hAnsi="宋体" w:eastAsia="宋体" w:cs="宋体"/>
                <w:kern w:val="0"/>
                <w:szCs w:val="21"/>
              </w:rPr>
              <w:t>样品名称</w:t>
            </w:r>
          </w:p>
        </w:tc>
        <w:tc>
          <w:tcPr>
            <w:tcW w:w="3673" w:type="dxa"/>
            <w:noWrap/>
            <w:vAlign w:val="center"/>
          </w:tcPr>
          <w:p w14:paraId="44921E98">
            <w:pPr>
              <w:widowControl/>
              <w:jc w:val="center"/>
              <w:rPr>
                <w:rFonts w:ascii="宋体" w:hAnsi="宋体" w:eastAsia="宋体" w:cs="宋体"/>
                <w:kern w:val="0"/>
                <w:szCs w:val="21"/>
              </w:rPr>
            </w:pPr>
            <w:r>
              <w:rPr>
                <w:rFonts w:hint="eastAsia" w:ascii="宋体" w:hAnsi="宋体" w:eastAsia="宋体" w:cs="宋体"/>
                <w:kern w:val="0"/>
                <w:szCs w:val="21"/>
              </w:rPr>
              <w:t>制作要求</w:t>
            </w:r>
          </w:p>
        </w:tc>
        <w:tc>
          <w:tcPr>
            <w:tcW w:w="2130" w:type="dxa"/>
            <w:noWrap/>
            <w:vAlign w:val="center"/>
          </w:tcPr>
          <w:p w14:paraId="6BDDD2AA">
            <w:pPr>
              <w:widowControl/>
              <w:jc w:val="center"/>
              <w:rPr>
                <w:rFonts w:hint="eastAsia" w:ascii="宋体" w:hAnsi="宋体" w:eastAsia="宋体" w:cs="宋体"/>
                <w:kern w:val="0"/>
                <w:szCs w:val="21"/>
                <w:lang w:eastAsia="zh-CN"/>
              </w:rPr>
            </w:pPr>
            <w:r>
              <w:rPr>
                <w:rFonts w:hint="eastAsia" w:ascii="宋体" w:hAnsi="宋体" w:eastAsia="宋体" w:cs="宋体"/>
                <w:kern w:val="0"/>
                <w:szCs w:val="21"/>
              </w:rPr>
              <w:t>制</w:t>
            </w:r>
            <w:r>
              <w:rPr>
                <w:rFonts w:hint="eastAsia" w:ascii="宋体" w:hAnsi="宋体" w:eastAsia="宋体" w:cs="宋体"/>
                <w:kern w:val="0"/>
                <w:szCs w:val="21"/>
                <w:lang w:eastAsia="zh-CN"/>
              </w:rPr>
              <w:t>数量</w:t>
            </w:r>
          </w:p>
        </w:tc>
      </w:tr>
      <w:tr w14:paraId="0FCC0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834" w:type="dxa"/>
            <w:noWrap/>
            <w:vAlign w:val="center"/>
          </w:tcPr>
          <w:p w14:paraId="66EF47DA">
            <w:pPr>
              <w:widowControl/>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w:t>
            </w:r>
          </w:p>
        </w:tc>
        <w:tc>
          <w:tcPr>
            <w:tcW w:w="2976" w:type="dxa"/>
            <w:vAlign w:val="center"/>
          </w:tcPr>
          <w:p w14:paraId="68DEBE51">
            <w:pPr>
              <w:widowControl/>
              <w:ind w:firstLine="840" w:firstLineChars="400"/>
              <w:jc w:val="both"/>
              <w:rPr>
                <w:rFonts w:ascii="宋体" w:hAnsi="宋体" w:eastAsia="宋体" w:cs="宋体"/>
                <w:kern w:val="0"/>
                <w:szCs w:val="21"/>
              </w:rPr>
            </w:pPr>
            <w:r>
              <w:rPr>
                <w:rFonts w:hint="eastAsia"/>
                <w:b w:val="0"/>
                <w:bCs/>
              </w:rPr>
              <w:t>单人</w:t>
            </w:r>
            <w:r>
              <w:rPr>
                <w:rFonts w:hint="eastAsia"/>
                <w:b w:val="0"/>
                <w:bCs/>
                <w:lang w:val="en-US" w:eastAsia="zh-CN"/>
              </w:rPr>
              <w:t>连体床</w:t>
            </w:r>
          </w:p>
        </w:tc>
        <w:tc>
          <w:tcPr>
            <w:tcW w:w="3673" w:type="dxa"/>
            <w:vAlign w:val="center"/>
          </w:tcPr>
          <w:p w14:paraId="1256285F"/>
          <w:p w14:paraId="26C4D1B6">
            <w:pPr>
              <w:jc w:val="left"/>
              <w:rPr>
                <w:rFonts w:hint="eastAsia" w:ascii="宋体" w:hAnsi="宋体" w:eastAsia="宋体" w:cs="宋体"/>
                <w:szCs w:val="21"/>
                <w:lang w:eastAsia="zh-CN"/>
              </w:rPr>
            </w:pPr>
            <w:r>
              <w:rPr>
                <w:rFonts w:hint="eastAsia" w:ascii="宋体" w:hAnsi="宋体" w:eastAsia="宋体" w:cs="宋体"/>
                <w:szCs w:val="21"/>
                <w:lang w:eastAsia="zh-CN"/>
              </w:rPr>
              <w:t>详见家具清单</w:t>
            </w:r>
          </w:p>
          <w:p w14:paraId="078AF1C6">
            <w:pPr>
              <w:jc w:val="left"/>
              <w:rPr>
                <w:rFonts w:hint="eastAsia" w:ascii="宋体" w:hAnsi="宋体" w:eastAsia="宋体" w:cs="宋体"/>
                <w:szCs w:val="21"/>
                <w:lang w:eastAsia="zh-CN"/>
              </w:rPr>
            </w:pPr>
          </w:p>
        </w:tc>
        <w:tc>
          <w:tcPr>
            <w:tcW w:w="2130" w:type="dxa"/>
            <w:noWrap/>
            <w:vAlign w:val="center"/>
          </w:tcPr>
          <w:p w14:paraId="1E8C24B3">
            <w:pPr>
              <w:widowControl/>
              <w:jc w:val="center"/>
              <w:rPr>
                <w:rFonts w:ascii="宋体" w:hAnsi="宋体" w:eastAsia="宋体" w:cs="宋体"/>
                <w:kern w:val="0"/>
                <w:szCs w:val="21"/>
              </w:rPr>
            </w:pPr>
            <w:r>
              <w:rPr>
                <w:rFonts w:hint="eastAsia"/>
                <w:lang w:val="en-US" w:eastAsia="zh-CN"/>
              </w:rPr>
              <w:t>1</w:t>
            </w:r>
          </w:p>
        </w:tc>
      </w:tr>
      <w:tr w14:paraId="22C01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34" w:type="dxa"/>
            <w:noWrap/>
            <w:vAlign w:val="center"/>
          </w:tcPr>
          <w:p w14:paraId="4051BC78">
            <w:pPr>
              <w:widowControl/>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w:t>
            </w:r>
          </w:p>
        </w:tc>
        <w:tc>
          <w:tcPr>
            <w:tcW w:w="2976" w:type="dxa"/>
            <w:vAlign w:val="center"/>
          </w:tcPr>
          <w:p w14:paraId="7BBE9E21">
            <w:pPr>
              <w:widowControl/>
              <w:jc w:val="center"/>
              <w:rPr>
                <w:rFonts w:ascii="宋体" w:hAnsi="宋体" w:eastAsia="宋体" w:cs="宋体"/>
                <w:kern w:val="0"/>
                <w:szCs w:val="21"/>
              </w:rPr>
            </w:pPr>
            <w:r>
              <w:rPr>
                <w:rFonts w:hint="eastAsia" w:ascii="宋体" w:hAnsi="宋体" w:eastAsia="宋体" w:cs="宋体"/>
                <w:kern w:val="0"/>
                <w:szCs w:val="21"/>
              </w:rPr>
              <w:t>床下柜</w:t>
            </w:r>
          </w:p>
        </w:tc>
        <w:tc>
          <w:tcPr>
            <w:tcW w:w="3673" w:type="dxa"/>
            <w:vAlign w:val="center"/>
          </w:tcPr>
          <w:p w14:paraId="093F2C27">
            <w:pPr>
              <w:widowControl/>
              <w:tabs>
                <w:tab w:val="left" w:pos="1107"/>
              </w:tabs>
              <w:jc w:val="left"/>
              <w:rPr>
                <w:rFonts w:ascii="宋体" w:hAnsi="宋体" w:eastAsia="宋体" w:cs="宋体"/>
                <w:kern w:val="0"/>
                <w:szCs w:val="21"/>
              </w:rPr>
            </w:pPr>
            <w:r>
              <w:rPr>
                <w:rFonts w:hint="eastAsia" w:ascii="宋体" w:hAnsi="宋体" w:eastAsia="宋体" w:cs="宋体"/>
                <w:szCs w:val="21"/>
                <w:lang w:eastAsia="zh-CN"/>
              </w:rPr>
              <w:t>详见家具清单</w:t>
            </w:r>
          </w:p>
        </w:tc>
        <w:tc>
          <w:tcPr>
            <w:tcW w:w="2130" w:type="dxa"/>
            <w:noWrap/>
            <w:vAlign w:val="center"/>
          </w:tcPr>
          <w:p w14:paraId="6BEF7F0B">
            <w:pPr>
              <w:widowControl/>
              <w:jc w:val="center"/>
              <w:rPr>
                <w:rFonts w:ascii="宋体" w:hAnsi="宋体" w:eastAsia="宋体" w:cs="宋体"/>
                <w:kern w:val="0"/>
                <w:szCs w:val="21"/>
              </w:rPr>
            </w:pPr>
            <w:r>
              <w:rPr>
                <w:rFonts w:hint="eastAsia"/>
                <w:lang w:val="en-US" w:eastAsia="zh-CN"/>
              </w:rPr>
              <w:t>1</w:t>
            </w:r>
          </w:p>
        </w:tc>
      </w:tr>
      <w:tr w14:paraId="63C45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9" w:hRule="atLeast"/>
        </w:trPr>
        <w:tc>
          <w:tcPr>
            <w:tcW w:w="834" w:type="dxa"/>
            <w:noWrap/>
            <w:vAlign w:val="center"/>
          </w:tcPr>
          <w:p w14:paraId="25BBA34D">
            <w:pPr>
              <w:widowControl/>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w:t>
            </w:r>
          </w:p>
        </w:tc>
        <w:tc>
          <w:tcPr>
            <w:tcW w:w="2976" w:type="dxa"/>
            <w:vAlign w:val="center"/>
          </w:tcPr>
          <w:p w14:paraId="5BD593B2">
            <w:pPr>
              <w:widowControl/>
              <w:jc w:val="center"/>
              <w:rPr>
                <w:rFonts w:hint="eastAsia" w:ascii="宋体" w:hAnsi="宋体" w:eastAsia="宋体" w:cs="宋体"/>
                <w:kern w:val="0"/>
                <w:szCs w:val="21"/>
                <w:lang w:eastAsia="zh-CN"/>
              </w:rPr>
            </w:pPr>
            <w:r>
              <w:rPr>
                <w:rFonts w:hint="eastAsia" w:ascii="宋体" w:hAnsi="宋体" w:eastAsia="宋体" w:cs="宋体"/>
                <w:kern w:val="0"/>
                <w:szCs w:val="21"/>
              </w:rPr>
              <w:t>椅子</w:t>
            </w:r>
          </w:p>
        </w:tc>
        <w:tc>
          <w:tcPr>
            <w:tcW w:w="3673" w:type="dxa"/>
            <w:vAlign w:val="center"/>
          </w:tcPr>
          <w:p w14:paraId="7725D750">
            <w:pPr>
              <w:widowControl/>
              <w:tabs>
                <w:tab w:val="left" w:pos="1107"/>
              </w:tabs>
              <w:jc w:val="left"/>
              <w:rPr>
                <w:rFonts w:ascii="宋体" w:hAnsi="宋体" w:eastAsia="宋体" w:cs="宋体"/>
                <w:kern w:val="0"/>
                <w:szCs w:val="21"/>
              </w:rPr>
            </w:pPr>
            <w:r>
              <w:rPr>
                <w:rFonts w:hint="eastAsia" w:ascii="宋体" w:hAnsi="宋体" w:eastAsia="宋体" w:cs="宋体"/>
                <w:szCs w:val="21"/>
                <w:lang w:eastAsia="zh-CN"/>
              </w:rPr>
              <w:t>详见家具清单</w:t>
            </w:r>
          </w:p>
        </w:tc>
        <w:tc>
          <w:tcPr>
            <w:tcW w:w="2130" w:type="dxa"/>
            <w:noWrap/>
            <w:vAlign w:val="center"/>
          </w:tcPr>
          <w:p w14:paraId="67BED7E4">
            <w:pPr>
              <w:widowControl/>
              <w:jc w:val="center"/>
              <w:rPr>
                <w:rFonts w:ascii="宋体" w:hAnsi="宋体" w:eastAsia="宋体" w:cs="宋体"/>
                <w:kern w:val="0"/>
                <w:szCs w:val="21"/>
              </w:rPr>
            </w:pPr>
            <w:r>
              <w:rPr>
                <w:rFonts w:hint="eastAsia"/>
                <w:lang w:val="en-US" w:eastAsia="zh-CN"/>
              </w:rPr>
              <w:t>1</w:t>
            </w:r>
          </w:p>
        </w:tc>
      </w:tr>
    </w:tbl>
    <w:p w14:paraId="41E1FD59">
      <w:pPr>
        <w:pStyle w:val="20"/>
        <w:outlineLvl w:val="0"/>
        <w:rPr>
          <w:rFonts w:hint="eastAsia" w:cs="宋体"/>
          <w:b/>
          <w:bCs/>
          <w:color w:val="auto"/>
          <w:sz w:val="28"/>
          <w:szCs w:val="28"/>
        </w:rPr>
      </w:pPr>
    </w:p>
    <w:p w14:paraId="02719359">
      <w:pPr>
        <w:pStyle w:val="20"/>
        <w:outlineLvl w:val="0"/>
        <w:rPr>
          <w:rFonts w:hint="eastAsia" w:cs="宋体"/>
          <w:b/>
          <w:bCs/>
          <w:color w:val="auto"/>
          <w:sz w:val="28"/>
          <w:szCs w:val="28"/>
        </w:rPr>
      </w:pPr>
      <w:r>
        <w:rPr>
          <w:rFonts w:hint="eastAsia" w:cs="宋体"/>
          <w:b/>
          <w:bCs/>
          <w:color w:val="auto"/>
          <w:sz w:val="28"/>
          <w:szCs w:val="28"/>
          <w:lang w:eastAsia="zh-CN"/>
        </w:rPr>
        <w:t>四</w:t>
      </w:r>
      <w:r>
        <w:rPr>
          <w:rFonts w:hint="eastAsia" w:cs="宋体"/>
          <w:b/>
          <w:bCs/>
          <w:color w:val="auto"/>
          <w:sz w:val="28"/>
          <w:szCs w:val="28"/>
        </w:rPr>
        <w:t>、需执行的国家相关标准、行业标准或其他标准、规范</w:t>
      </w:r>
    </w:p>
    <w:p w14:paraId="149A712D">
      <w:pPr>
        <w:pStyle w:val="20"/>
        <w:numPr>
          <w:ilvl w:val="0"/>
          <w:numId w:val="0"/>
        </w:numPr>
        <w:ind w:left="0" w:leftChars="0" w:firstLine="0" w:firstLineChars="0"/>
        <w:rPr>
          <w:rFonts w:hint="eastAsia" w:ascii="宋体" w:hAnsi="宋体" w:eastAsia="宋体" w:cs="宋体"/>
          <w:b/>
          <w:bCs/>
          <w:sz w:val="24"/>
          <w:szCs w:val="24"/>
        </w:rPr>
      </w:pPr>
      <w:bookmarkStart w:id="0" w:name="_Toc25898_WPSOffice_Level2"/>
      <w:bookmarkStart w:id="1" w:name="_Toc8379"/>
      <w:r>
        <w:rPr>
          <w:rFonts w:hint="eastAsia" w:ascii="宋体" w:hAnsi="宋体" w:eastAsia="宋体" w:cs="宋体"/>
          <w:b/>
          <w:bCs/>
          <w:sz w:val="24"/>
          <w:szCs w:val="24"/>
        </w:rPr>
        <w:t>（一）强制性标准</w:t>
      </w:r>
      <w:bookmarkEnd w:id="0"/>
      <w:bookmarkEnd w:id="1"/>
    </w:p>
    <w:p w14:paraId="7C26C373">
      <w:pPr>
        <w:pStyle w:val="20"/>
        <w:numPr>
          <w:ilvl w:val="0"/>
          <w:numId w:val="0"/>
        </w:numPr>
        <w:ind w:left="0" w:leftChars="0" w:firstLineChars="200"/>
        <w:rPr>
          <w:rFonts w:hint="eastAsia" w:ascii="宋体" w:hAnsi="宋体" w:eastAsia="宋体" w:cs="宋体"/>
          <w:sz w:val="24"/>
          <w:szCs w:val="24"/>
        </w:rPr>
      </w:pPr>
      <w:r>
        <w:rPr>
          <w:rFonts w:hint="eastAsia" w:ascii="宋体" w:hAnsi="宋体" w:eastAsia="宋体" w:cs="宋体"/>
          <w:sz w:val="24"/>
          <w:szCs w:val="24"/>
        </w:rPr>
        <w:t>GB 18583-2008 《室内装饰装修材料 胶粘剂中有害物质限量》；</w:t>
      </w:r>
    </w:p>
    <w:p w14:paraId="120986A5">
      <w:pPr>
        <w:pStyle w:val="20"/>
        <w:numPr>
          <w:ilvl w:val="0"/>
          <w:numId w:val="0"/>
        </w:numPr>
        <w:ind w:left="0" w:leftChars="0" w:firstLineChars="200"/>
        <w:rPr>
          <w:rFonts w:hint="eastAsia" w:ascii="宋体" w:hAnsi="宋体" w:eastAsia="宋体" w:cs="宋体"/>
          <w:sz w:val="24"/>
          <w:szCs w:val="24"/>
          <w:highlight w:val="yellow"/>
        </w:rPr>
      </w:pPr>
      <w:r>
        <w:rPr>
          <w:rFonts w:hint="eastAsia" w:ascii="宋体" w:hAnsi="宋体" w:eastAsia="宋体" w:cs="宋体"/>
          <w:color w:val="auto"/>
          <w:sz w:val="24"/>
          <w:szCs w:val="24"/>
          <w:highlight w:val="none"/>
        </w:rPr>
        <w:t>GB 6566-2010 《建筑材料放射性核素限量》；</w:t>
      </w:r>
    </w:p>
    <w:p w14:paraId="031B5F6A">
      <w:pPr>
        <w:pStyle w:val="20"/>
        <w:numPr>
          <w:ilvl w:val="0"/>
          <w:numId w:val="0"/>
        </w:numPr>
        <w:ind w:left="0" w:leftChars="0" w:firstLineChars="200"/>
        <w:rPr>
          <w:rFonts w:hint="eastAsia" w:ascii="宋体" w:hAnsi="宋体" w:eastAsia="宋体" w:cs="宋体"/>
          <w:sz w:val="24"/>
          <w:szCs w:val="24"/>
        </w:rPr>
      </w:pPr>
      <w:r>
        <w:rPr>
          <w:rFonts w:hint="eastAsia" w:ascii="宋体" w:hAnsi="宋体" w:eastAsia="宋体" w:cs="宋体"/>
          <w:sz w:val="24"/>
          <w:szCs w:val="24"/>
        </w:rPr>
        <w:t>GB 18584-2001《室内装饰装修材料木家具中有害物质限量》；</w:t>
      </w:r>
    </w:p>
    <w:p w14:paraId="3F33982E">
      <w:pPr>
        <w:pStyle w:val="20"/>
        <w:numPr>
          <w:ilvl w:val="0"/>
          <w:numId w:val="0"/>
        </w:numPr>
        <w:ind w:left="0" w:leftChars="0" w:firstLineChars="200"/>
        <w:rPr>
          <w:rFonts w:hint="eastAsia" w:ascii="宋体" w:hAnsi="宋体" w:eastAsia="宋体" w:cs="宋体"/>
          <w:sz w:val="24"/>
          <w:szCs w:val="24"/>
        </w:rPr>
      </w:pPr>
      <w:r>
        <w:rPr>
          <w:rFonts w:hint="eastAsia" w:ascii="宋体" w:hAnsi="宋体" w:eastAsia="宋体" w:cs="宋体"/>
          <w:sz w:val="24"/>
          <w:szCs w:val="24"/>
        </w:rPr>
        <w:t>GB 18580-2017 《室内装饰装修材料人造板及其制品中甲醛释放限量》；</w:t>
      </w:r>
    </w:p>
    <w:p w14:paraId="745BB583">
      <w:pPr>
        <w:pStyle w:val="20"/>
        <w:ind w:firstLine="480" w:firstLineChars="200"/>
        <w:rPr>
          <w:rFonts w:cs="宋体"/>
          <w:color w:val="auto"/>
        </w:rPr>
      </w:pPr>
      <w:r>
        <w:rPr>
          <w:rFonts w:cs="宋体"/>
          <w:color w:val="auto"/>
        </w:rPr>
        <w:t>GB 18581-2020《室内装饰装修材料 溶剂型木器涂料中有害物质限量》</w:t>
      </w:r>
    </w:p>
    <w:p w14:paraId="5501A9A2">
      <w:pPr>
        <w:pStyle w:val="20"/>
        <w:numPr>
          <w:ilvl w:val="0"/>
          <w:numId w:val="0"/>
        </w:numPr>
        <w:ind w:left="0" w:leftChars="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GB</w:t>
      </w:r>
      <w:r>
        <w:rPr>
          <w:rFonts w:hint="eastAsia" w:cs="宋体"/>
          <w:sz w:val="24"/>
          <w:szCs w:val="24"/>
          <w:highlight w:val="none"/>
          <w:lang w:val="en-US" w:eastAsia="zh-CN"/>
        </w:rPr>
        <w:t xml:space="preserve"> </w:t>
      </w:r>
      <w:r>
        <w:rPr>
          <w:rFonts w:hint="eastAsia" w:ascii="宋体" w:hAnsi="宋体" w:eastAsia="宋体" w:cs="宋体"/>
          <w:sz w:val="24"/>
          <w:szCs w:val="24"/>
          <w:highlight w:val="none"/>
        </w:rPr>
        <w:t>18581-2009《室内装饰装修材料溶剂型木器涂料中有害物质限量》；</w:t>
      </w:r>
    </w:p>
    <w:p w14:paraId="3D6DD778">
      <w:pPr>
        <w:pStyle w:val="20"/>
        <w:numPr>
          <w:ilvl w:val="0"/>
          <w:numId w:val="0"/>
        </w:numPr>
        <w:ind w:left="0" w:leftChars="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GB 18401-2010《国家纺织产品基本安全技术规范》；</w:t>
      </w:r>
    </w:p>
    <w:p w14:paraId="42A97CB2">
      <w:pPr>
        <w:pStyle w:val="20"/>
        <w:numPr>
          <w:ilvl w:val="0"/>
          <w:numId w:val="0"/>
        </w:numPr>
        <w:ind w:left="0" w:leftChars="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GB 16799-2018《家具用皮革》；</w:t>
      </w:r>
    </w:p>
    <w:p w14:paraId="4EC55012">
      <w:pPr>
        <w:pStyle w:val="20"/>
        <w:numPr>
          <w:ilvl w:val="0"/>
          <w:numId w:val="0"/>
        </w:numPr>
        <w:ind w:left="0" w:leftChars="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GB 28481-2012《塑料家具中有害物质限量》。</w:t>
      </w:r>
    </w:p>
    <w:p w14:paraId="2E22CB35">
      <w:pPr>
        <w:pStyle w:val="20"/>
        <w:numPr>
          <w:ilvl w:val="0"/>
          <w:numId w:val="0"/>
        </w:numPr>
        <w:ind w:left="0" w:leftChars="0" w:firstLine="0" w:firstLineChars="0"/>
        <w:rPr>
          <w:rFonts w:hint="eastAsia" w:ascii="宋体" w:hAnsi="宋体" w:eastAsia="宋体" w:cs="宋体"/>
          <w:b/>
          <w:bCs/>
          <w:sz w:val="24"/>
          <w:szCs w:val="24"/>
        </w:rPr>
      </w:pPr>
      <w:bookmarkStart w:id="2" w:name="_Toc25730_WPSOffice_Level2"/>
      <w:bookmarkStart w:id="3" w:name="_Toc16007"/>
      <w:bookmarkStart w:id="4" w:name="_Toc227555682"/>
      <w:r>
        <w:rPr>
          <w:rFonts w:hint="eastAsia" w:ascii="宋体" w:hAnsi="宋体" w:eastAsia="宋体" w:cs="宋体"/>
          <w:b/>
          <w:bCs/>
          <w:sz w:val="24"/>
          <w:szCs w:val="24"/>
        </w:rPr>
        <w:t>（二）质量及技术标准</w:t>
      </w:r>
      <w:bookmarkEnd w:id="2"/>
      <w:bookmarkEnd w:id="3"/>
      <w:bookmarkEnd w:id="4"/>
    </w:p>
    <w:p w14:paraId="6BDB13BA">
      <w:pPr>
        <w:pStyle w:val="20"/>
        <w:numPr>
          <w:ilvl w:val="0"/>
          <w:numId w:val="0"/>
        </w:numPr>
        <w:ind w:left="0" w:leftChars="0" w:firstLineChars="200"/>
        <w:rPr>
          <w:rFonts w:hint="eastAsia" w:ascii="宋体" w:hAnsi="宋体" w:eastAsia="宋体" w:cs="宋体"/>
          <w:sz w:val="22"/>
          <w:szCs w:val="22"/>
        </w:rPr>
      </w:pPr>
      <w:r>
        <w:rPr>
          <w:rFonts w:hint="eastAsia" w:cs="宋体"/>
          <w:b w:val="0"/>
          <w:bCs w:val="0"/>
          <w:sz w:val="22"/>
          <w:szCs w:val="22"/>
          <w:lang w:eastAsia="zh-CN"/>
        </w:rPr>
        <w:t>GB/T 34722-2017《浸渍胶膜纸饰面胶合板和细木工板》</w:t>
      </w:r>
      <w:r>
        <w:rPr>
          <w:rFonts w:hint="eastAsia" w:ascii="宋体" w:hAnsi="宋体" w:eastAsia="宋体" w:cs="宋体"/>
          <w:sz w:val="22"/>
          <w:szCs w:val="22"/>
        </w:rPr>
        <w:t>；</w:t>
      </w:r>
    </w:p>
    <w:p w14:paraId="34D20145">
      <w:pPr>
        <w:pStyle w:val="20"/>
        <w:numPr>
          <w:ilvl w:val="0"/>
          <w:numId w:val="0"/>
        </w:numPr>
        <w:ind w:left="0" w:leftChars="0" w:firstLineChars="200"/>
        <w:rPr>
          <w:rFonts w:hint="eastAsia" w:cs="宋体"/>
          <w:b w:val="0"/>
          <w:bCs w:val="0"/>
          <w:sz w:val="22"/>
          <w:szCs w:val="22"/>
          <w:lang w:eastAsia="zh-CN"/>
        </w:rPr>
      </w:pPr>
      <w:r>
        <w:rPr>
          <w:rFonts w:hint="eastAsia" w:cs="宋体"/>
          <w:b w:val="0"/>
          <w:bCs w:val="0"/>
          <w:sz w:val="22"/>
          <w:szCs w:val="22"/>
          <w:lang w:eastAsia="zh-CN"/>
        </w:rPr>
        <w:t>QB/T 3826-1999《轻工产品金属镀层和化学处理层的耐腐蚀试验方法(NSS)法中性盐雾试验》；</w:t>
      </w:r>
    </w:p>
    <w:p w14:paraId="2BE1C4AD">
      <w:pPr>
        <w:pStyle w:val="20"/>
        <w:numPr>
          <w:ilvl w:val="0"/>
          <w:numId w:val="0"/>
        </w:numPr>
        <w:ind w:left="0" w:leftChars="0" w:firstLineChars="200"/>
        <w:rPr>
          <w:rFonts w:hint="eastAsia" w:cs="宋体"/>
          <w:b w:val="0"/>
          <w:bCs w:val="0"/>
          <w:sz w:val="22"/>
          <w:szCs w:val="22"/>
          <w:lang w:eastAsia="zh-CN"/>
        </w:rPr>
      </w:pPr>
      <w:r>
        <w:rPr>
          <w:rFonts w:hint="eastAsia" w:cs="宋体"/>
          <w:b w:val="0"/>
          <w:bCs w:val="0"/>
          <w:sz w:val="22"/>
          <w:szCs w:val="22"/>
          <w:lang w:eastAsia="zh-CN"/>
        </w:rPr>
        <w:t>QB/T</w:t>
      </w:r>
      <w:r>
        <w:rPr>
          <w:rFonts w:hint="eastAsia" w:cs="宋体"/>
          <w:b w:val="0"/>
          <w:bCs w:val="0"/>
          <w:sz w:val="22"/>
          <w:szCs w:val="22"/>
          <w:lang w:val="en-US" w:eastAsia="zh-CN"/>
        </w:rPr>
        <w:t xml:space="preserve"> </w:t>
      </w:r>
      <w:r>
        <w:rPr>
          <w:rFonts w:hint="eastAsia" w:cs="宋体"/>
          <w:b w:val="0"/>
          <w:bCs w:val="0"/>
          <w:sz w:val="22"/>
          <w:szCs w:val="22"/>
          <w:lang w:eastAsia="zh-CN"/>
        </w:rPr>
        <w:t>4371-2012《家具抗菌性能的评价》；</w:t>
      </w:r>
    </w:p>
    <w:p w14:paraId="7941C219">
      <w:pPr>
        <w:pStyle w:val="20"/>
        <w:numPr>
          <w:ilvl w:val="0"/>
          <w:numId w:val="0"/>
        </w:numPr>
        <w:ind w:left="0" w:leftChars="0" w:firstLineChars="200"/>
        <w:rPr>
          <w:rFonts w:hint="eastAsia" w:cs="宋体"/>
          <w:b w:val="0"/>
          <w:bCs w:val="0"/>
          <w:sz w:val="22"/>
          <w:szCs w:val="22"/>
          <w:lang w:val="en-US" w:eastAsia="zh-CN"/>
        </w:rPr>
      </w:pPr>
      <w:r>
        <w:rPr>
          <w:rFonts w:hint="eastAsia" w:cs="宋体"/>
          <w:b w:val="0"/>
          <w:bCs w:val="0"/>
          <w:sz w:val="22"/>
          <w:szCs w:val="22"/>
          <w:lang w:eastAsia="zh-CN"/>
        </w:rPr>
        <w:t>GB/T 20285—2006《材料产烟毒性危险分级》</w:t>
      </w:r>
      <w:r>
        <w:rPr>
          <w:rFonts w:hint="eastAsia" w:cs="宋体"/>
          <w:b w:val="0"/>
          <w:bCs w:val="0"/>
          <w:sz w:val="22"/>
          <w:szCs w:val="22"/>
          <w:lang w:val="en-US" w:eastAsia="zh-CN"/>
        </w:rPr>
        <w:t>;</w:t>
      </w:r>
    </w:p>
    <w:p w14:paraId="5F1DCFAE">
      <w:pPr>
        <w:pStyle w:val="20"/>
        <w:numPr>
          <w:ilvl w:val="0"/>
          <w:numId w:val="0"/>
        </w:numPr>
        <w:ind w:left="0" w:leftChars="0" w:firstLineChars="200"/>
        <w:rPr>
          <w:rFonts w:hint="eastAsia" w:cs="宋体"/>
          <w:b w:val="0"/>
          <w:bCs w:val="0"/>
          <w:sz w:val="22"/>
          <w:szCs w:val="22"/>
          <w:lang w:val="en-US" w:eastAsia="zh-CN"/>
        </w:rPr>
      </w:pPr>
      <w:r>
        <w:rPr>
          <w:rFonts w:hint="eastAsia" w:cs="宋体"/>
          <w:b w:val="0"/>
          <w:bCs w:val="0"/>
          <w:sz w:val="22"/>
          <w:szCs w:val="22"/>
          <w:lang w:eastAsia="zh-CN"/>
        </w:rPr>
        <w:t>QB/T 4463-2013《家具用封边条技术要求》</w:t>
      </w:r>
      <w:r>
        <w:rPr>
          <w:rFonts w:hint="eastAsia" w:cs="宋体"/>
          <w:b w:val="0"/>
          <w:bCs w:val="0"/>
          <w:sz w:val="22"/>
          <w:szCs w:val="22"/>
          <w:lang w:val="en-US" w:eastAsia="zh-CN"/>
        </w:rPr>
        <w:t>;</w:t>
      </w:r>
    </w:p>
    <w:p w14:paraId="6B05A03A">
      <w:pPr>
        <w:pStyle w:val="20"/>
        <w:numPr>
          <w:ilvl w:val="0"/>
          <w:numId w:val="0"/>
        </w:numPr>
        <w:ind w:left="0" w:leftChars="0" w:firstLineChars="200"/>
        <w:rPr>
          <w:rFonts w:hint="eastAsia" w:cs="宋体"/>
          <w:b w:val="0"/>
          <w:bCs w:val="0"/>
          <w:sz w:val="22"/>
          <w:szCs w:val="22"/>
          <w:lang w:val="en-US" w:eastAsia="zh-CN"/>
        </w:rPr>
      </w:pPr>
      <w:r>
        <w:rPr>
          <w:rFonts w:hint="eastAsia" w:cs="宋体"/>
          <w:b w:val="0"/>
          <w:bCs w:val="0"/>
          <w:sz w:val="22"/>
          <w:szCs w:val="22"/>
          <w:lang w:eastAsia="zh-CN"/>
        </w:rPr>
        <w:t>GB/T</w:t>
      </w:r>
      <w:r>
        <w:rPr>
          <w:rFonts w:hint="eastAsia" w:cs="宋体"/>
          <w:b w:val="0"/>
          <w:bCs w:val="0"/>
          <w:sz w:val="22"/>
          <w:szCs w:val="22"/>
          <w:lang w:val="en-US" w:eastAsia="zh-CN"/>
        </w:rPr>
        <w:t xml:space="preserve"> </w:t>
      </w:r>
      <w:r>
        <w:rPr>
          <w:rFonts w:hint="eastAsia" w:cs="宋体"/>
          <w:b w:val="0"/>
          <w:bCs w:val="0"/>
          <w:sz w:val="22"/>
          <w:szCs w:val="22"/>
          <w:lang w:eastAsia="zh-CN"/>
        </w:rPr>
        <w:t>32487-2016《塑料家具通用技术条件》</w:t>
      </w:r>
      <w:r>
        <w:rPr>
          <w:rFonts w:hint="eastAsia" w:cs="宋体"/>
          <w:b w:val="0"/>
          <w:bCs w:val="0"/>
          <w:sz w:val="22"/>
          <w:szCs w:val="22"/>
          <w:lang w:val="en-US" w:eastAsia="zh-CN"/>
        </w:rPr>
        <w:t>;</w:t>
      </w:r>
    </w:p>
    <w:p w14:paraId="14655550">
      <w:pPr>
        <w:pStyle w:val="20"/>
        <w:numPr>
          <w:ilvl w:val="0"/>
          <w:numId w:val="0"/>
        </w:numPr>
        <w:ind w:left="0" w:leftChars="0" w:firstLineChars="200"/>
        <w:rPr>
          <w:rFonts w:hint="eastAsia" w:cs="宋体"/>
          <w:b w:val="0"/>
          <w:bCs w:val="0"/>
          <w:sz w:val="22"/>
          <w:szCs w:val="22"/>
          <w:lang w:val="en-US" w:eastAsia="zh-CN"/>
        </w:rPr>
      </w:pPr>
      <w:r>
        <w:rPr>
          <w:rFonts w:hint="eastAsia" w:cs="宋体"/>
          <w:b w:val="0"/>
          <w:bCs w:val="0"/>
          <w:sz w:val="22"/>
          <w:szCs w:val="22"/>
          <w:lang w:eastAsia="zh-CN"/>
        </w:rPr>
        <w:t>JC/T 2039-2010《抗菌防霉木质装饰板》</w:t>
      </w:r>
      <w:r>
        <w:rPr>
          <w:rFonts w:hint="eastAsia" w:cs="宋体"/>
          <w:b w:val="0"/>
          <w:bCs w:val="0"/>
          <w:sz w:val="22"/>
          <w:szCs w:val="22"/>
          <w:lang w:val="en-US" w:eastAsia="zh-CN"/>
        </w:rPr>
        <w:t>;</w:t>
      </w:r>
    </w:p>
    <w:p w14:paraId="36B34141">
      <w:pPr>
        <w:pStyle w:val="20"/>
        <w:numPr>
          <w:ilvl w:val="0"/>
          <w:numId w:val="0"/>
        </w:numPr>
        <w:ind w:left="0" w:leftChars="0" w:firstLineChars="200"/>
        <w:rPr>
          <w:rFonts w:hint="eastAsia" w:ascii="宋体" w:hAnsi="宋体" w:eastAsia="宋体" w:cs="宋体"/>
          <w:sz w:val="22"/>
          <w:szCs w:val="22"/>
        </w:rPr>
      </w:pPr>
      <w:r>
        <w:rPr>
          <w:rFonts w:hint="eastAsia" w:ascii="宋体" w:hAnsi="宋体" w:eastAsia="宋体" w:cs="宋体"/>
          <w:sz w:val="22"/>
          <w:szCs w:val="22"/>
        </w:rPr>
        <w:t>GB/T 2454-2013 《家具五金 抽屉导轨》；</w:t>
      </w:r>
    </w:p>
    <w:p w14:paraId="5988E168">
      <w:pPr>
        <w:pStyle w:val="20"/>
        <w:numPr>
          <w:ilvl w:val="0"/>
          <w:numId w:val="0"/>
        </w:numPr>
        <w:ind w:left="0" w:leftChars="0" w:firstLineChars="200"/>
        <w:rPr>
          <w:rFonts w:hint="eastAsia" w:ascii="宋体" w:hAnsi="宋体" w:eastAsia="宋体" w:cs="宋体"/>
          <w:sz w:val="22"/>
          <w:szCs w:val="22"/>
        </w:rPr>
      </w:pPr>
      <w:r>
        <w:rPr>
          <w:rFonts w:hint="eastAsia" w:ascii="宋体" w:hAnsi="宋体" w:eastAsia="宋体" w:cs="宋体"/>
          <w:sz w:val="22"/>
          <w:szCs w:val="22"/>
        </w:rPr>
        <w:t>GB/T 3325-20</w:t>
      </w:r>
      <w:r>
        <w:rPr>
          <w:rFonts w:hint="eastAsia" w:cs="宋体"/>
          <w:sz w:val="22"/>
          <w:szCs w:val="22"/>
          <w:lang w:val="en-US" w:eastAsia="zh-CN"/>
        </w:rPr>
        <w:t>24</w:t>
      </w:r>
      <w:r>
        <w:rPr>
          <w:rFonts w:hint="eastAsia" w:ascii="宋体" w:hAnsi="宋体" w:eastAsia="宋体" w:cs="宋体"/>
          <w:sz w:val="22"/>
          <w:szCs w:val="22"/>
        </w:rPr>
        <w:t xml:space="preserve"> 《金属家具通用技术条件》；</w:t>
      </w:r>
    </w:p>
    <w:p w14:paraId="0F089B98">
      <w:pPr>
        <w:pStyle w:val="20"/>
        <w:numPr>
          <w:ilvl w:val="0"/>
          <w:numId w:val="0"/>
        </w:numPr>
        <w:ind w:left="0" w:leftChars="0" w:firstLineChars="200"/>
        <w:rPr>
          <w:rFonts w:hint="eastAsia" w:ascii="宋体" w:hAnsi="宋体" w:eastAsia="宋体" w:cs="宋体"/>
          <w:color w:val="auto"/>
          <w:sz w:val="22"/>
          <w:szCs w:val="22"/>
        </w:rPr>
      </w:pPr>
      <w:r>
        <w:rPr>
          <w:rFonts w:hint="eastAsia" w:ascii="宋体" w:hAnsi="宋体" w:eastAsia="宋体" w:cs="宋体"/>
          <w:color w:val="auto"/>
          <w:sz w:val="22"/>
          <w:szCs w:val="22"/>
        </w:rPr>
        <w:t>QB/T 2189-2013《家具五金 杯状暗铰链》；</w:t>
      </w:r>
    </w:p>
    <w:p w14:paraId="0BAF775D">
      <w:pPr>
        <w:pStyle w:val="20"/>
        <w:numPr>
          <w:ilvl w:val="0"/>
          <w:numId w:val="0"/>
        </w:numPr>
        <w:ind w:left="0" w:leftChars="0" w:firstLineChars="200"/>
        <w:rPr>
          <w:rFonts w:hint="eastAsia" w:ascii="宋体" w:hAnsi="宋体" w:eastAsia="宋体" w:cs="宋体"/>
          <w:color w:val="auto"/>
          <w:sz w:val="22"/>
          <w:szCs w:val="22"/>
        </w:rPr>
      </w:pPr>
      <w:r>
        <w:rPr>
          <w:rFonts w:hint="eastAsia" w:ascii="宋体" w:hAnsi="宋体" w:eastAsia="宋体" w:cs="宋体"/>
          <w:color w:val="auto"/>
          <w:sz w:val="22"/>
          <w:szCs w:val="22"/>
        </w:rPr>
        <w:t>GB/T 35607-2024《绿色产品评价 家具》</w:t>
      </w:r>
    </w:p>
    <w:p w14:paraId="3541C83B">
      <w:pPr>
        <w:pStyle w:val="20"/>
        <w:numPr>
          <w:ilvl w:val="0"/>
          <w:numId w:val="0"/>
        </w:numPr>
        <w:ind w:left="0" w:leftChars="0" w:firstLineChars="200"/>
        <w:rPr>
          <w:rFonts w:hint="default" w:eastAsia="宋体" w:cs="宋体"/>
          <w:color w:val="auto"/>
          <w:sz w:val="22"/>
          <w:szCs w:val="22"/>
          <w:lang w:val="en-US" w:eastAsia="zh-CN"/>
        </w:rPr>
      </w:pPr>
      <w:r>
        <w:rPr>
          <w:rFonts w:hint="eastAsia" w:ascii="宋体" w:hAnsi="宋体" w:eastAsia="宋体" w:cs="宋体"/>
          <w:color w:val="auto"/>
          <w:sz w:val="22"/>
          <w:szCs w:val="22"/>
        </w:rPr>
        <w:t>GB/T 3324-</w:t>
      </w:r>
      <w:r>
        <w:rPr>
          <w:rFonts w:hint="eastAsia" w:cs="宋体"/>
          <w:color w:val="auto"/>
          <w:sz w:val="22"/>
          <w:szCs w:val="22"/>
          <w:lang w:val="en-US" w:eastAsia="zh-CN"/>
        </w:rPr>
        <w:t>2024</w:t>
      </w:r>
      <w:r>
        <w:rPr>
          <w:rFonts w:hint="eastAsia" w:ascii="宋体" w:hAnsi="宋体" w:eastAsia="宋体" w:cs="宋体"/>
          <w:color w:val="auto"/>
          <w:sz w:val="22"/>
          <w:szCs w:val="22"/>
        </w:rPr>
        <w:t>《木家具通用技术条件》</w:t>
      </w:r>
    </w:p>
    <w:p w14:paraId="5A878954">
      <w:pPr>
        <w:pStyle w:val="20"/>
        <w:ind w:firstLine="420"/>
        <w:rPr>
          <w:rFonts w:hint="eastAsia"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及其他与本次采购的家具相关的现行最新标准</w:t>
      </w:r>
    </w:p>
    <w:p w14:paraId="214D7F4F">
      <w:pPr>
        <w:pStyle w:val="8"/>
        <w:ind w:left="0" w:leftChars="0" w:firstLine="482" w:firstLineChars="200"/>
        <w:rPr>
          <w:rFonts w:ascii="宋体" w:hAnsi="宋体" w:eastAsia="宋体" w:cs="宋体"/>
          <w:sz w:val="21"/>
          <w:szCs w:val="21"/>
          <w:lang w:eastAsia="zh-CN"/>
        </w:rPr>
      </w:pPr>
      <w:r>
        <w:rPr>
          <w:rFonts w:hint="eastAsia" w:ascii="宋体" w:hAnsi="宋体" w:eastAsia="宋体" w:cs="宋体"/>
          <w:b/>
          <w:sz w:val="24"/>
          <w:szCs w:val="24"/>
        </w:rPr>
        <w:t>注：</w:t>
      </w:r>
      <w:r>
        <w:rPr>
          <w:rFonts w:hint="eastAsia" w:ascii="宋体" w:hAnsi="宋体" w:eastAsia="宋体" w:cs="宋体"/>
          <w:b/>
          <w:bCs/>
          <w:sz w:val="21"/>
          <w:szCs w:val="21"/>
          <w:lang w:eastAsia="zh-CN"/>
        </w:rPr>
        <w:t>及其他与本次采购的家具相关的现行最新标准；采购需求内所涉及到的标准若与现行标准冲突，均以现行的最新版本为准。</w:t>
      </w:r>
    </w:p>
    <w:p w14:paraId="12CDF4F7">
      <w:pPr>
        <w:snapToGrid w:val="0"/>
        <w:spacing w:line="360" w:lineRule="auto"/>
        <w:rPr>
          <w:rFonts w:hint="eastAsia" w:ascii="宋体" w:hAnsi="宋体" w:eastAsia="宋体" w:cs="宋体"/>
          <w:b/>
          <w:sz w:val="24"/>
          <w:szCs w:val="24"/>
        </w:rPr>
      </w:pPr>
    </w:p>
    <w:p w14:paraId="06B6F13D">
      <w:pPr>
        <w:snapToGrid w:val="0"/>
        <w:spacing w:line="360" w:lineRule="auto"/>
        <w:rPr>
          <w:rFonts w:hint="eastAsia" w:ascii="宋体" w:hAnsi="宋体" w:eastAsia="宋体" w:cs="宋体"/>
          <w:b/>
          <w:sz w:val="24"/>
          <w:szCs w:val="24"/>
        </w:rPr>
      </w:pPr>
    </w:p>
    <w:p w14:paraId="169F4F0B">
      <w:pPr>
        <w:snapToGrid w:val="0"/>
        <w:spacing w:line="360" w:lineRule="auto"/>
        <w:rPr>
          <w:rFonts w:cs="宋体"/>
          <w:color w:val="000000" w:themeColor="text1"/>
          <w:sz w:val="24"/>
          <w:szCs w:val="24"/>
          <w14:textFill>
            <w14:solidFill>
              <w14:schemeClr w14:val="tx1"/>
            </w14:solidFill>
          </w14:textFill>
        </w:rPr>
      </w:pPr>
    </w:p>
    <w:p w14:paraId="45303B64">
      <w:pPr>
        <w:pStyle w:val="20"/>
        <w:outlineLvl w:val="0"/>
        <w:rPr>
          <w:rFonts w:hint="eastAsia" w:cs="宋体"/>
          <w:b/>
          <w:bCs/>
          <w:color w:val="auto"/>
          <w:sz w:val="28"/>
          <w:szCs w:val="28"/>
        </w:rPr>
      </w:pPr>
      <w:r>
        <w:rPr>
          <w:rFonts w:hint="eastAsia" w:cs="宋体"/>
          <w:b/>
          <w:bCs/>
          <w:color w:val="auto"/>
          <w:sz w:val="28"/>
          <w:szCs w:val="28"/>
          <w:lang w:eastAsia="zh-CN"/>
        </w:rPr>
        <w:t>五</w:t>
      </w:r>
      <w:r>
        <w:rPr>
          <w:rFonts w:hint="eastAsia" w:cs="宋体"/>
          <w:b/>
          <w:bCs/>
          <w:color w:val="auto"/>
          <w:sz w:val="28"/>
          <w:szCs w:val="28"/>
        </w:rPr>
        <w:t>、招标清单中所有产品涉及到以下原材料的，均执行下述要求:</w:t>
      </w:r>
    </w:p>
    <w:p w14:paraId="21065910">
      <w:pPr>
        <w:pStyle w:val="20"/>
        <w:numPr>
          <w:ilvl w:val="0"/>
          <w:numId w:val="0"/>
        </w:numPr>
        <w:spacing w:line="360" w:lineRule="auto"/>
        <w:ind w:firstLine="480" w:firstLineChars="200"/>
        <w:rPr>
          <w:rFonts w:hint="eastAsia" w:ascii="宋体" w:hAnsi="宋体" w:eastAsia="宋体" w:cs="宋体"/>
          <w:b w:val="0"/>
          <w:bCs w:val="0"/>
          <w:color w:val="auto"/>
          <w:szCs w:val="24"/>
          <w:highlight w:val="none"/>
          <w:lang w:val="en-US" w:eastAsia="zh-CN"/>
        </w:rPr>
      </w:pPr>
      <w:r>
        <w:rPr>
          <w:rFonts w:hint="eastAsia" w:ascii="宋体" w:hAnsi="宋体" w:eastAsia="宋体" w:cs="宋体"/>
          <w:b w:val="0"/>
          <w:bCs w:val="0"/>
          <w:color w:val="auto"/>
          <w:szCs w:val="24"/>
          <w:highlight w:val="none"/>
          <w:lang w:eastAsia="zh-CN"/>
        </w:rPr>
        <w:t>包</w:t>
      </w:r>
      <w:r>
        <w:rPr>
          <w:rFonts w:hint="eastAsia" w:ascii="宋体" w:hAnsi="宋体" w:eastAsia="宋体" w:cs="宋体"/>
          <w:b w:val="0"/>
          <w:bCs w:val="0"/>
          <w:color w:val="auto"/>
          <w:szCs w:val="24"/>
          <w:highlight w:val="none"/>
          <w:lang w:val="en-US" w:eastAsia="zh-CN"/>
        </w:rPr>
        <w:t>1：</w:t>
      </w:r>
    </w:p>
    <w:p w14:paraId="2FF22466">
      <w:pPr>
        <w:pStyle w:val="20"/>
        <w:numPr>
          <w:ilvl w:val="0"/>
          <w:numId w:val="0"/>
        </w:numPr>
        <w:spacing w:line="360" w:lineRule="auto"/>
        <w:ind w:firstLine="480" w:firstLineChars="200"/>
        <w:rPr>
          <w:rFonts w:hint="eastAsia" w:cs="宋体"/>
          <w:b w:val="0"/>
          <w:bCs w:val="0"/>
          <w:color w:val="auto"/>
          <w:szCs w:val="24"/>
          <w:highlight w:val="none"/>
          <w:lang w:eastAsia="zh-CN"/>
        </w:rPr>
      </w:pPr>
      <w:r>
        <w:rPr>
          <w:rFonts w:hint="eastAsia" w:cs="宋体"/>
          <w:b w:val="0"/>
          <w:bCs w:val="0"/>
          <w:color w:val="auto"/>
          <w:szCs w:val="24"/>
          <w:highlight w:val="none"/>
          <w:lang w:eastAsia="zh-CN"/>
        </w:rPr>
        <w:t>（</w:t>
      </w:r>
      <w:r>
        <w:rPr>
          <w:rFonts w:hint="eastAsia" w:cs="宋体"/>
          <w:b w:val="0"/>
          <w:bCs w:val="0"/>
          <w:color w:val="auto"/>
          <w:szCs w:val="24"/>
          <w:highlight w:val="none"/>
          <w:lang w:val="en-US" w:eastAsia="zh-CN"/>
        </w:rPr>
        <w:t>一</w:t>
      </w:r>
      <w:r>
        <w:rPr>
          <w:rFonts w:hint="eastAsia" w:cs="宋体"/>
          <w:b w:val="0"/>
          <w:bCs w:val="0"/>
          <w:color w:val="auto"/>
          <w:szCs w:val="24"/>
          <w:highlight w:val="none"/>
          <w:lang w:eastAsia="zh-CN"/>
        </w:rPr>
        <w:t>）</w:t>
      </w:r>
      <w:r>
        <w:rPr>
          <w:rFonts w:hint="eastAsia" w:cs="宋体"/>
          <w:b w:val="0"/>
          <w:bCs w:val="0"/>
          <w:color w:val="auto"/>
          <w:szCs w:val="24"/>
          <w:highlight w:val="none"/>
          <w:lang w:val="en-US" w:eastAsia="zh-CN"/>
        </w:rPr>
        <w:t>钢管：</w:t>
      </w:r>
      <w:r>
        <w:rPr>
          <w:rFonts w:hint="eastAsia" w:cs="宋体"/>
          <w:b w:val="0"/>
          <w:bCs w:val="0"/>
          <w:color w:val="auto"/>
          <w:szCs w:val="24"/>
          <w:highlight w:val="none"/>
          <w:lang w:eastAsia="zh-CN"/>
        </w:rPr>
        <w:t>检测报告需符合QB/T 3826-1999《轻工产品金属镀层和化学处理层的耐腐蚀试验方法(NSS)法中性盐雾试验》</w:t>
      </w:r>
      <w:r>
        <w:rPr>
          <w:rFonts w:hint="eastAsia" w:cs="宋体"/>
          <w:b w:val="0"/>
          <w:bCs w:val="0"/>
          <w:color w:val="auto"/>
          <w:szCs w:val="24"/>
          <w:highlight w:val="none"/>
          <w:lang w:eastAsia="zh-CN"/>
        </w:rPr>
        <w:t>金属表面耐腐蚀-中性盐雾试验24h达到10级、乙酸盐雾试验24h达到10级。</w:t>
      </w:r>
      <w:r>
        <w:rPr>
          <w:rFonts w:hint="eastAsia" w:cs="宋体"/>
          <w:b w:val="0"/>
          <w:bCs w:val="0"/>
          <w:color w:val="auto"/>
          <w:szCs w:val="24"/>
          <w:highlight w:val="none"/>
          <w:lang w:eastAsia="zh-CN"/>
        </w:rPr>
        <w:br w:type="textWrapping"/>
      </w:r>
      <w:r>
        <w:rPr>
          <w:rFonts w:hint="eastAsia" w:cs="宋体"/>
          <w:b w:val="0"/>
          <w:bCs w:val="0"/>
          <w:color w:val="auto"/>
          <w:szCs w:val="24"/>
          <w:highlight w:val="none"/>
          <w:lang w:val="en-US" w:eastAsia="zh-CN"/>
        </w:rPr>
        <w:t xml:space="preserve">    </w:t>
      </w:r>
      <w:r>
        <w:rPr>
          <w:rFonts w:hint="eastAsia" w:cs="宋体"/>
          <w:b w:val="0"/>
          <w:bCs w:val="0"/>
          <w:color w:val="auto"/>
          <w:szCs w:val="24"/>
          <w:highlight w:val="none"/>
          <w:lang w:eastAsia="zh-CN"/>
        </w:rPr>
        <w:t>（</w:t>
      </w:r>
      <w:r>
        <w:rPr>
          <w:rFonts w:hint="eastAsia" w:cs="宋体"/>
          <w:b w:val="0"/>
          <w:bCs w:val="0"/>
          <w:color w:val="auto"/>
          <w:szCs w:val="24"/>
          <w:highlight w:val="none"/>
          <w:lang w:val="en-US" w:eastAsia="zh-CN"/>
        </w:rPr>
        <w:t>二</w:t>
      </w:r>
      <w:r>
        <w:rPr>
          <w:rFonts w:hint="eastAsia" w:cs="宋体"/>
          <w:b w:val="0"/>
          <w:bCs w:val="0"/>
          <w:color w:val="auto"/>
          <w:szCs w:val="24"/>
          <w:highlight w:val="none"/>
          <w:lang w:eastAsia="zh-CN"/>
        </w:rPr>
        <w:t>）</w:t>
      </w:r>
      <w:r>
        <w:rPr>
          <w:rFonts w:hint="eastAsia" w:cs="宋体"/>
          <w:b w:val="0"/>
          <w:bCs w:val="0"/>
          <w:color w:val="auto"/>
          <w:szCs w:val="24"/>
          <w:highlight w:val="none"/>
          <w:lang w:val="en-US" w:eastAsia="zh-CN"/>
        </w:rPr>
        <w:t>ENF级实木</w:t>
      </w:r>
      <w:r>
        <w:rPr>
          <w:rFonts w:hint="eastAsia" w:cs="宋体"/>
          <w:b w:val="0"/>
          <w:bCs w:val="0"/>
          <w:color w:val="auto"/>
          <w:szCs w:val="24"/>
          <w:highlight w:val="none"/>
          <w:lang w:eastAsia="zh-CN"/>
        </w:rPr>
        <w:t>多层板：检测报告需符合GB/T 39600-2021《人造板及共制品甲醛释放量分级》</w:t>
      </w:r>
      <w:r>
        <w:rPr>
          <w:rFonts w:hint="eastAsia" w:cs="宋体"/>
          <w:b w:val="0"/>
          <w:bCs w:val="0"/>
          <w:color w:val="auto"/>
          <w:szCs w:val="24"/>
          <w:highlight w:val="none"/>
          <w:lang w:val="en-US" w:eastAsia="zh-CN"/>
        </w:rPr>
        <w:t>甲醛释放含量≤0.025</w:t>
      </w:r>
      <w:r>
        <w:rPr>
          <w:rFonts w:hint="eastAsia" w:ascii="宋体" w:hAnsi="宋体" w:eastAsia="宋体" w:cs="宋体"/>
          <w:color w:val="auto"/>
          <w:kern w:val="2"/>
          <w:szCs w:val="24"/>
          <w:highlight w:val="none"/>
          <w:lang w:eastAsia="zh-CN"/>
        </w:rPr>
        <w:t>mg/m³</w:t>
      </w:r>
      <w:r>
        <w:rPr>
          <w:rFonts w:hint="eastAsia" w:cs="宋体"/>
          <w:b w:val="0"/>
          <w:bCs w:val="0"/>
          <w:color w:val="auto"/>
          <w:szCs w:val="24"/>
          <w:highlight w:val="none"/>
          <w:lang w:eastAsia="zh-CN"/>
        </w:rPr>
        <w:t>；</w:t>
      </w:r>
      <w:r>
        <w:rPr>
          <w:rFonts w:hint="eastAsia" w:cs="宋体"/>
          <w:b w:val="0"/>
          <w:bCs w:val="0"/>
          <w:color w:val="auto"/>
          <w:szCs w:val="24"/>
          <w:highlight w:val="none"/>
          <w:lang w:eastAsia="zh-CN"/>
        </w:rPr>
        <w:t>参照JC/T 2039-2010 或GB/T 24346-2009 防霉等级达到1级或更优级别。</w:t>
      </w:r>
    </w:p>
    <w:p w14:paraId="75602776">
      <w:pPr>
        <w:pStyle w:val="20"/>
        <w:numPr>
          <w:ilvl w:val="0"/>
          <w:numId w:val="0"/>
        </w:numPr>
        <w:spacing w:line="360" w:lineRule="auto"/>
        <w:ind w:firstLine="480" w:firstLineChars="200"/>
        <w:rPr>
          <w:rFonts w:hint="eastAsia" w:cs="宋体"/>
          <w:b w:val="0"/>
          <w:bCs w:val="0"/>
          <w:color w:val="auto"/>
          <w:szCs w:val="24"/>
          <w:highlight w:val="none"/>
          <w:lang w:eastAsia="zh-CN"/>
        </w:rPr>
      </w:pPr>
      <w:r>
        <w:rPr>
          <w:rFonts w:hint="eastAsia" w:cs="宋体"/>
          <w:b w:val="0"/>
          <w:bCs w:val="0"/>
          <w:color w:val="auto"/>
          <w:szCs w:val="24"/>
          <w:highlight w:val="none"/>
          <w:lang w:eastAsia="zh-CN"/>
        </w:rPr>
        <w:t>（</w:t>
      </w:r>
      <w:r>
        <w:rPr>
          <w:rFonts w:hint="eastAsia" w:cs="宋体"/>
          <w:b w:val="0"/>
          <w:bCs w:val="0"/>
          <w:color w:val="auto"/>
          <w:szCs w:val="24"/>
          <w:highlight w:val="none"/>
          <w:lang w:val="en-US" w:eastAsia="zh-CN"/>
        </w:rPr>
        <w:t>三</w:t>
      </w:r>
      <w:r>
        <w:rPr>
          <w:rFonts w:hint="eastAsia" w:cs="宋体"/>
          <w:b w:val="0"/>
          <w:bCs w:val="0"/>
          <w:color w:val="auto"/>
          <w:szCs w:val="24"/>
          <w:highlight w:val="none"/>
          <w:lang w:eastAsia="zh-CN"/>
        </w:rPr>
        <w:t>）封边条：检测报告需符合QB/T 4463-2013《家具用封边条技术要求》</w:t>
      </w:r>
      <w:r>
        <w:rPr>
          <w:rFonts w:hint="eastAsia" w:cs="宋体"/>
          <w:b w:val="0"/>
          <w:bCs w:val="0"/>
          <w:color w:val="auto"/>
          <w:szCs w:val="24"/>
          <w:highlight w:val="none"/>
          <w:lang w:val="en-US" w:eastAsia="zh-CN"/>
        </w:rPr>
        <w:t>甲醛释放含量未检出</w:t>
      </w:r>
      <w:r>
        <w:rPr>
          <w:rFonts w:hint="eastAsia" w:cs="宋体"/>
          <w:b w:val="0"/>
          <w:bCs w:val="0"/>
          <w:color w:val="auto"/>
          <w:szCs w:val="24"/>
          <w:highlight w:val="none"/>
          <w:lang w:eastAsia="zh-CN"/>
        </w:rPr>
        <w:t>；</w:t>
      </w:r>
      <w:r>
        <w:rPr>
          <w:rFonts w:hint="eastAsia" w:cs="宋体"/>
          <w:color w:val="auto"/>
          <w:highlight w:val="none"/>
          <w:lang w:val="en-US" w:eastAsia="zh-CN"/>
        </w:rPr>
        <w:t>阻燃</w:t>
      </w:r>
      <w:r>
        <w:rPr>
          <w:rFonts w:hint="eastAsia" w:cs="宋体"/>
          <w:b w:val="0"/>
          <w:bCs w:val="0"/>
          <w:color w:val="auto"/>
          <w:szCs w:val="24"/>
          <w:highlight w:val="none"/>
          <w:lang w:eastAsia="zh-CN"/>
        </w:rPr>
        <w:t>B2级或更优级别；GB/T32487-2016《塑料家具通用技术条件》</w:t>
      </w:r>
      <w:r>
        <w:rPr>
          <w:rFonts w:hint="eastAsia" w:cs="宋体"/>
          <w:b w:val="0"/>
          <w:bCs w:val="0"/>
          <w:color w:val="auto"/>
          <w:szCs w:val="24"/>
          <w:highlight w:val="none"/>
          <w:lang w:eastAsia="zh-CN"/>
        </w:rPr>
        <w:t>塑料件耐老化≥</w:t>
      </w:r>
      <w:r>
        <w:rPr>
          <w:rFonts w:hint="eastAsia" w:cs="宋体"/>
          <w:b w:val="0"/>
          <w:bCs w:val="0"/>
          <w:color w:val="auto"/>
          <w:szCs w:val="24"/>
          <w:highlight w:val="none"/>
          <w:lang w:val="en-US" w:eastAsia="zh-CN"/>
        </w:rPr>
        <w:t>24</w:t>
      </w:r>
      <w:r>
        <w:rPr>
          <w:rFonts w:hint="eastAsia" w:cs="宋体"/>
          <w:b w:val="0"/>
          <w:bCs w:val="0"/>
          <w:color w:val="auto"/>
          <w:szCs w:val="24"/>
          <w:highlight w:val="none"/>
          <w:lang w:eastAsia="zh-CN"/>
        </w:rPr>
        <w:t>0h。</w:t>
      </w:r>
    </w:p>
    <w:p w14:paraId="74A6664A">
      <w:pPr>
        <w:pStyle w:val="20"/>
        <w:numPr>
          <w:ilvl w:val="0"/>
          <w:numId w:val="0"/>
        </w:numPr>
        <w:spacing w:line="360" w:lineRule="auto"/>
        <w:ind w:firstLine="480" w:firstLineChars="200"/>
        <w:rPr>
          <w:rFonts w:hint="eastAsia" w:cs="宋体"/>
          <w:b w:val="0"/>
          <w:bCs w:val="0"/>
          <w:color w:val="auto"/>
          <w:szCs w:val="24"/>
          <w:highlight w:val="none"/>
          <w:lang w:eastAsia="zh-CN"/>
        </w:rPr>
      </w:pPr>
      <w:r>
        <w:rPr>
          <w:rFonts w:hint="eastAsia" w:cs="宋体"/>
          <w:b w:val="0"/>
          <w:bCs w:val="0"/>
          <w:color w:val="auto"/>
          <w:szCs w:val="24"/>
          <w:highlight w:val="none"/>
          <w:lang w:val="en-US" w:eastAsia="zh-CN"/>
        </w:rPr>
        <w:t>（四）</w:t>
      </w:r>
      <w:r>
        <w:rPr>
          <w:rFonts w:hint="eastAsia" w:cs="宋体"/>
          <w:b w:val="0"/>
          <w:bCs w:val="0"/>
          <w:color w:val="auto"/>
          <w:szCs w:val="24"/>
          <w:highlight w:val="none"/>
          <w:lang w:val="en-US" w:eastAsia="zh-CN"/>
        </w:rPr>
        <w:t>拉手：</w:t>
      </w:r>
      <w:r>
        <w:rPr>
          <w:rFonts w:hint="eastAsia" w:cs="宋体"/>
          <w:b w:val="0"/>
          <w:bCs w:val="0"/>
          <w:color w:val="auto"/>
          <w:szCs w:val="24"/>
          <w:highlight w:val="none"/>
          <w:lang w:eastAsia="zh-CN"/>
        </w:rPr>
        <w:t>检测报告需符合QB/T 3826-1999 《轻工产品金属镀层和化学处理层的耐腐蚀试验方法(NSS)法中性盐雾试验》金属表面耐腐蚀-中性盐雾试验24h达到10级、乙酸盐雾试验24h达到10级；GB/T 32487-2016《塑料家具通用技术条件》塑料件耐老化达≥</w:t>
      </w:r>
      <w:r>
        <w:rPr>
          <w:rFonts w:hint="eastAsia" w:cs="宋体"/>
          <w:b w:val="0"/>
          <w:bCs w:val="0"/>
          <w:color w:val="auto"/>
          <w:szCs w:val="24"/>
          <w:highlight w:val="none"/>
          <w:lang w:val="en-US" w:eastAsia="zh-CN"/>
        </w:rPr>
        <w:t>24</w:t>
      </w:r>
      <w:r>
        <w:rPr>
          <w:rFonts w:hint="eastAsia" w:cs="宋体"/>
          <w:b w:val="0"/>
          <w:bCs w:val="0"/>
          <w:color w:val="auto"/>
          <w:szCs w:val="24"/>
          <w:highlight w:val="none"/>
          <w:lang w:eastAsia="zh-CN"/>
        </w:rPr>
        <w:t>0h。</w:t>
      </w:r>
    </w:p>
    <w:p w14:paraId="6714399A">
      <w:pPr>
        <w:pStyle w:val="20"/>
        <w:numPr>
          <w:ilvl w:val="0"/>
          <w:numId w:val="0"/>
        </w:numPr>
        <w:spacing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（五）阻尼导轨：符合QB/T 2454-2013《家具五金抽屉导轨》，其中耐久性不小于10万次、垂直静载荷、水平静载荷均合格。金属表面耐腐蚀-中性盐雾试验24h达到10级、乙酸盐雾试验24h达到10级。</w:t>
      </w:r>
    </w:p>
    <w:p w14:paraId="57EFE150">
      <w:pPr>
        <w:pStyle w:val="20"/>
        <w:numPr>
          <w:ilvl w:val="0"/>
          <w:numId w:val="0"/>
        </w:numPr>
        <w:ind w:firstLine="480" w:firstLineChars="200"/>
        <w:rPr>
          <w:rFonts w:hint="eastAsia" w:cs="宋体"/>
          <w:color w:val="auto"/>
          <w:highlight w:val="none"/>
        </w:rPr>
      </w:pPr>
      <w:r>
        <w:rPr>
          <w:rFonts w:hint="eastAsia" w:ascii="宋体" w:hAnsi="宋体" w:eastAsia="宋体" w:cs="宋体"/>
          <w:b w:val="0"/>
          <w:bCs w:val="0"/>
          <w:color w:val="auto"/>
          <w:kern w:val="2"/>
          <w:sz w:val="24"/>
          <w:szCs w:val="24"/>
          <w:highlight w:val="none"/>
          <w:lang w:val="en-US" w:eastAsia="zh-CN" w:bidi="ar-SA"/>
        </w:rPr>
        <w:t>（</w:t>
      </w:r>
      <w:r>
        <w:rPr>
          <w:rFonts w:hint="eastAsia" w:cs="宋体"/>
          <w:b w:val="0"/>
          <w:bCs w:val="0"/>
          <w:color w:val="auto"/>
          <w:kern w:val="2"/>
          <w:sz w:val="24"/>
          <w:szCs w:val="24"/>
          <w:highlight w:val="none"/>
          <w:lang w:val="en-US" w:eastAsia="zh-CN" w:bidi="ar-SA"/>
        </w:rPr>
        <w:t>六</w:t>
      </w:r>
      <w:r>
        <w:rPr>
          <w:rFonts w:hint="eastAsia" w:ascii="宋体" w:hAnsi="宋体" w:eastAsia="宋体" w:cs="宋体"/>
          <w:b w:val="0"/>
          <w:bCs w:val="0"/>
          <w:color w:val="auto"/>
          <w:kern w:val="2"/>
          <w:sz w:val="24"/>
          <w:szCs w:val="24"/>
          <w:highlight w:val="none"/>
          <w:lang w:val="en-US" w:eastAsia="zh-CN" w:bidi="ar-SA"/>
        </w:rPr>
        <w:t>）阻尼铰链：</w:t>
      </w:r>
      <w:r>
        <w:rPr>
          <w:rFonts w:hint="eastAsia" w:cs="宋体"/>
          <w:color w:val="auto"/>
          <w:highlight w:val="none"/>
        </w:rPr>
        <w:t>符合QB/T 2189-2013</w:t>
      </w:r>
      <w:r>
        <w:rPr>
          <w:rFonts w:hint="eastAsia" w:cs="宋体"/>
          <w:color w:val="auto"/>
          <w:highlight w:val="none"/>
          <w:lang w:eastAsia="zh-CN"/>
        </w:rPr>
        <w:t>《</w:t>
      </w:r>
      <w:r>
        <w:rPr>
          <w:rFonts w:hint="eastAsia" w:cs="宋体"/>
          <w:color w:val="auto"/>
          <w:highlight w:val="none"/>
        </w:rPr>
        <w:t>家具五金 杯状暗铰链</w:t>
      </w:r>
      <w:r>
        <w:rPr>
          <w:rFonts w:hint="eastAsia" w:cs="宋体"/>
          <w:color w:val="auto"/>
          <w:highlight w:val="none"/>
          <w:lang w:eastAsia="zh-CN"/>
        </w:rPr>
        <w:t>》</w:t>
      </w:r>
      <w:r>
        <w:rPr>
          <w:rFonts w:hint="eastAsia" w:cs="宋体"/>
          <w:color w:val="auto"/>
          <w:highlight w:val="none"/>
        </w:rPr>
        <w:t>，其中耐久性不小于10万次、垂直静载荷、水平静载荷均合格。金属表面耐腐蚀-中性盐雾试验24h达到10级、乙酸盐雾试验24h达到10级。</w:t>
      </w:r>
    </w:p>
    <w:p w14:paraId="14B71296">
      <w:pPr>
        <w:pStyle w:val="20"/>
        <w:numPr>
          <w:ilvl w:val="0"/>
          <w:numId w:val="0"/>
        </w:numPr>
        <w:ind w:firstLine="480" w:firstLineChars="200"/>
        <w:rPr>
          <w:rFonts w:hint="eastAsia" w:cs="宋体"/>
          <w:b w:val="0"/>
          <w:bCs w:val="0"/>
          <w:color w:val="auto"/>
          <w:kern w:val="2"/>
          <w:sz w:val="24"/>
          <w:szCs w:val="24"/>
          <w:highlight w:val="none"/>
          <w:lang w:val="en-US" w:eastAsia="zh-CN" w:bidi="ar-SA"/>
        </w:rPr>
      </w:pPr>
      <w:r>
        <w:rPr>
          <w:rFonts w:hint="eastAsia" w:cs="宋体"/>
          <w:color w:val="auto"/>
          <w:highlight w:val="none"/>
          <w:lang w:eastAsia="zh-CN"/>
        </w:rPr>
        <w:t>（</w:t>
      </w:r>
      <w:r>
        <w:rPr>
          <w:rFonts w:hint="eastAsia" w:cs="宋体"/>
          <w:color w:val="auto"/>
          <w:highlight w:val="none"/>
          <w:lang w:val="en-US" w:eastAsia="zh-CN"/>
        </w:rPr>
        <w:t>七</w:t>
      </w:r>
      <w:r>
        <w:rPr>
          <w:rFonts w:hint="eastAsia" w:cs="宋体"/>
          <w:color w:val="auto"/>
          <w:highlight w:val="none"/>
          <w:lang w:eastAsia="zh-CN"/>
        </w:rPr>
        <w:t>）</w:t>
      </w:r>
      <w:r>
        <w:rPr>
          <w:rFonts w:hint="eastAsia" w:ascii="宋体" w:hAnsi="宋体" w:eastAsia="宋体" w:cs="宋体"/>
          <w:b w:val="0"/>
          <w:bCs w:val="0"/>
          <w:color w:val="auto"/>
          <w:kern w:val="2"/>
          <w:sz w:val="24"/>
          <w:szCs w:val="24"/>
          <w:highlight w:val="none"/>
          <w:lang w:val="en-US" w:eastAsia="zh-CN" w:bidi="ar-SA"/>
        </w:rPr>
        <w:t>PP塑料板：检测报告需符合燃烧性能B1级、GB/T32487-2016塑料件耐老化不小于240h、GB/T 20285—2006产烟毒性危险分级达到ZA2级或更优级别</w:t>
      </w:r>
      <w:r>
        <w:rPr>
          <w:rFonts w:hint="eastAsia" w:cs="宋体"/>
          <w:b w:val="0"/>
          <w:bCs w:val="0"/>
          <w:color w:val="auto"/>
          <w:kern w:val="2"/>
          <w:sz w:val="24"/>
          <w:szCs w:val="24"/>
          <w:highlight w:val="none"/>
          <w:lang w:val="en-US" w:eastAsia="zh-CN" w:bidi="ar-SA"/>
        </w:rPr>
        <w:t>。</w:t>
      </w:r>
    </w:p>
    <w:p w14:paraId="75A5A7CC">
      <w:pPr>
        <w:pStyle w:val="20"/>
        <w:ind w:firstLine="482" w:firstLineChars="200"/>
        <w:rPr>
          <w:rFonts w:hint="eastAsia" w:ascii="宋体" w:hAnsi="宋体" w:eastAsia="宋体" w:cs="宋体"/>
          <w:b/>
          <w:bCs/>
          <w:color w:val="auto"/>
          <w:kern w:val="2"/>
          <w:sz w:val="24"/>
          <w:szCs w:val="24"/>
          <w:highlight w:val="none"/>
          <w:lang w:val="en-US" w:eastAsia="zh-CN" w:bidi="ar-SA"/>
        </w:rPr>
      </w:pPr>
    </w:p>
    <w:p w14:paraId="7984E6EE">
      <w:pPr>
        <w:pStyle w:val="20"/>
        <w:ind w:firstLine="482" w:firstLineChars="200"/>
        <w:rPr>
          <w:rFonts w:hint="eastAsia" w:ascii="宋体" w:hAnsi="宋体" w:eastAsia="宋体" w:cs="宋体"/>
          <w:b/>
          <w:bCs/>
          <w:color w:val="auto"/>
          <w:kern w:val="2"/>
          <w:sz w:val="24"/>
          <w:szCs w:val="24"/>
          <w:highlight w:val="none"/>
          <w:lang w:val="en-US" w:eastAsia="zh-CN" w:bidi="ar-SA"/>
        </w:rPr>
      </w:pPr>
    </w:p>
    <w:p w14:paraId="4630F4C7">
      <w:pPr>
        <w:pStyle w:val="20"/>
        <w:ind w:firstLine="482" w:firstLineChars="200"/>
        <w:rPr>
          <w:rFonts w:hint="default" w:cs="宋体"/>
          <w:b/>
          <w:bCs/>
          <w:lang w:val="en-US"/>
        </w:rPr>
      </w:pPr>
      <w:r>
        <w:rPr>
          <w:rFonts w:hint="eastAsia" w:ascii="宋体" w:hAnsi="宋体" w:eastAsia="宋体" w:cs="宋体"/>
          <w:b/>
          <w:bCs/>
          <w:color w:val="auto"/>
          <w:kern w:val="2"/>
          <w:sz w:val="24"/>
          <w:szCs w:val="24"/>
          <w:highlight w:val="none"/>
          <w:lang w:val="en-US" w:eastAsia="zh-CN" w:bidi="ar-SA"/>
        </w:rPr>
        <w:t>包2:</w:t>
      </w:r>
    </w:p>
    <w:p w14:paraId="1A64B138">
      <w:pPr>
        <w:spacing w:line="360" w:lineRule="auto"/>
        <w:ind w:firstLine="420"/>
        <w:rPr>
          <w:rStyle w:val="15"/>
          <w:rFonts w:hint="eastAsia" w:ascii="宋体" w:hAnsi="宋体" w:eastAsia="宋体" w:cs="宋体"/>
          <w:b w:val="0"/>
          <w:bCs w:val="0"/>
          <w:i w:val="0"/>
          <w:color w:val="auto"/>
          <w:sz w:val="24"/>
          <w:szCs w:val="24"/>
          <w:highlight w:val="none"/>
          <w:shd w:val="clear" w:color="auto" w:fill="FFFFFF"/>
          <w:lang w:eastAsia="zh-CN"/>
        </w:rPr>
      </w:pPr>
      <w:r>
        <w:rPr>
          <w:rFonts w:hint="eastAsia" w:ascii="宋体" w:hAnsi="宋体" w:eastAsia="宋体" w:cs="宋体"/>
          <w:sz w:val="24"/>
          <w:szCs w:val="24"/>
        </w:rPr>
        <w:t>（一）ENF级实木多层板</w:t>
      </w:r>
      <w:r>
        <w:rPr>
          <w:rFonts w:hint="eastAsia" w:ascii="宋体" w:hAnsi="宋体" w:eastAsia="宋体" w:cs="宋体"/>
          <w:szCs w:val="24"/>
        </w:rPr>
        <w:t>：</w:t>
      </w:r>
      <w:r>
        <w:rPr>
          <w:rFonts w:hint="eastAsia" w:ascii="宋体" w:hAnsi="宋体" w:eastAsia="宋体" w:cs="宋体"/>
          <w:sz w:val="24"/>
        </w:rPr>
        <w:t>依据GB/T 39600-2021《人造板及其制品</w:t>
      </w:r>
      <w:r>
        <w:rPr>
          <w:rFonts w:hint="eastAsia" w:ascii="宋体" w:hAnsi="宋体" w:eastAsia="宋体" w:cs="宋体"/>
          <w:color w:val="auto"/>
          <w:sz w:val="24"/>
          <w:szCs w:val="24"/>
          <w:highlight w:val="none"/>
        </w:rPr>
        <w:t>甲醛释放量分级》甲醛释放量：≤ 0.025mg/m³，</w:t>
      </w:r>
      <w:r>
        <w:rPr>
          <w:rFonts w:hint="eastAsia" w:ascii="宋体" w:hAnsi="宋体" w:eastAsia="宋体" w:cs="宋体"/>
          <w:color w:val="auto"/>
          <w:sz w:val="24"/>
          <w:szCs w:val="24"/>
          <w:highlight w:val="none"/>
          <w:lang w:val="en-US" w:eastAsia="zh-CN"/>
        </w:rPr>
        <w:t>依据</w:t>
      </w:r>
      <w:r>
        <w:rPr>
          <w:rFonts w:hint="eastAsia" w:ascii="宋体" w:hAnsi="宋体" w:eastAsia="宋体" w:cs="宋体"/>
          <w:color w:val="auto"/>
          <w:sz w:val="24"/>
          <w:szCs w:val="24"/>
          <w:highlight w:val="none"/>
        </w:rPr>
        <w:t>HJ571-2010《环境标志产品技术要求人造板及其制品》，总挥发性有机化合物(TVOC)的释放率</w:t>
      </w:r>
      <w:r>
        <w:rPr>
          <w:rStyle w:val="15"/>
          <w:rFonts w:hint="eastAsia" w:ascii="宋体" w:hAnsi="宋体" w:eastAsia="宋体" w:cs="宋体"/>
          <w:b w:val="0"/>
          <w:bCs w:val="0"/>
          <w:i w:val="0"/>
          <w:color w:val="auto"/>
          <w:sz w:val="24"/>
          <w:szCs w:val="24"/>
          <w:highlight w:val="none"/>
          <w:shd w:val="clear" w:color="auto" w:fill="FFFFFF"/>
          <w:lang w:eastAsia="zh-CN"/>
        </w:rPr>
        <w:t>≤ 0.5mg/(m²·h)（72h）。</w:t>
      </w:r>
    </w:p>
    <w:p w14:paraId="2C54E310">
      <w:pPr>
        <w:pStyle w:val="20"/>
        <w:ind w:firstLine="420"/>
        <w:rPr>
          <w:rFonts w:hint="eastAsia" w:cs="宋体"/>
          <w:color w:val="auto"/>
          <w:highlight w:val="none"/>
        </w:rPr>
      </w:pPr>
      <w:r>
        <w:rPr>
          <w:rFonts w:hint="eastAsia" w:cs="宋体"/>
          <w:color w:val="auto"/>
          <w:highlight w:val="none"/>
        </w:rPr>
        <w:t>（二）</w:t>
      </w:r>
      <w:r>
        <w:rPr>
          <w:rFonts w:hint="eastAsia" w:cs="宋体"/>
          <w:color w:val="auto"/>
          <w:highlight w:val="none"/>
        </w:rPr>
        <w:t>ENF级刨花板</w:t>
      </w:r>
      <w:r>
        <w:rPr>
          <w:rFonts w:hint="eastAsia" w:cs="宋体"/>
          <w:color w:val="auto"/>
          <w:highlight w:val="none"/>
        </w:rPr>
        <w:t>：依据GB/T 39600-2021《人造板及其制品甲醛释放量分级》甲醛释放量：≤ 0.025mg/m³</w:t>
      </w:r>
    </w:p>
    <w:p w14:paraId="6AD1BA7D">
      <w:pPr>
        <w:pStyle w:val="20"/>
        <w:ind w:firstLine="420"/>
        <w:rPr>
          <w:rFonts w:hint="eastAsia" w:cs="宋体"/>
          <w:color w:val="auto"/>
          <w:highlight w:val="none"/>
        </w:rPr>
      </w:pPr>
      <w:r>
        <w:rPr>
          <w:rFonts w:hint="eastAsia" w:cs="宋体"/>
          <w:color w:val="auto"/>
          <w:highlight w:val="none"/>
        </w:rPr>
        <w:t>（三）阻尼铰链：符合QB/T 2189-2013</w:t>
      </w:r>
      <w:r>
        <w:rPr>
          <w:rFonts w:hint="eastAsia" w:cs="宋体"/>
          <w:color w:val="auto"/>
          <w:highlight w:val="none"/>
          <w:lang w:eastAsia="zh-CN"/>
        </w:rPr>
        <w:t>《</w:t>
      </w:r>
      <w:r>
        <w:rPr>
          <w:rFonts w:hint="eastAsia" w:cs="宋体"/>
          <w:color w:val="auto"/>
          <w:highlight w:val="none"/>
        </w:rPr>
        <w:t>家具五金 杯状暗铰链</w:t>
      </w:r>
      <w:r>
        <w:rPr>
          <w:rFonts w:hint="eastAsia" w:cs="宋体"/>
          <w:color w:val="auto"/>
          <w:highlight w:val="none"/>
          <w:lang w:eastAsia="zh-CN"/>
        </w:rPr>
        <w:t>》</w:t>
      </w:r>
      <w:r>
        <w:rPr>
          <w:rFonts w:hint="eastAsia" w:cs="宋体"/>
          <w:color w:val="auto"/>
          <w:highlight w:val="none"/>
        </w:rPr>
        <w:t>，其中耐久性不小于10万次、垂直静载荷、水平静载荷均合格。金属表面耐腐蚀-中性盐雾试验24h达到10级、乙酸盐雾试验24h达到10级。</w:t>
      </w:r>
    </w:p>
    <w:p w14:paraId="0BED0A02">
      <w:pPr>
        <w:pStyle w:val="20"/>
        <w:ind w:firstLine="420"/>
        <w:rPr>
          <w:rFonts w:hint="eastAsia" w:cs="宋体"/>
          <w:color w:val="auto"/>
          <w:highlight w:val="none"/>
        </w:rPr>
      </w:pPr>
      <w:r>
        <w:rPr>
          <w:rFonts w:hint="eastAsia" w:cs="宋体"/>
          <w:color w:val="auto"/>
          <w:highlight w:val="none"/>
        </w:rPr>
        <w:t>（四）阻尼导轨：符合QB/T 2454-2013</w:t>
      </w:r>
      <w:r>
        <w:rPr>
          <w:rFonts w:hint="eastAsia" w:cs="宋体"/>
          <w:color w:val="auto"/>
          <w:highlight w:val="none"/>
          <w:lang w:eastAsia="zh-CN"/>
        </w:rPr>
        <w:t>《家具五金抽屉导轨》</w:t>
      </w:r>
      <w:r>
        <w:rPr>
          <w:rFonts w:hint="eastAsia" w:cs="宋体"/>
          <w:color w:val="auto"/>
          <w:highlight w:val="none"/>
        </w:rPr>
        <w:t>，其中耐久性不小于10万次、垂直静载荷、水平静载荷均合格。金属表面耐腐蚀-中性盐雾试验24h达到10级、乙酸盐雾试验24h达到10级。</w:t>
      </w:r>
    </w:p>
    <w:p w14:paraId="767D407E">
      <w:pPr>
        <w:pStyle w:val="20"/>
        <w:ind w:firstLine="420"/>
        <w:rPr>
          <w:rFonts w:hint="eastAsia" w:eastAsia="宋体" w:cs="宋体"/>
          <w:b w:val="0"/>
          <w:bCs w:val="0"/>
          <w:color w:val="auto"/>
          <w:highlight w:val="none"/>
          <w:lang w:eastAsia="zh-CN"/>
        </w:rPr>
      </w:pPr>
      <w:r>
        <w:rPr>
          <w:rFonts w:hint="eastAsia" w:cs="宋体"/>
          <w:color w:val="auto"/>
          <w:highlight w:val="none"/>
        </w:rPr>
        <w:t>（五）三合一连接件：符合GB/T 28203-2011</w:t>
      </w:r>
      <w:r>
        <w:rPr>
          <w:rFonts w:hint="eastAsia" w:cs="宋体"/>
          <w:color w:val="auto"/>
          <w:highlight w:val="none"/>
          <w:lang w:eastAsia="zh-CN"/>
        </w:rPr>
        <w:t>《家具用连接件技术要求及试验方法》</w:t>
      </w:r>
      <w:r>
        <w:rPr>
          <w:rFonts w:hint="eastAsia" w:cs="宋体"/>
          <w:color w:val="auto"/>
          <w:highlight w:val="none"/>
        </w:rPr>
        <w:t>，其中三合一偏心连接件偏心体抗压强度≥280N，预埋螺母抗拉强度应 ≥600N，连接螺杆螺纹与预埋螺母的抗拉强度应 ≥800N，偏心体与连接螺杆的扭矩≥10N·m。</w:t>
      </w:r>
    </w:p>
    <w:p w14:paraId="15F20FB4">
      <w:pPr>
        <w:pStyle w:val="20"/>
        <w:ind w:firstLine="420"/>
        <w:rPr>
          <w:rFonts w:hint="eastAsia" w:cs="宋体"/>
          <w:color w:val="auto"/>
          <w:highlight w:val="none"/>
        </w:rPr>
      </w:pPr>
      <w:r>
        <w:rPr>
          <w:rFonts w:hint="eastAsia" w:cs="宋体"/>
          <w:color w:val="auto"/>
          <w:highlight w:val="none"/>
        </w:rPr>
        <w:t>（六）锁具：符合QB/T 3832-1999、QB/T 3826-1999、QB/T 3827-1999，其中金属表面耐腐蚀-中性盐雾试验12h达到10级、乙酸盐雾试验12h达到10级。</w:t>
      </w:r>
    </w:p>
    <w:p w14:paraId="403ABF5D">
      <w:pPr>
        <w:pStyle w:val="20"/>
        <w:ind w:firstLine="420"/>
        <w:rPr>
          <w:rFonts w:hint="eastAsia" w:cs="宋体"/>
          <w:color w:val="auto"/>
          <w:highlight w:val="none"/>
        </w:rPr>
      </w:pPr>
      <w:r>
        <w:rPr>
          <w:rFonts w:hint="eastAsia" w:cs="宋体"/>
          <w:color w:val="auto"/>
          <w:highlight w:val="none"/>
        </w:rPr>
        <w:t>（七）钢管：符合QB/T 3826-1999《轻工产品金属镀层和化学处理层的耐腐蚀试验方法中性盐雾试验（NSS）法》其中连续喷雾24H镀层基本保护等级达到10级。</w:t>
      </w:r>
    </w:p>
    <w:p w14:paraId="182C1F18">
      <w:pPr>
        <w:pStyle w:val="20"/>
        <w:numPr>
          <w:ilvl w:val="0"/>
          <w:numId w:val="0"/>
        </w:numPr>
        <w:ind w:firstLine="480" w:firstLineChars="200"/>
        <w:rPr>
          <w:rFonts w:hint="eastAsia" w:cs="宋体"/>
          <w:color w:val="auto"/>
          <w:highlight w:val="none"/>
        </w:rPr>
      </w:pPr>
      <w:r>
        <w:rPr>
          <w:rFonts w:hint="eastAsia" w:cs="宋体"/>
          <w:color w:val="auto"/>
          <w:highlight w:val="none"/>
        </w:rPr>
        <w:t>（八）封边胶：依据GB/T 33372-2020《胶粘剂挥发性有机化合物限量标准》胶粘剂VOC含量限量聚氨酯类≤50g/L。</w:t>
      </w:r>
    </w:p>
    <w:p w14:paraId="794934DE">
      <w:pPr>
        <w:pStyle w:val="20"/>
        <w:ind w:firstLine="480" w:firstLineChars="200"/>
        <w:rPr>
          <w:rFonts w:hint="eastAsia" w:eastAsia="宋体" w:cs="宋体"/>
          <w:b w:val="0"/>
          <w:bCs w:val="0"/>
          <w:color w:val="auto"/>
          <w:highlight w:val="none"/>
          <w:lang w:eastAsia="zh-CN"/>
        </w:rPr>
      </w:pPr>
      <w:r>
        <w:rPr>
          <w:rFonts w:hint="eastAsia" w:cs="宋体"/>
          <w:color w:val="auto"/>
          <w:highlight w:val="none"/>
        </w:rPr>
        <w:t>(九) 塑粉：依据GB 30981-2020《工业防护涂料中有害物质限量》，</w:t>
      </w:r>
      <w:r>
        <w:rPr>
          <w:rFonts w:hint="eastAsia" w:cs="宋体"/>
          <w:b w:val="0"/>
          <w:bCs w:val="0"/>
          <w:color w:val="auto"/>
          <w:highlight w:val="none"/>
          <w:lang w:eastAsia="zh-CN"/>
        </w:rPr>
        <w:t>涂料中可溶性有害元素含量的测定结果如下：铅、镉、铬、汞：均未检出。</w:t>
      </w:r>
    </w:p>
    <w:p w14:paraId="0698356F">
      <w:pPr>
        <w:pStyle w:val="6"/>
        <w:spacing w:before="120" w:line="360" w:lineRule="auto"/>
        <w:ind w:left="0" w:firstLine="0" w:firstLineChars="0"/>
        <w:outlineLvl w:val="6"/>
        <w:rPr>
          <w:rFonts w:hint="eastAsia"/>
          <w:b/>
          <w:bCs/>
          <w:spacing w:val="-4"/>
          <w:sz w:val="21"/>
          <w:szCs w:val="21"/>
          <w:lang w:eastAsia="zh-CN"/>
        </w:rPr>
      </w:pPr>
    </w:p>
    <w:p w14:paraId="275E3795">
      <w:pPr>
        <w:pStyle w:val="6"/>
        <w:spacing w:before="120" w:line="360" w:lineRule="auto"/>
        <w:ind w:left="0" w:firstLine="0" w:firstLineChars="0"/>
        <w:outlineLvl w:val="6"/>
        <w:rPr>
          <w:rFonts w:hint="eastAsia"/>
          <w:b/>
          <w:bCs/>
          <w:spacing w:val="-4"/>
          <w:sz w:val="21"/>
          <w:szCs w:val="21"/>
          <w:lang w:eastAsia="zh-CN"/>
        </w:rPr>
      </w:pPr>
    </w:p>
    <w:p w14:paraId="2CF3AE43">
      <w:pPr>
        <w:pStyle w:val="6"/>
        <w:spacing w:before="120" w:line="360" w:lineRule="auto"/>
        <w:ind w:left="0" w:firstLine="0" w:firstLineChars="0"/>
        <w:outlineLvl w:val="6"/>
        <w:rPr>
          <w:rFonts w:hint="eastAsia"/>
          <w:b/>
          <w:bCs/>
          <w:spacing w:val="-4"/>
          <w:sz w:val="21"/>
          <w:szCs w:val="21"/>
          <w:lang w:eastAsia="zh-CN"/>
        </w:rPr>
      </w:pPr>
    </w:p>
    <w:p w14:paraId="785122DF">
      <w:pPr>
        <w:pStyle w:val="6"/>
        <w:spacing w:before="120" w:line="360" w:lineRule="auto"/>
        <w:ind w:left="0" w:firstLine="0" w:firstLineChars="0"/>
        <w:outlineLvl w:val="6"/>
        <w:rPr>
          <w:rFonts w:hint="eastAsia"/>
          <w:b/>
          <w:bCs/>
          <w:spacing w:val="-4"/>
          <w:sz w:val="21"/>
          <w:szCs w:val="21"/>
          <w:lang w:eastAsia="zh-CN"/>
        </w:rPr>
      </w:pPr>
    </w:p>
    <w:p w14:paraId="42540AEA">
      <w:pPr>
        <w:pStyle w:val="6"/>
        <w:spacing w:before="120" w:line="360" w:lineRule="auto"/>
        <w:ind w:left="0" w:firstLine="0" w:firstLineChars="0"/>
        <w:outlineLvl w:val="6"/>
        <w:rPr>
          <w:rFonts w:hint="eastAsia"/>
          <w:b/>
          <w:bCs/>
          <w:color w:val="auto"/>
          <w:spacing w:val="0"/>
          <w:sz w:val="28"/>
          <w:szCs w:val="28"/>
          <w:lang w:eastAsia="zh-CN"/>
        </w:rPr>
      </w:pPr>
    </w:p>
    <w:p w14:paraId="608555FA">
      <w:pPr>
        <w:pStyle w:val="6"/>
        <w:spacing w:before="120" w:line="360" w:lineRule="auto"/>
        <w:ind w:left="0" w:firstLine="0" w:firstLineChars="0"/>
        <w:outlineLvl w:val="6"/>
        <w:rPr>
          <w:rFonts w:hint="eastAsia"/>
          <w:b/>
          <w:bCs/>
          <w:color w:val="auto"/>
          <w:spacing w:val="0"/>
          <w:sz w:val="28"/>
          <w:szCs w:val="28"/>
          <w:lang w:eastAsia="zh-CN"/>
        </w:rPr>
      </w:pPr>
      <w:bookmarkStart w:id="5" w:name="_GoBack"/>
      <w:bookmarkEnd w:id="5"/>
      <w:r>
        <w:rPr>
          <w:rFonts w:hint="eastAsia"/>
          <w:b/>
          <w:bCs/>
          <w:color w:val="auto"/>
          <w:spacing w:val="0"/>
          <w:sz w:val="28"/>
          <w:szCs w:val="28"/>
          <w:lang w:eastAsia="zh-CN"/>
        </w:rPr>
        <w:t>六、供货及验收</w:t>
      </w:r>
    </w:p>
    <w:p w14:paraId="79B9C9C8">
      <w:pPr>
        <w:spacing w:line="360" w:lineRule="auto"/>
        <w:rPr>
          <w:rFonts w:ascii="宋体" w:hAnsi="宋体" w:eastAsia="宋体" w:cs="宋体"/>
          <w:lang w:eastAsia="zh-CN"/>
        </w:rPr>
      </w:pPr>
    </w:p>
    <w:tbl>
      <w:tblPr>
        <w:tblStyle w:val="25"/>
        <w:tblW w:w="18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43"/>
        <w:gridCol w:w="14747"/>
      </w:tblGrid>
      <w:tr w14:paraId="38185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tcPr>
          <w:p w14:paraId="031570E7">
            <w:pPr>
              <w:pStyle w:val="24"/>
              <w:spacing w:before="190" w:line="360" w:lineRule="auto"/>
              <w:jc w:val="center"/>
              <w:rPr>
                <w:b/>
                <w:bCs/>
                <w:sz w:val="21"/>
                <w:szCs w:val="21"/>
              </w:rPr>
            </w:pPr>
            <w:r>
              <w:rPr>
                <w:rFonts w:hint="eastAsia"/>
                <w:b/>
                <w:bCs/>
                <w:spacing w:val="-10"/>
                <w:sz w:val="21"/>
                <w:szCs w:val="21"/>
              </w:rPr>
              <w:t>分类</w:t>
            </w:r>
          </w:p>
        </w:tc>
        <w:tc>
          <w:tcPr>
            <w:tcW w:w="14747" w:type="dxa"/>
          </w:tcPr>
          <w:p w14:paraId="58A61764">
            <w:pPr>
              <w:pStyle w:val="24"/>
              <w:spacing w:before="190" w:line="360" w:lineRule="auto"/>
              <w:ind w:left="5471"/>
              <w:rPr>
                <w:b/>
                <w:bCs/>
                <w:sz w:val="21"/>
                <w:szCs w:val="21"/>
              </w:rPr>
            </w:pPr>
            <w:r>
              <w:rPr>
                <w:rFonts w:hint="eastAsia"/>
                <w:b/>
                <w:bCs/>
                <w:spacing w:val="-30"/>
                <w:sz w:val="21"/>
                <w:szCs w:val="21"/>
              </w:rPr>
              <w:t>内容</w:t>
            </w:r>
          </w:p>
        </w:tc>
      </w:tr>
      <w:tr w14:paraId="72514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6" w:hRule="atLeast"/>
        </w:trPr>
        <w:tc>
          <w:tcPr>
            <w:tcW w:w="3943" w:type="dxa"/>
          </w:tcPr>
          <w:p w14:paraId="725C3AA8">
            <w:pPr>
              <w:pStyle w:val="24"/>
              <w:spacing w:before="120" w:line="360" w:lineRule="auto"/>
              <w:jc w:val="center"/>
              <w:rPr>
                <w:spacing w:val="4"/>
                <w:sz w:val="21"/>
                <w:szCs w:val="21"/>
              </w:rPr>
            </w:pPr>
          </w:p>
          <w:p w14:paraId="108ED023">
            <w:pPr>
              <w:pStyle w:val="24"/>
              <w:spacing w:before="120" w:line="360" w:lineRule="auto"/>
              <w:jc w:val="center"/>
              <w:rPr>
                <w:sz w:val="21"/>
                <w:szCs w:val="21"/>
              </w:rPr>
            </w:pPr>
            <w:r>
              <w:rPr>
                <w:rFonts w:hint="eastAsia"/>
                <w:spacing w:val="4"/>
                <w:sz w:val="21"/>
                <w:szCs w:val="21"/>
              </w:rPr>
              <w:t>供货要求</w:t>
            </w:r>
          </w:p>
        </w:tc>
        <w:tc>
          <w:tcPr>
            <w:tcW w:w="14747" w:type="dxa"/>
          </w:tcPr>
          <w:p w14:paraId="6EBA13B4">
            <w:pPr>
              <w:pStyle w:val="24"/>
              <w:spacing w:before="191" w:line="360" w:lineRule="auto"/>
              <w:ind w:left="152" w:right="180" w:hanging="10"/>
              <w:rPr>
                <w:sz w:val="21"/>
                <w:szCs w:val="21"/>
                <w:lang w:eastAsia="zh-CN"/>
              </w:rPr>
            </w:pPr>
            <w:r>
              <w:rPr>
                <w:rFonts w:hint="eastAsia"/>
                <w:sz w:val="21"/>
                <w:szCs w:val="21"/>
                <w:lang w:eastAsia="zh-CN"/>
              </w:rPr>
              <w:t>供应商应当在合同签订后</w:t>
            </w:r>
            <w:r>
              <w:rPr>
                <w:rFonts w:hint="eastAsia"/>
                <w:sz w:val="21"/>
                <w:szCs w:val="21"/>
                <w:lang w:val="en-US" w:eastAsia="zh-CN"/>
              </w:rPr>
              <w:t>35日</w:t>
            </w:r>
            <w:r>
              <w:rPr>
                <w:rFonts w:hint="eastAsia"/>
                <w:sz w:val="21"/>
                <w:szCs w:val="21"/>
                <w:lang w:eastAsia="zh-CN"/>
              </w:rPr>
              <w:t>内供货及安装完毕。供应商</w:t>
            </w:r>
            <w:r>
              <w:rPr>
                <w:rFonts w:hint="eastAsia"/>
                <w:spacing w:val="6"/>
                <w:sz w:val="21"/>
                <w:szCs w:val="21"/>
                <w:lang w:eastAsia="zh-CN"/>
              </w:rPr>
              <w:t>所提供的货物应符合国家相关质量标准；货物名称、型号规格、数</w:t>
            </w:r>
            <w:r>
              <w:rPr>
                <w:rFonts w:hint="eastAsia"/>
                <w:spacing w:val="5"/>
                <w:sz w:val="21"/>
                <w:szCs w:val="21"/>
                <w:lang w:eastAsia="zh-CN"/>
              </w:rPr>
              <w:t>量、</w:t>
            </w:r>
            <w:r>
              <w:rPr>
                <w:rFonts w:hint="eastAsia"/>
                <w:spacing w:val="-1"/>
                <w:sz w:val="21"/>
                <w:szCs w:val="21"/>
                <w:lang w:eastAsia="zh-CN"/>
              </w:rPr>
              <w:t>颜色、外观等符合采购人要求，不得有损毁或损坏。</w:t>
            </w:r>
          </w:p>
        </w:tc>
      </w:tr>
      <w:tr w14:paraId="2FC08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1" w:hRule="atLeast"/>
        </w:trPr>
        <w:tc>
          <w:tcPr>
            <w:tcW w:w="3943" w:type="dxa"/>
          </w:tcPr>
          <w:p w14:paraId="51AF9389">
            <w:pPr>
              <w:pStyle w:val="24"/>
              <w:spacing w:before="201" w:line="360" w:lineRule="auto"/>
              <w:ind w:left="1225"/>
              <w:jc w:val="center"/>
              <w:rPr>
                <w:spacing w:val="4"/>
                <w:sz w:val="21"/>
                <w:szCs w:val="21"/>
                <w:lang w:eastAsia="zh-CN"/>
              </w:rPr>
            </w:pPr>
          </w:p>
          <w:p w14:paraId="5BB92B09">
            <w:pPr>
              <w:pStyle w:val="24"/>
              <w:spacing w:before="201" w:line="360" w:lineRule="auto"/>
              <w:jc w:val="center"/>
              <w:rPr>
                <w:sz w:val="21"/>
                <w:szCs w:val="21"/>
              </w:rPr>
            </w:pPr>
            <w:r>
              <w:rPr>
                <w:rFonts w:hint="eastAsia"/>
                <w:spacing w:val="4"/>
                <w:sz w:val="21"/>
                <w:szCs w:val="21"/>
              </w:rPr>
              <w:t>包装要求</w:t>
            </w:r>
          </w:p>
        </w:tc>
        <w:tc>
          <w:tcPr>
            <w:tcW w:w="14747" w:type="dxa"/>
          </w:tcPr>
          <w:p w14:paraId="14EFEF69">
            <w:pPr>
              <w:pStyle w:val="24"/>
              <w:spacing w:before="191" w:line="360" w:lineRule="auto"/>
              <w:ind w:left="152" w:right="180" w:hanging="10"/>
              <w:rPr>
                <w:sz w:val="21"/>
                <w:szCs w:val="21"/>
                <w:lang w:eastAsia="zh-CN"/>
              </w:rPr>
            </w:pPr>
            <w:r>
              <w:rPr>
                <w:rFonts w:hint="eastAsia"/>
                <w:sz w:val="21"/>
                <w:szCs w:val="21"/>
                <w:lang w:eastAsia="zh-CN"/>
              </w:rPr>
              <w:t>采购中如涉及商品包装和快递包装的，其包装需求标准应不低于《关于印发&lt;商品包装政府采购需求标准(试行)&gt;、&lt;快递包装政府采购需求标准(试行)&gt;的通知》(财办库〔2020〕123号)规定的包装要求。采购人、供应商双方签订合同及验收环节，应包含上述包装要求的条款。</w:t>
            </w:r>
          </w:p>
        </w:tc>
      </w:tr>
      <w:tr w14:paraId="40011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4" w:hRule="atLeast"/>
        </w:trPr>
        <w:tc>
          <w:tcPr>
            <w:tcW w:w="3943" w:type="dxa"/>
          </w:tcPr>
          <w:p w14:paraId="38E5F250">
            <w:pPr>
              <w:pStyle w:val="24"/>
              <w:spacing w:before="185" w:line="360" w:lineRule="auto"/>
              <w:jc w:val="center"/>
              <w:rPr>
                <w:sz w:val="21"/>
                <w:szCs w:val="21"/>
              </w:rPr>
            </w:pPr>
            <w:r>
              <w:rPr>
                <w:rFonts w:hint="eastAsia"/>
                <w:spacing w:val="4"/>
                <w:sz w:val="21"/>
                <w:szCs w:val="21"/>
              </w:rPr>
              <w:t>验收要求</w:t>
            </w:r>
          </w:p>
        </w:tc>
        <w:tc>
          <w:tcPr>
            <w:tcW w:w="14747" w:type="dxa"/>
          </w:tcPr>
          <w:p w14:paraId="621973C5">
            <w:pPr>
              <w:pStyle w:val="24"/>
              <w:spacing w:before="182" w:line="360" w:lineRule="auto"/>
              <w:ind w:left="152"/>
              <w:rPr>
                <w:sz w:val="21"/>
                <w:szCs w:val="21"/>
                <w:lang w:eastAsia="zh-CN"/>
              </w:rPr>
            </w:pPr>
            <w:r>
              <w:rPr>
                <w:rFonts w:hint="eastAsia"/>
                <w:sz w:val="21"/>
                <w:szCs w:val="21"/>
                <w:lang w:eastAsia="zh-CN"/>
              </w:rPr>
              <w:t>办公家具安装、调试后，由供、需双方按照合同约定对</w:t>
            </w:r>
            <w:r>
              <w:rPr>
                <w:rFonts w:hint="eastAsia"/>
                <w:spacing w:val="-1"/>
                <w:sz w:val="21"/>
                <w:szCs w:val="21"/>
                <w:lang w:eastAsia="zh-CN"/>
              </w:rPr>
              <w:t>家具进行验收。</w:t>
            </w:r>
            <w:r>
              <w:rPr>
                <w:rFonts w:hint="eastAsia"/>
                <w:sz w:val="21"/>
                <w:szCs w:val="21"/>
                <w:lang w:eastAsia="zh-CN"/>
              </w:rPr>
              <w:t>验收包括清点型号、数量、检查外观等，供应商应当提供家具清单(各</w:t>
            </w:r>
            <w:r>
              <w:rPr>
                <w:rFonts w:hint="eastAsia"/>
                <w:spacing w:val="1"/>
                <w:sz w:val="21"/>
                <w:szCs w:val="21"/>
                <w:lang w:eastAsia="zh-CN"/>
              </w:rPr>
              <w:t>类家具分项开立并标注详细数量)、原产地证明</w:t>
            </w:r>
            <w:r>
              <w:rPr>
                <w:rFonts w:hint="eastAsia"/>
                <w:sz w:val="21"/>
                <w:szCs w:val="21"/>
                <w:lang w:eastAsia="zh-CN"/>
              </w:rPr>
              <w:t>、具出厂日期证明、家</w:t>
            </w:r>
            <w:r>
              <w:rPr>
                <w:rFonts w:hint="eastAsia"/>
                <w:spacing w:val="-1"/>
                <w:sz w:val="21"/>
                <w:szCs w:val="21"/>
                <w:lang w:eastAsia="zh-CN"/>
              </w:rPr>
              <w:t>具环保证明等文件。</w:t>
            </w:r>
          </w:p>
        </w:tc>
      </w:tr>
      <w:tr w14:paraId="2BBF9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3943" w:type="dxa"/>
          </w:tcPr>
          <w:p w14:paraId="5A2DFAB3">
            <w:pPr>
              <w:pStyle w:val="24"/>
              <w:spacing w:before="185" w:line="360" w:lineRule="auto"/>
              <w:jc w:val="center"/>
              <w:rPr>
                <w:rFonts w:hint="eastAsia" w:eastAsia="宋体"/>
                <w:spacing w:val="4"/>
                <w:sz w:val="21"/>
                <w:szCs w:val="21"/>
                <w:lang w:eastAsia="zh-CN"/>
              </w:rPr>
            </w:pPr>
            <w:r>
              <w:rPr>
                <w:rFonts w:hint="eastAsia"/>
                <w:spacing w:val="4"/>
                <w:sz w:val="21"/>
                <w:szCs w:val="21"/>
              </w:rPr>
              <w:t>检测要求</w:t>
            </w:r>
            <w:r>
              <w:rPr>
                <w:rFonts w:hint="eastAsia"/>
                <w:spacing w:val="4"/>
                <w:sz w:val="21"/>
                <w:szCs w:val="21"/>
                <w:lang w:eastAsia="zh-CN"/>
              </w:rPr>
              <w:t>（可选项）</w:t>
            </w:r>
          </w:p>
        </w:tc>
        <w:tc>
          <w:tcPr>
            <w:tcW w:w="14747" w:type="dxa"/>
          </w:tcPr>
          <w:p w14:paraId="12BB3358">
            <w:pPr>
              <w:pStyle w:val="24"/>
              <w:numPr>
                <w:ilvl w:val="0"/>
                <w:numId w:val="2"/>
              </w:numPr>
              <w:spacing w:before="182" w:line="360" w:lineRule="auto"/>
              <w:ind w:left="152"/>
              <w:rPr>
                <w:sz w:val="21"/>
                <w:szCs w:val="21"/>
                <w:lang w:eastAsia="zh-CN"/>
              </w:rPr>
            </w:pPr>
            <w:r>
              <w:rPr>
                <w:rFonts w:hint="eastAsia"/>
                <w:sz w:val="21"/>
                <w:szCs w:val="21"/>
                <w:lang w:eastAsia="zh-CN"/>
              </w:rPr>
              <w:t>过程检测——</w:t>
            </w:r>
          </w:p>
          <w:p w14:paraId="3F597DB2">
            <w:pPr>
              <w:pStyle w:val="24"/>
              <w:numPr>
                <w:ilvl w:val="0"/>
                <w:numId w:val="3"/>
              </w:numPr>
              <w:spacing w:before="182" w:line="360" w:lineRule="auto"/>
              <w:ind w:left="0"/>
              <w:rPr>
                <w:sz w:val="21"/>
                <w:szCs w:val="21"/>
                <w:lang w:eastAsia="zh-CN"/>
              </w:rPr>
            </w:pPr>
            <w:r>
              <w:rPr>
                <w:rFonts w:hint="eastAsia"/>
                <w:sz w:val="21"/>
                <w:szCs w:val="21"/>
                <w:lang w:eastAsia="zh-CN"/>
              </w:rPr>
              <w:t>中标供应商原材料采购完成后，采购人将委托第三方机构进行抽样检测，检测要求见《五、材料要求》。检测费用由中标供应商承担。如检测不合格，中标供应商须按照合同约定的违约责任整改至合格并承担相应的违约责任。</w:t>
            </w:r>
          </w:p>
          <w:p w14:paraId="3961AC21">
            <w:pPr>
              <w:pStyle w:val="24"/>
              <w:numPr>
                <w:ilvl w:val="0"/>
                <w:numId w:val="3"/>
              </w:numPr>
              <w:spacing w:before="182" w:line="360" w:lineRule="auto"/>
              <w:rPr>
                <w:sz w:val="21"/>
                <w:szCs w:val="21"/>
                <w:lang w:eastAsia="zh-CN"/>
              </w:rPr>
            </w:pPr>
            <w:r>
              <w:rPr>
                <w:rFonts w:hint="eastAsia"/>
                <w:sz w:val="21"/>
                <w:szCs w:val="21"/>
                <w:lang w:eastAsia="zh-CN"/>
              </w:rPr>
              <w:t>中标供应商样品打样完成后，采购人将委托第三方机构进行检测，根据强制标准进行全项检测。检测费用由中标供应商承担。如检测不合格，中标供应商须按照合同约定的违约责任整改至合格并承担相应的违约责任。</w:t>
            </w:r>
          </w:p>
          <w:p w14:paraId="3BEF02AD">
            <w:pPr>
              <w:pStyle w:val="24"/>
              <w:numPr>
                <w:ilvl w:val="255"/>
                <w:numId w:val="0"/>
              </w:numPr>
              <w:spacing w:before="182" w:line="360" w:lineRule="auto"/>
              <w:ind w:left="0"/>
              <w:rPr>
                <w:sz w:val="21"/>
                <w:szCs w:val="21"/>
                <w:lang w:eastAsia="zh-CN"/>
              </w:rPr>
            </w:pPr>
            <w:r>
              <w:rPr>
                <w:rFonts w:hint="eastAsia"/>
                <w:sz w:val="21"/>
                <w:szCs w:val="21"/>
                <w:lang w:eastAsia="zh-CN"/>
              </w:rPr>
              <w:t>2.验收检测</w:t>
            </w:r>
          </w:p>
          <w:p w14:paraId="640B3429">
            <w:pPr>
              <w:pStyle w:val="24"/>
              <w:numPr>
                <w:ilvl w:val="0"/>
                <w:numId w:val="3"/>
              </w:numPr>
              <w:spacing w:before="182" w:line="360" w:lineRule="auto"/>
              <w:rPr>
                <w:sz w:val="21"/>
                <w:szCs w:val="21"/>
                <w:lang w:eastAsia="zh-CN"/>
              </w:rPr>
            </w:pPr>
            <w:r>
              <w:rPr>
                <w:rFonts w:hint="eastAsia"/>
                <w:sz w:val="21"/>
                <w:szCs w:val="21"/>
                <w:lang w:eastAsia="zh-CN"/>
              </w:rPr>
              <w:t>正式验收前，采购人将委托第三方机构对家具成品抽样（</w:t>
            </w:r>
            <w:r>
              <w:rPr>
                <w:rFonts w:hint="eastAsia"/>
                <w:sz w:val="21"/>
                <w:szCs w:val="21"/>
                <w:lang w:val="en-US" w:eastAsia="zh-CN"/>
              </w:rPr>
              <w:t>包1-不少于12间；包2-不少于7间，进行空气质量检测</w:t>
            </w:r>
            <w:r>
              <w:rPr>
                <w:rFonts w:hint="eastAsia"/>
                <w:sz w:val="21"/>
                <w:szCs w:val="21"/>
                <w:lang w:eastAsia="zh-CN"/>
              </w:rPr>
              <w:t>），根据强制标准进行全项检测。检测费用由中标供应商承担。如检测不合格，中标供应商须按照合同约定的违约责任整改至合格并承担相应的违约责任。</w:t>
            </w:r>
          </w:p>
          <w:p w14:paraId="5D5D7368">
            <w:pPr>
              <w:pStyle w:val="24"/>
              <w:spacing w:before="182" w:line="360" w:lineRule="auto"/>
              <w:ind w:left="152"/>
              <w:rPr>
                <w:sz w:val="21"/>
                <w:szCs w:val="21"/>
                <w:lang w:eastAsia="zh-CN"/>
              </w:rPr>
            </w:pPr>
            <w:r>
              <w:rPr>
                <w:rFonts w:hint="eastAsia"/>
                <w:sz w:val="21"/>
                <w:szCs w:val="21"/>
                <w:lang w:eastAsia="zh-CN"/>
              </w:rPr>
              <w:t>3.本项目检测费请所有投标人统一按此费用纳入投标总价。该费用不为中标人所有，按实结算，如有结余，结算时返回采购人。</w:t>
            </w:r>
          </w:p>
        </w:tc>
      </w:tr>
    </w:tbl>
    <w:p w14:paraId="35A55EF3">
      <w:pPr>
        <w:spacing w:line="360" w:lineRule="auto"/>
        <w:rPr>
          <w:rFonts w:ascii="宋体" w:hAnsi="宋体" w:eastAsia="宋体" w:cs="宋体"/>
          <w:lang w:eastAsia="zh-CN"/>
        </w:rPr>
      </w:pPr>
    </w:p>
    <w:p w14:paraId="0A140A6F">
      <w:pPr>
        <w:pStyle w:val="6"/>
        <w:spacing w:before="120" w:line="360" w:lineRule="auto"/>
        <w:ind w:left="0" w:firstLine="0" w:firstLineChars="0"/>
        <w:outlineLvl w:val="6"/>
        <w:rPr>
          <w:rFonts w:hint="eastAsia" w:ascii="宋体" w:hAnsi="宋体" w:eastAsia="宋体" w:cs="宋体"/>
          <w:b/>
          <w:bCs/>
          <w:color w:val="auto"/>
          <w:spacing w:val="0"/>
          <w:sz w:val="28"/>
          <w:szCs w:val="28"/>
          <w:lang w:eastAsia="zh-CN"/>
        </w:rPr>
      </w:pPr>
    </w:p>
    <w:p w14:paraId="4B4D8474">
      <w:pPr>
        <w:pStyle w:val="6"/>
        <w:spacing w:before="120" w:line="360" w:lineRule="auto"/>
        <w:ind w:left="0" w:firstLine="0" w:firstLineChars="0"/>
        <w:outlineLvl w:val="6"/>
        <w:rPr>
          <w:rFonts w:hint="eastAsia" w:ascii="宋体" w:hAnsi="宋体" w:eastAsia="宋体" w:cs="宋体"/>
          <w:b/>
          <w:bCs/>
          <w:color w:val="auto"/>
          <w:spacing w:val="0"/>
          <w:sz w:val="28"/>
          <w:szCs w:val="28"/>
          <w:lang w:eastAsia="zh-CN"/>
        </w:rPr>
      </w:pPr>
    </w:p>
    <w:p w14:paraId="77C5D08B">
      <w:pPr>
        <w:pStyle w:val="6"/>
        <w:spacing w:before="120" w:line="360" w:lineRule="auto"/>
        <w:ind w:left="0" w:firstLine="0" w:firstLineChars="0"/>
        <w:outlineLvl w:val="6"/>
        <w:rPr>
          <w:rFonts w:hint="eastAsia" w:ascii="宋体" w:hAnsi="宋体" w:eastAsia="宋体" w:cs="宋体"/>
          <w:b/>
          <w:bCs/>
          <w:color w:val="auto"/>
          <w:spacing w:val="0"/>
          <w:sz w:val="28"/>
          <w:szCs w:val="28"/>
          <w:lang w:eastAsia="zh-CN"/>
        </w:rPr>
      </w:pPr>
    </w:p>
    <w:p w14:paraId="09669781">
      <w:pPr>
        <w:pStyle w:val="6"/>
        <w:spacing w:before="120" w:line="360" w:lineRule="auto"/>
        <w:ind w:left="0" w:firstLine="0" w:firstLineChars="0"/>
        <w:outlineLvl w:val="6"/>
        <w:rPr>
          <w:rFonts w:hint="eastAsia" w:ascii="宋体" w:hAnsi="宋体" w:eastAsia="宋体" w:cs="宋体"/>
          <w:b/>
          <w:bCs/>
          <w:color w:val="auto"/>
          <w:spacing w:val="0"/>
          <w:sz w:val="28"/>
          <w:szCs w:val="28"/>
          <w:lang w:eastAsia="zh-CN"/>
        </w:rPr>
      </w:pPr>
    </w:p>
    <w:p w14:paraId="74BD3A4F">
      <w:pPr>
        <w:pStyle w:val="6"/>
        <w:spacing w:before="120" w:line="360" w:lineRule="auto"/>
        <w:ind w:left="0" w:firstLine="0" w:firstLineChars="0"/>
        <w:outlineLvl w:val="6"/>
        <w:rPr>
          <w:rFonts w:hint="eastAsia" w:ascii="宋体" w:hAnsi="宋体" w:eastAsia="宋体" w:cs="宋体"/>
          <w:b/>
          <w:bCs/>
          <w:color w:val="auto"/>
          <w:spacing w:val="0"/>
          <w:sz w:val="28"/>
          <w:szCs w:val="28"/>
          <w:lang w:eastAsia="zh-CN"/>
        </w:rPr>
      </w:pPr>
    </w:p>
    <w:p w14:paraId="5FD68AFB">
      <w:pPr>
        <w:pStyle w:val="6"/>
        <w:spacing w:before="120" w:line="360" w:lineRule="auto"/>
        <w:ind w:left="0" w:firstLine="0" w:firstLineChars="0"/>
        <w:outlineLvl w:val="6"/>
        <w:rPr>
          <w:rFonts w:hint="eastAsia"/>
          <w:b/>
          <w:bCs/>
          <w:color w:val="auto"/>
          <w:sz w:val="28"/>
          <w:szCs w:val="28"/>
          <w:lang w:eastAsia="zh-CN"/>
        </w:rPr>
      </w:pPr>
      <w:r>
        <w:rPr>
          <w:rFonts w:hint="eastAsia"/>
          <w:b/>
          <w:bCs/>
          <w:color w:val="auto"/>
          <w:spacing w:val="0"/>
          <w:sz w:val="28"/>
          <w:szCs w:val="28"/>
          <w:lang w:eastAsia="zh-CN"/>
        </w:rPr>
        <w:t>七、其他要求</w:t>
      </w:r>
    </w:p>
    <w:p w14:paraId="5631FBAA">
      <w:pPr>
        <w:spacing w:line="360" w:lineRule="auto"/>
        <w:rPr>
          <w:rFonts w:ascii="宋体" w:hAnsi="宋体" w:eastAsia="宋体" w:cs="宋体"/>
          <w:lang w:eastAsia="zh-CN"/>
        </w:rPr>
      </w:pPr>
    </w:p>
    <w:tbl>
      <w:tblPr>
        <w:tblStyle w:val="25"/>
        <w:tblW w:w="1867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43"/>
        <w:gridCol w:w="14732"/>
      </w:tblGrid>
      <w:tr w14:paraId="61ECB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3943" w:type="dxa"/>
          </w:tcPr>
          <w:p w14:paraId="10A492A0">
            <w:pPr>
              <w:pStyle w:val="24"/>
              <w:spacing w:before="180" w:line="360" w:lineRule="auto"/>
              <w:jc w:val="center"/>
              <w:rPr>
                <w:b/>
                <w:bCs/>
                <w:sz w:val="21"/>
                <w:szCs w:val="21"/>
              </w:rPr>
            </w:pPr>
            <w:r>
              <w:rPr>
                <w:rFonts w:hint="eastAsia"/>
                <w:b/>
                <w:bCs/>
                <w:spacing w:val="-10"/>
                <w:sz w:val="21"/>
                <w:szCs w:val="21"/>
              </w:rPr>
              <w:t>分类</w:t>
            </w:r>
          </w:p>
        </w:tc>
        <w:tc>
          <w:tcPr>
            <w:tcW w:w="14732" w:type="dxa"/>
          </w:tcPr>
          <w:p w14:paraId="5596FE73">
            <w:pPr>
              <w:pStyle w:val="24"/>
              <w:spacing w:before="180" w:line="360" w:lineRule="auto"/>
              <w:ind w:left="5431"/>
              <w:rPr>
                <w:b/>
                <w:bCs/>
                <w:sz w:val="21"/>
                <w:szCs w:val="21"/>
              </w:rPr>
            </w:pPr>
            <w:r>
              <w:rPr>
                <w:rFonts w:hint="eastAsia"/>
                <w:b/>
                <w:bCs/>
                <w:spacing w:val="-29"/>
                <w:sz w:val="21"/>
                <w:szCs w:val="21"/>
              </w:rPr>
              <w:t>内容</w:t>
            </w:r>
          </w:p>
        </w:tc>
      </w:tr>
      <w:tr w14:paraId="77B92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6" w:hRule="atLeast"/>
        </w:trPr>
        <w:tc>
          <w:tcPr>
            <w:tcW w:w="3943" w:type="dxa"/>
            <w:vAlign w:val="center"/>
          </w:tcPr>
          <w:p w14:paraId="725E0861">
            <w:pPr>
              <w:pStyle w:val="24"/>
              <w:spacing w:before="182" w:line="360" w:lineRule="auto"/>
              <w:jc w:val="center"/>
              <w:rPr>
                <w:sz w:val="21"/>
                <w:szCs w:val="21"/>
              </w:rPr>
            </w:pPr>
            <w:r>
              <w:rPr>
                <w:rFonts w:hint="eastAsia"/>
                <w:sz w:val="21"/>
                <w:szCs w:val="21"/>
                <w:lang w:eastAsia="zh-CN"/>
              </w:rPr>
              <w:t>保修服务</w:t>
            </w:r>
          </w:p>
        </w:tc>
        <w:tc>
          <w:tcPr>
            <w:tcW w:w="14732" w:type="dxa"/>
          </w:tcPr>
          <w:p w14:paraId="237B4B08">
            <w:pPr>
              <w:spacing w:before="182" w:line="360" w:lineRule="auto"/>
              <w:ind w:left="152"/>
              <w:rPr>
                <w:sz w:val="21"/>
                <w:szCs w:val="21"/>
                <w:lang w:eastAsia="zh-CN"/>
              </w:rPr>
            </w:pPr>
            <w:r>
              <w:rPr>
                <w:rFonts w:hint="eastAsia" w:ascii="宋体" w:hAnsi="宋体" w:eastAsia="宋体" w:cs="宋体"/>
                <w:lang w:eastAsia="zh-CN"/>
              </w:rPr>
              <w:t>供应商提供的售后服务应符合GB/T37652-2019《家具售后服务要求》。</w:t>
            </w:r>
            <w:r>
              <w:rPr>
                <w:rFonts w:hint="eastAsia"/>
                <w:sz w:val="21"/>
                <w:szCs w:val="21"/>
                <w:lang w:eastAsia="zh-CN"/>
              </w:rPr>
              <w:t>免费保修期应当至少不低于</w:t>
            </w:r>
            <w:r>
              <w:rPr>
                <w:rFonts w:hint="eastAsia"/>
                <w:sz w:val="21"/>
                <w:szCs w:val="21"/>
                <w:lang w:val="en-US" w:eastAsia="zh-CN"/>
              </w:rPr>
              <w:t>120个月</w:t>
            </w:r>
            <w:r>
              <w:rPr>
                <w:rFonts w:hint="eastAsia"/>
                <w:sz w:val="21"/>
                <w:szCs w:val="21"/>
                <w:lang w:eastAsia="zh-CN"/>
              </w:rPr>
              <w:t>。免费保修期内，除采购人因非正 常使用造成家具损坏外，损坏维修以及所涉及的零部件更换，应当由供应商免费提供，供应商应当承诺每年对所供家具进行巡检。免费保修期满后，供应商保证以优惠价格提供家具所需零配件和维修服务。</w:t>
            </w:r>
          </w:p>
        </w:tc>
      </w:tr>
      <w:tr w14:paraId="072DD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vAlign w:val="center"/>
          </w:tcPr>
          <w:p w14:paraId="42DAA1B5">
            <w:pPr>
              <w:pStyle w:val="24"/>
              <w:spacing w:before="203" w:line="360" w:lineRule="auto"/>
              <w:jc w:val="center"/>
              <w:rPr>
                <w:sz w:val="21"/>
                <w:szCs w:val="21"/>
              </w:rPr>
            </w:pPr>
            <w:r>
              <w:rPr>
                <w:rFonts w:hint="eastAsia"/>
                <w:spacing w:val="7"/>
                <w:sz w:val="21"/>
                <w:szCs w:val="21"/>
              </w:rPr>
              <w:t>应急能力</w:t>
            </w:r>
          </w:p>
        </w:tc>
        <w:tc>
          <w:tcPr>
            <w:tcW w:w="14732" w:type="dxa"/>
            <w:vAlign w:val="center"/>
          </w:tcPr>
          <w:p w14:paraId="5B1AD27C">
            <w:pPr>
              <w:pStyle w:val="24"/>
              <w:spacing w:before="182" w:line="360" w:lineRule="auto"/>
              <w:ind w:left="152"/>
              <w:rPr>
                <w:sz w:val="21"/>
                <w:szCs w:val="21"/>
                <w:lang w:eastAsia="zh-CN"/>
              </w:rPr>
            </w:pPr>
            <w:r>
              <w:rPr>
                <w:rFonts w:hint="eastAsia"/>
                <w:sz w:val="21"/>
                <w:szCs w:val="21"/>
                <w:lang w:eastAsia="zh-CN"/>
              </w:rPr>
              <w:t>供应商应当在采购人单位所在区域拥有维修服务能力，提供售后服务支持。如遇质量问题，供应商应当在接到通知2小时内予以响应，并于8小时内解决完毕或提供代用产品。</w:t>
            </w:r>
          </w:p>
        </w:tc>
      </w:tr>
      <w:tr w14:paraId="64EB5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vAlign w:val="center"/>
          </w:tcPr>
          <w:p w14:paraId="4422AB1E">
            <w:pPr>
              <w:pStyle w:val="24"/>
              <w:spacing w:before="203" w:line="360" w:lineRule="auto"/>
              <w:jc w:val="center"/>
              <w:rPr>
                <w:rFonts w:hint="eastAsia"/>
                <w:spacing w:val="7"/>
                <w:sz w:val="21"/>
                <w:szCs w:val="21"/>
              </w:rPr>
            </w:pPr>
            <w:r>
              <w:rPr>
                <w:rFonts w:hint="eastAsia" w:ascii="宋体" w:hAnsi="宋体" w:eastAsia="宋体" w:cs="宋体"/>
                <w:sz w:val="21"/>
                <w:szCs w:val="21"/>
                <w:lang w:eastAsia="zh-CN"/>
              </w:rPr>
              <w:t>项目团队</w:t>
            </w:r>
          </w:p>
        </w:tc>
        <w:tc>
          <w:tcPr>
            <w:tcW w:w="14732" w:type="dxa"/>
            <w:vAlign w:val="center"/>
          </w:tcPr>
          <w:p w14:paraId="3AC02738">
            <w:pPr>
              <w:spacing w:line="360" w:lineRule="auto"/>
              <w:rPr>
                <w:rFonts w:hint="eastAsia" w:ascii="宋体" w:hAnsi="宋体" w:eastAsia="宋体" w:cs="宋体"/>
                <w:lang w:eastAsia="zh-CN"/>
              </w:rPr>
            </w:pPr>
          </w:p>
          <w:p w14:paraId="11838B3E">
            <w:pPr>
              <w:spacing w:line="360" w:lineRule="auto"/>
              <w:rPr>
                <w:rFonts w:ascii="宋体" w:hAnsi="宋体" w:eastAsia="宋体" w:cs="宋体"/>
                <w:lang w:eastAsia="zh-CN"/>
              </w:rPr>
            </w:pPr>
            <w:r>
              <w:rPr>
                <w:rFonts w:hint="eastAsia" w:ascii="宋体" w:hAnsi="宋体" w:eastAsia="宋体" w:cs="宋体"/>
                <w:lang w:eastAsia="zh-CN"/>
              </w:rPr>
              <w:t>供应商提供项目技术团队及其能力说明，提供人员清单、履历、专业技术能力等资料。</w:t>
            </w:r>
          </w:p>
          <w:p w14:paraId="219C0581">
            <w:pPr>
              <w:pStyle w:val="24"/>
              <w:spacing w:before="182" w:line="360" w:lineRule="auto"/>
              <w:ind w:left="152"/>
              <w:rPr>
                <w:rFonts w:hint="eastAsia"/>
                <w:sz w:val="21"/>
                <w:szCs w:val="21"/>
                <w:lang w:eastAsia="zh-CN"/>
              </w:rPr>
            </w:pPr>
          </w:p>
        </w:tc>
      </w:tr>
      <w:tr w14:paraId="5C991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vAlign w:val="center"/>
          </w:tcPr>
          <w:p w14:paraId="4668A5AD">
            <w:pPr>
              <w:pStyle w:val="24"/>
              <w:spacing w:before="203" w:line="360" w:lineRule="auto"/>
              <w:jc w:val="center"/>
              <w:rPr>
                <w:rFonts w:hint="eastAsia" w:ascii="宋体" w:hAnsi="宋体" w:eastAsia="宋体" w:cs="宋体"/>
                <w:sz w:val="21"/>
                <w:szCs w:val="21"/>
                <w:lang w:eastAsia="zh-CN"/>
              </w:rPr>
            </w:pPr>
            <w:r>
              <w:rPr>
                <w:rFonts w:hint="eastAsia"/>
                <w:sz w:val="21"/>
                <w:szCs w:val="21"/>
                <w:lang w:eastAsia="zh-CN"/>
              </w:rPr>
              <w:t>生产能力</w:t>
            </w:r>
          </w:p>
        </w:tc>
        <w:tc>
          <w:tcPr>
            <w:tcW w:w="14732" w:type="dxa"/>
            <w:vAlign w:val="center"/>
          </w:tcPr>
          <w:p w14:paraId="7BEB9D03">
            <w:pPr>
              <w:pStyle w:val="24"/>
              <w:spacing w:before="182" w:line="360" w:lineRule="auto"/>
              <w:ind w:left="152"/>
              <w:rPr>
                <w:rFonts w:hint="eastAsia"/>
                <w:sz w:val="21"/>
                <w:szCs w:val="21"/>
                <w:lang w:eastAsia="zh-CN"/>
              </w:rPr>
            </w:pPr>
            <w:r>
              <w:rPr>
                <w:rFonts w:hint="eastAsia"/>
                <w:sz w:val="21"/>
                <w:szCs w:val="21"/>
                <w:lang w:eastAsia="zh-CN"/>
              </w:rPr>
              <w:t>1.生产厂商针对生产过程中可能产生的大气污染、水污染及其他环境污染应当具有有效的环保措施，制定科学的环保治理方案。</w:t>
            </w:r>
          </w:p>
          <w:p w14:paraId="618A0946">
            <w:pPr>
              <w:pStyle w:val="24"/>
              <w:spacing w:before="182" w:line="360" w:lineRule="auto"/>
              <w:ind w:left="152"/>
              <w:rPr>
                <w:rFonts w:hint="eastAsia"/>
                <w:sz w:val="21"/>
                <w:szCs w:val="21"/>
                <w:lang w:eastAsia="zh-CN"/>
              </w:rPr>
            </w:pPr>
            <w:r>
              <w:rPr>
                <w:rFonts w:hint="eastAsia"/>
                <w:sz w:val="21"/>
                <w:szCs w:val="21"/>
                <w:lang w:eastAsia="zh-CN"/>
              </w:rPr>
              <w:t>2.生产厂商应当具备完善的管理体系；详细阐述生产工艺技术原理、流程、关键技术点及优势，证明其在精度、质量、效率等方面的竞争力；制定科学合理的生产进度计划，明确各阶段时间节点、交付成果，提供进度保障措施，确保生产进度可控且能按时完成；生产设备配置需完备且先进，提供设备清单信息，说明设备的先进性与适用性，可提供相关生产设备购置合同、发票等购置材料作为设备来源证明。</w:t>
            </w:r>
          </w:p>
        </w:tc>
      </w:tr>
    </w:tbl>
    <w:p w14:paraId="0D99FD3A">
      <w:pPr>
        <w:pStyle w:val="20"/>
        <w:numPr>
          <w:ilvl w:val="0"/>
          <w:numId w:val="0"/>
        </w:numPr>
        <w:spacing w:after="0" w:afterLines="-2147483648"/>
        <w:ind w:firstLine="0"/>
        <w:rPr>
          <w:rFonts w:hint="eastAsia" w:cs="宋体"/>
          <w:color w:val="000000" w:themeColor="text1"/>
          <w:sz w:val="24"/>
          <w:szCs w:val="24"/>
          <w14:textFill>
            <w14:solidFill>
              <w14:schemeClr w14:val="tx1"/>
            </w14:solidFill>
          </w14:textFill>
        </w:rPr>
      </w:pPr>
    </w:p>
    <w:sectPr>
      <w:footerReference r:id="rId3" w:type="default"/>
      <w:pgSz w:w="23820" w:h="16840" w:orient="landscape"/>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0"/>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andale mono">
    <w:altName w:val="国标宋体-超大字符集"/>
    <w:panose1 w:val="00000000000000000000"/>
    <w:charset w:val="00"/>
    <w:family w:val="modern"/>
    <w:pitch w:val="default"/>
    <w:sig w:usb0="00000000" w:usb1="00000000" w:usb2="00000000" w:usb3="00000000" w:csb0="0000009F" w:csb1="00000000"/>
  </w:font>
  <w:font w:name="国标宋体-超大字符集">
    <w:panose1 w:val="03000509000000000000"/>
    <w:charset w:val="86"/>
    <w:family w:val="auto"/>
    <w:pitch w:val="default"/>
    <w:sig w:usb0="00000001" w:usb1="08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等线">
    <w:altName w:val="Noto Sans CJK SC"/>
    <w:panose1 w:val="00000000000000000000"/>
    <w:charset w:val="00"/>
    <w:family w:val="auto"/>
    <w:pitch w:val="default"/>
    <w:sig w:usb0="00000000" w:usb1="00000000" w:usb2="00000000" w:usb3="00000000" w:csb0="00000000" w:csb1="00000000"/>
  </w:font>
  <w:font w:name="GWZT-EN">
    <w:panose1 w:val="02020400000000000000"/>
    <w:charset w:val="86"/>
    <w:family w:val="auto"/>
    <w:pitch w:val="default"/>
    <w:sig w:usb0="A00002BF" w:usb1="38CF7CFA" w:usb2="00082016" w:usb3="00000000" w:csb0="00040001"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8239884"/>
    </w:sdtPr>
    <w:sdtContent>
      <w:p w14:paraId="09591736">
        <w:pPr>
          <w:pStyle w:val="10"/>
          <w:jc w:val="center"/>
        </w:pPr>
        <w:r>
          <w:fldChar w:fldCharType="begin"/>
        </w:r>
        <w:r>
          <w:instrText xml:space="preserve">PAGE   \* MERGEFORMAT</w:instrText>
        </w:r>
        <w:r>
          <w:fldChar w:fldCharType="separate"/>
        </w:r>
        <w:r>
          <w:rPr>
            <w:lang w:val="zh-CN"/>
          </w:rPr>
          <w:t>6</w:t>
        </w:r>
        <w:r>
          <w:fldChar w:fldCharType="end"/>
        </w:r>
      </w:p>
    </w:sdtContent>
  </w:sdt>
  <w:p w14:paraId="2239F65A"/>
  <w:p w14:paraId="51D2D527"/>
  <w:p w14:paraId="186786F5"/>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E272"/>
    <w:multiLevelType w:val="singleLevel"/>
    <w:tmpl w:val="FB7EE272"/>
    <w:lvl w:ilvl="0" w:tentative="0">
      <w:start w:val="1"/>
      <w:numFmt w:val="decimal"/>
      <w:suff w:val="nothing"/>
      <w:lvlText w:val="（%1）"/>
      <w:lvlJc w:val="left"/>
    </w:lvl>
  </w:abstractNum>
  <w:abstractNum w:abstractNumId="1">
    <w:nsid w:val="FF2EDA95"/>
    <w:multiLevelType w:val="singleLevel"/>
    <w:tmpl w:val="FF2EDA95"/>
    <w:lvl w:ilvl="0" w:tentative="0">
      <w:start w:val="1"/>
      <w:numFmt w:val="decimal"/>
      <w:lvlText w:val="%1."/>
      <w:lvlJc w:val="left"/>
      <w:pPr>
        <w:tabs>
          <w:tab w:val="left" w:pos="312"/>
        </w:tabs>
      </w:pPr>
    </w:lvl>
  </w:abstractNum>
  <w:abstractNum w:abstractNumId="2">
    <w:nsid w:val="074054F6"/>
    <w:multiLevelType w:val="multilevel"/>
    <w:tmpl w:val="074054F6"/>
    <w:lvl w:ilvl="0" w:tentative="0">
      <w:start w:val="1"/>
      <w:numFmt w:val="decimal"/>
      <w:pStyle w:val="26"/>
      <w:lvlText w:val="第%1章"/>
      <w:lvlJc w:val="left"/>
      <w:pPr>
        <w:tabs>
          <w:tab w:val="left" w:pos="574"/>
        </w:tabs>
        <w:ind w:left="574" w:hanging="432"/>
      </w:pPr>
      <w:rPr>
        <w:rFonts w:hint="eastAsia"/>
        <w:lang w:val="en-US"/>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862"/>
        </w:tabs>
        <w:ind w:left="862" w:hanging="720"/>
      </w:pPr>
      <w:rPr>
        <w:rFonts w:hint="eastAsia"/>
      </w:rPr>
    </w:lvl>
    <w:lvl w:ilvl="3" w:tentative="0">
      <w:start w:val="1"/>
      <w:numFmt w:val="decimal"/>
      <w:lvlText w:val="%1.%2.%3.%4"/>
      <w:lvlJc w:val="left"/>
      <w:pPr>
        <w:tabs>
          <w:tab w:val="left" w:pos="1006"/>
        </w:tabs>
        <w:ind w:left="1006" w:hanging="864"/>
      </w:pPr>
      <w:rPr>
        <w:rFonts w:hint="eastAsia"/>
      </w:rPr>
    </w:lvl>
    <w:lvl w:ilvl="4" w:tentative="0">
      <w:start w:val="1"/>
      <w:numFmt w:val="decimal"/>
      <w:lvlText w:val="%1.%2.%3.%4.%5"/>
      <w:lvlJc w:val="left"/>
      <w:pPr>
        <w:tabs>
          <w:tab w:val="left" w:pos="1150"/>
        </w:tabs>
        <w:ind w:left="1150" w:hanging="1008"/>
      </w:pPr>
      <w:rPr>
        <w:rFonts w:hint="eastAsia"/>
      </w:rPr>
    </w:lvl>
    <w:lvl w:ilvl="5" w:tentative="0">
      <w:start w:val="1"/>
      <w:numFmt w:val="decimal"/>
      <w:lvlText w:val="%1.%2.%3.%4.%5.%6"/>
      <w:lvlJc w:val="left"/>
      <w:pPr>
        <w:tabs>
          <w:tab w:val="left" w:pos="1294"/>
        </w:tabs>
        <w:ind w:left="1294" w:hanging="1152"/>
      </w:pPr>
      <w:rPr>
        <w:rFonts w:hint="eastAsia"/>
      </w:rPr>
    </w:lvl>
    <w:lvl w:ilvl="6" w:tentative="0">
      <w:start w:val="1"/>
      <w:numFmt w:val="decimal"/>
      <w:lvlText w:val="%1.%2.%3.%4.%5.%6.%7"/>
      <w:lvlJc w:val="left"/>
      <w:pPr>
        <w:tabs>
          <w:tab w:val="left" w:pos="1438"/>
        </w:tabs>
        <w:ind w:left="1438" w:hanging="1296"/>
      </w:pPr>
      <w:rPr>
        <w:rFonts w:hint="eastAsia"/>
      </w:rPr>
    </w:lvl>
    <w:lvl w:ilvl="7" w:tentative="0">
      <w:start w:val="1"/>
      <w:numFmt w:val="decimal"/>
      <w:lvlText w:val="%1.%2.%3.%4.%5.%6.%7.%8"/>
      <w:lvlJc w:val="left"/>
      <w:pPr>
        <w:tabs>
          <w:tab w:val="left" w:pos="1582"/>
        </w:tabs>
        <w:ind w:left="1582" w:hanging="1440"/>
      </w:pPr>
      <w:rPr>
        <w:rFonts w:hint="eastAsia"/>
      </w:rPr>
    </w:lvl>
    <w:lvl w:ilvl="8" w:tentative="0">
      <w:start w:val="1"/>
      <w:numFmt w:val="decimal"/>
      <w:lvlText w:val="%1.%2.%3.%4.%5.%6.%7.%8.%9"/>
      <w:lvlJc w:val="left"/>
      <w:pPr>
        <w:tabs>
          <w:tab w:val="left" w:pos="1726"/>
        </w:tabs>
        <w:ind w:left="1726"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mMWI4ZjhmZjFiNjc2NmJkZTZiMDJkYjZjZGE3YWQifQ=="/>
  </w:docVars>
  <w:rsids>
    <w:rsidRoot w:val="002B03D2"/>
    <w:rsid w:val="000037E1"/>
    <w:rsid w:val="00021ECF"/>
    <w:rsid w:val="00030791"/>
    <w:rsid w:val="00082930"/>
    <w:rsid w:val="000A33FA"/>
    <w:rsid w:val="000A34D2"/>
    <w:rsid w:val="000A448D"/>
    <w:rsid w:val="000A497A"/>
    <w:rsid w:val="000B5586"/>
    <w:rsid w:val="000B6DFD"/>
    <w:rsid w:val="000D5DFC"/>
    <w:rsid w:val="000E6A53"/>
    <w:rsid w:val="000F0CD3"/>
    <w:rsid w:val="000F44E8"/>
    <w:rsid w:val="000F4B21"/>
    <w:rsid w:val="00106D02"/>
    <w:rsid w:val="00120518"/>
    <w:rsid w:val="0012395B"/>
    <w:rsid w:val="00130D8F"/>
    <w:rsid w:val="001311EE"/>
    <w:rsid w:val="00136955"/>
    <w:rsid w:val="00162352"/>
    <w:rsid w:val="00165640"/>
    <w:rsid w:val="00167F18"/>
    <w:rsid w:val="001A15B5"/>
    <w:rsid w:val="001B291C"/>
    <w:rsid w:val="001B7C47"/>
    <w:rsid w:val="001C3180"/>
    <w:rsid w:val="001D6D58"/>
    <w:rsid w:val="001E064F"/>
    <w:rsid w:val="001E5852"/>
    <w:rsid w:val="001F3460"/>
    <w:rsid w:val="00200C5B"/>
    <w:rsid w:val="002044EF"/>
    <w:rsid w:val="002077CA"/>
    <w:rsid w:val="00223023"/>
    <w:rsid w:val="002236F4"/>
    <w:rsid w:val="00234413"/>
    <w:rsid w:val="002648E8"/>
    <w:rsid w:val="00267F87"/>
    <w:rsid w:val="002768BE"/>
    <w:rsid w:val="00281B73"/>
    <w:rsid w:val="00294A30"/>
    <w:rsid w:val="002A222D"/>
    <w:rsid w:val="002B03D2"/>
    <w:rsid w:val="002B5135"/>
    <w:rsid w:val="002C1AA1"/>
    <w:rsid w:val="002D21E0"/>
    <w:rsid w:val="002D79B5"/>
    <w:rsid w:val="0030479A"/>
    <w:rsid w:val="0033094F"/>
    <w:rsid w:val="003353FF"/>
    <w:rsid w:val="0035070B"/>
    <w:rsid w:val="003518BA"/>
    <w:rsid w:val="00366BE1"/>
    <w:rsid w:val="0036701B"/>
    <w:rsid w:val="00392099"/>
    <w:rsid w:val="003B37C7"/>
    <w:rsid w:val="003C778B"/>
    <w:rsid w:val="004012DE"/>
    <w:rsid w:val="0040378F"/>
    <w:rsid w:val="00404AFA"/>
    <w:rsid w:val="0041642C"/>
    <w:rsid w:val="00426D73"/>
    <w:rsid w:val="00432377"/>
    <w:rsid w:val="00437CF1"/>
    <w:rsid w:val="00464D71"/>
    <w:rsid w:val="00466363"/>
    <w:rsid w:val="004861E9"/>
    <w:rsid w:val="004A6B64"/>
    <w:rsid w:val="004B7991"/>
    <w:rsid w:val="004C5222"/>
    <w:rsid w:val="004D3BAF"/>
    <w:rsid w:val="004E4A10"/>
    <w:rsid w:val="00515C85"/>
    <w:rsid w:val="005231C3"/>
    <w:rsid w:val="00527A19"/>
    <w:rsid w:val="0053773F"/>
    <w:rsid w:val="00565FFD"/>
    <w:rsid w:val="00576F1A"/>
    <w:rsid w:val="005831E3"/>
    <w:rsid w:val="00590894"/>
    <w:rsid w:val="005A18DB"/>
    <w:rsid w:val="005A6CC3"/>
    <w:rsid w:val="005A722D"/>
    <w:rsid w:val="005B622A"/>
    <w:rsid w:val="005C1B23"/>
    <w:rsid w:val="005F0C1D"/>
    <w:rsid w:val="005F4556"/>
    <w:rsid w:val="006013F3"/>
    <w:rsid w:val="00613D1F"/>
    <w:rsid w:val="0063536C"/>
    <w:rsid w:val="006427C8"/>
    <w:rsid w:val="00674840"/>
    <w:rsid w:val="0069789E"/>
    <w:rsid w:val="006C4E2A"/>
    <w:rsid w:val="006D0091"/>
    <w:rsid w:val="006E3495"/>
    <w:rsid w:val="006F1AED"/>
    <w:rsid w:val="00706CC6"/>
    <w:rsid w:val="00714166"/>
    <w:rsid w:val="00725C7A"/>
    <w:rsid w:val="00737CFC"/>
    <w:rsid w:val="00740E46"/>
    <w:rsid w:val="00750552"/>
    <w:rsid w:val="00755611"/>
    <w:rsid w:val="00755853"/>
    <w:rsid w:val="00787E27"/>
    <w:rsid w:val="007921D4"/>
    <w:rsid w:val="00792C28"/>
    <w:rsid w:val="007B38B7"/>
    <w:rsid w:val="007B4B6C"/>
    <w:rsid w:val="007C31DA"/>
    <w:rsid w:val="007D1749"/>
    <w:rsid w:val="007E64AA"/>
    <w:rsid w:val="007F1492"/>
    <w:rsid w:val="007F2986"/>
    <w:rsid w:val="008353B7"/>
    <w:rsid w:val="008353FA"/>
    <w:rsid w:val="00844DE4"/>
    <w:rsid w:val="0088288C"/>
    <w:rsid w:val="00890152"/>
    <w:rsid w:val="00894E08"/>
    <w:rsid w:val="008A7C48"/>
    <w:rsid w:val="008B0872"/>
    <w:rsid w:val="008C0072"/>
    <w:rsid w:val="008C338C"/>
    <w:rsid w:val="008C7840"/>
    <w:rsid w:val="008E561B"/>
    <w:rsid w:val="008E7EB2"/>
    <w:rsid w:val="008F11AF"/>
    <w:rsid w:val="008F745D"/>
    <w:rsid w:val="009054C4"/>
    <w:rsid w:val="009065D6"/>
    <w:rsid w:val="009177DA"/>
    <w:rsid w:val="00924B4F"/>
    <w:rsid w:val="00926ADC"/>
    <w:rsid w:val="00952762"/>
    <w:rsid w:val="00970CAC"/>
    <w:rsid w:val="00972A81"/>
    <w:rsid w:val="00974847"/>
    <w:rsid w:val="00974A3A"/>
    <w:rsid w:val="00994AE9"/>
    <w:rsid w:val="00997E1F"/>
    <w:rsid w:val="009B19EE"/>
    <w:rsid w:val="009B53B1"/>
    <w:rsid w:val="009D13FD"/>
    <w:rsid w:val="009D3427"/>
    <w:rsid w:val="009D46E4"/>
    <w:rsid w:val="009E222F"/>
    <w:rsid w:val="009F44DC"/>
    <w:rsid w:val="00A051B7"/>
    <w:rsid w:val="00A2398C"/>
    <w:rsid w:val="00A57C47"/>
    <w:rsid w:val="00A718BA"/>
    <w:rsid w:val="00A73FAE"/>
    <w:rsid w:val="00AB0F25"/>
    <w:rsid w:val="00AD74EC"/>
    <w:rsid w:val="00AD761A"/>
    <w:rsid w:val="00AE5614"/>
    <w:rsid w:val="00AF413A"/>
    <w:rsid w:val="00B04CF6"/>
    <w:rsid w:val="00B13B7B"/>
    <w:rsid w:val="00B27C24"/>
    <w:rsid w:val="00B3111A"/>
    <w:rsid w:val="00B56C40"/>
    <w:rsid w:val="00B67B66"/>
    <w:rsid w:val="00B77FE1"/>
    <w:rsid w:val="00B86689"/>
    <w:rsid w:val="00BC6514"/>
    <w:rsid w:val="00BC7C2E"/>
    <w:rsid w:val="00BD7B5F"/>
    <w:rsid w:val="00C00858"/>
    <w:rsid w:val="00C05E02"/>
    <w:rsid w:val="00C1245F"/>
    <w:rsid w:val="00C139B6"/>
    <w:rsid w:val="00C15261"/>
    <w:rsid w:val="00C20903"/>
    <w:rsid w:val="00C23F7C"/>
    <w:rsid w:val="00C53665"/>
    <w:rsid w:val="00C83F9C"/>
    <w:rsid w:val="00CA7BEB"/>
    <w:rsid w:val="00CB13B0"/>
    <w:rsid w:val="00CC46D2"/>
    <w:rsid w:val="00CD2966"/>
    <w:rsid w:val="00D005CA"/>
    <w:rsid w:val="00D035D4"/>
    <w:rsid w:val="00D05691"/>
    <w:rsid w:val="00D11E59"/>
    <w:rsid w:val="00D1786A"/>
    <w:rsid w:val="00D301F6"/>
    <w:rsid w:val="00D37982"/>
    <w:rsid w:val="00D510D7"/>
    <w:rsid w:val="00D5579D"/>
    <w:rsid w:val="00D60A4B"/>
    <w:rsid w:val="00D853B8"/>
    <w:rsid w:val="00D96BBC"/>
    <w:rsid w:val="00DA4CCF"/>
    <w:rsid w:val="00DA62F2"/>
    <w:rsid w:val="00DB28C2"/>
    <w:rsid w:val="00DC4795"/>
    <w:rsid w:val="00DC4B7A"/>
    <w:rsid w:val="00DD6A86"/>
    <w:rsid w:val="00DD7642"/>
    <w:rsid w:val="00DF3BC6"/>
    <w:rsid w:val="00DF4091"/>
    <w:rsid w:val="00E02EF6"/>
    <w:rsid w:val="00E06554"/>
    <w:rsid w:val="00E202B0"/>
    <w:rsid w:val="00E273D0"/>
    <w:rsid w:val="00E55892"/>
    <w:rsid w:val="00E67C1E"/>
    <w:rsid w:val="00E82878"/>
    <w:rsid w:val="00E90B33"/>
    <w:rsid w:val="00E9565E"/>
    <w:rsid w:val="00EA365A"/>
    <w:rsid w:val="00EC043D"/>
    <w:rsid w:val="00EC3D43"/>
    <w:rsid w:val="00EC445D"/>
    <w:rsid w:val="00ED5CC7"/>
    <w:rsid w:val="00EF0823"/>
    <w:rsid w:val="00F0027B"/>
    <w:rsid w:val="00F028E4"/>
    <w:rsid w:val="00F0684C"/>
    <w:rsid w:val="00F1396D"/>
    <w:rsid w:val="00F21F91"/>
    <w:rsid w:val="00F22423"/>
    <w:rsid w:val="00F3593D"/>
    <w:rsid w:val="00F36E30"/>
    <w:rsid w:val="00F442F4"/>
    <w:rsid w:val="00F529AE"/>
    <w:rsid w:val="00F535A2"/>
    <w:rsid w:val="00F60B14"/>
    <w:rsid w:val="00F67789"/>
    <w:rsid w:val="00F86840"/>
    <w:rsid w:val="00FA1646"/>
    <w:rsid w:val="00FA7680"/>
    <w:rsid w:val="00FB241D"/>
    <w:rsid w:val="00FB5A46"/>
    <w:rsid w:val="00FD0802"/>
    <w:rsid w:val="00FE1FEF"/>
    <w:rsid w:val="00FE2A8A"/>
    <w:rsid w:val="00FF5722"/>
    <w:rsid w:val="017B5688"/>
    <w:rsid w:val="01B25895"/>
    <w:rsid w:val="0339247F"/>
    <w:rsid w:val="03E12C31"/>
    <w:rsid w:val="046933B4"/>
    <w:rsid w:val="053973EC"/>
    <w:rsid w:val="05B35428"/>
    <w:rsid w:val="06AB60C8"/>
    <w:rsid w:val="072C6ABF"/>
    <w:rsid w:val="07FE260D"/>
    <w:rsid w:val="08A56E0D"/>
    <w:rsid w:val="09F47462"/>
    <w:rsid w:val="0A794B51"/>
    <w:rsid w:val="0A8E01DA"/>
    <w:rsid w:val="0B4B40F9"/>
    <w:rsid w:val="0C027F7A"/>
    <w:rsid w:val="0CED5B69"/>
    <w:rsid w:val="0F403A6D"/>
    <w:rsid w:val="0F8C26F2"/>
    <w:rsid w:val="106818D6"/>
    <w:rsid w:val="110F36F7"/>
    <w:rsid w:val="14735C98"/>
    <w:rsid w:val="17E94C5D"/>
    <w:rsid w:val="18221F62"/>
    <w:rsid w:val="189866C8"/>
    <w:rsid w:val="1A50725A"/>
    <w:rsid w:val="1A5D54D3"/>
    <w:rsid w:val="1A5E770B"/>
    <w:rsid w:val="1B5816B1"/>
    <w:rsid w:val="1C5F2FF0"/>
    <w:rsid w:val="1C8E5E18"/>
    <w:rsid w:val="1CE62F38"/>
    <w:rsid w:val="1DADE0FE"/>
    <w:rsid w:val="1DE35AE0"/>
    <w:rsid w:val="1DE81558"/>
    <w:rsid w:val="1E367367"/>
    <w:rsid w:val="1EFD54D7"/>
    <w:rsid w:val="1FA67170"/>
    <w:rsid w:val="210C7C53"/>
    <w:rsid w:val="218400BA"/>
    <w:rsid w:val="22401962"/>
    <w:rsid w:val="228C6C24"/>
    <w:rsid w:val="2391082F"/>
    <w:rsid w:val="24103AE8"/>
    <w:rsid w:val="24247062"/>
    <w:rsid w:val="24A51F50"/>
    <w:rsid w:val="24FE78B3"/>
    <w:rsid w:val="28E65BFC"/>
    <w:rsid w:val="29CC7F7F"/>
    <w:rsid w:val="2B980CD4"/>
    <w:rsid w:val="2DE22ED5"/>
    <w:rsid w:val="2E5733EE"/>
    <w:rsid w:val="2E876161"/>
    <w:rsid w:val="2E9A031E"/>
    <w:rsid w:val="2FB15C4D"/>
    <w:rsid w:val="2FB335EA"/>
    <w:rsid w:val="30CB0F91"/>
    <w:rsid w:val="31172428"/>
    <w:rsid w:val="31DB5204"/>
    <w:rsid w:val="32966636"/>
    <w:rsid w:val="339871B8"/>
    <w:rsid w:val="33F32E0C"/>
    <w:rsid w:val="34825E0A"/>
    <w:rsid w:val="36073E97"/>
    <w:rsid w:val="36922DFA"/>
    <w:rsid w:val="36BD4A45"/>
    <w:rsid w:val="389E6705"/>
    <w:rsid w:val="39F8091D"/>
    <w:rsid w:val="3A6F1F27"/>
    <w:rsid w:val="3B5B1ACD"/>
    <w:rsid w:val="3BFB0B11"/>
    <w:rsid w:val="3BFF5885"/>
    <w:rsid w:val="3C6F23F6"/>
    <w:rsid w:val="3DE06C78"/>
    <w:rsid w:val="3EAE7762"/>
    <w:rsid w:val="3EEA117C"/>
    <w:rsid w:val="3F7F6A85"/>
    <w:rsid w:val="3FBBEEB7"/>
    <w:rsid w:val="3FDFFC84"/>
    <w:rsid w:val="402C1074"/>
    <w:rsid w:val="41477FD1"/>
    <w:rsid w:val="42CD7B53"/>
    <w:rsid w:val="432E1FDC"/>
    <w:rsid w:val="436E2383"/>
    <w:rsid w:val="43EEE753"/>
    <w:rsid w:val="44872FC9"/>
    <w:rsid w:val="458C4D3B"/>
    <w:rsid w:val="458D460F"/>
    <w:rsid w:val="45F97388"/>
    <w:rsid w:val="46252A99"/>
    <w:rsid w:val="47D97FDF"/>
    <w:rsid w:val="48641914"/>
    <w:rsid w:val="49883890"/>
    <w:rsid w:val="49C565CB"/>
    <w:rsid w:val="4B1D3D7A"/>
    <w:rsid w:val="4BE7173C"/>
    <w:rsid w:val="4BED6D15"/>
    <w:rsid w:val="4D001B6A"/>
    <w:rsid w:val="4DDD3C0A"/>
    <w:rsid w:val="4DF47921"/>
    <w:rsid w:val="4E293F24"/>
    <w:rsid w:val="52F15603"/>
    <w:rsid w:val="534722A1"/>
    <w:rsid w:val="53B79290"/>
    <w:rsid w:val="54DE6C35"/>
    <w:rsid w:val="550D751A"/>
    <w:rsid w:val="55D3759E"/>
    <w:rsid w:val="581617A2"/>
    <w:rsid w:val="583E5416"/>
    <w:rsid w:val="598D3980"/>
    <w:rsid w:val="5A0E1D6B"/>
    <w:rsid w:val="5A13217E"/>
    <w:rsid w:val="5AD05272"/>
    <w:rsid w:val="5BFF385F"/>
    <w:rsid w:val="5C5B0B6B"/>
    <w:rsid w:val="5D9C768D"/>
    <w:rsid w:val="5F1E5BE1"/>
    <w:rsid w:val="5F6D28B0"/>
    <w:rsid w:val="5FA7E584"/>
    <w:rsid w:val="619264F3"/>
    <w:rsid w:val="61C2571A"/>
    <w:rsid w:val="6333639E"/>
    <w:rsid w:val="63DE27AE"/>
    <w:rsid w:val="648F1CFA"/>
    <w:rsid w:val="653A488A"/>
    <w:rsid w:val="657607C4"/>
    <w:rsid w:val="659A2704"/>
    <w:rsid w:val="662B662D"/>
    <w:rsid w:val="673E1485"/>
    <w:rsid w:val="67691546"/>
    <w:rsid w:val="693D7F76"/>
    <w:rsid w:val="6A3E1389"/>
    <w:rsid w:val="6AEE6320"/>
    <w:rsid w:val="6AFE7CBB"/>
    <w:rsid w:val="6BFB64E0"/>
    <w:rsid w:val="6ECF78C3"/>
    <w:rsid w:val="6EF6FB56"/>
    <w:rsid w:val="6F7915DC"/>
    <w:rsid w:val="6F7F5CF4"/>
    <w:rsid w:val="6FAC0591"/>
    <w:rsid w:val="6FAED958"/>
    <w:rsid w:val="6FFFD435"/>
    <w:rsid w:val="71155335"/>
    <w:rsid w:val="71824F76"/>
    <w:rsid w:val="73931171"/>
    <w:rsid w:val="73A31AA0"/>
    <w:rsid w:val="73F507A1"/>
    <w:rsid w:val="74281B7F"/>
    <w:rsid w:val="746A5998"/>
    <w:rsid w:val="74B54B6A"/>
    <w:rsid w:val="75383CE8"/>
    <w:rsid w:val="774A2949"/>
    <w:rsid w:val="77DD0EE1"/>
    <w:rsid w:val="77E7344D"/>
    <w:rsid w:val="790181C4"/>
    <w:rsid w:val="79AE4474"/>
    <w:rsid w:val="79F74A84"/>
    <w:rsid w:val="7A396538"/>
    <w:rsid w:val="7A6B4218"/>
    <w:rsid w:val="7AFFAE9D"/>
    <w:rsid w:val="7B2E3BC3"/>
    <w:rsid w:val="7B7F1F1A"/>
    <w:rsid w:val="7BAF8C0C"/>
    <w:rsid w:val="7BC41E31"/>
    <w:rsid w:val="7BF49A7C"/>
    <w:rsid w:val="7C8B47FA"/>
    <w:rsid w:val="7CBB53BC"/>
    <w:rsid w:val="7DDFB3F0"/>
    <w:rsid w:val="7DF5DE1C"/>
    <w:rsid w:val="7DF71B74"/>
    <w:rsid w:val="7DFF86F1"/>
    <w:rsid w:val="7E274B21"/>
    <w:rsid w:val="7E437EA6"/>
    <w:rsid w:val="7E7E7FB6"/>
    <w:rsid w:val="7EBE3600"/>
    <w:rsid w:val="7ED9154C"/>
    <w:rsid w:val="7F063230"/>
    <w:rsid w:val="7FB9CB38"/>
    <w:rsid w:val="7FD77A4B"/>
    <w:rsid w:val="7FFE4838"/>
    <w:rsid w:val="897F8151"/>
    <w:rsid w:val="9F9D13F2"/>
    <w:rsid w:val="AE7E7EDE"/>
    <w:rsid w:val="BBB7A298"/>
    <w:rsid w:val="BE1F17A7"/>
    <w:rsid w:val="BFCFC50C"/>
    <w:rsid w:val="BFFC01C7"/>
    <w:rsid w:val="CBD349B8"/>
    <w:rsid w:val="D7DFEFD4"/>
    <w:rsid w:val="DBAFB5CA"/>
    <w:rsid w:val="DF4F967E"/>
    <w:rsid w:val="DF9D7FDE"/>
    <w:rsid w:val="E3770311"/>
    <w:rsid w:val="EB47137B"/>
    <w:rsid w:val="ECEF924F"/>
    <w:rsid w:val="F7F79DB5"/>
    <w:rsid w:val="F9DFB77E"/>
    <w:rsid w:val="FB7976F6"/>
    <w:rsid w:val="FBFBB652"/>
    <w:rsid w:val="FCFFF574"/>
    <w:rsid w:val="FDC7F905"/>
    <w:rsid w:val="FDFF206A"/>
    <w:rsid w:val="FE77D94A"/>
    <w:rsid w:val="FEF32B2C"/>
    <w:rsid w:val="FEFF1B2D"/>
    <w:rsid w:val="FF3C1614"/>
    <w:rsid w:val="FFBFCA34"/>
    <w:rsid w:val="FFF7B797"/>
    <w:rsid w:val="FFFA7E0C"/>
    <w:rsid w:val="FFFBA303"/>
    <w:rsid w:val="FFFF6E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0" w:name="heading 8"/>
    <w:lsdException w:qFormat="1" w:uiPriority="9"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link w:val="27"/>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paragraph" w:styleId="4">
    <w:name w:val="heading 8"/>
    <w:basedOn w:val="1"/>
    <w:next w:val="1"/>
    <w:semiHidden/>
    <w:unhideWhenUsed/>
    <w:qFormat/>
    <w:uiPriority w:val="0"/>
    <w:pPr>
      <w:keepNext/>
      <w:keepLines/>
      <w:spacing w:before="240" w:after="64" w:line="317" w:lineRule="auto"/>
      <w:outlineLvl w:val="7"/>
    </w:pPr>
    <w:rPr>
      <w:rFonts w:eastAsia="黑体"/>
      <w:sz w:val="2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autoRedefine/>
    <w:semiHidden/>
    <w:unhideWhenUsed/>
    <w:qFormat/>
    <w:uiPriority w:val="99"/>
    <w:pPr>
      <w:jc w:val="left"/>
    </w:pPr>
  </w:style>
  <w:style w:type="paragraph" w:styleId="6">
    <w:name w:val="Body Text"/>
    <w:basedOn w:val="1"/>
    <w:autoRedefine/>
    <w:semiHidden/>
    <w:qFormat/>
    <w:uiPriority w:val="0"/>
    <w:rPr>
      <w:rFonts w:ascii="宋体" w:hAnsi="宋体" w:eastAsia="宋体" w:cs="宋体"/>
      <w:sz w:val="24"/>
      <w:szCs w:val="24"/>
    </w:rPr>
  </w:style>
  <w:style w:type="paragraph" w:styleId="7">
    <w:name w:val="Body Text Indent"/>
    <w:basedOn w:val="1"/>
    <w:next w:val="4"/>
    <w:qFormat/>
    <w:uiPriority w:val="0"/>
    <w:pPr>
      <w:spacing w:after="120"/>
      <w:ind w:left="420" w:leftChars="200"/>
      <w:jc w:val="center"/>
    </w:pPr>
    <w:rPr>
      <w:sz w:val="31"/>
    </w:rPr>
  </w:style>
  <w:style w:type="paragraph" w:styleId="8">
    <w:name w:val="index 4"/>
    <w:basedOn w:val="1"/>
    <w:next w:val="1"/>
    <w:qFormat/>
    <w:uiPriority w:val="0"/>
    <w:pPr>
      <w:spacing w:line="360" w:lineRule="auto"/>
      <w:ind w:left="600" w:leftChars="600"/>
    </w:pPr>
    <w:rPr>
      <w:sz w:val="24"/>
      <w:szCs w:val="24"/>
    </w:rPr>
  </w:style>
  <w:style w:type="paragraph" w:styleId="9">
    <w:name w:val="Balloon Text"/>
    <w:basedOn w:val="1"/>
    <w:link w:val="23"/>
    <w:autoRedefine/>
    <w:semiHidden/>
    <w:unhideWhenUsed/>
    <w:qFormat/>
    <w:uiPriority w:val="99"/>
    <w:rPr>
      <w:sz w:val="18"/>
      <w:szCs w:val="18"/>
    </w:rPr>
  </w:style>
  <w:style w:type="paragraph" w:styleId="10">
    <w:name w:val="footer"/>
    <w:basedOn w:val="1"/>
    <w:link w:val="19"/>
    <w:autoRedefine/>
    <w:unhideWhenUsed/>
    <w:qFormat/>
    <w:uiPriority w:val="99"/>
    <w:pPr>
      <w:tabs>
        <w:tab w:val="center" w:pos="4153"/>
        <w:tab w:val="right" w:pos="8306"/>
      </w:tabs>
      <w:snapToGrid w:val="0"/>
      <w:jc w:val="left"/>
    </w:pPr>
    <w:rPr>
      <w:sz w:val="18"/>
      <w:szCs w:val="18"/>
    </w:rPr>
  </w:style>
  <w:style w:type="paragraph" w:styleId="11">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annotation subject"/>
    <w:basedOn w:val="5"/>
    <w:next w:val="5"/>
    <w:link w:val="22"/>
    <w:autoRedefine/>
    <w:semiHidden/>
    <w:unhideWhenUsed/>
    <w:qFormat/>
    <w:uiPriority w:val="99"/>
    <w:rPr>
      <w:b/>
      <w:bCs/>
    </w:rPr>
  </w:style>
  <w:style w:type="paragraph" w:styleId="13">
    <w:name w:val="Body Text First Indent 2"/>
    <w:basedOn w:val="7"/>
    <w:qFormat/>
    <w:uiPriority w:val="0"/>
    <w:pPr>
      <w:ind w:firstLine="420" w:firstLineChars="200"/>
    </w:pPr>
  </w:style>
  <w:style w:type="character" w:styleId="16">
    <w:name w:val="Emphasis"/>
    <w:basedOn w:val="15"/>
    <w:qFormat/>
    <w:uiPriority w:val="20"/>
    <w:rPr>
      <w:i/>
    </w:rPr>
  </w:style>
  <w:style w:type="character" w:styleId="17">
    <w:name w:val="annotation reference"/>
    <w:autoRedefine/>
    <w:qFormat/>
    <w:uiPriority w:val="0"/>
    <w:rPr>
      <w:rFonts w:ascii="Calibri" w:hAnsi="Calibri" w:eastAsia="宋体" w:cs="Times New Roman"/>
      <w:sz w:val="21"/>
      <w:szCs w:val="21"/>
    </w:rPr>
  </w:style>
  <w:style w:type="character" w:customStyle="1" w:styleId="18">
    <w:name w:val="页眉 字符"/>
    <w:basedOn w:val="15"/>
    <w:link w:val="11"/>
    <w:autoRedefine/>
    <w:qFormat/>
    <w:uiPriority w:val="99"/>
    <w:rPr>
      <w:sz w:val="18"/>
      <w:szCs w:val="18"/>
    </w:rPr>
  </w:style>
  <w:style w:type="character" w:customStyle="1" w:styleId="19">
    <w:name w:val="页脚 字符"/>
    <w:basedOn w:val="15"/>
    <w:link w:val="10"/>
    <w:autoRedefine/>
    <w:qFormat/>
    <w:uiPriority w:val="99"/>
    <w:rPr>
      <w:sz w:val="18"/>
      <w:szCs w:val="18"/>
    </w:rPr>
  </w:style>
  <w:style w:type="paragraph" w:styleId="20">
    <w:name w:val="List Paragraph"/>
    <w:basedOn w:val="1"/>
    <w:autoRedefine/>
    <w:qFormat/>
    <w:uiPriority w:val="0"/>
    <w:pPr>
      <w:spacing w:line="360" w:lineRule="auto"/>
    </w:pPr>
    <w:rPr>
      <w:rFonts w:ascii="宋体" w:hAnsi="宋体" w:eastAsia="宋体" w:cs="Times New Roman"/>
      <w:color w:val="000000" w:themeColor="text1"/>
      <w:sz w:val="24"/>
      <w:szCs w:val="24"/>
      <w14:textFill>
        <w14:solidFill>
          <w14:schemeClr w14:val="tx1"/>
        </w14:solidFill>
      </w14:textFill>
    </w:rPr>
  </w:style>
  <w:style w:type="character" w:customStyle="1" w:styleId="21">
    <w:name w:val="批注文字 字符"/>
    <w:basedOn w:val="15"/>
    <w:link w:val="5"/>
    <w:autoRedefine/>
    <w:semiHidden/>
    <w:qFormat/>
    <w:uiPriority w:val="99"/>
  </w:style>
  <w:style w:type="character" w:customStyle="1" w:styleId="22">
    <w:name w:val="批注主题 字符"/>
    <w:basedOn w:val="21"/>
    <w:link w:val="12"/>
    <w:autoRedefine/>
    <w:semiHidden/>
    <w:qFormat/>
    <w:uiPriority w:val="99"/>
    <w:rPr>
      <w:b/>
      <w:bCs/>
    </w:rPr>
  </w:style>
  <w:style w:type="character" w:customStyle="1" w:styleId="23">
    <w:name w:val="批注框文本 字符"/>
    <w:basedOn w:val="15"/>
    <w:link w:val="9"/>
    <w:autoRedefine/>
    <w:semiHidden/>
    <w:qFormat/>
    <w:uiPriority w:val="99"/>
    <w:rPr>
      <w:sz w:val="18"/>
      <w:szCs w:val="18"/>
    </w:rPr>
  </w:style>
  <w:style w:type="paragraph" w:customStyle="1" w:styleId="24">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8"/>
      <w:szCs w:val="28"/>
      <w:lang w:eastAsia="en-US"/>
    </w:rPr>
  </w:style>
  <w:style w:type="table" w:customStyle="1" w:styleId="25">
    <w:name w:val="Table Normal"/>
    <w:autoRedefine/>
    <w:semiHidden/>
    <w:unhideWhenUsed/>
    <w:qFormat/>
    <w:uiPriority w:val="0"/>
    <w:tblPr>
      <w:tblCellMar>
        <w:top w:w="0" w:type="dxa"/>
        <w:left w:w="0" w:type="dxa"/>
        <w:bottom w:w="0" w:type="dxa"/>
        <w:right w:w="0" w:type="dxa"/>
      </w:tblCellMar>
    </w:tblPr>
  </w:style>
  <w:style w:type="paragraph" w:customStyle="1" w:styleId="26">
    <w:name w:val="Style1"/>
    <w:next w:val="1"/>
    <w:autoRedefine/>
    <w:qFormat/>
    <w:uiPriority w:val="0"/>
    <w:pPr>
      <w:numPr>
        <w:ilvl w:val="0"/>
        <w:numId w:val="1"/>
      </w:numPr>
      <w:tabs>
        <w:tab w:val="left" w:pos="432"/>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 w:val="clear" w:pos="574"/>
      </w:tabs>
      <w:spacing w:line="360" w:lineRule="auto"/>
      <w:jc w:val="center"/>
    </w:pPr>
    <w:rPr>
      <w:rFonts w:ascii="Times New Roman" w:hAnsi="Times New Roman" w:eastAsia="宋体" w:cs="andale mono"/>
      <w:b/>
      <w:kern w:val="24"/>
      <w:sz w:val="24"/>
      <w:szCs w:val="22"/>
      <w:lang w:val="en-GB" w:eastAsia="zh-CN" w:bidi="ar-SA"/>
    </w:rPr>
  </w:style>
  <w:style w:type="character" w:customStyle="1" w:styleId="27">
    <w:name w:val="标题 4 Char"/>
    <w:link w:val="3"/>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7003</Words>
  <Characters>8301</Characters>
  <Lines>44</Lines>
  <Paragraphs>12</Paragraphs>
  <TotalTime>72</TotalTime>
  <ScaleCrop>false</ScaleCrop>
  <LinksUpToDate>false</LinksUpToDate>
  <CharactersWithSpaces>8396</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2024-10-15T23:16:00Z</dcterms:created>
  <dc:creator>圣诞节1391516102</dc:creator>
  <cp:lastModifiedBy>王国林</cp:lastModifiedBy>
  <dcterms:modified xsi:type="dcterms:W3CDTF">2025-06-12T15:36:30Z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12B4C2C20E284935AD3730AD629899B9_13</vt:lpwstr>
  </property>
  <property fmtid="{D5CDD505-2E9C-101B-9397-08002B2CF9AE}" pid="4" name="KSOTemplateDocerSaveRecord">
    <vt:lpwstr>eyJoZGlkIjoiMWJhZjdmYjhkM2VhYzYwODU3NTUyM2VkODgwN2Y3NjIifQ==</vt:lpwstr>
  </property>
</Properties>
</file>