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91D07D">
      <w:pPr>
        <w:ind w:firstLine="0" w:firstLineChars="0"/>
        <w:jc w:val="center"/>
        <w:rPr>
          <w:rFonts w:hint="eastAsia" w:ascii="黑体" w:hAnsi="黑体" w:eastAsia="黑体"/>
          <w:sz w:val="48"/>
          <w:szCs w:val="48"/>
        </w:rPr>
      </w:pPr>
    </w:p>
    <w:p w14:paraId="36F826E6">
      <w:pPr>
        <w:ind w:firstLine="0" w:firstLineChars="0"/>
        <w:jc w:val="center"/>
        <w:rPr>
          <w:rFonts w:hint="eastAsia" w:ascii="黑体" w:hAnsi="黑体" w:eastAsia="黑体"/>
          <w:sz w:val="48"/>
          <w:szCs w:val="48"/>
        </w:rPr>
      </w:pPr>
    </w:p>
    <w:p w14:paraId="68F91713">
      <w:pPr>
        <w:ind w:firstLine="0" w:firstLineChars="0"/>
        <w:jc w:val="center"/>
        <w:rPr>
          <w:rFonts w:hint="eastAsia" w:ascii="黑体" w:hAnsi="黑体" w:eastAsia="黑体"/>
          <w:sz w:val="52"/>
          <w:szCs w:val="52"/>
        </w:rPr>
      </w:pPr>
      <w:r>
        <w:rPr>
          <w:rFonts w:hint="eastAsia" w:ascii="黑体" w:hAnsi="黑体" w:eastAsia="黑体"/>
          <w:sz w:val="52"/>
          <w:szCs w:val="52"/>
        </w:rPr>
        <w:t>上海市购房条件码子系统建设项目</w:t>
      </w:r>
    </w:p>
    <w:p w14:paraId="36F725B8">
      <w:pPr>
        <w:ind w:firstLine="0" w:firstLineChars="0"/>
        <w:jc w:val="center"/>
        <w:rPr>
          <w:rFonts w:hint="eastAsia" w:ascii="黑体" w:hAnsi="黑体" w:eastAsia="黑体"/>
          <w:sz w:val="52"/>
          <w:szCs w:val="52"/>
        </w:rPr>
      </w:pPr>
      <w:r>
        <w:rPr>
          <w:rFonts w:hint="eastAsia" w:ascii="黑体" w:hAnsi="黑体" w:eastAsia="黑体"/>
          <w:sz w:val="52"/>
          <w:szCs w:val="52"/>
        </w:rPr>
        <w:t>采购需求</w:t>
      </w:r>
    </w:p>
    <w:p w14:paraId="426EDA50">
      <w:pPr>
        <w:ind w:firstLine="0" w:firstLineChars="0"/>
        <w:jc w:val="center"/>
        <w:rPr>
          <w:rFonts w:hint="eastAsia" w:ascii="黑体" w:hAnsi="黑体" w:eastAsia="黑体"/>
          <w:sz w:val="72"/>
          <w:szCs w:val="72"/>
        </w:rPr>
      </w:pPr>
    </w:p>
    <w:p w14:paraId="31B9FA11">
      <w:pPr>
        <w:ind w:firstLine="0" w:firstLineChars="0"/>
        <w:jc w:val="center"/>
        <w:rPr>
          <w:rFonts w:hint="eastAsia" w:ascii="黑体" w:hAnsi="黑体" w:eastAsia="黑体"/>
          <w:sz w:val="48"/>
          <w:szCs w:val="48"/>
        </w:rPr>
      </w:pPr>
    </w:p>
    <w:p w14:paraId="46BB3132">
      <w:pPr>
        <w:ind w:firstLine="0" w:firstLineChars="0"/>
        <w:jc w:val="center"/>
        <w:rPr>
          <w:rFonts w:hint="eastAsia" w:ascii="黑体" w:hAnsi="黑体" w:eastAsia="黑体"/>
          <w:sz w:val="52"/>
          <w:szCs w:val="52"/>
        </w:rPr>
      </w:pPr>
    </w:p>
    <w:p w14:paraId="165B2EE6">
      <w:pPr>
        <w:ind w:firstLine="0" w:firstLineChars="0"/>
        <w:jc w:val="center"/>
        <w:rPr>
          <w:rFonts w:hint="eastAsia" w:ascii="黑体" w:hAnsi="黑体" w:eastAsia="黑体"/>
          <w:sz w:val="52"/>
          <w:szCs w:val="52"/>
        </w:rPr>
      </w:pPr>
    </w:p>
    <w:p w14:paraId="4322D7F7">
      <w:pPr>
        <w:ind w:firstLine="0" w:firstLineChars="0"/>
        <w:jc w:val="center"/>
        <w:rPr>
          <w:rFonts w:hint="eastAsia"/>
        </w:rPr>
      </w:pPr>
    </w:p>
    <w:p w14:paraId="2AC3F13A">
      <w:pPr>
        <w:ind w:firstLine="0" w:firstLineChars="0"/>
        <w:jc w:val="center"/>
        <w:rPr>
          <w:rFonts w:hint="eastAsia"/>
        </w:rPr>
      </w:pPr>
    </w:p>
    <w:p w14:paraId="3A0A1763">
      <w:pPr>
        <w:ind w:firstLine="0" w:firstLineChars="0"/>
        <w:jc w:val="center"/>
        <w:rPr>
          <w:rFonts w:hint="eastAsia"/>
        </w:rPr>
      </w:pPr>
    </w:p>
    <w:p w14:paraId="302FF839">
      <w:pPr>
        <w:ind w:firstLine="0" w:firstLineChars="0"/>
        <w:jc w:val="center"/>
        <w:rPr>
          <w:rFonts w:hint="eastAsia"/>
        </w:rPr>
      </w:pPr>
    </w:p>
    <w:p w14:paraId="3B527295">
      <w:pPr>
        <w:ind w:firstLine="0" w:firstLineChars="0"/>
        <w:jc w:val="center"/>
        <w:rPr>
          <w:rFonts w:hint="eastAsia"/>
        </w:rPr>
      </w:pPr>
    </w:p>
    <w:p w14:paraId="650289BB">
      <w:pPr>
        <w:ind w:firstLine="0" w:firstLineChars="0"/>
        <w:jc w:val="left"/>
        <w:rPr>
          <w:rFonts w:hint="eastAsia" w:ascii="黑体" w:hAnsi="黑体" w:eastAsia="黑体"/>
          <w:sz w:val="52"/>
          <w:szCs w:val="52"/>
        </w:rPr>
      </w:pPr>
    </w:p>
    <w:p w14:paraId="2A2CB4FC">
      <w:pPr>
        <w:ind w:firstLine="0" w:firstLineChars="0"/>
        <w:jc w:val="left"/>
        <w:rPr>
          <w:rFonts w:hint="eastAsia"/>
        </w:rPr>
        <w:sectPr>
          <w:headerReference r:id="rId7" w:type="first"/>
          <w:footerReference r:id="rId10" w:type="first"/>
          <w:headerReference r:id="rId5" w:type="default"/>
          <w:footerReference r:id="rId8" w:type="default"/>
          <w:headerReference r:id="rId6" w:type="even"/>
          <w:footerReference r:id="rId9" w:type="even"/>
          <w:pgSz w:w="11906" w:h="16838"/>
          <w:pgMar w:top="1134" w:right="1797" w:bottom="1135" w:left="1797" w:header="340" w:footer="7" w:gutter="0"/>
          <w:pgNumType w:start="1"/>
          <w:cols w:space="720" w:num="1"/>
          <w:titlePg/>
          <w:docGrid w:type="linesAndChars" w:linePitch="326" w:charSpace="0"/>
        </w:sectPr>
      </w:pPr>
    </w:p>
    <w:p w14:paraId="70D55F5D">
      <w:pPr>
        <w:pStyle w:val="2"/>
        <w:rPr>
          <w:rFonts w:hint="eastAsia"/>
        </w:rPr>
      </w:pPr>
      <w:bookmarkStart w:id="0" w:name="_Toc63785461"/>
      <w:r>
        <w:rPr>
          <w:rFonts w:hint="eastAsia"/>
        </w:rPr>
        <w:t>项目概况</w:t>
      </w:r>
      <w:bookmarkEnd w:id="0"/>
    </w:p>
    <w:p w14:paraId="44B86CEB">
      <w:pPr>
        <w:pStyle w:val="3"/>
        <w:rPr>
          <w:rFonts w:hint="eastAsia"/>
        </w:rPr>
      </w:pPr>
      <w:bookmarkStart w:id="1" w:name="_Toc47539070"/>
      <w:bookmarkEnd w:id="1"/>
      <w:bookmarkStart w:id="2" w:name="_Toc47536272"/>
      <w:bookmarkEnd w:id="2"/>
      <w:bookmarkStart w:id="3" w:name="_Toc47536644"/>
      <w:bookmarkEnd w:id="3"/>
      <w:bookmarkStart w:id="4" w:name="_Toc47532255"/>
      <w:bookmarkEnd w:id="4"/>
      <w:bookmarkStart w:id="5" w:name="_Toc47531634"/>
      <w:bookmarkEnd w:id="5"/>
      <w:bookmarkStart w:id="6" w:name="_Toc47532891"/>
      <w:bookmarkEnd w:id="6"/>
      <w:bookmarkStart w:id="7" w:name="_Toc47533256"/>
      <w:bookmarkEnd w:id="7"/>
      <w:bookmarkStart w:id="8" w:name="_Toc47537134"/>
      <w:bookmarkEnd w:id="8"/>
      <w:bookmarkStart w:id="9" w:name="_Toc63785463"/>
      <w:bookmarkStart w:id="10" w:name="_Toc48223882"/>
      <w:r>
        <w:rPr>
          <w:rFonts w:hint="eastAsia"/>
        </w:rPr>
        <w:t>项目建设背景</w:t>
      </w:r>
    </w:p>
    <w:p w14:paraId="72375034">
      <w:pPr>
        <w:rPr>
          <w:rFonts w:hint="eastAsia"/>
        </w:rPr>
      </w:pPr>
      <w:r>
        <w:rPr>
          <w:rFonts w:hint="eastAsia"/>
        </w:rPr>
        <w:t>以群众“高效办成一件事”为目标，围绕推进房屋登记、交易、缴税系统集成和数据共享，支撑“免于提交”“全程网办”，强化部门协同。提出《“全程网办”“免于提交”优化</w:t>
      </w:r>
      <w:bookmarkStart w:id="32" w:name="_GoBack"/>
      <w:bookmarkEnd w:id="32"/>
      <w:r>
        <w:rPr>
          <w:rFonts w:hint="eastAsia"/>
        </w:rPr>
        <w:t>房屋买卖“一件事”工作方案》，方案的指导思想为：践行以人民为中心的发展思想，持续深化“一网通办”改革，加强数字政府建设，坚持问题导向、需求导向和效果导向，对本市房屋登记、交易、缴税办事流程进行再造，加强跨部门系统集成和数据共享，努力做到群众买卖房屋办事过程“少填、免填；少交、免交；少跑、网办”，实现“免于提交”“全程网办”，持续优化营商环境，提升群众获得感和满意度。</w:t>
      </w:r>
    </w:p>
    <w:p w14:paraId="4F0CDD1E">
      <w:pPr>
        <w:pStyle w:val="3"/>
        <w:rPr>
          <w:rFonts w:hint="eastAsia"/>
        </w:rPr>
      </w:pPr>
      <w:r>
        <w:rPr>
          <w:rFonts w:hint="eastAsia"/>
        </w:rPr>
        <w:t>项目基本信息</w:t>
      </w:r>
    </w:p>
    <w:p w14:paraId="3B8B960D">
      <w:pPr>
        <w:rPr>
          <w:rFonts w:hint="eastAsia"/>
        </w:rPr>
      </w:pPr>
      <w:r>
        <w:rPr>
          <w:rFonts w:hint="eastAsia"/>
        </w:rPr>
        <w:t>项目名称：上海市购房条件码子系统建设项目</w:t>
      </w:r>
    </w:p>
    <w:p w14:paraId="75083581">
      <w:pPr>
        <w:rPr>
          <w:rFonts w:hint="eastAsia"/>
        </w:rPr>
      </w:pPr>
      <w:r>
        <w:rPr>
          <w:rFonts w:hint="eastAsia"/>
        </w:rPr>
        <w:t>建设期限：</w:t>
      </w:r>
      <w:r>
        <w:t>自合同签订之日起</w:t>
      </w:r>
      <w:r>
        <w:rPr>
          <w:rFonts w:hint="eastAsia"/>
          <w:lang w:val="en-US" w:eastAsia="zh-CN"/>
        </w:rPr>
        <w:t>8个月内</w:t>
      </w:r>
      <w:r>
        <w:rPr>
          <w:rFonts w:hint="eastAsia"/>
        </w:rPr>
        <w:t>。</w:t>
      </w:r>
    </w:p>
    <w:p w14:paraId="56F98C53">
      <w:pPr>
        <w:pStyle w:val="26"/>
        <w:rPr>
          <w:rFonts w:hint="eastAsia"/>
        </w:rPr>
      </w:pPr>
      <w:r>
        <w:rPr>
          <w:rFonts w:hint="eastAsia"/>
        </w:rPr>
        <w:t>建设地址：上海市浦东新区世博村路</w:t>
      </w:r>
      <w:r>
        <w:rPr>
          <w:rFonts w:hint="eastAsia" w:ascii="Times New Roman" w:hAnsi="Times New Roman"/>
        </w:rPr>
        <w:t>300</w:t>
      </w:r>
      <w:r>
        <w:rPr>
          <w:rFonts w:hint="eastAsia"/>
        </w:rPr>
        <w:t>号</w:t>
      </w:r>
    </w:p>
    <w:p w14:paraId="3E892CBC">
      <w:pPr>
        <w:rPr>
          <w:rFonts w:hint="eastAsia"/>
        </w:rPr>
      </w:pPr>
      <w:r>
        <w:rPr>
          <w:rFonts w:hint="eastAsia"/>
        </w:rPr>
        <w:t>预算金额：1045000</w:t>
      </w:r>
      <w:r>
        <w:t>.00</w:t>
      </w:r>
      <w:r>
        <w:rPr>
          <w:rFonts w:hint="eastAsia"/>
        </w:rPr>
        <w:t>元</w:t>
      </w:r>
    </w:p>
    <w:p w14:paraId="2F86074F">
      <w:pPr>
        <w:rPr>
          <w:rFonts w:hint="eastAsia"/>
        </w:rPr>
      </w:pPr>
      <w:r>
        <w:rPr>
          <w:rFonts w:hint="eastAsia"/>
        </w:rPr>
        <w:t>采购金额（最高限价）：1045000</w:t>
      </w:r>
      <w:r>
        <w:t>.00</w:t>
      </w:r>
      <w:r>
        <w:rPr>
          <w:rFonts w:hint="eastAsia"/>
        </w:rPr>
        <w:t>元</w:t>
      </w:r>
    </w:p>
    <w:p w14:paraId="43D32177">
      <w:pPr>
        <w:rPr>
          <w:rFonts w:hint="eastAsia"/>
        </w:rPr>
      </w:pPr>
      <w:r>
        <w:rPr>
          <w:rFonts w:hint="eastAsia"/>
        </w:rPr>
        <w:t>组织形式：集中采购</w:t>
      </w:r>
    </w:p>
    <w:p w14:paraId="15B79BD0">
      <w:pPr>
        <w:rPr>
          <w:rFonts w:hint="eastAsia"/>
        </w:rPr>
      </w:pPr>
      <w:r>
        <w:rPr>
          <w:rFonts w:hint="eastAsia"/>
        </w:rPr>
        <w:t>采购方式：竞争性磋商</w:t>
      </w:r>
    </w:p>
    <w:p w14:paraId="3FE13C46">
      <w:pPr>
        <w:rPr>
          <w:rFonts w:hint="eastAsia"/>
        </w:rPr>
      </w:pPr>
      <w:r>
        <w:rPr>
          <w:rFonts w:hint="eastAsia"/>
        </w:rPr>
        <w:t>是否接受联合体投标：否</w:t>
      </w:r>
    </w:p>
    <w:p w14:paraId="3ED22EBC">
      <w:pPr>
        <w:rPr>
          <w:rFonts w:hint="eastAsia"/>
        </w:rPr>
      </w:pPr>
      <w:r>
        <w:rPr>
          <w:rFonts w:hint="eastAsia"/>
        </w:rPr>
        <w:t>是否按</w:t>
      </w:r>
      <w:r>
        <w:rPr>
          <w:rFonts w:hint="eastAsia"/>
          <w:lang w:val="en-US" w:eastAsia="zh-CN"/>
        </w:rPr>
        <w:t>XC</w:t>
      </w:r>
      <w:r>
        <w:rPr>
          <w:rFonts w:hint="eastAsia"/>
        </w:rPr>
        <w:t>要求建设：是</w:t>
      </w:r>
    </w:p>
    <w:p w14:paraId="2057ABF4">
      <w:pPr>
        <w:rPr>
          <w:rFonts w:hint="eastAsia"/>
        </w:rPr>
      </w:pPr>
      <w:r>
        <w:rPr>
          <w:rFonts w:hint="eastAsia"/>
        </w:rPr>
        <w:t>运维后所属大系统：上海市房屋管理局房地产市场管理系统</w:t>
      </w:r>
    </w:p>
    <w:p w14:paraId="5E6C7852">
      <w:pPr>
        <w:pStyle w:val="2"/>
        <w:rPr>
          <w:rFonts w:hint="eastAsia"/>
        </w:rPr>
      </w:pPr>
      <w:r>
        <w:rPr>
          <w:rFonts w:hint="eastAsia"/>
        </w:rPr>
        <w:t>建设目标</w:t>
      </w:r>
      <w:bookmarkEnd w:id="9"/>
      <w:bookmarkEnd w:id="10"/>
    </w:p>
    <w:p w14:paraId="0250C2FA">
      <w:pPr>
        <w:pStyle w:val="3"/>
        <w:rPr>
          <w:rFonts w:hint="eastAsia"/>
        </w:rPr>
      </w:pPr>
      <w:bookmarkStart w:id="11" w:name="_Toc47536676"/>
      <w:bookmarkEnd w:id="11"/>
      <w:bookmarkStart w:id="12" w:name="_Toc47537166"/>
      <w:bookmarkEnd w:id="12"/>
      <w:bookmarkStart w:id="13" w:name="_Toc47539102"/>
      <w:bookmarkEnd w:id="13"/>
      <w:bookmarkStart w:id="14" w:name="_Toc47533288"/>
      <w:bookmarkEnd w:id="14"/>
      <w:bookmarkStart w:id="15" w:name="_Toc47532923"/>
      <w:bookmarkEnd w:id="15"/>
      <w:bookmarkStart w:id="16" w:name="_Toc47536304"/>
      <w:bookmarkEnd w:id="16"/>
      <w:r>
        <w:rPr>
          <w:rFonts w:hint="eastAsia"/>
        </w:rPr>
        <w:t>总体目标</w:t>
      </w:r>
    </w:p>
    <w:p w14:paraId="6F54947C">
      <w:pPr>
        <w:rPr>
          <w:rFonts w:hint="eastAsia"/>
        </w:rPr>
      </w:pPr>
      <w:r>
        <w:rPr>
          <w:rFonts w:hint="eastAsia"/>
        </w:rPr>
        <w:t>（一）改革办事流程。</w:t>
      </w:r>
    </w:p>
    <w:p w14:paraId="1AD14493">
      <w:pPr>
        <w:rPr>
          <w:rFonts w:hint="eastAsia"/>
        </w:rPr>
      </w:pPr>
      <w:r>
        <w:rPr>
          <w:rFonts w:hint="eastAsia"/>
        </w:rPr>
        <w:t>本市房屋登记、交易、缴税从“网上可办”“最多跑一次”向“全程网办”“网上好办”升级。推出购房资格绿码便民服务，进一步缩减审核时间，减少收件材料，整体提升房屋买卖信息透明度和办事便利度。</w:t>
      </w:r>
    </w:p>
    <w:p w14:paraId="6940789E">
      <w:pPr>
        <w:rPr>
          <w:rFonts w:hint="eastAsia"/>
        </w:rPr>
      </w:pPr>
      <w:r>
        <w:rPr>
          <w:rFonts w:hint="eastAsia"/>
        </w:rPr>
        <w:t>（二）完善共享协同。</w:t>
      </w:r>
    </w:p>
    <w:p w14:paraId="69602E98">
      <w:pPr>
        <w:rPr>
          <w:rFonts w:hint="eastAsia"/>
        </w:rPr>
      </w:pPr>
      <w:r>
        <w:rPr>
          <w:rFonts w:hint="eastAsia"/>
        </w:rPr>
        <w:t>依托政务服务“一网通办”，推送全市统一房屋买卖共享专题库相关的信息，赋能全过程数据、证照和政府信息共享，提升跨部门跨层级跨区域管理服务协同，实现群众办事“少填、免填；少交、免交”。</w:t>
      </w:r>
    </w:p>
    <w:p w14:paraId="29E87E52">
      <w:pPr>
        <w:rPr>
          <w:rFonts w:hint="eastAsia"/>
        </w:rPr>
      </w:pPr>
      <w:r>
        <w:rPr>
          <w:rFonts w:hint="eastAsia"/>
        </w:rPr>
        <w:t>（三）优化材料准备。</w:t>
      </w:r>
    </w:p>
    <w:p w14:paraId="5742E85A">
      <w:pPr>
        <w:rPr>
          <w:rFonts w:hint="eastAsia"/>
        </w:rPr>
      </w:pPr>
      <w:r>
        <w:rPr>
          <w:rFonts w:hint="eastAsia"/>
        </w:rPr>
        <w:t>将房屋买卖这一复杂事项的材料准备工作关口前移、压力分摊，开发线上材料调用和上传功能，结合共享专题库应用，在绿码生成、合同网签、材料准备、审核办理等环节，汇聚沉淀办事材料和数据供部门间复用，不再要求办事群众重复提交。</w:t>
      </w:r>
    </w:p>
    <w:p w14:paraId="3CD8B95C">
      <w:pPr>
        <w:rPr>
          <w:rFonts w:hint="eastAsia"/>
        </w:rPr>
      </w:pPr>
      <w:r>
        <w:rPr>
          <w:rFonts w:hint="eastAsia"/>
        </w:rPr>
        <w:t>（四）提升服务能级。</w:t>
      </w:r>
    </w:p>
    <w:p w14:paraId="614BD124">
      <w:pPr>
        <w:rPr>
          <w:rFonts w:hint="eastAsia"/>
        </w:rPr>
      </w:pPr>
      <w:r>
        <w:rPr>
          <w:rFonts w:hint="eastAsia"/>
        </w:rPr>
        <w:t>持续优化线上房屋买卖“一件事”和线下“一窗”办事流程，线上“一件事”向“全程网办”“网上好办”升级，强化线下窗口帮办机制，实现群众办事“少跑、网办”。</w:t>
      </w:r>
    </w:p>
    <w:p w14:paraId="34A3404C">
      <w:pPr>
        <w:pStyle w:val="3"/>
        <w:rPr>
          <w:rFonts w:hint="eastAsia"/>
        </w:rPr>
      </w:pPr>
      <w:r>
        <w:rPr>
          <w:rFonts w:hint="eastAsia"/>
        </w:rPr>
        <w:t>技术目标</w:t>
      </w:r>
    </w:p>
    <w:p w14:paraId="75E684DD">
      <w:pPr>
        <w:rPr>
          <w:rFonts w:hint="eastAsia"/>
        </w:rPr>
      </w:pPr>
      <w:r>
        <w:rPr>
          <w:rFonts w:hint="eastAsia"/>
        </w:rPr>
        <w:t>（1）系统支持每日访问量不少于1000次；</w:t>
      </w:r>
    </w:p>
    <w:p w14:paraId="278409A6">
      <w:pPr>
        <w:rPr>
          <w:rFonts w:hint="eastAsia"/>
        </w:rPr>
      </w:pPr>
      <w:r>
        <w:rPr>
          <w:rFonts w:hint="eastAsia"/>
        </w:rPr>
        <w:t>（2）并发用户数≥100；</w:t>
      </w:r>
    </w:p>
    <w:p w14:paraId="0F72E66C">
      <w:pPr>
        <w:rPr>
          <w:rFonts w:hint="eastAsia"/>
        </w:rPr>
      </w:pPr>
      <w:r>
        <w:rPr>
          <w:rFonts w:hint="eastAsia"/>
        </w:rPr>
        <w:t>（3）一般查询操作响应时间≤3秒；</w:t>
      </w:r>
    </w:p>
    <w:p w14:paraId="45FE6ACA">
      <w:pPr>
        <w:rPr>
          <w:rFonts w:hint="eastAsia"/>
        </w:rPr>
      </w:pPr>
      <w:r>
        <w:rPr>
          <w:rFonts w:hint="eastAsia"/>
        </w:rPr>
        <w:t>（4）一般写入操作响应时间≤5秒。</w:t>
      </w:r>
    </w:p>
    <w:p w14:paraId="4C53B201">
      <w:pPr>
        <w:rPr>
          <w:rFonts w:hint="eastAsia"/>
        </w:rPr>
      </w:pPr>
      <w:r>
        <w:rPr>
          <w:rFonts w:hint="eastAsia"/>
        </w:rPr>
        <w:t>（5）报表统计类操作响应时间≤10秒。</w:t>
      </w:r>
    </w:p>
    <w:p w14:paraId="41E0BC69">
      <w:pPr>
        <w:rPr>
          <w:rFonts w:hint="eastAsia"/>
        </w:rPr>
      </w:pPr>
    </w:p>
    <w:p w14:paraId="65A8DF22">
      <w:pPr>
        <w:pStyle w:val="3"/>
        <w:rPr>
          <w:rFonts w:hint="eastAsia"/>
        </w:rPr>
      </w:pPr>
      <w:r>
        <w:rPr>
          <w:rFonts w:hint="eastAsia"/>
        </w:rPr>
        <w:t>绩效目标</w:t>
      </w:r>
    </w:p>
    <w:p w14:paraId="1A851723">
      <w:pPr>
        <w:rPr>
          <w:rFonts w:hint="eastAsia"/>
        </w:rPr>
      </w:pPr>
      <w:r>
        <w:rPr>
          <w:rFonts w:hint="eastAsia"/>
        </w:rPr>
        <w:t>本项目需实现全面支撑个人购买商品住房条件在线自助核验服务业务办理场景。</w:t>
      </w:r>
    </w:p>
    <w:p w14:paraId="7ED54FE2">
      <w:pPr>
        <w:rPr>
          <w:rFonts w:hint="eastAsia"/>
        </w:rPr>
      </w:pPr>
      <w:r>
        <w:rPr>
          <w:rFonts w:hint="eastAsia"/>
        </w:rPr>
        <w:t>本项目需实现购房条件码与合同网签绑定后，购房条件码对应的案件100%归集数据到大数据中心。</w:t>
      </w:r>
    </w:p>
    <w:p w14:paraId="58669DD1">
      <w:pPr>
        <w:pStyle w:val="2"/>
        <w:rPr>
          <w:rFonts w:hint="eastAsia"/>
        </w:rPr>
      </w:pPr>
      <w:r>
        <w:rPr>
          <w:rFonts w:hint="eastAsia"/>
        </w:rPr>
        <w:t>项目建设内容</w:t>
      </w:r>
    </w:p>
    <w:p w14:paraId="73C1398F">
      <w:pPr>
        <w:pStyle w:val="3"/>
        <w:rPr>
          <w:rFonts w:hint="eastAsia"/>
        </w:rPr>
      </w:pPr>
      <w:bookmarkStart w:id="17" w:name="_Toc63785502"/>
      <w:r>
        <w:rPr>
          <w:rFonts w:hint="eastAsia"/>
        </w:rPr>
        <w:t>系统架构</w:t>
      </w:r>
    </w:p>
    <w:p w14:paraId="56CA0C99">
      <w:pPr>
        <w:ind w:firstLine="0" w:firstLineChars="0"/>
        <w:jc w:val="center"/>
        <w:rPr>
          <w:rFonts w:hint="eastAsia"/>
        </w:rPr>
      </w:pPr>
      <w:r>
        <w:drawing>
          <wp:inline distT="0" distB="0" distL="0" distR="0">
            <wp:extent cx="5278120" cy="2929890"/>
            <wp:effectExtent l="0" t="0" r="17780" b="3810"/>
            <wp:docPr id="369771060" name="图片 1" descr="图形用户界面&#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771060" name="图片 1" descr="图形用户界面&#10;&#10;描述已自动生成"/>
                    <pic:cNvPicPr>
                      <a:picLocks noChangeAspect="1"/>
                    </pic:cNvPicPr>
                  </pic:nvPicPr>
                  <pic:blipFill>
                    <a:blip r:embed="rId13"/>
                    <a:stretch>
                      <a:fillRect/>
                    </a:stretch>
                  </pic:blipFill>
                  <pic:spPr>
                    <a:xfrm>
                      <a:off x="0" y="0"/>
                      <a:ext cx="5278120" cy="2929890"/>
                    </a:xfrm>
                    <a:prstGeom prst="rect">
                      <a:avLst/>
                    </a:prstGeom>
                  </pic:spPr>
                </pic:pic>
              </a:graphicData>
            </a:graphic>
          </wp:inline>
        </w:drawing>
      </w:r>
    </w:p>
    <w:p w14:paraId="205227EB">
      <w:pPr>
        <w:pStyle w:val="3"/>
        <w:rPr>
          <w:rFonts w:hint="eastAsia"/>
        </w:rPr>
      </w:pPr>
      <w:r>
        <w:rPr>
          <w:rFonts w:hint="eastAsia"/>
        </w:rPr>
        <w:t>技术路线</w:t>
      </w:r>
    </w:p>
    <w:p w14:paraId="0AD23026">
      <w:pPr>
        <w:rPr>
          <w:rFonts w:hint="eastAsia"/>
        </w:rPr>
      </w:pPr>
      <w:r>
        <w:rPr>
          <w:rFonts w:hint="eastAsia"/>
        </w:rPr>
        <w:t>（1） 项目整体符合</w:t>
      </w:r>
      <w:r>
        <w:rPr>
          <w:rFonts w:hint="eastAsia"/>
          <w:lang w:val="en-US" w:eastAsia="zh-CN"/>
        </w:rPr>
        <w:t>XC</w:t>
      </w:r>
      <w:r>
        <w:rPr>
          <w:rFonts w:hint="eastAsia"/>
        </w:rPr>
        <w:t>要求，在技术体系上选用Java体系结构，采用B/S/D三层模型进行应用系统的开发。</w:t>
      </w:r>
    </w:p>
    <w:p w14:paraId="3C8DEA1C">
      <w:pPr>
        <w:rPr>
          <w:rFonts w:hint="eastAsia"/>
        </w:rPr>
      </w:pPr>
      <w:r>
        <w:rPr>
          <w:rFonts w:hint="eastAsia"/>
        </w:rPr>
        <w:t>（2）系统采用微服务架构，各个微服务之间是松耦合的，每个微服务仅关注于完成一件任务并很好地完成该任务。</w:t>
      </w:r>
    </w:p>
    <w:p w14:paraId="2B5B18E1">
      <w:pPr>
        <w:rPr>
          <w:rFonts w:hint="eastAsia"/>
        </w:rPr>
      </w:pPr>
      <w:r>
        <w:rPr>
          <w:rFonts w:hint="eastAsia"/>
        </w:rPr>
        <w:t>（3）利用异步消息架构，降低系统间的业务耦合，提供丰富的消息类型。</w:t>
      </w:r>
    </w:p>
    <w:p w14:paraId="60D62802">
      <w:pPr>
        <w:rPr>
          <w:rFonts w:hint="eastAsia"/>
        </w:rPr>
      </w:pPr>
      <w:r>
        <w:rPr>
          <w:rFonts w:hint="eastAsia"/>
        </w:rPr>
        <w:t>（4）数据库服务器，采用关系型数据库存储平台所有相关数据。</w:t>
      </w:r>
    </w:p>
    <w:p w14:paraId="12C9BE61">
      <w:pPr>
        <w:rPr>
          <w:rFonts w:hint="eastAsia"/>
        </w:rPr>
      </w:pPr>
      <w:r>
        <w:rPr>
          <w:rFonts w:hint="eastAsia"/>
        </w:rPr>
        <w:t>（</w:t>
      </w:r>
      <w:r>
        <w:t>5</w:t>
      </w:r>
      <w:r>
        <w:rPr>
          <w:rFonts w:hint="eastAsia"/>
        </w:rPr>
        <w:t>）应按照市房管局统一技术规范进行软件系统研发，满足容器化部署的要求。</w:t>
      </w:r>
    </w:p>
    <w:p w14:paraId="6099470F">
      <w:pPr>
        <w:pStyle w:val="3"/>
        <w:rPr>
          <w:rFonts w:hint="eastAsia"/>
        </w:rPr>
      </w:pPr>
      <w:r>
        <w:rPr>
          <w:rFonts w:hint="eastAsia"/>
        </w:rPr>
        <w:t>建设内容</w:t>
      </w:r>
    </w:p>
    <w:p w14:paraId="7347F0A6">
      <w:pPr>
        <w:rPr>
          <w:rFonts w:hint="eastAsia"/>
        </w:rPr>
      </w:pPr>
      <w:r>
        <w:rPr>
          <w:rFonts w:hint="eastAsia"/>
        </w:rPr>
        <w:t>本项目新建“上海市购房条件码子系统”,根据市大数据中心要求，做好系统数据库的管理规范化、数据标准化、完成数据编目和数据上链工作。</w:t>
      </w:r>
    </w:p>
    <w:p w14:paraId="29E80738">
      <w:pPr>
        <w:pStyle w:val="3"/>
        <w:rPr>
          <w:rFonts w:hint="eastAsia"/>
        </w:rPr>
      </w:pPr>
      <w:r>
        <w:rPr>
          <w:rFonts w:hint="eastAsia"/>
        </w:rPr>
        <w:t>部署环境</w:t>
      </w:r>
    </w:p>
    <w:p w14:paraId="4569AD02">
      <w:pPr>
        <w:rPr>
          <w:rFonts w:hint="eastAsia"/>
        </w:rPr>
      </w:pPr>
      <w:r>
        <w:rPr>
          <w:rFonts w:hint="eastAsia"/>
        </w:rPr>
        <w:t>上海市电子政务云平台分为政务外网区域和互联网区域，分别面向政府部门和公众提供访问，两个区域之间通过安全隔离设备实现逻辑隔离。本项目应用系统根据业务访问需求分别部署在政务外网区域和互联网区域。</w:t>
      </w:r>
    </w:p>
    <w:p w14:paraId="021F1260">
      <w:pPr>
        <w:pStyle w:val="3"/>
        <w:rPr>
          <w:rFonts w:hint="eastAsia"/>
        </w:rPr>
      </w:pPr>
      <w:r>
        <w:rPr>
          <w:rFonts w:hint="eastAsia"/>
        </w:rPr>
        <w:t>软件功能清单</w:t>
      </w:r>
    </w:p>
    <w:tbl>
      <w:tblPr>
        <w:tblStyle w:val="35"/>
        <w:tblW w:w="4998" w:type="pct"/>
        <w:tblInd w:w="0" w:type="dxa"/>
        <w:tblLayout w:type="autofit"/>
        <w:tblCellMar>
          <w:top w:w="0" w:type="dxa"/>
          <w:left w:w="108" w:type="dxa"/>
          <w:bottom w:w="0" w:type="dxa"/>
          <w:right w:w="108" w:type="dxa"/>
        </w:tblCellMar>
      </w:tblPr>
      <w:tblGrid>
        <w:gridCol w:w="1180"/>
        <w:gridCol w:w="1724"/>
        <w:gridCol w:w="5621"/>
      </w:tblGrid>
      <w:tr w14:paraId="2A3ECCDD">
        <w:tblPrEx>
          <w:tblCellMar>
            <w:top w:w="0" w:type="dxa"/>
            <w:left w:w="108" w:type="dxa"/>
            <w:bottom w:w="0" w:type="dxa"/>
            <w:right w:w="108" w:type="dxa"/>
          </w:tblCellMar>
        </w:tblPrEx>
        <w:trPr>
          <w:trHeight w:val="57" w:hRule="atLeast"/>
        </w:trPr>
        <w:tc>
          <w:tcPr>
            <w:tcW w:w="692" w:type="pct"/>
            <w:tcBorders>
              <w:top w:val="single" w:color="000000" w:sz="4" w:space="0"/>
              <w:left w:val="single" w:color="000000" w:sz="4" w:space="0"/>
              <w:bottom w:val="single" w:color="000000" w:sz="4" w:space="0"/>
              <w:right w:val="single" w:color="000000" w:sz="4" w:space="0"/>
            </w:tcBorders>
            <w:vAlign w:val="center"/>
          </w:tcPr>
          <w:p w14:paraId="7D10AEE2">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序号</w:t>
            </w:r>
          </w:p>
        </w:tc>
        <w:tc>
          <w:tcPr>
            <w:tcW w:w="1011" w:type="pct"/>
            <w:tcBorders>
              <w:top w:val="single" w:color="000000" w:sz="4" w:space="0"/>
              <w:left w:val="single" w:color="000000" w:sz="4" w:space="0"/>
              <w:bottom w:val="single" w:color="000000" w:sz="4" w:space="0"/>
              <w:right w:val="single" w:color="000000" w:sz="4" w:space="0"/>
            </w:tcBorders>
            <w:vAlign w:val="center"/>
          </w:tcPr>
          <w:p w14:paraId="04121549">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功能名称</w:t>
            </w:r>
          </w:p>
        </w:tc>
        <w:tc>
          <w:tcPr>
            <w:tcW w:w="3296" w:type="pct"/>
            <w:tcBorders>
              <w:top w:val="single" w:color="000000" w:sz="4" w:space="0"/>
              <w:left w:val="single" w:color="000000" w:sz="4" w:space="0"/>
              <w:bottom w:val="single" w:color="000000" w:sz="4" w:space="0"/>
              <w:right w:val="single" w:color="000000" w:sz="4" w:space="0"/>
            </w:tcBorders>
            <w:vAlign w:val="center"/>
          </w:tcPr>
          <w:p w14:paraId="44C73B68">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功能描述</w:t>
            </w:r>
          </w:p>
        </w:tc>
      </w:tr>
      <w:tr w14:paraId="51B2A50E">
        <w:tblPrEx>
          <w:tblCellMar>
            <w:top w:w="0" w:type="dxa"/>
            <w:left w:w="108" w:type="dxa"/>
            <w:bottom w:w="0" w:type="dxa"/>
            <w:right w:w="108" w:type="dxa"/>
          </w:tblCellMar>
        </w:tblPrEx>
        <w:trPr>
          <w:trHeight w:val="57" w:hRule="atLeast"/>
        </w:trPr>
        <w:tc>
          <w:tcPr>
            <w:tcW w:w="692" w:type="pct"/>
            <w:tcBorders>
              <w:top w:val="single" w:color="000000" w:sz="4" w:space="0"/>
              <w:left w:val="single" w:color="000000" w:sz="4" w:space="0"/>
              <w:bottom w:val="single" w:color="000000" w:sz="4" w:space="0"/>
              <w:right w:val="single" w:color="000000" w:sz="4" w:space="0"/>
            </w:tcBorders>
            <w:vAlign w:val="center"/>
          </w:tcPr>
          <w:p w14:paraId="46460A15">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1</w:t>
            </w:r>
          </w:p>
        </w:tc>
        <w:tc>
          <w:tcPr>
            <w:tcW w:w="1011" w:type="pct"/>
            <w:tcBorders>
              <w:top w:val="single" w:color="000000" w:sz="4" w:space="0"/>
              <w:left w:val="single" w:color="000000" w:sz="4" w:space="0"/>
              <w:bottom w:val="single" w:color="000000" w:sz="4" w:space="0"/>
              <w:right w:val="single" w:color="000000" w:sz="4" w:space="0"/>
            </w:tcBorders>
            <w:vAlign w:val="center"/>
          </w:tcPr>
          <w:p w14:paraId="07FDB2A1">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购房条件码在线自助申请-个人自助申报</w:t>
            </w:r>
          </w:p>
        </w:tc>
        <w:tc>
          <w:tcPr>
            <w:tcW w:w="3296" w:type="pct"/>
            <w:tcBorders>
              <w:top w:val="single" w:color="000000" w:sz="4" w:space="0"/>
              <w:left w:val="single" w:color="000000" w:sz="4" w:space="0"/>
              <w:bottom w:val="single" w:color="000000" w:sz="4" w:space="0"/>
              <w:right w:val="single" w:color="000000" w:sz="4" w:space="0"/>
            </w:tcBorders>
            <w:vAlign w:val="center"/>
          </w:tcPr>
          <w:p w14:paraId="2ABA8CA7">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申请人登录“一网通办”的PC端或随申办APP端后，可以实现包括本市家庭、本市单身、外省市家庭、外省市单身等5类情况的个人在线自助申报</w:t>
            </w:r>
          </w:p>
        </w:tc>
      </w:tr>
      <w:tr w14:paraId="23B13056">
        <w:tblPrEx>
          <w:tblCellMar>
            <w:top w:w="0" w:type="dxa"/>
            <w:left w:w="108" w:type="dxa"/>
            <w:bottom w:w="0" w:type="dxa"/>
            <w:right w:w="108" w:type="dxa"/>
          </w:tblCellMar>
        </w:tblPrEx>
        <w:trPr>
          <w:trHeight w:val="57" w:hRule="atLeast"/>
        </w:trPr>
        <w:tc>
          <w:tcPr>
            <w:tcW w:w="692" w:type="pct"/>
            <w:tcBorders>
              <w:top w:val="single" w:color="000000" w:sz="4" w:space="0"/>
              <w:left w:val="single" w:color="000000" w:sz="4" w:space="0"/>
              <w:bottom w:val="single" w:color="000000" w:sz="4" w:space="0"/>
              <w:right w:val="single" w:color="000000" w:sz="4" w:space="0"/>
            </w:tcBorders>
            <w:vAlign w:val="center"/>
          </w:tcPr>
          <w:p w14:paraId="4D72E160">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2</w:t>
            </w:r>
          </w:p>
        </w:tc>
        <w:tc>
          <w:tcPr>
            <w:tcW w:w="1011" w:type="pct"/>
            <w:tcBorders>
              <w:top w:val="single" w:color="000000" w:sz="4" w:space="0"/>
              <w:left w:val="single" w:color="000000" w:sz="4" w:space="0"/>
              <w:bottom w:val="single" w:color="000000" w:sz="4" w:space="0"/>
              <w:right w:val="single" w:color="000000" w:sz="4" w:space="0"/>
            </w:tcBorders>
            <w:vAlign w:val="center"/>
          </w:tcPr>
          <w:p w14:paraId="4B3D112B">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购房条件码在线自助申请-购房条件自动化审核</w:t>
            </w:r>
          </w:p>
        </w:tc>
        <w:tc>
          <w:tcPr>
            <w:tcW w:w="3296" w:type="pct"/>
            <w:tcBorders>
              <w:top w:val="single" w:color="000000" w:sz="4" w:space="0"/>
              <w:left w:val="single" w:color="000000" w:sz="4" w:space="0"/>
              <w:bottom w:val="single" w:color="000000" w:sz="4" w:space="0"/>
              <w:right w:val="single" w:color="000000" w:sz="4" w:space="0"/>
            </w:tcBorders>
            <w:vAlign w:val="center"/>
          </w:tcPr>
          <w:p w14:paraId="00C86AAD">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系统在30分钟内完成自动核验，包括户籍、婚姻、社保等数据。自动化审核功能依托大数据中心数据资源平台提供的服务接口，自动化核验完成后反馈核验结果到办件库</w:t>
            </w:r>
          </w:p>
        </w:tc>
      </w:tr>
      <w:tr w14:paraId="3B5519BE">
        <w:tblPrEx>
          <w:tblCellMar>
            <w:top w:w="0" w:type="dxa"/>
            <w:left w:w="108" w:type="dxa"/>
            <w:bottom w:w="0" w:type="dxa"/>
            <w:right w:w="108" w:type="dxa"/>
          </w:tblCellMar>
        </w:tblPrEx>
        <w:trPr>
          <w:trHeight w:val="57" w:hRule="atLeast"/>
        </w:trPr>
        <w:tc>
          <w:tcPr>
            <w:tcW w:w="692" w:type="pct"/>
            <w:tcBorders>
              <w:top w:val="single" w:color="000000" w:sz="4" w:space="0"/>
              <w:left w:val="single" w:color="000000" w:sz="4" w:space="0"/>
              <w:bottom w:val="single" w:color="000000" w:sz="4" w:space="0"/>
              <w:right w:val="single" w:color="000000" w:sz="4" w:space="0"/>
            </w:tcBorders>
            <w:vAlign w:val="center"/>
          </w:tcPr>
          <w:p w14:paraId="5F9823A4">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3</w:t>
            </w:r>
          </w:p>
        </w:tc>
        <w:tc>
          <w:tcPr>
            <w:tcW w:w="1011" w:type="pct"/>
            <w:tcBorders>
              <w:top w:val="single" w:color="000000" w:sz="4" w:space="0"/>
              <w:left w:val="single" w:color="000000" w:sz="4" w:space="0"/>
              <w:bottom w:val="single" w:color="000000" w:sz="4" w:space="0"/>
              <w:right w:val="single" w:color="000000" w:sz="4" w:space="0"/>
            </w:tcBorders>
            <w:vAlign w:val="center"/>
          </w:tcPr>
          <w:p w14:paraId="6A9C2C18">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购房条件码在线自助申请-展示购房条件码</w:t>
            </w:r>
          </w:p>
        </w:tc>
        <w:tc>
          <w:tcPr>
            <w:tcW w:w="3296" w:type="pct"/>
            <w:tcBorders>
              <w:top w:val="single" w:color="000000" w:sz="4" w:space="0"/>
              <w:left w:val="single" w:color="000000" w:sz="4" w:space="0"/>
              <w:bottom w:val="single" w:color="000000" w:sz="4" w:space="0"/>
              <w:right w:val="single" w:color="000000" w:sz="4" w:space="0"/>
            </w:tcBorders>
            <w:vAlign w:val="center"/>
          </w:tcPr>
          <w:p w14:paraId="04549141">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自动化核验完成后，可获得不同结果购房条件码</w:t>
            </w:r>
          </w:p>
        </w:tc>
      </w:tr>
      <w:tr w14:paraId="45DC5513">
        <w:tblPrEx>
          <w:tblCellMar>
            <w:top w:w="0" w:type="dxa"/>
            <w:left w:w="108" w:type="dxa"/>
            <w:bottom w:w="0" w:type="dxa"/>
            <w:right w:w="108" w:type="dxa"/>
          </w:tblCellMar>
        </w:tblPrEx>
        <w:trPr>
          <w:trHeight w:val="57" w:hRule="atLeast"/>
        </w:trPr>
        <w:tc>
          <w:tcPr>
            <w:tcW w:w="692" w:type="pct"/>
            <w:tcBorders>
              <w:top w:val="single" w:color="000000" w:sz="4" w:space="0"/>
              <w:left w:val="single" w:color="000000" w:sz="4" w:space="0"/>
              <w:bottom w:val="single" w:color="000000" w:sz="4" w:space="0"/>
              <w:right w:val="single" w:color="000000" w:sz="4" w:space="0"/>
            </w:tcBorders>
            <w:vAlign w:val="center"/>
          </w:tcPr>
          <w:p w14:paraId="4AC97187">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4</w:t>
            </w:r>
          </w:p>
        </w:tc>
        <w:tc>
          <w:tcPr>
            <w:tcW w:w="1011" w:type="pct"/>
            <w:tcBorders>
              <w:top w:val="single" w:color="000000" w:sz="4" w:space="0"/>
              <w:left w:val="single" w:color="000000" w:sz="4" w:space="0"/>
              <w:bottom w:val="single" w:color="000000" w:sz="4" w:space="0"/>
              <w:right w:val="single" w:color="000000" w:sz="4" w:space="0"/>
            </w:tcBorders>
            <w:vAlign w:val="center"/>
          </w:tcPr>
          <w:p w14:paraId="2D152A47">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购房条件码在线自助申请-码关联</w:t>
            </w:r>
          </w:p>
        </w:tc>
        <w:tc>
          <w:tcPr>
            <w:tcW w:w="3296" w:type="pct"/>
            <w:tcBorders>
              <w:top w:val="single" w:color="000000" w:sz="4" w:space="0"/>
              <w:left w:val="single" w:color="000000" w:sz="4" w:space="0"/>
              <w:bottom w:val="single" w:color="000000" w:sz="4" w:space="0"/>
              <w:right w:val="single" w:color="000000" w:sz="4" w:space="0"/>
            </w:tcBorders>
            <w:vAlign w:val="center"/>
          </w:tcPr>
          <w:p w14:paraId="20039E4B">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购房条件码（物码）和随申码（人码）进行关联</w:t>
            </w:r>
          </w:p>
        </w:tc>
      </w:tr>
      <w:tr w14:paraId="49E9089D">
        <w:tblPrEx>
          <w:tblCellMar>
            <w:top w:w="0" w:type="dxa"/>
            <w:left w:w="108" w:type="dxa"/>
            <w:bottom w:w="0" w:type="dxa"/>
            <w:right w:w="108" w:type="dxa"/>
          </w:tblCellMar>
        </w:tblPrEx>
        <w:trPr>
          <w:trHeight w:val="57" w:hRule="atLeast"/>
        </w:trPr>
        <w:tc>
          <w:tcPr>
            <w:tcW w:w="692" w:type="pct"/>
            <w:tcBorders>
              <w:top w:val="single" w:color="000000" w:sz="4" w:space="0"/>
              <w:left w:val="single" w:color="000000" w:sz="4" w:space="0"/>
              <w:bottom w:val="single" w:color="000000" w:sz="4" w:space="0"/>
              <w:right w:val="single" w:color="000000" w:sz="4" w:space="0"/>
            </w:tcBorders>
            <w:vAlign w:val="center"/>
          </w:tcPr>
          <w:p w14:paraId="30B88BBA">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5</w:t>
            </w:r>
          </w:p>
        </w:tc>
        <w:tc>
          <w:tcPr>
            <w:tcW w:w="1011" w:type="pct"/>
            <w:tcBorders>
              <w:top w:val="single" w:color="000000" w:sz="4" w:space="0"/>
              <w:left w:val="single" w:color="000000" w:sz="4" w:space="0"/>
              <w:bottom w:val="single" w:color="000000" w:sz="4" w:space="0"/>
              <w:right w:val="single" w:color="000000" w:sz="4" w:space="0"/>
            </w:tcBorders>
            <w:vAlign w:val="center"/>
          </w:tcPr>
          <w:p w14:paraId="32D51F89">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购房条件线下核验-本市户籍单身线下核验</w:t>
            </w:r>
          </w:p>
        </w:tc>
        <w:tc>
          <w:tcPr>
            <w:tcW w:w="3296" w:type="pct"/>
            <w:tcBorders>
              <w:top w:val="single" w:color="000000" w:sz="4" w:space="0"/>
              <w:left w:val="single" w:color="000000" w:sz="4" w:space="0"/>
              <w:bottom w:val="single" w:color="000000" w:sz="4" w:space="0"/>
              <w:right w:val="single" w:color="000000" w:sz="4" w:space="0"/>
            </w:tcBorders>
            <w:vAlign w:val="center"/>
          </w:tcPr>
          <w:p w14:paraId="352790C1">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本市户籍单身线下核验，包含填报、查询、核验、受理流程</w:t>
            </w:r>
          </w:p>
        </w:tc>
      </w:tr>
      <w:tr w14:paraId="3C1EA75F">
        <w:tblPrEx>
          <w:tblCellMar>
            <w:top w:w="0" w:type="dxa"/>
            <w:left w:w="108" w:type="dxa"/>
            <w:bottom w:w="0" w:type="dxa"/>
            <w:right w:w="108" w:type="dxa"/>
          </w:tblCellMar>
        </w:tblPrEx>
        <w:trPr>
          <w:trHeight w:val="57" w:hRule="atLeast"/>
        </w:trPr>
        <w:tc>
          <w:tcPr>
            <w:tcW w:w="692" w:type="pct"/>
            <w:tcBorders>
              <w:top w:val="single" w:color="000000" w:sz="4" w:space="0"/>
              <w:left w:val="single" w:color="000000" w:sz="4" w:space="0"/>
              <w:bottom w:val="single" w:color="000000" w:sz="4" w:space="0"/>
              <w:right w:val="single" w:color="000000" w:sz="4" w:space="0"/>
            </w:tcBorders>
            <w:vAlign w:val="center"/>
          </w:tcPr>
          <w:p w14:paraId="0BFC5A56">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6</w:t>
            </w:r>
          </w:p>
        </w:tc>
        <w:tc>
          <w:tcPr>
            <w:tcW w:w="1011" w:type="pct"/>
            <w:tcBorders>
              <w:top w:val="single" w:color="000000" w:sz="4" w:space="0"/>
              <w:left w:val="single" w:color="000000" w:sz="4" w:space="0"/>
              <w:bottom w:val="single" w:color="000000" w:sz="4" w:space="0"/>
              <w:right w:val="single" w:color="000000" w:sz="4" w:space="0"/>
            </w:tcBorders>
            <w:vAlign w:val="center"/>
          </w:tcPr>
          <w:p w14:paraId="6B224CE9">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购房条件线下核验-本市户籍家庭线下核验</w:t>
            </w:r>
          </w:p>
        </w:tc>
        <w:tc>
          <w:tcPr>
            <w:tcW w:w="3296" w:type="pct"/>
            <w:tcBorders>
              <w:top w:val="single" w:color="000000" w:sz="4" w:space="0"/>
              <w:left w:val="single" w:color="000000" w:sz="4" w:space="0"/>
              <w:bottom w:val="single" w:color="000000" w:sz="4" w:space="0"/>
              <w:right w:val="single" w:color="000000" w:sz="4" w:space="0"/>
            </w:tcBorders>
            <w:vAlign w:val="center"/>
          </w:tcPr>
          <w:p w14:paraId="1DED8547">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本市户籍家庭线下核验，包含填报、查询、核验、受理流程</w:t>
            </w:r>
          </w:p>
        </w:tc>
      </w:tr>
      <w:tr w14:paraId="5EA83979">
        <w:tblPrEx>
          <w:tblCellMar>
            <w:top w:w="0" w:type="dxa"/>
            <w:left w:w="108" w:type="dxa"/>
            <w:bottom w:w="0" w:type="dxa"/>
            <w:right w:w="108" w:type="dxa"/>
          </w:tblCellMar>
        </w:tblPrEx>
        <w:trPr>
          <w:trHeight w:val="57" w:hRule="atLeast"/>
        </w:trPr>
        <w:tc>
          <w:tcPr>
            <w:tcW w:w="692" w:type="pct"/>
            <w:tcBorders>
              <w:top w:val="single" w:color="000000" w:sz="4" w:space="0"/>
              <w:left w:val="single" w:color="000000" w:sz="4" w:space="0"/>
              <w:bottom w:val="single" w:color="000000" w:sz="4" w:space="0"/>
              <w:right w:val="single" w:color="000000" w:sz="4" w:space="0"/>
            </w:tcBorders>
            <w:vAlign w:val="center"/>
          </w:tcPr>
          <w:p w14:paraId="7F07B249">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7</w:t>
            </w:r>
          </w:p>
        </w:tc>
        <w:tc>
          <w:tcPr>
            <w:tcW w:w="1011" w:type="pct"/>
            <w:tcBorders>
              <w:top w:val="single" w:color="000000" w:sz="4" w:space="0"/>
              <w:left w:val="single" w:color="000000" w:sz="4" w:space="0"/>
              <w:bottom w:val="single" w:color="000000" w:sz="4" w:space="0"/>
              <w:right w:val="single" w:color="000000" w:sz="4" w:space="0"/>
            </w:tcBorders>
            <w:vAlign w:val="center"/>
          </w:tcPr>
          <w:p w14:paraId="654FA55C">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购房条件线下核验-非本市户籍居民单身线下核验</w:t>
            </w:r>
          </w:p>
        </w:tc>
        <w:tc>
          <w:tcPr>
            <w:tcW w:w="3296" w:type="pct"/>
            <w:tcBorders>
              <w:top w:val="single" w:color="000000" w:sz="4" w:space="0"/>
              <w:left w:val="single" w:color="000000" w:sz="4" w:space="0"/>
              <w:bottom w:val="single" w:color="000000" w:sz="4" w:space="0"/>
              <w:right w:val="single" w:color="000000" w:sz="4" w:space="0"/>
            </w:tcBorders>
            <w:vAlign w:val="center"/>
          </w:tcPr>
          <w:p w14:paraId="3B87AA97">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非本市户籍居民单身线下核验，包含填报、查询、核验、受理流程</w:t>
            </w:r>
          </w:p>
        </w:tc>
      </w:tr>
      <w:tr w14:paraId="1A5B0CE5">
        <w:tblPrEx>
          <w:tblCellMar>
            <w:top w:w="0" w:type="dxa"/>
            <w:left w:w="108" w:type="dxa"/>
            <w:bottom w:w="0" w:type="dxa"/>
            <w:right w:w="108" w:type="dxa"/>
          </w:tblCellMar>
        </w:tblPrEx>
        <w:trPr>
          <w:trHeight w:val="57" w:hRule="atLeast"/>
        </w:trPr>
        <w:tc>
          <w:tcPr>
            <w:tcW w:w="692" w:type="pct"/>
            <w:tcBorders>
              <w:top w:val="single" w:color="000000" w:sz="4" w:space="0"/>
              <w:left w:val="single" w:color="000000" w:sz="4" w:space="0"/>
              <w:bottom w:val="single" w:color="000000" w:sz="4" w:space="0"/>
              <w:right w:val="single" w:color="000000" w:sz="4" w:space="0"/>
            </w:tcBorders>
            <w:vAlign w:val="center"/>
          </w:tcPr>
          <w:p w14:paraId="76B1AFE5">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8</w:t>
            </w:r>
          </w:p>
        </w:tc>
        <w:tc>
          <w:tcPr>
            <w:tcW w:w="1011" w:type="pct"/>
            <w:tcBorders>
              <w:top w:val="single" w:color="000000" w:sz="4" w:space="0"/>
              <w:left w:val="single" w:color="000000" w:sz="4" w:space="0"/>
              <w:bottom w:val="single" w:color="000000" w:sz="4" w:space="0"/>
              <w:right w:val="single" w:color="000000" w:sz="4" w:space="0"/>
            </w:tcBorders>
            <w:vAlign w:val="center"/>
          </w:tcPr>
          <w:p w14:paraId="19B5D556">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购房条件线下核验-非本市户籍居民家庭线下核验</w:t>
            </w:r>
          </w:p>
        </w:tc>
        <w:tc>
          <w:tcPr>
            <w:tcW w:w="3296" w:type="pct"/>
            <w:tcBorders>
              <w:top w:val="single" w:color="000000" w:sz="4" w:space="0"/>
              <w:left w:val="single" w:color="000000" w:sz="4" w:space="0"/>
              <w:bottom w:val="single" w:color="000000" w:sz="4" w:space="0"/>
              <w:right w:val="single" w:color="000000" w:sz="4" w:space="0"/>
            </w:tcBorders>
            <w:vAlign w:val="center"/>
          </w:tcPr>
          <w:p w14:paraId="6FC60281">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非本市户籍居民家庭线下核验，包含填报、查询、核验、受理流程</w:t>
            </w:r>
          </w:p>
        </w:tc>
      </w:tr>
      <w:tr w14:paraId="10BBAD49">
        <w:tblPrEx>
          <w:tblCellMar>
            <w:top w:w="0" w:type="dxa"/>
            <w:left w:w="108" w:type="dxa"/>
            <w:bottom w:w="0" w:type="dxa"/>
            <w:right w:w="108" w:type="dxa"/>
          </w:tblCellMar>
        </w:tblPrEx>
        <w:trPr>
          <w:trHeight w:val="57" w:hRule="atLeast"/>
        </w:trPr>
        <w:tc>
          <w:tcPr>
            <w:tcW w:w="692" w:type="pct"/>
            <w:tcBorders>
              <w:top w:val="single" w:color="000000" w:sz="4" w:space="0"/>
              <w:left w:val="single" w:color="000000" w:sz="4" w:space="0"/>
              <w:bottom w:val="single" w:color="000000" w:sz="4" w:space="0"/>
              <w:right w:val="single" w:color="000000" w:sz="4" w:space="0"/>
            </w:tcBorders>
            <w:vAlign w:val="center"/>
          </w:tcPr>
          <w:p w14:paraId="320A74C0">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9</w:t>
            </w:r>
          </w:p>
        </w:tc>
        <w:tc>
          <w:tcPr>
            <w:tcW w:w="1011" w:type="pct"/>
            <w:tcBorders>
              <w:top w:val="single" w:color="000000" w:sz="4" w:space="0"/>
              <w:left w:val="single" w:color="000000" w:sz="4" w:space="0"/>
              <w:bottom w:val="single" w:color="000000" w:sz="4" w:space="0"/>
              <w:right w:val="single" w:color="000000" w:sz="4" w:space="0"/>
            </w:tcBorders>
            <w:vAlign w:val="center"/>
          </w:tcPr>
          <w:p w14:paraId="562DAF22">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购房条件线下核验-港澳台家庭线下核验</w:t>
            </w:r>
          </w:p>
        </w:tc>
        <w:tc>
          <w:tcPr>
            <w:tcW w:w="3296" w:type="pct"/>
            <w:tcBorders>
              <w:top w:val="single" w:color="000000" w:sz="4" w:space="0"/>
              <w:left w:val="single" w:color="000000" w:sz="4" w:space="0"/>
              <w:bottom w:val="single" w:color="000000" w:sz="4" w:space="0"/>
              <w:right w:val="single" w:color="000000" w:sz="4" w:space="0"/>
            </w:tcBorders>
            <w:vAlign w:val="center"/>
          </w:tcPr>
          <w:p w14:paraId="31A48CD6">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港澳台家庭线下核验，包含填报、查询、核验、受理流程</w:t>
            </w:r>
          </w:p>
        </w:tc>
      </w:tr>
      <w:tr w14:paraId="7587E7D2">
        <w:tblPrEx>
          <w:tblCellMar>
            <w:top w:w="0" w:type="dxa"/>
            <w:left w:w="108" w:type="dxa"/>
            <w:bottom w:w="0" w:type="dxa"/>
            <w:right w:w="108" w:type="dxa"/>
          </w:tblCellMar>
        </w:tblPrEx>
        <w:trPr>
          <w:trHeight w:val="57" w:hRule="atLeast"/>
        </w:trPr>
        <w:tc>
          <w:tcPr>
            <w:tcW w:w="692" w:type="pct"/>
            <w:tcBorders>
              <w:top w:val="single" w:color="000000" w:sz="4" w:space="0"/>
              <w:left w:val="single" w:color="000000" w:sz="4" w:space="0"/>
              <w:bottom w:val="single" w:color="000000" w:sz="4" w:space="0"/>
              <w:right w:val="single" w:color="000000" w:sz="4" w:space="0"/>
            </w:tcBorders>
            <w:vAlign w:val="center"/>
          </w:tcPr>
          <w:p w14:paraId="0AF37E33">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10</w:t>
            </w:r>
          </w:p>
        </w:tc>
        <w:tc>
          <w:tcPr>
            <w:tcW w:w="1011" w:type="pct"/>
            <w:tcBorders>
              <w:top w:val="single" w:color="000000" w:sz="4" w:space="0"/>
              <w:left w:val="single" w:color="000000" w:sz="4" w:space="0"/>
              <w:bottom w:val="single" w:color="000000" w:sz="4" w:space="0"/>
              <w:right w:val="single" w:color="000000" w:sz="4" w:space="0"/>
            </w:tcBorders>
            <w:vAlign w:val="center"/>
          </w:tcPr>
          <w:p w14:paraId="3A3D123D">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购房条件线下核验-华侨线下核验</w:t>
            </w:r>
          </w:p>
        </w:tc>
        <w:tc>
          <w:tcPr>
            <w:tcW w:w="3296" w:type="pct"/>
            <w:tcBorders>
              <w:top w:val="single" w:color="000000" w:sz="4" w:space="0"/>
              <w:left w:val="single" w:color="000000" w:sz="4" w:space="0"/>
              <w:bottom w:val="single" w:color="000000" w:sz="4" w:space="0"/>
              <w:right w:val="single" w:color="000000" w:sz="4" w:space="0"/>
            </w:tcBorders>
            <w:vAlign w:val="center"/>
          </w:tcPr>
          <w:p w14:paraId="53F19257">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华侨线下核验，包含填报、查询、核验、受理流程。</w:t>
            </w:r>
          </w:p>
        </w:tc>
      </w:tr>
      <w:tr w14:paraId="594037DB">
        <w:tblPrEx>
          <w:tblCellMar>
            <w:top w:w="0" w:type="dxa"/>
            <w:left w:w="108" w:type="dxa"/>
            <w:bottom w:w="0" w:type="dxa"/>
            <w:right w:w="108" w:type="dxa"/>
          </w:tblCellMar>
        </w:tblPrEx>
        <w:trPr>
          <w:trHeight w:val="57" w:hRule="atLeast"/>
        </w:trPr>
        <w:tc>
          <w:tcPr>
            <w:tcW w:w="692" w:type="pct"/>
            <w:tcBorders>
              <w:top w:val="single" w:color="000000" w:sz="4" w:space="0"/>
              <w:left w:val="single" w:color="000000" w:sz="4" w:space="0"/>
              <w:bottom w:val="single" w:color="000000" w:sz="4" w:space="0"/>
              <w:right w:val="single" w:color="000000" w:sz="4" w:space="0"/>
            </w:tcBorders>
            <w:vAlign w:val="center"/>
          </w:tcPr>
          <w:p w14:paraId="79D569C8">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11</w:t>
            </w:r>
          </w:p>
        </w:tc>
        <w:tc>
          <w:tcPr>
            <w:tcW w:w="1011" w:type="pct"/>
            <w:tcBorders>
              <w:top w:val="single" w:color="000000" w:sz="4" w:space="0"/>
              <w:left w:val="single" w:color="000000" w:sz="4" w:space="0"/>
              <w:bottom w:val="single" w:color="000000" w:sz="4" w:space="0"/>
              <w:right w:val="single" w:color="000000" w:sz="4" w:space="0"/>
            </w:tcBorders>
            <w:vAlign w:val="center"/>
          </w:tcPr>
          <w:p w14:paraId="0B481FA9">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购房条件线下核验-外籍家庭线下核验</w:t>
            </w:r>
          </w:p>
        </w:tc>
        <w:tc>
          <w:tcPr>
            <w:tcW w:w="3296" w:type="pct"/>
            <w:tcBorders>
              <w:top w:val="single" w:color="000000" w:sz="4" w:space="0"/>
              <w:left w:val="single" w:color="000000" w:sz="4" w:space="0"/>
              <w:bottom w:val="single" w:color="000000" w:sz="4" w:space="0"/>
              <w:right w:val="single" w:color="000000" w:sz="4" w:space="0"/>
            </w:tcBorders>
            <w:vAlign w:val="center"/>
          </w:tcPr>
          <w:p w14:paraId="68F34F90">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外籍家庭线下核验，包含填报、查询、核验、受理流程</w:t>
            </w:r>
          </w:p>
        </w:tc>
      </w:tr>
      <w:tr w14:paraId="03C4F959">
        <w:tblPrEx>
          <w:tblCellMar>
            <w:top w:w="0" w:type="dxa"/>
            <w:left w:w="108" w:type="dxa"/>
            <w:bottom w:w="0" w:type="dxa"/>
            <w:right w:w="108" w:type="dxa"/>
          </w:tblCellMar>
        </w:tblPrEx>
        <w:trPr>
          <w:trHeight w:val="57" w:hRule="atLeast"/>
        </w:trPr>
        <w:tc>
          <w:tcPr>
            <w:tcW w:w="692" w:type="pct"/>
            <w:tcBorders>
              <w:top w:val="single" w:color="000000" w:sz="4" w:space="0"/>
              <w:left w:val="single" w:color="000000" w:sz="4" w:space="0"/>
              <w:bottom w:val="single" w:color="000000" w:sz="4" w:space="0"/>
              <w:right w:val="single" w:color="000000" w:sz="4" w:space="0"/>
            </w:tcBorders>
            <w:vAlign w:val="center"/>
          </w:tcPr>
          <w:p w14:paraId="0FAB9FA8">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12</w:t>
            </w:r>
          </w:p>
        </w:tc>
        <w:tc>
          <w:tcPr>
            <w:tcW w:w="1011" w:type="pct"/>
            <w:tcBorders>
              <w:top w:val="single" w:color="000000" w:sz="4" w:space="0"/>
              <w:left w:val="single" w:color="000000" w:sz="4" w:space="0"/>
              <w:bottom w:val="single" w:color="000000" w:sz="4" w:space="0"/>
              <w:right w:val="single" w:color="000000" w:sz="4" w:space="0"/>
            </w:tcBorders>
            <w:vAlign w:val="center"/>
          </w:tcPr>
          <w:p w14:paraId="4618B45E">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购房条件线下核验-驻沪部队现役军人线下核验</w:t>
            </w:r>
          </w:p>
        </w:tc>
        <w:tc>
          <w:tcPr>
            <w:tcW w:w="3296" w:type="pct"/>
            <w:tcBorders>
              <w:top w:val="single" w:color="000000" w:sz="4" w:space="0"/>
              <w:left w:val="single" w:color="000000" w:sz="4" w:space="0"/>
              <w:bottom w:val="single" w:color="000000" w:sz="4" w:space="0"/>
              <w:right w:val="single" w:color="000000" w:sz="4" w:space="0"/>
            </w:tcBorders>
            <w:vAlign w:val="center"/>
          </w:tcPr>
          <w:p w14:paraId="3CCC46CD">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驻沪部队现役军人线下核验，包含填报、查询、核验、受理流程</w:t>
            </w:r>
          </w:p>
        </w:tc>
      </w:tr>
      <w:tr w14:paraId="40DB82C5">
        <w:tblPrEx>
          <w:tblCellMar>
            <w:top w:w="0" w:type="dxa"/>
            <w:left w:w="108" w:type="dxa"/>
            <w:bottom w:w="0" w:type="dxa"/>
            <w:right w:w="108" w:type="dxa"/>
          </w:tblCellMar>
        </w:tblPrEx>
        <w:trPr>
          <w:trHeight w:val="57" w:hRule="atLeast"/>
        </w:trPr>
        <w:tc>
          <w:tcPr>
            <w:tcW w:w="692" w:type="pct"/>
            <w:tcBorders>
              <w:top w:val="single" w:color="000000" w:sz="4" w:space="0"/>
              <w:left w:val="single" w:color="000000" w:sz="4" w:space="0"/>
              <w:bottom w:val="single" w:color="000000" w:sz="4" w:space="0"/>
              <w:right w:val="single" w:color="000000" w:sz="4" w:space="0"/>
            </w:tcBorders>
            <w:vAlign w:val="center"/>
          </w:tcPr>
          <w:p w14:paraId="369E7AC3">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13</w:t>
            </w:r>
          </w:p>
        </w:tc>
        <w:tc>
          <w:tcPr>
            <w:tcW w:w="1011" w:type="pct"/>
            <w:tcBorders>
              <w:top w:val="single" w:color="000000" w:sz="4" w:space="0"/>
              <w:left w:val="single" w:color="000000" w:sz="4" w:space="0"/>
              <w:bottom w:val="single" w:color="000000" w:sz="4" w:space="0"/>
              <w:right w:val="single" w:color="000000" w:sz="4" w:space="0"/>
            </w:tcBorders>
            <w:vAlign w:val="center"/>
          </w:tcPr>
          <w:p w14:paraId="78D863DA">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购房条件线下核验-本市在读博士线下核验</w:t>
            </w:r>
          </w:p>
        </w:tc>
        <w:tc>
          <w:tcPr>
            <w:tcW w:w="3296" w:type="pct"/>
            <w:tcBorders>
              <w:top w:val="single" w:color="000000" w:sz="4" w:space="0"/>
              <w:left w:val="single" w:color="000000" w:sz="4" w:space="0"/>
              <w:bottom w:val="single" w:color="000000" w:sz="4" w:space="0"/>
              <w:right w:val="single" w:color="000000" w:sz="4" w:space="0"/>
            </w:tcBorders>
            <w:vAlign w:val="center"/>
          </w:tcPr>
          <w:p w14:paraId="207B9A4F">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本市在读博士线下核验，包含填报、查询、核验、受理流程。</w:t>
            </w:r>
          </w:p>
        </w:tc>
      </w:tr>
      <w:tr w14:paraId="7DE4D2E7">
        <w:tblPrEx>
          <w:tblCellMar>
            <w:top w:w="0" w:type="dxa"/>
            <w:left w:w="108" w:type="dxa"/>
            <w:bottom w:w="0" w:type="dxa"/>
            <w:right w:w="108" w:type="dxa"/>
          </w:tblCellMar>
        </w:tblPrEx>
        <w:trPr>
          <w:trHeight w:val="57" w:hRule="atLeast"/>
        </w:trPr>
        <w:tc>
          <w:tcPr>
            <w:tcW w:w="692" w:type="pct"/>
            <w:tcBorders>
              <w:top w:val="single" w:color="000000" w:sz="4" w:space="0"/>
              <w:left w:val="single" w:color="000000" w:sz="4" w:space="0"/>
              <w:bottom w:val="single" w:color="000000" w:sz="4" w:space="0"/>
              <w:right w:val="single" w:color="000000" w:sz="4" w:space="0"/>
            </w:tcBorders>
            <w:vAlign w:val="center"/>
          </w:tcPr>
          <w:p w14:paraId="403490A4">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14</w:t>
            </w:r>
          </w:p>
        </w:tc>
        <w:tc>
          <w:tcPr>
            <w:tcW w:w="1011" w:type="pct"/>
            <w:tcBorders>
              <w:top w:val="single" w:color="000000" w:sz="4" w:space="0"/>
              <w:left w:val="single" w:color="000000" w:sz="4" w:space="0"/>
              <w:bottom w:val="single" w:color="000000" w:sz="4" w:space="0"/>
              <w:right w:val="single" w:color="000000" w:sz="4" w:space="0"/>
            </w:tcBorders>
            <w:vAlign w:val="center"/>
          </w:tcPr>
          <w:p w14:paraId="3B9DAB96">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购房条件线下核验-本市在站博士后线下核验</w:t>
            </w:r>
          </w:p>
        </w:tc>
        <w:tc>
          <w:tcPr>
            <w:tcW w:w="3296" w:type="pct"/>
            <w:tcBorders>
              <w:top w:val="single" w:color="000000" w:sz="4" w:space="0"/>
              <w:left w:val="single" w:color="000000" w:sz="4" w:space="0"/>
              <w:bottom w:val="single" w:color="000000" w:sz="4" w:space="0"/>
              <w:right w:val="single" w:color="000000" w:sz="4" w:space="0"/>
            </w:tcBorders>
            <w:vAlign w:val="center"/>
          </w:tcPr>
          <w:p w14:paraId="2ACC6253">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本市在站博士后线下核验，包含填报、查询、核验、受理流程</w:t>
            </w:r>
          </w:p>
        </w:tc>
      </w:tr>
      <w:tr w14:paraId="43FAA6B7">
        <w:tblPrEx>
          <w:tblCellMar>
            <w:top w:w="0" w:type="dxa"/>
            <w:left w:w="108" w:type="dxa"/>
            <w:bottom w:w="0" w:type="dxa"/>
            <w:right w:w="108" w:type="dxa"/>
          </w:tblCellMar>
        </w:tblPrEx>
        <w:trPr>
          <w:trHeight w:val="57" w:hRule="atLeast"/>
        </w:trPr>
        <w:tc>
          <w:tcPr>
            <w:tcW w:w="692" w:type="pct"/>
            <w:tcBorders>
              <w:top w:val="single" w:color="000000" w:sz="4" w:space="0"/>
              <w:left w:val="single" w:color="000000" w:sz="4" w:space="0"/>
              <w:bottom w:val="single" w:color="000000" w:sz="4" w:space="0"/>
              <w:right w:val="single" w:color="000000" w:sz="4" w:space="0"/>
            </w:tcBorders>
            <w:vAlign w:val="center"/>
          </w:tcPr>
          <w:p w14:paraId="4E7BF66E">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15</w:t>
            </w:r>
          </w:p>
        </w:tc>
        <w:tc>
          <w:tcPr>
            <w:tcW w:w="1011" w:type="pct"/>
            <w:tcBorders>
              <w:top w:val="single" w:color="000000" w:sz="4" w:space="0"/>
              <w:left w:val="single" w:color="000000" w:sz="4" w:space="0"/>
              <w:bottom w:val="single" w:color="000000" w:sz="4" w:space="0"/>
              <w:right w:val="single" w:color="000000" w:sz="4" w:space="0"/>
            </w:tcBorders>
            <w:vAlign w:val="center"/>
          </w:tcPr>
          <w:p w14:paraId="04A9C663">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购房条件线下核验-人才购房线下核验</w:t>
            </w:r>
          </w:p>
        </w:tc>
        <w:tc>
          <w:tcPr>
            <w:tcW w:w="3296" w:type="pct"/>
            <w:tcBorders>
              <w:top w:val="single" w:color="000000" w:sz="4" w:space="0"/>
              <w:left w:val="single" w:color="000000" w:sz="4" w:space="0"/>
              <w:bottom w:val="single" w:color="000000" w:sz="4" w:space="0"/>
              <w:right w:val="single" w:color="000000" w:sz="4" w:space="0"/>
            </w:tcBorders>
            <w:vAlign w:val="center"/>
          </w:tcPr>
          <w:p w14:paraId="002C7113">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人才购房线下核验，包含填报、查询、核验、受理流程</w:t>
            </w:r>
          </w:p>
        </w:tc>
      </w:tr>
      <w:tr w14:paraId="38E6CF95">
        <w:tblPrEx>
          <w:tblCellMar>
            <w:top w:w="0" w:type="dxa"/>
            <w:left w:w="108" w:type="dxa"/>
            <w:bottom w:w="0" w:type="dxa"/>
            <w:right w:w="108" w:type="dxa"/>
          </w:tblCellMar>
        </w:tblPrEx>
        <w:trPr>
          <w:trHeight w:val="57" w:hRule="atLeast"/>
        </w:trPr>
        <w:tc>
          <w:tcPr>
            <w:tcW w:w="692" w:type="pct"/>
            <w:tcBorders>
              <w:top w:val="single" w:color="000000" w:sz="4" w:space="0"/>
              <w:left w:val="single" w:color="000000" w:sz="4" w:space="0"/>
              <w:bottom w:val="single" w:color="000000" w:sz="4" w:space="0"/>
              <w:right w:val="single" w:color="000000" w:sz="4" w:space="0"/>
            </w:tcBorders>
            <w:vAlign w:val="center"/>
          </w:tcPr>
          <w:p w14:paraId="01DA98E5">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16</w:t>
            </w:r>
          </w:p>
        </w:tc>
        <w:tc>
          <w:tcPr>
            <w:tcW w:w="1011" w:type="pct"/>
            <w:tcBorders>
              <w:top w:val="single" w:color="000000" w:sz="4" w:space="0"/>
              <w:left w:val="single" w:color="000000" w:sz="4" w:space="0"/>
              <w:bottom w:val="single" w:color="000000" w:sz="4" w:space="0"/>
              <w:right w:val="single" w:color="000000" w:sz="4" w:space="0"/>
            </w:tcBorders>
            <w:vAlign w:val="center"/>
          </w:tcPr>
          <w:p w14:paraId="3A2845F5">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购房条件线下核验-征收安置（货币安置）线下核验</w:t>
            </w:r>
          </w:p>
        </w:tc>
        <w:tc>
          <w:tcPr>
            <w:tcW w:w="3296" w:type="pct"/>
            <w:tcBorders>
              <w:top w:val="single" w:color="000000" w:sz="4" w:space="0"/>
              <w:left w:val="single" w:color="000000" w:sz="4" w:space="0"/>
              <w:bottom w:val="single" w:color="000000" w:sz="4" w:space="0"/>
              <w:right w:val="single" w:color="000000" w:sz="4" w:space="0"/>
            </w:tcBorders>
            <w:vAlign w:val="center"/>
          </w:tcPr>
          <w:p w14:paraId="3610ADC3">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征收安置（货币安置）线下核验，包含填报、查询、核验、受理流程</w:t>
            </w:r>
          </w:p>
        </w:tc>
      </w:tr>
      <w:tr w14:paraId="64D23E61">
        <w:tblPrEx>
          <w:tblCellMar>
            <w:top w:w="0" w:type="dxa"/>
            <w:left w:w="108" w:type="dxa"/>
            <w:bottom w:w="0" w:type="dxa"/>
            <w:right w:w="108" w:type="dxa"/>
          </w:tblCellMar>
        </w:tblPrEx>
        <w:trPr>
          <w:trHeight w:val="57" w:hRule="atLeast"/>
        </w:trPr>
        <w:tc>
          <w:tcPr>
            <w:tcW w:w="692" w:type="pct"/>
            <w:tcBorders>
              <w:top w:val="single" w:color="000000" w:sz="4" w:space="0"/>
              <w:left w:val="single" w:color="000000" w:sz="4" w:space="0"/>
              <w:bottom w:val="single" w:color="000000" w:sz="4" w:space="0"/>
              <w:right w:val="single" w:color="000000" w:sz="4" w:space="0"/>
            </w:tcBorders>
            <w:vAlign w:val="center"/>
          </w:tcPr>
          <w:p w14:paraId="09B65462">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17</w:t>
            </w:r>
          </w:p>
        </w:tc>
        <w:tc>
          <w:tcPr>
            <w:tcW w:w="1011" w:type="pct"/>
            <w:tcBorders>
              <w:top w:val="single" w:color="000000" w:sz="4" w:space="0"/>
              <w:left w:val="single" w:color="000000" w:sz="4" w:space="0"/>
              <w:bottom w:val="single" w:color="000000" w:sz="4" w:space="0"/>
              <w:right w:val="single" w:color="000000" w:sz="4" w:space="0"/>
            </w:tcBorders>
            <w:vAlign w:val="center"/>
          </w:tcPr>
          <w:p w14:paraId="32CFF17E">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购房条件线下核验-法人及其他组织线下核验</w:t>
            </w:r>
          </w:p>
        </w:tc>
        <w:tc>
          <w:tcPr>
            <w:tcW w:w="3296" w:type="pct"/>
            <w:tcBorders>
              <w:top w:val="single" w:color="000000" w:sz="4" w:space="0"/>
              <w:left w:val="single" w:color="000000" w:sz="4" w:space="0"/>
              <w:bottom w:val="single" w:color="000000" w:sz="4" w:space="0"/>
              <w:right w:val="single" w:color="000000" w:sz="4" w:space="0"/>
            </w:tcBorders>
            <w:vAlign w:val="center"/>
          </w:tcPr>
          <w:p w14:paraId="6E7049F5">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法人及其他组织线下核验，包含填报、查询、核验、受理流程</w:t>
            </w:r>
          </w:p>
        </w:tc>
      </w:tr>
      <w:tr w14:paraId="5F8EEE68">
        <w:tblPrEx>
          <w:tblCellMar>
            <w:top w:w="0" w:type="dxa"/>
            <w:left w:w="108" w:type="dxa"/>
            <w:bottom w:w="0" w:type="dxa"/>
            <w:right w:w="108" w:type="dxa"/>
          </w:tblCellMar>
        </w:tblPrEx>
        <w:trPr>
          <w:trHeight w:val="57" w:hRule="atLeast"/>
        </w:trPr>
        <w:tc>
          <w:tcPr>
            <w:tcW w:w="692" w:type="pct"/>
            <w:tcBorders>
              <w:top w:val="single" w:color="000000" w:sz="4" w:space="0"/>
              <w:left w:val="single" w:color="000000" w:sz="4" w:space="0"/>
              <w:bottom w:val="single" w:color="000000" w:sz="4" w:space="0"/>
              <w:right w:val="single" w:color="000000" w:sz="4" w:space="0"/>
            </w:tcBorders>
            <w:vAlign w:val="center"/>
          </w:tcPr>
          <w:p w14:paraId="70AFEB2C">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18</w:t>
            </w:r>
          </w:p>
        </w:tc>
        <w:tc>
          <w:tcPr>
            <w:tcW w:w="1011" w:type="pct"/>
            <w:tcBorders>
              <w:top w:val="single" w:color="000000" w:sz="4" w:space="0"/>
              <w:left w:val="single" w:color="000000" w:sz="4" w:space="0"/>
              <w:bottom w:val="single" w:color="000000" w:sz="4" w:space="0"/>
              <w:right w:val="single" w:color="000000" w:sz="4" w:space="0"/>
            </w:tcBorders>
            <w:vAlign w:val="center"/>
          </w:tcPr>
          <w:p w14:paraId="27DDF251">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购房条件线下核验-其他类型线下核验</w:t>
            </w:r>
          </w:p>
        </w:tc>
        <w:tc>
          <w:tcPr>
            <w:tcW w:w="3296" w:type="pct"/>
            <w:tcBorders>
              <w:top w:val="single" w:color="000000" w:sz="4" w:space="0"/>
              <w:left w:val="single" w:color="000000" w:sz="4" w:space="0"/>
              <w:bottom w:val="single" w:color="000000" w:sz="4" w:space="0"/>
              <w:right w:val="single" w:color="000000" w:sz="4" w:space="0"/>
            </w:tcBorders>
            <w:vAlign w:val="center"/>
          </w:tcPr>
          <w:p w14:paraId="08A5E6AB">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其他类型线下核验，包含填报、查询、核验、受理流程</w:t>
            </w:r>
          </w:p>
        </w:tc>
      </w:tr>
      <w:tr w14:paraId="65CEE7B4">
        <w:tblPrEx>
          <w:tblCellMar>
            <w:top w:w="0" w:type="dxa"/>
            <w:left w:w="108" w:type="dxa"/>
            <w:bottom w:w="0" w:type="dxa"/>
            <w:right w:w="108" w:type="dxa"/>
          </w:tblCellMar>
        </w:tblPrEx>
        <w:trPr>
          <w:trHeight w:val="57" w:hRule="atLeast"/>
        </w:trPr>
        <w:tc>
          <w:tcPr>
            <w:tcW w:w="692" w:type="pct"/>
            <w:tcBorders>
              <w:top w:val="single" w:color="000000" w:sz="4" w:space="0"/>
              <w:left w:val="single" w:color="000000" w:sz="4" w:space="0"/>
              <w:bottom w:val="single" w:color="000000" w:sz="4" w:space="0"/>
              <w:right w:val="single" w:color="000000" w:sz="4" w:space="0"/>
            </w:tcBorders>
            <w:vAlign w:val="center"/>
          </w:tcPr>
          <w:p w14:paraId="095D0625">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19</w:t>
            </w:r>
          </w:p>
        </w:tc>
        <w:tc>
          <w:tcPr>
            <w:tcW w:w="1011" w:type="pct"/>
            <w:tcBorders>
              <w:top w:val="single" w:color="000000" w:sz="4" w:space="0"/>
              <w:left w:val="single" w:color="000000" w:sz="4" w:space="0"/>
              <w:bottom w:val="single" w:color="000000" w:sz="4" w:space="0"/>
              <w:right w:val="single" w:color="000000" w:sz="4" w:space="0"/>
            </w:tcBorders>
            <w:vAlign w:val="center"/>
          </w:tcPr>
          <w:p w14:paraId="50C15E4E">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购房条件黄码审查</w:t>
            </w:r>
          </w:p>
        </w:tc>
        <w:tc>
          <w:tcPr>
            <w:tcW w:w="3296" w:type="pct"/>
            <w:tcBorders>
              <w:top w:val="single" w:color="000000" w:sz="4" w:space="0"/>
              <w:left w:val="single" w:color="000000" w:sz="4" w:space="0"/>
              <w:bottom w:val="single" w:color="000000" w:sz="4" w:space="0"/>
              <w:right w:val="single" w:color="000000" w:sz="4" w:space="0"/>
            </w:tcBorders>
            <w:vAlign w:val="center"/>
          </w:tcPr>
          <w:p w14:paraId="254BBE43">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申请人可凭“待线下核验”的购房条件码（黄码）和相关证明材料至拟购房所在区的区交易中心办理购房条件复核业务</w:t>
            </w:r>
          </w:p>
        </w:tc>
      </w:tr>
      <w:tr w14:paraId="507E3D26">
        <w:tblPrEx>
          <w:tblCellMar>
            <w:top w:w="0" w:type="dxa"/>
            <w:left w:w="108" w:type="dxa"/>
            <w:bottom w:w="0" w:type="dxa"/>
            <w:right w:w="108" w:type="dxa"/>
          </w:tblCellMar>
        </w:tblPrEx>
        <w:trPr>
          <w:trHeight w:val="57" w:hRule="atLeast"/>
        </w:trPr>
        <w:tc>
          <w:tcPr>
            <w:tcW w:w="692" w:type="pct"/>
            <w:tcBorders>
              <w:top w:val="single" w:color="000000" w:sz="4" w:space="0"/>
              <w:left w:val="single" w:color="000000" w:sz="4" w:space="0"/>
              <w:bottom w:val="single" w:color="000000" w:sz="4" w:space="0"/>
              <w:right w:val="single" w:color="000000" w:sz="4" w:space="0"/>
            </w:tcBorders>
            <w:vAlign w:val="center"/>
          </w:tcPr>
          <w:p w14:paraId="4D9BDCA6">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20</w:t>
            </w:r>
          </w:p>
        </w:tc>
        <w:tc>
          <w:tcPr>
            <w:tcW w:w="1011" w:type="pct"/>
            <w:tcBorders>
              <w:top w:val="single" w:color="000000" w:sz="4" w:space="0"/>
              <w:left w:val="single" w:color="000000" w:sz="4" w:space="0"/>
              <w:bottom w:val="single" w:color="000000" w:sz="4" w:space="0"/>
              <w:right w:val="single" w:color="000000" w:sz="4" w:space="0"/>
            </w:tcBorders>
            <w:vAlign w:val="center"/>
          </w:tcPr>
          <w:p w14:paraId="6F6CBA99">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购房合同限定区域审查</w:t>
            </w:r>
          </w:p>
        </w:tc>
        <w:tc>
          <w:tcPr>
            <w:tcW w:w="3296" w:type="pct"/>
            <w:tcBorders>
              <w:top w:val="single" w:color="000000" w:sz="4" w:space="0"/>
              <w:left w:val="single" w:color="000000" w:sz="4" w:space="0"/>
              <w:bottom w:val="single" w:color="000000" w:sz="4" w:space="0"/>
              <w:right w:val="single" w:color="000000" w:sz="4" w:space="0"/>
            </w:tcBorders>
            <w:vAlign w:val="center"/>
          </w:tcPr>
          <w:p w14:paraId="393F67CF">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新增线下人工复核功能确保合同对应的住房是在限定区域内</w:t>
            </w:r>
          </w:p>
        </w:tc>
      </w:tr>
      <w:tr w14:paraId="69681364">
        <w:tblPrEx>
          <w:tblCellMar>
            <w:top w:w="0" w:type="dxa"/>
            <w:left w:w="108" w:type="dxa"/>
            <w:bottom w:w="0" w:type="dxa"/>
            <w:right w:w="108" w:type="dxa"/>
          </w:tblCellMar>
        </w:tblPrEx>
        <w:trPr>
          <w:trHeight w:val="57" w:hRule="atLeast"/>
        </w:trPr>
        <w:tc>
          <w:tcPr>
            <w:tcW w:w="692" w:type="pct"/>
            <w:tcBorders>
              <w:top w:val="single" w:color="000000" w:sz="4" w:space="0"/>
              <w:left w:val="single" w:color="000000" w:sz="4" w:space="0"/>
              <w:bottom w:val="single" w:color="000000" w:sz="4" w:space="0"/>
              <w:right w:val="single" w:color="000000" w:sz="4" w:space="0"/>
            </w:tcBorders>
            <w:vAlign w:val="center"/>
          </w:tcPr>
          <w:p w14:paraId="15FCC98D">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21</w:t>
            </w:r>
          </w:p>
        </w:tc>
        <w:tc>
          <w:tcPr>
            <w:tcW w:w="1011" w:type="pct"/>
            <w:tcBorders>
              <w:top w:val="single" w:color="000000" w:sz="4" w:space="0"/>
              <w:left w:val="single" w:color="000000" w:sz="4" w:space="0"/>
              <w:bottom w:val="single" w:color="000000" w:sz="4" w:space="0"/>
              <w:right w:val="single" w:color="000000" w:sz="4" w:space="0"/>
            </w:tcBorders>
            <w:vAlign w:val="center"/>
          </w:tcPr>
          <w:p w14:paraId="1DCCEB89">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购房置换码生效审查</w:t>
            </w:r>
          </w:p>
        </w:tc>
        <w:tc>
          <w:tcPr>
            <w:tcW w:w="3296" w:type="pct"/>
            <w:tcBorders>
              <w:top w:val="single" w:color="000000" w:sz="4" w:space="0"/>
              <w:left w:val="single" w:color="000000" w:sz="4" w:space="0"/>
              <w:bottom w:val="single" w:color="000000" w:sz="4" w:space="0"/>
              <w:right w:val="single" w:color="000000" w:sz="4" w:space="0"/>
            </w:tcBorders>
            <w:vAlign w:val="center"/>
          </w:tcPr>
          <w:p w14:paraId="59749AEB">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置换码的受理案件，需要进行置换码复核，需对申请人名下住房信息进行核验</w:t>
            </w:r>
          </w:p>
        </w:tc>
      </w:tr>
      <w:tr w14:paraId="30FF5F7D">
        <w:tblPrEx>
          <w:tblCellMar>
            <w:top w:w="0" w:type="dxa"/>
            <w:left w:w="108" w:type="dxa"/>
            <w:bottom w:w="0" w:type="dxa"/>
            <w:right w:w="108" w:type="dxa"/>
          </w:tblCellMar>
        </w:tblPrEx>
        <w:trPr>
          <w:trHeight w:val="57" w:hRule="atLeast"/>
        </w:trPr>
        <w:tc>
          <w:tcPr>
            <w:tcW w:w="692" w:type="pct"/>
            <w:tcBorders>
              <w:top w:val="single" w:color="000000" w:sz="4" w:space="0"/>
              <w:left w:val="single" w:color="000000" w:sz="4" w:space="0"/>
              <w:bottom w:val="single" w:color="000000" w:sz="4" w:space="0"/>
              <w:right w:val="single" w:color="000000" w:sz="4" w:space="0"/>
            </w:tcBorders>
            <w:vAlign w:val="center"/>
          </w:tcPr>
          <w:p w14:paraId="58BCE45A">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22</w:t>
            </w:r>
          </w:p>
        </w:tc>
        <w:tc>
          <w:tcPr>
            <w:tcW w:w="1011" w:type="pct"/>
            <w:tcBorders>
              <w:top w:val="single" w:color="000000" w:sz="4" w:space="0"/>
              <w:left w:val="single" w:color="000000" w:sz="4" w:space="0"/>
              <w:bottom w:val="single" w:color="000000" w:sz="4" w:space="0"/>
              <w:right w:val="single" w:color="000000" w:sz="4" w:space="0"/>
            </w:tcBorders>
            <w:vAlign w:val="center"/>
          </w:tcPr>
          <w:p w14:paraId="619148A7">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购房条件红码审查</w:t>
            </w:r>
          </w:p>
        </w:tc>
        <w:tc>
          <w:tcPr>
            <w:tcW w:w="3296" w:type="pct"/>
            <w:tcBorders>
              <w:top w:val="single" w:color="000000" w:sz="4" w:space="0"/>
              <w:left w:val="single" w:color="000000" w:sz="4" w:space="0"/>
              <w:bottom w:val="single" w:color="000000" w:sz="4" w:space="0"/>
              <w:right w:val="single" w:color="000000" w:sz="4" w:space="0"/>
            </w:tcBorders>
            <w:vAlign w:val="center"/>
          </w:tcPr>
          <w:p w14:paraId="1D9D2774">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凭“核验不通过”的购房条件码（红码）和相关证明材料至拟购房所在区的区交易中心办理购房条件异议处理业务</w:t>
            </w:r>
          </w:p>
        </w:tc>
      </w:tr>
      <w:tr w14:paraId="31523DB8">
        <w:tblPrEx>
          <w:tblCellMar>
            <w:top w:w="0" w:type="dxa"/>
            <w:left w:w="108" w:type="dxa"/>
            <w:bottom w:w="0" w:type="dxa"/>
            <w:right w:w="108" w:type="dxa"/>
          </w:tblCellMar>
        </w:tblPrEx>
        <w:trPr>
          <w:trHeight w:val="57" w:hRule="atLeast"/>
        </w:trPr>
        <w:tc>
          <w:tcPr>
            <w:tcW w:w="692" w:type="pct"/>
            <w:tcBorders>
              <w:top w:val="single" w:color="000000" w:sz="4" w:space="0"/>
              <w:left w:val="single" w:color="000000" w:sz="4" w:space="0"/>
              <w:bottom w:val="single" w:color="000000" w:sz="4" w:space="0"/>
              <w:right w:val="single" w:color="000000" w:sz="4" w:space="0"/>
            </w:tcBorders>
            <w:vAlign w:val="center"/>
          </w:tcPr>
          <w:p w14:paraId="4FFF09CA">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23</w:t>
            </w:r>
          </w:p>
        </w:tc>
        <w:tc>
          <w:tcPr>
            <w:tcW w:w="1011" w:type="pct"/>
            <w:tcBorders>
              <w:top w:val="single" w:color="000000" w:sz="4" w:space="0"/>
              <w:left w:val="single" w:color="000000" w:sz="4" w:space="0"/>
              <w:bottom w:val="single" w:color="000000" w:sz="4" w:space="0"/>
              <w:right w:val="single" w:color="000000" w:sz="4" w:space="0"/>
            </w:tcBorders>
            <w:vAlign w:val="center"/>
          </w:tcPr>
          <w:p w14:paraId="062759E3">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征收安置管理</w:t>
            </w:r>
          </w:p>
        </w:tc>
        <w:tc>
          <w:tcPr>
            <w:tcW w:w="3296" w:type="pct"/>
            <w:tcBorders>
              <w:top w:val="single" w:color="000000" w:sz="4" w:space="0"/>
              <w:left w:val="single" w:color="000000" w:sz="4" w:space="0"/>
              <w:bottom w:val="single" w:color="000000" w:sz="4" w:space="0"/>
              <w:right w:val="single" w:color="000000" w:sz="4" w:space="0"/>
            </w:tcBorders>
            <w:vAlign w:val="center"/>
          </w:tcPr>
          <w:p w14:paraId="2EB0023A">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支持通过征收协议流水编号进行查询被征收人的姓名、协议中被征收人证件号和最新的pdf版协议</w:t>
            </w:r>
          </w:p>
        </w:tc>
      </w:tr>
      <w:tr w14:paraId="6B878C7F">
        <w:tblPrEx>
          <w:tblCellMar>
            <w:top w:w="0" w:type="dxa"/>
            <w:left w:w="108" w:type="dxa"/>
            <w:bottom w:w="0" w:type="dxa"/>
            <w:right w:w="108" w:type="dxa"/>
          </w:tblCellMar>
        </w:tblPrEx>
        <w:trPr>
          <w:trHeight w:val="57" w:hRule="atLeast"/>
        </w:trPr>
        <w:tc>
          <w:tcPr>
            <w:tcW w:w="692" w:type="pct"/>
            <w:tcBorders>
              <w:top w:val="single" w:color="000000" w:sz="4" w:space="0"/>
              <w:left w:val="single" w:color="000000" w:sz="4" w:space="0"/>
              <w:bottom w:val="single" w:color="000000" w:sz="4" w:space="0"/>
              <w:right w:val="single" w:color="000000" w:sz="4" w:space="0"/>
            </w:tcBorders>
            <w:vAlign w:val="center"/>
          </w:tcPr>
          <w:p w14:paraId="3B167CBB">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24</w:t>
            </w:r>
          </w:p>
        </w:tc>
        <w:tc>
          <w:tcPr>
            <w:tcW w:w="1011" w:type="pct"/>
            <w:tcBorders>
              <w:top w:val="single" w:color="000000" w:sz="4" w:space="0"/>
              <w:left w:val="single" w:color="000000" w:sz="4" w:space="0"/>
              <w:bottom w:val="single" w:color="000000" w:sz="4" w:space="0"/>
              <w:right w:val="single" w:color="000000" w:sz="4" w:space="0"/>
            </w:tcBorders>
            <w:vAlign w:val="center"/>
          </w:tcPr>
          <w:p w14:paraId="68BBF74F">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购房条件核验案件查询</w:t>
            </w:r>
          </w:p>
        </w:tc>
        <w:tc>
          <w:tcPr>
            <w:tcW w:w="3296" w:type="pct"/>
            <w:tcBorders>
              <w:top w:val="single" w:color="000000" w:sz="4" w:space="0"/>
              <w:left w:val="single" w:color="000000" w:sz="4" w:space="0"/>
              <w:bottom w:val="single" w:color="000000" w:sz="4" w:space="0"/>
              <w:right w:val="single" w:color="000000" w:sz="4" w:space="0"/>
            </w:tcBorders>
            <w:vAlign w:val="center"/>
          </w:tcPr>
          <w:p w14:paraId="0E0B88B0">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对操作人、操作记录记录至日志审核中</w:t>
            </w:r>
          </w:p>
        </w:tc>
      </w:tr>
      <w:tr w14:paraId="42A45A26">
        <w:tblPrEx>
          <w:tblCellMar>
            <w:top w:w="0" w:type="dxa"/>
            <w:left w:w="108" w:type="dxa"/>
            <w:bottom w:w="0" w:type="dxa"/>
            <w:right w:w="108" w:type="dxa"/>
          </w:tblCellMar>
        </w:tblPrEx>
        <w:trPr>
          <w:trHeight w:val="57" w:hRule="atLeast"/>
        </w:trPr>
        <w:tc>
          <w:tcPr>
            <w:tcW w:w="692" w:type="pct"/>
            <w:tcBorders>
              <w:top w:val="single" w:color="000000" w:sz="4" w:space="0"/>
              <w:left w:val="single" w:color="000000" w:sz="4" w:space="0"/>
              <w:bottom w:val="single" w:color="000000" w:sz="4" w:space="0"/>
              <w:right w:val="single" w:color="000000" w:sz="4" w:space="0"/>
            </w:tcBorders>
            <w:vAlign w:val="center"/>
          </w:tcPr>
          <w:p w14:paraId="4A25C5B1">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25</w:t>
            </w:r>
          </w:p>
        </w:tc>
        <w:tc>
          <w:tcPr>
            <w:tcW w:w="1011" w:type="pct"/>
            <w:tcBorders>
              <w:top w:val="single" w:color="000000" w:sz="4" w:space="0"/>
              <w:left w:val="single" w:color="000000" w:sz="4" w:space="0"/>
              <w:bottom w:val="single" w:color="000000" w:sz="4" w:space="0"/>
              <w:right w:val="single" w:color="000000" w:sz="4" w:space="0"/>
            </w:tcBorders>
            <w:vAlign w:val="center"/>
          </w:tcPr>
          <w:p w14:paraId="261E0453">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案件改派管理</w:t>
            </w:r>
          </w:p>
        </w:tc>
        <w:tc>
          <w:tcPr>
            <w:tcW w:w="3296" w:type="pct"/>
            <w:tcBorders>
              <w:top w:val="single" w:color="000000" w:sz="4" w:space="0"/>
              <w:left w:val="single" w:color="000000" w:sz="4" w:space="0"/>
              <w:bottom w:val="single" w:color="000000" w:sz="4" w:space="0"/>
              <w:right w:val="single" w:color="000000" w:sz="4" w:space="0"/>
            </w:tcBorders>
            <w:vAlign w:val="center"/>
          </w:tcPr>
          <w:p w14:paraId="6898A2A4">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因对于线下窗口已签收的案件，可进行改派至其他受理员角色</w:t>
            </w:r>
          </w:p>
        </w:tc>
      </w:tr>
      <w:tr w14:paraId="4520FC4E">
        <w:tblPrEx>
          <w:tblCellMar>
            <w:top w:w="0" w:type="dxa"/>
            <w:left w:w="108" w:type="dxa"/>
            <w:bottom w:w="0" w:type="dxa"/>
            <w:right w:w="108" w:type="dxa"/>
          </w:tblCellMar>
        </w:tblPrEx>
        <w:trPr>
          <w:trHeight w:val="57" w:hRule="atLeast"/>
        </w:trPr>
        <w:tc>
          <w:tcPr>
            <w:tcW w:w="692" w:type="pct"/>
            <w:tcBorders>
              <w:top w:val="single" w:color="000000" w:sz="4" w:space="0"/>
              <w:left w:val="single" w:color="000000" w:sz="4" w:space="0"/>
              <w:bottom w:val="single" w:color="000000" w:sz="4" w:space="0"/>
              <w:right w:val="single" w:color="000000" w:sz="4" w:space="0"/>
            </w:tcBorders>
            <w:vAlign w:val="center"/>
          </w:tcPr>
          <w:p w14:paraId="36234536">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26</w:t>
            </w:r>
          </w:p>
        </w:tc>
        <w:tc>
          <w:tcPr>
            <w:tcW w:w="1011" w:type="pct"/>
            <w:tcBorders>
              <w:top w:val="single" w:color="000000" w:sz="4" w:space="0"/>
              <w:left w:val="single" w:color="000000" w:sz="4" w:space="0"/>
              <w:bottom w:val="single" w:color="000000" w:sz="4" w:space="0"/>
              <w:right w:val="single" w:color="000000" w:sz="4" w:space="0"/>
            </w:tcBorders>
            <w:vAlign w:val="center"/>
          </w:tcPr>
          <w:p w14:paraId="0223078E">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审核员密码维护及重置</w:t>
            </w:r>
          </w:p>
        </w:tc>
        <w:tc>
          <w:tcPr>
            <w:tcW w:w="3296" w:type="pct"/>
            <w:tcBorders>
              <w:top w:val="single" w:color="000000" w:sz="4" w:space="0"/>
              <w:left w:val="single" w:color="000000" w:sz="4" w:space="0"/>
              <w:bottom w:val="single" w:color="000000" w:sz="4" w:space="0"/>
              <w:right w:val="single" w:color="000000" w:sz="4" w:space="0"/>
            </w:tcBorders>
            <w:vAlign w:val="center"/>
          </w:tcPr>
          <w:p w14:paraId="14E58B62">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审核员可对审核密码进行维护</w:t>
            </w:r>
          </w:p>
        </w:tc>
      </w:tr>
      <w:tr w14:paraId="7C0D8E6C">
        <w:tblPrEx>
          <w:tblCellMar>
            <w:top w:w="0" w:type="dxa"/>
            <w:left w:w="108" w:type="dxa"/>
            <w:bottom w:w="0" w:type="dxa"/>
            <w:right w:w="108" w:type="dxa"/>
          </w:tblCellMar>
        </w:tblPrEx>
        <w:trPr>
          <w:trHeight w:val="57" w:hRule="atLeast"/>
        </w:trPr>
        <w:tc>
          <w:tcPr>
            <w:tcW w:w="692" w:type="pct"/>
            <w:tcBorders>
              <w:top w:val="single" w:color="000000" w:sz="4" w:space="0"/>
              <w:left w:val="single" w:color="000000" w:sz="4" w:space="0"/>
              <w:bottom w:val="single" w:color="000000" w:sz="4" w:space="0"/>
              <w:right w:val="single" w:color="000000" w:sz="4" w:space="0"/>
            </w:tcBorders>
            <w:vAlign w:val="center"/>
          </w:tcPr>
          <w:p w14:paraId="1D7C14AE">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27</w:t>
            </w:r>
          </w:p>
        </w:tc>
        <w:tc>
          <w:tcPr>
            <w:tcW w:w="1011" w:type="pct"/>
            <w:tcBorders>
              <w:top w:val="single" w:color="000000" w:sz="4" w:space="0"/>
              <w:left w:val="single" w:color="000000" w:sz="4" w:space="0"/>
              <w:bottom w:val="single" w:color="000000" w:sz="4" w:space="0"/>
              <w:right w:val="single" w:color="000000" w:sz="4" w:space="0"/>
            </w:tcBorders>
            <w:vAlign w:val="center"/>
          </w:tcPr>
          <w:p w14:paraId="3C32109B">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购房条件核验外部接口-人口基本信息查询</w:t>
            </w:r>
          </w:p>
        </w:tc>
        <w:tc>
          <w:tcPr>
            <w:tcW w:w="3296" w:type="pct"/>
            <w:tcBorders>
              <w:top w:val="single" w:color="000000" w:sz="4" w:space="0"/>
              <w:left w:val="single" w:color="000000" w:sz="4" w:space="0"/>
              <w:bottom w:val="single" w:color="000000" w:sz="4" w:space="0"/>
              <w:right w:val="single" w:color="000000" w:sz="4" w:space="0"/>
            </w:tcBorders>
            <w:vAlign w:val="center"/>
          </w:tcPr>
          <w:p w14:paraId="67B3E964">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依托大数据中心平台查询人口基本信息</w:t>
            </w:r>
          </w:p>
        </w:tc>
      </w:tr>
      <w:tr w14:paraId="6C82C986">
        <w:tblPrEx>
          <w:tblCellMar>
            <w:top w:w="0" w:type="dxa"/>
            <w:left w:w="108" w:type="dxa"/>
            <w:bottom w:w="0" w:type="dxa"/>
            <w:right w:w="108" w:type="dxa"/>
          </w:tblCellMar>
        </w:tblPrEx>
        <w:trPr>
          <w:trHeight w:val="57" w:hRule="atLeast"/>
        </w:trPr>
        <w:tc>
          <w:tcPr>
            <w:tcW w:w="692" w:type="pct"/>
            <w:tcBorders>
              <w:top w:val="single" w:color="000000" w:sz="4" w:space="0"/>
              <w:left w:val="single" w:color="000000" w:sz="4" w:space="0"/>
              <w:bottom w:val="single" w:color="000000" w:sz="4" w:space="0"/>
              <w:right w:val="single" w:color="000000" w:sz="4" w:space="0"/>
            </w:tcBorders>
            <w:vAlign w:val="center"/>
          </w:tcPr>
          <w:p w14:paraId="2F1DB10F">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28</w:t>
            </w:r>
          </w:p>
        </w:tc>
        <w:tc>
          <w:tcPr>
            <w:tcW w:w="1011" w:type="pct"/>
            <w:tcBorders>
              <w:top w:val="single" w:color="000000" w:sz="4" w:space="0"/>
              <w:left w:val="single" w:color="000000" w:sz="4" w:space="0"/>
              <w:bottom w:val="single" w:color="000000" w:sz="4" w:space="0"/>
              <w:right w:val="single" w:color="000000" w:sz="4" w:space="0"/>
            </w:tcBorders>
            <w:vAlign w:val="center"/>
          </w:tcPr>
          <w:p w14:paraId="211E4E9D">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购房条件核验外部接口-单人婚姻状态查询</w:t>
            </w:r>
          </w:p>
        </w:tc>
        <w:tc>
          <w:tcPr>
            <w:tcW w:w="3296" w:type="pct"/>
            <w:tcBorders>
              <w:top w:val="single" w:color="000000" w:sz="4" w:space="0"/>
              <w:left w:val="single" w:color="000000" w:sz="4" w:space="0"/>
              <w:bottom w:val="single" w:color="000000" w:sz="4" w:space="0"/>
              <w:right w:val="single" w:color="000000" w:sz="4" w:space="0"/>
            </w:tcBorders>
            <w:vAlign w:val="center"/>
          </w:tcPr>
          <w:p w14:paraId="22BA9F6C">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依托大数据中心平台进行接口对接查询婚姻状况信息</w:t>
            </w:r>
          </w:p>
        </w:tc>
      </w:tr>
      <w:tr w14:paraId="49BED489">
        <w:tblPrEx>
          <w:tblCellMar>
            <w:top w:w="0" w:type="dxa"/>
            <w:left w:w="108" w:type="dxa"/>
            <w:bottom w:w="0" w:type="dxa"/>
            <w:right w:w="108" w:type="dxa"/>
          </w:tblCellMar>
        </w:tblPrEx>
        <w:trPr>
          <w:trHeight w:val="57" w:hRule="atLeast"/>
        </w:trPr>
        <w:tc>
          <w:tcPr>
            <w:tcW w:w="692" w:type="pct"/>
            <w:tcBorders>
              <w:top w:val="single" w:color="000000" w:sz="4" w:space="0"/>
              <w:left w:val="single" w:color="000000" w:sz="4" w:space="0"/>
              <w:bottom w:val="single" w:color="000000" w:sz="4" w:space="0"/>
              <w:right w:val="single" w:color="000000" w:sz="4" w:space="0"/>
            </w:tcBorders>
            <w:vAlign w:val="center"/>
          </w:tcPr>
          <w:p w14:paraId="707A0AF8">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29</w:t>
            </w:r>
          </w:p>
        </w:tc>
        <w:tc>
          <w:tcPr>
            <w:tcW w:w="1011" w:type="pct"/>
            <w:tcBorders>
              <w:top w:val="single" w:color="000000" w:sz="4" w:space="0"/>
              <w:left w:val="single" w:color="000000" w:sz="4" w:space="0"/>
              <w:bottom w:val="single" w:color="000000" w:sz="4" w:space="0"/>
              <w:right w:val="single" w:color="000000" w:sz="4" w:space="0"/>
            </w:tcBorders>
            <w:vAlign w:val="center"/>
          </w:tcPr>
          <w:p w14:paraId="1503BE83">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购房条件核验外部接口-双人婚姻情况查询</w:t>
            </w:r>
          </w:p>
        </w:tc>
        <w:tc>
          <w:tcPr>
            <w:tcW w:w="3296" w:type="pct"/>
            <w:tcBorders>
              <w:top w:val="single" w:color="000000" w:sz="4" w:space="0"/>
              <w:left w:val="single" w:color="000000" w:sz="4" w:space="0"/>
              <w:bottom w:val="single" w:color="000000" w:sz="4" w:space="0"/>
              <w:right w:val="single" w:color="000000" w:sz="4" w:space="0"/>
            </w:tcBorders>
            <w:vAlign w:val="center"/>
          </w:tcPr>
          <w:p w14:paraId="4BB06927">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依托大数据中心平台进行接口对接，获取婚姻状况类型、婚姻状况变更日期、办理机关单位等信息</w:t>
            </w:r>
          </w:p>
        </w:tc>
      </w:tr>
      <w:tr w14:paraId="5427E227">
        <w:tblPrEx>
          <w:tblCellMar>
            <w:top w:w="0" w:type="dxa"/>
            <w:left w:w="108" w:type="dxa"/>
            <w:bottom w:w="0" w:type="dxa"/>
            <w:right w:w="108" w:type="dxa"/>
          </w:tblCellMar>
        </w:tblPrEx>
        <w:trPr>
          <w:trHeight w:val="57" w:hRule="atLeast"/>
        </w:trPr>
        <w:tc>
          <w:tcPr>
            <w:tcW w:w="692" w:type="pct"/>
            <w:tcBorders>
              <w:top w:val="single" w:color="000000" w:sz="4" w:space="0"/>
              <w:left w:val="single" w:color="000000" w:sz="4" w:space="0"/>
              <w:bottom w:val="single" w:color="000000" w:sz="4" w:space="0"/>
              <w:right w:val="single" w:color="000000" w:sz="4" w:space="0"/>
            </w:tcBorders>
            <w:vAlign w:val="center"/>
          </w:tcPr>
          <w:p w14:paraId="38EC5DAB">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30</w:t>
            </w:r>
          </w:p>
        </w:tc>
        <w:tc>
          <w:tcPr>
            <w:tcW w:w="1011" w:type="pct"/>
            <w:tcBorders>
              <w:top w:val="single" w:color="000000" w:sz="4" w:space="0"/>
              <w:left w:val="single" w:color="000000" w:sz="4" w:space="0"/>
              <w:bottom w:val="single" w:color="000000" w:sz="4" w:space="0"/>
              <w:right w:val="single" w:color="000000" w:sz="4" w:space="0"/>
            </w:tcBorders>
            <w:vAlign w:val="center"/>
          </w:tcPr>
          <w:p w14:paraId="5ED2310D">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购房条件核验外部接口-出生医学证明查询</w:t>
            </w:r>
          </w:p>
        </w:tc>
        <w:tc>
          <w:tcPr>
            <w:tcW w:w="3296" w:type="pct"/>
            <w:tcBorders>
              <w:top w:val="single" w:color="000000" w:sz="4" w:space="0"/>
              <w:left w:val="single" w:color="000000" w:sz="4" w:space="0"/>
              <w:bottom w:val="single" w:color="000000" w:sz="4" w:space="0"/>
              <w:right w:val="single" w:color="000000" w:sz="4" w:space="0"/>
            </w:tcBorders>
            <w:vAlign w:val="center"/>
          </w:tcPr>
          <w:p w14:paraId="40B0A7F3">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依托大数据中心平台进行接口对接， 获取出生医学证明编号等信息</w:t>
            </w:r>
          </w:p>
        </w:tc>
      </w:tr>
      <w:tr w14:paraId="2E320D5B">
        <w:tblPrEx>
          <w:tblCellMar>
            <w:top w:w="0" w:type="dxa"/>
            <w:left w:w="108" w:type="dxa"/>
            <w:bottom w:w="0" w:type="dxa"/>
            <w:right w:w="108" w:type="dxa"/>
          </w:tblCellMar>
        </w:tblPrEx>
        <w:trPr>
          <w:trHeight w:val="57" w:hRule="atLeast"/>
        </w:trPr>
        <w:tc>
          <w:tcPr>
            <w:tcW w:w="692" w:type="pct"/>
            <w:tcBorders>
              <w:top w:val="single" w:color="000000" w:sz="4" w:space="0"/>
              <w:left w:val="single" w:color="000000" w:sz="4" w:space="0"/>
              <w:bottom w:val="single" w:color="000000" w:sz="4" w:space="0"/>
              <w:right w:val="single" w:color="000000" w:sz="4" w:space="0"/>
            </w:tcBorders>
            <w:vAlign w:val="center"/>
          </w:tcPr>
          <w:p w14:paraId="191BD9F2">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31</w:t>
            </w:r>
          </w:p>
        </w:tc>
        <w:tc>
          <w:tcPr>
            <w:tcW w:w="1011" w:type="pct"/>
            <w:tcBorders>
              <w:top w:val="single" w:color="000000" w:sz="4" w:space="0"/>
              <w:left w:val="single" w:color="000000" w:sz="4" w:space="0"/>
              <w:bottom w:val="single" w:color="000000" w:sz="4" w:space="0"/>
              <w:right w:val="single" w:color="000000" w:sz="4" w:space="0"/>
            </w:tcBorders>
            <w:vAlign w:val="center"/>
          </w:tcPr>
          <w:p w14:paraId="5C84E258">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购房条件核验外部接口-自然人社保查询</w:t>
            </w:r>
          </w:p>
        </w:tc>
        <w:tc>
          <w:tcPr>
            <w:tcW w:w="3296" w:type="pct"/>
            <w:tcBorders>
              <w:top w:val="single" w:color="000000" w:sz="4" w:space="0"/>
              <w:left w:val="single" w:color="000000" w:sz="4" w:space="0"/>
              <w:bottom w:val="single" w:color="000000" w:sz="4" w:space="0"/>
              <w:right w:val="single" w:color="000000" w:sz="4" w:space="0"/>
            </w:tcBorders>
            <w:vAlign w:val="center"/>
          </w:tcPr>
          <w:p w14:paraId="70EC241B">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依托一网通办服务中台进行接口对接，获取累计缴费约束获累计镇保月数、补缴月数等信息</w:t>
            </w:r>
          </w:p>
        </w:tc>
      </w:tr>
      <w:tr w14:paraId="6028CBAC">
        <w:tblPrEx>
          <w:tblCellMar>
            <w:top w:w="0" w:type="dxa"/>
            <w:left w:w="108" w:type="dxa"/>
            <w:bottom w:w="0" w:type="dxa"/>
            <w:right w:w="108" w:type="dxa"/>
          </w:tblCellMar>
        </w:tblPrEx>
        <w:trPr>
          <w:trHeight w:val="57" w:hRule="atLeast"/>
        </w:trPr>
        <w:tc>
          <w:tcPr>
            <w:tcW w:w="692" w:type="pct"/>
            <w:tcBorders>
              <w:top w:val="single" w:color="000000" w:sz="4" w:space="0"/>
              <w:left w:val="single" w:color="000000" w:sz="4" w:space="0"/>
              <w:bottom w:val="single" w:color="000000" w:sz="4" w:space="0"/>
              <w:right w:val="single" w:color="000000" w:sz="4" w:space="0"/>
            </w:tcBorders>
            <w:vAlign w:val="center"/>
          </w:tcPr>
          <w:p w14:paraId="5137251D">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32</w:t>
            </w:r>
          </w:p>
        </w:tc>
        <w:tc>
          <w:tcPr>
            <w:tcW w:w="1011" w:type="pct"/>
            <w:tcBorders>
              <w:top w:val="single" w:color="000000" w:sz="4" w:space="0"/>
              <w:left w:val="single" w:color="000000" w:sz="4" w:space="0"/>
              <w:bottom w:val="single" w:color="000000" w:sz="4" w:space="0"/>
              <w:right w:val="single" w:color="000000" w:sz="4" w:space="0"/>
            </w:tcBorders>
            <w:vAlign w:val="center"/>
          </w:tcPr>
          <w:p w14:paraId="4B97A732">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购房条件核验外部接口-个人所得税信息查询</w:t>
            </w:r>
          </w:p>
        </w:tc>
        <w:tc>
          <w:tcPr>
            <w:tcW w:w="3296" w:type="pct"/>
            <w:tcBorders>
              <w:top w:val="single" w:color="000000" w:sz="4" w:space="0"/>
              <w:left w:val="single" w:color="000000" w:sz="4" w:space="0"/>
              <w:bottom w:val="single" w:color="000000" w:sz="4" w:space="0"/>
              <w:right w:val="single" w:color="000000" w:sz="4" w:space="0"/>
            </w:tcBorders>
            <w:vAlign w:val="center"/>
          </w:tcPr>
          <w:p w14:paraId="13F604F4">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依托一网通办服务中台进行接口对接，获取缴税日期、纳税项目名称、应纳税所得额等信息</w:t>
            </w:r>
          </w:p>
        </w:tc>
      </w:tr>
      <w:tr w14:paraId="28624480">
        <w:tblPrEx>
          <w:tblCellMar>
            <w:top w:w="0" w:type="dxa"/>
            <w:left w:w="108" w:type="dxa"/>
            <w:bottom w:w="0" w:type="dxa"/>
            <w:right w:w="108" w:type="dxa"/>
          </w:tblCellMar>
        </w:tblPrEx>
        <w:trPr>
          <w:trHeight w:val="57" w:hRule="atLeast"/>
        </w:trPr>
        <w:tc>
          <w:tcPr>
            <w:tcW w:w="692" w:type="pct"/>
            <w:tcBorders>
              <w:top w:val="single" w:color="000000" w:sz="4" w:space="0"/>
              <w:left w:val="single" w:color="000000" w:sz="4" w:space="0"/>
              <w:bottom w:val="single" w:color="000000" w:sz="4" w:space="0"/>
              <w:right w:val="single" w:color="000000" w:sz="4" w:space="0"/>
            </w:tcBorders>
            <w:vAlign w:val="center"/>
          </w:tcPr>
          <w:p w14:paraId="181A66D2">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33</w:t>
            </w:r>
          </w:p>
        </w:tc>
        <w:tc>
          <w:tcPr>
            <w:tcW w:w="1011" w:type="pct"/>
            <w:tcBorders>
              <w:top w:val="single" w:color="000000" w:sz="4" w:space="0"/>
              <w:left w:val="single" w:color="000000" w:sz="4" w:space="0"/>
              <w:bottom w:val="single" w:color="000000" w:sz="4" w:space="0"/>
              <w:right w:val="single" w:color="000000" w:sz="4" w:space="0"/>
            </w:tcBorders>
            <w:vAlign w:val="center"/>
          </w:tcPr>
          <w:p w14:paraId="47E737E4">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购房条件核验外部接口-名下住房信息查询</w:t>
            </w:r>
          </w:p>
        </w:tc>
        <w:tc>
          <w:tcPr>
            <w:tcW w:w="3296" w:type="pct"/>
            <w:tcBorders>
              <w:top w:val="single" w:color="000000" w:sz="4" w:space="0"/>
              <w:left w:val="single" w:color="000000" w:sz="4" w:space="0"/>
              <w:bottom w:val="single" w:color="000000" w:sz="4" w:space="0"/>
              <w:right w:val="single" w:color="000000" w:sz="4" w:space="0"/>
            </w:tcBorders>
            <w:vAlign w:val="center"/>
          </w:tcPr>
          <w:p w14:paraId="0C58091D">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依托房管局部门信息，获取房屋坐落地址、面积、权利人等信息</w:t>
            </w:r>
          </w:p>
        </w:tc>
      </w:tr>
      <w:tr w14:paraId="3E242886">
        <w:tblPrEx>
          <w:tblCellMar>
            <w:top w:w="0" w:type="dxa"/>
            <w:left w:w="108" w:type="dxa"/>
            <w:bottom w:w="0" w:type="dxa"/>
            <w:right w:w="108" w:type="dxa"/>
          </w:tblCellMar>
        </w:tblPrEx>
        <w:trPr>
          <w:trHeight w:val="57" w:hRule="atLeast"/>
        </w:trPr>
        <w:tc>
          <w:tcPr>
            <w:tcW w:w="692" w:type="pct"/>
            <w:tcBorders>
              <w:top w:val="single" w:color="000000" w:sz="4" w:space="0"/>
              <w:left w:val="single" w:color="000000" w:sz="4" w:space="0"/>
              <w:bottom w:val="single" w:color="000000" w:sz="4" w:space="0"/>
              <w:right w:val="single" w:color="000000" w:sz="4" w:space="0"/>
            </w:tcBorders>
            <w:vAlign w:val="center"/>
          </w:tcPr>
          <w:p w14:paraId="5CEAA75C">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34</w:t>
            </w:r>
          </w:p>
        </w:tc>
        <w:tc>
          <w:tcPr>
            <w:tcW w:w="1011" w:type="pct"/>
            <w:tcBorders>
              <w:top w:val="single" w:color="000000" w:sz="4" w:space="0"/>
              <w:left w:val="single" w:color="000000" w:sz="4" w:space="0"/>
              <w:bottom w:val="single" w:color="000000" w:sz="4" w:space="0"/>
              <w:right w:val="single" w:color="000000" w:sz="4" w:space="0"/>
            </w:tcBorders>
            <w:vAlign w:val="center"/>
          </w:tcPr>
          <w:p w14:paraId="31234B7D">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购房条件核验外部接口-购房条件码数据服务接口</w:t>
            </w:r>
          </w:p>
        </w:tc>
        <w:tc>
          <w:tcPr>
            <w:tcW w:w="3296" w:type="pct"/>
            <w:tcBorders>
              <w:top w:val="single" w:color="000000" w:sz="4" w:space="0"/>
              <w:left w:val="single" w:color="000000" w:sz="4" w:space="0"/>
              <w:bottom w:val="single" w:color="000000" w:sz="4" w:space="0"/>
              <w:right w:val="single" w:color="000000" w:sz="4" w:space="0"/>
            </w:tcBorders>
            <w:vAlign w:val="center"/>
          </w:tcPr>
          <w:p w14:paraId="3213D6CC">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提供购房条件码信息获取和购房条件码状态修改等多个数据服务接口。</w:t>
            </w:r>
          </w:p>
        </w:tc>
      </w:tr>
      <w:tr w14:paraId="6AAB5712">
        <w:tblPrEx>
          <w:tblCellMar>
            <w:top w:w="0" w:type="dxa"/>
            <w:left w:w="108" w:type="dxa"/>
            <w:bottom w:w="0" w:type="dxa"/>
            <w:right w:w="108" w:type="dxa"/>
          </w:tblCellMar>
        </w:tblPrEx>
        <w:trPr>
          <w:trHeight w:val="57" w:hRule="atLeast"/>
        </w:trPr>
        <w:tc>
          <w:tcPr>
            <w:tcW w:w="692" w:type="pct"/>
            <w:tcBorders>
              <w:top w:val="single" w:color="000000" w:sz="4" w:space="0"/>
              <w:left w:val="single" w:color="000000" w:sz="4" w:space="0"/>
              <w:bottom w:val="single" w:color="000000" w:sz="4" w:space="0"/>
              <w:right w:val="single" w:color="000000" w:sz="4" w:space="0"/>
            </w:tcBorders>
            <w:vAlign w:val="center"/>
          </w:tcPr>
          <w:p w14:paraId="0C338369">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35</w:t>
            </w:r>
          </w:p>
        </w:tc>
        <w:tc>
          <w:tcPr>
            <w:tcW w:w="1011" w:type="pct"/>
            <w:tcBorders>
              <w:top w:val="single" w:color="000000" w:sz="4" w:space="0"/>
              <w:left w:val="single" w:color="000000" w:sz="4" w:space="0"/>
              <w:bottom w:val="single" w:color="000000" w:sz="4" w:space="0"/>
              <w:right w:val="single" w:color="000000" w:sz="4" w:space="0"/>
            </w:tcBorders>
            <w:vAlign w:val="center"/>
          </w:tcPr>
          <w:p w14:paraId="2F4507BF">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住房异议</w:t>
            </w:r>
          </w:p>
        </w:tc>
        <w:tc>
          <w:tcPr>
            <w:tcW w:w="3296" w:type="pct"/>
            <w:tcBorders>
              <w:top w:val="single" w:color="000000" w:sz="4" w:space="0"/>
              <w:left w:val="single" w:color="000000" w:sz="4" w:space="0"/>
              <w:bottom w:val="single" w:color="000000" w:sz="4" w:space="0"/>
              <w:right w:val="single" w:color="000000" w:sz="4" w:space="0"/>
            </w:tcBorders>
            <w:vAlign w:val="center"/>
          </w:tcPr>
          <w:p w14:paraId="0646F17F">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对于申请人提出的住房核查异议案件进行签收受理，审核员在审核过程中可以提出审核结果及原因</w:t>
            </w:r>
          </w:p>
        </w:tc>
      </w:tr>
      <w:tr w14:paraId="39C4202A">
        <w:tblPrEx>
          <w:tblCellMar>
            <w:top w:w="0" w:type="dxa"/>
            <w:left w:w="108" w:type="dxa"/>
            <w:bottom w:w="0" w:type="dxa"/>
            <w:right w:w="108" w:type="dxa"/>
          </w:tblCellMar>
        </w:tblPrEx>
        <w:trPr>
          <w:trHeight w:val="57" w:hRule="atLeast"/>
        </w:trPr>
        <w:tc>
          <w:tcPr>
            <w:tcW w:w="692" w:type="pct"/>
            <w:tcBorders>
              <w:top w:val="single" w:color="000000" w:sz="4" w:space="0"/>
              <w:left w:val="single" w:color="000000" w:sz="4" w:space="0"/>
              <w:bottom w:val="single" w:color="000000" w:sz="4" w:space="0"/>
              <w:right w:val="single" w:color="000000" w:sz="4" w:space="0"/>
            </w:tcBorders>
            <w:vAlign w:val="center"/>
          </w:tcPr>
          <w:p w14:paraId="4A3847BF">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36</w:t>
            </w:r>
          </w:p>
        </w:tc>
        <w:tc>
          <w:tcPr>
            <w:tcW w:w="1011" w:type="pct"/>
            <w:tcBorders>
              <w:top w:val="single" w:color="000000" w:sz="4" w:space="0"/>
              <w:left w:val="single" w:color="000000" w:sz="4" w:space="0"/>
              <w:bottom w:val="single" w:color="000000" w:sz="4" w:space="0"/>
              <w:right w:val="single" w:color="000000" w:sz="4" w:space="0"/>
            </w:tcBorders>
            <w:vAlign w:val="center"/>
          </w:tcPr>
          <w:p w14:paraId="6C254E0A">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案件核查</w:t>
            </w:r>
          </w:p>
        </w:tc>
        <w:tc>
          <w:tcPr>
            <w:tcW w:w="3296" w:type="pct"/>
            <w:tcBorders>
              <w:top w:val="single" w:color="000000" w:sz="4" w:space="0"/>
              <w:left w:val="single" w:color="000000" w:sz="4" w:space="0"/>
              <w:bottom w:val="single" w:color="000000" w:sz="4" w:space="0"/>
              <w:right w:val="single" w:color="000000" w:sz="4" w:space="0"/>
            </w:tcBorders>
            <w:vAlign w:val="center"/>
          </w:tcPr>
          <w:p w14:paraId="6E2FC5CC">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系统随机抽取3%的线上自动审核通过的案件进行人工核查</w:t>
            </w:r>
          </w:p>
        </w:tc>
      </w:tr>
      <w:tr w14:paraId="32934DB7">
        <w:tblPrEx>
          <w:tblCellMar>
            <w:top w:w="0" w:type="dxa"/>
            <w:left w:w="108" w:type="dxa"/>
            <w:bottom w:w="0" w:type="dxa"/>
            <w:right w:w="108" w:type="dxa"/>
          </w:tblCellMar>
        </w:tblPrEx>
        <w:trPr>
          <w:trHeight w:val="57" w:hRule="atLeast"/>
        </w:trPr>
        <w:tc>
          <w:tcPr>
            <w:tcW w:w="692" w:type="pct"/>
            <w:tcBorders>
              <w:top w:val="single" w:color="000000" w:sz="4" w:space="0"/>
              <w:left w:val="single" w:color="000000" w:sz="4" w:space="0"/>
              <w:bottom w:val="single" w:color="000000" w:sz="4" w:space="0"/>
              <w:right w:val="single" w:color="000000" w:sz="4" w:space="0"/>
            </w:tcBorders>
            <w:vAlign w:val="center"/>
          </w:tcPr>
          <w:p w14:paraId="3412CB3E">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37</w:t>
            </w:r>
          </w:p>
        </w:tc>
        <w:tc>
          <w:tcPr>
            <w:tcW w:w="1011" w:type="pct"/>
            <w:tcBorders>
              <w:top w:val="single" w:color="000000" w:sz="4" w:space="0"/>
              <w:left w:val="single" w:color="000000" w:sz="4" w:space="0"/>
              <w:bottom w:val="single" w:color="000000" w:sz="4" w:space="0"/>
              <w:right w:val="single" w:color="000000" w:sz="4" w:space="0"/>
            </w:tcBorders>
            <w:vAlign w:val="center"/>
          </w:tcPr>
          <w:p w14:paraId="500BD726">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日志审计</w:t>
            </w:r>
          </w:p>
        </w:tc>
        <w:tc>
          <w:tcPr>
            <w:tcW w:w="3296" w:type="pct"/>
            <w:tcBorders>
              <w:top w:val="single" w:color="000000" w:sz="4" w:space="0"/>
              <w:left w:val="single" w:color="000000" w:sz="4" w:space="0"/>
              <w:bottom w:val="single" w:color="000000" w:sz="4" w:space="0"/>
              <w:right w:val="single" w:color="000000" w:sz="4" w:space="0"/>
            </w:tcBorders>
            <w:vAlign w:val="center"/>
          </w:tcPr>
          <w:p w14:paraId="7149AD89">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全面记录操作全量案件查询功能的流程日志</w:t>
            </w:r>
          </w:p>
        </w:tc>
      </w:tr>
      <w:tr w14:paraId="096B138F">
        <w:tblPrEx>
          <w:tblCellMar>
            <w:top w:w="0" w:type="dxa"/>
            <w:left w:w="108" w:type="dxa"/>
            <w:bottom w:w="0" w:type="dxa"/>
            <w:right w:w="108" w:type="dxa"/>
          </w:tblCellMar>
        </w:tblPrEx>
        <w:trPr>
          <w:trHeight w:val="57" w:hRule="atLeast"/>
        </w:trPr>
        <w:tc>
          <w:tcPr>
            <w:tcW w:w="692" w:type="pct"/>
            <w:tcBorders>
              <w:top w:val="single" w:color="000000" w:sz="4" w:space="0"/>
              <w:left w:val="single" w:color="000000" w:sz="4" w:space="0"/>
              <w:bottom w:val="single" w:color="000000" w:sz="4" w:space="0"/>
              <w:right w:val="single" w:color="000000" w:sz="4" w:space="0"/>
            </w:tcBorders>
            <w:vAlign w:val="center"/>
          </w:tcPr>
          <w:p w14:paraId="58194384">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38</w:t>
            </w:r>
          </w:p>
        </w:tc>
        <w:tc>
          <w:tcPr>
            <w:tcW w:w="1011" w:type="pct"/>
            <w:tcBorders>
              <w:top w:val="single" w:color="000000" w:sz="4" w:space="0"/>
              <w:left w:val="single" w:color="000000" w:sz="4" w:space="0"/>
              <w:bottom w:val="single" w:color="000000" w:sz="4" w:space="0"/>
              <w:right w:val="single" w:color="000000" w:sz="4" w:space="0"/>
            </w:tcBorders>
            <w:vAlign w:val="center"/>
          </w:tcPr>
          <w:p w14:paraId="5C3FF738">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办件量查询</w:t>
            </w:r>
          </w:p>
        </w:tc>
        <w:tc>
          <w:tcPr>
            <w:tcW w:w="3296" w:type="pct"/>
            <w:tcBorders>
              <w:top w:val="single" w:color="000000" w:sz="4" w:space="0"/>
              <w:left w:val="single" w:color="000000" w:sz="4" w:space="0"/>
              <w:bottom w:val="single" w:color="000000" w:sz="4" w:space="0"/>
              <w:right w:val="single" w:color="000000" w:sz="4" w:space="0"/>
            </w:tcBorders>
            <w:vAlign w:val="center"/>
          </w:tcPr>
          <w:p w14:paraId="1CFBF823">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提供对不同类型购房条件结果的统计功能，可以选择相应的购房条件类型进行统计查询</w:t>
            </w:r>
          </w:p>
        </w:tc>
      </w:tr>
      <w:tr w14:paraId="15004092">
        <w:tblPrEx>
          <w:tblCellMar>
            <w:top w:w="0" w:type="dxa"/>
            <w:left w:w="108" w:type="dxa"/>
            <w:bottom w:w="0" w:type="dxa"/>
            <w:right w:w="108" w:type="dxa"/>
          </w:tblCellMar>
        </w:tblPrEx>
        <w:trPr>
          <w:trHeight w:val="57" w:hRule="atLeast"/>
        </w:trPr>
        <w:tc>
          <w:tcPr>
            <w:tcW w:w="692" w:type="pct"/>
            <w:tcBorders>
              <w:top w:val="single" w:color="000000" w:sz="4" w:space="0"/>
              <w:left w:val="single" w:color="000000" w:sz="4" w:space="0"/>
              <w:bottom w:val="single" w:color="000000" w:sz="4" w:space="0"/>
              <w:right w:val="single" w:color="000000" w:sz="4" w:space="0"/>
            </w:tcBorders>
            <w:vAlign w:val="center"/>
          </w:tcPr>
          <w:p w14:paraId="6BDA1B4E">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39</w:t>
            </w:r>
          </w:p>
        </w:tc>
        <w:tc>
          <w:tcPr>
            <w:tcW w:w="1011" w:type="pct"/>
            <w:tcBorders>
              <w:top w:val="single" w:color="000000" w:sz="4" w:space="0"/>
              <w:left w:val="single" w:color="000000" w:sz="4" w:space="0"/>
              <w:bottom w:val="single" w:color="000000" w:sz="4" w:space="0"/>
              <w:right w:val="single" w:color="000000" w:sz="4" w:space="0"/>
            </w:tcBorders>
            <w:vAlign w:val="center"/>
          </w:tcPr>
          <w:p w14:paraId="29566EAE">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电子合同数据推送-存量房电子合同PDF共享库推送</w:t>
            </w:r>
          </w:p>
        </w:tc>
        <w:tc>
          <w:tcPr>
            <w:tcW w:w="3296" w:type="pct"/>
            <w:tcBorders>
              <w:top w:val="single" w:color="000000" w:sz="4" w:space="0"/>
              <w:left w:val="single" w:color="000000" w:sz="4" w:space="0"/>
              <w:bottom w:val="single" w:color="000000" w:sz="4" w:space="0"/>
              <w:right w:val="single" w:color="000000" w:sz="4" w:space="0"/>
            </w:tcBorders>
            <w:vAlign w:val="center"/>
          </w:tcPr>
          <w:p w14:paraId="73E0E00D">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将存量房确认或合同变更后生成的电子合同PDF非结构化数据推送到共享库</w:t>
            </w:r>
          </w:p>
        </w:tc>
      </w:tr>
      <w:tr w14:paraId="21BFE031">
        <w:tblPrEx>
          <w:tblCellMar>
            <w:top w:w="0" w:type="dxa"/>
            <w:left w:w="108" w:type="dxa"/>
            <w:bottom w:w="0" w:type="dxa"/>
            <w:right w:w="108" w:type="dxa"/>
          </w:tblCellMar>
        </w:tblPrEx>
        <w:trPr>
          <w:trHeight w:val="57" w:hRule="atLeast"/>
        </w:trPr>
        <w:tc>
          <w:tcPr>
            <w:tcW w:w="692" w:type="pct"/>
            <w:tcBorders>
              <w:top w:val="single" w:color="000000" w:sz="4" w:space="0"/>
              <w:left w:val="single" w:color="000000" w:sz="4" w:space="0"/>
              <w:bottom w:val="single" w:color="000000" w:sz="4" w:space="0"/>
              <w:right w:val="single" w:color="000000" w:sz="4" w:space="0"/>
            </w:tcBorders>
            <w:vAlign w:val="center"/>
          </w:tcPr>
          <w:p w14:paraId="45B9DF9B">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40</w:t>
            </w:r>
          </w:p>
        </w:tc>
        <w:tc>
          <w:tcPr>
            <w:tcW w:w="1011" w:type="pct"/>
            <w:tcBorders>
              <w:top w:val="single" w:color="000000" w:sz="4" w:space="0"/>
              <w:left w:val="single" w:color="000000" w:sz="4" w:space="0"/>
              <w:bottom w:val="single" w:color="000000" w:sz="4" w:space="0"/>
              <w:right w:val="single" w:color="000000" w:sz="4" w:space="0"/>
            </w:tcBorders>
            <w:vAlign w:val="center"/>
          </w:tcPr>
          <w:p w14:paraId="06C40A7D">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电子合同数据推送-新建商品房电子合同PDF共享库推送</w:t>
            </w:r>
          </w:p>
        </w:tc>
        <w:tc>
          <w:tcPr>
            <w:tcW w:w="3296" w:type="pct"/>
            <w:tcBorders>
              <w:top w:val="single" w:color="000000" w:sz="4" w:space="0"/>
              <w:left w:val="single" w:color="000000" w:sz="4" w:space="0"/>
              <w:bottom w:val="single" w:color="000000" w:sz="4" w:space="0"/>
              <w:right w:val="single" w:color="000000" w:sz="4" w:space="0"/>
            </w:tcBorders>
            <w:vAlign w:val="center"/>
          </w:tcPr>
          <w:p w14:paraId="29D31456">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将新建商品房电子合同PDF非结构化数据推送到共享库</w:t>
            </w:r>
          </w:p>
        </w:tc>
      </w:tr>
      <w:tr w14:paraId="35D350DB">
        <w:tblPrEx>
          <w:tblCellMar>
            <w:top w:w="0" w:type="dxa"/>
            <w:left w:w="108" w:type="dxa"/>
            <w:bottom w:w="0" w:type="dxa"/>
            <w:right w:w="108" w:type="dxa"/>
          </w:tblCellMar>
        </w:tblPrEx>
        <w:trPr>
          <w:trHeight w:val="57" w:hRule="atLeast"/>
        </w:trPr>
        <w:tc>
          <w:tcPr>
            <w:tcW w:w="692" w:type="pct"/>
            <w:tcBorders>
              <w:top w:val="single" w:color="000000" w:sz="4" w:space="0"/>
              <w:left w:val="single" w:color="000000" w:sz="4" w:space="0"/>
              <w:bottom w:val="single" w:color="000000" w:sz="4" w:space="0"/>
              <w:right w:val="single" w:color="000000" w:sz="4" w:space="0"/>
            </w:tcBorders>
            <w:vAlign w:val="center"/>
          </w:tcPr>
          <w:p w14:paraId="59086D13">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41</w:t>
            </w:r>
          </w:p>
        </w:tc>
        <w:tc>
          <w:tcPr>
            <w:tcW w:w="1011" w:type="pct"/>
            <w:tcBorders>
              <w:top w:val="single" w:color="000000" w:sz="4" w:space="0"/>
              <w:left w:val="single" w:color="000000" w:sz="4" w:space="0"/>
              <w:bottom w:val="single" w:color="000000" w:sz="4" w:space="0"/>
              <w:right w:val="single" w:color="000000" w:sz="4" w:space="0"/>
            </w:tcBorders>
            <w:vAlign w:val="center"/>
          </w:tcPr>
          <w:p w14:paraId="334D515D">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电子合同数据推送-房屋交接书PDF共享库推送</w:t>
            </w:r>
          </w:p>
        </w:tc>
        <w:tc>
          <w:tcPr>
            <w:tcW w:w="3296" w:type="pct"/>
            <w:tcBorders>
              <w:top w:val="single" w:color="000000" w:sz="4" w:space="0"/>
              <w:left w:val="single" w:color="000000" w:sz="4" w:space="0"/>
              <w:bottom w:val="single" w:color="000000" w:sz="4" w:space="0"/>
              <w:right w:val="single" w:color="000000" w:sz="4" w:space="0"/>
            </w:tcBorders>
            <w:vAlign w:val="center"/>
          </w:tcPr>
          <w:p w14:paraId="38371FFF">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将新建商品房屋交接书PDF非结构化数据推送到共享库</w:t>
            </w:r>
          </w:p>
        </w:tc>
      </w:tr>
      <w:tr w14:paraId="4CB41962">
        <w:tblPrEx>
          <w:tblCellMar>
            <w:top w:w="0" w:type="dxa"/>
            <w:left w:w="108" w:type="dxa"/>
            <w:bottom w:w="0" w:type="dxa"/>
            <w:right w:w="108" w:type="dxa"/>
          </w:tblCellMar>
        </w:tblPrEx>
        <w:trPr>
          <w:trHeight w:val="57" w:hRule="atLeast"/>
        </w:trPr>
        <w:tc>
          <w:tcPr>
            <w:tcW w:w="692" w:type="pct"/>
            <w:tcBorders>
              <w:top w:val="single" w:color="000000" w:sz="4" w:space="0"/>
              <w:left w:val="single" w:color="000000" w:sz="4" w:space="0"/>
              <w:bottom w:val="single" w:color="000000" w:sz="4" w:space="0"/>
              <w:right w:val="single" w:color="000000" w:sz="4" w:space="0"/>
            </w:tcBorders>
            <w:vAlign w:val="center"/>
          </w:tcPr>
          <w:p w14:paraId="06D1A586">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42</w:t>
            </w:r>
          </w:p>
        </w:tc>
        <w:tc>
          <w:tcPr>
            <w:tcW w:w="1011" w:type="pct"/>
            <w:tcBorders>
              <w:top w:val="single" w:color="000000" w:sz="4" w:space="0"/>
              <w:left w:val="single" w:color="000000" w:sz="4" w:space="0"/>
              <w:bottom w:val="single" w:color="000000" w:sz="4" w:space="0"/>
              <w:right w:val="single" w:color="000000" w:sz="4" w:space="0"/>
            </w:tcBorders>
            <w:vAlign w:val="center"/>
          </w:tcPr>
          <w:p w14:paraId="33C7AF7E">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购房条件码数据推送-购房条件码信息数据推送</w:t>
            </w:r>
          </w:p>
        </w:tc>
        <w:tc>
          <w:tcPr>
            <w:tcW w:w="3296" w:type="pct"/>
            <w:tcBorders>
              <w:top w:val="single" w:color="000000" w:sz="4" w:space="0"/>
              <w:left w:val="single" w:color="000000" w:sz="4" w:space="0"/>
              <w:bottom w:val="single" w:color="000000" w:sz="4" w:space="0"/>
              <w:right w:val="single" w:color="000000" w:sz="4" w:space="0"/>
            </w:tcBorders>
            <w:vAlign w:val="center"/>
          </w:tcPr>
          <w:p w14:paraId="0EA435E4">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购房条件码信息结构化数据归集30多张数据表推送到共享库</w:t>
            </w:r>
          </w:p>
        </w:tc>
      </w:tr>
      <w:tr w14:paraId="0D17C93B">
        <w:tblPrEx>
          <w:tblCellMar>
            <w:top w:w="0" w:type="dxa"/>
            <w:left w:w="108" w:type="dxa"/>
            <w:bottom w:w="0" w:type="dxa"/>
            <w:right w:w="108" w:type="dxa"/>
          </w:tblCellMar>
        </w:tblPrEx>
        <w:trPr>
          <w:trHeight w:val="57" w:hRule="atLeast"/>
        </w:trPr>
        <w:tc>
          <w:tcPr>
            <w:tcW w:w="692" w:type="pct"/>
            <w:tcBorders>
              <w:top w:val="single" w:color="000000" w:sz="4" w:space="0"/>
              <w:left w:val="single" w:color="000000" w:sz="4" w:space="0"/>
              <w:bottom w:val="single" w:color="000000" w:sz="4" w:space="0"/>
              <w:right w:val="single" w:color="000000" w:sz="4" w:space="0"/>
            </w:tcBorders>
            <w:vAlign w:val="center"/>
          </w:tcPr>
          <w:p w14:paraId="343EAF3A">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43</w:t>
            </w:r>
          </w:p>
        </w:tc>
        <w:tc>
          <w:tcPr>
            <w:tcW w:w="1011" w:type="pct"/>
            <w:tcBorders>
              <w:top w:val="single" w:color="000000" w:sz="4" w:space="0"/>
              <w:left w:val="single" w:color="000000" w:sz="4" w:space="0"/>
              <w:bottom w:val="single" w:color="000000" w:sz="4" w:space="0"/>
              <w:right w:val="single" w:color="000000" w:sz="4" w:space="0"/>
            </w:tcBorders>
            <w:vAlign w:val="center"/>
          </w:tcPr>
          <w:p w14:paraId="63D509C0">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购房条件码数据推送-证明材料非结构化数据推送</w:t>
            </w:r>
          </w:p>
        </w:tc>
        <w:tc>
          <w:tcPr>
            <w:tcW w:w="3296" w:type="pct"/>
            <w:tcBorders>
              <w:top w:val="single" w:color="000000" w:sz="4" w:space="0"/>
              <w:left w:val="single" w:color="000000" w:sz="4" w:space="0"/>
              <w:bottom w:val="single" w:color="000000" w:sz="4" w:space="0"/>
              <w:right w:val="single" w:color="000000" w:sz="4" w:space="0"/>
            </w:tcBorders>
            <w:vAlign w:val="center"/>
          </w:tcPr>
          <w:p w14:paraId="7EE4081A">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受理时提交的相关证明电子材料,相关证明材料以非结构化数据推送到共享库</w:t>
            </w:r>
          </w:p>
        </w:tc>
      </w:tr>
      <w:tr w14:paraId="752F5A86">
        <w:tblPrEx>
          <w:tblCellMar>
            <w:top w:w="0" w:type="dxa"/>
            <w:left w:w="108" w:type="dxa"/>
            <w:bottom w:w="0" w:type="dxa"/>
            <w:right w:w="108" w:type="dxa"/>
          </w:tblCellMar>
        </w:tblPrEx>
        <w:trPr>
          <w:trHeight w:val="57" w:hRule="atLeast"/>
        </w:trPr>
        <w:tc>
          <w:tcPr>
            <w:tcW w:w="692" w:type="pct"/>
            <w:tcBorders>
              <w:top w:val="single" w:color="000000" w:sz="4" w:space="0"/>
              <w:left w:val="single" w:color="000000" w:sz="4" w:space="0"/>
              <w:bottom w:val="single" w:color="000000" w:sz="4" w:space="0"/>
              <w:right w:val="single" w:color="000000" w:sz="4" w:space="0"/>
            </w:tcBorders>
            <w:vAlign w:val="center"/>
          </w:tcPr>
          <w:p w14:paraId="648F929B">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44</w:t>
            </w:r>
          </w:p>
        </w:tc>
        <w:tc>
          <w:tcPr>
            <w:tcW w:w="1011" w:type="pct"/>
            <w:tcBorders>
              <w:top w:val="single" w:color="000000" w:sz="4" w:space="0"/>
              <w:left w:val="single" w:color="000000" w:sz="4" w:space="0"/>
              <w:bottom w:val="single" w:color="000000" w:sz="4" w:space="0"/>
              <w:right w:val="single" w:color="000000" w:sz="4" w:space="0"/>
            </w:tcBorders>
            <w:vAlign w:val="center"/>
          </w:tcPr>
          <w:p w14:paraId="72F82AA8">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购房条件码数据推送-数据推送对账功能</w:t>
            </w:r>
          </w:p>
        </w:tc>
        <w:tc>
          <w:tcPr>
            <w:tcW w:w="3296" w:type="pct"/>
            <w:tcBorders>
              <w:top w:val="single" w:color="000000" w:sz="4" w:space="0"/>
              <w:left w:val="single" w:color="000000" w:sz="4" w:space="0"/>
              <w:bottom w:val="single" w:color="000000" w:sz="4" w:space="0"/>
              <w:right w:val="single" w:color="000000" w:sz="4" w:space="0"/>
            </w:tcBorders>
            <w:vAlign w:val="center"/>
          </w:tcPr>
          <w:p w14:paraId="358973E1">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对于已经推送的数据与大数据中心数据湖的数据定期进行数据对账，确保数据一致</w:t>
            </w:r>
          </w:p>
        </w:tc>
      </w:tr>
      <w:tr w14:paraId="41750B45">
        <w:tblPrEx>
          <w:tblCellMar>
            <w:top w:w="0" w:type="dxa"/>
            <w:left w:w="108" w:type="dxa"/>
            <w:bottom w:w="0" w:type="dxa"/>
            <w:right w:w="108" w:type="dxa"/>
          </w:tblCellMar>
        </w:tblPrEx>
        <w:trPr>
          <w:trHeight w:val="57" w:hRule="atLeast"/>
        </w:trPr>
        <w:tc>
          <w:tcPr>
            <w:tcW w:w="692" w:type="pct"/>
            <w:tcBorders>
              <w:top w:val="single" w:color="000000" w:sz="4" w:space="0"/>
              <w:left w:val="single" w:color="000000" w:sz="4" w:space="0"/>
              <w:bottom w:val="single" w:color="000000" w:sz="4" w:space="0"/>
              <w:right w:val="single" w:color="000000" w:sz="4" w:space="0"/>
            </w:tcBorders>
            <w:vAlign w:val="center"/>
          </w:tcPr>
          <w:p w14:paraId="34B0B413">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45</w:t>
            </w:r>
          </w:p>
        </w:tc>
        <w:tc>
          <w:tcPr>
            <w:tcW w:w="1011" w:type="pct"/>
            <w:tcBorders>
              <w:top w:val="single" w:color="000000" w:sz="4" w:space="0"/>
              <w:left w:val="single" w:color="000000" w:sz="4" w:space="0"/>
              <w:bottom w:val="single" w:color="000000" w:sz="4" w:space="0"/>
              <w:right w:val="single" w:color="000000" w:sz="4" w:space="0"/>
            </w:tcBorders>
            <w:vAlign w:val="center"/>
          </w:tcPr>
          <w:p w14:paraId="79F91E3B">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用户身份认证机制模块</w:t>
            </w:r>
          </w:p>
        </w:tc>
        <w:tc>
          <w:tcPr>
            <w:tcW w:w="3296" w:type="pct"/>
            <w:tcBorders>
              <w:top w:val="single" w:color="000000" w:sz="4" w:space="0"/>
              <w:left w:val="single" w:color="000000" w:sz="4" w:space="0"/>
              <w:bottom w:val="single" w:color="000000" w:sz="4" w:space="0"/>
              <w:right w:val="single" w:color="000000" w:sz="4" w:space="0"/>
            </w:tcBorders>
            <w:vAlign w:val="center"/>
          </w:tcPr>
          <w:p w14:paraId="6509BBC3">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调用云平台提供的安全认证网关服务接口，并在移动终端部署用户证书、服务端部署站点证书，绑定应用用户数字证书和应用用户ID，实现对移动终端和服务端身份的鉴别</w:t>
            </w:r>
          </w:p>
        </w:tc>
      </w:tr>
      <w:tr w14:paraId="51B35EFC">
        <w:tblPrEx>
          <w:tblCellMar>
            <w:top w:w="0" w:type="dxa"/>
            <w:left w:w="108" w:type="dxa"/>
            <w:bottom w:w="0" w:type="dxa"/>
            <w:right w:w="108" w:type="dxa"/>
          </w:tblCellMar>
        </w:tblPrEx>
        <w:trPr>
          <w:trHeight w:val="57" w:hRule="atLeast"/>
        </w:trPr>
        <w:tc>
          <w:tcPr>
            <w:tcW w:w="692" w:type="pct"/>
            <w:tcBorders>
              <w:top w:val="single" w:color="000000" w:sz="4" w:space="0"/>
              <w:left w:val="single" w:color="000000" w:sz="4" w:space="0"/>
              <w:bottom w:val="single" w:color="000000" w:sz="4" w:space="0"/>
              <w:right w:val="single" w:color="000000" w:sz="4" w:space="0"/>
            </w:tcBorders>
            <w:vAlign w:val="center"/>
          </w:tcPr>
          <w:p w14:paraId="423E3154">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46</w:t>
            </w:r>
          </w:p>
        </w:tc>
        <w:tc>
          <w:tcPr>
            <w:tcW w:w="1011" w:type="pct"/>
            <w:tcBorders>
              <w:top w:val="single" w:color="000000" w:sz="4" w:space="0"/>
              <w:left w:val="single" w:color="000000" w:sz="4" w:space="0"/>
              <w:bottom w:val="single" w:color="000000" w:sz="4" w:space="0"/>
              <w:right w:val="single" w:color="000000" w:sz="4" w:space="0"/>
            </w:tcBorders>
            <w:vAlign w:val="center"/>
          </w:tcPr>
          <w:p w14:paraId="66F7467E">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重要数据安全传输模块</w:t>
            </w:r>
          </w:p>
        </w:tc>
        <w:tc>
          <w:tcPr>
            <w:tcW w:w="3296" w:type="pct"/>
            <w:tcBorders>
              <w:top w:val="single" w:color="000000" w:sz="4" w:space="0"/>
              <w:left w:val="single" w:color="000000" w:sz="4" w:space="0"/>
              <w:bottom w:val="single" w:color="000000" w:sz="4" w:space="0"/>
              <w:right w:val="single" w:color="000000" w:sz="4" w:space="0"/>
            </w:tcBorders>
            <w:vAlign w:val="center"/>
          </w:tcPr>
          <w:p w14:paraId="37584DF4">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调用云平台提供的安全认证网关服务接口，实现应用系统通信数据的机密性和完整性保护</w:t>
            </w:r>
          </w:p>
        </w:tc>
      </w:tr>
      <w:tr w14:paraId="27FC88FA">
        <w:tblPrEx>
          <w:tblCellMar>
            <w:top w:w="0" w:type="dxa"/>
            <w:left w:w="108" w:type="dxa"/>
            <w:bottom w:w="0" w:type="dxa"/>
            <w:right w:w="108" w:type="dxa"/>
          </w:tblCellMar>
        </w:tblPrEx>
        <w:trPr>
          <w:trHeight w:val="57" w:hRule="atLeast"/>
        </w:trPr>
        <w:tc>
          <w:tcPr>
            <w:tcW w:w="692" w:type="pct"/>
            <w:tcBorders>
              <w:top w:val="single" w:color="000000" w:sz="4" w:space="0"/>
              <w:left w:val="single" w:color="000000" w:sz="4" w:space="0"/>
              <w:bottom w:val="single" w:color="000000" w:sz="4" w:space="0"/>
              <w:right w:val="single" w:color="000000" w:sz="4" w:space="0"/>
            </w:tcBorders>
            <w:vAlign w:val="center"/>
          </w:tcPr>
          <w:p w14:paraId="694FBF1D">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47</w:t>
            </w:r>
          </w:p>
        </w:tc>
        <w:tc>
          <w:tcPr>
            <w:tcW w:w="1011" w:type="pct"/>
            <w:tcBorders>
              <w:top w:val="single" w:color="000000" w:sz="4" w:space="0"/>
              <w:left w:val="single" w:color="000000" w:sz="4" w:space="0"/>
              <w:bottom w:val="single" w:color="000000" w:sz="4" w:space="0"/>
              <w:right w:val="single" w:color="000000" w:sz="4" w:space="0"/>
            </w:tcBorders>
            <w:vAlign w:val="center"/>
          </w:tcPr>
          <w:p w14:paraId="3363A602">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服务器虚拟机设备日志/访问控制信息完整性模块</w:t>
            </w:r>
          </w:p>
        </w:tc>
        <w:tc>
          <w:tcPr>
            <w:tcW w:w="3296" w:type="pct"/>
            <w:tcBorders>
              <w:top w:val="single" w:color="000000" w:sz="4" w:space="0"/>
              <w:left w:val="single" w:color="000000" w:sz="4" w:space="0"/>
              <w:bottom w:val="single" w:color="000000" w:sz="4" w:space="0"/>
              <w:right w:val="single" w:color="000000" w:sz="4" w:space="0"/>
            </w:tcBorders>
            <w:vAlign w:val="center"/>
          </w:tcPr>
          <w:p w14:paraId="10E478D7">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调用云平台提供的签名验签服务接口，实现应用服务器虚拟机、数据库服务器虚拟机等设备日志/访问控制信息的完整性保护</w:t>
            </w:r>
          </w:p>
        </w:tc>
      </w:tr>
      <w:tr w14:paraId="70C940E8">
        <w:tblPrEx>
          <w:tblCellMar>
            <w:top w:w="0" w:type="dxa"/>
            <w:left w:w="108" w:type="dxa"/>
            <w:bottom w:w="0" w:type="dxa"/>
            <w:right w:w="108" w:type="dxa"/>
          </w:tblCellMar>
        </w:tblPrEx>
        <w:trPr>
          <w:trHeight w:val="57" w:hRule="atLeast"/>
        </w:trPr>
        <w:tc>
          <w:tcPr>
            <w:tcW w:w="692" w:type="pct"/>
            <w:tcBorders>
              <w:top w:val="single" w:color="000000" w:sz="4" w:space="0"/>
              <w:left w:val="single" w:color="000000" w:sz="4" w:space="0"/>
              <w:bottom w:val="single" w:color="000000" w:sz="4" w:space="0"/>
              <w:right w:val="single" w:color="000000" w:sz="4" w:space="0"/>
            </w:tcBorders>
            <w:vAlign w:val="center"/>
          </w:tcPr>
          <w:p w14:paraId="1E1FB37E">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48</w:t>
            </w:r>
          </w:p>
        </w:tc>
        <w:tc>
          <w:tcPr>
            <w:tcW w:w="1011" w:type="pct"/>
            <w:tcBorders>
              <w:top w:val="single" w:color="000000" w:sz="4" w:space="0"/>
              <w:left w:val="single" w:color="000000" w:sz="4" w:space="0"/>
              <w:bottom w:val="single" w:color="000000" w:sz="4" w:space="0"/>
              <w:right w:val="single" w:color="000000" w:sz="4" w:space="0"/>
            </w:tcBorders>
            <w:vAlign w:val="center"/>
          </w:tcPr>
          <w:p w14:paraId="4135A5FD">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重要可执行程序签名验签模块</w:t>
            </w:r>
          </w:p>
        </w:tc>
        <w:tc>
          <w:tcPr>
            <w:tcW w:w="3296" w:type="pct"/>
            <w:tcBorders>
              <w:top w:val="single" w:color="000000" w:sz="4" w:space="0"/>
              <w:left w:val="single" w:color="000000" w:sz="4" w:space="0"/>
              <w:bottom w:val="single" w:color="000000" w:sz="4" w:space="0"/>
              <w:right w:val="single" w:color="000000" w:sz="4" w:space="0"/>
            </w:tcBorders>
            <w:vAlign w:val="center"/>
          </w:tcPr>
          <w:p w14:paraId="422DC41C">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调用云平台提供的签名验签服务接口，实现重要可执行程序的完整性、来源真实性保护</w:t>
            </w:r>
          </w:p>
        </w:tc>
      </w:tr>
      <w:tr w14:paraId="235C924E">
        <w:tblPrEx>
          <w:tblCellMar>
            <w:top w:w="0" w:type="dxa"/>
            <w:left w:w="108" w:type="dxa"/>
            <w:bottom w:w="0" w:type="dxa"/>
            <w:right w:w="108" w:type="dxa"/>
          </w:tblCellMar>
        </w:tblPrEx>
        <w:trPr>
          <w:trHeight w:val="57" w:hRule="atLeast"/>
        </w:trPr>
        <w:tc>
          <w:tcPr>
            <w:tcW w:w="692" w:type="pct"/>
            <w:tcBorders>
              <w:top w:val="single" w:color="000000" w:sz="4" w:space="0"/>
              <w:left w:val="single" w:color="000000" w:sz="4" w:space="0"/>
              <w:bottom w:val="single" w:color="000000" w:sz="4" w:space="0"/>
              <w:right w:val="single" w:color="000000" w:sz="4" w:space="0"/>
            </w:tcBorders>
            <w:vAlign w:val="center"/>
          </w:tcPr>
          <w:p w14:paraId="73CC0335">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49</w:t>
            </w:r>
          </w:p>
        </w:tc>
        <w:tc>
          <w:tcPr>
            <w:tcW w:w="1011" w:type="pct"/>
            <w:tcBorders>
              <w:top w:val="single" w:color="000000" w:sz="4" w:space="0"/>
              <w:left w:val="single" w:color="000000" w:sz="4" w:space="0"/>
              <w:bottom w:val="single" w:color="000000" w:sz="4" w:space="0"/>
              <w:right w:val="single" w:color="000000" w:sz="4" w:space="0"/>
            </w:tcBorders>
            <w:vAlign w:val="center"/>
          </w:tcPr>
          <w:p w14:paraId="74A3FD10">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用户访问控制信息签名验签模块</w:t>
            </w:r>
          </w:p>
        </w:tc>
        <w:tc>
          <w:tcPr>
            <w:tcW w:w="3296" w:type="pct"/>
            <w:tcBorders>
              <w:top w:val="single" w:color="000000" w:sz="4" w:space="0"/>
              <w:left w:val="single" w:color="000000" w:sz="4" w:space="0"/>
              <w:bottom w:val="single" w:color="000000" w:sz="4" w:space="0"/>
              <w:right w:val="single" w:color="000000" w:sz="4" w:space="0"/>
            </w:tcBorders>
            <w:vAlign w:val="center"/>
          </w:tcPr>
          <w:p w14:paraId="523055E8">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调用云平台提供的签名验签服务接口，实现应用系统登录用户的访问控制列表完整性保护</w:t>
            </w:r>
          </w:p>
        </w:tc>
      </w:tr>
      <w:tr w14:paraId="3234EE78">
        <w:tblPrEx>
          <w:tblCellMar>
            <w:top w:w="0" w:type="dxa"/>
            <w:left w:w="108" w:type="dxa"/>
            <w:bottom w:w="0" w:type="dxa"/>
            <w:right w:w="108" w:type="dxa"/>
          </w:tblCellMar>
        </w:tblPrEx>
        <w:trPr>
          <w:trHeight w:val="57" w:hRule="atLeast"/>
        </w:trPr>
        <w:tc>
          <w:tcPr>
            <w:tcW w:w="692" w:type="pct"/>
            <w:tcBorders>
              <w:top w:val="single" w:color="000000" w:sz="4" w:space="0"/>
              <w:left w:val="single" w:color="000000" w:sz="4" w:space="0"/>
              <w:bottom w:val="single" w:color="000000" w:sz="4" w:space="0"/>
              <w:right w:val="single" w:color="000000" w:sz="4" w:space="0"/>
            </w:tcBorders>
            <w:vAlign w:val="center"/>
          </w:tcPr>
          <w:p w14:paraId="316578D4">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50</w:t>
            </w:r>
          </w:p>
        </w:tc>
        <w:tc>
          <w:tcPr>
            <w:tcW w:w="1011" w:type="pct"/>
            <w:tcBorders>
              <w:top w:val="single" w:color="000000" w:sz="4" w:space="0"/>
              <w:left w:val="single" w:color="000000" w:sz="4" w:space="0"/>
              <w:bottom w:val="single" w:color="000000" w:sz="4" w:space="0"/>
              <w:right w:val="single" w:color="000000" w:sz="4" w:space="0"/>
            </w:tcBorders>
            <w:vAlign w:val="center"/>
          </w:tcPr>
          <w:p w14:paraId="1CD9233A">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应用系统重要数据加解密模块</w:t>
            </w:r>
          </w:p>
        </w:tc>
        <w:tc>
          <w:tcPr>
            <w:tcW w:w="3296" w:type="pct"/>
            <w:tcBorders>
              <w:top w:val="single" w:color="000000" w:sz="4" w:space="0"/>
              <w:left w:val="single" w:color="000000" w:sz="4" w:space="0"/>
              <w:bottom w:val="single" w:color="000000" w:sz="4" w:space="0"/>
              <w:right w:val="single" w:color="000000" w:sz="4" w:space="0"/>
            </w:tcBorders>
            <w:vAlign w:val="center"/>
          </w:tcPr>
          <w:p w14:paraId="5129231D">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调用云平台提供的数据库加密服务接口、加密存储服务接口，实现登录用户身份鉴别数据、电子公文数据等结构化数据、非结构化数据的存储机密性保护</w:t>
            </w:r>
          </w:p>
        </w:tc>
      </w:tr>
      <w:tr w14:paraId="0625AB2B">
        <w:tblPrEx>
          <w:tblCellMar>
            <w:top w:w="0" w:type="dxa"/>
            <w:left w:w="108" w:type="dxa"/>
            <w:bottom w:w="0" w:type="dxa"/>
            <w:right w:w="108" w:type="dxa"/>
          </w:tblCellMar>
        </w:tblPrEx>
        <w:trPr>
          <w:trHeight w:val="57" w:hRule="atLeast"/>
        </w:trPr>
        <w:tc>
          <w:tcPr>
            <w:tcW w:w="692" w:type="pct"/>
            <w:tcBorders>
              <w:top w:val="single" w:color="000000" w:sz="4" w:space="0"/>
              <w:left w:val="single" w:color="000000" w:sz="4" w:space="0"/>
              <w:bottom w:val="single" w:color="000000" w:sz="4" w:space="0"/>
              <w:right w:val="single" w:color="000000" w:sz="4" w:space="0"/>
            </w:tcBorders>
            <w:vAlign w:val="center"/>
          </w:tcPr>
          <w:p w14:paraId="33AD50C1">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51</w:t>
            </w:r>
          </w:p>
        </w:tc>
        <w:tc>
          <w:tcPr>
            <w:tcW w:w="1011" w:type="pct"/>
            <w:tcBorders>
              <w:top w:val="single" w:color="000000" w:sz="4" w:space="0"/>
              <w:left w:val="single" w:color="000000" w:sz="4" w:space="0"/>
              <w:bottom w:val="single" w:color="000000" w:sz="4" w:space="0"/>
              <w:right w:val="single" w:color="000000" w:sz="4" w:space="0"/>
            </w:tcBorders>
            <w:vAlign w:val="center"/>
          </w:tcPr>
          <w:p w14:paraId="1AFFC9D1">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应用系统重要数据签名验签模块</w:t>
            </w:r>
          </w:p>
        </w:tc>
        <w:tc>
          <w:tcPr>
            <w:tcW w:w="3296" w:type="pct"/>
            <w:tcBorders>
              <w:top w:val="single" w:color="000000" w:sz="4" w:space="0"/>
              <w:left w:val="single" w:color="000000" w:sz="4" w:space="0"/>
              <w:bottom w:val="single" w:color="000000" w:sz="4" w:space="0"/>
              <w:right w:val="single" w:color="000000" w:sz="4" w:space="0"/>
            </w:tcBorders>
            <w:vAlign w:val="center"/>
          </w:tcPr>
          <w:p w14:paraId="61EE1843">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调用云平台提供的签名验签服务接口，实现登录用户身份鉴别数据、电子公文数据、业务日志的存储完整性保护</w:t>
            </w:r>
          </w:p>
        </w:tc>
      </w:tr>
    </w:tbl>
    <w:p w14:paraId="6E244884">
      <w:pPr>
        <w:ind w:firstLine="0" w:firstLineChars="0"/>
        <w:jc w:val="left"/>
        <w:rPr>
          <w:rFonts w:hint="eastAsia"/>
        </w:rPr>
      </w:pPr>
    </w:p>
    <w:p w14:paraId="00FEDD21">
      <w:pPr>
        <w:ind w:firstLine="0" w:firstLineChars="0"/>
        <w:rPr>
          <w:rFonts w:hint="eastAsia"/>
        </w:rPr>
      </w:pPr>
    </w:p>
    <w:p w14:paraId="4C75E120">
      <w:pPr>
        <w:pStyle w:val="2"/>
        <w:rPr>
          <w:rFonts w:hint="eastAsia"/>
          <w:highlight w:val="none"/>
        </w:rPr>
      </w:pPr>
      <w:r>
        <w:rPr>
          <w:rFonts w:hint="eastAsia"/>
          <w:highlight w:val="none"/>
        </w:rPr>
        <w:t>电子政务云资源需求</w:t>
      </w:r>
      <w:bookmarkEnd w:id="17"/>
    </w:p>
    <w:p w14:paraId="77C4B61B">
      <w:pPr>
        <w:pStyle w:val="107"/>
        <w:snapToGrid w:val="0"/>
        <w:ind w:firstLine="480"/>
        <w:rPr>
          <w:rFonts w:hint="eastAsia" w:eastAsia="宋体"/>
          <w:b w:val="0"/>
          <w:bCs w:val="0"/>
          <w:sz w:val="24"/>
          <w:szCs w:val="24"/>
          <w:highlight w:val="none"/>
          <w:lang w:val="en-US" w:eastAsia="zh-CN"/>
        </w:rPr>
      </w:pPr>
      <w:bookmarkStart w:id="18" w:name="_Toc63785503"/>
      <w:r>
        <w:rPr>
          <w:rFonts w:hint="eastAsia"/>
          <w:b w:val="0"/>
          <w:bCs w:val="0"/>
          <w:sz w:val="24"/>
          <w:szCs w:val="24"/>
        </w:rPr>
        <w:t>项目依托电子政务云现有资源</w:t>
      </w:r>
      <w:r>
        <w:rPr>
          <w:rFonts w:hint="eastAsia"/>
          <w:b w:val="0"/>
          <w:bCs w:val="0"/>
          <w:sz w:val="24"/>
          <w:szCs w:val="24"/>
          <w:highlight w:val="none"/>
          <w:lang w:val="en-US" w:eastAsia="zh-CN"/>
        </w:rPr>
        <w:t>进行建设。</w:t>
      </w:r>
    </w:p>
    <w:p w14:paraId="5373F4DA">
      <w:pPr>
        <w:pStyle w:val="2"/>
        <w:rPr>
          <w:rFonts w:hint="eastAsia"/>
        </w:rPr>
      </w:pPr>
      <w:r>
        <w:rPr>
          <w:rFonts w:hint="eastAsia"/>
        </w:rPr>
        <w:t>其他工作要求</w:t>
      </w:r>
      <w:bookmarkEnd w:id="18"/>
    </w:p>
    <w:p w14:paraId="2285213E">
      <w:pPr>
        <w:pStyle w:val="3"/>
        <w:rPr>
          <w:rFonts w:hint="eastAsia"/>
        </w:rPr>
      </w:pPr>
      <w:bookmarkStart w:id="19" w:name="_Toc63785505"/>
      <w:r>
        <w:rPr>
          <w:rFonts w:hint="eastAsia"/>
        </w:rPr>
        <w:t>售后服务要求</w:t>
      </w:r>
      <w:bookmarkEnd w:id="19"/>
    </w:p>
    <w:p w14:paraId="68591D64">
      <w:pPr>
        <w:pStyle w:val="107"/>
        <w:snapToGrid w:val="0"/>
        <w:spacing w:line="360" w:lineRule="auto"/>
        <w:ind w:firstLine="480"/>
        <w:rPr>
          <w:rFonts w:hint="eastAsia" w:ascii="宋体" w:hAnsi="宋体"/>
          <w:sz w:val="24"/>
          <w:szCs w:val="24"/>
        </w:rPr>
      </w:pPr>
      <w:r>
        <w:rPr>
          <w:rFonts w:hint="eastAsia" w:ascii="宋体" w:hAnsi="宋体"/>
          <w:sz w:val="24"/>
          <w:szCs w:val="24"/>
        </w:rPr>
        <w:t>本项目从系统验收通过之日起</w:t>
      </w:r>
      <w:r>
        <w:rPr>
          <w:rFonts w:hint="eastAsia"/>
          <w:sz w:val="24"/>
          <w:szCs w:val="24"/>
        </w:rPr>
        <w:t>1</w:t>
      </w:r>
      <w:r>
        <w:rPr>
          <w:rFonts w:hint="eastAsia" w:ascii="宋体" w:hAnsi="宋体"/>
          <w:sz w:val="24"/>
          <w:szCs w:val="24"/>
        </w:rPr>
        <w:t>年内提供</w:t>
      </w:r>
      <w:r>
        <w:rPr>
          <w:rFonts w:hint="eastAsia"/>
          <w:sz w:val="24"/>
          <w:szCs w:val="24"/>
        </w:rPr>
        <w:t>7*24</w:t>
      </w:r>
      <w:r>
        <w:rPr>
          <w:rFonts w:hint="eastAsia" w:ascii="宋体" w:hAnsi="宋体"/>
          <w:sz w:val="24"/>
          <w:szCs w:val="24"/>
        </w:rPr>
        <w:t>小时免费技术支持和售后服务，</w:t>
      </w:r>
      <w:r>
        <w:rPr>
          <w:rFonts w:hint="eastAsia"/>
          <w:sz w:val="24"/>
          <w:szCs w:val="24"/>
        </w:rPr>
        <w:t>1</w:t>
      </w:r>
      <w:r>
        <w:rPr>
          <w:rFonts w:hint="eastAsia" w:ascii="宋体" w:hAnsi="宋体"/>
          <w:sz w:val="24"/>
          <w:szCs w:val="24"/>
        </w:rPr>
        <w:t>年后进入有偿维护期。</w:t>
      </w:r>
    </w:p>
    <w:p w14:paraId="3DC96550">
      <w:pPr>
        <w:pStyle w:val="107"/>
        <w:snapToGrid w:val="0"/>
        <w:spacing w:line="360" w:lineRule="auto"/>
        <w:ind w:firstLine="480"/>
        <w:rPr>
          <w:rFonts w:hint="eastAsia" w:ascii="宋体" w:hAnsi="宋体"/>
          <w:sz w:val="24"/>
          <w:szCs w:val="24"/>
        </w:rPr>
      </w:pPr>
      <w:r>
        <w:rPr>
          <w:rFonts w:hint="eastAsia" w:ascii="宋体" w:hAnsi="宋体"/>
          <w:sz w:val="24"/>
          <w:szCs w:val="24"/>
        </w:rPr>
        <w:t>在质量保证期内，供应商将按照售后服务的承诺提供保修和运行维护服务，如果厂商对信息系统中软、硬件设备等产品中的部分保修期超过上述期限的，则按照厂商的规定进行免费保修。</w:t>
      </w:r>
    </w:p>
    <w:p w14:paraId="72407BAF">
      <w:pPr>
        <w:pStyle w:val="107"/>
        <w:snapToGrid w:val="0"/>
        <w:spacing w:line="360" w:lineRule="auto"/>
        <w:ind w:firstLine="480"/>
        <w:rPr>
          <w:rFonts w:hint="eastAsia" w:ascii="宋体" w:hAnsi="宋体"/>
          <w:sz w:val="24"/>
          <w:szCs w:val="24"/>
        </w:rPr>
      </w:pPr>
      <w:r>
        <w:rPr>
          <w:rFonts w:hint="eastAsia" w:ascii="宋体" w:hAnsi="宋体"/>
          <w:sz w:val="24"/>
          <w:szCs w:val="24"/>
        </w:rPr>
        <w:t>在质量保证期内，供应商负责信息系统的运行维护工作，确保信息系统安全、稳定、可靠地运行。本项目涉及的运行维护工作范围为：</w:t>
      </w:r>
    </w:p>
    <w:p w14:paraId="2ED5EFAC">
      <w:pPr>
        <w:numPr>
          <w:ilvl w:val="0"/>
          <w:numId w:val="3"/>
        </w:numPr>
        <w:ind w:firstLine="480"/>
        <w:rPr>
          <w:rFonts w:hint="eastAsia"/>
        </w:rPr>
      </w:pPr>
      <w:r>
        <w:rPr>
          <w:rFonts w:hint="eastAsia"/>
        </w:rPr>
        <w:t>运维系统：上海市购房条件码子系统；</w:t>
      </w:r>
    </w:p>
    <w:p w14:paraId="60586024">
      <w:pPr>
        <w:numPr>
          <w:ilvl w:val="0"/>
          <w:numId w:val="3"/>
        </w:numPr>
        <w:ind w:firstLine="480"/>
        <w:rPr>
          <w:rFonts w:hint="eastAsia"/>
        </w:rPr>
      </w:pPr>
      <w:r>
        <w:rPr>
          <w:rFonts w:hint="eastAsia"/>
        </w:rPr>
        <w:t>本项目涉及的运行维护工作范围为：对系统进行日常巡检，查看系统性能、</w:t>
      </w:r>
      <w:r>
        <w:rPr>
          <w:rFonts w:hint="eastAsia"/>
          <w:lang w:eastAsia="zh-Hans"/>
        </w:rPr>
        <w:t>系统</w:t>
      </w:r>
      <w:r>
        <w:rPr>
          <w:rFonts w:hint="eastAsia"/>
        </w:rPr>
        <w:t>备份、数据接口等是否正常，确保系统及数据安全；</w:t>
      </w:r>
    </w:p>
    <w:p w14:paraId="396D29EF">
      <w:pPr>
        <w:numPr>
          <w:ilvl w:val="0"/>
          <w:numId w:val="3"/>
        </w:numPr>
        <w:ind w:firstLine="480"/>
        <w:rPr>
          <w:rFonts w:hint="eastAsia"/>
        </w:rPr>
      </w:pPr>
      <w:r>
        <w:rPr>
          <w:rFonts w:hint="eastAsia"/>
        </w:rPr>
        <w:t>配合招标方做好日常工作,提供必要的信息化服务；</w:t>
      </w:r>
    </w:p>
    <w:p w14:paraId="2BEE7C09">
      <w:pPr>
        <w:numPr>
          <w:ilvl w:val="0"/>
          <w:numId w:val="3"/>
        </w:numPr>
        <w:ind w:firstLine="480"/>
        <w:rPr>
          <w:rFonts w:hint="eastAsia"/>
        </w:rPr>
      </w:pPr>
      <w:r>
        <w:rPr>
          <w:rFonts w:hint="eastAsia"/>
        </w:rPr>
        <w:t>与系统相关单位、部门做好数据接口的保障工作，实现数据在不同业务系统间的正常传输；</w:t>
      </w:r>
    </w:p>
    <w:p w14:paraId="7719204F">
      <w:pPr>
        <w:numPr>
          <w:ilvl w:val="0"/>
          <w:numId w:val="3"/>
        </w:numPr>
        <w:ind w:firstLine="480"/>
        <w:rPr>
          <w:rFonts w:hint="eastAsia"/>
        </w:rPr>
      </w:pPr>
      <w:r>
        <w:rPr>
          <w:rFonts w:hint="eastAsia"/>
        </w:rPr>
        <w:t>对在合同约定范围内用户提出修改、</w:t>
      </w:r>
      <w:r>
        <w:t>新增和</w:t>
      </w:r>
      <w:r>
        <w:rPr>
          <w:rFonts w:hint="eastAsia"/>
        </w:rPr>
        <w:t>完善等需求，同招标方进行沟通达成一致后实施，包括新功能的调研、设计、开发、测试等工作。</w:t>
      </w:r>
    </w:p>
    <w:p w14:paraId="19F97C00">
      <w:pPr>
        <w:pStyle w:val="3"/>
        <w:rPr>
          <w:rFonts w:hint="eastAsia"/>
        </w:rPr>
      </w:pPr>
      <w:bookmarkStart w:id="20" w:name="_Toc63785506"/>
      <w:r>
        <w:rPr>
          <w:rFonts w:hint="eastAsia"/>
        </w:rPr>
        <w:t>应急响应要求</w:t>
      </w:r>
      <w:bookmarkEnd w:id="20"/>
    </w:p>
    <w:p w14:paraId="1316C4E0">
      <w:pPr>
        <w:pStyle w:val="107"/>
        <w:snapToGrid w:val="0"/>
        <w:spacing w:line="360" w:lineRule="auto"/>
        <w:ind w:firstLine="480"/>
        <w:rPr>
          <w:rFonts w:hint="eastAsia" w:ascii="宋体" w:hAnsi="宋体"/>
          <w:sz w:val="24"/>
          <w:szCs w:val="24"/>
        </w:rPr>
      </w:pPr>
      <w:r>
        <w:rPr>
          <w:rFonts w:hint="eastAsia" w:ascii="宋体" w:hAnsi="宋体"/>
          <w:sz w:val="24"/>
          <w:szCs w:val="24"/>
        </w:rPr>
        <w:t>供应商对系统故障应能够实时响应，若系统发生故障，接到通知后</w:t>
      </w:r>
      <w:r>
        <w:rPr>
          <w:rFonts w:ascii="宋体" w:hAnsi="宋体"/>
          <w:sz w:val="24"/>
          <w:szCs w:val="24"/>
        </w:rPr>
        <w:t>30分钟之内响应，专业工程师2小时内到达现场</w:t>
      </w:r>
      <w:r>
        <w:rPr>
          <w:rFonts w:hint="eastAsia" w:ascii="宋体" w:hAnsi="宋体"/>
          <w:sz w:val="24"/>
          <w:szCs w:val="24"/>
        </w:rPr>
        <w:t>。特殊故障与客户沟通协商后，按照协商的方式制定解决方案并进行处理。</w:t>
      </w:r>
    </w:p>
    <w:p w14:paraId="6B8B73AE">
      <w:pPr>
        <w:pStyle w:val="107"/>
        <w:snapToGrid w:val="0"/>
        <w:spacing w:line="360" w:lineRule="auto"/>
        <w:ind w:firstLine="480"/>
        <w:rPr>
          <w:rFonts w:hint="eastAsia" w:ascii="宋体" w:hAnsi="宋体"/>
          <w:sz w:val="24"/>
          <w:szCs w:val="24"/>
        </w:rPr>
      </w:pPr>
      <w:r>
        <w:rPr>
          <w:rFonts w:hint="eastAsia" w:ascii="宋体" w:hAnsi="宋体"/>
          <w:sz w:val="24"/>
          <w:szCs w:val="24"/>
        </w:rPr>
        <w:t>具体故障级别及对应的应急响应要求如下：</w:t>
      </w:r>
    </w:p>
    <w:p w14:paraId="5FE1BDCA">
      <w:pPr>
        <w:pStyle w:val="107"/>
        <w:snapToGrid w:val="0"/>
        <w:spacing w:line="360" w:lineRule="auto"/>
        <w:ind w:firstLine="480"/>
        <w:rPr>
          <w:rFonts w:hint="eastAsia" w:ascii="宋体" w:hAnsi="宋体"/>
          <w:sz w:val="24"/>
          <w:szCs w:val="24"/>
        </w:rPr>
      </w:pPr>
      <w:r>
        <w:rPr>
          <w:rFonts w:hint="eastAsia" w:ascii="宋体" w:hAnsi="宋体"/>
          <w:sz w:val="24"/>
          <w:szCs w:val="24"/>
        </w:rPr>
        <w:t>一级故障：在</w:t>
      </w:r>
      <w:r>
        <w:rPr>
          <w:rFonts w:ascii="宋体" w:hAnsi="宋体"/>
          <w:sz w:val="24"/>
          <w:szCs w:val="24"/>
        </w:rPr>
        <w:t>1小时内确诊，总故障解决时间不超过4小时。</w:t>
      </w:r>
    </w:p>
    <w:p w14:paraId="723AD7A8">
      <w:pPr>
        <w:pStyle w:val="107"/>
        <w:snapToGrid w:val="0"/>
        <w:spacing w:line="360" w:lineRule="auto"/>
        <w:ind w:firstLine="480"/>
        <w:rPr>
          <w:rFonts w:hint="eastAsia" w:ascii="宋体" w:hAnsi="宋体"/>
          <w:sz w:val="24"/>
          <w:szCs w:val="24"/>
        </w:rPr>
      </w:pPr>
      <w:r>
        <w:rPr>
          <w:rFonts w:hint="eastAsia" w:ascii="宋体" w:hAnsi="宋体"/>
          <w:sz w:val="24"/>
          <w:szCs w:val="24"/>
        </w:rPr>
        <w:t>二级故障：在</w:t>
      </w:r>
      <w:r>
        <w:rPr>
          <w:rFonts w:ascii="宋体" w:hAnsi="宋体"/>
          <w:sz w:val="24"/>
          <w:szCs w:val="24"/>
        </w:rPr>
        <w:t>2小时内确诊，并在4小时内由专家到达现场确诊并解决，总故障解决时间不超过8小时；</w:t>
      </w:r>
    </w:p>
    <w:p w14:paraId="567029BD">
      <w:pPr>
        <w:pStyle w:val="107"/>
        <w:snapToGrid w:val="0"/>
        <w:spacing w:line="360" w:lineRule="auto"/>
        <w:ind w:firstLine="480"/>
        <w:rPr>
          <w:rFonts w:hint="eastAsia" w:ascii="宋体" w:hAnsi="宋体"/>
          <w:sz w:val="24"/>
          <w:szCs w:val="24"/>
        </w:rPr>
      </w:pPr>
      <w:r>
        <w:rPr>
          <w:rFonts w:hint="eastAsia" w:ascii="宋体" w:hAnsi="宋体"/>
          <w:sz w:val="24"/>
          <w:szCs w:val="24"/>
        </w:rPr>
        <w:t>三、四级故障：在</w:t>
      </w:r>
      <w:r>
        <w:rPr>
          <w:rFonts w:ascii="宋体" w:hAnsi="宋体"/>
          <w:sz w:val="24"/>
          <w:szCs w:val="24"/>
        </w:rPr>
        <w:t>4小时内确诊故障，总故障解决时间不超过16小时。</w:t>
      </w:r>
    </w:p>
    <w:p w14:paraId="27FE0C1B">
      <w:pPr>
        <w:pStyle w:val="3"/>
        <w:rPr>
          <w:rFonts w:hint="eastAsia"/>
        </w:rPr>
      </w:pPr>
      <w:bookmarkStart w:id="21" w:name="_Toc63785507"/>
      <w:r>
        <w:rPr>
          <w:rFonts w:hint="eastAsia"/>
        </w:rPr>
        <w:t>培训要求</w:t>
      </w:r>
      <w:bookmarkEnd w:id="21"/>
    </w:p>
    <w:p w14:paraId="5823367B">
      <w:pPr>
        <w:rPr>
          <w:rFonts w:hint="eastAsia"/>
        </w:rPr>
      </w:pPr>
      <w:r>
        <w:rPr>
          <w:rFonts w:hint="eastAsia"/>
        </w:rPr>
        <w:t>对系统使用单位提供业务操作培训，应提供详细培训方案。</w:t>
      </w:r>
    </w:p>
    <w:p w14:paraId="59EE023F">
      <w:pPr>
        <w:rPr>
          <w:rFonts w:hint="eastAsia"/>
        </w:rPr>
      </w:pPr>
      <w:r>
        <w:rPr>
          <w:rFonts w:hint="eastAsia"/>
        </w:rPr>
        <w:t>(1)在12个月的质量保证期内，提供2次与项目相关的必要培训。</w:t>
      </w:r>
    </w:p>
    <w:p w14:paraId="1AD90481">
      <w:pPr>
        <w:rPr>
          <w:rFonts w:hint="eastAsia"/>
        </w:rPr>
      </w:pPr>
      <w:r>
        <w:rPr>
          <w:rFonts w:hint="eastAsia"/>
        </w:rPr>
        <w:t>(2)供应商需要开展分层次的人员培训工作，每次培训后应对参加培训人员进行测试，评估培训成果。培训应具有培训教材、培训环境和高水平的培训讲师。</w:t>
      </w:r>
    </w:p>
    <w:p w14:paraId="128E85A2">
      <w:pPr>
        <w:rPr>
          <w:rFonts w:hint="eastAsia"/>
        </w:rPr>
      </w:pPr>
      <w:r>
        <w:rPr>
          <w:rFonts w:hint="eastAsia"/>
        </w:rPr>
        <w:t>(3)供应商应提供一般用户的基础操作培训和部门信息管理员的日常应用维护的培训，确保用户对象能够掌握对应的操作技能。</w:t>
      </w:r>
    </w:p>
    <w:p w14:paraId="00A9573F">
      <w:pPr>
        <w:pStyle w:val="3"/>
        <w:rPr>
          <w:rFonts w:hint="eastAsia"/>
        </w:rPr>
      </w:pPr>
      <w:bookmarkStart w:id="22" w:name="_Toc63785508"/>
      <w:r>
        <w:rPr>
          <w:rFonts w:hint="eastAsia"/>
        </w:rPr>
        <w:t>验收要求</w:t>
      </w:r>
      <w:bookmarkEnd w:id="22"/>
    </w:p>
    <w:p w14:paraId="7B84B29F">
      <w:pPr>
        <w:rPr>
          <w:rFonts w:hint="eastAsia"/>
          <w:szCs w:val="21"/>
        </w:rPr>
      </w:pPr>
      <w:r>
        <w:rPr>
          <w:rFonts w:hint="eastAsia"/>
          <w:szCs w:val="21"/>
        </w:rPr>
        <w:t>本项目按下述方式开展验收。</w:t>
      </w:r>
    </w:p>
    <w:p w14:paraId="2CC57A72">
      <w:pPr>
        <w:rPr>
          <w:rFonts w:hint="eastAsia"/>
          <w:szCs w:val="21"/>
        </w:rPr>
      </w:pPr>
      <w:r>
        <w:rPr>
          <w:rFonts w:hint="eastAsia"/>
          <w:szCs w:val="21"/>
        </w:rPr>
        <w:t>供应商应按照国家有关规定以及磋商文件要求及承诺与所签订合同约定标准、验收流程、约定时间进行验收，确保按时交付、正常运行。</w:t>
      </w:r>
    </w:p>
    <w:p w14:paraId="2EF73005">
      <w:pPr>
        <w:rPr>
          <w:rFonts w:hint="eastAsia"/>
          <w:szCs w:val="21"/>
        </w:rPr>
      </w:pPr>
      <w:r>
        <w:rPr>
          <w:rFonts w:hint="eastAsia"/>
          <w:szCs w:val="21"/>
        </w:rPr>
        <w:t>（</w:t>
      </w:r>
      <w:r>
        <w:rPr>
          <w:szCs w:val="21"/>
        </w:rPr>
        <w:t>1</w:t>
      </w:r>
      <w:r>
        <w:rPr>
          <w:rFonts w:hint="eastAsia"/>
          <w:szCs w:val="21"/>
        </w:rPr>
        <w:t>）</w:t>
      </w:r>
      <w:r>
        <w:rPr>
          <w:szCs w:val="21"/>
        </w:rPr>
        <w:t>验收分初验和终验。</w:t>
      </w:r>
    </w:p>
    <w:p w14:paraId="5BFA0A07">
      <w:pPr>
        <w:rPr>
          <w:rFonts w:hint="eastAsia"/>
          <w:szCs w:val="21"/>
        </w:rPr>
      </w:pPr>
      <w:r>
        <w:rPr>
          <w:rFonts w:hint="eastAsia"/>
          <w:szCs w:val="21"/>
        </w:rPr>
        <w:t>（</w:t>
      </w:r>
      <w:r>
        <w:rPr>
          <w:szCs w:val="21"/>
        </w:rPr>
        <w:t>2）初验前，供应商须完成软件开发、软硬件安装和信息系统的调试等，并对本项目进行功能和运行检测，确保所有信息系统功能模块能够正常运行且已达到本项目约定的各类标准要求。供应商应以书面形式向招标方递交初验通知书。招标方应当在接到通知后的5个工作日内确定初验的具体日期，由双方按照本项目的约定完成本项目的初验。招标方有权委托第三方检测机构进行验收，对此供应商应当配合。</w:t>
      </w:r>
    </w:p>
    <w:p w14:paraId="225FA30F">
      <w:pPr>
        <w:rPr>
          <w:rFonts w:hint="eastAsia"/>
          <w:szCs w:val="21"/>
        </w:rPr>
      </w:pPr>
      <w:r>
        <w:rPr>
          <w:rFonts w:hint="eastAsia"/>
          <w:szCs w:val="21"/>
        </w:rPr>
        <w:t>（</w:t>
      </w:r>
      <w:r>
        <w:rPr>
          <w:szCs w:val="21"/>
        </w:rPr>
        <w:t>3）初验时，供应商须提供软件文档包括《用户需求说明书》《系统概要设计说明书》《系统详细设计说明书》</w:t>
      </w:r>
      <w:r>
        <w:rPr>
          <w:rFonts w:hint="eastAsia"/>
          <w:szCs w:val="21"/>
        </w:rPr>
        <w:t>《三方功能需求确认单》</w:t>
      </w:r>
      <w:r>
        <w:rPr>
          <w:szCs w:val="21"/>
        </w:rPr>
        <w:t>《测试报告》《用户使用手册》《系统部署文档》等）及可安装的程序运行文件。所交付的文档与文件应当是可供自然人阅读的书面和电子文档。软件文档及可安装的程序运行文件验收通过后，视为初验通过。如有缺陷，招标方应向供应商出具书面报告，陈述需要改进的缺陷。供应商应立即严格依照招标方的书面报告中的要求改进缺陷，并再次进行初验。</w:t>
      </w:r>
    </w:p>
    <w:p w14:paraId="49FF3B3C">
      <w:pPr>
        <w:rPr>
          <w:rFonts w:hint="eastAsia"/>
          <w:szCs w:val="21"/>
        </w:rPr>
      </w:pPr>
      <w:r>
        <w:rPr>
          <w:rFonts w:hint="eastAsia"/>
          <w:szCs w:val="21"/>
        </w:rPr>
        <w:t>（</w:t>
      </w:r>
      <w:r>
        <w:rPr>
          <w:szCs w:val="21"/>
        </w:rPr>
        <w:t>4）自初验通过之日起，招标方享有供应商免费提供的</w:t>
      </w:r>
      <w:r>
        <w:rPr>
          <w:rFonts w:hint="eastAsia"/>
          <w:szCs w:val="21"/>
        </w:rPr>
        <w:t>30</w:t>
      </w:r>
      <w:r>
        <w:rPr>
          <w:szCs w:val="21"/>
        </w:rPr>
        <w:t>天的信息系统试运行现场驻场服务期。该期间内，供应商应当按照招标方的要求提供现场技术支持服务，解决信息系统试运行期间可能出现的各类问题，或进一步提高与完善信息系统运行水平。</w:t>
      </w:r>
    </w:p>
    <w:p w14:paraId="5F903CE5">
      <w:pPr>
        <w:rPr>
          <w:rFonts w:hint="eastAsia"/>
          <w:szCs w:val="21"/>
        </w:rPr>
      </w:pPr>
      <w:r>
        <w:rPr>
          <w:rFonts w:hint="eastAsia"/>
          <w:szCs w:val="21"/>
        </w:rPr>
        <w:t>（</w:t>
      </w:r>
      <w:r>
        <w:rPr>
          <w:szCs w:val="21"/>
        </w:rPr>
        <w:t>5</w:t>
      </w:r>
      <w:r>
        <w:rPr>
          <w:rFonts w:hint="eastAsia"/>
          <w:szCs w:val="21"/>
        </w:rPr>
        <w:t>）</w:t>
      </w:r>
      <w:r>
        <w:rPr>
          <w:szCs w:val="21"/>
        </w:rPr>
        <w:t>初验通过且信息系统试运行期已经达到本项目约定的时间，经供应商确认信息系统具备正常运行条件，且信息系统通过运行测试，供应商应以书面形式通知招标方信息系统已准备就绪等待终验。招标方在收到终验通知后的10个工作日内发起组织专家验收会。</w:t>
      </w:r>
    </w:p>
    <w:p w14:paraId="3B7CFDB3">
      <w:pPr>
        <w:rPr>
          <w:rFonts w:hint="eastAsia"/>
          <w:szCs w:val="21"/>
        </w:rPr>
      </w:pPr>
      <w:r>
        <w:rPr>
          <w:rFonts w:hint="eastAsia"/>
          <w:szCs w:val="21"/>
        </w:rPr>
        <w:t>（6</w:t>
      </w:r>
      <w:r>
        <w:rPr>
          <w:szCs w:val="21"/>
        </w:rPr>
        <w:t>）如果属于供应商原因致使本项目未能通过终验，供应商应当排除缺陷，直至本项目完全符合验收标准，由上述情形而产生的相关费用应由供应商自行承担。</w:t>
      </w:r>
    </w:p>
    <w:p w14:paraId="451D9411">
      <w:pPr>
        <w:rPr>
          <w:rFonts w:hint="eastAsia"/>
          <w:szCs w:val="21"/>
        </w:rPr>
      </w:pPr>
      <w:r>
        <w:rPr>
          <w:rFonts w:hint="eastAsia"/>
          <w:szCs w:val="21"/>
        </w:rPr>
        <w:t>（7</w:t>
      </w:r>
      <w:r>
        <w:rPr>
          <w:szCs w:val="21"/>
        </w:rPr>
        <w:t>）如果由于招标方原因导致本项目在终验通过前出现故障或问题，供应商应及时配合排除该方面的故障或问题。</w:t>
      </w:r>
    </w:p>
    <w:p w14:paraId="1AC63A6D">
      <w:pPr>
        <w:rPr>
          <w:rFonts w:hint="eastAsia"/>
          <w:szCs w:val="21"/>
        </w:rPr>
      </w:pPr>
      <w:r>
        <w:rPr>
          <w:rFonts w:hint="eastAsia"/>
          <w:szCs w:val="21"/>
        </w:rPr>
        <w:t>（8</w:t>
      </w:r>
      <w:r>
        <w:rPr>
          <w:szCs w:val="21"/>
        </w:rPr>
        <w:t>）如本项目连续2次验收未通过（含初验未通过或终验未通过），招标方有权解除项目，并有权依照本项目约定的违约条款追究供应商的违约责任。</w:t>
      </w:r>
    </w:p>
    <w:p w14:paraId="41BC30CE">
      <w:pPr>
        <w:pStyle w:val="3"/>
        <w:rPr>
          <w:rFonts w:hint="eastAsia"/>
        </w:rPr>
      </w:pPr>
      <w:bookmarkStart w:id="23" w:name="_Toc63785509"/>
      <w:r>
        <w:rPr>
          <w:rFonts w:hint="eastAsia"/>
        </w:rPr>
        <w:t>进度要求</w:t>
      </w:r>
      <w:bookmarkEnd w:id="23"/>
      <w:r>
        <w:rPr>
          <w:rFonts w:hint="eastAsia"/>
        </w:rPr>
        <w:t>明确</w:t>
      </w:r>
    </w:p>
    <w:p w14:paraId="6BA91411">
      <w:pPr>
        <w:rPr>
          <w:rFonts w:hint="eastAsia"/>
        </w:rPr>
      </w:pPr>
      <w:r>
        <w:rPr>
          <w:rFonts w:hint="eastAsia"/>
          <w:lang w:eastAsia="zh-CN"/>
        </w:rPr>
        <w:t>供应商</w:t>
      </w:r>
      <w:r>
        <w:rPr>
          <w:rFonts w:hint="eastAsia"/>
        </w:rPr>
        <w:t>应根据建设内容，分阶段制定合理的时间进度，并且应根据</w:t>
      </w:r>
      <w:r>
        <w:rPr>
          <w:rFonts w:hint="eastAsia"/>
          <w:lang w:eastAsia="zh-CN"/>
        </w:rPr>
        <w:t>采购人</w:t>
      </w:r>
      <w:r>
        <w:rPr>
          <w:rFonts w:hint="eastAsia"/>
        </w:rPr>
        <w:t>要求进行调整和细化，以完成本项目所有系统的开发、安装、调试及项目整体测试、联调，并在试运行结束后整理验收材料提交完成验收。</w:t>
      </w:r>
    </w:p>
    <w:p w14:paraId="5073CA15">
      <w:pPr>
        <w:pStyle w:val="26"/>
        <w:rPr>
          <w:rFonts w:hint="eastAsia"/>
        </w:rPr>
      </w:pPr>
      <w:r>
        <w:rPr>
          <w:rFonts w:hint="eastAsia"/>
        </w:rPr>
        <w:t>总建设周期为8个月，分为</w:t>
      </w:r>
      <w:r>
        <w:rPr>
          <w:rFonts w:hint="eastAsia" w:ascii="Times New Roman" w:hAnsi="Times New Roman"/>
          <w:lang w:val="en-US" w:eastAsia="zh-CN"/>
        </w:rPr>
        <w:t>4</w:t>
      </w:r>
      <w:r>
        <w:rPr>
          <w:rFonts w:hint="eastAsia"/>
        </w:rPr>
        <w:t>个阶段。</w:t>
      </w:r>
    </w:p>
    <w:p w14:paraId="051C75DA">
      <w:pPr>
        <w:pStyle w:val="26"/>
        <w:rPr>
          <w:rFonts w:hint="eastAsia"/>
        </w:rPr>
      </w:pPr>
      <w:r>
        <w:rPr>
          <w:rFonts w:hint="eastAsia"/>
        </w:rPr>
        <w:t>第一阶段为1个月，完成项目规划设计阶段。</w:t>
      </w:r>
    </w:p>
    <w:p w14:paraId="2FE1E717">
      <w:pPr>
        <w:pStyle w:val="26"/>
        <w:rPr>
          <w:rFonts w:hint="eastAsia"/>
        </w:rPr>
      </w:pPr>
      <w:r>
        <w:rPr>
          <w:rFonts w:hint="eastAsia"/>
        </w:rPr>
        <w:t>第二阶段为</w:t>
      </w:r>
      <w:r>
        <w:rPr>
          <w:rFonts w:hint="eastAsia" w:ascii="Times New Roman" w:hAnsi="Times New Roman"/>
        </w:rPr>
        <w:t>4</w:t>
      </w:r>
      <w:r>
        <w:rPr>
          <w:rFonts w:hint="eastAsia"/>
        </w:rPr>
        <w:t>个月，完成项目开发测试阶段。</w:t>
      </w:r>
    </w:p>
    <w:p w14:paraId="086B2E5B">
      <w:pPr>
        <w:pStyle w:val="26"/>
        <w:rPr>
          <w:rFonts w:hint="eastAsia"/>
        </w:rPr>
      </w:pPr>
      <w:r>
        <w:rPr>
          <w:rFonts w:hint="eastAsia"/>
        </w:rPr>
        <w:t>第三阶段为2个月，完成</w:t>
      </w:r>
      <w:bookmarkStart w:id="24" w:name="_Toc108431567"/>
      <w:bookmarkStart w:id="25" w:name="_Toc175657236"/>
      <w:bookmarkStart w:id="26" w:name="_Toc11462"/>
      <w:r>
        <w:rPr>
          <w:rFonts w:hint="eastAsia"/>
        </w:rPr>
        <w:t>项目试运行和迭代开发</w:t>
      </w:r>
      <w:bookmarkEnd w:id="24"/>
      <w:bookmarkEnd w:id="25"/>
      <w:bookmarkEnd w:id="26"/>
      <w:r>
        <w:rPr>
          <w:rFonts w:hint="eastAsia"/>
        </w:rPr>
        <w:t>阶段。</w:t>
      </w:r>
    </w:p>
    <w:p w14:paraId="12DE1A19">
      <w:pPr>
        <w:pStyle w:val="26"/>
        <w:rPr>
          <w:rFonts w:hint="eastAsia"/>
        </w:rPr>
      </w:pPr>
      <w:bookmarkStart w:id="27" w:name="_Toc63785510"/>
      <w:r>
        <w:rPr>
          <w:rFonts w:hint="eastAsia"/>
        </w:rPr>
        <w:t>第四阶段为1个月，完成项目验收阶段。</w:t>
      </w:r>
    </w:p>
    <w:p w14:paraId="6D9BFE08">
      <w:pPr>
        <w:pStyle w:val="3"/>
        <w:rPr>
          <w:rFonts w:hint="eastAsia"/>
        </w:rPr>
      </w:pPr>
      <w:r>
        <w:rPr>
          <w:rFonts w:hint="eastAsia"/>
        </w:rPr>
        <w:t>项目团队及驻场人员要求</w:t>
      </w:r>
      <w:bookmarkEnd w:id="27"/>
    </w:p>
    <w:p w14:paraId="146D67A7">
      <w:pPr>
        <w:rPr>
          <w:rFonts w:hint="eastAsia"/>
        </w:rPr>
      </w:pPr>
      <w:bookmarkStart w:id="28" w:name="_Toc63785511"/>
      <w:r>
        <w:rPr>
          <w:rFonts w:hint="eastAsia"/>
        </w:rPr>
        <w:t>合理的人员结构、项目人员的稳定性与承担紧急任务的能力是项目成功的关键因素，供应商应提供详细的项目组织架构管理方案，提供详尽的项目团队人员，若本项目有驻场需求，还需明确驻场人员相关要求。</w:t>
      </w:r>
    </w:p>
    <w:p w14:paraId="442E3720">
      <w:pPr>
        <w:rPr>
          <w:rFonts w:hint="eastAsia"/>
        </w:rPr>
      </w:pPr>
      <w:r>
        <w:rPr>
          <w:rFonts w:hint="eastAsia"/>
        </w:rPr>
        <w:t>（1）</w:t>
      </w:r>
      <w:r>
        <w:rPr>
          <w:rFonts w:hint="eastAsia"/>
          <w:lang w:eastAsia="zh-CN"/>
        </w:rPr>
        <w:t>供应商</w:t>
      </w:r>
      <w:r>
        <w:t>须具有稳定的在职技术保障力量，能够提供及时的技术支援或服务，应针对本项目提供不少于</w:t>
      </w:r>
      <w:r>
        <w:rPr>
          <w:rFonts w:hint="eastAsia"/>
          <w:lang w:val="en-US" w:eastAsia="zh-CN"/>
        </w:rPr>
        <w:t>5</w:t>
      </w:r>
      <w:r>
        <w:t>人的项目服务团队（包括项目经理、</w:t>
      </w:r>
      <w:r>
        <w:rPr>
          <w:rFonts w:hint="eastAsia"/>
        </w:rPr>
        <w:t>交付</w:t>
      </w:r>
      <w:r>
        <w:t>经理、技术负责人、研发等），</w:t>
      </w:r>
      <w:r>
        <w:rPr>
          <w:rFonts w:hint="eastAsia"/>
        </w:rPr>
        <w:t>需要至少保障</w:t>
      </w:r>
      <w:r>
        <w:rPr>
          <w:rFonts w:hint="eastAsia"/>
          <w:lang w:val="en-US" w:eastAsia="zh-CN"/>
        </w:rPr>
        <w:t>3</w:t>
      </w:r>
      <w:r>
        <w:rPr>
          <w:rFonts w:hint="eastAsia"/>
        </w:rPr>
        <w:t>人常驻项目现场。</w:t>
      </w:r>
      <w:r>
        <w:rPr>
          <w:rFonts w:hint="eastAsia"/>
          <w:lang w:eastAsia="zh-CN"/>
        </w:rPr>
        <w:t>供应商</w:t>
      </w:r>
      <w:r>
        <w:t>的相关服务人员需具备相应的服务能力，需提供相关证明。</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4"/>
        <w:gridCol w:w="1782"/>
        <w:gridCol w:w="1305"/>
        <w:gridCol w:w="2362"/>
        <w:gridCol w:w="1263"/>
      </w:tblGrid>
      <w:tr w14:paraId="7E2FD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594" w:type="dxa"/>
            <w:noWrap/>
            <w:vAlign w:val="center"/>
          </w:tcPr>
          <w:p w14:paraId="3C05AF13">
            <w:pPr>
              <w:widowControl/>
              <w:spacing w:line="240" w:lineRule="auto"/>
              <w:ind w:firstLine="0" w:firstLineChars="0"/>
              <w:jc w:val="center"/>
              <w:rPr>
                <w:rFonts w:hint="eastAsia" w:cs="宋体"/>
                <w:b/>
                <w:bCs/>
                <w:color w:val="000000"/>
                <w:kern w:val="0"/>
                <w:sz w:val="22"/>
                <w:szCs w:val="22"/>
              </w:rPr>
            </w:pPr>
            <w:r>
              <w:rPr>
                <w:rFonts w:hint="eastAsia" w:cs="宋体"/>
                <w:b/>
                <w:bCs/>
                <w:color w:val="000000"/>
                <w:kern w:val="0"/>
                <w:sz w:val="22"/>
                <w:szCs w:val="22"/>
              </w:rPr>
              <w:t>角色</w:t>
            </w:r>
          </w:p>
        </w:tc>
        <w:tc>
          <w:tcPr>
            <w:tcW w:w="1782" w:type="dxa"/>
            <w:noWrap/>
            <w:vAlign w:val="center"/>
          </w:tcPr>
          <w:p w14:paraId="411A4DAF">
            <w:pPr>
              <w:widowControl/>
              <w:spacing w:line="240" w:lineRule="auto"/>
              <w:ind w:firstLine="0" w:firstLineChars="0"/>
              <w:jc w:val="center"/>
              <w:rPr>
                <w:rFonts w:hint="eastAsia" w:cs="宋体"/>
                <w:b/>
                <w:bCs/>
                <w:color w:val="000000"/>
                <w:kern w:val="0"/>
                <w:sz w:val="22"/>
                <w:szCs w:val="22"/>
              </w:rPr>
            </w:pPr>
            <w:r>
              <w:rPr>
                <w:rFonts w:hint="eastAsia" w:cs="宋体"/>
                <w:b/>
                <w:bCs/>
                <w:color w:val="000000"/>
                <w:kern w:val="0"/>
                <w:sz w:val="22"/>
                <w:szCs w:val="22"/>
              </w:rPr>
              <w:t>主要职责</w:t>
            </w:r>
          </w:p>
        </w:tc>
        <w:tc>
          <w:tcPr>
            <w:tcW w:w="1305" w:type="dxa"/>
            <w:noWrap/>
            <w:vAlign w:val="center"/>
          </w:tcPr>
          <w:p w14:paraId="29230DFD">
            <w:pPr>
              <w:widowControl/>
              <w:spacing w:line="240" w:lineRule="auto"/>
              <w:ind w:firstLine="0" w:firstLineChars="0"/>
              <w:jc w:val="center"/>
              <w:rPr>
                <w:rFonts w:hint="eastAsia" w:cs="宋体"/>
                <w:b/>
                <w:bCs/>
                <w:color w:val="000000"/>
                <w:kern w:val="0"/>
                <w:sz w:val="22"/>
                <w:szCs w:val="22"/>
              </w:rPr>
            </w:pPr>
            <w:r>
              <w:rPr>
                <w:rFonts w:hint="eastAsia" w:cs="宋体"/>
                <w:b/>
                <w:bCs/>
                <w:color w:val="000000"/>
                <w:kern w:val="0"/>
                <w:sz w:val="22"/>
                <w:szCs w:val="22"/>
              </w:rPr>
              <w:t>人员数量</w:t>
            </w:r>
          </w:p>
        </w:tc>
        <w:tc>
          <w:tcPr>
            <w:tcW w:w="2362" w:type="dxa"/>
            <w:vAlign w:val="center"/>
          </w:tcPr>
          <w:p w14:paraId="40DC6D77">
            <w:pPr>
              <w:widowControl/>
              <w:spacing w:line="240" w:lineRule="auto"/>
              <w:ind w:firstLine="0" w:firstLineChars="0"/>
              <w:jc w:val="center"/>
              <w:rPr>
                <w:rFonts w:hint="eastAsia" w:cs="宋体"/>
                <w:b/>
                <w:bCs/>
                <w:color w:val="000000"/>
                <w:kern w:val="0"/>
                <w:sz w:val="22"/>
                <w:szCs w:val="22"/>
              </w:rPr>
            </w:pPr>
            <w:r>
              <w:rPr>
                <w:rFonts w:hint="eastAsia" w:cs="宋体"/>
                <w:b/>
                <w:bCs/>
                <w:color w:val="000000"/>
                <w:kern w:val="0"/>
                <w:sz w:val="22"/>
                <w:szCs w:val="22"/>
              </w:rPr>
              <w:t>人员要求</w:t>
            </w:r>
          </w:p>
        </w:tc>
        <w:tc>
          <w:tcPr>
            <w:tcW w:w="1263" w:type="dxa"/>
            <w:noWrap/>
            <w:vAlign w:val="center"/>
          </w:tcPr>
          <w:p w14:paraId="63603DCD">
            <w:pPr>
              <w:widowControl/>
              <w:spacing w:line="240" w:lineRule="auto"/>
              <w:ind w:firstLine="0" w:firstLineChars="0"/>
              <w:jc w:val="center"/>
              <w:rPr>
                <w:rFonts w:hint="eastAsia" w:cs="宋体"/>
                <w:b/>
                <w:bCs/>
                <w:color w:val="000000"/>
                <w:kern w:val="0"/>
                <w:sz w:val="22"/>
                <w:szCs w:val="22"/>
              </w:rPr>
            </w:pPr>
            <w:r>
              <w:rPr>
                <w:rFonts w:hint="eastAsia" w:cs="宋体"/>
                <w:b/>
                <w:bCs/>
                <w:color w:val="000000"/>
                <w:kern w:val="0"/>
                <w:sz w:val="22"/>
                <w:szCs w:val="22"/>
              </w:rPr>
              <w:t>驻场要求</w:t>
            </w:r>
          </w:p>
        </w:tc>
      </w:tr>
      <w:tr w14:paraId="533CE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94" w:type="dxa"/>
            <w:noWrap/>
            <w:vAlign w:val="center"/>
          </w:tcPr>
          <w:p w14:paraId="0D61C1FD">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项目经理</w:t>
            </w:r>
          </w:p>
        </w:tc>
        <w:tc>
          <w:tcPr>
            <w:tcW w:w="1782" w:type="dxa"/>
            <w:vAlign w:val="center"/>
          </w:tcPr>
          <w:p w14:paraId="7A5BC82B">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负责项目质量和进度控制</w:t>
            </w:r>
          </w:p>
        </w:tc>
        <w:tc>
          <w:tcPr>
            <w:tcW w:w="1305" w:type="dxa"/>
            <w:noWrap/>
            <w:vAlign w:val="center"/>
          </w:tcPr>
          <w:p w14:paraId="2E1B21D8">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1人</w:t>
            </w:r>
          </w:p>
        </w:tc>
        <w:tc>
          <w:tcPr>
            <w:tcW w:w="2362" w:type="dxa"/>
            <w:vAlign w:val="center"/>
          </w:tcPr>
          <w:p w14:paraId="61EE17A2">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具备本科或以上学历，有10年以上项目管理经验，3年以上政务类信息化项目经验且具备“计算机与信息技术应用高级职称”或“信息系统项目管理师”， 优先考虑</w:t>
            </w:r>
          </w:p>
        </w:tc>
        <w:tc>
          <w:tcPr>
            <w:tcW w:w="1263" w:type="dxa"/>
            <w:noWrap/>
            <w:vAlign w:val="center"/>
          </w:tcPr>
          <w:p w14:paraId="060D9C97">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驻场</w:t>
            </w:r>
          </w:p>
        </w:tc>
      </w:tr>
      <w:tr w14:paraId="6B987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94" w:type="dxa"/>
            <w:noWrap/>
            <w:vAlign w:val="center"/>
          </w:tcPr>
          <w:p w14:paraId="638AEDD9">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交付经理</w:t>
            </w:r>
          </w:p>
        </w:tc>
        <w:tc>
          <w:tcPr>
            <w:tcW w:w="1782" w:type="dxa"/>
            <w:vAlign w:val="center"/>
          </w:tcPr>
          <w:p w14:paraId="63D37712">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负责项目建设进度和交付质量管理</w:t>
            </w:r>
          </w:p>
        </w:tc>
        <w:tc>
          <w:tcPr>
            <w:tcW w:w="1305" w:type="dxa"/>
            <w:noWrap/>
            <w:vAlign w:val="center"/>
          </w:tcPr>
          <w:p w14:paraId="428BD431">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1人</w:t>
            </w:r>
          </w:p>
        </w:tc>
        <w:tc>
          <w:tcPr>
            <w:tcW w:w="2362" w:type="dxa"/>
            <w:vAlign w:val="center"/>
          </w:tcPr>
          <w:p w14:paraId="09582FCD">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具备信息系统项目交付管理经验</w:t>
            </w:r>
          </w:p>
        </w:tc>
        <w:tc>
          <w:tcPr>
            <w:tcW w:w="1263" w:type="dxa"/>
            <w:noWrap/>
            <w:vAlign w:val="center"/>
          </w:tcPr>
          <w:p w14:paraId="172E7057">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驻场</w:t>
            </w:r>
          </w:p>
        </w:tc>
      </w:tr>
      <w:tr w14:paraId="5EBE8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94" w:type="dxa"/>
            <w:noWrap/>
            <w:vAlign w:val="center"/>
          </w:tcPr>
          <w:p w14:paraId="53B9F7FD">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技术负责人</w:t>
            </w:r>
          </w:p>
        </w:tc>
        <w:tc>
          <w:tcPr>
            <w:tcW w:w="1782" w:type="dxa"/>
            <w:vAlign w:val="center"/>
          </w:tcPr>
          <w:p w14:paraId="206B76F5">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负责项目设计及框架建设</w:t>
            </w:r>
          </w:p>
        </w:tc>
        <w:tc>
          <w:tcPr>
            <w:tcW w:w="1305" w:type="dxa"/>
            <w:noWrap/>
            <w:vAlign w:val="center"/>
          </w:tcPr>
          <w:p w14:paraId="55BF6ADF">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1人</w:t>
            </w:r>
          </w:p>
        </w:tc>
        <w:tc>
          <w:tcPr>
            <w:tcW w:w="2362" w:type="dxa"/>
            <w:vAlign w:val="center"/>
          </w:tcPr>
          <w:p w14:paraId="2B73CCFF">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具备类似项目设计及框架建设经验</w:t>
            </w:r>
          </w:p>
        </w:tc>
        <w:tc>
          <w:tcPr>
            <w:tcW w:w="1263" w:type="dxa"/>
            <w:noWrap/>
            <w:vAlign w:val="center"/>
          </w:tcPr>
          <w:p w14:paraId="148C2044">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驻场</w:t>
            </w:r>
          </w:p>
        </w:tc>
      </w:tr>
      <w:tr w14:paraId="07B04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94" w:type="dxa"/>
            <w:noWrap/>
            <w:vAlign w:val="center"/>
          </w:tcPr>
          <w:p w14:paraId="4EEA1E7C">
            <w:pPr>
              <w:widowControl/>
              <w:spacing w:line="240" w:lineRule="auto"/>
              <w:ind w:firstLine="0" w:firstLineChars="0"/>
              <w:jc w:val="center"/>
              <w:rPr>
                <w:rFonts w:hint="eastAsia" w:cs="宋体"/>
                <w:color w:val="000000"/>
                <w:kern w:val="0"/>
                <w:sz w:val="21"/>
                <w:szCs w:val="21"/>
              </w:rPr>
            </w:pPr>
            <w:r>
              <w:rPr>
                <w:rFonts w:cs="宋体"/>
                <w:color w:val="000000"/>
                <w:kern w:val="0"/>
                <w:sz w:val="21"/>
                <w:szCs w:val="21"/>
              </w:rPr>
              <w:t>研发工程师</w:t>
            </w:r>
            <w:r>
              <w:rPr>
                <w:rFonts w:hint="eastAsia" w:cs="宋体"/>
                <w:color w:val="000000"/>
                <w:kern w:val="0"/>
                <w:sz w:val="21"/>
                <w:szCs w:val="21"/>
              </w:rPr>
              <w:t>、</w:t>
            </w:r>
          </w:p>
          <w:p w14:paraId="06A058F0">
            <w:pPr>
              <w:widowControl/>
              <w:spacing w:line="240" w:lineRule="auto"/>
              <w:ind w:firstLine="0" w:firstLineChars="0"/>
              <w:jc w:val="center"/>
              <w:rPr>
                <w:rFonts w:hint="eastAsia" w:cs="宋体"/>
                <w:color w:val="000000"/>
                <w:kern w:val="0"/>
                <w:sz w:val="21"/>
                <w:szCs w:val="21"/>
              </w:rPr>
            </w:pPr>
            <w:r>
              <w:rPr>
                <w:rFonts w:cs="宋体"/>
                <w:color w:val="000000"/>
                <w:kern w:val="0"/>
                <w:sz w:val="21"/>
                <w:szCs w:val="21"/>
              </w:rPr>
              <w:t>实施工程师</w:t>
            </w:r>
            <w:r>
              <w:rPr>
                <w:rFonts w:hint="eastAsia" w:cs="宋体"/>
                <w:color w:val="000000"/>
                <w:kern w:val="0"/>
                <w:sz w:val="21"/>
                <w:szCs w:val="21"/>
              </w:rPr>
              <w:t>、</w:t>
            </w:r>
          </w:p>
          <w:p w14:paraId="50809327">
            <w:pPr>
              <w:widowControl/>
              <w:spacing w:line="240" w:lineRule="auto"/>
              <w:ind w:firstLine="0" w:firstLineChars="0"/>
              <w:jc w:val="center"/>
              <w:rPr>
                <w:rFonts w:hint="eastAsia" w:cs="宋体"/>
                <w:color w:val="000000"/>
                <w:kern w:val="0"/>
                <w:sz w:val="21"/>
                <w:szCs w:val="21"/>
              </w:rPr>
            </w:pPr>
            <w:r>
              <w:rPr>
                <w:rFonts w:cs="宋体"/>
                <w:color w:val="000000"/>
                <w:kern w:val="0"/>
                <w:sz w:val="21"/>
                <w:szCs w:val="21"/>
              </w:rPr>
              <w:t>测试工程师</w:t>
            </w:r>
            <w:r>
              <w:rPr>
                <w:rFonts w:hint="eastAsia" w:cs="宋体"/>
                <w:color w:val="000000"/>
                <w:kern w:val="0"/>
                <w:sz w:val="21"/>
                <w:szCs w:val="21"/>
              </w:rPr>
              <w:t>、</w:t>
            </w:r>
          </w:p>
          <w:p w14:paraId="6F9A2033">
            <w:pPr>
              <w:widowControl/>
              <w:spacing w:line="240" w:lineRule="auto"/>
              <w:ind w:firstLine="0" w:firstLineChars="0"/>
              <w:jc w:val="center"/>
              <w:rPr>
                <w:rFonts w:hint="eastAsia" w:cs="宋体"/>
                <w:color w:val="000000"/>
                <w:kern w:val="0"/>
                <w:sz w:val="21"/>
                <w:szCs w:val="21"/>
              </w:rPr>
            </w:pPr>
            <w:r>
              <w:rPr>
                <w:rFonts w:cs="宋体"/>
                <w:color w:val="000000"/>
                <w:kern w:val="0"/>
                <w:sz w:val="21"/>
                <w:szCs w:val="21"/>
              </w:rPr>
              <w:t>质量管理工程师</w:t>
            </w:r>
          </w:p>
        </w:tc>
        <w:tc>
          <w:tcPr>
            <w:tcW w:w="1782" w:type="dxa"/>
            <w:noWrap/>
            <w:vAlign w:val="center"/>
          </w:tcPr>
          <w:p w14:paraId="06D226FD">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负责项目具体开发、实施、测试及质量管理</w:t>
            </w:r>
          </w:p>
        </w:tc>
        <w:tc>
          <w:tcPr>
            <w:tcW w:w="1305" w:type="dxa"/>
            <w:noWrap/>
            <w:vAlign w:val="center"/>
          </w:tcPr>
          <w:p w14:paraId="472E5F19">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lang w:val="en-US" w:eastAsia="zh-CN"/>
              </w:rPr>
              <w:t>2</w:t>
            </w:r>
            <w:r>
              <w:rPr>
                <w:rFonts w:hint="eastAsia" w:cs="宋体"/>
                <w:color w:val="000000"/>
                <w:kern w:val="0"/>
                <w:sz w:val="21"/>
                <w:szCs w:val="21"/>
              </w:rPr>
              <w:t>人</w:t>
            </w:r>
          </w:p>
        </w:tc>
        <w:tc>
          <w:tcPr>
            <w:tcW w:w="2362" w:type="dxa"/>
            <w:vAlign w:val="center"/>
          </w:tcPr>
          <w:p w14:paraId="59031BD8">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具备类似信息系统开发、实施、测试及质量管理经验</w:t>
            </w:r>
          </w:p>
        </w:tc>
        <w:tc>
          <w:tcPr>
            <w:tcW w:w="1263" w:type="dxa"/>
            <w:noWrap/>
            <w:vAlign w:val="center"/>
          </w:tcPr>
          <w:p w14:paraId="67501E89">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部分驻场</w:t>
            </w:r>
          </w:p>
        </w:tc>
      </w:tr>
    </w:tbl>
    <w:p w14:paraId="1144D703">
      <w:pPr>
        <w:rPr>
          <w:rFonts w:hint="eastAsia"/>
        </w:rPr>
      </w:pPr>
      <w:r>
        <w:rPr>
          <w:rFonts w:hint="eastAsia"/>
        </w:rPr>
        <w:t>（2）</w:t>
      </w:r>
      <w:r>
        <w:rPr>
          <w:rFonts w:hint="eastAsia"/>
          <w:lang w:eastAsia="zh-CN"/>
        </w:rPr>
        <w:t>供应商</w:t>
      </w:r>
      <w:r>
        <w:t>应针对本项目提供不少于</w:t>
      </w:r>
      <w:r>
        <w:rPr>
          <w:rFonts w:hint="eastAsia"/>
          <w:lang w:val="en-US" w:eastAsia="zh-CN"/>
        </w:rPr>
        <w:t>3</w:t>
      </w:r>
      <w:r>
        <w:t>人的质保期间支撑团队（包括</w:t>
      </w:r>
      <w:r>
        <w:rPr>
          <w:rFonts w:hint="eastAsia"/>
          <w:lang w:val="en-US" w:eastAsia="zh-CN"/>
        </w:rPr>
        <w:t>交付经理、</w:t>
      </w:r>
      <w:r>
        <w:t>技术负责人、研发</w:t>
      </w:r>
      <w:r>
        <w:rPr>
          <w:rFonts w:hint="eastAsia"/>
          <w:lang w:val="en-US" w:eastAsia="zh-CN"/>
        </w:rPr>
        <w:t>和实施工程师</w:t>
      </w:r>
      <w:r>
        <w:t>等）</w:t>
      </w:r>
      <w:r>
        <w:rPr>
          <w:rFonts w:hint="eastAsia"/>
        </w:rPr>
        <w:t>，需要至少保障</w:t>
      </w:r>
      <w:r>
        <w:rPr>
          <w:rFonts w:hint="eastAsia"/>
          <w:lang w:val="en-US" w:eastAsia="zh-CN"/>
        </w:rPr>
        <w:t>1</w:t>
      </w:r>
      <w:r>
        <w:rPr>
          <w:rFonts w:hint="eastAsia"/>
        </w:rPr>
        <w:t>人常驻项目现场。</w:t>
      </w:r>
      <w:r>
        <w:rPr>
          <w:rFonts w:hint="eastAsia"/>
          <w:lang w:eastAsia="zh-CN"/>
        </w:rPr>
        <w:t>供应商</w:t>
      </w:r>
      <w:r>
        <w:t>的相关服务人员需具备相应的服务能力，需提供相关证明（最近一个季度依法缴纳社保费的证明）。</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0"/>
        <w:gridCol w:w="1606"/>
        <w:gridCol w:w="1307"/>
        <w:gridCol w:w="2197"/>
        <w:gridCol w:w="1242"/>
      </w:tblGrid>
      <w:tr w14:paraId="09822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blHeader/>
          <w:jc w:val="center"/>
        </w:trPr>
        <w:tc>
          <w:tcPr>
            <w:tcW w:w="1950" w:type="dxa"/>
            <w:noWrap/>
            <w:vAlign w:val="center"/>
          </w:tcPr>
          <w:p w14:paraId="18F93701">
            <w:pPr>
              <w:widowControl/>
              <w:spacing w:line="240" w:lineRule="auto"/>
              <w:ind w:firstLine="0" w:firstLineChars="0"/>
              <w:jc w:val="center"/>
              <w:rPr>
                <w:rFonts w:hint="eastAsia" w:cs="宋体"/>
                <w:b/>
                <w:bCs/>
                <w:color w:val="000000"/>
                <w:kern w:val="0"/>
                <w:sz w:val="22"/>
                <w:szCs w:val="22"/>
              </w:rPr>
            </w:pPr>
            <w:r>
              <w:rPr>
                <w:rFonts w:hint="eastAsia" w:cs="宋体"/>
                <w:b/>
                <w:bCs/>
                <w:color w:val="000000"/>
                <w:kern w:val="0"/>
                <w:sz w:val="22"/>
                <w:szCs w:val="22"/>
              </w:rPr>
              <w:t>角色</w:t>
            </w:r>
          </w:p>
        </w:tc>
        <w:tc>
          <w:tcPr>
            <w:tcW w:w="1606" w:type="dxa"/>
            <w:noWrap/>
            <w:vAlign w:val="center"/>
          </w:tcPr>
          <w:p w14:paraId="2BBFDB96">
            <w:pPr>
              <w:widowControl/>
              <w:spacing w:line="240" w:lineRule="auto"/>
              <w:ind w:firstLine="0" w:firstLineChars="0"/>
              <w:jc w:val="center"/>
              <w:rPr>
                <w:rFonts w:hint="eastAsia" w:cs="宋体"/>
                <w:b/>
                <w:bCs/>
                <w:color w:val="000000"/>
                <w:kern w:val="0"/>
                <w:sz w:val="22"/>
                <w:szCs w:val="22"/>
              </w:rPr>
            </w:pPr>
            <w:r>
              <w:rPr>
                <w:rFonts w:hint="eastAsia" w:cs="宋体"/>
                <w:b/>
                <w:bCs/>
                <w:color w:val="000000"/>
                <w:kern w:val="0"/>
                <w:sz w:val="22"/>
                <w:szCs w:val="22"/>
              </w:rPr>
              <w:t>主要职责</w:t>
            </w:r>
          </w:p>
        </w:tc>
        <w:tc>
          <w:tcPr>
            <w:tcW w:w="1307" w:type="dxa"/>
            <w:noWrap/>
            <w:vAlign w:val="center"/>
          </w:tcPr>
          <w:p w14:paraId="7A57C222">
            <w:pPr>
              <w:widowControl/>
              <w:spacing w:line="240" w:lineRule="auto"/>
              <w:ind w:firstLine="0" w:firstLineChars="0"/>
              <w:jc w:val="center"/>
              <w:rPr>
                <w:rFonts w:hint="eastAsia" w:cs="宋体"/>
                <w:b/>
                <w:bCs/>
                <w:color w:val="000000"/>
                <w:kern w:val="0"/>
                <w:sz w:val="22"/>
                <w:szCs w:val="22"/>
              </w:rPr>
            </w:pPr>
            <w:r>
              <w:rPr>
                <w:rFonts w:hint="eastAsia" w:cs="宋体"/>
                <w:b/>
                <w:bCs/>
                <w:color w:val="000000"/>
                <w:kern w:val="0"/>
                <w:sz w:val="22"/>
                <w:szCs w:val="22"/>
              </w:rPr>
              <w:t>人员数量</w:t>
            </w:r>
          </w:p>
        </w:tc>
        <w:tc>
          <w:tcPr>
            <w:tcW w:w="2197" w:type="dxa"/>
            <w:vAlign w:val="center"/>
          </w:tcPr>
          <w:p w14:paraId="13BF9ED8">
            <w:pPr>
              <w:widowControl/>
              <w:spacing w:line="240" w:lineRule="auto"/>
              <w:ind w:firstLine="0" w:firstLineChars="0"/>
              <w:jc w:val="center"/>
              <w:rPr>
                <w:rFonts w:hint="eastAsia" w:cs="宋体"/>
                <w:b/>
                <w:bCs/>
                <w:color w:val="000000"/>
                <w:kern w:val="0"/>
                <w:sz w:val="22"/>
                <w:szCs w:val="22"/>
              </w:rPr>
            </w:pPr>
            <w:r>
              <w:rPr>
                <w:rFonts w:hint="eastAsia" w:cs="宋体"/>
                <w:b/>
                <w:bCs/>
                <w:color w:val="000000"/>
                <w:kern w:val="0"/>
                <w:sz w:val="22"/>
                <w:szCs w:val="22"/>
              </w:rPr>
              <w:t>人员要求</w:t>
            </w:r>
          </w:p>
        </w:tc>
        <w:tc>
          <w:tcPr>
            <w:tcW w:w="1242" w:type="dxa"/>
            <w:noWrap/>
            <w:vAlign w:val="center"/>
          </w:tcPr>
          <w:p w14:paraId="393D8E20">
            <w:pPr>
              <w:widowControl/>
              <w:spacing w:line="240" w:lineRule="auto"/>
              <w:ind w:firstLine="0" w:firstLineChars="0"/>
              <w:jc w:val="center"/>
              <w:rPr>
                <w:rFonts w:hint="eastAsia" w:cs="宋体"/>
                <w:b/>
                <w:bCs/>
                <w:color w:val="000000"/>
                <w:kern w:val="0"/>
                <w:sz w:val="22"/>
                <w:szCs w:val="22"/>
              </w:rPr>
            </w:pPr>
            <w:r>
              <w:rPr>
                <w:rFonts w:hint="eastAsia" w:cs="宋体"/>
                <w:b/>
                <w:bCs/>
                <w:color w:val="000000"/>
                <w:kern w:val="0"/>
                <w:sz w:val="22"/>
                <w:szCs w:val="22"/>
              </w:rPr>
              <w:t>驻场要求</w:t>
            </w:r>
          </w:p>
        </w:tc>
      </w:tr>
      <w:tr w14:paraId="77650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950" w:type="dxa"/>
            <w:noWrap/>
            <w:vAlign w:val="center"/>
          </w:tcPr>
          <w:p w14:paraId="619DD384">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交付经理</w:t>
            </w:r>
          </w:p>
        </w:tc>
        <w:tc>
          <w:tcPr>
            <w:tcW w:w="1606" w:type="dxa"/>
            <w:vAlign w:val="center"/>
          </w:tcPr>
          <w:p w14:paraId="7EC85F58">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负责项目维护的交付管理</w:t>
            </w:r>
          </w:p>
        </w:tc>
        <w:tc>
          <w:tcPr>
            <w:tcW w:w="1307" w:type="dxa"/>
            <w:noWrap/>
            <w:vAlign w:val="center"/>
          </w:tcPr>
          <w:p w14:paraId="67FE9E7D">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1人</w:t>
            </w:r>
          </w:p>
        </w:tc>
        <w:tc>
          <w:tcPr>
            <w:tcW w:w="2197" w:type="dxa"/>
            <w:vAlign w:val="center"/>
          </w:tcPr>
          <w:p w14:paraId="2E13146D">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具备</w:t>
            </w:r>
            <w:r>
              <w:rPr>
                <w:rFonts w:cs="宋体"/>
                <w:color w:val="000000"/>
                <w:kern w:val="0"/>
                <w:sz w:val="21"/>
                <w:szCs w:val="21"/>
              </w:rPr>
              <w:t>信息系统项目</w:t>
            </w:r>
            <w:r>
              <w:rPr>
                <w:rFonts w:hint="eastAsia" w:cs="宋体"/>
                <w:color w:val="000000"/>
                <w:kern w:val="0"/>
                <w:sz w:val="21"/>
                <w:szCs w:val="21"/>
              </w:rPr>
              <w:t>维护交付</w:t>
            </w:r>
            <w:r>
              <w:rPr>
                <w:rFonts w:cs="宋体"/>
                <w:color w:val="000000"/>
                <w:kern w:val="0"/>
                <w:sz w:val="21"/>
                <w:szCs w:val="21"/>
              </w:rPr>
              <w:t>管理</w:t>
            </w:r>
            <w:r>
              <w:rPr>
                <w:rFonts w:hint="eastAsia" w:cs="宋体"/>
                <w:color w:val="000000"/>
                <w:kern w:val="0"/>
                <w:sz w:val="21"/>
                <w:szCs w:val="21"/>
              </w:rPr>
              <w:t>经验</w:t>
            </w:r>
          </w:p>
        </w:tc>
        <w:tc>
          <w:tcPr>
            <w:tcW w:w="1242" w:type="dxa"/>
            <w:noWrap/>
            <w:vAlign w:val="center"/>
          </w:tcPr>
          <w:p w14:paraId="2D036C78">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驻场</w:t>
            </w:r>
          </w:p>
        </w:tc>
      </w:tr>
      <w:tr w14:paraId="0272B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950" w:type="dxa"/>
            <w:noWrap/>
            <w:vAlign w:val="center"/>
          </w:tcPr>
          <w:p w14:paraId="7ABF67FA">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技术负责人</w:t>
            </w:r>
          </w:p>
        </w:tc>
        <w:tc>
          <w:tcPr>
            <w:tcW w:w="1606" w:type="dxa"/>
            <w:vAlign w:val="center"/>
          </w:tcPr>
          <w:p w14:paraId="1C04D9EF">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负责项目技术维护指导</w:t>
            </w:r>
          </w:p>
        </w:tc>
        <w:tc>
          <w:tcPr>
            <w:tcW w:w="1307" w:type="dxa"/>
            <w:noWrap/>
            <w:vAlign w:val="center"/>
          </w:tcPr>
          <w:p w14:paraId="01295FE6">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1人</w:t>
            </w:r>
          </w:p>
        </w:tc>
        <w:tc>
          <w:tcPr>
            <w:tcW w:w="2197" w:type="dxa"/>
            <w:vAlign w:val="center"/>
          </w:tcPr>
          <w:p w14:paraId="2B50A544">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具备</w:t>
            </w:r>
            <w:r>
              <w:rPr>
                <w:rFonts w:cs="宋体"/>
                <w:color w:val="000000"/>
                <w:kern w:val="0"/>
                <w:sz w:val="21"/>
                <w:szCs w:val="21"/>
              </w:rPr>
              <w:t>类似项目</w:t>
            </w:r>
            <w:r>
              <w:rPr>
                <w:rFonts w:hint="eastAsia" w:cs="宋体"/>
                <w:color w:val="000000"/>
                <w:kern w:val="0"/>
                <w:sz w:val="21"/>
                <w:szCs w:val="21"/>
              </w:rPr>
              <w:t>技术</w:t>
            </w:r>
            <w:r>
              <w:rPr>
                <w:rFonts w:cs="宋体"/>
                <w:color w:val="000000"/>
                <w:kern w:val="0"/>
                <w:sz w:val="21"/>
                <w:szCs w:val="21"/>
              </w:rPr>
              <w:t>维护</w:t>
            </w:r>
            <w:r>
              <w:rPr>
                <w:rFonts w:hint="eastAsia" w:cs="宋体"/>
                <w:color w:val="000000"/>
                <w:kern w:val="0"/>
                <w:sz w:val="21"/>
                <w:szCs w:val="21"/>
              </w:rPr>
              <w:t>指导</w:t>
            </w:r>
            <w:r>
              <w:rPr>
                <w:rFonts w:cs="宋体"/>
                <w:color w:val="000000"/>
                <w:kern w:val="0"/>
                <w:sz w:val="21"/>
                <w:szCs w:val="21"/>
              </w:rPr>
              <w:t>经验</w:t>
            </w:r>
          </w:p>
        </w:tc>
        <w:tc>
          <w:tcPr>
            <w:tcW w:w="1242" w:type="dxa"/>
            <w:noWrap/>
            <w:vAlign w:val="center"/>
          </w:tcPr>
          <w:p w14:paraId="4FE0E9B6">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不驻场</w:t>
            </w:r>
          </w:p>
        </w:tc>
      </w:tr>
      <w:tr w14:paraId="2CF8B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950" w:type="dxa"/>
            <w:noWrap/>
            <w:vAlign w:val="center"/>
          </w:tcPr>
          <w:p w14:paraId="07277626">
            <w:pPr>
              <w:widowControl/>
              <w:spacing w:line="240" w:lineRule="auto"/>
              <w:ind w:firstLine="0" w:firstLineChars="0"/>
              <w:jc w:val="center"/>
              <w:rPr>
                <w:rFonts w:hint="eastAsia" w:cs="宋体"/>
                <w:color w:val="000000"/>
                <w:kern w:val="0"/>
                <w:sz w:val="21"/>
                <w:szCs w:val="21"/>
              </w:rPr>
            </w:pPr>
            <w:r>
              <w:rPr>
                <w:rFonts w:cs="宋体"/>
                <w:color w:val="000000"/>
                <w:kern w:val="0"/>
                <w:sz w:val="21"/>
                <w:szCs w:val="21"/>
              </w:rPr>
              <w:t>研发工程师</w:t>
            </w:r>
            <w:r>
              <w:rPr>
                <w:rFonts w:hint="eastAsia" w:cs="宋体"/>
                <w:color w:val="000000"/>
                <w:kern w:val="0"/>
                <w:sz w:val="21"/>
                <w:szCs w:val="21"/>
              </w:rPr>
              <w:t>、</w:t>
            </w:r>
          </w:p>
          <w:p w14:paraId="0FEC3B58">
            <w:pPr>
              <w:widowControl/>
              <w:spacing w:line="240" w:lineRule="auto"/>
              <w:ind w:firstLine="0" w:firstLineChars="0"/>
              <w:jc w:val="center"/>
              <w:rPr>
                <w:rFonts w:hint="eastAsia" w:cs="宋体"/>
                <w:color w:val="000000"/>
                <w:kern w:val="0"/>
                <w:sz w:val="21"/>
                <w:szCs w:val="21"/>
              </w:rPr>
            </w:pPr>
            <w:r>
              <w:rPr>
                <w:rFonts w:cs="宋体"/>
                <w:color w:val="000000"/>
                <w:kern w:val="0"/>
                <w:sz w:val="21"/>
                <w:szCs w:val="21"/>
              </w:rPr>
              <w:t>实施工程师</w:t>
            </w:r>
          </w:p>
        </w:tc>
        <w:tc>
          <w:tcPr>
            <w:tcW w:w="1606" w:type="dxa"/>
            <w:noWrap/>
            <w:vAlign w:val="center"/>
          </w:tcPr>
          <w:p w14:paraId="74AD5787">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负责项目运行维护</w:t>
            </w:r>
          </w:p>
        </w:tc>
        <w:tc>
          <w:tcPr>
            <w:tcW w:w="1307" w:type="dxa"/>
            <w:noWrap/>
            <w:vAlign w:val="center"/>
          </w:tcPr>
          <w:p w14:paraId="3903CC51">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不少于</w:t>
            </w:r>
            <w:r>
              <w:rPr>
                <w:rFonts w:hint="eastAsia" w:cs="宋体"/>
                <w:color w:val="000000"/>
                <w:kern w:val="0"/>
                <w:sz w:val="21"/>
                <w:szCs w:val="21"/>
                <w:lang w:val="en-US" w:eastAsia="zh-CN"/>
              </w:rPr>
              <w:t>1</w:t>
            </w:r>
            <w:r>
              <w:rPr>
                <w:rFonts w:hint="eastAsia" w:cs="宋体"/>
                <w:color w:val="000000"/>
                <w:kern w:val="0"/>
                <w:sz w:val="21"/>
                <w:szCs w:val="21"/>
              </w:rPr>
              <w:t>人</w:t>
            </w:r>
          </w:p>
        </w:tc>
        <w:tc>
          <w:tcPr>
            <w:tcW w:w="2197" w:type="dxa"/>
            <w:vAlign w:val="center"/>
          </w:tcPr>
          <w:p w14:paraId="61C221CE">
            <w:pPr>
              <w:widowControl/>
              <w:spacing w:line="240" w:lineRule="auto"/>
              <w:ind w:firstLine="0" w:firstLineChars="0"/>
              <w:jc w:val="center"/>
              <w:rPr>
                <w:rFonts w:hint="eastAsia" w:cs="宋体"/>
                <w:color w:val="000000"/>
                <w:kern w:val="0"/>
                <w:sz w:val="21"/>
                <w:szCs w:val="21"/>
              </w:rPr>
            </w:pPr>
            <w:r>
              <w:rPr>
                <w:rFonts w:cs="宋体"/>
                <w:color w:val="000000"/>
                <w:kern w:val="0"/>
                <w:sz w:val="21"/>
                <w:szCs w:val="21"/>
              </w:rPr>
              <w:t>具备类似项目维护经验</w:t>
            </w:r>
          </w:p>
        </w:tc>
        <w:tc>
          <w:tcPr>
            <w:tcW w:w="1242" w:type="dxa"/>
            <w:noWrap/>
            <w:vAlign w:val="center"/>
          </w:tcPr>
          <w:p w14:paraId="6F97C8A1">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部分驻场</w:t>
            </w:r>
          </w:p>
        </w:tc>
      </w:tr>
    </w:tbl>
    <w:p w14:paraId="5DBC911E">
      <w:pPr>
        <w:pStyle w:val="3"/>
        <w:rPr>
          <w:rFonts w:hint="eastAsia"/>
        </w:rPr>
      </w:pPr>
      <w:r>
        <w:t>等级保护要求</w:t>
      </w:r>
      <w:bookmarkEnd w:id="28"/>
    </w:p>
    <w:p w14:paraId="26181327">
      <w:pPr>
        <w:rPr>
          <w:rFonts w:hint="eastAsia"/>
        </w:rPr>
      </w:pPr>
      <w:r>
        <w:rPr>
          <w:rFonts w:hint="eastAsia"/>
        </w:rPr>
        <w:t>本项目属于具有政务信息系统建设，应满足三级等保的安全规范要求。供应商应配合第三方测评机构完成等保测评工作。</w:t>
      </w:r>
    </w:p>
    <w:p w14:paraId="04A37E30">
      <w:pPr>
        <w:pStyle w:val="3"/>
        <w:rPr>
          <w:rFonts w:hint="eastAsia"/>
        </w:rPr>
      </w:pPr>
      <w:r>
        <w:rPr>
          <w:rFonts w:hint="eastAsia"/>
        </w:rPr>
        <w:t>商业密码应用需求</w:t>
      </w:r>
    </w:p>
    <w:p w14:paraId="0F2CA1B3">
      <w:pPr>
        <w:rPr>
          <w:rFonts w:hint="eastAsia"/>
        </w:rPr>
      </w:pPr>
      <w:r>
        <w:rPr>
          <w:rFonts w:hint="eastAsia"/>
          <w:lang w:eastAsia="zh-CN"/>
        </w:rPr>
        <w:t>供应商</w:t>
      </w:r>
      <w:r>
        <w:rPr>
          <w:rFonts w:hint="eastAsia"/>
        </w:rPr>
        <w:t>应当在系统安设中根据密码应用要求，定制用户身份认证机制、对重要数据传输进行加密、记录用户登录访问日志</w:t>
      </w:r>
      <w:r>
        <w:t>、</w:t>
      </w:r>
      <w:r>
        <w:rPr>
          <w:rFonts w:hint="eastAsia"/>
        </w:rPr>
        <w:t>对涉及个人敏感需要引入</w:t>
      </w:r>
      <w:r>
        <w:t>数据加解密模块。</w:t>
      </w:r>
    </w:p>
    <w:p w14:paraId="3E441496">
      <w:pPr>
        <w:rPr>
          <w:rFonts w:hint="eastAsia"/>
        </w:rPr>
      </w:pPr>
      <w:r>
        <w:rPr>
          <w:rFonts w:hint="eastAsia"/>
        </w:rPr>
        <w:t>依据GB/T39786—2021《信息安全技术信息系统密码应用基本要求》，结合本系统风险控制需求分析结果，本系统的主要密码应用需求包括如下：</w:t>
      </w:r>
    </w:p>
    <w:tbl>
      <w:tblPr>
        <w:tblStyle w:val="35"/>
        <w:tblW w:w="8560" w:type="dxa"/>
        <w:tblInd w:w="0" w:type="dxa"/>
        <w:tblLayout w:type="autofit"/>
        <w:tblCellMar>
          <w:top w:w="0" w:type="dxa"/>
          <w:left w:w="108" w:type="dxa"/>
          <w:bottom w:w="0" w:type="dxa"/>
          <w:right w:w="108" w:type="dxa"/>
        </w:tblCellMar>
      </w:tblPr>
      <w:tblGrid>
        <w:gridCol w:w="820"/>
        <w:gridCol w:w="2009"/>
        <w:gridCol w:w="5731"/>
      </w:tblGrid>
      <w:tr w14:paraId="0323E226">
        <w:tblPrEx>
          <w:tblCellMar>
            <w:top w:w="0" w:type="dxa"/>
            <w:left w:w="108" w:type="dxa"/>
            <w:bottom w:w="0" w:type="dxa"/>
            <w:right w:w="108" w:type="dxa"/>
          </w:tblCellMar>
        </w:tblPrEx>
        <w:trPr>
          <w:trHeight w:val="552" w:hRule="atLeast"/>
        </w:trPr>
        <w:tc>
          <w:tcPr>
            <w:tcW w:w="820" w:type="dxa"/>
            <w:tcBorders>
              <w:top w:val="single" w:color="000000" w:sz="4" w:space="0"/>
              <w:left w:val="single" w:color="000000" w:sz="4" w:space="0"/>
              <w:bottom w:val="single" w:color="000000" w:sz="4" w:space="0"/>
              <w:right w:val="single" w:color="000000" w:sz="4" w:space="0"/>
            </w:tcBorders>
            <w:vAlign w:val="center"/>
          </w:tcPr>
          <w:p w14:paraId="54D6A00C">
            <w:pPr>
              <w:widowControl/>
              <w:spacing w:line="240" w:lineRule="auto"/>
              <w:ind w:firstLine="0" w:firstLineChars="0"/>
              <w:jc w:val="center"/>
              <w:rPr>
                <w:rFonts w:hint="eastAsia"/>
                <w:b/>
                <w:sz w:val="21"/>
                <w:szCs w:val="21"/>
              </w:rPr>
            </w:pPr>
            <w:r>
              <w:rPr>
                <w:rFonts w:hint="eastAsia"/>
                <w:b/>
                <w:sz w:val="21"/>
                <w:szCs w:val="21"/>
              </w:rPr>
              <w:t>序号</w:t>
            </w:r>
          </w:p>
        </w:tc>
        <w:tc>
          <w:tcPr>
            <w:tcW w:w="2009" w:type="dxa"/>
            <w:tcBorders>
              <w:top w:val="single" w:color="000000" w:sz="4" w:space="0"/>
              <w:left w:val="nil"/>
              <w:bottom w:val="single" w:color="000000" w:sz="4" w:space="0"/>
              <w:right w:val="single" w:color="000000" w:sz="4" w:space="0"/>
            </w:tcBorders>
            <w:vAlign w:val="center"/>
          </w:tcPr>
          <w:p w14:paraId="48C6D93B">
            <w:pPr>
              <w:widowControl/>
              <w:spacing w:line="240" w:lineRule="auto"/>
              <w:ind w:firstLine="0" w:firstLineChars="0"/>
              <w:jc w:val="center"/>
              <w:rPr>
                <w:rFonts w:hint="eastAsia"/>
                <w:b/>
                <w:sz w:val="21"/>
                <w:szCs w:val="21"/>
              </w:rPr>
            </w:pPr>
            <w:r>
              <w:rPr>
                <w:rFonts w:hint="eastAsia"/>
                <w:b/>
                <w:sz w:val="21"/>
                <w:szCs w:val="21"/>
              </w:rPr>
              <w:t>功能名称</w:t>
            </w:r>
          </w:p>
        </w:tc>
        <w:tc>
          <w:tcPr>
            <w:tcW w:w="5731" w:type="dxa"/>
            <w:tcBorders>
              <w:top w:val="single" w:color="000000" w:sz="4" w:space="0"/>
              <w:left w:val="nil"/>
              <w:bottom w:val="single" w:color="000000" w:sz="4" w:space="0"/>
              <w:right w:val="single" w:color="000000" w:sz="4" w:space="0"/>
            </w:tcBorders>
            <w:vAlign w:val="center"/>
          </w:tcPr>
          <w:p w14:paraId="0F88835B">
            <w:pPr>
              <w:widowControl/>
              <w:spacing w:line="240" w:lineRule="auto"/>
              <w:ind w:firstLine="0" w:firstLineChars="0"/>
              <w:jc w:val="center"/>
              <w:rPr>
                <w:rFonts w:hint="eastAsia"/>
                <w:b/>
                <w:sz w:val="21"/>
                <w:szCs w:val="21"/>
              </w:rPr>
            </w:pPr>
            <w:r>
              <w:rPr>
                <w:rFonts w:hint="eastAsia"/>
                <w:b/>
                <w:sz w:val="21"/>
                <w:szCs w:val="21"/>
              </w:rPr>
              <w:t>功能描述</w:t>
            </w:r>
          </w:p>
        </w:tc>
      </w:tr>
      <w:tr w14:paraId="06CDF2C2">
        <w:tblPrEx>
          <w:tblCellMar>
            <w:top w:w="0" w:type="dxa"/>
            <w:left w:w="108" w:type="dxa"/>
            <w:bottom w:w="0" w:type="dxa"/>
            <w:right w:w="108" w:type="dxa"/>
          </w:tblCellMar>
        </w:tblPrEx>
        <w:trPr>
          <w:trHeight w:val="276" w:hRule="atLeast"/>
        </w:trPr>
        <w:tc>
          <w:tcPr>
            <w:tcW w:w="820" w:type="dxa"/>
            <w:tcBorders>
              <w:top w:val="nil"/>
              <w:left w:val="single" w:color="000000" w:sz="4" w:space="0"/>
              <w:bottom w:val="single" w:color="000000" w:sz="4" w:space="0"/>
              <w:right w:val="single" w:color="000000" w:sz="4" w:space="0"/>
            </w:tcBorders>
            <w:vAlign w:val="center"/>
          </w:tcPr>
          <w:p w14:paraId="12A7861A">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1</w:t>
            </w:r>
          </w:p>
        </w:tc>
        <w:tc>
          <w:tcPr>
            <w:tcW w:w="2009" w:type="dxa"/>
            <w:tcBorders>
              <w:top w:val="single" w:color="000000" w:sz="4" w:space="0"/>
              <w:left w:val="nil"/>
              <w:bottom w:val="single" w:color="000000" w:sz="4" w:space="0"/>
              <w:right w:val="single" w:color="000000" w:sz="4" w:space="0"/>
            </w:tcBorders>
            <w:vAlign w:val="center"/>
          </w:tcPr>
          <w:p w14:paraId="3FD05310">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用户身份认证机制模块</w:t>
            </w:r>
          </w:p>
        </w:tc>
        <w:tc>
          <w:tcPr>
            <w:tcW w:w="5731" w:type="dxa"/>
            <w:tcBorders>
              <w:top w:val="single" w:color="000000" w:sz="4" w:space="0"/>
              <w:left w:val="nil"/>
              <w:bottom w:val="single" w:color="000000" w:sz="4" w:space="0"/>
              <w:right w:val="single" w:color="000000" w:sz="4" w:space="0"/>
            </w:tcBorders>
            <w:vAlign w:val="center"/>
          </w:tcPr>
          <w:p w14:paraId="360F5F76">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调用云平台提供的安全认证网关服务接口，并在移动终端部署用户证书、服务端部署站点证书，绑定应用用户数字证书和应用用户ID，实现对移动终端和服务端身份的鉴别</w:t>
            </w:r>
          </w:p>
        </w:tc>
      </w:tr>
      <w:tr w14:paraId="3F298A98">
        <w:tblPrEx>
          <w:tblCellMar>
            <w:top w:w="0" w:type="dxa"/>
            <w:left w:w="108" w:type="dxa"/>
            <w:bottom w:w="0" w:type="dxa"/>
            <w:right w:w="108" w:type="dxa"/>
          </w:tblCellMar>
        </w:tblPrEx>
        <w:trPr>
          <w:trHeight w:val="276" w:hRule="atLeast"/>
        </w:trPr>
        <w:tc>
          <w:tcPr>
            <w:tcW w:w="820" w:type="dxa"/>
            <w:tcBorders>
              <w:top w:val="nil"/>
              <w:left w:val="single" w:color="000000" w:sz="4" w:space="0"/>
              <w:bottom w:val="single" w:color="000000" w:sz="4" w:space="0"/>
              <w:right w:val="single" w:color="000000" w:sz="4" w:space="0"/>
            </w:tcBorders>
            <w:vAlign w:val="center"/>
          </w:tcPr>
          <w:p w14:paraId="25E6BB7E">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2</w:t>
            </w:r>
          </w:p>
        </w:tc>
        <w:tc>
          <w:tcPr>
            <w:tcW w:w="2009" w:type="dxa"/>
            <w:tcBorders>
              <w:top w:val="single" w:color="000000" w:sz="4" w:space="0"/>
              <w:left w:val="nil"/>
              <w:bottom w:val="single" w:color="000000" w:sz="4" w:space="0"/>
              <w:right w:val="single" w:color="000000" w:sz="4" w:space="0"/>
            </w:tcBorders>
            <w:vAlign w:val="center"/>
          </w:tcPr>
          <w:p w14:paraId="1FB3A166">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重要数据安全传输模块</w:t>
            </w:r>
          </w:p>
        </w:tc>
        <w:tc>
          <w:tcPr>
            <w:tcW w:w="5731" w:type="dxa"/>
            <w:tcBorders>
              <w:top w:val="single" w:color="000000" w:sz="4" w:space="0"/>
              <w:left w:val="nil"/>
              <w:bottom w:val="single" w:color="000000" w:sz="4" w:space="0"/>
              <w:right w:val="single" w:color="000000" w:sz="4" w:space="0"/>
            </w:tcBorders>
            <w:vAlign w:val="center"/>
          </w:tcPr>
          <w:p w14:paraId="49438A9D">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调用云平台提供的安全认证网关服务接口，实现应用系统通信数据的机密性和完整性保护</w:t>
            </w:r>
          </w:p>
        </w:tc>
      </w:tr>
      <w:tr w14:paraId="5B96EEA7">
        <w:tblPrEx>
          <w:tblCellMar>
            <w:top w:w="0" w:type="dxa"/>
            <w:left w:w="108" w:type="dxa"/>
            <w:bottom w:w="0" w:type="dxa"/>
            <w:right w:w="108" w:type="dxa"/>
          </w:tblCellMar>
        </w:tblPrEx>
        <w:trPr>
          <w:trHeight w:val="276" w:hRule="atLeast"/>
        </w:trPr>
        <w:tc>
          <w:tcPr>
            <w:tcW w:w="820" w:type="dxa"/>
            <w:tcBorders>
              <w:top w:val="nil"/>
              <w:left w:val="single" w:color="000000" w:sz="4" w:space="0"/>
              <w:bottom w:val="single" w:color="000000" w:sz="4" w:space="0"/>
              <w:right w:val="single" w:color="000000" w:sz="4" w:space="0"/>
            </w:tcBorders>
            <w:vAlign w:val="center"/>
          </w:tcPr>
          <w:p w14:paraId="37B6AFBA">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3</w:t>
            </w:r>
          </w:p>
        </w:tc>
        <w:tc>
          <w:tcPr>
            <w:tcW w:w="2009" w:type="dxa"/>
            <w:tcBorders>
              <w:top w:val="single" w:color="000000" w:sz="4" w:space="0"/>
              <w:left w:val="nil"/>
              <w:bottom w:val="single" w:color="000000" w:sz="4" w:space="0"/>
              <w:right w:val="single" w:color="000000" w:sz="4" w:space="0"/>
            </w:tcBorders>
            <w:vAlign w:val="center"/>
          </w:tcPr>
          <w:p w14:paraId="7680497C">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服务器虚拟机设备日志/访问控制信息完整性模块</w:t>
            </w:r>
          </w:p>
        </w:tc>
        <w:tc>
          <w:tcPr>
            <w:tcW w:w="5731" w:type="dxa"/>
            <w:tcBorders>
              <w:top w:val="single" w:color="000000" w:sz="4" w:space="0"/>
              <w:left w:val="nil"/>
              <w:bottom w:val="single" w:color="000000" w:sz="4" w:space="0"/>
              <w:right w:val="single" w:color="000000" w:sz="4" w:space="0"/>
            </w:tcBorders>
            <w:vAlign w:val="center"/>
          </w:tcPr>
          <w:p w14:paraId="32900EDC">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调用云平台提供的签名验签服务接口，实现应用服务器虚拟机、数据库服务器虚拟机等设备日志/访问控制信息的完整性保护</w:t>
            </w:r>
          </w:p>
        </w:tc>
      </w:tr>
      <w:tr w14:paraId="21745FD9">
        <w:tblPrEx>
          <w:tblCellMar>
            <w:top w:w="0" w:type="dxa"/>
            <w:left w:w="108" w:type="dxa"/>
            <w:bottom w:w="0" w:type="dxa"/>
            <w:right w:w="108" w:type="dxa"/>
          </w:tblCellMar>
        </w:tblPrEx>
        <w:trPr>
          <w:trHeight w:val="276" w:hRule="atLeast"/>
        </w:trPr>
        <w:tc>
          <w:tcPr>
            <w:tcW w:w="820" w:type="dxa"/>
            <w:tcBorders>
              <w:top w:val="nil"/>
              <w:left w:val="single" w:color="000000" w:sz="4" w:space="0"/>
              <w:bottom w:val="single" w:color="auto" w:sz="4" w:space="0"/>
              <w:right w:val="single" w:color="000000" w:sz="4" w:space="0"/>
            </w:tcBorders>
            <w:vAlign w:val="center"/>
          </w:tcPr>
          <w:p w14:paraId="484E699D">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4</w:t>
            </w:r>
          </w:p>
        </w:tc>
        <w:tc>
          <w:tcPr>
            <w:tcW w:w="2009" w:type="dxa"/>
            <w:tcBorders>
              <w:top w:val="single" w:color="000000" w:sz="4" w:space="0"/>
              <w:left w:val="nil"/>
              <w:bottom w:val="single" w:color="auto" w:sz="4" w:space="0"/>
              <w:right w:val="single" w:color="000000" w:sz="4" w:space="0"/>
            </w:tcBorders>
            <w:vAlign w:val="center"/>
          </w:tcPr>
          <w:p w14:paraId="033689ED">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重要可执行程序签名验签模块</w:t>
            </w:r>
          </w:p>
        </w:tc>
        <w:tc>
          <w:tcPr>
            <w:tcW w:w="5731" w:type="dxa"/>
            <w:tcBorders>
              <w:top w:val="single" w:color="000000" w:sz="4" w:space="0"/>
              <w:left w:val="nil"/>
              <w:bottom w:val="single" w:color="auto" w:sz="4" w:space="0"/>
              <w:right w:val="single" w:color="000000" w:sz="4" w:space="0"/>
            </w:tcBorders>
            <w:vAlign w:val="center"/>
          </w:tcPr>
          <w:p w14:paraId="5E55ED10">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调用云平台提供的签名验签服务接口，实现重要可执行程序的完整性、来源真实性保护</w:t>
            </w:r>
          </w:p>
        </w:tc>
      </w:tr>
      <w:tr w14:paraId="4130D1B6">
        <w:tblPrEx>
          <w:tblCellMar>
            <w:top w:w="0" w:type="dxa"/>
            <w:left w:w="108" w:type="dxa"/>
            <w:bottom w:w="0" w:type="dxa"/>
            <w:right w:w="108" w:type="dxa"/>
          </w:tblCellMar>
        </w:tblPrEx>
        <w:trPr>
          <w:trHeight w:val="276" w:hRule="atLeast"/>
        </w:trPr>
        <w:tc>
          <w:tcPr>
            <w:tcW w:w="820" w:type="dxa"/>
            <w:tcBorders>
              <w:top w:val="single" w:color="auto" w:sz="4" w:space="0"/>
              <w:left w:val="single" w:color="auto" w:sz="4" w:space="0"/>
              <w:bottom w:val="single" w:color="auto" w:sz="4" w:space="0"/>
              <w:right w:val="single" w:color="auto" w:sz="4" w:space="0"/>
            </w:tcBorders>
            <w:vAlign w:val="center"/>
          </w:tcPr>
          <w:p w14:paraId="088DDAEE">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5</w:t>
            </w:r>
          </w:p>
        </w:tc>
        <w:tc>
          <w:tcPr>
            <w:tcW w:w="2009" w:type="dxa"/>
            <w:tcBorders>
              <w:top w:val="single" w:color="auto" w:sz="4" w:space="0"/>
              <w:left w:val="single" w:color="auto" w:sz="4" w:space="0"/>
              <w:bottom w:val="single" w:color="auto" w:sz="4" w:space="0"/>
              <w:right w:val="single" w:color="auto" w:sz="4" w:space="0"/>
            </w:tcBorders>
            <w:vAlign w:val="center"/>
          </w:tcPr>
          <w:p w14:paraId="4514A0CC">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用户访问控制信息签名验签模块</w:t>
            </w:r>
          </w:p>
        </w:tc>
        <w:tc>
          <w:tcPr>
            <w:tcW w:w="5731" w:type="dxa"/>
            <w:tcBorders>
              <w:top w:val="single" w:color="auto" w:sz="4" w:space="0"/>
              <w:left w:val="single" w:color="auto" w:sz="4" w:space="0"/>
              <w:bottom w:val="single" w:color="auto" w:sz="4" w:space="0"/>
              <w:right w:val="single" w:color="auto" w:sz="4" w:space="0"/>
            </w:tcBorders>
            <w:vAlign w:val="center"/>
          </w:tcPr>
          <w:p w14:paraId="43697EC3">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调用云平台提供的签名验签服务接口，实现应用系统登录用户的访问控制列表完整性保护</w:t>
            </w:r>
          </w:p>
        </w:tc>
      </w:tr>
      <w:tr w14:paraId="54B4F96F">
        <w:tblPrEx>
          <w:tblCellMar>
            <w:top w:w="0" w:type="dxa"/>
            <w:left w:w="108" w:type="dxa"/>
            <w:bottom w:w="0" w:type="dxa"/>
            <w:right w:w="108" w:type="dxa"/>
          </w:tblCellMar>
        </w:tblPrEx>
        <w:trPr>
          <w:trHeight w:val="276" w:hRule="atLeast"/>
        </w:trPr>
        <w:tc>
          <w:tcPr>
            <w:tcW w:w="820" w:type="dxa"/>
            <w:tcBorders>
              <w:top w:val="single" w:color="auto" w:sz="4" w:space="0"/>
              <w:left w:val="single" w:color="auto" w:sz="4" w:space="0"/>
              <w:bottom w:val="single" w:color="auto" w:sz="4" w:space="0"/>
              <w:right w:val="single" w:color="auto" w:sz="4" w:space="0"/>
            </w:tcBorders>
            <w:vAlign w:val="center"/>
          </w:tcPr>
          <w:p w14:paraId="08EA08EA">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6</w:t>
            </w:r>
          </w:p>
        </w:tc>
        <w:tc>
          <w:tcPr>
            <w:tcW w:w="2009" w:type="dxa"/>
            <w:tcBorders>
              <w:top w:val="single" w:color="auto" w:sz="4" w:space="0"/>
              <w:left w:val="single" w:color="auto" w:sz="4" w:space="0"/>
              <w:bottom w:val="single" w:color="auto" w:sz="4" w:space="0"/>
              <w:right w:val="single" w:color="auto" w:sz="4" w:space="0"/>
            </w:tcBorders>
            <w:vAlign w:val="center"/>
          </w:tcPr>
          <w:p w14:paraId="1564ABAA">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应用系统重要数据加解密模块</w:t>
            </w:r>
          </w:p>
        </w:tc>
        <w:tc>
          <w:tcPr>
            <w:tcW w:w="5731" w:type="dxa"/>
            <w:tcBorders>
              <w:top w:val="single" w:color="auto" w:sz="4" w:space="0"/>
              <w:left w:val="single" w:color="auto" w:sz="4" w:space="0"/>
              <w:bottom w:val="single" w:color="auto" w:sz="4" w:space="0"/>
              <w:right w:val="single" w:color="auto" w:sz="4" w:space="0"/>
            </w:tcBorders>
            <w:vAlign w:val="center"/>
          </w:tcPr>
          <w:p w14:paraId="521A4424">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调用云平台提供的数据库加密服务接口、加密存储服务接口，实现登录用户身份鉴别数据、电子公文数据等结构化数据、非结构化数据的存储机密性保护</w:t>
            </w:r>
          </w:p>
        </w:tc>
      </w:tr>
      <w:tr w14:paraId="31545EA8">
        <w:tblPrEx>
          <w:tblCellMar>
            <w:top w:w="0" w:type="dxa"/>
            <w:left w:w="108" w:type="dxa"/>
            <w:bottom w:w="0" w:type="dxa"/>
            <w:right w:w="108" w:type="dxa"/>
          </w:tblCellMar>
        </w:tblPrEx>
        <w:trPr>
          <w:trHeight w:val="276" w:hRule="atLeast"/>
        </w:trPr>
        <w:tc>
          <w:tcPr>
            <w:tcW w:w="820" w:type="dxa"/>
            <w:tcBorders>
              <w:top w:val="single" w:color="auto" w:sz="4" w:space="0"/>
              <w:left w:val="single" w:color="000000" w:sz="4" w:space="0"/>
              <w:bottom w:val="single" w:color="000000" w:sz="4" w:space="0"/>
              <w:right w:val="single" w:color="000000" w:sz="4" w:space="0"/>
            </w:tcBorders>
            <w:vAlign w:val="center"/>
          </w:tcPr>
          <w:p w14:paraId="3DD207CB">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7</w:t>
            </w:r>
          </w:p>
        </w:tc>
        <w:tc>
          <w:tcPr>
            <w:tcW w:w="2009" w:type="dxa"/>
            <w:tcBorders>
              <w:top w:val="single" w:color="auto" w:sz="4" w:space="0"/>
              <w:left w:val="nil"/>
              <w:bottom w:val="single" w:color="000000" w:sz="4" w:space="0"/>
              <w:right w:val="single" w:color="000000" w:sz="4" w:space="0"/>
            </w:tcBorders>
            <w:vAlign w:val="center"/>
          </w:tcPr>
          <w:p w14:paraId="3D81C2E0">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应用系统重要数据签名验签模块</w:t>
            </w:r>
          </w:p>
        </w:tc>
        <w:tc>
          <w:tcPr>
            <w:tcW w:w="5731" w:type="dxa"/>
            <w:tcBorders>
              <w:top w:val="single" w:color="auto" w:sz="4" w:space="0"/>
              <w:left w:val="nil"/>
              <w:bottom w:val="single" w:color="000000" w:sz="4" w:space="0"/>
              <w:right w:val="single" w:color="000000" w:sz="4" w:space="0"/>
            </w:tcBorders>
            <w:vAlign w:val="center"/>
          </w:tcPr>
          <w:p w14:paraId="361DD3D5">
            <w:pPr>
              <w:widowControl/>
              <w:spacing w:line="240" w:lineRule="auto"/>
              <w:ind w:firstLine="0" w:firstLineChars="0"/>
              <w:jc w:val="center"/>
              <w:rPr>
                <w:rFonts w:hint="eastAsia" w:cs="宋体"/>
                <w:color w:val="000000"/>
                <w:kern w:val="0"/>
                <w:sz w:val="21"/>
                <w:szCs w:val="21"/>
              </w:rPr>
            </w:pPr>
            <w:r>
              <w:rPr>
                <w:rFonts w:hint="eastAsia" w:cs="宋体"/>
                <w:color w:val="000000"/>
                <w:kern w:val="0"/>
                <w:sz w:val="21"/>
                <w:szCs w:val="21"/>
              </w:rPr>
              <w:t>调用云平台提供的签名验签服务接口，实现登录用户身份鉴别数据、电子公文数据、业务日志的存储完整性保护</w:t>
            </w:r>
          </w:p>
        </w:tc>
      </w:tr>
    </w:tbl>
    <w:p w14:paraId="0CC0296D">
      <w:pPr>
        <w:pStyle w:val="26"/>
        <w:ind w:firstLine="0" w:firstLineChars="0"/>
        <w:rPr>
          <w:rFonts w:hint="eastAsia"/>
        </w:rPr>
      </w:pPr>
    </w:p>
    <w:p w14:paraId="4301FEA2">
      <w:pPr>
        <w:pStyle w:val="3"/>
        <w:rPr>
          <w:rFonts w:hint="eastAsia"/>
        </w:rPr>
      </w:pPr>
      <w:bookmarkStart w:id="29" w:name="_Toc63785512"/>
      <w:r>
        <w:rPr>
          <w:rFonts w:hint="eastAsia"/>
        </w:rPr>
        <w:t>技术文件要求</w:t>
      </w:r>
    </w:p>
    <w:p w14:paraId="3E9263FE">
      <w:pPr>
        <w:rPr>
          <w:rFonts w:hint="eastAsia"/>
        </w:rPr>
      </w:pPr>
      <w:r>
        <w:rPr>
          <w:rFonts w:hint="eastAsia"/>
          <w:lang w:eastAsia="zh-CN"/>
        </w:rPr>
        <w:t>供应商</w:t>
      </w:r>
      <w:r>
        <w:rPr>
          <w:rFonts w:hint="eastAsia"/>
        </w:rPr>
        <w:t>提供的书面技术资料应能确保系统正常运行所需的管理、运营及维护有关的全套文件。技术文件应该全面、完整、详细。</w:t>
      </w:r>
      <w:r>
        <w:rPr>
          <w:rFonts w:hint="eastAsia"/>
          <w:lang w:eastAsia="zh-CN"/>
        </w:rPr>
        <w:t>供应商</w:t>
      </w:r>
      <w:r>
        <w:rPr>
          <w:rFonts w:hint="eastAsia"/>
        </w:rPr>
        <w:t>提供的技术文件至少应包括：</w:t>
      </w:r>
    </w:p>
    <w:p w14:paraId="1112EAA2">
      <w:pPr>
        <w:rPr>
          <w:rFonts w:hint="eastAsia"/>
        </w:rPr>
      </w:pPr>
      <w:r>
        <w:rPr>
          <w:rFonts w:hint="eastAsia"/>
        </w:rPr>
        <w:t>－系统说明文件；</w:t>
      </w:r>
    </w:p>
    <w:p w14:paraId="1DBFF6C9">
      <w:pPr>
        <w:rPr>
          <w:rFonts w:hint="eastAsia"/>
        </w:rPr>
      </w:pPr>
      <w:r>
        <w:rPr>
          <w:rFonts w:hint="eastAsia"/>
        </w:rPr>
        <w:t>－技术手册(安装、测试、操作、维护、故障排除等)；</w:t>
      </w:r>
    </w:p>
    <w:p w14:paraId="686B3DC1">
      <w:pPr>
        <w:rPr>
          <w:rFonts w:hint="eastAsia"/>
        </w:rPr>
      </w:pPr>
      <w:r>
        <w:rPr>
          <w:rFonts w:hint="eastAsia"/>
        </w:rPr>
        <w:t>－项目文档，应该包括：</w:t>
      </w:r>
    </w:p>
    <w:p w14:paraId="752D12EA">
      <w:pPr>
        <w:rPr>
          <w:rFonts w:hint="eastAsia"/>
        </w:rPr>
      </w:pPr>
      <w:r>
        <w:rPr>
          <w:rFonts w:hint="eastAsia"/>
        </w:rPr>
        <w:t>（1）软件需求规格说明书</w:t>
      </w:r>
    </w:p>
    <w:p w14:paraId="5D3B9A3C">
      <w:pPr>
        <w:rPr>
          <w:rFonts w:hint="eastAsia"/>
        </w:rPr>
      </w:pPr>
      <w:r>
        <w:rPr>
          <w:rFonts w:hint="eastAsia"/>
        </w:rPr>
        <w:t>（2）系统概要设计说明书</w:t>
      </w:r>
    </w:p>
    <w:p w14:paraId="5298DA1F">
      <w:pPr>
        <w:rPr>
          <w:rFonts w:hint="eastAsia"/>
        </w:rPr>
      </w:pPr>
      <w:r>
        <w:rPr>
          <w:rFonts w:hint="eastAsia"/>
        </w:rPr>
        <w:t>（3）系统详细设计说明书</w:t>
      </w:r>
    </w:p>
    <w:p w14:paraId="4CF4A76F">
      <w:pPr>
        <w:rPr>
          <w:rFonts w:hint="eastAsia"/>
        </w:rPr>
      </w:pPr>
      <w:r>
        <w:rPr>
          <w:rFonts w:hint="eastAsia"/>
        </w:rPr>
        <w:t>（4）系统数据库设计说明书</w:t>
      </w:r>
    </w:p>
    <w:p w14:paraId="60C834CC">
      <w:pPr>
        <w:rPr>
          <w:rFonts w:hint="eastAsia"/>
        </w:rPr>
      </w:pPr>
      <w:r>
        <w:rPr>
          <w:rFonts w:hint="eastAsia"/>
        </w:rPr>
        <w:t>（5）应用软件功能清单</w:t>
      </w:r>
    </w:p>
    <w:p w14:paraId="7B9E7064">
      <w:pPr>
        <w:rPr>
          <w:rFonts w:hint="eastAsia"/>
        </w:rPr>
      </w:pPr>
      <w:r>
        <w:rPr>
          <w:rFonts w:hint="eastAsia"/>
        </w:rPr>
        <w:t>（6）三方功能需求确认单</w:t>
      </w:r>
    </w:p>
    <w:p w14:paraId="084A96F4">
      <w:pPr>
        <w:rPr>
          <w:rFonts w:hint="eastAsia"/>
        </w:rPr>
      </w:pPr>
      <w:r>
        <w:rPr>
          <w:rFonts w:hint="eastAsia"/>
        </w:rPr>
        <w:t>（7）测试报告</w:t>
      </w:r>
    </w:p>
    <w:p w14:paraId="308DD466">
      <w:pPr>
        <w:rPr>
          <w:rFonts w:hint="eastAsia"/>
        </w:rPr>
      </w:pPr>
      <w:r>
        <w:rPr>
          <w:rFonts w:hint="eastAsia"/>
        </w:rPr>
        <w:t>提供全套技术文件纸介质3套以及电子文件1套。</w:t>
      </w:r>
    </w:p>
    <w:bookmarkEnd w:id="29"/>
    <w:p w14:paraId="7C692D2D">
      <w:pPr>
        <w:pStyle w:val="2"/>
        <w:rPr>
          <w:rFonts w:hint="eastAsia"/>
        </w:rPr>
      </w:pPr>
      <w:bookmarkStart w:id="30" w:name="_Toc63785513"/>
      <w:r>
        <w:rPr>
          <w:rFonts w:hint="eastAsia"/>
        </w:rPr>
        <w:t>供应商管理要求</w:t>
      </w:r>
    </w:p>
    <w:p w14:paraId="69F70FD5">
      <w:pPr>
        <w:pStyle w:val="81"/>
        <w:ind w:firstLine="480"/>
        <w:rPr>
          <w:rFonts w:hint="eastAsia"/>
          <w:sz w:val="24"/>
          <w:szCs w:val="24"/>
        </w:rPr>
      </w:pPr>
      <w:r>
        <w:rPr>
          <w:rFonts w:hint="eastAsia"/>
          <w:sz w:val="24"/>
          <w:szCs w:val="24"/>
        </w:rPr>
        <w:t>1、在项目实施期间，中标人应严格执行国家、地方、行业有关本项目业务管理和安全作业的法律法规和制度并按规定承担相应的费用。中标人因违反规定等原因造成的一切损失和责任由中标人自行承担。</w:t>
      </w:r>
    </w:p>
    <w:p w14:paraId="46273B37">
      <w:pPr>
        <w:pStyle w:val="81"/>
        <w:ind w:firstLine="480"/>
        <w:rPr>
          <w:rFonts w:hint="eastAsia"/>
          <w:sz w:val="24"/>
          <w:szCs w:val="24"/>
        </w:rPr>
      </w:pPr>
      <w:r>
        <w:rPr>
          <w:rFonts w:hint="eastAsia"/>
          <w:sz w:val="24"/>
          <w:szCs w:val="24"/>
        </w:rPr>
        <w:t>2、中标人在</w:t>
      </w:r>
      <w:r>
        <w:rPr>
          <w:rFonts w:hint="eastAsia"/>
          <w:sz w:val="24"/>
          <w:szCs w:val="24"/>
          <w:lang w:eastAsia="zh-CN"/>
        </w:rPr>
        <w:t>响应文件</w:t>
      </w:r>
      <w:r>
        <w:rPr>
          <w:rFonts w:hint="eastAsia"/>
          <w:sz w:val="24"/>
          <w:szCs w:val="24"/>
        </w:rPr>
        <w:t>中承诺并经</w:t>
      </w:r>
      <w:r>
        <w:rPr>
          <w:rFonts w:hint="eastAsia"/>
          <w:sz w:val="24"/>
          <w:szCs w:val="24"/>
          <w:lang w:eastAsia="zh-CN"/>
        </w:rPr>
        <w:t>采购</w:t>
      </w:r>
      <w:r>
        <w:rPr>
          <w:rFonts w:hint="eastAsia"/>
          <w:sz w:val="24"/>
          <w:szCs w:val="24"/>
        </w:rPr>
        <w:t>人认定的项目负责人及专业技术人员必须是本单位职工（在本单位缴纳社会保障金）和该项目实施现场的实际操作者，应具有类似本项目的实施经验，并应在软件应用调研、安装、试运行等期间常驻项目现场。未经采购人同意，中标人不得调换或撤离上述人员。如采购人认为有必要，可要求中标人对上述人员中的部分人员做出更好的调整。</w:t>
      </w:r>
    </w:p>
    <w:p w14:paraId="6A1788D7">
      <w:pPr>
        <w:pStyle w:val="81"/>
        <w:ind w:firstLine="480"/>
        <w:rPr>
          <w:rFonts w:hint="eastAsia"/>
          <w:sz w:val="24"/>
          <w:szCs w:val="24"/>
        </w:rPr>
      </w:pPr>
      <w:r>
        <w:rPr>
          <w:rFonts w:hint="eastAsia"/>
          <w:sz w:val="24"/>
          <w:szCs w:val="24"/>
        </w:rPr>
        <w:t>3、中标人在项目实施期间，应按项目实际进度与环节落实所对应项目整体及各环节管理工作，按照规范做好项目实施期间相关管理与实施记录。</w:t>
      </w:r>
    </w:p>
    <w:p w14:paraId="23E99479">
      <w:pPr>
        <w:pStyle w:val="81"/>
        <w:ind w:firstLine="480"/>
        <w:rPr>
          <w:rFonts w:hint="eastAsia"/>
          <w:sz w:val="24"/>
          <w:szCs w:val="24"/>
        </w:rPr>
      </w:pPr>
      <w:r>
        <w:rPr>
          <w:rFonts w:hint="eastAsia"/>
          <w:sz w:val="24"/>
          <w:szCs w:val="24"/>
        </w:rPr>
        <w:t>4、参与本项目的工作人员应严格遵循采购人的安全制度，保障采购人资料和设备的安全。中标方如需进入采购人机房工作，只能在采购人规定的工作区域内对项目涉及的设备进行操作，严禁触动与项目无关的任何设备（包括任何操作行为），如需跨区操作必须得到采购人项目联系人确认。</w:t>
      </w:r>
    </w:p>
    <w:p w14:paraId="52F19CCE">
      <w:pPr>
        <w:pStyle w:val="81"/>
        <w:ind w:firstLine="480"/>
        <w:rPr>
          <w:rFonts w:hint="eastAsia"/>
          <w:sz w:val="24"/>
          <w:szCs w:val="24"/>
        </w:rPr>
      </w:pPr>
      <w:r>
        <w:rPr>
          <w:rFonts w:hint="eastAsia"/>
          <w:sz w:val="24"/>
          <w:szCs w:val="24"/>
        </w:rPr>
        <w:t>5、中标人在项目实施期间必须遵守采购人的规章制度并提供实施人员名单。</w:t>
      </w:r>
    </w:p>
    <w:p w14:paraId="1A19632E">
      <w:pPr>
        <w:pStyle w:val="81"/>
        <w:ind w:firstLine="480"/>
        <w:rPr>
          <w:rFonts w:hint="eastAsia"/>
          <w:sz w:val="24"/>
          <w:szCs w:val="24"/>
        </w:rPr>
      </w:pPr>
      <w:r>
        <w:rPr>
          <w:rFonts w:hint="eastAsia"/>
          <w:sz w:val="24"/>
          <w:szCs w:val="24"/>
        </w:rPr>
        <w:t>6、各</w:t>
      </w:r>
      <w:r>
        <w:rPr>
          <w:rFonts w:hint="eastAsia"/>
          <w:sz w:val="24"/>
          <w:szCs w:val="24"/>
          <w:lang w:eastAsia="zh-CN"/>
        </w:rPr>
        <w:t>供应商</w:t>
      </w:r>
      <w:r>
        <w:rPr>
          <w:rFonts w:hint="eastAsia"/>
          <w:sz w:val="24"/>
          <w:szCs w:val="24"/>
        </w:rPr>
        <w:t>在</w:t>
      </w:r>
      <w:r>
        <w:rPr>
          <w:rFonts w:hint="eastAsia"/>
          <w:sz w:val="24"/>
          <w:szCs w:val="24"/>
          <w:lang w:eastAsia="zh-CN"/>
        </w:rPr>
        <w:t>响应</w:t>
      </w:r>
      <w:r>
        <w:rPr>
          <w:rFonts w:hint="eastAsia"/>
          <w:sz w:val="24"/>
          <w:szCs w:val="24"/>
        </w:rPr>
        <w:t>文件中要结合本项目的特点和采购人上述的具体要求制定相应的管理措施，并在报价中列支相应的费用清单，</w:t>
      </w:r>
      <w:r>
        <w:rPr>
          <w:rFonts w:hint="eastAsia"/>
          <w:sz w:val="24"/>
          <w:szCs w:val="24"/>
          <w:lang w:eastAsia="zh-CN"/>
        </w:rPr>
        <w:t>供应商</w:t>
      </w:r>
      <w:r>
        <w:rPr>
          <w:rFonts w:hint="eastAsia"/>
          <w:sz w:val="24"/>
          <w:szCs w:val="24"/>
        </w:rPr>
        <w:t>报价中未列支上述费用清单的，上述费用视为已包含在</w:t>
      </w:r>
      <w:r>
        <w:rPr>
          <w:rFonts w:hint="eastAsia"/>
          <w:sz w:val="24"/>
          <w:szCs w:val="24"/>
          <w:lang w:eastAsia="zh-CN"/>
        </w:rPr>
        <w:t>供应商</w:t>
      </w:r>
      <w:r>
        <w:rPr>
          <w:rFonts w:hint="eastAsia"/>
          <w:sz w:val="24"/>
          <w:szCs w:val="24"/>
        </w:rPr>
        <w:t>的总报价中。</w:t>
      </w:r>
    </w:p>
    <w:p w14:paraId="5AFE951B">
      <w:pPr>
        <w:pStyle w:val="81"/>
        <w:ind w:firstLine="480"/>
        <w:rPr>
          <w:rFonts w:hint="eastAsia"/>
        </w:rPr>
      </w:pPr>
      <w:r>
        <w:rPr>
          <w:rFonts w:hint="eastAsia"/>
          <w:sz w:val="24"/>
          <w:szCs w:val="24"/>
        </w:rPr>
        <w:t>7、本项目软件开发及调试将纳入采购人的管理范围，中标人在此过程中须服从上述单位的管理协调。</w:t>
      </w:r>
    </w:p>
    <w:bookmarkEnd w:id="30"/>
    <w:p w14:paraId="5FF37B67">
      <w:pPr>
        <w:pStyle w:val="2"/>
        <w:rPr>
          <w:rFonts w:hint="eastAsia"/>
        </w:rPr>
      </w:pPr>
      <w:bookmarkStart w:id="31" w:name="_Toc68798863"/>
      <w:r>
        <w:rPr>
          <w:rFonts w:hint="eastAsia"/>
        </w:rPr>
        <w:t>附录</w:t>
      </w:r>
      <w:bookmarkEnd w:id="31"/>
    </w:p>
    <w:p w14:paraId="1AD1F902">
      <w:pPr>
        <w:ind w:left="420" w:firstLine="0" w:firstLineChars="0"/>
        <w:jc w:val="left"/>
        <w:rPr>
          <w:rFonts w:hint="eastAsia"/>
        </w:rPr>
      </w:pPr>
      <w:r>
        <w:rPr>
          <w:rFonts w:hint="eastAsia"/>
        </w:rPr>
        <w:t>无。</w:t>
      </w:r>
    </w:p>
    <w:sectPr>
      <w:footerReference r:id="rId11" w:type="first"/>
      <w:pgSz w:w="11906" w:h="16838"/>
      <w:pgMar w:top="1134" w:right="1797" w:bottom="1135" w:left="1797" w:header="340" w:footer="7" w:gutter="0"/>
      <w:pgNumType w:start="1"/>
      <w:cols w:space="720" w:num="1"/>
      <w:titlePg/>
      <w:docGrid w:type="linesAndChar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等线">
    <w:altName w:val="Noto Sans CJK SC"/>
    <w:panose1 w:val="02010600030101010101"/>
    <w:charset w:val="86"/>
    <w:family w:val="auto"/>
    <w:pitch w:val="default"/>
    <w:sig w:usb0="00000000" w:usb1="00000000" w:usb2="00000016" w:usb3="00000000" w:csb0="0004000F" w:csb1="00000000"/>
  </w:font>
  <w:font w:name="Noto Sans CJK SC">
    <w:panose1 w:val="020B0500000000000000"/>
    <w:charset w:val="86"/>
    <w:family w:val="auto"/>
    <w:pitch w:val="default"/>
    <w:sig w:usb0="30000003" w:usb1="2BDF3C10" w:usb2="00000016" w:usb3="00000000" w:csb0="602E0107" w:csb1="00000000"/>
  </w:font>
  <w:font w:name="仿宋">
    <w:altName w:val="仿宋_GB2312"/>
    <w:panose1 w:val="02010609060101010101"/>
    <w:charset w:val="86"/>
    <w:family w:val="modern"/>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Calibri Light">
    <w:altName w:val="DejaVu Sans"/>
    <w:panose1 w:val="020F0302020204030204"/>
    <w:charset w:val="00"/>
    <w:family w:val="swiss"/>
    <w:pitch w:val="default"/>
    <w:sig w:usb0="00000000" w:usb1="00000000" w:usb2="00000009" w:usb3="00000000" w:csb0="200001FF" w:csb1="00000000"/>
  </w:font>
  <w:font w:name="Arial Unicode MS">
    <w:altName w:val="DejaVu Sans"/>
    <w:panose1 w:val="020B0604020202020204"/>
    <w:charset w:val="86"/>
    <w:family w:val="swiss"/>
    <w:pitch w:val="default"/>
    <w:sig w:usb0="00000000" w:usb1="00000000" w:usb2="0000003F" w:usb3="00000000" w:csb0="603F01FF" w:csb1="FFFF0000"/>
  </w:font>
  <w:font w:name="等线 Light">
    <w:altName w:val="汉仪中圆B5"/>
    <w:panose1 w:val="02010600030101010101"/>
    <w:charset w:val="86"/>
    <w:family w:val="auto"/>
    <w:pitch w:val="default"/>
    <w:sig w:usb0="00000000" w:usb1="00000000" w:usb2="00000016" w:usb3="00000000" w:csb0="0004000F" w:csb1="00000000"/>
  </w:font>
  <w:font w:name="汉仪中圆B5">
    <w:panose1 w:val="02010600000101010101"/>
    <w:charset w:val="88"/>
    <w:family w:val="auto"/>
    <w:pitch w:val="default"/>
    <w:sig w:usb0="00000001" w:usb1="080E0800" w:usb2="00000002" w:usb3="00000000" w:csb0="00100000" w:csb1="00000000"/>
  </w:font>
  <w:font w:name="time">
    <w:altName w:val="思源宋体"/>
    <w:panose1 w:val="00000000000000000000"/>
    <w:charset w:val="00"/>
    <w:family w:val="roman"/>
    <w:pitch w:val="default"/>
    <w:sig w:usb0="00000000" w:usb1="00000000" w:usb2="00000000" w:usb3="00000000" w:csb0="00040001" w:csb1="00000000"/>
  </w:font>
  <w:font w:name="思源宋体">
    <w:panose1 w:val="02020400000000000000"/>
    <w:charset w:val="86"/>
    <w:family w:val="auto"/>
    <w:pitch w:val="default"/>
    <w:sig w:usb0="30000083" w:usb1="2BDF3C10" w:usb2="00000016" w:usb3="00000000" w:csb0="602E0107" w:csb1="00000000"/>
  </w:font>
  <w:font w:name="Microsoft YaHei UI">
    <w:altName w:val="文泉驿微米黑"/>
    <w:panose1 w:val="020B0503020204020204"/>
    <w:charset w:val="86"/>
    <w:family w:val="swiss"/>
    <w:pitch w:val="default"/>
    <w:sig w:usb0="00000000" w:usb1="00000000" w:usb2="00000016" w:usb3="00000000" w:csb0="0004001F" w:csb1="00000000"/>
  </w:font>
  <w:font w:name="文泉驿微米黑">
    <w:panose1 w:val="020B0606030804020204"/>
    <w:charset w:val="86"/>
    <w:family w:val="auto"/>
    <w:pitch w:val="default"/>
    <w:sig w:usb0="E10002EF" w:usb1="6BDFFCFB" w:usb2="00800036" w:usb3="00000000" w:csb0="603E019F" w:csb1="DFD70000"/>
  </w:font>
  <w:font w:name="Microsoft Sans Serif">
    <w:altName w:val="Liberation Sans"/>
    <w:panose1 w:val="020B0604020202020204"/>
    <w:charset w:val="00"/>
    <w:family w:val="swiss"/>
    <w:pitch w:val="default"/>
    <w:sig w:usb0="00000000" w:usb1="00000000" w:usb2="00000029" w:usb3="00000000" w:csb0="200101FF" w:csb1="20280000"/>
  </w:font>
  <w:font w:name="Liberation Sans">
    <w:panose1 w:val="020B0604020202020204"/>
    <w:charset w:val="00"/>
    <w:family w:val="auto"/>
    <w:pitch w:val="default"/>
    <w:sig w:usb0="A00002AF" w:usb1="500078FB" w:usb2="00000000" w:usb3="00000000" w:csb0="6000009F" w:csb1="DFD70000"/>
  </w:font>
  <w:font w:name="楷体_GB2312">
    <w:panose1 w:val="02010609030101010101"/>
    <w:charset w:val="86"/>
    <w:family w:val="modern"/>
    <w:pitch w:val="default"/>
    <w:sig w:usb0="00000001" w:usb1="080E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9DD3CB">
    <w:pPr>
      <w:ind w:firstLine="0" w:firstLineChars="0"/>
      <w:jc w:val="center"/>
      <w:rPr>
        <w:rFonts w:hint="eastAsia"/>
      </w:rPr>
    </w:pPr>
    <w:r>
      <w:fldChar w:fldCharType="begin"/>
    </w:r>
    <w:r>
      <w:instrText xml:space="preserve">PAGE   \* MERGEFORMAT</w:instrText>
    </w:r>
    <w:r>
      <w:fldChar w:fldCharType="separate"/>
    </w:r>
    <w:r>
      <w:rPr>
        <w:lang w:val="zh-CN"/>
      </w:rPr>
      <w:t>4</w:t>
    </w:r>
    <w:r>
      <w:rPr>
        <w:lang w:val="zh-CN"/>
      </w:rPr>
      <w:fldChar w:fldCharType="end"/>
    </w:r>
  </w:p>
  <w:p w14:paraId="0FD2D55C">
    <w:pP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A4B758">
    <w:pPr>
      <w:rPr>
        <w:rFonts w:hint="eastAsia"/>
      </w:rPr>
    </w:pPr>
  </w:p>
  <w:p w14:paraId="591A827C">
    <w:pPr>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B302C5">
    <w:pPr>
      <w:ind w:firstLine="0" w:firstLineChars="0"/>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632E1">
    <w:pPr>
      <w:ind w:firstLine="0" w:firstLineChars="0"/>
      <w:jc w:val="center"/>
      <w:rPr>
        <w:rFonts w:hint="eastAsia"/>
        <w:lang w:val="zh-CN"/>
      </w:rPr>
    </w:pPr>
    <w:r>
      <w:rPr>
        <w:lang w:val="zh-CN"/>
      </w:rPr>
      <w:fldChar w:fldCharType="begin"/>
    </w:r>
    <w:r>
      <w:rPr>
        <w:lang w:val="zh-CN"/>
      </w:rPr>
      <w:instrText xml:space="preserve">PAGE   \* MERGEFORMAT</w:instrText>
    </w:r>
    <w:r>
      <w:rPr>
        <w:lang w:val="zh-CN"/>
      </w:rPr>
      <w:fldChar w:fldCharType="separate"/>
    </w:r>
    <w:r>
      <w:rPr>
        <w:lang w:val="zh-CN"/>
      </w:rPr>
      <w:t>1</w:t>
    </w:r>
    <w:r>
      <w:rPr>
        <w:lang w:val="zh-CN"/>
      </w:rPr>
      <w:fldChar w:fldCharType="end"/>
    </w:r>
  </w:p>
  <w:p w14:paraId="178AE371">
    <w:pPr>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F337FE">
    <w:pPr>
      <w:pStyle w:val="25"/>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82171B">
    <w:pPr>
      <w:rPr>
        <w:rFonts w:hint="eastAsia"/>
      </w:rPr>
    </w:pPr>
  </w:p>
  <w:p w14:paraId="6FBD3C00">
    <w:pP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0D28A">
    <w:pPr>
      <w:pStyle w:val="25"/>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53C4AD"/>
    <w:multiLevelType w:val="singleLevel"/>
    <w:tmpl w:val="6253C4AD"/>
    <w:lvl w:ilvl="0" w:tentative="0">
      <w:start w:val="1"/>
      <w:numFmt w:val="decimal"/>
      <w:lvlText w:val="%1."/>
      <w:lvlJc w:val="left"/>
      <w:pPr>
        <w:ind w:left="425" w:hanging="425"/>
      </w:pPr>
      <w:rPr>
        <w:rFonts w:hint="default"/>
      </w:rPr>
    </w:lvl>
  </w:abstractNum>
  <w:abstractNum w:abstractNumId="1">
    <w:nsid w:val="6350366A"/>
    <w:multiLevelType w:val="multilevel"/>
    <w:tmpl w:val="6350366A"/>
    <w:lvl w:ilvl="0" w:tentative="0">
      <w:start w:val="1"/>
      <w:numFmt w:val="none"/>
      <w:pStyle w:val="113"/>
      <w:lvlText w:val="%1●　"/>
      <w:lvlJc w:val="left"/>
      <w:pPr>
        <w:tabs>
          <w:tab w:val="left" w:pos="760"/>
        </w:tabs>
        <w:ind w:left="717" w:hanging="317"/>
      </w:pPr>
      <w:rPr>
        <w:rFonts w:hint="eastAsia" w:ascii="宋体" w:hAnsi="Times New Roman" w:eastAsia="宋体"/>
        <w:b w:val="0"/>
        <w:i w:val="0"/>
        <w:position w:val="4"/>
        <w:sz w:val="13"/>
      </w:rPr>
    </w:lvl>
    <w:lvl w:ilvl="1" w:tentative="0">
      <w:start w:val="1"/>
      <w:numFmt w:val="lowerLetter"/>
      <w:lvlText w:val="%2)"/>
      <w:lvlJc w:val="left"/>
      <w:pPr>
        <w:tabs>
          <w:tab w:val="left" w:pos="780"/>
        </w:tabs>
        <w:ind w:left="780" w:hanging="360"/>
      </w:pPr>
      <w:rPr>
        <w:rFonts w:hint="eastAsia"/>
      </w:rPr>
    </w:lvl>
    <w:lvl w:ilvl="2" w:tentative="0">
      <w:start w:val="1"/>
      <w:numFmt w:val="decimal"/>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6A2F4AB3"/>
    <w:multiLevelType w:val="multilevel"/>
    <w:tmpl w:val="6A2F4AB3"/>
    <w:lvl w:ilvl="0" w:tentative="0">
      <w:start w:val="1"/>
      <w:numFmt w:val="chineseCountingThousand"/>
      <w:pStyle w:val="2"/>
      <w:suff w:val="nothing"/>
      <w:lvlText w:val="%1、"/>
      <w:lvlJc w:val="left"/>
      <w:pPr>
        <w:ind w:left="425" w:hanging="425"/>
      </w:pPr>
      <w:rPr>
        <w:rFonts w:hint="eastAsia"/>
        <w:sz w:val="32"/>
        <w:szCs w:val="32"/>
      </w:rPr>
    </w:lvl>
    <w:lvl w:ilvl="1" w:tentative="0">
      <w:start w:val="1"/>
      <w:numFmt w:val="decimal"/>
      <w:pStyle w:val="3"/>
      <w:isLgl/>
      <w:suff w:val="nothing"/>
      <w:lvlText w:val="%1.%2、"/>
      <w:lvlJc w:val="left"/>
      <w:pPr>
        <w:ind w:left="1135" w:hanging="567"/>
      </w:pPr>
    </w:lvl>
    <w:lvl w:ilvl="2" w:tentative="0">
      <w:start w:val="1"/>
      <w:numFmt w:val="decimal"/>
      <w:pStyle w:val="4"/>
      <w:isLgl/>
      <w:suff w:val="nothing"/>
      <w:lvlText w:val="%1.%2.%3、"/>
      <w:lvlJc w:val="left"/>
      <w:pPr>
        <w:ind w:left="1069" w:hanging="1069"/>
      </w:pPr>
      <w:rPr>
        <w:rFonts w:hint="default" w:ascii="宋体" w:hAnsi="宋体" w:eastAsia="宋体" w:cs="Arial"/>
      </w:rPr>
    </w:lvl>
    <w:lvl w:ilvl="3" w:tentative="0">
      <w:start w:val="1"/>
      <w:numFmt w:val="decimal"/>
      <w:pStyle w:val="5"/>
      <w:isLgl/>
      <w:suff w:val="nothing"/>
      <w:lvlText w:val="%1.%2.%3.%4、"/>
      <w:lvlJc w:val="left"/>
      <w:pPr>
        <w:ind w:left="3403" w:hanging="851"/>
      </w:pPr>
    </w:lvl>
    <w:lvl w:ilvl="4" w:tentative="0">
      <w:start w:val="1"/>
      <w:numFmt w:val="decimal"/>
      <w:pStyle w:val="6"/>
      <w:isLgl/>
      <w:suff w:val="nothing"/>
      <w:lvlText w:val="%1.%2.%3.%4.%5、"/>
      <w:lvlJc w:val="left"/>
      <w:pPr>
        <w:ind w:left="3544" w:hanging="992"/>
      </w:pPr>
      <w:rPr>
        <w:rFonts w:hint="eastAsia"/>
      </w:rPr>
    </w:lvl>
    <w:lvl w:ilvl="5" w:tentative="0">
      <w:start w:val="1"/>
      <w:numFmt w:val="decimal"/>
      <w:pStyle w:val="7"/>
      <w:isLgl/>
      <w:suff w:val="nothing"/>
      <w:lvlText w:val="%1.%2.%3.%4.%5.%6、"/>
      <w:lvlJc w:val="left"/>
      <w:pPr>
        <w:ind w:left="1134" w:hanging="1134"/>
      </w:pPr>
      <w:rPr>
        <w:rFonts w:hint="eastAsia"/>
      </w:rPr>
    </w:lvl>
    <w:lvl w:ilvl="6" w:tentative="0">
      <w:start w:val="1"/>
      <w:numFmt w:val="decimal"/>
      <w:isLgl/>
      <w:lvlText w:val="%1.%2.%3.%4.%5.%6.%7"/>
      <w:lvlJc w:val="left"/>
      <w:pPr>
        <w:tabs>
          <w:tab w:val="left" w:pos="1800"/>
        </w:tabs>
        <w:ind w:left="1276" w:hanging="1276"/>
      </w:pPr>
      <w:rPr>
        <w:rFonts w:hint="eastAsia"/>
      </w:rPr>
    </w:lvl>
    <w:lvl w:ilvl="7" w:tentative="0">
      <w:start w:val="1"/>
      <w:numFmt w:val="decimal"/>
      <w:isLgl/>
      <w:lvlText w:val="%1.%2.%3.%4.%5.%6.%7.%8"/>
      <w:lvlJc w:val="left"/>
      <w:pPr>
        <w:tabs>
          <w:tab w:val="left" w:pos="1800"/>
        </w:tabs>
        <w:ind w:left="1418" w:hanging="1418"/>
      </w:pPr>
      <w:rPr>
        <w:rFonts w:hint="eastAsia"/>
      </w:rPr>
    </w:lvl>
    <w:lvl w:ilvl="8" w:tentative="0">
      <w:start w:val="1"/>
      <w:numFmt w:val="decimal"/>
      <w:isLgl/>
      <w:lvlText w:val="%1.%2.%3.%4.%5.%6.%7.%8.%9"/>
      <w:lvlJc w:val="left"/>
      <w:pPr>
        <w:tabs>
          <w:tab w:val="left" w:pos="2160"/>
        </w:tabs>
        <w:ind w:left="1559" w:hanging="1559"/>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20"/>
  <w:drawingGridVerticalSpacing w:val="163"/>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RhZmI4MDVmMTQ2MjVkZjFlZGQ5NmFkYTRlMjc0MmEifQ=="/>
  </w:docVars>
  <w:rsids>
    <w:rsidRoot w:val="00172A27"/>
    <w:rsid w:val="0000005A"/>
    <w:rsid w:val="00000A52"/>
    <w:rsid w:val="00000AED"/>
    <w:rsid w:val="00000F22"/>
    <w:rsid w:val="00003516"/>
    <w:rsid w:val="0000380E"/>
    <w:rsid w:val="00005AFD"/>
    <w:rsid w:val="00006563"/>
    <w:rsid w:val="000074F1"/>
    <w:rsid w:val="00007A41"/>
    <w:rsid w:val="00007DA7"/>
    <w:rsid w:val="0001079B"/>
    <w:rsid w:val="000116ED"/>
    <w:rsid w:val="00012EF0"/>
    <w:rsid w:val="0001449D"/>
    <w:rsid w:val="000156DE"/>
    <w:rsid w:val="000165AD"/>
    <w:rsid w:val="000179E9"/>
    <w:rsid w:val="00020C18"/>
    <w:rsid w:val="00021EE6"/>
    <w:rsid w:val="0002280E"/>
    <w:rsid w:val="00022C74"/>
    <w:rsid w:val="00025122"/>
    <w:rsid w:val="000252D5"/>
    <w:rsid w:val="00026997"/>
    <w:rsid w:val="00027A64"/>
    <w:rsid w:val="00032D27"/>
    <w:rsid w:val="00035325"/>
    <w:rsid w:val="00035D5B"/>
    <w:rsid w:val="000378D0"/>
    <w:rsid w:val="00037F2C"/>
    <w:rsid w:val="00042C2A"/>
    <w:rsid w:val="000430EC"/>
    <w:rsid w:val="000447CB"/>
    <w:rsid w:val="00047915"/>
    <w:rsid w:val="00047D06"/>
    <w:rsid w:val="00050FBD"/>
    <w:rsid w:val="0005107A"/>
    <w:rsid w:val="0005192C"/>
    <w:rsid w:val="00052929"/>
    <w:rsid w:val="0005299F"/>
    <w:rsid w:val="000541D7"/>
    <w:rsid w:val="000545C0"/>
    <w:rsid w:val="0005586D"/>
    <w:rsid w:val="00056C0E"/>
    <w:rsid w:val="000574A8"/>
    <w:rsid w:val="000574F8"/>
    <w:rsid w:val="00057A49"/>
    <w:rsid w:val="0006231F"/>
    <w:rsid w:val="00062A05"/>
    <w:rsid w:val="00062EE6"/>
    <w:rsid w:val="0006344E"/>
    <w:rsid w:val="000649E6"/>
    <w:rsid w:val="0006794B"/>
    <w:rsid w:val="00067DCA"/>
    <w:rsid w:val="00070063"/>
    <w:rsid w:val="0007017F"/>
    <w:rsid w:val="0007087A"/>
    <w:rsid w:val="000710EC"/>
    <w:rsid w:val="00072237"/>
    <w:rsid w:val="00072ABE"/>
    <w:rsid w:val="00080B39"/>
    <w:rsid w:val="000827AC"/>
    <w:rsid w:val="00083950"/>
    <w:rsid w:val="0008452F"/>
    <w:rsid w:val="00084E8E"/>
    <w:rsid w:val="00085136"/>
    <w:rsid w:val="00085A68"/>
    <w:rsid w:val="00090625"/>
    <w:rsid w:val="00090948"/>
    <w:rsid w:val="00091CD1"/>
    <w:rsid w:val="0009460E"/>
    <w:rsid w:val="000951D4"/>
    <w:rsid w:val="000A2146"/>
    <w:rsid w:val="000A2930"/>
    <w:rsid w:val="000A3276"/>
    <w:rsid w:val="000A3C35"/>
    <w:rsid w:val="000A3E30"/>
    <w:rsid w:val="000A5876"/>
    <w:rsid w:val="000A61D0"/>
    <w:rsid w:val="000A6C67"/>
    <w:rsid w:val="000A6DB8"/>
    <w:rsid w:val="000A7596"/>
    <w:rsid w:val="000B11A8"/>
    <w:rsid w:val="000B1959"/>
    <w:rsid w:val="000B2E1C"/>
    <w:rsid w:val="000B4459"/>
    <w:rsid w:val="000B4B46"/>
    <w:rsid w:val="000B5363"/>
    <w:rsid w:val="000B53BA"/>
    <w:rsid w:val="000B642F"/>
    <w:rsid w:val="000B6C99"/>
    <w:rsid w:val="000C3F3C"/>
    <w:rsid w:val="000C5A75"/>
    <w:rsid w:val="000C75F7"/>
    <w:rsid w:val="000D0AB2"/>
    <w:rsid w:val="000D225C"/>
    <w:rsid w:val="000D2E3D"/>
    <w:rsid w:val="000D36F2"/>
    <w:rsid w:val="000D4B26"/>
    <w:rsid w:val="000D74DB"/>
    <w:rsid w:val="000E24D6"/>
    <w:rsid w:val="000E38E9"/>
    <w:rsid w:val="000E6072"/>
    <w:rsid w:val="000E6D61"/>
    <w:rsid w:val="000E7A23"/>
    <w:rsid w:val="000F1C29"/>
    <w:rsid w:val="000F1E9E"/>
    <w:rsid w:val="000F2B10"/>
    <w:rsid w:val="000F3F72"/>
    <w:rsid w:val="001055B2"/>
    <w:rsid w:val="001060EF"/>
    <w:rsid w:val="001068F0"/>
    <w:rsid w:val="00106AB8"/>
    <w:rsid w:val="00106C9E"/>
    <w:rsid w:val="00106E16"/>
    <w:rsid w:val="0010768B"/>
    <w:rsid w:val="00111701"/>
    <w:rsid w:val="00112A29"/>
    <w:rsid w:val="001167F6"/>
    <w:rsid w:val="00116C86"/>
    <w:rsid w:val="00121ACF"/>
    <w:rsid w:val="00121D8F"/>
    <w:rsid w:val="00122037"/>
    <w:rsid w:val="0012210C"/>
    <w:rsid w:val="00122A7F"/>
    <w:rsid w:val="00123F98"/>
    <w:rsid w:val="001242A5"/>
    <w:rsid w:val="00124531"/>
    <w:rsid w:val="00126EDF"/>
    <w:rsid w:val="00127BBE"/>
    <w:rsid w:val="00131D52"/>
    <w:rsid w:val="001329C1"/>
    <w:rsid w:val="00132C16"/>
    <w:rsid w:val="00136320"/>
    <w:rsid w:val="00136FFA"/>
    <w:rsid w:val="00137AC6"/>
    <w:rsid w:val="00145512"/>
    <w:rsid w:val="001465BD"/>
    <w:rsid w:val="00147B45"/>
    <w:rsid w:val="00150803"/>
    <w:rsid w:val="00151D83"/>
    <w:rsid w:val="001546C9"/>
    <w:rsid w:val="00154FAE"/>
    <w:rsid w:val="00155E77"/>
    <w:rsid w:val="00156A70"/>
    <w:rsid w:val="00160A61"/>
    <w:rsid w:val="00160FC0"/>
    <w:rsid w:val="0016429B"/>
    <w:rsid w:val="00164525"/>
    <w:rsid w:val="00164C50"/>
    <w:rsid w:val="00165CB2"/>
    <w:rsid w:val="00166203"/>
    <w:rsid w:val="00166767"/>
    <w:rsid w:val="001707CB"/>
    <w:rsid w:val="00171477"/>
    <w:rsid w:val="00172A1A"/>
    <w:rsid w:val="00172A27"/>
    <w:rsid w:val="00173251"/>
    <w:rsid w:val="00176BED"/>
    <w:rsid w:val="0017759D"/>
    <w:rsid w:val="001804A5"/>
    <w:rsid w:val="00181C94"/>
    <w:rsid w:val="00182C84"/>
    <w:rsid w:val="001863B0"/>
    <w:rsid w:val="00187031"/>
    <w:rsid w:val="00191EA4"/>
    <w:rsid w:val="00192B6C"/>
    <w:rsid w:val="00192C30"/>
    <w:rsid w:val="0019381E"/>
    <w:rsid w:val="00194CF5"/>
    <w:rsid w:val="0019503C"/>
    <w:rsid w:val="00195D94"/>
    <w:rsid w:val="00196F7B"/>
    <w:rsid w:val="001971CB"/>
    <w:rsid w:val="0019795C"/>
    <w:rsid w:val="001A053A"/>
    <w:rsid w:val="001A22A2"/>
    <w:rsid w:val="001A2971"/>
    <w:rsid w:val="001A3D52"/>
    <w:rsid w:val="001A460A"/>
    <w:rsid w:val="001A4A4C"/>
    <w:rsid w:val="001B0230"/>
    <w:rsid w:val="001B0BBC"/>
    <w:rsid w:val="001B13AB"/>
    <w:rsid w:val="001B3907"/>
    <w:rsid w:val="001B3B49"/>
    <w:rsid w:val="001B4907"/>
    <w:rsid w:val="001B4DC5"/>
    <w:rsid w:val="001B5505"/>
    <w:rsid w:val="001C2180"/>
    <w:rsid w:val="001C29CC"/>
    <w:rsid w:val="001C3217"/>
    <w:rsid w:val="001C3B98"/>
    <w:rsid w:val="001C6028"/>
    <w:rsid w:val="001C6365"/>
    <w:rsid w:val="001C7F57"/>
    <w:rsid w:val="001D0E79"/>
    <w:rsid w:val="001D1C91"/>
    <w:rsid w:val="001D2B63"/>
    <w:rsid w:val="001D6049"/>
    <w:rsid w:val="001D7339"/>
    <w:rsid w:val="001E2750"/>
    <w:rsid w:val="001E4343"/>
    <w:rsid w:val="001E52BB"/>
    <w:rsid w:val="001E660A"/>
    <w:rsid w:val="001F05D6"/>
    <w:rsid w:val="001F5B0A"/>
    <w:rsid w:val="001F640F"/>
    <w:rsid w:val="001F6794"/>
    <w:rsid w:val="001F6F65"/>
    <w:rsid w:val="002002DF"/>
    <w:rsid w:val="00203A6F"/>
    <w:rsid w:val="00205646"/>
    <w:rsid w:val="002063F7"/>
    <w:rsid w:val="002129E5"/>
    <w:rsid w:val="00212AA4"/>
    <w:rsid w:val="00212E13"/>
    <w:rsid w:val="002163C8"/>
    <w:rsid w:val="002179FE"/>
    <w:rsid w:val="00220CC0"/>
    <w:rsid w:val="00221A36"/>
    <w:rsid w:val="00223296"/>
    <w:rsid w:val="0022329B"/>
    <w:rsid w:val="002240F7"/>
    <w:rsid w:val="0022486F"/>
    <w:rsid w:val="00225314"/>
    <w:rsid w:val="00225DF4"/>
    <w:rsid w:val="00226C70"/>
    <w:rsid w:val="00230C8A"/>
    <w:rsid w:val="00231F98"/>
    <w:rsid w:val="002324F8"/>
    <w:rsid w:val="002348B0"/>
    <w:rsid w:val="00235CDC"/>
    <w:rsid w:val="00237E76"/>
    <w:rsid w:val="002407E8"/>
    <w:rsid w:val="00240BBE"/>
    <w:rsid w:val="00241525"/>
    <w:rsid w:val="00241D87"/>
    <w:rsid w:val="00243C55"/>
    <w:rsid w:val="00243D5E"/>
    <w:rsid w:val="002451EC"/>
    <w:rsid w:val="00245ED4"/>
    <w:rsid w:val="00246B41"/>
    <w:rsid w:val="0025002B"/>
    <w:rsid w:val="002500DE"/>
    <w:rsid w:val="00252457"/>
    <w:rsid w:val="00252581"/>
    <w:rsid w:val="002535B5"/>
    <w:rsid w:val="002538CB"/>
    <w:rsid w:val="002542BD"/>
    <w:rsid w:val="0025774E"/>
    <w:rsid w:val="00257D64"/>
    <w:rsid w:val="0026340A"/>
    <w:rsid w:val="002635EF"/>
    <w:rsid w:val="002654EA"/>
    <w:rsid w:val="002704EA"/>
    <w:rsid w:val="0027061A"/>
    <w:rsid w:val="002719CC"/>
    <w:rsid w:val="002730C5"/>
    <w:rsid w:val="0027337C"/>
    <w:rsid w:val="0027602B"/>
    <w:rsid w:val="00277F5E"/>
    <w:rsid w:val="00280084"/>
    <w:rsid w:val="00280490"/>
    <w:rsid w:val="002860B8"/>
    <w:rsid w:val="0029206E"/>
    <w:rsid w:val="00293382"/>
    <w:rsid w:val="00294F51"/>
    <w:rsid w:val="002A2342"/>
    <w:rsid w:val="002A279E"/>
    <w:rsid w:val="002A4FA3"/>
    <w:rsid w:val="002B3606"/>
    <w:rsid w:val="002B3D80"/>
    <w:rsid w:val="002B4402"/>
    <w:rsid w:val="002B4946"/>
    <w:rsid w:val="002B4C41"/>
    <w:rsid w:val="002B588D"/>
    <w:rsid w:val="002C1839"/>
    <w:rsid w:val="002C214A"/>
    <w:rsid w:val="002C28E8"/>
    <w:rsid w:val="002C3027"/>
    <w:rsid w:val="002C674D"/>
    <w:rsid w:val="002C7648"/>
    <w:rsid w:val="002C7DC4"/>
    <w:rsid w:val="002D0821"/>
    <w:rsid w:val="002D1929"/>
    <w:rsid w:val="002D1B73"/>
    <w:rsid w:val="002D3CB0"/>
    <w:rsid w:val="002D4800"/>
    <w:rsid w:val="002D5B21"/>
    <w:rsid w:val="002D6F6D"/>
    <w:rsid w:val="002E1FE6"/>
    <w:rsid w:val="002E2EA7"/>
    <w:rsid w:val="002E36D2"/>
    <w:rsid w:val="002E748B"/>
    <w:rsid w:val="002F2002"/>
    <w:rsid w:val="002F335D"/>
    <w:rsid w:val="002F4E32"/>
    <w:rsid w:val="002F503F"/>
    <w:rsid w:val="002F51DD"/>
    <w:rsid w:val="002F5D08"/>
    <w:rsid w:val="002F6895"/>
    <w:rsid w:val="002F6D13"/>
    <w:rsid w:val="002F6E00"/>
    <w:rsid w:val="003038D3"/>
    <w:rsid w:val="003049C7"/>
    <w:rsid w:val="00305F0E"/>
    <w:rsid w:val="0030667A"/>
    <w:rsid w:val="003106DE"/>
    <w:rsid w:val="00311530"/>
    <w:rsid w:val="00312D31"/>
    <w:rsid w:val="00315216"/>
    <w:rsid w:val="0031691C"/>
    <w:rsid w:val="00317466"/>
    <w:rsid w:val="00317AEF"/>
    <w:rsid w:val="00317F49"/>
    <w:rsid w:val="0032089B"/>
    <w:rsid w:val="003227E3"/>
    <w:rsid w:val="00323450"/>
    <w:rsid w:val="00323D93"/>
    <w:rsid w:val="0032489B"/>
    <w:rsid w:val="0032525B"/>
    <w:rsid w:val="00326A7A"/>
    <w:rsid w:val="00326FEE"/>
    <w:rsid w:val="003315D7"/>
    <w:rsid w:val="00334DE6"/>
    <w:rsid w:val="0033536D"/>
    <w:rsid w:val="003353FF"/>
    <w:rsid w:val="003366D2"/>
    <w:rsid w:val="00337C79"/>
    <w:rsid w:val="00337FEF"/>
    <w:rsid w:val="0034084C"/>
    <w:rsid w:val="00340D5E"/>
    <w:rsid w:val="003420B5"/>
    <w:rsid w:val="00343646"/>
    <w:rsid w:val="00344CCB"/>
    <w:rsid w:val="003455B5"/>
    <w:rsid w:val="00345897"/>
    <w:rsid w:val="00351BFC"/>
    <w:rsid w:val="0035575E"/>
    <w:rsid w:val="003565B4"/>
    <w:rsid w:val="003610BC"/>
    <w:rsid w:val="00362E75"/>
    <w:rsid w:val="003631AA"/>
    <w:rsid w:val="003632D5"/>
    <w:rsid w:val="00363575"/>
    <w:rsid w:val="00364EF9"/>
    <w:rsid w:val="00367579"/>
    <w:rsid w:val="0036795B"/>
    <w:rsid w:val="00370A29"/>
    <w:rsid w:val="003722F9"/>
    <w:rsid w:val="00372349"/>
    <w:rsid w:val="00372CBC"/>
    <w:rsid w:val="00373A61"/>
    <w:rsid w:val="00374BDE"/>
    <w:rsid w:val="00376B39"/>
    <w:rsid w:val="003772C0"/>
    <w:rsid w:val="00377BAC"/>
    <w:rsid w:val="00380142"/>
    <w:rsid w:val="00380558"/>
    <w:rsid w:val="00381D3C"/>
    <w:rsid w:val="0038223E"/>
    <w:rsid w:val="00382D92"/>
    <w:rsid w:val="00385AEF"/>
    <w:rsid w:val="003860EA"/>
    <w:rsid w:val="0038781A"/>
    <w:rsid w:val="0039080B"/>
    <w:rsid w:val="0039326E"/>
    <w:rsid w:val="00394E22"/>
    <w:rsid w:val="003967A4"/>
    <w:rsid w:val="00397FA3"/>
    <w:rsid w:val="003A1596"/>
    <w:rsid w:val="003A317E"/>
    <w:rsid w:val="003A345B"/>
    <w:rsid w:val="003A49EE"/>
    <w:rsid w:val="003A674D"/>
    <w:rsid w:val="003A7123"/>
    <w:rsid w:val="003B102E"/>
    <w:rsid w:val="003B2167"/>
    <w:rsid w:val="003B5F5D"/>
    <w:rsid w:val="003B62C8"/>
    <w:rsid w:val="003C0C62"/>
    <w:rsid w:val="003C12DC"/>
    <w:rsid w:val="003C2CDA"/>
    <w:rsid w:val="003C5068"/>
    <w:rsid w:val="003D000A"/>
    <w:rsid w:val="003D31E9"/>
    <w:rsid w:val="003D41CA"/>
    <w:rsid w:val="003D544E"/>
    <w:rsid w:val="003D5980"/>
    <w:rsid w:val="003E0842"/>
    <w:rsid w:val="003E13B0"/>
    <w:rsid w:val="003E2580"/>
    <w:rsid w:val="003E3DEE"/>
    <w:rsid w:val="003E3EBB"/>
    <w:rsid w:val="003E4A4C"/>
    <w:rsid w:val="003E4CBA"/>
    <w:rsid w:val="003E4D2F"/>
    <w:rsid w:val="003E4EDC"/>
    <w:rsid w:val="003E599D"/>
    <w:rsid w:val="003E5C81"/>
    <w:rsid w:val="003E6965"/>
    <w:rsid w:val="003F00E8"/>
    <w:rsid w:val="003F1936"/>
    <w:rsid w:val="003F1BDD"/>
    <w:rsid w:val="003F3BA3"/>
    <w:rsid w:val="003F3BD5"/>
    <w:rsid w:val="003F400E"/>
    <w:rsid w:val="003F6F35"/>
    <w:rsid w:val="003F7768"/>
    <w:rsid w:val="00400E8C"/>
    <w:rsid w:val="004017DC"/>
    <w:rsid w:val="00401B53"/>
    <w:rsid w:val="00402668"/>
    <w:rsid w:val="00404FEC"/>
    <w:rsid w:val="0040534D"/>
    <w:rsid w:val="00405FAD"/>
    <w:rsid w:val="004117AB"/>
    <w:rsid w:val="00412B2F"/>
    <w:rsid w:val="0041392D"/>
    <w:rsid w:val="00415281"/>
    <w:rsid w:val="00415716"/>
    <w:rsid w:val="0041604D"/>
    <w:rsid w:val="00417842"/>
    <w:rsid w:val="00417A6E"/>
    <w:rsid w:val="0042285D"/>
    <w:rsid w:val="00427D2B"/>
    <w:rsid w:val="00430B13"/>
    <w:rsid w:val="00430CE5"/>
    <w:rsid w:val="0043153C"/>
    <w:rsid w:val="00431D0F"/>
    <w:rsid w:val="0043481C"/>
    <w:rsid w:val="0043596E"/>
    <w:rsid w:val="00444307"/>
    <w:rsid w:val="0044436F"/>
    <w:rsid w:val="004443EB"/>
    <w:rsid w:val="00444432"/>
    <w:rsid w:val="00444673"/>
    <w:rsid w:val="0044621E"/>
    <w:rsid w:val="00447BF1"/>
    <w:rsid w:val="00450BA4"/>
    <w:rsid w:val="004511FC"/>
    <w:rsid w:val="00456784"/>
    <w:rsid w:val="00456DCA"/>
    <w:rsid w:val="00461140"/>
    <w:rsid w:val="004611DB"/>
    <w:rsid w:val="00461294"/>
    <w:rsid w:val="004612EB"/>
    <w:rsid w:val="004658B0"/>
    <w:rsid w:val="00465B66"/>
    <w:rsid w:val="0046614B"/>
    <w:rsid w:val="00467FD7"/>
    <w:rsid w:val="00470073"/>
    <w:rsid w:val="00472430"/>
    <w:rsid w:val="004730F8"/>
    <w:rsid w:val="00474353"/>
    <w:rsid w:val="00474555"/>
    <w:rsid w:val="004750F4"/>
    <w:rsid w:val="0047663D"/>
    <w:rsid w:val="00476CB1"/>
    <w:rsid w:val="00480A48"/>
    <w:rsid w:val="00482501"/>
    <w:rsid w:val="00482E7D"/>
    <w:rsid w:val="00484395"/>
    <w:rsid w:val="004865FB"/>
    <w:rsid w:val="00486C03"/>
    <w:rsid w:val="00491AB3"/>
    <w:rsid w:val="00496DE8"/>
    <w:rsid w:val="00497A33"/>
    <w:rsid w:val="004A1112"/>
    <w:rsid w:val="004A1DA0"/>
    <w:rsid w:val="004A1F20"/>
    <w:rsid w:val="004A2393"/>
    <w:rsid w:val="004A3569"/>
    <w:rsid w:val="004A452A"/>
    <w:rsid w:val="004A5F2C"/>
    <w:rsid w:val="004A6E4F"/>
    <w:rsid w:val="004A720D"/>
    <w:rsid w:val="004B00D0"/>
    <w:rsid w:val="004B6084"/>
    <w:rsid w:val="004B7AE0"/>
    <w:rsid w:val="004C0BC4"/>
    <w:rsid w:val="004C260D"/>
    <w:rsid w:val="004C2D47"/>
    <w:rsid w:val="004C4357"/>
    <w:rsid w:val="004C4477"/>
    <w:rsid w:val="004C5730"/>
    <w:rsid w:val="004C6397"/>
    <w:rsid w:val="004C668F"/>
    <w:rsid w:val="004C682B"/>
    <w:rsid w:val="004D142C"/>
    <w:rsid w:val="004D29F7"/>
    <w:rsid w:val="004D36D8"/>
    <w:rsid w:val="004D4C5C"/>
    <w:rsid w:val="004D5AB0"/>
    <w:rsid w:val="004D5EAE"/>
    <w:rsid w:val="004D7A0E"/>
    <w:rsid w:val="004E06E7"/>
    <w:rsid w:val="004E0AE3"/>
    <w:rsid w:val="004E20D3"/>
    <w:rsid w:val="004E2C82"/>
    <w:rsid w:val="004E4FAE"/>
    <w:rsid w:val="004E62C7"/>
    <w:rsid w:val="004E68FF"/>
    <w:rsid w:val="004E7A1B"/>
    <w:rsid w:val="004F0B7F"/>
    <w:rsid w:val="004F1193"/>
    <w:rsid w:val="004F11DC"/>
    <w:rsid w:val="004F2124"/>
    <w:rsid w:val="004F271B"/>
    <w:rsid w:val="004F3A52"/>
    <w:rsid w:val="004F449F"/>
    <w:rsid w:val="004F4E7E"/>
    <w:rsid w:val="004F63AB"/>
    <w:rsid w:val="004F6B76"/>
    <w:rsid w:val="004F6C7C"/>
    <w:rsid w:val="004F7F1A"/>
    <w:rsid w:val="004F7FBB"/>
    <w:rsid w:val="005042B3"/>
    <w:rsid w:val="005045AB"/>
    <w:rsid w:val="00507D43"/>
    <w:rsid w:val="005103F2"/>
    <w:rsid w:val="00510E2C"/>
    <w:rsid w:val="00511FDC"/>
    <w:rsid w:val="005124C6"/>
    <w:rsid w:val="00513EBC"/>
    <w:rsid w:val="00514CE1"/>
    <w:rsid w:val="00517155"/>
    <w:rsid w:val="00517DB3"/>
    <w:rsid w:val="005200DC"/>
    <w:rsid w:val="005200F2"/>
    <w:rsid w:val="00521E78"/>
    <w:rsid w:val="0052369D"/>
    <w:rsid w:val="005271DB"/>
    <w:rsid w:val="00530D2F"/>
    <w:rsid w:val="0053487C"/>
    <w:rsid w:val="005356E1"/>
    <w:rsid w:val="005359F0"/>
    <w:rsid w:val="00536A8B"/>
    <w:rsid w:val="00537C2F"/>
    <w:rsid w:val="00540418"/>
    <w:rsid w:val="00541A96"/>
    <w:rsid w:val="00541C6A"/>
    <w:rsid w:val="00542C54"/>
    <w:rsid w:val="00546A43"/>
    <w:rsid w:val="00546C70"/>
    <w:rsid w:val="00547258"/>
    <w:rsid w:val="00550CF0"/>
    <w:rsid w:val="005559FE"/>
    <w:rsid w:val="005560D6"/>
    <w:rsid w:val="00556D07"/>
    <w:rsid w:val="005611F2"/>
    <w:rsid w:val="00561734"/>
    <w:rsid w:val="00561952"/>
    <w:rsid w:val="00564B9A"/>
    <w:rsid w:val="00565694"/>
    <w:rsid w:val="00566DD6"/>
    <w:rsid w:val="005714EF"/>
    <w:rsid w:val="00571CEC"/>
    <w:rsid w:val="00572FCE"/>
    <w:rsid w:val="005750DB"/>
    <w:rsid w:val="005759FC"/>
    <w:rsid w:val="00575B85"/>
    <w:rsid w:val="00576DB9"/>
    <w:rsid w:val="0057738F"/>
    <w:rsid w:val="005805E4"/>
    <w:rsid w:val="0058202F"/>
    <w:rsid w:val="00584221"/>
    <w:rsid w:val="00584EB6"/>
    <w:rsid w:val="00586B68"/>
    <w:rsid w:val="0058774E"/>
    <w:rsid w:val="005878CF"/>
    <w:rsid w:val="00590CA0"/>
    <w:rsid w:val="00595B01"/>
    <w:rsid w:val="00595DB4"/>
    <w:rsid w:val="00596D98"/>
    <w:rsid w:val="005979A5"/>
    <w:rsid w:val="005A0021"/>
    <w:rsid w:val="005A017B"/>
    <w:rsid w:val="005A2AEC"/>
    <w:rsid w:val="005A412D"/>
    <w:rsid w:val="005A5212"/>
    <w:rsid w:val="005B002D"/>
    <w:rsid w:val="005B0C0F"/>
    <w:rsid w:val="005B0FFF"/>
    <w:rsid w:val="005B19AF"/>
    <w:rsid w:val="005B258C"/>
    <w:rsid w:val="005B61DD"/>
    <w:rsid w:val="005B6735"/>
    <w:rsid w:val="005B7831"/>
    <w:rsid w:val="005C0CD6"/>
    <w:rsid w:val="005C12D9"/>
    <w:rsid w:val="005C2146"/>
    <w:rsid w:val="005C309D"/>
    <w:rsid w:val="005C544B"/>
    <w:rsid w:val="005C5916"/>
    <w:rsid w:val="005C5AEE"/>
    <w:rsid w:val="005C774A"/>
    <w:rsid w:val="005C7A59"/>
    <w:rsid w:val="005D3734"/>
    <w:rsid w:val="005D40A0"/>
    <w:rsid w:val="005D4F16"/>
    <w:rsid w:val="005D5A53"/>
    <w:rsid w:val="005D5DA0"/>
    <w:rsid w:val="005D7FBD"/>
    <w:rsid w:val="005E19B4"/>
    <w:rsid w:val="005E1D6B"/>
    <w:rsid w:val="005E227A"/>
    <w:rsid w:val="005E2CF8"/>
    <w:rsid w:val="005E3126"/>
    <w:rsid w:val="005E7075"/>
    <w:rsid w:val="005E75A7"/>
    <w:rsid w:val="005F38E2"/>
    <w:rsid w:val="005F3EE6"/>
    <w:rsid w:val="005F6736"/>
    <w:rsid w:val="00601A79"/>
    <w:rsid w:val="00602C10"/>
    <w:rsid w:val="00602EBD"/>
    <w:rsid w:val="00604CF2"/>
    <w:rsid w:val="00606DFF"/>
    <w:rsid w:val="00606FB7"/>
    <w:rsid w:val="00610533"/>
    <w:rsid w:val="006110F6"/>
    <w:rsid w:val="00611FA1"/>
    <w:rsid w:val="00612522"/>
    <w:rsid w:val="00612DA6"/>
    <w:rsid w:val="0061365B"/>
    <w:rsid w:val="006138B6"/>
    <w:rsid w:val="00614BC6"/>
    <w:rsid w:val="00614E33"/>
    <w:rsid w:val="006158B8"/>
    <w:rsid w:val="0061706D"/>
    <w:rsid w:val="006173DA"/>
    <w:rsid w:val="00617EF9"/>
    <w:rsid w:val="00620295"/>
    <w:rsid w:val="00622F8E"/>
    <w:rsid w:val="00626AC8"/>
    <w:rsid w:val="00627912"/>
    <w:rsid w:val="0063195F"/>
    <w:rsid w:val="0063599A"/>
    <w:rsid w:val="00636C0A"/>
    <w:rsid w:val="00637EC6"/>
    <w:rsid w:val="00641EC1"/>
    <w:rsid w:val="0064240C"/>
    <w:rsid w:val="00642DC3"/>
    <w:rsid w:val="00642FF5"/>
    <w:rsid w:val="006430FB"/>
    <w:rsid w:val="00643992"/>
    <w:rsid w:val="00644DBC"/>
    <w:rsid w:val="00646FE6"/>
    <w:rsid w:val="006474CD"/>
    <w:rsid w:val="00647744"/>
    <w:rsid w:val="006479A0"/>
    <w:rsid w:val="006500D9"/>
    <w:rsid w:val="00653B54"/>
    <w:rsid w:val="006541A3"/>
    <w:rsid w:val="00654FAD"/>
    <w:rsid w:val="00655C9F"/>
    <w:rsid w:val="006567FF"/>
    <w:rsid w:val="00656867"/>
    <w:rsid w:val="0066109F"/>
    <w:rsid w:val="00664B26"/>
    <w:rsid w:val="0066596B"/>
    <w:rsid w:val="00670295"/>
    <w:rsid w:val="006704F5"/>
    <w:rsid w:val="00672894"/>
    <w:rsid w:val="00674B47"/>
    <w:rsid w:val="00675A12"/>
    <w:rsid w:val="0067609E"/>
    <w:rsid w:val="00677749"/>
    <w:rsid w:val="00680E07"/>
    <w:rsid w:val="00682B9D"/>
    <w:rsid w:val="00683806"/>
    <w:rsid w:val="00684E3C"/>
    <w:rsid w:val="00686AF9"/>
    <w:rsid w:val="006910C0"/>
    <w:rsid w:val="00691954"/>
    <w:rsid w:val="0069320E"/>
    <w:rsid w:val="00693D13"/>
    <w:rsid w:val="00694F1F"/>
    <w:rsid w:val="00694F58"/>
    <w:rsid w:val="006955BC"/>
    <w:rsid w:val="006959E2"/>
    <w:rsid w:val="00696920"/>
    <w:rsid w:val="00697EB9"/>
    <w:rsid w:val="006A20D4"/>
    <w:rsid w:val="006A268D"/>
    <w:rsid w:val="006A350F"/>
    <w:rsid w:val="006A3957"/>
    <w:rsid w:val="006A39A4"/>
    <w:rsid w:val="006A41D6"/>
    <w:rsid w:val="006A669D"/>
    <w:rsid w:val="006A6E41"/>
    <w:rsid w:val="006B012F"/>
    <w:rsid w:val="006B27CF"/>
    <w:rsid w:val="006B41BD"/>
    <w:rsid w:val="006B5678"/>
    <w:rsid w:val="006B62B2"/>
    <w:rsid w:val="006B6D51"/>
    <w:rsid w:val="006C1C57"/>
    <w:rsid w:val="006C5760"/>
    <w:rsid w:val="006C6D6F"/>
    <w:rsid w:val="006D0D78"/>
    <w:rsid w:val="006D1128"/>
    <w:rsid w:val="006D2848"/>
    <w:rsid w:val="006D30E0"/>
    <w:rsid w:val="006D5521"/>
    <w:rsid w:val="006D59F0"/>
    <w:rsid w:val="006D5FE9"/>
    <w:rsid w:val="006D6CBB"/>
    <w:rsid w:val="006D76A9"/>
    <w:rsid w:val="006D77F4"/>
    <w:rsid w:val="006E0898"/>
    <w:rsid w:val="006E41CD"/>
    <w:rsid w:val="006F3BEC"/>
    <w:rsid w:val="006F6829"/>
    <w:rsid w:val="00700478"/>
    <w:rsid w:val="00701821"/>
    <w:rsid w:val="00703C00"/>
    <w:rsid w:val="007057CC"/>
    <w:rsid w:val="007066F2"/>
    <w:rsid w:val="00706AE5"/>
    <w:rsid w:val="0070740A"/>
    <w:rsid w:val="00711F93"/>
    <w:rsid w:val="00712940"/>
    <w:rsid w:val="0071428C"/>
    <w:rsid w:val="00715A16"/>
    <w:rsid w:val="007164B0"/>
    <w:rsid w:val="007166FF"/>
    <w:rsid w:val="00720794"/>
    <w:rsid w:val="007260CC"/>
    <w:rsid w:val="00726543"/>
    <w:rsid w:val="0073353E"/>
    <w:rsid w:val="00733E7F"/>
    <w:rsid w:val="00736633"/>
    <w:rsid w:val="00741EE7"/>
    <w:rsid w:val="00743A79"/>
    <w:rsid w:val="007444D4"/>
    <w:rsid w:val="0074594D"/>
    <w:rsid w:val="007459F3"/>
    <w:rsid w:val="00746E35"/>
    <w:rsid w:val="007470E2"/>
    <w:rsid w:val="00751A63"/>
    <w:rsid w:val="0075232F"/>
    <w:rsid w:val="00753132"/>
    <w:rsid w:val="007550B3"/>
    <w:rsid w:val="00760451"/>
    <w:rsid w:val="0077182A"/>
    <w:rsid w:val="00771913"/>
    <w:rsid w:val="00772718"/>
    <w:rsid w:val="00775BCF"/>
    <w:rsid w:val="007818AA"/>
    <w:rsid w:val="00783140"/>
    <w:rsid w:val="007838B6"/>
    <w:rsid w:val="00783E77"/>
    <w:rsid w:val="007869A7"/>
    <w:rsid w:val="007906F1"/>
    <w:rsid w:val="0079243D"/>
    <w:rsid w:val="00794A9B"/>
    <w:rsid w:val="0079583B"/>
    <w:rsid w:val="00796602"/>
    <w:rsid w:val="00797185"/>
    <w:rsid w:val="007976B7"/>
    <w:rsid w:val="00797A7E"/>
    <w:rsid w:val="00797D6F"/>
    <w:rsid w:val="007B014B"/>
    <w:rsid w:val="007B0D88"/>
    <w:rsid w:val="007B306F"/>
    <w:rsid w:val="007B4714"/>
    <w:rsid w:val="007B4E82"/>
    <w:rsid w:val="007C1996"/>
    <w:rsid w:val="007C203D"/>
    <w:rsid w:val="007C3773"/>
    <w:rsid w:val="007C3F1F"/>
    <w:rsid w:val="007D2D0D"/>
    <w:rsid w:val="007D3325"/>
    <w:rsid w:val="007D3818"/>
    <w:rsid w:val="007D6DC5"/>
    <w:rsid w:val="007D7425"/>
    <w:rsid w:val="007E320E"/>
    <w:rsid w:val="007E3280"/>
    <w:rsid w:val="007E4A02"/>
    <w:rsid w:val="007E595C"/>
    <w:rsid w:val="007E59A5"/>
    <w:rsid w:val="007F3B8C"/>
    <w:rsid w:val="007F41D0"/>
    <w:rsid w:val="007F4B8B"/>
    <w:rsid w:val="007F5957"/>
    <w:rsid w:val="007F615D"/>
    <w:rsid w:val="007F70B6"/>
    <w:rsid w:val="007F74CA"/>
    <w:rsid w:val="007F7B5B"/>
    <w:rsid w:val="008001F0"/>
    <w:rsid w:val="00800F1E"/>
    <w:rsid w:val="0080195A"/>
    <w:rsid w:val="00801B76"/>
    <w:rsid w:val="0080239C"/>
    <w:rsid w:val="00802841"/>
    <w:rsid w:val="008037D5"/>
    <w:rsid w:val="00805447"/>
    <w:rsid w:val="008054FA"/>
    <w:rsid w:val="0080717A"/>
    <w:rsid w:val="00807DFA"/>
    <w:rsid w:val="0081009F"/>
    <w:rsid w:val="00810152"/>
    <w:rsid w:val="008115AB"/>
    <w:rsid w:val="00812D2C"/>
    <w:rsid w:val="0081334E"/>
    <w:rsid w:val="008159F4"/>
    <w:rsid w:val="008167C1"/>
    <w:rsid w:val="008167C6"/>
    <w:rsid w:val="00816B8F"/>
    <w:rsid w:val="00820331"/>
    <w:rsid w:val="00820BF5"/>
    <w:rsid w:val="008212B1"/>
    <w:rsid w:val="0082155A"/>
    <w:rsid w:val="0082209F"/>
    <w:rsid w:val="008223C2"/>
    <w:rsid w:val="008250A2"/>
    <w:rsid w:val="008252AB"/>
    <w:rsid w:val="00825D64"/>
    <w:rsid w:val="0082650B"/>
    <w:rsid w:val="00826F41"/>
    <w:rsid w:val="008301CE"/>
    <w:rsid w:val="008312E3"/>
    <w:rsid w:val="00831D5B"/>
    <w:rsid w:val="00832DD6"/>
    <w:rsid w:val="00832F0C"/>
    <w:rsid w:val="008336F2"/>
    <w:rsid w:val="008345D9"/>
    <w:rsid w:val="008347CB"/>
    <w:rsid w:val="00835647"/>
    <w:rsid w:val="00837A2E"/>
    <w:rsid w:val="00841558"/>
    <w:rsid w:val="00842A68"/>
    <w:rsid w:val="008435BA"/>
    <w:rsid w:val="0084558B"/>
    <w:rsid w:val="0084654A"/>
    <w:rsid w:val="008471E2"/>
    <w:rsid w:val="00847654"/>
    <w:rsid w:val="00851064"/>
    <w:rsid w:val="008510DB"/>
    <w:rsid w:val="00855543"/>
    <w:rsid w:val="008566B3"/>
    <w:rsid w:val="008576B7"/>
    <w:rsid w:val="00857F7B"/>
    <w:rsid w:val="00863DA1"/>
    <w:rsid w:val="008654A6"/>
    <w:rsid w:val="00865D86"/>
    <w:rsid w:val="00870495"/>
    <w:rsid w:val="00870EA1"/>
    <w:rsid w:val="008710C5"/>
    <w:rsid w:val="00874438"/>
    <w:rsid w:val="00874E75"/>
    <w:rsid w:val="008767F3"/>
    <w:rsid w:val="00876CEF"/>
    <w:rsid w:val="00877342"/>
    <w:rsid w:val="008803C3"/>
    <w:rsid w:val="00881450"/>
    <w:rsid w:val="008817C7"/>
    <w:rsid w:val="00881875"/>
    <w:rsid w:val="008848A3"/>
    <w:rsid w:val="00884AF1"/>
    <w:rsid w:val="00885F7A"/>
    <w:rsid w:val="00890712"/>
    <w:rsid w:val="00890D81"/>
    <w:rsid w:val="00891B42"/>
    <w:rsid w:val="00892955"/>
    <w:rsid w:val="00893628"/>
    <w:rsid w:val="008941EB"/>
    <w:rsid w:val="0089545A"/>
    <w:rsid w:val="00895A02"/>
    <w:rsid w:val="008A01EE"/>
    <w:rsid w:val="008A0DAC"/>
    <w:rsid w:val="008A3B78"/>
    <w:rsid w:val="008A3E09"/>
    <w:rsid w:val="008A4166"/>
    <w:rsid w:val="008A7DBF"/>
    <w:rsid w:val="008B136C"/>
    <w:rsid w:val="008B1D48"/>
    <w:rsid w:val="008B53C2"/>
    <w:rsid w:val="008B55EF"/>
    <w:rsid w:val="008B5FE7"/>
    <w:rsid w:val="008B6910"/>
    <w:rsid w:val="008B7D3E"/>
    <w:rsid w:val="008C0B5C"/>
    <w:rsid w:val="008C1343"/>
    <w:rsid w:val="008C3912"/>
    <w:rsid w:val="008C3FB5"/>
    <w:rsid w:val="008C5598"/>
    <w:rsid w:val="008C69EA"/>
    <w:rsid w:val="008C6F8B"/>
    <w:rsid w:val="008C7AB7"/>
    <w:rsid w:val="008C7F70"/>
    <w:rsid w:val="008C7FB4"/>
    <w:rsid w:val="008D2C8C"/>
    <w:rsid w:val="008D3040"/>
    <w:rsid w:val="008D3ECD"/>
    <w:rsid w:val="008D5C03"/>
    <w:rsid w:val="008D7580"/>
    <w:rsid w:val="008D7C35"/>
    <w:rsid w:val="008E5698"/>
    <w:rsid w:val="008E5733"/>
    <w:rsid w:val="008E77D2"/>
    <w:rsid w:val="008E78FD"/>
    <w:rsid w:val="008F199D"/>
    <w:rsid w:val="008F38A0"/>
    <w:rsid w:val="008F39C9"/>
    <w:rsid w:val="008F5EB5"/>
    <w:rsid w:val="008F678C"/>
    <w:rsid w:val="008F75A7"/>
    <w:rsid w:val="008F7E5A"/>
    <w:rsid w:val="00900A7F"/>
    <w:rsid w:val="009036EE"/>
    <w:rsid w:val="00905815"/>
    <w:rsid w:val="00905D1D"/>
    <w:rsid w:val="0091016D"/>
    <w:rsid w:val="00910C98"/>
    <w:rsid w:val="009114FE"/>
    <w:rsid w:val="00911910"/>
    <w:rsid w:val="00912A58"/>
    <w:rsid w:val="00913908"/>
    <w:rsid w:val="00913D26"/>
    <w:rsid w:val="0091438B"/>
    <w:rsid w:val="009147E3"/>
    <w:rsid w:val="00920FD2"/>
    <w:rsid w:val="0092298B"/>
    <w:rsid w:val="00923A43"/>
    <w:rsid w:val="0092439C"/>
    <w:rsid w:val="0092498E"/>
    <w:rsid w:val="00925B91"/>
    <w:rsid w:val="00934461"/>
    <w:rsid w:val="00934F7E"/>
    <w:rsid w:val="00936A1C"/>
    <w:rsid w:val="00943E35"/>
    <w:rsid w:val="00945278"/>
    <w:rsid w:val="0094658D"/>
    <w:rsid w:val="00947678"/>
    <w:rsid w:val="00947878"/>
    <w:rsid w:val="00947A27"/>
    <w:rsid w:val="009504C2"/>
    <w:rsid w:val="0095254A"/>
    <w:rsid w:val="0095273B"/>
    <w:rsid w:val="009559E1"/>
    <w:rsid w:val="009568D5"/>
    <w:rsid w:val="00957CD3"/>
    <w:rsid w:val="0096269B"/>
    <w:rsid w:val="00963FB0"/>
    <w:rsid w:val="00964C86"/>
    <w:rsid w:val="00965E82"/>
    <w:rsid w:val="009664BB"/>
    <w:rsid w:val="009669F8"/>
    <w:rsid w:val="00966F89"/>
    <w:rsid w:val="00973B5D"/>
    <w:rsid w:val="009756B0"/>
    <w:rsid w:val="0097755E"/>
    <w:rsid w:val="00981467"/>
    <w:rsid w:val="00981C24"/>
    <w:rsid w:val="009852F6"/>
    <w:rsid w:val="00985DE5"/>
    <w:rsid w:val="00986254"/>
    <w:rsid w:val="0098729E"/>
    <w:rsid w:val="00990067"/>
    <w:rsid w:val="00992977"/>
    <w:rsid w:val="009937D4"/>
    <w:rsid w:val="00993C78"/>
    <w:rsid w:val="009948C7"/>
    <w:rsid w:val="00995850"/>
    <w:rsid w:val="0099796C"/>
    <w:rsid w:val="009A194E"/>
    <w:rsid w:val="009A1EA2"/>
    <w:rsid w:val="009A209E"/>
    <w:rsid w:val="009A3FD7"/>
    <w:rsid w:val="009A6652"/>
    <w:rsid w:val="009A74FD"/>
    <w:rsid w:val="009B25D8"/>
    <w:rsid w:val="009B42E3"/>
    <w:rsid w:val="009B5859"/>
    <w:rsid w:val="009C6B5D"/>
    <w:rsid w:val="009C6D07"/>
    <w:rsid w:val="009C7CEC"/>
    <w:rsid w:val="009D154D"/>
    <w:rsid w:val="009D18EF"/>
    <w:rsid w:val="009D3BE8"/>
    <w:rsid w:val="009D44E0"/>
    <w:rsid w:val="009D573B"/>
    <w:rsid w:val="009D59A0"/>
    <w:rsid w:val="009D716A"/>
    <w:rsid w:val="009E1AC4"/>
    <w:rsid w:val="009E20B8"/>
    <w:rsid w:val="009E29A0"/>
    <w:rsid w:val="009E41B5"/>
    <w:rsid w:val="009E55D7"/>
    <w:rsid w:val="009E627C"/>
    <w:rsid w:val="009F110B"/>
    <w:rsid w:val="009F111D"/>
    <w:rsid w:val="009F1498"/>
    <w:rsid w:val="009F1E9F"/>
    <w:rsid w:val="009F3793"/>
    <w:rsid w:val="009F54F2"/>
    <w:rsid w:val="009F7746"/>
    <w:rsid w:val="00A0056B"/>
    <w:rsid w:val="00A01657"/>
    <w:rsid w:val="00A01C65"/>
    <w:rsid w:val="00A0213D"/>
    <w:rsid w:val="00A04C73"/>
    <w:rsid w:val="00A0679A"/>
    <w:rsid w:val="00A07A2B"/>
    <w:rsid w:val="00A1069E"/>
    <w:rsid w:val="00A12375"/>
    <w:rsid w:val="00A125B8"/>
    <w:rsid w:val="00A13124"/>
    <w:rsid w:val="00A15370"/>
    <w:rsid w:val="00A156AB"/>
    <w:rsid w:val="00A16B8D"/>
    <w:rsid w:val="00A21293"/>
    <w:rsid w:val="00A2134B"/>
    <w:rsid w:val="00A21623"/>
    <w:rsid w:val="00A220EB"/>
    <w:rsid w:val="00A22302"/>
    <w:rsid w:val="00A22F84"/>
    <w:rsid w:val="00A25F1B"/>
    <w:rsid w:val="00A325F3"/>
    <w:rsid w:val="00A32992"/>
    <w:rsid w:val="00A33103"/>
    <w:rsid w:val="00A33294"/>
    <w:rsid w:val="00A35DCB"/>
    <w:rsid w:val="00A3690E"/>
    <w:rsid w:val="00A37751"/>
    <w:rsid w:val="00A406B1"/>
    <w:rsid w:val="00A4113E"/>
    <w:rsid w:val="00A42435"/>
    <w:rsid w:val="00A438BA"/>
    <w:rsid w:val="00A446FD"/>
    <w:rsid w:val="00A46F46"/>
    <w:rsid w:val="00A52CB6"/>
    <w:rsid w:val="00A52F99"/>
    <w:rsid w:val="00A538BB"/>
    <w:rsid w:val="00A54164"/>
    <w:rsid w:val="00A56737"/>
    <w:rsid w:val="00A60002"/>
    <w:rsid w:val="00A603D8"/>
    <w:rsid w:val="00A60AE2"/>
    <w:rsid w:val="00A61834"/>
    <w:rsid w:val="00A618B0"/>
    <w:rsid w:val="00A62790"/>
    <w:rsid w:val="00A6291F"/>
    <w:rsid w:val="00A63F53"/>
    <w:rsid w:val="00A65F4E"/>
    <w:rsid w:val="00A7111E"/>
    <w:rsid w:val="00A755B6"/>
    <w:rsid w:val="00A75B1A"/>
    <w:rsid w:val="00A80ED4"/>
    <w:rsid w:val="00A816C4"/>
    <w:rsid w:val="00A82981"/>
    <w:rsid w:val="00A86F10"/>
    <w:rsid w:val="00A87AF2"/>
    <w:rsid w:val="00A90965"/>
    <w:rsid w:val="00A90B23"/>
    <w:rsid w:val="00A92EBE"/>
    <w:rsid w:val="00A93193"/>
    <w:rsid w:val="00A93C2B"/>
    <w:rsid w:val="00A94556"/>
    <w:rsid w:val="00A974CB"/>
    <w:rsid w:val="00AA1EAC"/>
    <w:rsid w:val="00AA45E2"/>
    <w:rsid w:val="00AA7AC1"/>
    <w:rsid w:val="00AB0455"/>
    <w:rsid w:val="00AB6327"/>
    <w:rsid w:val="00AB6B8F"/>
    <w:rsid w:val="00AC0C65"/>
    <w:rsid w:val="00AC0FB2"/>
    <w:rsid w:val="00AC3721"/>
    <w:rsid w:val="00AC41C6"/>
    <w:rsid w:val="00AC55AA"/>
    <w:rsid w:val="00AC70C7"/>
    <w:rsid w:val="00AC76B7"/>
    <w:rsid w:val="00AD0223"/>
    <w:rsid w:val="00AD123A"/>
    <w:rsid w:val="00AD15FF"/>
    <w:rsid w:val="00AD1AA5"/>
    <w:rsid w:val="00AD2920"/>
    <w:rsid w:val="00AD2CD5"/>
    <w:rsid w:val="00AD2DFC"/>
    <w:rsid w:val="00AD33FA"/>
    <w:rsid w:val="00AD38C4"/>
    <w:rsid w:val="00AD5A4A"/>
    <w:rsid w:val="00AD60EE"/>
    <w:rsid w:val="00AD6A2B"/>
    <w:rsid w:val="00AD6C4A"/>
    <w:rsid w:val="00AD73D4"/>
    <w:rsid w:val="00AE1EA2"/>
    <w:rsid w:val="00AE2874"/>
    <w:rsid w:val="00AE2BA2"/>
    <w:rsid w:val="00AE2F98"/>
    <w:rsid w:val="00AE3602"/>
    <w:rsid w:val="00AE5342"/>
    <w:rsid w:val="00AE5987"/>
    <w:rsid w:val="00AE5ACF"/>
    <w:rsid w:val="00AE6472"/>
    <w:rsid w:val="00AE755C"/>
    <w:rsid w:val="00AF01E3"/>
    <w:rsid w:val="00AF1345"/>
    <w:rsid w:val="00AF38A8"/>
    <w:rsid w:val="00AF63EB"/>
    <w:rsid w:val="00B016D2"/>
    <w:rsid w:val="00B018EC"/>
    <w:rsid w:val="00B060C7"/>
    <w:rsid w:val="00B11AB7"/>
    <w:rsid w:val="00B12213"/>
    <w:rsid w:val="00B1282E"/>
    <w:rsid w:val="00B135E8"/>
    <w:rsid w:val="00B13710"/>
    <w:rsid w:val="00B22881"/>
    <w:rsid w:val="00B23EFC"/>
    <w:rsid w:val="00B24B72"/>
    <w:rsid w:val="00B25DB8"/>
    <w:rsid w:val="00B2656C"/>
    <w:rsid w:val="00B266E6"/>
    <w:rsid w:val="00B3094D"/>
    <w:rsid w:val="00B30B04"/>
    <w:rsid w:val="00B311BC"/>
    <w:rsid w:val="00B31810"/>
    <w:rsid w:val="00B31C10"/>
    <w:rsid w:val="00B3446D"/>
    <w:rsid w:val="00B34652"/>
    <w:rsid w:val="00B34F89"/>
    <w:rsid w:val="00B358C8"/>
    <w:rsid w:val="00B36185"/>
    <w:rsid w:val="00B3662F"/>
    <w:rsid w:val="00B373CD"/>
    <w:rsid w:val="00B377C8"/>
    <w:rsid w:val="00B400B8"/>
    <w:rsid w:val="00B404DE"/>
    <w:rsid w:val="00B40765"/>
    <w:rsid w:val="00B4232D"/>
    <w:rsid w:val="00B42682"/>
    <w:rsid w:val="00B43065"/>
    <w:rsid w:val="00B44784"/>
    <w:rsid w:val="00B449D0"/>
    <w:rsid w:val="00B456AB"/>
    <w:rsid w:val="00B46C2A"/>
    <w:rsid w:val="00B47E8B"/>
    <w:rsid w:val="00B51C67"/>
    <w:rsid w:val="00B53F86"/>
    <w:rsid w:val="00B53FDC"/>
    <w:rsid w:val="00B55431"/>
    <w:rsid w:val="00B55CAE"/>
    <w:rsid w:val="00B576C6"/>
    <w:rsid w:val="00B615F2"/>
    <w:rsid w:val="00B61A28"/>
    <w:rsid w:val="00B65C6D"/>
    <w:rsid w:val="00B66B06"/>
    <w:rsid w:val="00B67862"/>
    <w:rsid w:val="00B70634"/>
    <w:rsid w:val="00B70BE4"/>
    <w:rsid w:val="00B73880"/>
    <w:rsid w:val="00B73CF1"/>
    <w:rsid w:val="00B745B3"/>
    <w:rsid w:val="00B7599D"/>
    <w:rsid w:val="00B7648F"/>
    <w:rsid w:val="00B76E13"/>
    <w:rsid w:val="00B771EE"/>
    <w:rsid w:val="00B7765B"/>
    <w:rsid w:val="00B77B4B"/>
    <w:rsid w:val="00B80ABC"/>
    <w:rsid w:val="00B814C2"/>
    <w:rsid w:val="00B900FE"/>
    <w:rsid w:val="00B9064C"/>
    <w:rsid w:val="00BA0A14"/>
    <w:rsid w:val="00BA228D"/>
    <w:rsid w:val="00BA398D"/>
    <w:rsid w:val="00BA39D3"/>
    <w:rsid w:val="00BA5C56"/>
    <w:rsid w:val="00BA776F"/>
    <w:rsid w:val="00BB0C0D"/>
    <w:rsid w:val="00BB0D69"/>
    <w:rsid w:val="00BB366E"/>
    <w:rsid w:val="00BB3AF0"/>
    <w:rsid w:val="00BB4F70"/>
    <w:rsid w:val="00BB67FF"/>
    <w:rsid w:val="00BC11B9"/>
    <w:rsid w:val="00BC138C"/>
    <w:rsid w:val="00BC14CF"/>
    <w:rsid w:val="00BC1659"/>
    <w:rsid w:val="00BC2C91"/>
    <w:rsid w:val="00BC3A9C"/>
    <w:rsid w:val="00BC4305"/>
    <w:rsid w:val="00BC5288"/>
    <w:rsid w:val="00BC6A71"/>
    <w:rsid w:val="00BC6B2F"/>
    <w:rsid w:val="00BD0637"/>
    <w:rsid w:val="00BD08A8"/>
    <w:rsid w:val="00BD1BAC"/>
    <w:rsid w:val="00BD1FA8"/>
    <w:rsid w:val="00BD25A6"/>
    <w:rsid w:val="00BD4C95"/>
    <w:rsid w:val="00BD65FC"/>
    <w:rsid w:val="00BD7660"/>
    <w:rsid w:val="00BE0666"/>
    <w:rsid w:val="00BE2144"/>
    <w:rsid w:val="00BE24B9"/>
    <w:rsid w:val="00BE2AE8"/>
    <w:rsid w:val="00BE2D55"/>
    <w:rsid w:val="00BE38DD"/>
    <w:rsid w:val="00BE4AB1"/>
    <w:rsid w:val="00BF16C3"/>
    <w:rsid w:val="00BF38E0"/>
    <w:rsid w:val="00BF44FA"/>
    <w:rsid w:val="00BF57E1"/>
    <w:rsid w:val="00C003B4"/>
    <w:rsid w:val="00C00A5F"/>
    <w:rsid w:val="00C03E8A"/>
    <w:rsid w:val="00C042E0"/>
    <w:rsid w:val="00C051D9"/>
    <w:rsid w:val="00C06333"/>
    <w:rsid w:val="00C065C1"/>
    <w:rsid w:val="00C06F68"/>
    <w:rsid w:val="00C075BA"/>
    <w:rsid w:val="00C10A3A"/>
    <w:rsid w:val="00C11E20"/>
    <w:rsid w:val="00C15D16"/>
    <w:rsid w:val="00C20015"/>
    <w:rsid w:val="00C247DD"/>
    <w:rsid w:val="00C25B43"/>
    <w:rsid w:val="00C26A54"/>
    <w:rsid w:val="00C3261C"/>
    <w:rsid w:val="00C3318B"/>
    <w:rsid w:val="00C33C20"/>
    <w:rsid w:val="00C35362"/>
    <w:rsid w:val="00C357EA"/>
    <w:rsid w:val="00C379F8"/>
    <w:rsid w:val="00C37A1C"/>
    <w:rsid w:val="00C42323"/>
    <w:rsid w:val="00C4316E"/>
    <w:rsid w:val="00C453A9"/>
    <w:rsid w:val="00C465D5"/>
    <w:rsid w:val="00C4756A"/>
    <w:rsid w:val="00C47C39"/>
    <w:rsid w:val="00C50649"/>
    <w:rsid w:val="00C50E1F"/>
    <w:rsid w:val="00C51C09"/>
    <w:rsid w:val="00C52BB6"/>
    <w:rsid w:val="00C53471"/>
    <w:rsid w:val="00C540B1"/>
    <w:rsid w:val="00C55143"/>
    <w:rsid w:val="00C5611B"/>
    <w:rsid w:val="00C5695E"/>
    <w:rsid w:val="00C61528"/>
    <w:rsid w:val="00C63457"/>
    <w:rsid w:val="00C6418F"/>
    <w:rsid w:val="00C64964"/>
    <w:rsid w:val="00C6631E"/>
    <w:rsid w:val="00C67473"/>
    <w:rsid w:val="00C67AA4"/>
    <w:rsid w:val="00C7148C"/>
    <w:rsid w:val="00C72192"/>
    <w:rsid w:val="00C732E5"/>
    <w:rsid w:val="00C73D0B"/>
    <w:rsid w:val="00C75017"/>
    <w:rsid w:val="00C765B4"/>
    <w:rsid w:val="00C813EA"/>
    <w:rsid w:val="00C81496"/>
    <w:rsid w:val="00C82CE6"/>
    <w:rsid w:val="00C82E22"/>
    <w:rsid w:val="00C85144"/>
    <w:rsid w:val="00C86738"/>
    <w:rsid w:val="00C86A27"/>
    <w:rsid w:val="00C91517"/>
    <w:rsid w:val="00C929BD"/>
    <w:rsid w:val="00C931A2"/>
    <w:rsid w:val="00C95253"/>
    <w:rsid w:val="00CA02E1"/>
    <w:rsid w:val="00CA0DBE"/>
    <w:rsid w:val="00CA15DA"/>
    <w:rsid w:val="00CA224E"/>
    <w:rsid w:val="00CA41C5"/>
    <w:rsid w:val="00CA42B7"/>
    <w:rsid w:val="00CA4A53"/>
    <w:rsid w:val="00CA51F5"/>
    <w:rsid w:val="00CB218A"/>
    <w:rsid w:val="00CB225A"/>
    <w:rsid w:val="00CB69E6"/>
    <w:rsid w:val="00CB761B"/>
    <w:rsid w:val="00CB7E33"/>
    <w:rsid w:val="00CC13DF"/>
    <w:rsid w:val="00CC1EEE"/>
    <w:rsid w:val="00CC1F08"/>
    <w:rsid w:val="00CC562B"/>
    <w:rsid w:val="00CC6C15"/>
    <w:rsid w:val="00CC7FCF"/>
    <w:rsid w:val="00CD2749"/>
    <w:rsid w:val="00CD2A60"/>
    <w:rsid w:val="00CD306F"/>
    <w:rsid w:val="00CD3971"/>
    <w:rsid w:val="00CD3DAB"/>
    <w:rsid w:val="00CE0DF1"/>
    <w:rsid w:val="00CE3786"/>
    <w:rsid w:val="00CE4027"/>
    <w:rsid w:val="00CE47CC"/>
    <w:rsid w:val="00CE68F6"/>
    <w:rsid w:val="00CE7E27"/>
    <w:rsid w:val="00CF22AC"/>
    <w:rsid w:val="00CF2F0A"/>
    <w:rsid w:val="00CF79E8"/>
    <w:rsid w:val="00D015AA"/>
    <w:rsid w:val="00D021B8"/>
    <w:rsid w:val="00D03D90"/>
    <w:rsid w:val="00D04024"/>
    <w:rsid w:val="00D043EB"/>
    <w:rsid w:val="00D06705"/>
    <w:rsid w:val="00D06A9B"/>
    <w:rsid w:val="00D0750D"/>
    <w:rsid w:val="00D07DD8"/>
    <w:rsid w:val="00D1038F"/>
    <w:rsid w:val="00D10BF7"/>
    <w:rsid w:val="00D10FEB"/>
    <w:rsid w:val="00D13EEB"/>
    <w:rsid w:val="00D140A0"/>
    <w:rsid w:val="00D203D1"/>
    <w:rsid w:val="00D2057A"/>
    <w:rsid w:val="00D21D98"/>
    <w:rsid w:val="00D2317F"/>
    <w:rsid w:val="00D231A9"/>
    <w:rsid w:val="00D24391"/>
    <w:rsid w:val="00D2472B"/>
    <w:rsid w:val="00D253DD"/>
    <w:rsid w:val="00D256E6"/>
    <w:rsid w:val="00D26FFA"/>
    <w:rsid w:val="00D3215D"/>
    <w:rsid w:val="00D33352"/>
    <w:rsid w:val="00D347D9"/>
    <w:rsid w:val="00D35565"/>
    <w:rsid w:val="00D36A19"/>
    <w:rsid w:val="00D40DCF"/>
    <w:rsid w:val="00D41075"/>
    <w:rsid w:val="00D41C76"/>
    <w:rsid w:val="00D41DD8"/>
    <w:rsid w:val="00D4222C"/>
    <w:rsid w:val="00D425CE"/>
    <w:rsid w:val="00D42F40"/>
    <w:rsid w:val="00D4396C"/>
    <w:rsid w:val="00D4446F"/>
    <w:rsid w:val="00D44B55"/>
    <w:rsid w:val="00D45490"/>
    <w:rsid w:val="00D457B8"/>
    <w:rsid w:val="00D457E1"/>
    <w:rsid w:val="00D47BEB"/>
    <w:rsid w:val="00D50487"/>
    <w:rsid w:val="00D50563"/>
    <w:rsid w:val="00D50F50"/>
    <w:rsid w:val="00D5235F"/>
    <w:rsid w:val="00D52F50"/>
    <w:rsid w:val="00D5545A"/>
    <w:rsid w:val="00D55A98"/>
    <w:rsid w:val="00D56B49"/>
    <w:rsid w:val="00D6053F"/>
    <w:rsid w:val="00D6073D"/>
    <w:rsid w:val="00D618D6"/>
    <w:rsid w:val="00D62426"/>
    <w:rsid w:val="00D62804"/>
    <w:rsid w:val="00D70F55"/>
    <w:rsid w:val="00D70FA5"/>
    <w:rsid w:val="00D74171"/>
    <w:rsid w:val="00D7474C"/>
    <w:rsid w:val="00D8032C"/>
    <w:rsid w:val="00D80CE2"/>
    <w:rsid w:val="00D83080"/>
    <w:rsid w:val="00D84D5F"/>
    <w:rsid w:val="00D851E2"/>
    <w:rsid w:val="00D87FFA"/>
    <w:rsid w:val="00D91419"/>
    <w:rsid w:val="00D92A09"/>
    <w:rsid w:val="00D92D2A"/>
    <w:rsid w:val="00D92EEC"/>
    <w:rsid w:val="00D93470"/>
    <w:rsid w:val="00D9395F"/>
    <w:rsid w:val="00D93D55"/>
    <w:rsid w:val="00D941FA"/>
    <w:rsid w:val="00D94B59"/>
    <w:rsid w:val="00D95315"/>
    <w:rsid w:val="00D95952"/>
    <w:rsid w:val="00D95EAB"/>
    <w:rsid w:val="00DA0B39"/>
    <w:rsid w:val="00DA1203"/>
    <w:rsid w:val="00DA2316"/>
    <w:rsid w:val="00DA25E0"/>
    <w:rsid w:val="00DA2700"/>
    <w:rsid w:val="00DA3001"/>
    <w:rsid w:val="00DA3C5D"/>
    <w:rsid w:val="00DA3EFF"/>
    <w:rsid w:val="00DA7769"/>
    <w:rsid w:val="00DB08C6"/>
    <w:rsid w:val="00DB1BC2"/>
    <w:rsid w:val="00DB1CBB"/>
    <w:rsid w:val="00DB31ED"/>
    <w:rsid w:val="00DB4124"/>
    <w:rsid w:val="00DB4511"/>
    <w:rsid w:val="00DB4F0C"/>
    <w:rsid w:val="00DC0176"/>
    <w:rsid w:val="00DC043F"/>
    <w:rsid w:val="00DC093E"/>
    <w:rsid w:val="00DC0E29"/>
    <w:rsid w:val="00DC0E7A"/>
    <w:rsid w:val="00DC2A65"/>
    <w:rsid w:val="00DC2A86"/>
    <w:rsid w:val="00DC3631"/>
    <w:rsid w:val="00DC37F7"/>
    <w:rsid w:val="00DC6F54"/>
    <w:rsid w:val="00DD0C00"/>
    <w:rsid w:val="00DD0F8C"/>
    <w:rsid w:val="00DD116C"/>
    <w:rsid w:val="00DD23D5"/>
    <w:rsid w:val="00DD2AF1"/>
    <w:rsid w:val="00DD46DA"/>
    <w:rsid w:val="00DD6072"/>
    <w:rsid w:val="00DD62BE"/>
    <w:rsid w:val="00DD77D9"/>
    <w:rsid w:val="00DD7CA4"/>
    <w:rsid w:val="00DE0E02"/>
    <w:rsid w:val="00DE167C"/>
    <w:rsid w:val="00DE3B70"/>
    <w:rsid w:val="00DE5813"/>
    <w:rsid w:val="00DF10B1"/>
    <w:rsid w:val="00DF17AD"/>
    <w:rsid w:val="00DF1FDA"/>
    <w:rsid w:val="00DF3DD0"/>
    <w:rsid w:val="00DF4D50"/>
    <w:rsid w:val="00DF538C"/>
    <w:rsid w:val="00E021C2"/>
    <w:rsid w:val="00E024A3"/>
    <w:rsid w:val="00E0423D"/>
    <w:rsid w:val="00E057B5"/>
    <w:rsid w:val="00E0581E"/>
    <w:rsid w:val="00E079C5"/>
    <w:rsid w:val="00E07CBD"/>
    <w:rsid w:val="00E07F56"/>
    <w:rsid w:val="00E10A16"/>
    <w:rsid w:val="00E1112F"/>
    <w:rsid w:val="00E1318F"/>
    <w:rsid w:val="00E13B3B"/>
    <w:rsid w:val="00E13E29"/>
    <w:rsid w:val="00E16857"/>
    <w:rsid w:val="00E16C3A"/>
    <w:rsid w:val="00E20651"/>
    <w:rsid w:val="00E2107C"/>
    <w:rsid w:val="00E21E70"/>
    <w:rsid w:val="00E224DE"/>
    <w:rsid w:val="00E23DCE"/>
    <w:rsid w:val="00E26363"/>
    <w:rsid w:val="00E272A4"/>
    <w:rsid w:val="00E305F9"/>
    <w:rsid w:val="00E306AC"/>
    <w:rsid w:val="00E34446"/>
    <w:rsid w:val="00E3633B"/>
    <w:rsid w:val="00E36870"/>
    <w:rsid w:val="00E374E1"/>
    <w:rsid w:val="00E417AB"/>
    <w:rsid w:val="00E43D48"/>
    <w:rsid w:val="00E4542D"/>
    <w:rsid w:val="00E45BE0"/>
    <w:rsid w:val="00E46CAD"/>
    <w:rsid w:val="00E47521"/>
    <w:rsid w:val="00E4760C"/>
    <w:rsid w:val="00E507A6"/>
    <w:rsid w:val="00E5375C"/>
    <w:rsid w:val="00E561AD"/>
    <w:rsid w:val="00E57FAF"/>
    <w:rsid w:val="00E60BA9"/>
    <w:rsid w:val="00E63510"/>
    <w:rsid w:val="00E635EA"/>
    <w:rsid w:val="00E655E5"/>
    <w:rsid w:val="00E65F4E"/>
    <w:rsid w:val="00E662E0"/>
    <w:rsid w:val="00E67D5D"/>
    <w:rsid w:val="00E71C7A"/>
    <w:rsid w:val="00E72351"/>
    <w:rsid w:val="00E73119"/>
    <w:rsid w:val="00E73E1E"/>
    <w:rsid w:val="00E767FF"/>
    <w:rsid w:val="00E84C91"/>
    <w:rsid w:val="00E84E60"/>
    <w:rsid w:val="00E8556E"/>
    <w:rsid w:val="00E86B2D"/>
    <w:rsid w:val="00E86F4D"/>
    <w:rsid w:val="00E87D08"/>
    <w:rsid w:val="00E90D0E"/>
    <w:rsid w:val="00E91B2D"/>
    <w:rsid w:val="00E92FCA"/>
    <w:rsid w:val="00E95CAA"/>
    <w:rsid w:val="00EA0A39"/>
    <w:rsid w:val="00EA0EB2"/>
    <w:rsid w:val="00EA236F"/>
    <w:rsid w:val="00EA3023"/>
    <w:rsid w:val="00EA3E49"/>
    <w:rsid w:val="00EA3FC8"/>
    <w:rsid w:val="00EA5B8C"/>
    <w:rsid w:val="00EB0DC9"/>
    <w:rsid w:val="00EB1383"/>
    <w:rsid w:val="00EB252D"/>
    <w:rsid w:val="00EB2692"/>
    <w:rsid w:val="00EB29FA"/>
    <w:rsid w:val="00EB2CCE"/>
    <w:rsid w:val="00EB385F"/>
    <w:rsid w:val="00EB3E49"/>
    <w:rsid w:val="00EB5FC3"/>
    <w:rsid w:val="00EB6DA9"/>
    <w:rsid w:val="00EC1561"/>
    <w:rsid w:val="00EC462E"/>
    <w:rsid w:val="00EC6CD8"/>
    <w:rsid w:val="00EC786F"/>
    <w:rsid w:val="00ED1866"/>
    <w:rsid w:val="00ED3134"/>
    <w:rsid w:val="00ED38E2"/>
    <w:rsid w:val="00ED5C44"/>
    <w:rsid w:val="00ED635B"/>
    <w:rsid w:val="00EE742D"/>
    <w:rsid w:val="00EF0A22"/>
    <w:rsid w:val="00EF1267"/>
    <w:rsid w:val="00EF180C"/>
    <w:rsid w:val="00EF3B6B"/>
    <w:rsid w:val="00EF4B43"/>
    <w:rsid w:val="00EF6750"/>
    <w:rsid w:val="00EF770B"/>
    <w:rsid w:val="00F02836"/>
    <w:rsid w:val="00F02FB5"/>
    <w:rsid w:val="00F0534E"/>
    <w:rsid w:val="00F05C30"/>
    <w:rsid w:val="00F10F1B"/>
    <w:rsid w:val="00F14179"/>
    <w:rsid w:val="00F15786"/>
    <w:rsid w:val="00F167C5"/>
    <w:rsid w:val="00F20B5A"/>
    <w:rsid w:val="00F21F0B"/>
    <w:rsid w:val="00F236AB"/>
    <w:rsid w:val="00F24EA4"/>
    <w:rsid w:val="00F27087"/>
    <w:rsid w:val="00F2773C"/>
    <w:rsid w:val="00F300B3"/>
    <w:rsid w:val="00F30DB9"/>
    <w:rsid w:val="00F30FB8"/>
    <w:rsid w:val="00F31D68"/>
    <w:rsid w:val="00F33152"/>
    <w:rsid w:val="00F338F2"/>
    <w:rsid w:val="00F349D3"/>
    <w:rsid w:val="00F3533E"/>
    <w:rsid w:val="00F35B84"/>
    <w:rsid w:val="00F402B5"/>
    <w:rsid w:val="00F4072F"/>
    <w:rsid w:val="00F42839"/>
    <w:rsid w:val="00F44CC0"/>
    <w:rsid w:val="00F450BA"/>
    <w:rsid w:val="00F4684B"/>
    <w:rsid w:val="00F46BE9"/>
    <w:rsid w:val="00F47C3B"/>
    <w:rsid w:val="00F506CA"/>
    <w:rsid w:val="00F53A7A"/>
    <w:rsid w:val="00F54FCD"/>
    <w:rsid w:val="00F5785C"/>
    <w:rsid w:val="00F65E3C"/>
    <w:rsid w:val="00F67076"/>
    <w:rsid w:val="00F677FA"/>
    <w:rsid w:val="00F7115A"/>
    <w:rsid w:val="00F717AA"/>
    <w:rsid w:val="00F72714"/>
    <w:rsid w:val="00F744C3"/>
    <w:rsid w:val="00F75EE2"/>
    <w:rsid w:val="00F75F69"/>
    <w:rsid w:val="00F76014"/>
    <w:rsid w:val="00F802D3"/>
    <w:rsid w:val="00F80F94"/>
    <w:rsid w:val="00F81BA2"/>
    <w:rsid w:val="00F823A4"/>
    <w:rsid w:val="00F8412F"/>
    <w:rsid w:val="00F84791"/>
    <w:rsid w:val="00F85995"/>
    <w:rsid w:val="00F85FC5"/>
    <w:rsid w:val="00F86C22"/>
    <w:rsid w:val="00F90CB3"/>
    <w:rsid w:val="00F912A2"/>
    <w:rsid w:val="00F913A3"/>
    <w:rsid w:val="00F925C3"/>
    <w:rsid w:val="00FA0109"/>
    <w:rsid w:val="00FA458B"/>
    <w:rsid w:val="00FA5EC5"/>
    <w:rsid w:val="00FA7016"/>
    <w:rsid w:val="00FA7174"/>
    <w:rsid w:val="00FA793D"/>
    <w:rsid w:val="00FB020E"/>
    <w:rsid w:val="00FB0F17"/>
    <w:rsid w:val="00FB4B9D"/>
    <w:rsid w:val="00FB50ED"/>
    <w:rsid w:val="00FB6E18"/>
    <w:rsid w:val="00FC144B"/>
    <w:rsid w:val="00FC2169"/>
    <w:rsid w:val="00FC28E2"/>
    <w:rsid w:val="00FC3BF6"/>
    <w:rsid w:val="00FC3D22"/>
    <w:rsid w:val="00FC6FE1"/>
    <w:rsid w:val="00FD0C3D"/>
    <w:rsid w:val="00FD2F6B"/>
    <w:rsid w:val="00FE064A"/>
    <w:rsid w:val="00FE0B55"/>
    <w:rsid w:val="00FE1E98"/>
    <w:rsid w:val="00FE2452"/>
    <w:rsid w:val="00FE5469"/>
    <w:rsid w:val="00FE66C2"/>
    <w:rsid w:val="00FE684A"/>
    <w:rsid w:val="00FE6F23"/>
    <w:rsid w:val="00FF0F8C"/>
    <w:rsid w:val="00FF408B"/>
    <w:rsid w:val="00FF43E1"/>
    <w:rsid w:val="01BF19B4"/>
    <w:rsid w:val="02CE01A5"/>
    <w:rsid w:val="03430854"/>
    <w:rsid w:val="039F5FA6"/>
    <w:rsid w:val="05EA06E6"/>
    <w:rsid w:val="07227D6F"/>
    <w:rsid w:val="07EC2209"/>
    <w:rsid w:val="08724263"/>
    <w:rsid w:val="09305ADA"/>
    <w:rsid w:val="0E8013B7"/>
    <w:rsid w:val="0E8E38FA"/>
    <w:rsid w:val="0F24270E"/>
    <w:rsid w:val="10D604C6"/>
    <w:rsid w:val="11B515E0"/>
    <w:rsid w:val="1279795D"/>
    <w:rsid w:val="13A53267"/>
    <w:rsid w:val="13F970D2"/>
    <w:rsid w:val="14AA4136"/>
    <w:rsid w:val="154252E4"/>
    <w:rsid w:val="161878A4"/>
    <w:rsid w:val="163A420B"/>
    <w:rsid w:val="16B36D4D"/>
    <w:rsid w:val="176A74B6"/>
    <w:rsid w:val="19413B26"/>
    <w:rsid w:val="1C6D3688"/>
    <w:rsid w:val="1CC63D0A"/>
    <w:rsid w:val="1DAD6D21"/>
    <w:rsid w:val="1DC2081A"/>
    <w:rsid w:val="1DD94266"/>
    <w:rsid w:val="1F9D0947"/>
    <w:rsid w:val="1FD69A29"/>
    <w:rsid w:val="1FFB29C6"/>
    <w:rsid w:val="218E2416"/>
    <w:rsid w:val="228A4C0E"/>
    <w:rsid w:val="22AF3620"/>
    <w:rsid w:val="22E70AD4"/>
    <w:rsid w:val="23021B6C"/>
    <w:rsid w:val="23AA4A73"/>
    <w:rsid w:val="24F1508D"/>
    <w:rsid w:val="266F634F"/>
    <w:rsid w:val="291059EA"/>
    <w:rsid w:val="2A132178"/>
    <w:rsid w:val="2BBF12EC"/>
    <w:rsid w:val="2BC649D9"/>
    <w:rsid w:val="2BE76AA3"/>
    <w:rsid w:val="2ED7472D"/>
    <w:rsid w:val="2F221D5E"/>
    <w:rsid w:val="2F3F239B"/>
    <w:rsid w:val="2FA1D5AC"/>
    <w:rsid w:val="304040F2"/>
    <w:rsid w:val="31177EA7"/>
    <w:rsid w:val="34C70084"/>
    <w:rsid w:val="3515160D"/>
    <w:rsid w:val="353B301B"/>
    <w:rsid w:val="3543266F"/>
    <w:rsid w:val="38E26F32"/>
    <w:rsid w:val="39405534"/>
    <w:rsid w:val="39E1358E"/>
    <w:rsid w:val="3AE5A8FF"/>
    <w:rsid w:val="3C7D00D8"/>
    <w:rsid w:val="3CA06C0C"/>
    <w:rsid w:val="3EA25851"/>
    <w:rsid w:val="3F6C3757"/>
    <w:rsid w:val="3FD06DBD"/>
    <w:rsid w:val="405D6A10"/>
    <w:rsid w:val="41DA6594"/>
    <w:rsid w:val="43127F5D"/>
    <w:rsid w:val="444C1A75"/>
    <w:rsid w:val="44A3526F"/>
    <w:rsid w:val="44B032F4"/>
    <w:rsid w:val="457D25F7"/>
    <w:rsid w:val="468341CD"/>
    <w:rsid w:val="472C2589"/>
    <w:rsid w:val="473744D0"/>
    <w:rsid w:val="4A760AEB"/>
    <w:rsid w:val="4B205CC2"/>
    <w:rsid w:val="4F3162CA"/>
    <w:rsid w:val="50C23D07"/>
    <w:rsid w:val="50D95873"/>
    <w:rsid w:val="512F4FBB"/>
    <w:rsid w:val="526102AF"/>
    <w:rsid w:val="528444DA"/>
    <w:rsid w:val="537745D5"/>
    <w:rsid w:val="53AE65FE"/>
    <w:rsid w:val="552306F6"/>
    <w:rsid w:val="56E352D5"/>
    <w:rsid w:val="573644B1"/>
    <w:rsid w:val="57506C25"/>
    <w:rsid w:val="57E435FE"/>
    <w:rsid w:val="582D0655"/>
    <w:rsid w:val="5951205C"/>
    <w:rsid w:val="599B72E8"/>
    <w:rsid w:val="59D079E8"/>
    <w:rsid w:val="59D40847"/>
    <w:rsid w:val="5AE37F25"/>
    <w:rsid w:val="5AE90E93"/>
    <w:rsid w:val="5CB23D47"/>
    <w:rsid w:val="5E8B4C73"/>
    <w:rsid w:val="5F9F634E"/>
    <w:rsid w:val="5FAF09C4"/>
    <w:rsid w:val="608C4642"/>
    <w:rsid w:val="62795572"/>
    <w:rsid w:val="64DD6417"/>
    <w:rsid w:val="65821D2E"/>
    <w:rsid w:val="66004745"/>
    <w:rsid w:val="689A5793"/>
    <w:rsid w:val="6A567F20"/>
    <w:rsid w:val="6B6D61F2"/>
    <w:rsid w:val="6C457DF0"/>
    <w:rsid w:val="6CD97953"/>
    <w:rsid w:val="6ED30FD7"/>
    <w:rsid w:val="6EDF7CEF"/>
    <w:rsid w:val="70184B78"/>
    <w:rsid w:val="717604C9"/>
    <w:rsid w:val="71BB7F9D"/>
    <w:rsid w:val="72703B48"/>
    <w:rsid w:val="727D78FD"/>
    <w:rsid w:val="73CC655F"/>
    <w:rsid w:val="73D718AD"/>
    <w:rsid w:val="74BF4295"/>
    <w:rsid w:val="7591212F"/>
    <w:rsid w:val="75957445"/>
    <w:rsid w:val="75D01AE1"/>
    <w:rsid w:val="76F69DE2"/>
    <w:rsid w:val="77524363"/>
    <w:rsid w:val="77B917B5"/>
    <w:rsid w:val="77ED3F75"/>
    <w:rsid w:val="78703975"/>
    <w:rsid w:val="7BE420FD"/>
    <w:rsid w:val="7D0D296B"/>
    <w:rsid w:val="7D4E0B54"/>
    <w:rsid w:val="7D503E78"/>
    <w:rsid w:val="7DFF2886"/>
    <w:rsid w:val="7E0160D4"/>
    <w:rsid w:val="7F70A8B9"/>
    <w:rsid w:val="B5A604A0"/>
    <w:rsid w:val="BBFFE82F"/>
    <w:rsid w:val="F75D19D5"/>
    <w:rsid w:val="FDEF64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99"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480" w:firstLineChars="200"/>
      <w:jc w:val="both"/>
    </w:pPr>
    <w:rPr>
      <w:rFonts w:ascii="宋体" w:hAnsi="宋体" w:eastAsia="宋体" w:cs="Times New Roman"/>
      <w:kern w:val="2"/>
      <w:sz w:val="24"/>
      <w:szCs w:val="24"/>
      <w:lang w:val="en-US" w:eastAsia="zh-CN" w:bidi="ar-SA"/>
    </w:rPr>
  </w:style>
  <w:style w:type="paragraph" w:styleId="2">
    <w:name w:val="heading 1"/>
    <w:basedOn w:val="1"/>
    <w:next w:val="1"/>
    <w:link w:val="76"/>
    <w:qFormat/>
    <w:uiPriority w:val="0"/>
    <w:pPr>
      <w:keepNext/>
      <w:keepLines/>
      <w:numPr>
        <w:ilvl w:val="0"/>
        <w:numId w:val="1"/>
      </w:numPr>
      <w:spacing w:before="120" w:after="120"/>
      <w:ind w:left="0" w:firstLine="0" w:firstLineChars="0"/>
      <w:outlineLvl w:val="0"/>
    </w:pPr>
    <w:rPr>
      <w:rFonts w:eastAsia="黑体"/>
      <w:b/>
      <w:bCs/>
      <w:kern w:val="44"/>
      <w:sz w:val="32"/>
      <w:szCs w:val="28"/>
    </w:rPr>
  </w:style>
  <w:style w:type="paragraph" w:styleId="3">
    <w:name w:val="heading 2"/>
    <w:basedOn w:val="1"/>
    <w:next w:val="1"/>
    <w:link w:val="89"/>
    <w:qFormat/>
    <w:uiPriority w:val="9"/>
    <w:pPr>
      <w:keepNext/>
      <w:keepLines/>
      <w:numPr>
        <w:ilvl w:val="1"/>
        <w:numId w:val="1"/>
      </w:numPr>
      <w:spacing w:before="120" w:after="120"/>
      <w:ind w:firstLine="0" w:firstLineChars="0"/>
      <w:outlineLvl w:val="1"/>
    </w:pPr>
    <w:rPr>
      <w:b/>
      <w:bCs/>
      <w:sz w:val="30"/>
      <w:szCs w:val="32"/>
    </w:rPr>
  </w:style>
  <w:style w:type="paragraph" w:styleId="4">
    <w:name w:val="heading 3"/>
    <w:basedOn w:val="1"/>
    <w:next w:val="1"/>
    <w:link w:val="82"/>
    <w:qFormat/>
    <w:uiPriority w:val="0"/>
    <w:pPr>
      <w:keepNext/>
      <w:keepLines/>
      <w:numPr>
        <w:ilvl w:val="2"/>
        <w:numId w:val="1"/>
      </w:numPr>
      <w:spacing w:before="120" w:after="120"/>
      <w:ind w:left="0" w:firstLine="0" w:firstLineChars="0"/>
      <w:outlineLvl w:val="2"/>
    </w:pPr>
    <w:rPr>
      <w:b/>
      <w:bCs/>
      <w:sz w:val="28"/>
      <w:szCs w:val="28"/>
    </w:rPr>
  </w:style>
  <w:style w:type="paragraph" w:styleId="5">
    <w:name w:val="heading 4"/>
    <w:basedOn w:val="1"/>
    <w:next w:val="1"/>
    <w:link w:val="59"/>
    <w:qFormat/>
    <w:uiPriority w:val="0"/>
    <w:pPr>
      <w:keepNext/>
      <w:keepLines/>
      <w:numPr>
        <w:ilvl w:val="3"/>
        <w:numId w:val="1"/>
      </w:numPr>
      <w:spacing w:before="120" w:after="120"/>
      <w:ind w:left="0" w:firstLine="0" w:firstLineChars="0"/>
      <w:outlineLvl w:val="3"/>
    </w:pPr>
    <w:rPr>
      <w:b/>
      <w:bCs/>
      <w:sz w:val="30"/>
      <w:szCs w:val="30"/>
    </w:rPr>
  </w:style>
  <w:style w:type="paragraph" w:styleId="6">
    <w:name w:val="heading 5"/>
    <w:basedOn w:val="1"/>
    <w:next w:val="1"/>
    <w:link w:val="87"/>
    <w:qFormat/>
    <w:uiPriority w:val="0"/>
    <w:pPr>
      <w:keepNext/>
      <w:keepLines/>
      <w:numPr>
        <w:ilvl w:val="4"/>
        <w:numId w:val="1"/>
      </w:numPr>
      <w:spacing w:before="120" w:after="120"/>
      <w:ind w:left="0" w:firstLine="0" w:firstLineChars="0"/>
      <w:outlineLvl w:val="4"/>
    </w:pPr>
    <w:rPr>
      <w:b/>
      <w:bCs/>
      <w:szCs w:val="28"/>
    </w:rPr>
  </w:style>
  <w:style w:type="paragraph" w:styleId="7">
    <w:name w:val="heading 6"/>
    <w:basedOn w:val="1"/>
    <w:next w:val="1"/>
    <w:link w:val="100"/>
    <w:qFormat/>
    <w:uiPriority w:val="0"/>
    <w:pPr>
      <w:keepNext/>
      <w:keepLines/>
      <w:numPr>
        <w:ilvl w:val="5"/>
        <w:numId w:val="1"/>
      </w:numPr>
      <w:spacing w:before="120" w:after="120"/>
      <w:ind w:firstLine="0" w:firstLineChars="0"/>
      <w:outlineLvl w:val="5"/>
    </w:pPr>
    <w:rPr>
      <w:rFonts w:ascii="Cambria" w:hAnsi="Cambria"/>
      <w:b/>
      <w:bCs/>
    </w:rPr>
  </w:style>
  <w:style w:type="paragraph" w:styleId="8">
    <w:name w:val="heading 7"/>
    <w:basedOn w:val="1"/>
    <w:next w:val="1"/>
    <w:link w:val="73"/>
    <w:qFormat/>
    <w:uiPriority w:val="9"/>
    <w:pPr>
      <w:keepNext/>
      <w:keepLines/>
      <w:spacing w:before="240" w:after="64" w:line="319" w:lineRule="auto"/>
      <w:ind w:firstLine="0" w:firstLineChars="0"/>
      <w:outlineLvl w:val="6"/>
    </w:pPr>
    <w:rPr>
      <w:rFonts w:ascii="Times New Roman" w:hAnsi="Times New Roman"/>
      <w:b/>
      <w:bCs/>
      <w:sz w:val="21"/>
    </w:rPr>
  </w:style>
  <w:style w:type="paragraph" w:styleId="9">
    <w:name w:val="heading 8"/>
    <w:basedOn w:val="1"/>
    <w:next w:val="1"/>
    <w:link w:val="99"/>
    <w:qFormat/>
    <w:uiPriority w:val="9"/>
    <w:pPr>
      <w:keepNext/>
      <w:keepLines/>
      <w:spacing w:before="240" w:after="64" w:line="319" w:lineRule="auto"/>
      <w:ind w:firstLine="0" w:firstLineChars="0"/>
      <w:outlineLvl w:val="7"/>
    </w:pPr>
    <w:rPr>
      <w:rFonts w:ascii="Cambria" w:hAnsi="Cambria"/>
      <w:sz w:val="21"/>
    </w:rPr>
  </w:style>
  <w:style w:type="paragraph" w:styleId="10">
    <w:name w:val="heading 9"/>
    <w:basedOn w:val="1"/>
    <w:next w:val="1"/>
    <w:link w:val="49"/>
    <w:qFormat/>
    <w:uiPriority w:val="9"/>
    <w:pPr>
      <w:keepNext/>
      <w:keepLines/>
      <w:spacing w:before="240" w:after="64" w:line="319" w:lineRule="auto"/>
      <w:ind w:firstLine="0" w:firstLineChars="0"/>
      <w:outlineLvl w:val="8"/>
    </w:pPr>
    <w:rPr>
      <w:rFonts w:ascii="Cambria" w:hAnsi="Cambria"/>
      <w:sz w:val="21"/>
      <w:szCs w:val="21"/>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ind w:left="2520" w:leftChars="1200"/>
    </w:pPr>
    <w:rPr>
      <w:rFonts w:ascii="等线" w:hAnsi="等线" w:eastAsia="等线"/>
      <w:szCs w:val="22"/>
    </w:rPr>
  </w:style>
  <w:style w:type="paragraph" w:styleId="12">
    <w:name w:val="Normal Indent"/>
    <w:basedOn w:val="1"/>
    <w:unhideWhenUsed/>
    <w:qFormat/>
    <w:uiPriority w:val="99"/>
    <w:pPr>
      <w:spacing w:line="240" w:lineRule="auto"/>
      <w:ind w:firstLine="420"/>
    </w:pPr>
    <w:rPr>
      <w:rFonts w:ascii="Calibri" w:hAnsi="Calibri"/>
      <w:sz w:val="21"/>
    </w:rPr>
  </w:style>
  <w:style w:type="paragraph" w:styleId="13">
    <w:name w:val="caption"/>
    <w:basedOn w:val="1"/>
    <w:next w:val="1"/>
    <w:link w:val="55"/>
    <w:qFormat/>
    <w:uiPriority w:val="0"/>
    <w:pPr>
      <w:spacing w:afterLines="50"/>
      <w:ind w:firstLine="200"/>
    </w:pPr>
    <w:rPr>
      <w:rFonts w:ascii="Arial" w:hAnsi="Arial" w:eastAsia="黑体"/>
      <w:sz w:val="20"/>
      <w:szCs w:val="20"/>
    </w:rPr>
  </w:style>
  <w:style w:type="paragraph" w:styleId="14">
    <w:name w:val="Document Map"/>
    <w:basedOn w:val="1"/>
    <w:link w:val="92"/>
    <w:qFormat/>
    <w:uiPriority w:val="0"/>
    <w:rPr>
      <w:rFonts w:hAnsi="Times New Roman"/>
      <w:sz w:val="18"/>
      <w:szCs w:val="18"/>
    </w:rPr>
  </w:style>
  <w:style w:type="paragraph" w:styleId="15">
    <w:name w:val="annotation text"/>
    <w:basedOn w:val="1"/>
    <w:link w:val="46"/>
    <w:qFormat/>
    <w:uiPriority w:val="99"/>
    <w:pPr>
      <w:jc w:val="left"/>
    </w:pPr>
    <w:rPr>
      <w:rFonts w:ascii="Times New Roman" w:hAnsi="Times New Roman" w:eastAsia="仿宋"/>
      <w:sz w:val="28"/>
    </w:rPr>
  </w:style>
  <w:style w:type="paragraph" w:styleId="16">
    <w:name w:val="Body Text"/>
    <w:basedOn w:val="1"/>
    <w:link w:val="60"/>
    <w:unhideWhenUsed/>
    <w:qFormat/>
    <w:uiPriority w:val="0"/>
    <w:pPr>
      <w:spacing w:after="120" w:line="240" w:lineRule="auto"/>
      <w:ind w:firstLine="0" w:firstLineChars="0"/>
    </w:pPr>
    <w:rPr>
      <w:rFonts w:ascii="Times New Roman" w:hAnsi="Times New Roman"/>
      <w:sz w:val="21"/>
    </w:rPr>
  </w:style>
  <w:style w:type="paragraph" w:styleId="17">
    <w:name w:val="Body Text Indent"/>
    <w:basedOn w:val="1"/>
    <w:link w:val="86"/>
    <w:qFormat/>
    <w:uiPriority w:val="0"/>
    <w:pPr>
      <w:spacing w:after="120"/>
      <w:ind w:firstLine="200"/>
    </w:pPr>
    <w:rPr>
      <w:rFonts w:ascii="Times New Roman" w:hAnsi="Times New Roman"/>
      <w:sz w:val="21"/>
      <w:szCs w:val="20"/>
    </w:rPr>
  </w:style>
  <w:style w:type="paragraph" w:styleId="18">
    <w:name w:val="toc 5"/>
    <w:basedOn w:val="1"/>
    <w:next w:val="1"/>
    <w:unhideWhenUsed/>
    <w:qFormat/>
    <w:uiPriority w:val="39"/>
    <w:pPr>
      <w:ind w:left="1680" w:leftChars="800"/>
    </w:pPr>
    <w:rPr>
      <w:rFonts w:ascii="等线" w:hAnsi="等线" w:eastAsia="等线"/>
      <w:szCs w:val="22"/>
    </w:rPr>
  </w:style>
  <w:style w:type="paragraph" w:styleId="19">
    <w:name w:val="toc 3"/>
    <w:basedOn w:val="1"/>
    <w:next w:val="1"/>
    <w:qFormat/>
    <w:uiPriority w:val="39"/>
    <w:pPr>
      <w:tabs>
        <w:tab w:val="right" w:leader="dot" w:pos="8302"/>
      </w:tabs>
      <w:ind w:left="840" w:leftChars="400"/>
    </w:pPr>
  </w:style>
  <w:style w:type="paragraph" w:styleId="20">
    <w:name w:val="Plain Text"/>
    <w:basedOn w:val="1"/>
    <w:link w:val="67"/>
    <w:qFormat/>
    <w:uiPriority w:val="0"/>
    <w:pPr>
      <w:spacing w:line="240" w:lineRule="auto"/>
      <w:ind w:firstLine="0" w:firstLineChars="0"/>
    </w:pPr>
    <w:rPr>
      <w:rFonts w:hAnsi="Courier New"/>
      <w:sz w:val="21"/>
      <w:szCs w:val="20"/>
    </w:rPr>
  </w:style>
  <w:style w:type="paragraph" w:styleId="21">
    <w:name w:val="toc 8"/>
    <w:basedOn w:val="1"/>
    <w:next w:val="1"/>
    <w:unhideWhenUsed/>
    <w:qFormat/>
    <w:uiPriority w:val="39"/>
    <w:pPr>
      <w:ind w:left="2940" w:leftChars="1400"/>
    </w:pPr>
    <w:rPr>
      <w:rFonts w:ascii="等线" w:hAnsi="等线" w:eastAsia="等线"/>
      <w:szCs w:val="22"/>
    </w:rPr>
  </w:style>
  <w:style w:type="paragraph" w:styleId="22">
    <w:name w:val="Date"/>
    <w:basedOn w:val="1"/>
    <w:next w:val="1"/>
    <w:link w:val="48"/>
    <w:qFormat/>
    <w:uiPriority w:val="0"/>
    <w:pPr>
      <w:ind w:left="100" w:leftChars="2500"/>
    </w:pPr>
    <w:rPr>
      <w:rFonts w:ascii="Times New Roman" w:hAnsi="Times New Roman"/>
      <w:sz w:val="21"/>
    </w:rPr>
  </w:style>
  <w:style w:type="paragraph" w:styleId="23">
    <w:name w:val="Balloon Text"/>
    <w:basedOn w:val="1"/>
    <w:link w:val="97"/>
    <w:qFormat/>
    <w:uiPriority w:val="0"/>
    <w:rPr>
      <w:rFonts w:ascii="Times New Roman" w:hAnsi="Times New Roman"/>
      <w:sz w:val="18"/>
      <w:szCs w:val="18"/>
    </w:rPr>
  </w:style>
  <w:style w:type="paragraph" w:styleId="24">
    <w:name w:val="footer"/>
    <w:basedOn w:val="1"/>
    <w:link w:val="90"/>
    <w:qFormat/>
    <w:uiPriority w:val="99"/>
    <w:pPr>
      <w:tabs>
        <w:tab w:val="center" w:pos="4153"/>
        <w:tab w:val="right" w:pos="8306"/>
      </w:tabs>
      <w:snapToGrid w:val="0"/>
      <w:jc w:val="center"/>
    </w:pPr>
    <w:rPr>
      <w:rFonts w:ascii="Times New Roman" w:hAnsi="Times New Roman"/>
      <w:sz w:val="18"/>
      <w:szCs w:val="18"/>
    </w:rPr>
  </w:style>
  <w:style w:type="paragraph" w:styleId="25">
    <w:name w:val="header"/>
    <w:basedOn w:val="1"/>
    <w:link w:val="98"/>
    <w:qFormat/>
    <w:uiPriority w:val="99"/>
    <w:pPr>
      <w:pBdr>
        <w:bottom w:val="single" w:color="auto" w:sz="4" w:space="0"/>
      </w:pBdr>
      <w:tabs>
        <w:tab w:val="center" w:pos="4153"/>
        <w:tab w:val="right" w:pos="8306"/>
      </w:tabs>
      <w:snapToGrid w:val="0"/>
      <w:jc w:val="center"/>
    </w:pPr>
    <w:rPr>
      <w:rFonts w:ascii="Times New Roman" w:hAnsi="Times New Roman"/>
      <w:sz w:val="18"/>
      <w:szCs w:val="18"/>
    </w:rPr>
  </w:style>
  <w:style w:type="paragraph" w:styleId="26">
    <w:name w:val="toc 1"/>
    <w:basedOn w:val="1"/>
    <w:next w:val="1"/>
    <w:qFormat/>
    <w:uiPriority w:val="39"/>
  </w:style>
  <w:style w:type="paragraph" w:styleId="27">
    <w:name w:val="toc 4"/>
    <w:basedOn w:val="1"/>
    <w:next w:val="1"/>
    <w:unhideWhenUsed/>
    <w:qFormat/>
    <w:uiPriority w:val="39"/>
    <w:pPr>
      <w:ind w:left="1260" w:leftChars="600"/>
    </w:pPr>
    <w:rPr>
      <w:rFonts w:ascii="等线" w:hAnsi="等线" w:eastAsia="等线"/>
      <w:szCs w:val="22"/>
    </w:rPr>
  </w:style>
  <w:style w:type="paragraph" w:styleId="28">
    <w:name w:val="Subtitle"/>
    <w:basedOn w:val="1"/>
    <w:next w:val="1"/>
    <w:link w:val="88"/>
    <w:qFormat/>
    <w:uiPriority w:val="0"/>
    <w:pPr>
      <w:spacing w:before="240" w:after="60" w:line="312" w:lineRule="auto"/>
      <w:jc w:val="center"/>
      <w:outlineLvl w:val="1"/>
    </w:pPr>
    <w:rPr>
      <w:rFonts w:ascii="Calibri Light" w:hAnsi="Calibri Light"/>
      <w:b/>
      <w:bCs/>
      <w:kern w:val="28"/>
      <w:sz w:val="32"/>
      <w:szCs w:val="32"/>
    </w:rPr>
  </w:style>
  <w:style w:type="paragraph" w:styleId="29">
    <w:name w:val="toc 6"/>
    <w:basedOn w:val="1"/>
    <w:next w:val="1"/>
    <w:unhideWhenUsed/>
    <w:qFormat/>
    <w:uiPriority w:val="39"/>
    <w:pPr>
      <w:ind w:left="2100" w:leftChars="1000"/>
    </w:pPr>
    <w:rPr>
      <w:rFonts w:ascii="等线" w:hAnsi="等线" w:eastAsia="等线"/>
      <w:szCs w:val="22"/>
    </w:rPr>
  </w:style>
  <w:style w:type="paragraph" w:styleId="30">
    <w:name w:val="toc 2"/>
    <w:basedOn w:val="1"/>
    <w:next w:val="1"/>
    <w:qFormat/>
    <w:uiPriority w:val="39"/>
    <w:pPr>
      <w:tabs>
        <w:tab w:val="right" w:leader="dot" w:pos="8302"/>
      </w:tabs>
      <w:ind w:left="420" w:leftChars="200"/>
    </w:pPr>
  </w:style>
  <w:style w:type="paragraph" w:styleId="31">
    <w:name w:val="toc 9"/>
    <w:basedOn w:val="1"/>
    <w:next w:val="1"/>
    <w:unhideWhenUsed/>
    <w:qFormat/>
    <w:uiPriority w:val="39"/>
    <w:pPr>
      <w:ind w:left="3360" w:leftChars="1600"/>
    </w:pPr>
    <w:rPr>
      <w:rFonts w:ascii="等线" w:hAnsi="等线" w:eastAsia="等线"/>
      <w:szCs w:val="22"/>
    </w:rPr>
  </w:style>
  <w:style w:type="paragraph" w:styleId="32">
    <w:name w:val="Normal (Web)"/>
    <w:basedOn w:val="1"/>
    <w:qFormat/>
    <w:uiPriority w:val="99"/>
    <w:pPr>
      <w:widowControl/>
      <w:spacing w:before="100" w:after="100"/>
      <w:jc w:val="left"/>
    </w:pPr>
    <w:rPr>
      <w:rFonts w:hint="eastAsia" w:ascii="Arial Unicode MS" w:hAnsi="Arial Unicode MS" w:eastAsia="Arial Unicode MS"/>
      <w:kern w:val="0"/>
    </w:rPr>
  </w:style>
  <w:style w:type="paragraph" w:styleId="33">
    <w:name w:val="Title"/>
    <w:basedOn w:val="1"/>
    <w:next w:val="1"/>
    <w:link w:val="96"/>
    <w:qFormat/>
    <w:uiPriority w:val="0"/>
    <w:pPr>
      <w:spacing w:before="240" w:after="60" w:line="960" w:lineRule="auto"/>
      <w:jc w:val="center"/>
    </w:pPr>
    <w:rPr>
      <w:rFonts w:ascii="Cambria" w:hAnsi="Cambria" w:eastAsia="黑体"/>
      <w:b/>
      <w:bCs/>
      <w:sz w:val="52"/>
      <w:szCs w:val="32"/>
    </w:rPr>
  </w:style>
  <w:style w:type="paragraph" w:styleId="34">
    <w:name w:val="annotation subject"/>
    <w:basedOn w:val="15"/>
    <w:next w:val="15"/>
    <w:link w:val="84"/>
    <w:qFormat/>
    <w:uiPriority w:val="0"/>
    <w:rPr>
      <w:b/>
      <w:bCs/>
      <w:sz w:val="21"/>
    </w:rPr>
  </w:style>
  <w:style w:type="table" w:styleId="36">
    <w:name w:val="Table Grid"/>
    <w:basedOn w:val="35"/>
    <w:qFormat/>
    <w:uiPriority w:val="5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page number"/>
    <w:basedOn w:val="37"/>
    <w:qFormat/>
    <w:uiPriority w:val="0"/>
  </w:style>
  <w:style w:type="character" w:styleId="39">
    <w:name w:val="FollowedHyperlink"/>
    <w:unhideWhenUsed/>
    <w:qFormat/>
    <w:uiPriority w:val="99"/>
    <w:rPr>
      <w:color w:val="954F72"/>
      <w:u w:val="single"/>
    </w:rPr>
  </w:style>
  <w:style w:type="character" w:styleId="40">
    <w:name w:val="Hyperlink"/>
    <w:qFormat/>
    <w:uiPriority w:val="99"/>
    <w:rPr>
      <w:color w:val="0000FF"/>
      <w:u w:val="single"/>
    </w:rPr>
  </w:style>
  <w:style w:type="character" w:styleId="41">
    <w:name w:val="annotation reference"/>
    <w:qFormat/>
    <w:uiPriority w:val="99"/>
    <w:rPr>
      <w:sz w:val="21"/>
      <w:szCs w:val="21"/>
    </w:rPr>
  </w:style>
  <w:style w:type="paragraph" w:customStyle="1" w:styleId="42">
    <w:name w:val="可研正文"/>
    <w:basedOn w:val="1"/>
    <w:qFormat/>
    <w:uiPriority w:val="0"/>
    <w:pPr>
      <w:ind w:firstLine="200"/>
    </w:pPr>
    <w:rPr>
      <w:rFonts w:ascii="仿宋" w:hAnsi="仿宋"/>
      <w:szCs w:val="28"/>
    </w:rPr>
  </w:style>
  <w:style w:type="character" w:customStyle="1" w:styleId="43">
    <w:name w:val="标题 3 字符1"/>
    <w:qFormat/>
    <w:uiPriority w:val="0"/>
    <w:rPr>
      <w:rFonts w:ascii="宋体" w:hAnsi="宋体"/>
      <w:b/>
      <w:bCs/>
      <w:kern w:val="2"/>
      <w:sz w:val="28"/>
      <w:szCs w:val="28"/>
    </w:rPr>
  </w:style>
  <w:style w:type="character" w:customStyle="1" w:styleId="44">
    <w:name w:val="首行缩进正文 Char"/>
    <w:link w:val="45"/>
    <w:qFormat/>
    <w:uiPriority w:val="0"/>
    <w:rPr>
      <w:kern w:val="2"/>
      <w:sz w:val="24"/>
    </w:rPr>
  </w:style>
  <w:style w:type="paragraph" w:customStyle="1" w:styleId="45">
    <w:name w:val="首行缩进正文"/>
    <w:basedOn w:val="1"/>
    <w:link w:val="44"/>
    <w:qFormat/>
    <w:uiPriority w:val="0"/>
    <w:pPr>
      <w:widowControl/>
      <w:adjustRightInd w:val="0"/>
      <w:snapToGrid w:val="0"/>
      <w:spacing w:afterLines="50" w:line="276" w:lineRule="auto"/>
      <w:ind w:firstLine="420" w:firstLineChars="0"/>
      <w:jc w:val="left"/>
    </w:pPr>
    <w:rPr>
      <w:rFonts w:ascii="Times New Roman" w:hAnsi="Times New Roman"/>
      <w:szCs w:val="20"/>
    </w:rPr>
  </w:style>
  <w:style w:type="character" w:customStyle="1" w:styleId="46">
    <w:name w:val="批注文字 字符1"/>
    <w:link w:val="15"/>
    <w:qFormat/>
    <w:uiPriority w:val="99"/>
    <w:rPr>
      <w:rFonts w:eastAsia="仿宋"/>
      <w:kern w:val="2"/>
      <w:sz w:val="28"/>
      <w:szCs w:val="24"/>
    </w:rPr>
  </w:style>
  <w:style w:type="character" w:customStyle="1" w:styleId="47">
    <w:name w:val="日期 字符"/>
    <w:semiHidden/>
    <w:qFormat/>
    <w:uiPriority w:val="99"/>
    <w:rPr>
      <w:rFonts w:ascii="宋体" w:hAnsi="宋体"/>
      <w:kern w:val="2"/>
      <w:sz w:val="24"/>
      <w:szCs w:val="24"/>
    </w:rPr>
  </w:style>
  <w:style w:type="character" w:customStyle="1" w:styleId="48">
    <w:name w:val="日期 字符1"/>
    <w:link w:val="22"/>
    <w:qFormat/>
    <w:uiPriority w:val="0"/>
    <w:rPr>
      <w:kern w:val="2"/>
      <w:sz w:val="21"/>
      <w:szCs w:val="24"/>
    </w:rPr>
  </w:style>
  <w:style w:type="character" w:customStyle="1" w:styleId="49">
    <w:name w:val="标题 9 字符"/>
    <w:link w:val="10"/>
    <w:qFormat/>
    <w:uiPriority w:val="9"/>
    <w:rPr>
      <w:rFonts w:ascii="Cambria" w:hAnsi="Cambria"/>
      <w:kern w:val="2"/>
      <w:sz w:val="21"/>
      <w:szCs w:val="21"/>
    </w:rPr>
  </w:style>
  <w:style w:type="character" w:customStyle="1" w:styleId="50">
    <w:name w:val="未处理的提及1"/>
    <w:unhideWhenUsed/>
    <w:qFormat/>
    <w:uiPriority w:val="99"/>
    <w:rPr>
      <w:color w:val="605E5C"/>
      <w:shd w:val="clear" w:color="auto" w:fill="E1DFDD"/>
    </w:rPr>
  </w:style>
  <w:style w:type="character" w:customStyle="1" w:styleId="51">
    <w:name w:val="标题 1 字符"/>
    <w:qFormat/>
    <w:uiPriority w:val="9"/>
    <w:rPr>
      <w:rFonts w:ascii="宋体" w:hAnsi="宋体"/>
      <w:b/>
      <w:bCs/>
      <w:kern w:val="44"/>
      <w:sz w:val="44"/>
      <w:szCs w:val="44"/>
    </w:rPr>
  </w:style>
  <w:style w:type="character" w:customStyle="1" w:styleId="52">
    <w:name w:val="标题 3 字符"/>
    <w:semiHidden/>
    <w:qFormat/>
    <w:uiPriority w:val="9"/>
    <w:rPr>
      <w:rFonts w:ascii="宋体" w:hAnsi="宋体"/>
      <w:b/>
      <w:bCs/>
      <w:kern w:val="2"/>
      <w:sz w:val="32"/>
      <w:szCs w:val="32"/>
    </w:rPr>
  </w:style>
  <w:style w:type="character" w:customStyle="1" w:styleId="53">
    <w:name w:val="页脚 字符"/>
    <w:qFormat/>
    <w:uiPriority w:val="99"/>
  </w:style>
  <w:style w:type="character" w:customStyle="1" w:styleId="54">
    <w:name w:val="标题 5 字符"/>
    <w:semiHidden/>
    <w:qFormat/>
    <w:uiPriority w:val="9"/>
    <w:rPr>
      <w:rFonts w:ascii="宋体" w:hAnsi="宋体"/>
      <w:b/>
      <w:bCs/>
      <w:kern w:val="2"/>
      <w:sz w:val="28"/>
      <w:szCs w:val="28"/>
    </w:rPr>
  </w:style>
  <w:style w:type="character" w:customStyle="1" w:styleId="55">
    <w:name w:val="题注 字符"/>
    <w:link w:val="13"/>
    <w:qFormat/>
    <w:locked/>
    <w:uiPriority w:val="0"/>
    <w:rPr>
      <w:rFonts w:ascii="Arial" w:hAnsi="Arial" w:eastAsia="黑体"/>
      <w:kern w:val="2"/>
    </w:rPr>
  </w:style>
  <w:style w:type="character" w:customStyle="1" w:styleId="56">
    <w:name w:val="标题 2 字符"/>
    <w:semiHidden/>
    <w:qFormat/>
    <w:uiPriority w:val="9"/>
    <w:rPr>
      <w:rFonts w:ascii="等线 Light" w:hAnsi="等线 Light" w:eastAsia="等线 Light" w:cs="Times New Roman"/>
      <w:b/>
      <w:bCs/>
      <w:kern w:val="2"/>
      <w:sz w:val="32"/>
      <w:szCs w:val="32"/>
    </w:rPr>
  </w:style>
  <w:style w:type="character" w:customStyle="1" w:styleId="57">
    <w:name w:val="纯文本 字符"/>
    <w:qFormat/>
    <w:uiPriority w:val="0"/>
    <w:rPr>
      <w:rFonts w:ascii="宋体" w:hAnsi="Courier New" w:cs="Courier New"/>
      <w:kern w:val="2"/>
      <w:sz w:val="21"/>
      <w:szCs w:val="21"/>
    </w:rPr>
  </w:style>
  <w:style w:type="character" w:customStyle="1" w:styleId="58">
    <w:name w:val="列表段落 字符"/>
    <w:qFormat/>
    <w:uiPriority w:val="34"/>
    <w:rPr>
      <w:kern w:val="2"/>
      <w:sz w:val="21"/>
      <w:szCs w:val="22"/>
    </w:rPr>
  </w:style>
  <w:style w:type="character" w:customStyle="1" w:styleId="59">
    <w:name w:val="标题 4 字符1"/>
    <w:link w:val="5"/>
    <w:qFormat/>
    <w:uiPriority w:val="0"/>
    <w:rPr>
      <w:rFonts w:ascii="宋体" w:hAnsi="宋体" w:eastAsia="宋体"/>
      <w:b/>
      <w:bCs/>
      <w:kern w:val="2"/>
      <w:sz w:val="30"/>
      <w:szCs w:val="30"/>
    </w:rPr>
  </w:style>
  <w:style w:type="character" w:customStyle="1" w:styleId="60">
    <w:name w:val="正文文本 字符"/>
    <w:link w:val="16"/>
    <w:qFormat/>
    <w:uiPriority w:val="0"/>
    <w:rPr>
      <w:kern w:val="2"/>
      <w:sz w:val="21"/>
      <w:szCs w:val="24"/>
    </w:rPr>
  </w:style>
  <w:style w:type="character" w:customStyle="1" w:styleId="61">
    <w:name w:val="列表段落 字符1"/>
    <w:link w:val="62"/>
    <w:qFormat/>
    <w:uiPriority w:val="34"/>
    <w:rPr>
      <w:kern w:val="2"/>
      <w:sz w:val="21"/>
      <w:szCs w:val="24"/>
    </w:rPr>
  </w:style>
  <w:style w:type="paragraph" w:styleId="62">
    <w:name w:val="List Paragraph"/>
    <w:basedOn w:val="1"/>
    <w:link w:val="61"/>
    <w:qFormat/>
    <w:uiPriority w:val="34"/>
    <w:pPr>
      <w:ind w:firstLine="420"/>
    </w:pPr>
    <w:rPr>
      <w:rFonts w:ascii="Times New Roman" w:hAnsi="Times New Roman"/>
      <w:sz w:val="21"/>
    </w:rPr>
  </w:style>
  <w:style w:type="character" w:customStyle="1" w:styleId="63">
    <w:name w:val="font21"/>
    <w:qFormat/>
    <w:uiPriority w:val="0"/>
    <w:rPr>
      <w:rFonts w:ascii="Calibri" w:hAnsi="Calibri" w:cs="Calibri"/>
      <w:color w:val="000000"/>
      <w:sz w:val="21"/>
      <w:szCs w:val="21"/>
      <w:u w:val="none"/>
    </w:rPr>
  </w:style>
  <w:style w:type="character" w:customStyle="1" w:styleId="64">
    <w:name w:val="*正文 Char"/>
    <w:link w:val="65"/>
    <w:qFormat/>
    <w:uiPriority w:val="0"/>
    <w:rPr>
      <w:rFonts w:ascii="time" w:hAnsi="time"/>
      <w:sz w:val="24"/>
      <w:szCs w:val="24"/>
      <w:lang w:bidi="en-US"/>
    </w:rPr>
  </w:style>
  <w:style w:type="paragraph" w:customStyle="1" w:styleId="65">
    <w:name w:val="*正文"/>
    <w:basedOn w:val="1"/>
    <w:link w:val="64"/>
    <w:qFormat/>
    <w:uiPriority w:val="0"/>
    <w:pPr>
      <w:widowControl/>
      <w:ind w:firstLine="200"/>
      <w:contextualSpacing/>
    </w:pPr>
    <w:rPr>
      <w:rFonts w:ascii="time" w:hAnsi="time"/>
      <w:kern w:val="0"/>
      <w:lang w:bidi="en-US"/>
    </w:rPr>
  </w:style>
  <w:style w:type="character" w:customStyle="1" w:styleId="66">
    <w:name w:val="正文文本缩进 字符"/>
    <w:semiHidden/>
    <w:qFormat/>
    <w:uiPriority w:val="99"/>
    <w:rPr>
      <w:rFonts w:ascii="宋体" w:hAnsi="宋体"/>
      <w:kern w:val="2"/>
      <w:sz w:val="24"/>
      <w:szCs w:val="24"/>
    </w:rPr>
  </w:style>
  <w:style w:type="character" w:customStyle="1" w:styleId="67">
    <w:name w:val="纯文本 字符1"/>
    <w:link w:val="20"/>
    <w:qFormat/>
    <w:locked/>
    <w:uiPriority w:val="0"/>
    <w:rPr>
      <w:rFonts w:ascii="宋体" w:hAnsi="Courier New"/>
      <w:kern w:val="2"/>
      <w:sz w:val="21"/>
    </w:rPr>
  </w:style>
  <w:style w:type="character" w:customStyle="1" w:styleId="68">
    <w:name w:val="my正文 Char"/>
    <w:link w:val="69"/>
    <w:qFormat/>
    <w:uiPriority w:val="0"/>
    <w:rPr>
      <w:kern w:val="2"/>
      <w:sz w:val="21"/>
      <w:szCs w:val="24"/>
    </w:rPr>
  </w:style>
  <w:style w:type="paragraph" w:customStyle="1" w:styleId="69">
    <w:name w:val="my正文"/>
    <w:basedOn w:val="1"/>
    <w:link w:val="68"/>
    <w:qFormat/>
    <w:uiPriority w:val="0"/>
    <w:pPr>
      <w:spacing w:line="240" w:lineRule="auto"/>
      <w:ind w:firstLine="0" w:firstLineChars="0"/>
    </w:pPr>
    <w:rPr>
      <w:rFonts w:ascii="Times New Roman" w:hAnsi="Times New Roman"/>
      <w:sz w:val="21"/>
    </w:rPr>
  </w:style>
  <w:style w:type="character" w:customStyle="1" w:styleId="70">
    <w:name w:val="正文2 字符"/>
    <w:link w:val="71"/>
    <w:qFormat/>
    <w:uiPriority w:val="0"/>
    <w:rPr>
      <w:kern w:val="2"/>
      <w:sz w:val="21"/>
      <w:szCs w:val="24"/>
    </w:rPr>
  </w:style>
  <w:style w:type="paragraph" w:customStyle="1" w:styleId="71">
    <w:name w:val="正文2"/>
    <w:basedOn w:val="1"/>
    <w:link w:val="70"/>
    <w:qFormat/>
    <w:uiPriority w:val="0"/>
    <w:pPr>
      <w:ind w:firstLine="420"/>
    </w:pPr>
    <w:rPr>
      <w:rFonts w:ascii="Times New Roman" w:hAnsi="Times New Roman"/>
      <w:sz w:val="21"/>
    </w:rPr>
  </w:style>
  <w:style w:type="character" w:customStyle="1" w:styleId="72">
    <w:name w:val="font41"/>
    <w:qFormat/>
    <w:uiPriority w:val="0"/>
    <w:rPr>
      <w:rFonts w:hint="eastAsia" w:ascii="宋体" w:hAnsi="宋体" w:eastAsia="宋体" w:cs="宋体"/>
      <w:color w:val="000000"/>
      <w:sz w:val="21"/>
      <w:szCs w:val="21"/>
      <w:u w:val="none"/>
    </w:rPr>
  </w:style>
  <w:style w:type="character" w:customStyle="1" w:styleId="73">
    <w:name w:val="标题 7 字符"/>
    <w:link w:val="8"/>
    <w:qFormat/>
    <w:uiPriority w:val="9"/>
    <w:rPr>
      <w:b/>
      <w:bCs/>
      <w:kern w:val="2"/>
      <w:sz w:val="21"/>
      <w:szCs w:val="24"/>
    </w:rPr>
  </w:style>
  <w:style w:type="character" w:customStyle="1" w:styleId="74">
    <w:name w:val="批注框文本 字符"/>
    <w:semiHidden/>
    <w:qFormat/>
    <w:uiPriority w:val="99"/>
    <w:rPr>
      <w:rFonts w:ascii="宋体" w:hAnsi="宋体"/>
      <w:kern w:val="2"/>
      <w:sz w:val="18"/>
      <w:szCs w:val="18"/>
    </w:rPr>
  </w:style>
  <w:style w:type="character" w:customStyle="1" w:styleId="75">
    <w:name w:val="副标题 Char1"/>
    <w:qFormat/>
    <w:uiPriority w:val="0"/>
    <w:rPr>
      <w:rFonts w:ascii="Calibri Light" w:hAnsi="Calibri Light" w:cs="Times New Roman"/>
      <w:b/>
      <w:bCs/>
      <w:kern w:val="28"/>
      <w:sz w:val="32"/>
      <w:szCs w:val="32"/>
    </w:rPr>
  </w:style>
  <w:style w:type="character" w:customStyle="1" w:styleId="76">
    <w:name w:val="标题 1 字符1"/>
    <w:link w:val="2"/>
    <w:qFormat/>
    <w:uiPriority w:val="0"/>
    <w:rPr>
      <w:rFonts w:ascii="宋体" w:hAnsi="宋体" w:eastAsia="黑体"/>
      <w:b/>
      <w:bCs/>
      <w:kern w:val="44"/>
      <w:sz w:val="32"/>
      <w:szCs w:val="28"/>
    </w:rPr>
  </w:style>
  <w:style w:type="character" w:customStyle="1" w:styleId="77">
    <w:name w:val="批注文字 字符"/>
    <w:qFormat/>
    <w:uiPriority w:val="99"/>
    <w:rPr>
      <w:rFonts w:ascii="宋体" w:hAnsi="宋体"/>
      <w:kern w:val="2"/>
      <w:sz w:val="24"/>
      <w:szCs w:val="24"/>
    </w:rPr>
  </w:style>
  <w:style w:type="character" w:customStyle="1" w:styleId="78">
    <w:name w:val="文档结构图 字符"/>
    <w:semiHidden/>
    <w:qFormat/>
    <w:uiPriority w:val="99"/>
    <w:rPr>
      <w:rFonts w:ascii="Microsoft YaHei UI" w:hAnsi="宋体" w:eastAsia="Microsoft YaHei UI"/>
      <w:kern w:val="2"/>
      <w:sz w:val="18"/>
      <w:szCs w:val="18"/>
    </w:rPr>
  </w:style>
  <w:style w:type="character" w:customStyle="1" w:styleId="79">
    <w:name w:val="标题 6 字符"/>
    <w:semiHidden/>
    <w:qFormat/>
    <w:uiPriority w:val="9"/>
    <w:rPr>
      <w:rFonts w:ascii="等线 Light" w:hAnsi="等线 Light" w:eastAsia="等线 Light" w:cs="Times New Roman"/>
      <w:b/>
      <w:bCs/>
      <w:kern w:val="2"/>
      <w:sz w:val="24"/>
      <w:szCs w:val="24"/>
    </w:rPr>
  </w:style>
  <w:style w:type="character" w:customStyle="1" w:styleId="80">
    <w:name w:val="正文正文2 Char"/>
    <w:link w:val="81"/>
    <w:qFormat/>
    <w:uiPriority w:val="0"/>
    <w:rPr>
      <w:rFonts w:ascii="宋体" w:hAnsi="宋体"/>
      <w:kern w:val="2"/>
      <w:sz w:val="21"/>
      <w:szCs w:val="21"/>
    </w:rPr>
  </w:style>
  <w:style w:type="paragraph" w:customStyle="1" w:styleId="81">
    <w:name w:val="正文正文2"/>
    <w:basedOn w:val="1"/>
    <w:link w:val="80"/>
    <w:qFormat/>
    <w:uiPriority w:val="0"/>
    <w:pPr>
      <w:ind w:firstLine="460"/>
    </w:pPr>
    <w:rPr>
      <w:sz w:val="21"/>
      <w:szCs w:val="21"/>
    </w:rPr>
  </w:style>
  <w:style w:type="character" w:customStyle="1" w:styleId="82">
    <w:name w:val="标题 3 字符2"/>
    <w:link w:val="4"/>
    <w:qFormat/>
    <w:uiPriority w:val="0"/>
    <w:rPr>
      <w:rFonts w:ascii="宋体" w:hAnsi="宋体" w:eastAsia="宋体"/>
      <w:b/>
      <w:bCs/>
      <w:kern w:val="2"/>
      <w:sz w:val="28"/>
      <w:szCs w:val="28"/>
    </w:rPr>
  </w:style>
  <w:style w:type="character" w:customStyle="1" w:styleId="83">
    <w:name w:val="标题 4 字符"/>
    <w:semiHidden/>
    <w:qFormat/>
    <w:uiPriority w:val="9"/>
    <w:rPr>
      <w:rFonts w:ascii="等线 Light" w:hAnsi="等线 Light" w:eastAsia="等线 Light" w:cs="Times New Roman"/>
      <w:b/>
      <w:bCs/>
      <w:kern w:val="2"/>
      <w:sz w:val="28"/>
      <w:szCs w:val="28"/>
    </w:rPr>
  </w:style>
  <w:style w:type="character" w:customStyle="1" w:styleId="84">
    <w:name w:val="批注主题 字符1"/>
    <w:link w:val="34"/>
    <w:qFormat/>
    <w:uiPriority w:val="0"/>
    <w:rPr>
      <w:rFonts w:eastAsia="仿宋"/>
      <w:b/>
      <w:bCs/>
      <w:kern w:val="2"/>
      <w:sz w:val="21"/>
      <w:szCs w:val="24"/>
    </w:rPr>
  </w:style>
  <w:style w:type="character" w:customStyle="1" w:styleId="85">
    <w:name w:val="页眉 字符"/>
    <w:semiHidden/>
    <w:qFormat/>
    <w:uiPriority w:val="99"/>
    <w:rPr>
      <w:rFonts w:ascii="宋体" w:hAnsi="宋体"/>
      <w:kern w:val="2"/>
      <w:sz w:val="18"/>
      <w:szCs w:val="18"/>
    </w:rPr>
  </w:style>
  <w:style w:type="character" w:customStyle="1" w:styleId="86">
    <w:name w:val="正文文本缩进 字符1"/>
    <w:link w:val="17"/>
    <w:qFormat/>
    <w:uiPriority w:val="0"/>
    <w:rPr>
      <w:kern w:val="2"/>
      <w:sz w:val="21"/>
    </w:rPr>
  </w:style>
  <w:style w:type="character" w:customStyle="1" w:styleId="87">
    <w:name w:val="标题 5 字符1"/>
    <w:link w:val="6"/>
    <w:qFormat/>
    <w:uiPriority w:val="0"/>
    <w:rPr>
      <w:rFonts w:ascii="宋体" w:hAnsi="宋体"/>
      <w:b/>
      <w:bCs/>
      <w:kern w:val="2"/>
      <w:sz w:val="24"/>
      <w:szCs w:val="28"/>
    </w:rPr>
  </w:style>
  <w:style w:type="character" w:customStyle="1" w:styleId="88">
    <w:name w:val="副标题 字符1"/>
    <w:link w:val="28"/>
    <w:qFormat/>
    <w:uiPriority w:val="0"/>
    <w:rPr>
      <w:rFonts w:ascii="Calibri Light" w:hAnsi="Calibri Light"/>
      <w:b/>
      <w:bCs/>
      <w:kern w:val="28"/>
      <w:sz w:val="32"/>
      <w:szCs w:val="32"/>
    </w:rPr>
  </w:style>
  <w:style w:type="character" w:customStyle="1" w:styleId="89">
    <w:name w:val="标题 2 字符1"/>
    <w:link w:val="3"/>
    <w:qFormat/>
    <w:uiPriority w:val="9"/>
    <w:rPr>
      <w:rFonts w:ascii="宋体" w:hAnsi="宋体" w:eastAsia="宋体"/>
      <w:b/>
      <w:bCs/>
      <w:kern w:val="2"/>
      <w:sz w:val="30"/>
      <w:szCs w:val="32"/>
    </w:rPr>
  </w:style>
  <w:style w:type="character" w:customStyle="1" w:styleId="90">
    <w:name w:val="页脚 字符1"/>
    <w:link w:val="24"/>
    <w:qFormat/>
    <w:uiPriority w:val="99"/>
    <w:rPr>
      <w:kern w:val="2"/>
      <w:sz w:val="18"/>
      <w:szCs w:val="18"/>
    </w:rPr>
  </w:style>
  <w:style w:type="character" w:customStyle="1" w:styleId="91">
    <w:name w:val="批注主题 字符"/>
    <w:semiHidden/>
    <w:qFormat/>
    <w:uiPriority w:val="99"/>
    <w:rPr>
      <w:rFonts w:ascii="宋体" w:hAnsi="宋体"/>
      <w:b/>
      <w:bCs/>
      <w:kern w:val="2"/>
      <w:sz w:val="24"/>
      <w:szCs w:val="24"/>
    </w:rPr>
  </w:style>
  <w:style w:type="character" w:customStyle="1" w:styleId="92">
    <w:name w:val="文档结构图 字符1"/>
    <w:link w:val="14"/>
    <w:qFormat/>
    <w:uiPriority w:val="0"/>
    <w:rPr>
      <w:rFonts w:ascii="宋体"/>
      <w:kern w:val="2"/>
      <w:sz w:val="18"/>
      <w:szCs w:val="18"/>
    </w:rPr>
  </w:style>
  <w:style w:type="character" w:customStyle="1" w:styleId="93">
    <w:name w:val="font31"/>
    <w:qFormat/>
    <w:uiPriority w:val="0"/>
    <w:rPr>
      <w:rFonts w:hint="eastAsia" w:ascii="宋体" w:hAnsi="宋体" w:eastAsia="宋体" w:cs="宋体"/>
      <w:color w:val="000000"/>
      <w:sz w:val="21"/>
      <w:szCs w:val="21"/>
      <w:u w:val="none"/>
    </w:rPr>
  </w:style>
  <w:style w:type="character" w:customStyle="1" w:styleId="94">
    <w:name w:val="标准正文 Char"/>
    <w:link w:val="95"/>
    <w:qFormat/>
    <w:uiPriority w:val="0"/>
    <w:rPr>
      <w:rFonts w:ascii="Arial" w:hAnsi="Arial"/>
      <w:kern w:val="2"/>
      <w:sz w:val="24"/>
    </w:rPr>
  </w:style>
  <w:style w:type="paragraph" w:customStyle="1" w:styleId="95">
    <w:name w:val="标准正文"/>
    <w:basedOn w:val="17"/>
    <w:link w:val="94"/>
    <w:qFormat/>
    <w:uiPriority w:val="0"/>
    <w:pPr>
      <w:spacing w:before="60" w:after="60"/>
      <w:ind w:firstLine="482" w:firstLineChars="0"/>
    </w:pPr>
    <w:rPr>
      <w:rFonts w:ascii="Arial" w:hAnsi="Arial"/>
      <w:sz w:val="24"/>
    </w:rPr>
  </w:style>
  <w:style w:type="character" w:customStyle="1" w:styleId="96">
    <w:name w:val="标题 字符1"/>
    <w:link w:val="33"/>
    <w:qFormat/>
    <w:uiPriority w:val="0"/>
    <w:rPr>
      <w:rFonts w:ascii="Cambria" w:hAnsi="Cambria" w:eastAsia="黑体"/>
      <w:b/>
      <w:bCs/>
      <w:kern w:val="2"/>
      <w:sz w:val="52"/>
      <w:szCs w:val="32"/>
    </w:rPr>
  </w:style>
  <w:style w:type="character" w:customStyle="1" w:styleId="97">
    <w:name w:val="批注框文本 字符1"/>
    <w:link w:val="23"/>
    <w:qFormat/>
    <w:uiPriority w:val="0"/>
    <w:rPr>
      <w:kern w:val="2"/>
      <w:sz w:val="18"/>
      <w:szCs w:val="18"/>
    </w:rPr>
  </w:style>
  <w:style w:type="character" w:customStyle="1" w:styleId="98">
    <w:name w:val="页眉 字符1"/>
    <w:link w:val="25"/>
    <w:qFormat/>
    <w:uiPriority w:val="99"/>
    <w:rPr>
      <w:kern w:val="2"/>
      <w:sz w:val="18"/>
      <w:szCs w:val="18"/>
    </w:rPr>
  </w:style>
  <w:style w:type="character" w:customStyle="1" w:styleId="99">
    <w:name w:val="标题 8 字符"/>
    <w:link w:val="9"/>
    <w:qFormat/>
    <w:uiPriority w:val="9"/>
    <w:rPr>
      <w:rFonts w:ascii="Cambria" w:hAnsi="Cambria"/>
      <w:kern w:val="2"/>
      <w:sz w:val="21"/>
      <w:szCs w:val="24"/>
    </w:rPr>
  </w:style>
  <w:style w:type="character" w:customStyle="1" w:styleId="100">
    <w:name w:val="标题 6 字符1"/>
    <w:link w:val="7"/>
    <w:qFormat/>
    <w:uiPriority w:val="0"/>
    <w:rPr>
      <w:rFonts w:ascii="Cambria" w:hAnsi="Cambria"/>
      <w:b/>
      <w:bCs/>
      <w:kern w:val="2"/>
      <w:sz w:val="24"/>
      <w:szCs w:val="24"/>
    </w:rPr>
  </w:style>
  <w:style w:type="character" w:customStyle="1" w:styleId="101">
    <w:name w:val="标题 字符"/>
    <w:qFormat/>
    <w:uiPriority w:val="10"/>
    <w:rPr>
      <w:rFonts w:ascii="等线 Light" w:hAnsi="等线 Light" w:eastAsia="等线 Light" w:cs="Times New Roman"/>
      <w:b/>
      <w:bCs/>
      <w:kern w:val="2"/>
      <w:sz w:val="32"/>
      <w:szCs w:val="32"/>
    </w:rPr>
  </w:style>
  <w:style w:type="character" w:customStyle="1" w:styleId="102">
    <w:name w:val="副标题 字符"/>
    <w:qFormat/>
    <w:uiPriority w:val="11"/>
    <w:rPr>
      <w:rFonts w:ascii="等线" w:hAnsi="等线" w:eastAsia="等线" w:cs="Times New Roman"/>
      <w:b/>
      <w:bCs/>
      <w:kern w:val="28"/>
      <w:sz w:val="32"/>
      <w:szCs w:val="32"/>
    </w:rPr>
  </w:style>
  <w:style w:type="paragraph" w:customStyle="1" w:styleId="103">
    <w:name w:val="xl72"/>
    <w:basedOn w:val="1"/>
    <w:qFormat/>
    <w:uiPriority w:val="0"/>
    <w:pPr>
      <w:widowControl/>
      <w:spacing w:before="100" w:beforeAutospacing="1" w:after="100" w:afterAutospacing="1" w:line="240" w:lineRule="auto"/>
      <w:ind w:firstLine="0" w:firstLineChars="0"/>
      <w:jc w:val="center"/>
    </w:pPr>
    <w:rPr>
      <w:rFonts w:cs="宋体"/>
      <w:kern w:val="0"/>
    </w:rPr>
  </w:style>
  <w:style w:type="paragraph" w:customStyle="1" w:styleId="104">
    <w:name w:val="正文（深信服）"/>
    <w:qFormat/>
    <w:uiPriority w:val="0"/>
    <w:pPr>
      <w:spacing w:line="360" w:lineRule="auto"/>
      <w:ind w:firstLine="420"/>
    </w:pPr>
    <w:rPr>
      <w:rFonts w:ascii="Arial" w:hAnsi="Arial" w:eastAsia="宋体" w:cs="Times New Roman"/>
      <w:sz w:val="24"/>
      <w:szCs w:val="21"/>
      <w:shd w:val="clear" w:color="auto" w:fill="FFFFFF"/>
      <w:lang w:val="en-US" w:eastAsia="zh-CN" w:bidi="ar-SA"/>
    </w:rPr>
  </w:style>
  <w:style w:type="paragraph" w:customStyle="1" w:styleId="105">
    <w:name w:val="xl70"/>
    <w:basedOn w:val="1"/>
    <w:qFormat/>
    <w:uiPriority w:val="0"/>
    <w:pPr>
      <w:widowControl/>
      <w:pBdr>
        <w:bottom w:val="single" w:color="auto" w:sz="4" w:space="0"/>
        <w:right w:val="single" w:color="auto" w:sz="4" w:space="0"/>
      </w:pBdr>
      <w:spacing w:before="100" w:beforeAutospacing="1" w:after="100" w:afterAutospacing="1" w:line="240" w:lineRule="auto"/>
      <w:ind w:firstLine="0" w:firstLineChars="0"/>
      <w:jc w:val="right"/>
      <w:textAlignment w:val="center"/>
    </w:pPr>
    <w:rPr>
      <w:rFonts w:ascii="Microsoft Sans Serif" w:hAnsi="Microsoft Sans Serif" w:cs="Microsoft Sans Serif"/>
      <w:kern w:val="0"/>
      <w:sz w:val="18"/>
      <w:szCs w:val="18"/>
    </w:rPr>
  </w:style>
  <w:style w:type="paragraph" w:customStyle="1" w:styleId="106">
    <w:name w:val="_Style 2"/>
    <w:basedOn w:val="2"/>
    <w:next w:val="1"/>
    <w:qFormat/>
    <w:uiPriority w:val="39"/>
    <w:pPr>
      <w:widowControl/>
      <w:numPr>
        <w:numId w:val="0"/>
      </w:numPr>
      <w:spacing w:before="480" w:after="0" w:line="276" w:lineRule="auto"/>
      <w:jc w:val="left"/>
      <w:outlineLvl w:val="9"/>
    </w:pPr>
    <w:rPr>
      <w:rFonts w:ascii="Cambria" w:hAnsi="Cambria" w:eastAsia="宋体"/>
      <w:color w:val="365F91"/>
      <w:kern w:val="0"/>
      <w:sz w:val="28"/>
    </w:rPr>
  </w:style>
  <w:style w:type="paragraph" w:customStyle="1" w:styleId="107">
    <w:name w:val="正文缩进1"/>
    <w:basedOn w:val="1"/>
    <w:qFormat/>
    <w:uiPriority w:val="0"/>
    <w:pPr>
      <w:spacing w:line="240" w:lineRule="auto"/>
      <w:ind w:firstLine="420"/>
    </w:pPr>
    <w:rPr>
      <w:rFonts w:ascii="Times New Roman" w:hAnsi="Times New Roman"/>
      <w:sz w:val="21"/>
      <w:szCs w:val="20"/>
    </w:rPr>
  </w:style>
  <w:style w:type="paragraph" w:customStyle="1" w:styleId="108">
    <w:name w:val="xl68"/>
    <w:basedOn w:val="1"/>
    <w:qFormat/>
    <w:uiPriority w:val="0"/>
    <w:pPr>
      <w:widowControl/>
      <w:pBdr>
        <w:bottom w:val="single" w:color="auto" w:sz="4" w:space="0"/>
        <w:right w:val="single" w:color="auto" w:sz="4" w:space="0"/>
      </w:pBdr>
      <w:spacing w:before="100" w:beforeAutospacing="1" w:after="100" w:afterAutospacing="1" w:line="240" w:lineRule="auto"/>
      <w:ind w:firstLine="0" w:firstLineChars="0"/>
      <w:jc w:val="left"/>
      <w:textAlignment w:val="center"/>
    </w:pPr>
    <w:rPr>
      <w:rFonts w:ascii="Microsoft Sans Serif" w:hAnsi="Microsoft Sans Serif" w:cs="Microsoft Sans Serif"/>
      <w:kern w:val="0"/>
      <w:sz w:val="18"/>
      <w:szCs w:val="18"/>
    </w:rPr>
  </w:style>
  <w:style w:type="paragraph" w:customStyle="1" w:styleId="109">
    <w:name w:val="前言、引言标题"/>
    <w:next w:val="1"/>
    <w:qFormat/>
    <w:uiPriority w:val="99"/>
    <w:pPr>
      <w:shd w:val="clear" w:color="FFFFFF" w:fill="FFFFFF"/>
      <w:tabs>
        <w:tab w:val="left" w:pos="425"/>
      </w:tabs>
      <w:spacing w:before="640" w:after="560"/>
      <w:jc w:val="center"/>
      <w:outlineLvl w:val="0"/>
    </w:pPr>
    <w:rPr>
      <w:rFonts w:ascii="黑体" w:hAnsi="Times New Roman" w:eastAsia="黑体" w:cs="Times New Roman"/>
      <w:sz w:val="32"/>
      <w:lang w:val="en-US" w:eastAsia="zh-CN" w:bidi="ar-SA"/>
    </w:rPr>
  </w:style>
  <w:style w:type="paragraph" w:customStyle="1" w:styleId="110">
    <w:name w:val="Indent Normal"/>
    <w:basedOn w:val="1"/>
    <w:qFormat/>
    <w:uiPriority w:val="0"/>
    <w:pPr>
      <w:ind w:firstLine="150" w:firstLineChars="150"/>
    </w:pPr>
  </w:style>
  <w:style w:type="paragraph" w:customStyle="1" w:styleId="111">
    <w:name w:val="msonormal"/>
    <w:basedOn w:val="1"/>
    <w:qFormat/>
    <w:uiPriority w:val="0"/>
    <w:pPr>
      <w:widowControl/>
      <w:spacing w:before="100" w:beforeAutospacing="1" w:after="100" w:afterAutospacing="1" w:line="240" w:lineRule="auto"/>
      <w:ind w:firstLine="0" w:firstLineChars="0"/>
      <w:jc w:val="left"/>
    </w:pPr>
    <w:rPr>
      <w:rFonts w:cs="宋体"/>
      <w:kern w:val="0"/>
    </w:rPr>
  </w:style>
  <w:style w:type="paragraph" w:customStyle="1" w:styleId="112">
    <w:name w:val="正文 缩进2字符"/>
    <w:basedOn w:val="1"/>
    <w:qFormat/>
    <w:uiPriority w:val="0"/>
    <w:pPr>
      <w:spacing w:afterLines="50" w:line="240" w:lineRule="auto"/>
      <w:ind w:firstLine="0" w:firstLineChars="0"/>
    </w:pPr>
    <w:rPr>
      <w:rFonts w:ascii="Times New Roman" w:hAnsi="Times New Roman" w:cs="宋体"/>
      <w:sz w:val="21"/>
      <w:szCs w:val="20"/>
    </w:rPr>
  </w:style>
  <w:style w:type="paragraph" w:customStyle="1" w:styleId="113">
    <w:name w:val="列项●（二级）"/>
    <w:qFormat/>
    <w:uiPriority w:val="0"/>
    <w:pPr>
      <w:numPr>
        <w:ilvl w:val="0"/>
        <w:numId w:val="2"/>
      </w:numPr>
      <w:tabs>
        <w:tab w:val="left" w:pos="840"/>
      </w:tabs>
      <w:ind w:left="600" w:leftChars="400" w:hanging="200" w:hangingChars="200"/>
      <w:jc w:val="both"/>
    </w:pPr>
    <w:rPr>
      <w:rFonts w:ascii="宋体" w:hAnsi="Times New Roman" w:eastAsia="宋体" w:cs="Times New Roman"/>
      <w:sz w:val="21"/>
      <w:lang w:val="en-US" w:eastAsia="zh-CN" w:bidi="ar-SA"/>
    </w:rPr>
  </w:style>
  <w:style w:type="paragraph" w:customStyle="1" w:styleId="114">
    <w:name w:val="助手文本"/>
    <w:basedOn w:val="1"/>
    <w:qFormat/>
    <w:uiPriority w:val="0"/>
    <w:pPr>
      <w:autoSpaceDE w:val="0"/>
      <w:autoSpaceDN w:val="0"/>
      <w:adjustRightInd w:val="0"/>
      <w:spacing w:beforeLines="50" w:afterLines="50"/>
      <w:ind w:left="14" w:firstLine="434"/>
      <w:textAlignment w:val="baseline"/>
    </w:pPr>
    <w:rPr>
      <w:rFonts w:ascii="楷体_GB2312" w:eastAsia="楷体_GB2312"/>
      <w:kern w:val="0"/>
      <w:szCs w:val="20"/>
      <w:u w:val="single"/>
    </w:rPr>
  </w:style>
  <w:style w:type="paragraph" w:customStyle="1" w:styleId="115">
    <w:name w:val="xl67"/>
    <w:basedOn w:val="1"/>
    <w:qFormat/>
    <w:uiPriority w:val="0"/>
    <w:pPr>
      <w:widowControl/>
      <w:pBdr>
        <w:top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Microsoft Sans Serif" w:hAnsi="Microsoft Sans Serif" w:cs="Microsoft Sans Serif"/>
      <w:b/>
      <w:bCs/>
      <w:kern w:val="0"/>
      <w:sz w:val="18"/>
      <w:szCs w:val="18"/>
    </w:rPr>
  </w:style>
  <w:style w:type="paragraph" w:customStyle="1" w:styleId="116">
    <w:name w:val="段"/>
    <w:link w:val="136"/>
    <w:qFormat/>
    <w:uiPriority w:val="0"/>
    <w:pPr>
      <w:autoSpaceDE w:val="0"/>
      <w:autoSpaceDN w:val="0"/>
      <w:ind w:firstLine="200" w:firstLineChars="200"/>
      <w:jc w:val="both"/>
    </w:pPr>
    <w:rPr>
      <w:rFonts w:ascii="宋体" w:hAnsi="Times New Roman" w:eastAsia="宋体" w:cs="Calibri"/>
      <w:sz w:val="21"/>
      <w:lang w:val="en-US" w:eastAsia="zh-CN" w:bidi="ar-SA"/>
    </w:rPr>
  </w:style>
  <w:style w:type="paragraph" w:customStyle="1" w:styleId="117">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cs="宋体"/>
      <w:kern w:val="0"/>
    </w:rPr>
  </w:style>
  <w:style w:type="paragraph" w:customStyle="1" w:styleId="118">
    <w:name w:val="Char Char Char Char Char Char1 Char"/>
    <w:basedOn w:val="1"/>
    <w:qFormat/>
    <w:uiPriority w:val="0"/>
    <w:pPr>
      <w:widowControl/>
      <w:spacing w:after="160" w:line="240" w:lineRule="exact"/>
      <w:jc w:val="left"/>
    </w:pPr>
  </w:style>
  <w:style w:type="paragraph" w:customStyle="1" w:styleId="119">
    <w:name w:val="PM_Body"/>
    <w:basedOn w:val="1"/>
    <w:qFormat/>
    <w:locked/>
    <w:uiPriority w:val="0"/>
    <w:rPr>
      <w:szCs w:val="21"/>
    </w:rPr>
  </w:style>
  <w:style w:type="paragraph" w:customStyle="1" w:styleId="120">
    <w:name w:val="Char Char1"/>
    <w:basedOn w:val="1"/>
    <w:qFormat/>
    <w:uiPriority w:val="0"/>
    <w:pPr>
      <w:widowControl/>
      <w:spacing w:before="120" w:after="120"/>
    </w:pPr>
    <w:rPr>
      <w:rFonts w:ascii="Times New Roman" w:hAnsi="Times New Roman" w:cs="宋体"/>
    </w:rPr>
  </w:style>
  <w:style w:type="paragraph" w:customStyle="1" w:styleId="121">
    <w:name w:val="xl71"/>
    <w:basedOn w:val="1"/>
    <w:qFormat/>
    <w:uiPriority w:val="0"/>
    <w:pPr>
      <w:widowControl/>
      <w:spacing w:before="100" w:beforeAutospacing="1" w:after="100" w:afterAutospacing="1" w:line="240" w:lineRule="auto"/>
      <w:ind w:firstLine="0" w:firstLineChars="0"/>
      <w:jc w:val="right"/>
      <w:textAlignment w:val="center"/>
    </w:pPr>
    <w:rPr>
      <w:rFonts w:ascii="Microsoft Sans Serif" w:hAnsi="Microsoft Sans Serif" w:cs="Microsoft Sans Serif"/>
      <w:kern w:val="0"/>
      <w:sz w:val="18"/>
      <w:szCs w:val="18"/>
    </w:rPr>
  </w:style>
  <w:style w:type="paragraph" w:customStyle="1" w:styleId="122">
    <w:name w:val="修订1"/>
    <w:unhideWhenUsed/>
    <w:qFormat/>
    <w:uiPriority w:val="99"/>
    <w:rPr>
      <w:rFonts w:ascii="宋体" w:hAnsi="宋体" w:eastAsia="宋体" w:cs="Times New Roman"/>
      <w:kern w:val="2"/>
      <w:sz w:val="24"/>
      <w:szCs w:val="24"/>
      <w:lang w:val="en-US" w:eastAsia="zh-CN" w:bidi="ar-SA"/>
    </w:rPr>
  </w:style>
  <w:style w:type="paragraph" w:customStyle="1" w:styleId="123">
    <w:name w:val="列出段落2"/>
    <w:basedOn w:val="1"/>
    <w:qFormat/>
    <w:uiPriority w:val="0"/>
    <w:pPr>
      <w:spacing w:line="240" w:lineRule="auto"/>
      <w:ind w:firstLine="420"/>
    </w:pPr>
    <w:rPr>
      <w:rFonts w:ascii="等线" w:hAnsi="等线" w:eastAsia="等线" w:cs="等线"/>
      <w:sz w:val="21"/>
      <w:szCs w:val="21"/>
    </w:rPr>
  </w:style>
  <w:style w:type="paragraph" w:customStyle="1" w:styleId="124">
    <w:name w:val="xl69"/>
    <w:basedOn w:val="1"/>
    <w:qFormat/>
    <w:uiPriority w:val="0"/>
    <w:pPr>
      <w:widowControl/>
      <w:pBdr>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Microsoft Sans Serif" w:hAnsi="Microsoft Sans Serif" w:cs="Microsoft Sans Serif"/>
      <w:kern w:val="0"/>
      <w:sz w:val="18"/>
      <w:szCs w:val="18"/>
    </w:rPr>
  </w:style>
  <w:style w:type="paragraph" w:customStyle="1" w:styleId="125">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Microsoft Sans Serif" w:hAnsi="Microsoft Sans Serif" w:cs="Microsoft Sans Serif"/>
      <w:b/>
      <w:bCs/>
      <w:kern w:val="0"/>
      <w:sz w:val="18"/>
      <w:szCs w:val="18"/>
    </w:rPr>
  </w:style>
  <w:style w:type="paragraph" w:customStyle="1" w:styleId="126">
    <w:name w:val="文档正文文本（中安网脉）"/>
    <w:basedOn w:val="1"/>
    <w:qFormat/>
    <w:uiPriority w:val="0"/>
    <w:pPr>
      <w:ind w:firstLine="200"/>
    </w:pPr>
    <w:rPr>
      <w:rFonts w:ascii="Times New Roman" w:hAnsi="Times New Roman" w:eastAsia="仿宋_GB2312"/>
      <w:color w:val="000000"/>
      <w:szCs w:val="28"/>
    </w:rPr>
  </w:style>
  <w:style w:type="paragraph" w:customStyle="1" w:styleId="127">
    <w:name w:val="xl65"/>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ind w:firstLine="0" w:firstLineChars="0"/>
      <w:jc w:val="left"/>
      <w:textAlignment w:val="center"/>
    </w:pPr>
    <w:rPr>
      <w:rFonts w:ascii="Microsoft Sans Serif" w:hAnsi="Microsoft Sans Serif" w:cs="Microsoft Sans Serif"/>
      <w:kern w:val="0"/>
      <w:sz w:val="18"/>
      <w:szCs w:val="18"/>
    </w:rPr>
  </w:style>
  <w:style w:type="paragraph" w:customStyle="1" w:styleId="128">
    <w:name w:val="正文样式"/>
    <w:unhideWhenUsed/>
    <w:qFormat/>
    <w:uiPriority w:val="0"/>
    <w:pPr>
      <w:widowControl w:val="0"/>
      <w:adjustRightInd w:val="0"/>
      <w:snapToGrid w:val="0"/>
      <w:spacing w:line="360" w:lineRule="auto"/>
      <w:ind w:firstLine="200" w:firstLineChars="200"/>
      <w:jc w:val="both"/>
    </w:pPr>
    <w:rPr>
      <w:rFonts w:ascii="Times New Roman" w:hAnsi="Times New Roman" w:eastAsia="宋体" w:cs="Times New Roman"/>
      <w:bCs/>
      <w:snapToGrid w:val="0"/>
      <w:sz w:val="24"/>
      <w:szCs w:val="44"/>
      <w:lang w:val="en-US" w:eastAsia="zh-CN" w:bidi="ar-SA"/>
    </w:rPr>
  </w:style>
  <w:style w:type="paragraph" w:customStyle="1" w:styleId="129">
    <w:name w:val="样式 行距: 1.5 倍行距 首行缩进:  2 字符"/>
    <w:basedOn w:val="1"/>
    <w:qFormat/>
    <w:uiPriority w:val="0"/>
    <w:pPr>
      <w:ind w:firstLine="560"/>
      <w:jc w:val="left"/>
    </w:pPr>
    <w:rPr>
      <w:rFonts w:ascii="仿宋" w:hAnsi="仿宋" w:eastAsia="仿宋" w:cs="宋体"/>
      <w:sz w:val="28"/>
      <w:szCs w:val="20"/>
    </w:rPr>
  </w:style>
  <w:style w:type="paragraph" w:customStyle="1" w:styleId="130">
    <w:name w:val="TOC 标题1"/>
    <w:basedOn w:val="2"/>
    <w:next w:val="1"/>
    <w:qFormat/>
    <w:uiPriority w:val="39"/>
    <w:pPr>
      <w:widowControl/>
      <w:numPr>
        <w:numId w:val="0"/>
      </w:numPr>
      <w:spacing w:before="480" w:after="0" w:line="276" w:lineRule="auto"/>
      <w:jc w:val="left"/>
      <w:outlineLvl w:val="9"/>
    </w:pPr>
    <w:rPr>
      <w:rFonts w:ascii="Cambria" w:hAnsi="Cambria" w:eastAsia="宋体"/>
      <w:color w:val="365F91"/>
      <w:kern w:val="0"/>
      <w:sz w:val="28"/>
    </w:rPr>
  </w:style>
  <w:style w:type="table" w:customStyle="1" w:styleId="131">
    <w:name w:val="!我的表格1"/>
    <w:basedOn w:val="3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2">
    <w:name w:val="网格型1"/>
    <w:basedOn w:val="35"/>
    <w:unhideWhenUsed/>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3">
    <w:name w:val="标题 1 Char"/>
    <w:qFormat/>
    <w:uiPriority w:val="0"/>
    <w:rPr>
      <w:rFonts w:ascii="宋体" w:hAnsi="宋体" w:eastAsia="黑体"/>
      <w:b/>
      <w:bCs/>
      <w:kern w:val="44"/>
      <w:sz w:val="32"/>
      <w:szCs w:val="28"/>
    </w:rPr>
  </w:style>
  <w:style w:type="character" w:customStyle="1" w:styleId="134">
    <w:name w:val="纯文本 Char2"/>
    <w:qFormat/>
    <w:uiPriority w:val="0"/>
    <w:rPr>
      <w:rFonts w:ascii="宋体" w:hAnsi="宋体" w:eastAsia="宋体" w:cs="Times New Roman"/>
      <w:color w:val="000000"/>
      <w:kern w:val="0"/>
      <w:sz w:val="24"/>
      <w:szCs w:val="24"/>
    </w:rPr>
  </w:style>
  <w:style w:type="paragraph" w:customStyle="1" w:styleId="135">
    <w:name w:val="￥正文"/>
    <w:basedOn w:val="1"/>
    <w:qFormat/>
    <w:uiPriority w:val="0"/>
    <w:pPr>
      <w:spacing w:after="120"/>
      <w:ind w:firstLine="200"/>
    </w:pPr>
    <w:rPr>
      <w:rFonts w:hAnsi="Calibri" w:eastAsia="仿宋"/>
      <w:sz w:val="28"/>
    </w:rPr>
  </w:style>
  <w:style w:type="character" w:customStyle="1" w:styleId="136">
    <w:name w:val="段 Char"/>
    <w:basedOn w:val="37"/>
    <w:link w:val="116"/>
    <w:qFormat/>
    <w:uiPriority w:val="0"/>
    <w:rPr>
      <w:rFonts w:ascii="宋体" w:cs="Calibri"/>
      <w:sz w:val="21"/>
    </w:rPr>
  </w:style>
  <w:style w:type="paragraph" w:customStyle="1" w:styleId="137">
    <w:name w:val="表格"/>
    <w:basedOn w:val="1"/>
    <w:qFormat/>
    <w:uiPriority w:val="0"/>
    <w:pPr>
      <w:widowControl/>
      <w:ind w:firstLine="0" w:firstLineChars="0"/>
      <w:jc w:val="center"/>
      <w:textAlignment w:val="center"/>
    </w:pPr>
    <w:rPr>
      <w:rFonts w:hint="eastAsia"/>
      <w:b/>
      <w:bCs/>
      <w:color w:val="000000"/>
      <w:kern w:val="0"/>
    </w:rPr>
  </w:style>
  <w:style w:type="paragraph" w:customStyle="1" w:styleId="138">
    <w:name w:val="修订2"/>
    <w:hidden/>
    <w:unhideWhenUsed/>
    <w:qFormat/>
    <w:uiPriority w:val="99"/>
    <w:rPr>
      <w:rFonts w:ascii="宋体" w:hAnsi="宋体" w:eastAsia="宋体" w:cs="Times New Roman"/>
      <w:kern w:val="2"/>
      <w:sz w:val="24"/>
      <w:szCs w:val="24"/>
      <w:lang w:val="en-US" w:eastAsia="zh-CN" w:bidi="ar-SA"/>
    </w:rPr>
  </w:style>
  <w:style w:type="paragraph" w:customStyle="1" w:styleId="139">
    <w:name w:val="Revision"/>
    <w:hidden/>
    <w:unhideWhenUsed/>
    <w:qFormat/>
    <w:uiPriority w:val="99"/>
    <w:rPr>
      <w:rFonts w:ascii="宋体" w:hAnsi="宋体"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14</Pages>
  <Words>1496</Words>
  <Characters>1540</Characters>
  <Lines>96</Lines>
  <Paragraphs>27</Paragraphs>
  <TotalTime>37</TotalTime>
  <ScaleCrop>false</ScaleCrop>
  <LinksUpToDate>false</LinksUpToDate>
  <CharactersWithSpaces>1541</CharactersWithSpaces>
  <Application>WPS Office_12.8.2.18605_F1E327BC-269C-435d-A152-05C5408002CA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2025-10-01T15:12:00Z</dcterms:created>
  <dc:creator>gtig_tzb</dc:creator>
  <cp:lastModifiedBy>傅旭明</cp:lastModifiedBy>
  <cp:lastPrinted>2020-08-10T12:08:00Z</cp:lastPrinted>
  <dcterms:modified xsi:type="dcterms:W3CDTF">2025-10-27T08:15:10Z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2052-12.8.2.18605</vt:lpwstr>
  </property>
  <property fmtid="{D5CDD505-2E9C-101B-9397-08002B2CF9AE}" pid="3" name="ICV">
    <vt:lpwstr>EB4ACD5ED40D40579B8A6430445B1A5A_13</vt:lpwstr>
  </property>
  <property fmtid="{D5CDD505-2E9C-101B-9397-08002B2CF9AE}" pid="4" name="KSOTemplateDocerSaveRecord">
    <vt:lpwstr>eyJoZGlkIjoiZWVlNTc4MDg4YWMwYmQ1MTMyY2JiNTU1ZGRlZDg5M2QiLCJ1c2VySWQiOiIyNzIxMzA3NDYifQ==</vt:lpwstr>
  </property>
</Properties>
</file>