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EF2E">
      <w:pPr>
        <w:spacing w:line="360" w:lineRule="auto"/>
        <w:jc w:val="center"/>
        <w:rPr>
          <w:rFonts w:ascii="黑体" w:hAnsi="黑体" w:eastAsia="黑体" w:cs="宋体"/>
          <w:sz w:val="32"/>
          <w:szCs w:val="24"/>
        </w:rPr>
      </w:pPr>
      <w:r>
        <w:rPr>
          <w:rFonts w:hint="eastAsia" w:ascii="黑体" w:hAnsi="黑体" w:eastAsia="黑体" w:cs="宋体"/>
          <w:sz w:val="32"/>
          <w:szCs w:val="24"/>
        </w:rPr>
        <w:t>上海市市域基础设施和生态环境专项规划编制和研究</w:t>
      </w:r>
    </w:p>
    <w:p w14:paraId="0BC94513">
      <w:pPr>
        <w:spacing w:line="360" w:lineRule="auto"/>
        <w:jc w:val="center"/>
        <w:rPr>
          <w:rFonts w:ascii="黑体" w:hAnsi="黑体" w:eastAsia="黑体" w:cs="宋体"/>
          <w:sz w:val="32"/>
          <w:szCs w:val="24"/>
        </w:rPr>
      </w:pPr>
      <w:r>
        <w:rPr>
          <w:rFonts w:hint="eastAsia" w:ascii="黑体" w:hAnsi="黑体" w:eastAsia="黑体" w:cs="宋体"/>
          <w:sz w:val="32"/>
          <w:szCs w:val="24"/>
        </w:rPr>
        <w:t>采购需求</w:t>
      </w:r>
    </w:p>
    <w:p w14:paraId="5F67831C"/>
    <w:p w14:paraId="23DBECC8">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工作背景</w:t>
      </w:r>
    </w:p>
    <w:p w14:paraId="6146D259">
      <w:pPr>
        <w:ind w:firstLine="560" w:firstLineChars="200"/>
        <w:rPr>
          <w:rFonts w:ascii="仿宋_GB2312" w:eastAsia="仿宋_GB2312"/>
          <w:sz w:val="28"/>
          <w:szCs w:val="32"/>
        </w:rPr>
      </w:pPr>
      <w:r>
        <w:rPr>
          <w:rFonts w:hint="eastAsia" w:ascii="仿宋_GB2312" w:eastAsia="仿宋_GB2312"/>
          <w:sz w:val="28"/>
          <w:szCs w:val="32"/>
        </w:rPr>
        <w:t>在全面贯彻党的二十大会议精神和中共中央关于国土空间规划体系顶层设计要求的背景下，为落实“人民城市人民建，人民城市为人民”的建设理念，全面实施“上海2035总体规划”、加强土地高质量利用、提高城市精细化管理水平和安全能级，助力城市实现高质量发展，根据党中央、国务院及上海市委市政府的最新指示和精神，结合市局发展规划及年度工作任务，从重要性、必要性和紧迫性出发，拟开展2025年上海市市域基础设施和生态环境专项规划编制和研究。</w:t>
      </w:r>
    </w:p>
    <w:p w14:paraId="3861792C">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相关规划</w:t>
      </w:r>
    </w:p>
    <w:p w14:paraId="3C590505">
      <w:pPr>
        <w:ind w:firstLine="562" w:firstLineChars="200"/>
        <w:rPr>
          <w:rFonts w:ascii="仿宋_GB2312" w:eastAsia="仿宋_GB2312"/>
          <w:b/>
          <w:sz w:val="28"/>
          <w:szCs w:val="32"/>
        </w:rPr>
      </w:pPr>
      <w:r>
        <w:rPr>
          <w:rFonts w:hint="eastAsia" w:ascii="仿宋_GB2312" w:eastAsia="仿宋_GB2312"/>
          <w:b/>
          <w:sz w:val="28"/>
          <w:szCs w:val="32"/>
        </w:rPr>
        <w:t>1、上位规划依据</w:t>
      </w:r>
    </w:p>
    <w:p w14:paraId="44C9FA0F">
      <w:pPr>
        <w:ind w:firstLine="560" w:firstLineChars="20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上海市城市总体规划（2017-2035年）》</w:t>
      </w:r>
    </w:p>
    <w:p w14:paraId="7C57EDC3">
      <w:pPr>
        <w:ind w:firstLine="560" w:firstLineChars="200"/>
        <w:rPr>
          <w:rFonts w:ascii="仿宋_GB2312" w:eastAsia="仿宋_GB2312"/>
          <w:sz w:val="28"/>
          <w:szCs w:val="32"/>
        </w:rPr>
      </w:pPr>
      <w:r>
        <w:rPr>
          <w:rFonts w:hint="eastAsia" w:ascii="仿宋_GB2312" w:eastAsia="仿宋_GB2312"/>
          <w:sz w:val="28"/>
          <w:szCs w:val="32"/>
        </w:rPr>
        <w:t>《上海市国土空间近期规划（2021-2025年）》</w:t>
      </w:r>
    </w:p>
    <w:p w14:paraId="0667801E">
      <w:pPr>
        <w:ind w:firstLine="560" w:firstLineChars="200"/>
        <w:rPr>
          <w:rFonts w:hint="eastAsia" w:ascii="仿宋_GB2312" w:eastAsia="仿宋_GB2312"/>
          <w:sz w:val="28"/>
          <w:szCs w:val="32"/>
        </w:rPr>
      </w:pPr>
      <w:r>
        <w:rPr>
          <w:rFonts w:hint="eastAsia" w:ascii="仿宋_GB2312" w:eastAsia="仿宋_GB2312"/>
          <w:sz w:val="28"/>
          <w:szCs w:val="32"/>
        </w:rPr>
        <w:t>《上海市防洪除涝规划（2019-2035年）》</w:t>
      </w:r>
    </w:p>
    <w:p w14:paraId="3431F811">
      <w:pPr>
        <w:ind w:firstLine="560" w:firstLineChars="200"/>
        <w:rPr>
          <w:rFonts w:ascii="仿宋_GB2312" w:eastAsia="仿宋_GB2312"/>
          <w:sz w:val="28"/>
          <w:szCs w:val="32"/>
        </w:rPr>
      </w:pPr>
      <w:r>
        <w:rPr>
          <w:rFonts w:hint="eastAsia" w:ascii="仿宋_GB2312" w:eastAsia="仿宋_GB2312"/>
          <w:sz w:val="28"/>
          <w:szCs w:val="32"/>
        </w:rPr>
        <w:t>《“十四五”现代物流发展规划》</w:t>
      </w:r>
    </w:p>
    <w:p w14:paraId="31DEF5AC">
      <w:pPr>
        <w:ind w:firstLine="562" w:firstLineChars="200"/>
        <w:rPr>
          <w:rFonts w:ascii="仿宋_GB2312" w:eastAsia="仿宋_GB2312"/>
          <w:b/>
          <w:sz w:val="28"/>
          <w:szCs w:val="32"/>
        </w:rPr>
      </w:pPr>
      <w:r>
        <w:rPr>
          <w:rFonts w:ascii="仿宋_GB2312" w:eastAsia="仿宋_GB2312"/>
          <w:b/>
          <w:sz w:val="28"/>
          <w:szCs w:val="32"/>
        </w:rPr>
        <w:t>2、</w:t>
      </w:r>
      <w:r>
        <w:rPr>
          <w:rFonts w:hint="eastAsia" w:ascii="仿宋_GB2312" w:eastAsia="仿宋_GB2312"/>
          <w:b/>
          <w:sz w:val="28"/>
          <w:szCs w:val="32"/>
        </w:rPr>
        <w:t>工作启动依据</w:t>
      </w:r>
    </w:p>
    <w:p w14:paraId="34DC0580">
      <w:pPr>
        <w:ind w:firstLine="560" w:firstLineChars="200"/>
        <w:rPr>
          <w:rFonts w:ascii="仿宋_GB2312" w:eastAsia="仿宋_GB2312"/>
          <w:sz w:val="28"/>
          <w:szCs w:val="32"/>
        </w:rPr>
      </w:pPr>
      <w:r>
        <w:rPr>
          <w:rFonts w:hint="eastAsia" w:ascii="仿宋_GB2312" w:eastAsia="仿宋_GB2312"/>
          <w:sz w:val="28"/>
          <w:szCs w:val="32"/>
        </w:rPr>
        <w:t>为落实《中共上海市委上海市人民政府关于完整准确全面贯彻新发展理念做好碳达峰碳中和工作的实施意见》《上海市碳达峰实施方案》《上海市能源电力领域碳达峰实施方案》《黄浦江防洪能力提升总体布局方案》等文件确定的工作任务启动本次研究，为后续全市层面基础设施和生态环境专项规划提供技术支撑。</w:t>
      </w:r>
    </w:p>
    <w:p w14:paraId="4C4D7D0E">
      <w:pPr>
        <w:jc w:val="center"/>
        <w:rPr>
          <w:rFonts w:ascii="仿宋_GB2312" w:eastAsia="仿宋_GB2312"/>
          <w:sz w:val="24"/>
          <w:szCs w:val="32"/>
        </w:rPr>
      </w:pPr>
      <w:r>
        <w:rPr>
          <w:rFonts w:hint="eastAsia" w:ascii="仿宋_GB2312" w:eastAsia="仿宋_GB2312"/>
          <w:sz w:val="24"/>
          <w:szCs w:val="32"/>
        </w:rPr>
        <w:t>附表：本次涉及的上位规划与相关文件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543"/>
        <w:gridCol w:w="2410"/>
        <w:gridCol w:w="2035"/>
      </w:tblGrid>
      <w:tr w14:paraId="70A4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077" w:type="dxa"/>
            <w:gridSpan w:val="2"/>
            <w:vAlign w:val="center"/>
          </w:tcPr>
          <w:p w14:paraId="682FC529">
            <w:pPr>
              <w:jc w:val="center"/>
              <w:rPr>
                <w:rFonts w:hint="eastAsia" w:ascii="仿宋_GB2312" w:eastAsia="仿宋_GB2312"/>
                <w:b/>
                <w:sz w:val="24"/>
                <w:szCs w:val="32"/>
              </w:rPr>
            </w:pPr>
            <w:r>
              <w:rPr>
                <w:rFonts w:hint="eastAsia" w:ascii="仿宋_GB2312" w:eastAsia="仿宋_GB2312"/>
                <w:b/>
                <w:sz w:val="24"/>
                <w:szCs w:val="32"/>
              </w:rPr>
              <w:t>规划、文件名称</w:t>
            </w:r>
          </w:p>
        </w:tc>
        <w:tc>
          <w:tcPr>
            <w:tcW w:w="2410" w:type="dxa"/>
            <w:vAlign w:val="center"/>
          </w:tcPr>
          <w:p w14:paraId="3753430E">
            <w:pPr>
              <w:jc w:val="center"/>
              <w:rPr>
                <w:rFonts w:hint="eastAsia" w:ascii="仿宋_GB2312" w:eastAsia="仿宋_GB2312"/>
                <w:b/>
                <w:sz w:val="24"/>
                <w:szCs w:val="32"/>
              </w:rPr>
            </w:pPr>
            <w:r>
              <w:rPr>
                <w:rFonts w:hint="eastAsia" w:ascii="仿宋_GB2312" w:eastAsia="仿宋_GB2312"/>
                <w:b/>
                <w:sz w:val="24"/>
                <w:szCs w:val="32"/>
              </w:rPr>
              <w:t>文号</w:t>
            </w:r>
          </w:p>
        </w:tc>
        <w:tc>
          <w:tcPr>
            <w:tcW w:w="2035" w:type="dxa"/>
            <w:vAlign w:val="center"/>
          </w:tcPr>
          <w:p w14:paraId="2AF34B98">
            <w:pPr>
              <w:jc w:val="center"/>
              <w:rPr>
                <w:rFonts w:hint="eastAsia" w:ascii="仿宋_GB2312" w:eastAsia="仿宋_GB2312"/>
                <w:b/>
                <w:sz w:val="24"/>
                <w:szCs w:val="32"/>
              </w:rPr>
            </w:pPr>
            <w:r>
              <w:rPr>
                <w:rFonts w:hint="eastAsia" w:ascii="仿宋_GB2312" w:eastAsia="仿宋_GB2312"/>
                <w:b/>
                <w:sz w:val="24"/>
                <w:szCs w:val="32"/>
              </w:rPr>
              <w:t>印发单位</w:t>
            </w:r>
          </w:p>
        </w:tc>
      </w:tr>
      <w:tr w14:paraId="230D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257E708A">
            <w:pPr>
              <w:jc w:val="center"/>
              <w:rPr>
                <w:rFonts w:hint="eastAsia" w:ascii="仿宋_GB2312" w:eastAsia="仿宋_GB2312"/>
                <w:sz w:val="24"/>
                <w:szCs w:val="32"/>
              </w:rPr>
            </w:pPr>
            <w:r>
              <w:rPr>
                <w:rFonts w:hint="eastAsia" w:ascii="仿宋_GB2312" w:eastAsia="仿宋_GB2312"/>
                <w:sz w:val="24"/>
                <w:szCs w:val="32"/>
              </w:rPr>
              <w:t>1</w:t>
            </w:r>
          </w:p>
        </w:tc>
        <w:tc>
          <w:tcPr>
            <w:tcW w:w="3543" w:type="dxa"/>
            <w:vAlign w:val="center"/>
          </w:tcPr>
          <w:p w14:paraId="074CC267">
            <w:pPr>
              <w:jc w:val="center"/>
              <w:rPr>
                <w:rFonts w:hint="eastAsia" w:ascii="仿宋_GB2312" w:eastAsia="仿宋_GB2312"/>
                <w:sz w:val="24"/>
                <w:szCs w:val="32"/>
              </w:rPr>
            </w:pPr>
            <w:r>
              <w:rPr>
                <w:rFonts w:ascii="仿宋_GB2312" w:eastAsia="仿宋_GB2312"/>
                <w:sz w:val="24"/>
                <w:szCs w:val="32"/>
              </w:rPr>
              <w:t>《</w:t>
            </w:r>
            <w:r>
              <w:rPr>
                <w:rFonts w:hint="eastAsia" w:ascii="仿宋_GB2312" w:eastAsia="仿宋_GB2312"/>
                <w:sz w:val="24"/>
                <w:szCs w:val="32"/>
              </w:rPr>
              <w:t>上海市城市总体规划（2017-2035年）》</w:t>
            </w:r>
          </w:p>
        </w:tc>
        <w:tc>
          <w:tcPr>
            <w:tcW w:w="2410" w:type="dxa"/>
            <w:vAlign w:val="center"/>
          </w:tcPr>
          <w:p w14:paraId="2883A38C">
            <w:pPr>
              <w:jc w:val="center"/>
              <w:rPr>
                <w:rFonts w:hint="eastAsia" w:ascii="仿宋_GB2312" w:eastAsia="仿宋_GB2312"/>
                <w:sz w:val="24"/>
                <w:szCs w:val="32"/>
              </w:rPr>
            </w:pPr>
            <w:r>
              <w:rPr>
                <w:rFonts w:hint="eastAsia" w:ascii="仿宋_GB2312" w:eastAsia="仿宋_GB2312"/>
                <w:sz w:val="24"/>
                <w:szCs w:val="32"/>
              </w:rPr>
              <w:t>国函[2017</w:t>
            </w:r>
            <w:r>
              <w:rPr>
                <w:rFonts w:ascii="仿宋_GB2312" w:eastAsia="仿宋_GB2312"/>
                <w:sz w:val="24"/>
                <w:szCs w:val="32"/>
              </w:rPr>
              <w:t>]147</w:t>
            </w:r>
            <w:r>
              <w:rPr>
                <w:rFonts w:hint="eastAsia" w:ascii="仿宋_GB2312" w:eastAsia="仿宋_GB2312"/>
                <w:sz w:val="24"/>
                <w:szCs w:val="32"/>
              </w:rPr>
              <w:t>号</w:t>
            </w:r>
          </w:p>
        </w:tc>
        <w:tc>
          <w:tcPr>
            <w:tcW w:w="2035" w:type="dxa"/>
            <w:vAlign w:val="center"/>
          </w:tcPr>
          <w:p w14:paraId="6C68D729">
            <w:pPr>
              <w:jc w:val="center"/>
              <w:rPr>
                <w:rFonts w:hint="eastAsia" w:ascii="仿宋_GB2312" w:eastAsia="仿宋_GB2312"/>
                <w:sz w:val="24"/>
                <w:szCs w:val="32"/>
              </w:rPr>
            </w:pPr>
            <w:r>
              <w:rPr>
                <w:rFonts w:hint="eastAsia" w:ascii="仿宋_GB2312" w:eastAsia="仿宋_GB2312"/>
                <w:sz w:val="24"/>
                <w:szCs w:val="32"/>
              </w:rPr>
              <w:t>国务院</w:t>
            </w:r>
          </w:p>
        </w:tc>
      </w:tr>
      <w:tr w14:paraId="657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5C974C72">
            <w:pPr>
              <w:jc w:val="center"/>
              <w:rPr>
                <w:rFonts w:hint="eastAsia" w:ascii="仿宋_GB2312" w:eastAsia="仿宋_GB2312"/>
                <w:sz w:val="24"/>
                <w:szCs w:val="32"/>
              </w:rPr>
            </w:pPr>
            <w:r>
              <w:rPr>
                <w:rFonts w:hint="eastAsia" w:ascii="仿宋_GB2312" w:eastAsia="仿宋_GB2312"/>
                <w:sz w:val="24"/>
                <w:szCs w:val="32"/>
              </w:rPr>
              <w:t>2</w:t>
            </w:r>
          </w:p>
        </w:tc>
        <w:tc>
          <w:tcPr>
            <w:tcW w:w="3543" w:type="dxa"/>
            <w:vAlign w:val="center"/>
          </w:tcPr>
          <w:p w14:paraId="2E7FAB8D">
            <w:pPr>
              <w:jc w:val="center"/>
              <w:rPr>
                <w:rFonts w:hint="eastAsia" w:ascii="仿宋_GB2312" w:eastAsia="仿宋_GB2312"/>
                <w:sz w:val="24"/>
                <w:szCs w:val="32"/>
              </w:rPr>
            </w:pPr>
            <w:r>
              <w:rPr>
                <w:rFonts w:hint="eastAsia" w:ascii="仿宋_GB2312" w:eastAsia="仿宋_GB2312"/>
                <w:sz w:val="24"/>
                <w:szCs w:val="32"/>
              </w:rPr>
              <w:t>《上海市国土空间近期规划（2021-2025年）》</w:t>
            </w:r>
          </w:p>
        </w:tc>
        <w:tc>
          <w:tcPr>
            <w:tcW w:w="2410" w:type="dxa"/>
            <w:vAlign w:val="center"/>
          </w:tcPr>
          <w:p w14:paraId="7EB3D327">
            <w:pPr>
              <w:jc w:val="center"/>
              <w:rPr>
                <w:rFonts w:hint="eastAsia" w:ascii="仿宋_GB2312" w:eastAsia="仿宋_GB2312"/>
                <w:sz w:val="24"/>
                <w:szCs w:val="32"/>
              </w:rPr>
            </w:pPr>
            <w:r>
              <w:rPr>
                <w:rFonts w:hint="eastAsia" w:ascii="仿宋_GB2312" w:eastAsia="仿宋_GB2312"/>
                <w:sz w:val="24"/>
                <w:szCs w:val="32"/>
              </w:rPr>
              <w:t>沪府[</w:t>
            </w:r>
            <w:r>
              <w:rPr>
                <w:rFonts w:ascii="仿宋_GB2312" w:eastAsia="仿宋_GB2312"/>
                <w:sz w:val="24"/>
                <w:szCs w:val="32"/>
              </w:rPr>
              <w:t>2021]43</w:t>
            </w:r>
            <w:r>
              <w:rPr>
                <w:rFonts w:hint="eastAsia" w:ascii="仿宋_GB2312" w:eastAsia="仿宋_GB2312"/>
                <w:sz w:val="24"/>
                <w:szCs w:val="32"/>
              </w:rPr>
              <w:t>号</w:t>
            </w:r>
          </w:p>
        </w:tc>
        <w:tc>
          <w:tcPr>
            <w:tcW w:w="2035" w:type="dxa"/>
            <w:vAlign w:val="center"/>
          </w:tcPr>
          <w:p w14:paraId="34A003D9">
            <w:pPr>
              <w:jc w:val="center"/>
              <w:rPr>
                <w:rFonts w:hint="eastAsia" w:ascii="仿宋_GB2312" w:eastAsia="仿宋_GB2312"/>
                <w:sz w:val="24"/>
                <w:szCs w:val="32"/>
              </w:rPr>
            </w:pPr>
            <w:r>
              <w:rPr>
                <w:rFonts w:hint="eastAsia" w:ascii="仿宋_GB2312" w:eastAsia="仿宋_GB2312"/>
                <w:sz w:val="24"/>
                <w:szCs w:val="32"/>
              </w:rPr>
              <w:t>上海市人民政府</w:t>
            </w:r>
          </w:p>
        </w:tc>
      </w:tr>
      <w:tr w14:paraId="6B8A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4E45FC3">
            <w:pPr>
              <w:jc w:val="center"/>
              <w:rPr>
                <w:rFonts w:hint="eastAsia" w:ascii="仿宋_GB2312" w:eastAsia="仿宋_GB2312"/>
                <w:sz w:val="24"/>
                <w:szCs w:val="32"/>
              </w:rPr>
            </w:pPr>
            <w:r>
              <w:rPr>
                <w:rFonts w:hint="eastAsia" w:ascii="仿宋_GB2312" w:eastAsia="仿宋_GB2312"/>
                <w:sz w:val="24"/>
                <w:szCs w:val="32"/>
              </w:rPr>
              <w:t>3</w:t>
            </w:r>
          </w:p>
        </w:tc>
        <w:tc>
          <w:tcPr>
            <w:tcW w:w="3543" w:type="dxa"/>
            <w:vAlign w:val="center"/>
          </w:tcPr>
          <w:p w14:paraId="4FE049A4">
            <w:pPr>
              <w:jc w:val="center"/>
              <w:rPr>
                <w:rFonts w:hint="eastAsia" w:ascii="仿宋_GB2312" w:eastAsia="仿宋_GB2312"/>
                <w:sz w:val="24"/>
                <w:szCs w:val="32"/>
              </w:rPr>
            </w:pPr>
            <w:r>
              <w:rPr>
                <w:rFonts w:hint="eastAsia" w:ascii="仿宋_GB2312" w:eastAsia="仿宋_GB2312"/>
                <w:sz w:val="24"/>
                <w:szCs w:val="32"/>
              </w:rPr>
              <w:t>“十四五”现代物流发展规划</w:t>
            </w:r>
          </w:p>
        </w:tc>
        <w:tc>
          <w:tcPr>
            <w:tcW w:w="2410" w:type="dxa"/>
            <w:vAlign w:val="center"/>
          </w:tcPr>
          <w:p w14:paraId="74B1FED1">
            <w:pPr>
              <w:jc w:val="center"/>
              <w:rPr>
                <w:rFonts w:hint="eastAsia" w:ascii="仿宋_GB2312" w:eastAsia="仿宋_GB2312"/>
                <w:sz w:val="24"/>
                <w:szCs w:val="32"/>
              </w:rPr>
            </w:pPr>
            <w:r>
              <w:rPr>
                <w:rFonts w:hint="eastAsia" w:ascii="仿宋_GB2312" w:eastAsia="仿宋_GB2312"/>
                <w:sz w:val="24"/>
                <w:szCs w:val="32"/>
              </w:rPr>
              <w:t>国办发[</w:t>
            </w:r>
            <w:r>
              <w:rPr>
                <w:rFonts w:ascii="仿宋_GB2312" w:eastAsia="仿宋_GB2312"/>
                <w:sz w:val="24"/>
                <w:szCs w:val="32"/>
              </w:rPr>
              <w:t>2022]17</w:t>
            </w:r>
            <w:r>
              <w:rPr>
                <w:rFonts w:hint="eastAsia" w:ascii="仿宋_GB2312" w:eastAsia="仿宋_GB2312"/>
                <w:sz w:val="24"/>
                <w:szCs w:val="32"/>
              </w:rPr>
              <w:t>号</w:t>
            </w:r>
          </w:p>
        </w:tc>
        <w:tc>
          <w:tcPr>
            <w:tcW w:w="2035" w:type="dxa"/>
            <w:vAlign w:val="center"/>
          </w:tcPr>
          <w:p w14:paraId="7F8B3229">
            <w:pPr>
              <w:jc w:val="center"/>
              <w:rPr>
                <w:rFonts w:hint="eastAsia" w:ascii="仿宋_GB2312" w:eastAsia="仿宋_GB2312"/>
                <w:sz w:val="24"/>
                <w:szCs w:val="32"/>
              </w:rPr>
            </w:pPr>
            <w:r>
              <w:rPr>
                <w:rFonts w:hint="eastAsia" w:ascii="仿宋_GB2312" w:eastAsia="仿宋_GB2312"/>
                <w:sz w:val="24"/>
                <w:szCs w:val="32"/>
              </w:rPr>
              <w:t>国务院</w:t>
            </w:r>
          </w:p>
        </w:tc>
      </w:tr>
      <w:tr w14:paraId="7140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41AC711A">
            <w:pPr>
              <w:jc w:val="center"/>
              <w:rPr>
                <w:rFonts w:hint="eastAsia" w:ascii="仿宋_GB2312" w:eastAsia="仿宋_GB2312"/>
                <w:sz w:val="24"/>
                <w:szCs w:val="32"/>
              </w:rPr>
            </w:pPr>
            <w:r>
              <w:rPr>
                <w:rFonts w:hint="eastAsia" w:ascii="仿宋_GB2312" w:eastAsia="仿宋_GB2312"/>
                <w:sz w:val="24"/>
                <w:szCs w:val="32"/>
              </w:rPr>
              <w:t>4</w:t>
            </w:r>
          </w:p>
        </w:tc>
        <w:tc>
          <w:tcPr>
            <w:tcW w:w="3543" w:type="dxa"/>
            <w:vAlign w:val="center"/>
          </w:tcPr>
          <w:p w14:paraId="26993036">
            <w:pPr>
              <w:jc w:val="center"/>
              <w:rPr>
                <w:rFonts w:hint="eastAsia" w:ascii="仿宋_GB2312" w:eastAsia="仿宋_GB2312"/>
                <w:sz w:val="24"/>
                <w:szCs w:val="32"/>
              </w:rPr>
            </w:pPr>
            <w:r>
              <w:rPr>
                <w:rFonts w:hint="eastAsia" w:ascii="仿宋_GB2312" w:eastAsia="仿宋_GB2312"/>
                <w:sz w:val="24"/>
                <w:szCs w:val="32"/>
              </w:rPr>
              <w:t>上海市防洪除涝规划（2019-2035年）</w:t>
            </w:r>
          </w:p>
        </w:tc>
        <w:tc>
          <w:tcPr>
            <w:tcW w:w="2410" w:type="dxa"/>
            <w:vAlign w:val="center"/>
          </w:tcPr>
          <w:p w14:paraId="0637CE2D">
            <w:pPr>
              <w:jc w:val="center"/>
              <w:rPr>
                <w:rFonts w:hint="eastAsia" w:ascii="仿宋_GB2312" w:eastAsia="仿宋_GB2312"/>
                <w:sz w:val="24"/>
                <w:szCs w:val="32"/>
              </w:rPr>
            </w:pPr>
            <w:r>
              <w:rPr>
                <w:rFonts w:hint="eastAsia" w:ascii="仿宋_GB2312" w:eastAsia="仿宋_GB2312"/>
                <w:sz w:val="24"/>
                <w:szCs w:val="32"/>
              </w:rPr>
              <w:t>沪水务[</w:t>
            </w:r>
            <w:r>
              <w:rPr>
                <w:rFonts w:ascii="仿宋_GB2312" w:eastAsia="仿宋_GB2312"/>
                <w:sz w:val="24"/>
                <w:szCs w:val="32"/>
              </w:rPr>
              <w:t>2020]1093</w:t>
            </w:r>
            <w:r>
              <w:rPr>
                <w:rFonts w:hint="eastAsia" w:ascii="仿宋_GB2312" w:eastAsia="仿宋_GB2312"/>
                <w:sz w:val="24"/>
                <w:szCs w:val="32"/>
              </w:rPr>
              <w:t>号</w:t>
            </w:r>
          </w:p>
        </w:tc>
        <w:tc>
          <w:tcPr>
            <w:tcW w:w="2035" w:type="dxa"/>
            <w:vAlign w:val="center"/>
          </w:tcPr>
          <w:p w14:paraId="4374D281">
            <w:pPr>
              <w:jc w:val="center"/>
              <w:rPr>
                <w:rFonts w:hint="eastAsia" w:ascii="仿宋_GB2312" w:eastAsia="仿宋_GB2312"/>
                <w:sz w:val="24"/>
                <w:szCs w:val="32"/>
              </w:rPr>
            </w:pPr>
            <w:r>
              <w:rPr>
                <w:rFonts w:hint="eastAsia" w:ascii="仿宋_GB2312" w:eastAsia="仿宋_GB2312"/>
                <w:sz w:val="24"/>
                <w:szCs w:val="32"/>
              </w:rPr>
              <w:t>上海市水务局</w:t>
            </w:r>
          </w:p>
        </w:tc>
      </w:tr>
      <w:tr w14:paraId="22FC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4" w:type="dxa"/>
            <w:vAlign w:val="center"/>
          </w:tcPr>
          <w:p w14:paraId="33A0EFD5">
            <w:pPr>
              <w:jc w:val="center"/>
              <w:rPr>
                <w:rFonts w:hint="eastAsia" w:ascii="仿宋_GB2312" w:eastAsia="仿宋_GB2312"/>
                <w:sz w:val="24"/>
                <w:szCs w:val="32"/>
              </w:rPr>
            </w:pPr>
            <w:r>
              <w:rPr>
                <w:rFonts w:hint="eastAsia" w:ascii="仿宋_GB2312" w:eastAsia="仿宋_GB2312"/>
                <w:sz w:val="24"/>
                <w:szCs w:val="32"/>
              </w:rPr>
              <w:t>5</w:t>
            </w:r>
          </w:p>
        </w:tc>
        <w:tc>
          <w:tcPr>
            <w:tcW w:w="3543" w:type="dxa"/>
            <w:vAlign w:val="center"/>
          </w:tcPr>
          <w:p w14:paraId="241FDEB5">
            <w:pPr>
              <w:jc w:val="center"/>
              <w:rPr>
                <w:rFonts w:hint="eastAsia" w:ascii="仿宋_GB2312" w:eastAsia="仿宋_GB2312"/>
                <w:sz w:val="24"/>
                <w:szCs w:val="32"/>
              </w:rPr>
            </w:pPr>
            <w:r>
              <w:rPr>
                <w:rFonts w:hint="eastAsia" w:ascii="仿宋_GB2312" w:eastAsia="仿宋_GB2312"/>
                <w:sz w:val="24"/>
                <w:szCs w:val="32"/>
              </w:rPr>
              <w:t>关于完整准确全面贯彻新发展理念做好碳达峰碳中和工作的实施意见</w:t>
            </w:r>
          </w:p>
        </w:tc>
        <w:tc>
          <w:tcPr>
            <w:tcW w:w="2410" w:type="dxa"/>
            <w:vAlign w:val="center"/>
          </w:tcPr>
          <w:p w14:paraId="49DC84B1">
            <w:pPr>
              <w:jc w:val="center"/>
              <w:rPr>
                <w:rFonts w:hint="eastAsia" w:ascii="仿宋_GB2312" w:eastAsia="仿宋_GB2312"/>
                <w:sz w:val="24"/>
                <w:szCs w:val="32"/>
              </w:rPr>
            </w:pPr>
            <w:r>
              <w:rPr>
                <w:rFonts w:hint="eastAsia" w:ascii="仿宋_GB2312" w:eastAsia="仿宋_GB2312"/>
                <w:sz w:val="24"/>
                <w:szCs w:val="32"/>
              </w:rPr>
              <w:t>--</w:t>
            </w:r>
          </w:p>
        </w:tc>
        <w:tc>
          <w:tcPr>
            <w:tcW w:w="2035" w:type="dxa"/>
            <w:vAlign w:val="center"/>
          </w:tcPr>
          <w:p w14:paraId="00A3D7C2">
            <w:pPr>
              <w:jc w:val="center"/>
              <w:rPr>
                <w:rFonts w:hint="eastAsia" w:ascii="仿宋_GB2312" w:eastAsia="仿宋_GB2312"/>
                <w:sz w:val="24"/>
                <w:szCs w:val="32"/>
              </w:rPr>
            </w:pPr>
            <w:r>
              <w:rPr>
                <w:rFonts w:hint="eastAsia" w:ascii="仿宋_GB2312" w:eastAsia="仿宋_GB2312"/>
                <w:sz w:val="24"/>
                <w:szCs w:val="32"/>
              </w:rPr>
              <w:t>中共上海市委 上海市人民政府</w:t>
            </w:r>
          </w:p>
        </w:tc>
      </w:tr>
      <w:tr w14:paraId="5C94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01ED53FA">
            <w:pPr>
              <w:jc w:val="center"/>
              <w:rPr>
                <w:rFonts w:hint="eastAsia" w:ascii="仿宋_GB2312" w:eastAsia="仿宋_GB2312"/>
                <w:sz w:val="24"/>
                <w:szCs w:val="32"/>
              </w:rPr>
            </w:pPr>
            <w:r>
              <w:rPr>
                <w:rFonts w:hint="eastAsia" w:ascii="仿宋_GB2312" w:eastAsia="仿宋_GB2312"/>
                <w:sz w:val="24"/>
                <w:szCs w:val="32"/>
              </w:rPr>
              <w:t>6</w:t>
            </w:r>
          </w:p>
        </w:tc>
        <w:tc>
          <w:tcPr>
            <w:tcW w:w="3543" w:type="dxa"/>
            <w:vAlign w:val="center"/>
          </w:tcPr>
          <w:p w14:paraId="1BEEF8AE">
            <w:pPr>
              <w:jc w:val="center"/>
              <w:rPr>
                <w:rFonts w:hint="eastAsia" w:ascii="仿宋_GB2312" w:eastAsia="仿宋_GB2312"/>
                <w:sz w:val="24"/>
                <w:szCs w:val="32"/>
              </w:rPr>
            </w:pPr>
            <w:r>
              <w:rPr>
                <w:rFonts w:hint="eastAsia" w:ascii="仿宋_GB2312" w:eastAsia="仿宋_GB2312"/>
                <w:sz w:val="24"/>
                <w:szCs w:val="32"/>
              </w:rPr>
              <w:t>上海市碳达峰实施方案</w:t>
            </w:r>
          </w:p>
        </w:tc>
        <w:tc>
          <w:tcPr>
            <w:tcW w:w="2410" w:type="dxa"/>
            <w:vAlign w:val="center"/>
          </w:tcPr>
          <w:p w14:paraId="6B065DF7">
            <w:pPr>
              <w:jc w:val="center"/>
              <w:rPr>
                <w:rFonts w:hint="eastAsia" w:ascii="仿宋_GB2312" w:eastAsia="仿宋_GB2312"/>
                <w:sz w:val="24"/>
                <w:szCs w:val="32"/>
              </w:rPr>
            </w:pPr>
            <w:r>
              <w:rPr>
                <w:rFonts w:hint="eastAsia" w:ascii="仿宋_GB2312" w:eastAsia="仿宋_GB2312"/>
                <w:sz w:val="24"/>
                <w:szCs w:val="32"/>
              </w:rPr>
              <w:t>沪府发[</w:t>
            </w:r>
            <w:r>
              <w:rPr>
                <w:rFonts w:ascii="仿宋_GB2312" w:eastAsia="仿宋_GB2312"/>
                <w:sz w:val="24"/>
                <w:szCs w:val="32"/>
              </w:rPr>
              <w:t>2022]7</w:t>
            </w:r>
            <w:r>
              <w:rPr>
                <w:rFonts w:hint="eastAsia" w:ascii="仿宋_GB2312" w:eastAsia="仿宋_GB2312"/>
                <w:sz w:val="24"/>
                <w:szCs w:val="32"/>
              </w:rPr>
              <w:t>号</w:t>
            </w:r>
          </w:p>
        </w:tc>
        <w:tc>
          <w:tcPr>
            <w:tcW w:w="2035" w:type="dxa"/>
            <w:vAlign w:val="center"/>
          </w:tcPr>
          <w:p w14:paraId="3A844068">
            <w:pPr>
              <w:jc w:val="center"/>
              <w:rPr>
                <w:rFonts w:hint="eastAsia" w:ascii="仿宋_GB2312" w:eastAsia="仿宋_GB2312"/>
                <w:sz w:val="24"/>
                <w:szCs w:val="32"/>
              </w:rPr>
            </w:pPr>
            <w:r>
              <w:rPr>
                <w:rFonts w:hint="eastAsia" w:ascii="仿宋_GB2312" w:eastAsia="仿宋_GB2312"/>
                <w:sz w:val="24"/>
                <w:szCs w:val="32"/>
              </w:rPr>
              <w:t>上海市人民政府</w:t>
            </w:r>
          </w:p>
        </w:tc>
      </w:tr>
      <w:tr w14:paraId="7EB8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5E5A4A63">
            <w:pPr>
              <w:jc w:val="center"/>
              <w:rPr>
                <w:rFonts w:hint="eastAsia" w:ascii="仿宋_GB2312" w:eastAsia="仿宋_GB2312"/>
                <w:sz w:val="24"/>
                <w:szCs w:val="32"/>
              </w:rPr>
            </w:pPr>
            <w:r>
              <w:rPr>
                <w:rFonts w:hint="eastAsia" w:ascii="仿宋_GB2312" w:eastAsia="仿宋_GB2312"/>
                <w:sz w:val="24"/>
                <w:szCs w:val="32"/>
              </w:rPr>
              <w:t>7</w:t>
            </w:r>
          </w:p>
        </w:tc>
        <w:tc>
          <w:tcPr>
            <w:tcW w:w="3543" w:type="dxa"/>
            <w:vAlign w:val="center"/>
          </w:tcPr>
          <w:p w14:paraId="5A1FE23B">
            <w:pPr>
              <w:jc w:val="center"/>
              <w:rPr>
                <w:rFonts w:hint="eastAsia" w:ascii="仿宋_GB2312" w:eastAsia="仿宋_GB2312"/>
                <w:sz w:val="24"/>
                <w:szCs w:val="32"/>
              </w:rPr>
            </w:pPr>
            <w:r>
              <w:rPr>
                <w:rFonts w:hint="eastAsia" w:ascii="仿宋_GB2312" w:eastAsia="仿宋_GB2312"/>
                <w:sz w:val="24"/>
                <w:szCs w:val="32"/>
              </w:rPr>
              <w:t>上海市能源电力领域碳达峰实施方案</w:t>
            </w:r>
          </w:p>
        </w:tc>
        <w:tc>
          <w:tcPr>
            <w:tcW w:w="2410" w:type="dxa"/>
            <w:vAlign w:val="center"/>
          </w:tcPr>
          <w:p w14:paraId="6EE5831D">
            <w:pPr>
              <w:jc w:val="center"/>
              <w:rPr>
                <w:rFonts w:hint="eastAsia" w:ascii="仿宋_GB2312" w:eastAsia="仿宋_GB2312"/>
                <w:sz w:val="24"/>
                <w:szCs w:val="32"/>
              </w:rPr>
            </w:pPr>
            <w:r>
              <w:rPr>
                <w:rFonts w:hint="eastAsia" w:ascii="仿宋_GB2312" w:eastAsia="仿宋_GB2312"/>
                <w:sz w:val="24"/>
                <w:szCs w:val="32"/>
              </w:rPr>
              <w:t>沪发改能源[2</w:t>
            </w:r>
            <w:r>
              <w:rPr>
                <w:rFonts w:ascii="仿宋_GB2312" w:eastAsia="仿宋_GB2312"/>
                <w:sz w:val="24"/>
                <w:szCs w:val="32"/>
              </w:rPr>
              <w:t>022]164</w:t>
            </w:r>
            <w:r>
              <w:rPr>
                <w:rFonts w:hint="eastAsia" w:ascii="仿宋_GB2312" w:eastAsia="仿宋_GB2312"/>
                <w:sz w:val="24"/>
                <w:szCs w:val="32"/>
              </w:rPr>
              <w:t>号</w:t>
            </w:r>
          </w:p>
        </w:tc>
        <w:tc>
          <w:tcPr>
            <w:tcW w:w="2035" w:type="dxa"/>
            <w:vAlign w:val="center"/>
          </w:tcPr>
          <w:p w14:paraId="070F2086">
            <w:pPr>
              <w:jc w:val="center"/>
              <w:rPr>
                <w:rFonts w:hint="eastAsia" w:ascii="仿宋_GB2312" w:eastAsia="仿宋_GB2312"/>
                <w:sz w:val="24"/>
                <w:szCs w:val="32"/>
              </w:rPr>
            </w:pPr>
            <w:r>
              <w:rPr>
                <w:rFonts w:hint="eastAsia" w:ascii="仿宋_GB2312" w:eastAsia="仿宋_GB2312"/>
                <w:sz w:val="24"/>
                <w:szCs w:val="32"/>
              </w:rPr>
              <w:t>上海市发展和改革委员会</w:t>
            </w:r>
          </w:p>
        </w:tc>
      </w:tr>
      <w:tr w14:paraId="2A40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4F2EE458">
            <w:pPr>
              <w:jc w:val="center"/>
              <w:rPr>
                <w:rFonts w:hint="eastAsia" w:ascii="仿宋_GB2312" w:eastAsia="仿宋_GB2312"/>
                <w:sz w:val="24"/>
                <w:szCs w:val="32"/>
              </w:rPr>
            </w:pPr>
            <w:r>
              <w:rPr>
                <w:rFonts w:hint="eastAsia" w:ascii="仿宋_GB2312" w:eastAsia="仿宋_GB2312"/>
                <w:sz w:val="24"/>
                <w:szCs w:val="32"/>
              </w:rPr>
              <w:t>8</w:t>
            </w:r>
          </w:p>
        </w:tc>
        <w:tc>
          <w:tcPr>
            <w:tcW w:w="3543" w:type="dxa"/>
            <w:vAlign w:val="center"/>
          </w:tcPr>
          <w:p w14:paraId="01BF1879">
            <w:pPr>
              <w:jc w:val="center"/>
              <w:rPr>
                <w:rFonts w:hint="eastAsia" w:ascii="仿宋_GB2312" w:eastAsia="仿宋_GB2312"/>
                <w:sz w:val="24"/>
                <w:szCs w:val="32"/>
              </w:rPr>
            </w:pPr>
            <w:r>
              <w:rPr>
                <w:rFonts w:hint="eastAsia" w:ascii="仿宋_GB2312" w:eastAsia="仿宋_GB2312"/>
                <w:sz w:val="24"/>
                <w:szCs w:val="32"/>
              </w:rPr>
              <w:t>黄浦江防洪能力提升总体布局方案</w:t>
            </w:r>
          </w:p>
        </w:tc>
        <w:tc>
          <w:tcPr>
            <w:tcW w:w="2410" w:type="dxa"/>
            <w:vAlign w:val="center"/>
          </w:tcPr>
          <w:p w14:paraId="5E8DA989">
            <w:pPr>
              <w:jc w:val="center"/>
              <w:rPr>
                <w:rFonts w:hint="eastAsia" w:ascii="仿宋_GB2312" w:eastAsia="仿宋_GB2312"/>
                <w:sz w:val="24"/>
                <w:szCs w:val="32"/>
              </w:rPr>
            </w:pPr>
            <w:r>
              <w:rPr>
                <w:rFonts w:hint="eastAsia" w:ascii="仿宋_GB2312" w:eastAsia="仿宋_GB2312"/>
                <w:sz w:val="24"/>
                <w:szCs w:val="32"/>
              </w:rPr>
              <w:t>沪水务[2022</w:t>
            </w:r>
            <w:r>
              <w:rPr>
                <w:rFonts w:ascii="仿宋_GB2312" w:eastAsia="仿宋_GB2312"/>
                <w:sz w:val="24"/>
                <w:szCs w:val="32"/>
              </w:rPr>
              <w:t>]270</w:t>
            </w:r>
            <w:r>
              <w:rPr>
                <w:rFonts w:hint="eastAsia" w:ascii="仿宋_GB2312" w:eastAsia="仿宋_GB2312"/>
                <w:sz w:val="24"/>
                <w:szCs w:val="32"/>
              </w:rPr>
              <w:t>号</w:t>
            </w:r>
          </w:p>
        </w:tc>
        <w:tc>
          <w:tcPr>
            <w:tcW w:w="2035" w:type="dxa"/>
            <w:vAlign w:val="center"/>
          </w:tcPr>
          <w:p w14:paraId="27CA0B0D">
            <w:pPr>
              <w:jc w:val="center"/>
              <w:rPr>
                <w:rFonts w:hint="eastAsia" w:ascii="仿宋_GB2312" w:eastAsia="仿宋_GB2312"/>
                <w:sz w:val="24"/>
                <w:szCs w:val="32"/>
              </w:rPr>
            </w:pPr>
            <w:r>
              <w:rPr>
                <w:rFonts w:hint="eastAsia" w:ascii="仿宋_GB2312" w:eastAsia="仿宋_GB2312"/>
                <w:sz w:val="24"/>
                <w:szCs w:val="32"/>
              </w:rPr>
              <w:t>上海市水务局</w:t>
            </w:r>
          </w:p>
        </w:tc>
      </w:tr>
    </w:tbl>
    <w:p w14:paraId="54FBD0A5">
      <w:pPr>
        <w:jc w:val="center"/>
        <w:rPr>
          <w:rFonts w:hint="eastAsia" w:ascii="仿宋_GB2312" w:eastAsia="仿宋_GB2312"/>
          <w:sz w:val="28"/>
          <w:szCs w:val="32"/>
        </w:rPr>
      </w:pPr>
    </w:p>
    <w:p w14:paraId="664E388F">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工作内容</w:t>
      </w:r>
    </w:p>
    <w:p w14:paraId="4F2E5BE2">
      <w:pPr>
        <w:ind w:firstLine="560" w:firstLineChars="200"/>
        <w:rPr>
          <w:rFonts w:ascii="仿宋_GB2312" w:eastAsia="仿宋_GB2312"/>
          <w:sz w:val="28"/>
          <w:szCs w:val="32"/>
        </w:rPr>
      </w:pPr>
      <w:r>
        <w:rPr>
          <w:rFonts w:hint="eastAsia" w:ascii="仿宋_GB2312" w:eastAsia="仿宋_GB2312"/>
          <w:sz w:val="28"/>
          <w:szCs w:val="32"/>
        </w:rPr>
        <w:t>2025年上海市市域基础设施和生态环境专项规划编制和研究包含上海航运体系规划深化研究、超导技术应用于城市电力架空线入地规划研究、黄浦江河口闸空间影响对策研究、轨道交通车辆基地选址布局及综合利用研究4个项目，具体工作内容如下：</w:t>
      </w:r>
    </w:p>
    <w:p w14:paraId="01E06CC4">
      <w:pPr>
        <w:ind w:firstLine="562" w:firstLineChars="200"/>
        <w:rPr>
          <w:rFonts w:ascii="楷体_GB2312" w:eastAsia="楷体_GB2312"/>
          <w:b/>
          <w:bCs/>
          <w:sz w:val="28"/>
          <w:szCs w:val="32"/>
        </w:rPr>
      </w:pPr>
      <w:r>
        <w:rPr>
          <w:rFonts w:hint="eastAsia" w:ascii="楷体_GB2312" w:eastAsia="楷体_GB2312"/>
          <w:b/>
          <w:bCs/>
          <w:sz w:val="28"/>
          <w:szCs w:val="32"/>
        </w:rPr>
        <w:t>1、上海航运体系规划深化研究</w:t>
      </w:r>
    </w:p>
    <w:p w14:paraId="7E65C481">
      <w:pPr>
        <w:ind w:firstLine="560" w:firstLineChars="200"/>
        <w:rPr>
          <w:rFonts w:ascii="仿宋_GB2312" w:eastAsia="仿宋_GB2312"/>
          <w:sz w:val="28"/>
          <w:szCs w:val="32"/>
        </w:rPr>
      </w:pPr>
      <w:r>
        <w:rPr>
          <w:rFonts w:hint="eastAsia" w:ascii="仿宋_GB2312" w:eastAsia="仿宋_GB2312"/>
          <w:sz w:val="28"/>
          <w:szCs w:val="32"/>
        </w:rPr>
        <w:t>（1）对航运功能进行再审视、再定位。面向区域一体化发展格局，从上海航运系统的功能在国际航运网络系统视角、长三角和长江经济带综合交通系统视角、上海城市视角三个层面，对上海航运系统的功能需求进行再审视、再定位，为下一步精准预测航运发展需求、科学谋划航运系统布局优化奠定基础。</w:t>
      </w:r>
    </w:p>
    <w:p w14:paraId="3B59EA8E">
      <w:pPr>
        <w:ind w:firstLine="560" w:firstLineChars="200"/>
        <w:rPr>
          <w:rFonts w:ascii="仿宋_GB2312" w:eastAsia="仿宋_GB2312"/>
          <w:sz w:val="28"/>
          <w:szCs w:val="32"/>
        </w:rPr>
      </w:pPr>
      <w:r>
        <w:rPr>
          <w:rFonts w:hint="eastAsia" w:ascii="仿宋_GB2312" w:eastAsia="仿宋_GB2312"/>
          <w:sz w:val="28"/>
          <w:szCs w:val="32"/>
        </w:rPr>
        <w:t>（2）强化航运系统的统筹协调。一是加强与城市空间的协同发展，降低航运系统对城市生活空间的影响；二是立足综合交通系统格局，加强港口与公路、铁路、机场等枢纽的衔接与协同；三是航运系统内部统筹发展,加强海港和内河、内河港口与航道的协同和统筹；四是链接区域航运系统，加强与上海大都市圈内河航道网络、内河航道建设标准、内河港区布局的统筹协调。</w:t>
      </w:r>
    </w:p>
    <w:p w14:paraId="30C98680">
      <w:pPr>
        <w:ind w:firstLine="560" w:firstLineChars="200"/>
        <w:rPr>
          <w:rFonts w:ascii="仿宋_GB2312" w:eastAsia="仿宋_GB2312"/>
          <w:sz w:val="28"/>
          <w:szCs w:val="32"/>
        </w:rPr>
      </w:pPr>
      <w:r>
        <w:rPr>
          <w:rFonts w:hint="eastAsia" w:ascii="仿宋_GB2312" w:eastAsia="仿宋_GB2312"/>
          <w:sz w:val="28"/>
          <w:szCs w:val="32"/>
        </w:rPr>
        <w:t>（3）强化航运系统的空间保障。在明确功能定位和系统统筹的基础上，对上海航运体系的空间布局进行再梳理、再优化，强化空间保障。</w:t>
      </w:r>
    </w:p>
    <w:p w14:paraId="1174F9BB">
      <w:pPr>
        <w:ind w:firstLine="562" w:firstLineChars="200"/>
        <w:rPr>
          <w:rFonts w:ascii="楷体_GB2312" w:eastAsia="楷体_GB2312"/>
          <w:b/>
          <w:bCs/>
          <w:sz w:val="28"/>
          <w:szCs w:val="32"/>
        </w:rPr>
      </w:pPr>
      <w:r>
        <w:rPr>
          <w:rFonts w:hint="eastAsia" w:ascii="楷体_GB2312" w:eastAsia="楷体_GB2312"/>
          <w:b/>
          <w:bCs/>
          <w:sz w:val="28"/>
          <w:szCs w:val="32"/>
        </w:rPr>
        <w:t>2、超导技术应用于城市电力架空线入地规划研究</w:t>
      </w:r>
    </w:p>
    <w:p w14:paraId="6170D79D">
      <w:pPr>
        <w:ind w:firstLine="560" w:firstLineChars="200"/>
        <w:rPr>
          <w:rFonts w:ascii="仿宋_GB2312" w:eastAsia="仿宋_GB2312"/>
          <w:sz w:val="28"/>
          <w:szCs w:val="32"/>
        </w:rPr>
      </w:pPr>
      <w:r>
        <w:rPr>
          <w:rFonts w:hint="eastAsia" w:ascii="仿宋_GB2312" w:eastAsia="仿宋_GB2312"/>
          <w:sz w:val="28"/>
          <w:szCs w:val="32"/>
        </w:rPr>
        <w:t>（1）超导技术相关研究：包含超导技术概念、定义、试用范围，优劣势分析；超导技术在超大城市电力系统中的应用案例；国内外超大城市超导输配电对标分析研究；现状示范工程项目的实施评估研究。</w:t>
      </w:r>
    </w:p>
    <w:p w14:paraId="5313C5E4">
      <w:pPr>
        <w:ind w:firstLine="560" w:firstLineChars="200"/>
        <w:rPr>
          <w:rFonts w:ascii="仿宋_GB2312" w:eastAsia="仿宋_GB2312"/>
          <w:sz w:val="28"/>
          <w:szCs w:val="32"/>
        </w:rPr>
      </w:pPr>
      <w:r>
        <w:rPr>
          <w:rFonts w:hint="eastAsia" w:ascii="仿宋_GB2312" w:eastAsia="仿宋_GB2312"/>
          <w:sz w:val="28"/>
          <w:szCs w:val="32"/>
        </w:rPr>
        <w:t>（2）上海电网相关研究：包含上海用电趋势、电网运行现状情况分析研究；超导技术在上海电网中的应用潜力研究；超导技术在上海电网中的场景应用研究。</w:t>
      </w:r>
    </w:p>
    <w:p w14:paraId="601A4CCA">
      <w:pPr>
        <w:ind w:firstLine="560" w:firstLineChars="200"/>
        <w:rPr>
          <w:rFonts w:ascii="仿宋_GB2312" w:eastAsia="仿宋_GB2312"/>
          <w:sz w:val="28"/>
          <w:szCs w:val="32"/>
        </w:rPr>
      </w:pPr>
      <w:r>
        <w:rPr>
          <w:rFonts w:hint="eastAsia" w:ascii="仿宋_GB2312" w:eastAsia="仿宋_GB2312"/>
          <w:sz w:val="28"/>
          <w:szCs w:val="32"/>
        </w:rPr>
        <w:t>（3）空间需求方案研究：超导技术在上海持续落地的空间需求研究；超导技术在架空线入地规划中的管控要素研究；超导技术对特定地区空间释放方案研究。</w:t>
      </w:r>
    </w:p>
    <w:p w14:paraId="758BFE31">
      <w:pPr>
        <w:ind w:firstLine="562"/>
        <w:rPr>
          <w:rFonts w:ascii="楷体_GB2312" w:eastAsia="楷体_GB2312"/>
          <w:b/>
          <w:bCs/>
          <w:sz w:val="28"/>
          <w:szCs w:val="32"/>
        </w:rPr>
      </w:pPr>
      <w:r>
        <w:rPr>
          <w:rFonts w:ascii="楷体_GB2312" w:eastAsia="楷体_GB2312"/>
          <w:b/>
          <w:bCs/>
          <w:sz w:val="28"/>
          <w:szCs w:val="32"/>
        </w:rPr>
        <w:t>3</w:t>
      </w:r>
      <w:r>
        <w:rPr>
          <w:rFonts w:hint="eastAsia" w:ascii="楷体_GB2312" w:eastAsia="楷体_GB2312"/>
          <w:b/>
          <w:bCs/>
          <w:sz w:val="28"/>
          <w:szCs w:val="32"/>
        </w:rPr>
        <w:t>、黄浦江河口闸空间影响对策研究</w:t>
      </w:r>
    </w:p>
    <w:p w14:paraId="4AA9D660">
      <w:pPr>
        <w:ind w:firstLine="560" w:firstLineChars="200"/>
        <w:rPr>
          <w:rFonts w:ascii="仿宋_GB2312" w:eastAsia="仿宋_GB2312"/>
          <w:sz w:val="28"/>
          <w:szCs w:val="32"/>
        </w:rPr>
      </w:pPr>
      <w:r>
        <w:rPr>
          <w:rFonts w:hint="eastAsia" w:ascii="仿宋_GB2312" w:eastAsia="仿宋_GB2312"/>
          <w:sz w:val="28"/>
          <w:szCs w:val="32"/>
        </w:rPr>
        <w:t>（1）现状梳理</w:t>
      </w:r>
    </w:p>
    <w:p w14:paraId="36A879E8">
      <w:pPr>
        <w:ind w:firstLine="560" w:firstLineChars="200"/>
        <w:rPr>
          <w:rFonts w:ascii="仿宋_GB2312" w:eastAsia="仿宋_GB2312"/>
          <w:sz w:val="28"/>
          <w:szCs w:val="32"/>
        </w:rPr>
      </w:pPr>
      <w:r>
        <w:rPr>
          <w:rFonts w:hint="eastAsia" w:ascii="仿宋_GB2312" w:eastAsia="仿宋_GB2312"/>
          <w:sz w:val="28"/>
          <w:szCs w:val="32"/>
        </w:rPr>
        <w:t xml:space="preserve">梳理现状及规划重大基础设施、航道情况，从总体规划、结构规划、控详规划等层面分析黄浦江口沿岸用地的可行性。前期选址主要研究范围为黄浦江河口至共青森林公园，长约12km。 </w:t>
      </w:r>
    </w:p>
    <w:p w14:paraId="3F296A5D">
      <w:pPr>
        <w:ind w:firstLine="560" w:firstLineChars="200"/>
        <w:rPr>
          <w:rFonts w:ascii="仿宋_GB2312" w:eastAsia="仿宋_GB2312"/>
          <w:sz w:val="28"/>
          <w:szCs w:val="32"/>
        </w:rPr>
      </w:pPr>
      <w:r>
        <w:rPr>
          <w:rFonts w:hint="eastAsia" w:ascii="仿宋_GB2312" w:eastAsia="仿宋_GB2312"/>
          <w:sz w:val="28"/>
          <w:szCs w:val="32"/>
        </w:rPr>
        <w:t>（2）国际案例对标</w:t>
      </w:r>
    </w:p>
    <w:p w14:paraId="1F9FD3EF">
      <w:pPr>
        <w:ind w:firstLine="560" w:firstLineChars="200"/>
        <w:rPr>
          <w:rFonts w:ascii="仿宋_GB2312" w:eastAsia="仿宋_GB2312"/>
          <w:sz w:val="28"/>
          <w:szCs w:val="32"/>
        </w:rPr>
      </w:pPr>
      <w:r>
        <w:rPr>
          <w:rFonts w:hint="eastAsia" w:ascii="仿宋_GB2312" w:eastAsia="仿宋_GB2312"/>
          <w:sz w:val="28"/>
          <w:szCs w:val="32"/>
        </w:rPr>
        <w:t>选取相似的国际案例进行分析，对闸型、选址、航运、景观、休闲等复合功能进行分析研究，形成空间影响的关键要素。</w:t>
      </w:r>
    </w:p>
    <w:p w14:paraId="0B2B6F8B">
      <w:pPr>
        <w:ind w:firstLine="560" w:firstLineChars="200"/>
        <w:rPr>
          <w:rFonts w:ascii="仿宋_GB2312" w:eastAsia="仿宋_GB2312"/>
          <w:sz w:val="28"/>
          <w:szCs w:val="32"/>
        </w:rPr>
      </w:pPr>
      <w:r>
        <w:rPr>
          <w:rFonts w:hint="eastAsia" w:ascii="仿宋_GB2312" w:eastAsia="仿宋_GB2312"/>
          <w:sz w:val="28"/>
          <w:szCs w:val="32"/>
        </w:rPr>
        <w:t>（3）闸型研究</w:t>
      </w:r>
    </w:p>
    <w:p w14:paraId="13D5F32F">
      <w:pPr>
        <w:ind w:firstLine="560" w:firstLineChars="200"/>
        <w:rPr>
          <w:rFonts w:ascii="仿宋_GB2312" w:eastAsia="仿宋_GB2312"/>
          <w:sz w:val="28"/>
          <w:szCs w:val="32"/>
        </w:rPr>
      </w:pPr>
      <w:r>
        <w:rPr>
          <w:rFonts w:hint="eastAsia" w:ascii="仿宋_GB2312" w:eastAsia="仿宋_GB2312"/>
          <w:sz w:val="28"/>
          <w:szCs w:val="32"/>
        </w:rPr>
        <w:t>研究比较不同闸型，综合平衡系统、用地、交通、施工等内容，对不同闸型带来的空间影响进行分析。</w:t>
      </w:r>
    </w:p>
    <w:p w14:paraId="6062EAA0">
      <w:pPr>
        <w:ind w:firstLine="560" w:firstLineChars="200"/>
        <w:rPr>
          <w:rFonts w:ascii="仿宋_GB2312" w:eastAsia="仿宋_GB2312"/>
          <w:sz w:val="28"/>
          <w:szCs w:val="32"/>
        </w:rPr>
      </w:pPr>
      <w:r>
        <w:rPr>
          <w:rFonts w:hint="eastAsia" w:ascii="仿宋_GB2312" w:eastAsia="仿宋_GB2312"/>
          <w:sz w:val="28"/>
          <w:szCs w:val="32"/>
        </w:rPr>
        <w:t>（4）空间对策</w:t>
      </w:r>
    </w:p>
    <w:p w14:paraId="05566481">
      <w:pPr>
        <w:ind w:firstLine="560" w:firstLineChars="200"/>
        <w:rPr>
          <w:rFonts w:ascii="仿宋_GB2312" w:eastAsia="仿宋_GB2312"/>
          <w:sz w:val="28"/>
          <w:szCs w:val="32"/>
        </w:rPr>
      </w:pPr>
      <w:r>
        <w:rPr>
          <w:rFonts w:hint="eastAsia" w:ascii="仿宋_GB2312" w:eastAsia="仿宋_GB2312"/>
          <w:sz w:val="28"/>
          <w:szCs w:val="32"/>
        </w:rPr>
        <w:t>确定黄浦江河口闸设计标准及闸内外段防汛墙标高，形成空间景观规划对策。</w:t>
      </w:r>
    </w:p>
    <w:p w14:paraId="2AD2B6CA">
      <w:pPr>
        <w:ind w:firstLine="562"/>
        <w:rPr>
          <w:rFonts w:ascii="楷体_GB2312" w:eastAsia="楷体_GB2312"/>
          <w:b/>
          <w:bCs/>
          <w:sz w:val="28"/>
          <w:szCs w:val="32"/>
        </w:rPr>
      </w:pPr>
      <w:r>
        <w:rPr>
          <w:rFonts w:hint="eastAsia" w:ascii="楷体_GB2312" w:eastAsia="楷体_GB2312"/>
          <w:b/>
          <w:bCs/>
          <w:sz w:val="28"/>
          <w:szCs w:val="32"/>
        </w:rPr>
        <w:t>4、轨道交通车辆基地选址布局及综合利用研究</w:t>
      </w:r>
    </w:p>
    <w:p w14:paraId="0827A55F">
      <w:pPr>
        <w:ind w:firstLine="560" w:firstLineChars="200"/>
        <w:rPr>
          <w:rFonts w:ascii="仿宋_GB2312" w:eastAsia="仿宋_GB2312"/>
          <w:sz w:val="28"/>
          <w:szCs w:val="32"/>
        </w:rPr>
      </w:pPr>
      <w:r>
        <w:rPr>
          <w:rFonts w:hint="eastAsia" w:ascii="仿宋_GB2312" w:eastAsia="仿宋_GB2312"/>
          <w:sz w:val="28"/>
          <w:szCs w:val="32"/>
        </w:rPr>
        <w:t>（1）既有方案实施评估</w:t>
      </w:r>
    </w:p>
    <w:p w14:paraId="07D42CC6">
      <w:pPr>
        <w:ind w:firstLine="560" w:firstLineChars="200"/>
        <w:rPr>
          <w:rFonts w:ascii="仿宋_GB2312" w:eastAsia="仿宋_GB2312"/>
          <w:sz w:val="28"/>
          <w:szCs w:val="32"/>
        </w:rPr>
      </w:pPr>
      <w:r>
        <w:rPr>
          <w:rFonts w:hint="eastAsia" w:ascii="仿宋_GB2312" w:eastAsia="仿宋_GB2312"/>
          <w:sz w:val="28"/>
          <w:szCs w:val="32"/>
        </w:rPr>
        <w:t>从总体规模和系统布局、用地标准、建设形式等方面对我市现状及在待建轨道交通车辆基地进行综合评估，总结优点与不足，提出优化完善方向。</w:t>
      </w:r>
    </w:p>
    <w:p w14:paraId="407F7495">
      <w:pPr>
        <w:ind w:firstLine="560" w:firstLineChars="200"/>
        <w:rPr>
          <w:rFonts w:ascii="仿宋_GB2312" w:eastAsia="仿宋_GB2312"/>
          <w:sz w:val="28"/>
          <w:szCs w:val="32"/>
        </w:rPr>
      </w:pPr>
      <w:r>
        <w:rPr>
          <w:rFonts w:hint="eastAsia" w:ascii="仿宋_GB2312" w:eastAsia="仿宋_GB2312"/>
          <w:sz w:val="28"/>
          <w:szCs w:val="32"/>
        </w:rPr>
        <w:t>（2）系统规划布局优化</w:t>
      </w:r>
    </w:p>
    <w:p w14:paraId="5D8BEA6C">
      <w:pPr>
        <w:ind w:firstLine="560" w:firstLineChars="200"/>
        <w:rPr>
          <w:rFonts w:ascii="仿宋_GB2312" w:eastAsia="仿宋_GB2312"/>
          <w:sz w:val="28"/>
          <w:szCs w:val="32"/>
        </w:rPr>
      </w:pPr>
      <w:r>
        <w:rPr>
          <w:rFonts w:hint="eastAsia" w:ascii="仿宋_GB2312" w:eastAsia="仿宋_GB2312"/>
          <w:sz w:val="28"/>
          <w:szCs w:val="32"/>
        </w:rPr>
        <w:t>结合在编轨道交通线网规划实施深化方案，借鉴国内外发展经验，提出轨道交通车辆基地布局选址总体原则，进一步研究多模式轨道交通车辆基地布局方案。</w:t>
      </w:r>
    </w:p>
    <w:p w14:paraId="7B8F257A">
      <w:pPr>
        <w:ind w:firstLine="560" w:firstLineChars="200"/>
        <w:rPr>
          <w:rFonts w:ascii="仿宋_GB2312" w:eastAsia="仿宋_GB2312"/>
          <w:sz w:val="28"/>
          <w:szCs w:val="32"/>
        </w:rPr>
      </w:pPr>
      <w:r>
        <w:rPr>
          <w:rFonts w:hint="eastAsia" w:ascii="仿宋_GB2312" w:eastAsia="仿宋_GB2312"/>
          <w:sz w:val="28"/>
          <w:szCs w:val="32"/>
        </w:rPr>
        <w:t>（3）车辆基地选址方案</w:t>
      </w:r>
    </w:p>
    <w:p w14:paraId="112B9666">
      <w:pPr>
        <w:ind w:firstLine="560" w:firstLineChars="200"/>
        <w:rPr>
          <w:rFonts w:ascii="仿宋_GB2312" w:eastAsia="仿宋_GB2312"/>
          <w:sz w:val="28"/>
          <w:szCs w:val="32"/>
        </w:rPr>
      </w:pPr>
      <w:r>
        <w:rPr>
          <w:rFonts w:hint="eastAsia" w:ascii="仿宋_GB2312" w:eastAsia="仿宋_GB2312"/>
          <w:sz w:val="28"/>
          <w:szCs w:val="32"/>
        </w:rPr>
        <w:t>结合国内外案例研究和上海轨道交通网络实际情况，明确远景轨道网中各个车辆基地的功能定位，明确车辆基地用地规模需求、联络线设置和系统设施资源共享；按照系统布局方案，结合各区用地规划条件和线路运营需求，逐条线路逐个划示车辆基地方案（含比选方案），落实用地条件，保障轨道交通未来建设运营条件。</w:t>
      </w:r>
    </w:p>
    <w:p w14:paraId="74EDDD94">
      <w:pPr>
        <w:ind w:firstLine="560" w:firstLineChars="200"/>
        <w:rPr>
          <w:rFonts w:ascii="仿宋_GB2312" w:eastAsia="仿宋_GB2312"/>
          <w:sz w:val="28"/>
          <w:szCs w:val="32"/>
        </w:rPr>
      </w:pPr>
      <w:r>
        <w:rPr>
          <w:rFonts w:hint="eastAsia" w:ascii="仿宋_GB2312" w:eastAsia="仿宋_GB2312"/>
          <w:sz w:val="28"/>
          <w:szCs w:val="32"/>
        </w:rPr>
        <w:t>（4）车辆基地综合利用导向</w:t>
      </w:r>
    </w:p>
    <w:p w14:paraId="554AB66C">
      <w:pPr>
        <w:ind w:firstLine="560" w:firstLineChars="200"/>
        <w:rPr>
          <w:rFonts w:ascii="仿宋_GB2312" w:eastAsia="仿宋_GB2312"/>
          <w:sz w:val="28"/>
          <w:szCs w:val="32"/>
        </w:rPr>
      </w:pPr>
      <w:r>
        <w:rPr>
          <w:rFonts w:hint="eastAsia" w:ascii="仿宋_GB2312" w:eastAsia="仿宋_GB2312"/>
          <w:sz w:val="28"/>
          <w:szCs w:val="32"/>
        </w:rPr>
        <w:t>对现状、控规、总体规划层面的情况的梳理分析，提出各车辆基地综合利用发展导向，供今后车辆基地开发时进行专项分析作参考。</w:t>
      </w:r>
    </w:p>
    <w:p w14:paraId="7ABF522E">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成果要求</w:t>
      </w:r>
    </w:p>
    <w:p w14:paraId="279D11A1">
      <w:pPr>
        <w:ind w:firstLine="560" w:firstLineChars="200"/>
        <w:rPr>
          <w:rFonts w:ascii="仿宋_GB2312" w:eastAsia="仿宋_GB2312"/>
          <w:sz w:val="28"/>
          <w:szCs w:val="32"/>
        </w:rPr>
      </w:pPr>
      <w:r>
        <w:rPr>
          <w:rFonts w:hint="eastAsia" w:ascii="仿宋_GB2312" w:eastAsia="仿宋_GB2312"/>
          <w:sz w:val="28"/>
          <w:szCs w:val="32"/>
        </w:rPr>
        <w:t>成果形式包括打印的纸质文本和电子文件，电子文件应包括PDF文件和可编辑的WORD格式文件等。</w:t>
      </w:r>
    </w:p>
    <w:p w14:paraId="20774BF9">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工作进度安排</w:t>
      </w:r>
    </w:p>
    <w:p w14:paraId="175C53BD">
      <w:pPr>
        <w:ind w:firstLine="560" w:firstLineChars="200"/>
        <w:rPr>
          <w:rFonts w:ascii="仿宋_GB2312" w:eastAsia="仿宋_GB2312"/>
          <w:sz w:val="28"/>
          <w:szCs w:val="32"/>
        </w:rPr>
      </w:pPr>
      <w:r>
        <w:rPr>
          <w:rFonts w:hint="eastAsia" w:ascii="仿宋_GB2312" w:eastAsia="仿宋_GB2312"/>
          <w:sz w:val="28"/>
          <w:szCs w:val="32"/>
        </w:rPr>
        <w:t>初步方案阶段：自合同签订起至2025年</w:t>
      </w:r>
      <w:r>
        <w:rPr>
          <w:rFonts w:ascii="仿宋_GB2312" w:eastAsia="仿宋_GB2312"/>
          <w:sz w:val="28"/>
          <w:szCs w:val="32"/>
        </w:rPr>
        <w:t>6</w:t>
      </w:r>
      <w:r>
        <w:rPr>
          <w:rFonts w:hint="eastAsia" w:ascii="仿宋_GB2312" w:eastAsia="仿宋_GB2312"/>
          <w:sz w:val="28"/>
          <w:szCs w:val="32"/>
        </w:rPr>
        <w:t>月</w:t>
      </w:r>
    </w:p>
    <w:p w14:paraId="429A5800">
      <w:pPr>
        <w:ind w:firstLine="560" w:firstLineChars="200"/>
        <w:rPr>
          <w:rFonts w:ascii="仿宋_GB2312" w:eastAsia="仿宋_GB2312"/>
          <w:sz w:val="28"/>
          <w:szCs w:val="32"/>
        </w:rPr>
      </w:pPr>
      <w:r>
        <w:rPr>
          <w:rFonts w:hint="eastAsia" w:ascii="仿宋_GB2312" w:eastAsia="仿宋_GB2312"/>
          <w:sz w:val="28"/>
          <w:szCs w:val="32"/>
        </w:rPr>
        <w:t>正式启动工作，开展工作调研和相关资料收集，明确重点问题，形成初期成果。</w:t>
      </w:r>
    </w:p>
    <w:p w14:paraId="16973F5D">
      <w:pPr>
        <w:ind w:firstLine="560" w:firstLineChars="200"/>
        <w:rPr>
          <w:rFonts w:ascii="仿宋_GB2312" w:eastAsia="仿宋_GB2312"/>
          <w:sz w:val="28"/>
          <w:szCs w:val="32"/>
        </w:rPr>
      </w:pPr>
      <w:r>
        <w:rPr>
          <w:rFonts w:hint="eastAsia" w:ascii="仿宋_GB2312" w:eastAsia="仿宋_GB2312"/>
          <w:sz w:val="28"/>
          <w:szCs w:val="32"/>
        </w:rPr>
        <w:t>中间成果阶段：2025年</w:t>
      </w:r>
      <w:r>
        <w:rPr>
          <w:rFonts w:ascii="仿宋_GB2312" w:eastAsia="仿宋_GB2312"/>
          <w:sz w:val="28"/>
          <w:szCs w:val="32"/>
        </w:rPr>
        <w:t>7</w:t>
      </w:r>
      <w:r>
        <w:rPr>
          <w:rFonts w:hint="eastAsia" w:ascii="仿宋_GB2312" w:eastAsia="仿宋_GB2312"/>
          <w:sz w:val="28"/>
          <w:szCs w:val="32"/>
        </w:rPr>
        <w:t>月—9月</w:t>
      </w:r>
    </w:p>
    <w:p w14:paraId="6C86CC93">
      <w:pPr>
        <w:ind w:firstLine="560" w:firstLineChars="200"/>
        <w:rPr>
          <w:rFonts w:ascii="仿宋_GB2312" w:eastAsia="仿宋_GB2312"/>
          <w:sz w:val="28"/>
          <w:szCs w:val="32"/>
        </w:rPr>
      </w:pPr>
      <w:r>
        <w:rPr>
          <w:rFonts w:hint="eastAsia" w:ascii="仿宋_GB2312" w:eastAsia="仿宋_GB2312"/>
          <w:sz w:val="28"/>
          <w:szCs w:val="32"/>
        </w:rPr>
        <w:t>深化规划研究方案，开展专家评审。</w:t>
      </w:r>
    </w:p>
    <w:p w14:paraId="61F63656">
      <w:pPr>
        <w:ind w:firstLine="560" w:firstLineChars="200"/>
        <w:rPr>
          <w:rFonts w:ascii="仿宋_GB2312" w:eastAsia="仿宋_GB2312"/>
          <w:sz w:val="28"/>
          <w:szCs w:val="32"/>
        </w:rPr>
      </w:pPr>
      <w:r>
        <w:rPr>
          <w:rFonts w:hint="eastAsia" w:ascii="仿宋_GB2312" w:eastAsia="仿宋_GB2312"/>
          <w:sz w:val="28"/>
          <w:szCs w:val="32"/>
        </w:rPr>
        <w:t>最终成果阶段：2025年10月-12月</w:t>
      </w:r>
    </w:p>
    <w:p w14:paraId="2A81C24E">
      <w:pPr>
        <w:ind w:firstLine="560" w:firstLineChars="200"/>
        <w:rPr>
          <w:rFonts w:ascii="仿宋_GB2312" w:eastAsia="仿宋_GB2312"/>
          <w:sz w:val="28"/>
          <w:szCs w:val="32"/>
        </w:rPr>
      </w:pPr>
      <w:r>
        <w:rPr>
          <w:rFonts w:hint="eastAsia" w:ascii="仿宋_GB2312" w:eastAsia="仿宋_GB2312"/>
          <w:sz w:val="28"/>
          <w:szCs w:val="32"/>
        </w:rPr>
        <w:t>组织成果评审，完善后形成最终成果。</w:t>
      </w:r>
    </w:p>
    <w:p w14:paraId="07A981D2">
      <w:pPr>
        <w:pStyle w:val="10"/>
        <w:numPr>
          <w:ilvl w:val="0"/>
          <w:numId w:val="1"/>
        </w:numPr>
        <w:spacing w:line="360" w:lineRule="auto"/>
        <w:ind w:left="567" w:hanging="567" w:firstLineChars="0"/>
        <w:rPr>
          <w:rFonts w:ascii="黑体" w:hAnsi="黑体" w:eastAsia="黑体" w:cs="宋体"/>
          <w:b/>
          <w:bCs/>
          <w:sz w:val="28"/>
          <w:szCs w:val="32"/>
        </w:rPr>
      </w:pPr>
      <w:bookmarkStart w:id="0" w:name="_GoBack"/>
      <w:bookmarkEnd w:id="0"/>
      <w:r>
        <w:rPr>
          <w:rFonts w:hint="eastAsia" w:ascii="黑体" w:hAnsi="黑体" w:eastAsia="黑体" w:cs="宋体"/>
          <w:b/>
          <w:bCs/>
          <w:sz w:val="28"/>
          <w:szCs w:val="32"/>
        </w:rPr>
        <w:t>项目组人员要求</w:t>
      </w:r>
    </w:p>
    <w:p w14:paraId="3ED0C2D9">
      <w:pPr>
        <w:ind w:firstLine="560" w:firstLineChars="200"/>
        <w:rPr>
          <w:rFonts w:ascii="仿宋_GB2312" w:eastAsia="仿宋_GB2312"/>
          <w:sz w:val="28"/>
          <w:szCs w:val="32"/>
        </w:rPr>
      </w:pPr>
      <w:r>
        <w:rPr>
          <w:rFonts w:hint="eastAsia" w:ascii="仿宋_GB2312" w:eastAsia="仿宋_GB2312"/>
          <w:sz w:val="28"/>
          <w:szCs w:val="32"/>
        </w:rPr>
        <w:t>1、项目组人员数量和专业组成结构等方面应满足本项目服务需求，在服务期限内，项目组人员应保持相对稳定，以保证服务工作的正常进行。</w:t>
      </w:r>
    </w:p>
    <w:p w14:paraId="678997C7">
      <w:pPr>
        <w:ind w:firstLine="560" w:firstLineChars="200"/>
        <w:rPr>
          <w:rFonts w:ascii="仿宋_GB2312" w:eastAsia="仿宋_GB2312"/>
          <w:sz w:val="28"/>
          <w:szCs w:val="32"/>
        </w:rPr>
      </w:pPr>
      <w:r>
        <w:rPr>
          <w:rFonts w:hint="eastAsia" w:ascii="仿宋_GB2312" w:eastAsia="仿宋_GB2312"/>
          <w:sz w:val="28"/>
          <w:szCs w:val="32"/>
        </w:rPr>
        <w:t>2、项目负责人需从事相关技术工作8年以上，具有工程师及以上职称。</w:t>
      </w:r>
    </w:p>
    <w:p w14:paraId="66ACC6F2">
      <w:pPr>
        <w:pStyle w:val="10"/>
        <w:numPr>
          <w:ilvl w:val="0"/>
          <w:numId w:val="1"/>
        </w:numPr>
        <w:spacing w:line="360" w:lineRule="auto"/>
        <w:ind w:left="567" w:hanging="567" w:firstLineChars="0"/>
        <w:rPr>
          <w:rFonts w:ascii="黑体" w:hAnsi="黑体" w:eastAsia="黑体" w:cs="宋体"/>
          <w:b/>
          <w:bCs/>
          <w:sz w:val="28"/>
          <w:szCs w:val="32"/>
        </w:rPr>
      </w:pPr>
      <w:r>
        <w:rPr>
          <w:rFonts w:hint="eastAsia" w:ascii="黑体" w:hAnsi="黑体" w:eastAsia="黑体" w:cs="宋体"/>
          <w:b/>
          <w:bCs/>
          <w:sz w:val="28"/>
          <w:szCs w:val="32"/>
        </w:rPr>
        <w:t>企业工作能力要求</w:t>
      </w:r>
    </w:p>
    <w:p w14:paraId="4B1B83E9">
      <w:pPr>
        <w:ind w:firstLine="560" w:firstLineChars="200"/>
        <w:rPr>
          <w:rFonts w:ascii="仿宋_GB2312" w:eastAsia="仿宋_GB2312"/>
          <w:sz w:val="28"/>
          <w:szCs w:val="32"/>
        </w:rPr>
      </w:pPr>
      <w:r>
        <w:rPr>
          <w:rFonts w:hint="eastAsia" w:ascii="仿宋_GB2312" w:eastAsia="仿宋_GB2312"/>
          <w:sz w:val="28"/>
          <w:szCs w:val="32"/>
        </w:rPr>
        <w:t>1、供应商具有ISO9001 质量管理体系认证证书的优先考虑；</w:t>
      </w:r>
    </w:p>
    <w:p w14:paraId="634399F2">
      <w:pPr>
        <w:ind w:firstLine="560" w:firstLineChars="200"/>
        <w:rPr>
          <w:rFonts w:ascii="仿宋_GB2312" w:eastAsia="仿宋_GB2312"/>
          <w:sz w:val="28"/>
          <w:szCs w:val="32"/>
        </w:rPr>
      </w:pPr>
      <w:r>
        <w:rPr>
          <w:rFonts w:hint="eastAsia" w:ascii="仿宋_GB2312" w:eastAsia="仿宋_GB2312"/>
          <w:sz w:val="28"/>
          <w:szCs w:val="32"/>
        </w:rPr>
        <w:t>2、供应商近三年具有类似业绩的优先考虑。</w:t>
      </w:r>
    </w:p>
    <w:p w14:paraId="3679025E">
      <w:pPr>
        <w:rPr>
          <w:rFonts w:hint="eastAsia" w:ascii="仿宋_GB2312" w:eastAsia="仿宋_GB2312"/>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A64E4"/>
    <w:multiLevelType w:val="multilevel"/>
    <w:tmpl w:val="4ACA64E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YmIxNzI4ZGQ3ZWQ1ZDA0YzA0YjM3YjI4NzdkMWUifQ=="/>
  </w:docVars>
  <w:rsids>
    <w:rsidRoot w:val="00BD416C"/>
    <w:rsid w:val="000242F1"/>
    <w:rsid w:val="00107B47"/>
    <w:rsid w:val="00197CD9"/>
    <w:rsid w:val="002B1F7F"/>
    <w:rsid w:val="002C0029"/>
    <w:rsid w:val="002E3708"/>
    <w:rsid w:val="005F26C7"/>
    <w:rsid w:val="0073542E"/>
    <w:rsid w:val="007A23BE"/>
    <w:rsid w:val="008F6433"/>
    <w:rsid w:val="00A53C5E"/>
    <w:rsid w:val="00A932AB"/>
    <w:rsid w:val="00AD1B11"/>
    <w:rsid w:val="00AF74DF"/>
    <w:rsid w:val="00BD416C"/>
    <w:rsid w:val="00C32EAF"/>
    <w:rsid w:val="00C43275"/>
    <w:rsid w:val="00D2424D"/>
    <w:rsid w:val="00D50403"/>
    <w:rsid w:val="00EC34FF"/>
    <w:rsid w:val="00FC5DCF"/>
    <w:rsid w:val="3BF765F0"/>
    <w:rsid w:val="7D8D1C12"/>
    <w:rsid w:val="EEFF579F"/>
    <w:rsid w:val="FBFDF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411</Words>
  <Characters>2347</Characters>
  <Lines>19</Lines>
  <Paragraphs>5</Paragraphs>
  <TotalTime>132</TotalTime>
  <ScaleCrop>false</ScaleCrop>
  <LinksUpToDate>false</LinksUpToDate>
  <CharactersWithSpaces>2753</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2025-02-11T14:42:00Z</dcterms:created>
  <dc:creator>Administrator</dc:creator>
  <cp:lastModifiedBy>李修辞</cp:lastModifiedBy>
  <dcterms:modified xsi:type="dcterms:W3CDTF">2025-03-10T09:23:46Z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36637211360CD4E1751EAB67FC34E6B3_42</vt:lpwstr>
  </property>
</Properties>
</file>