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FE1EB9">
      <w:pPr>
        <w:pStyle w:val="3"/>
        <w:jc w:val="center"/>
        <w:outlineLvl w:val="0"/>
        <w:rPr>
          <w:rFonts w:ascii="宋体" w:hAnsi="宋体" w:cs="宋体"/>
          <w:b/>
          <w:bCs/>
          <w:kern w:val="0"/>
          <w:sz w:val="36"/>
          <w:szCs w:val="44"/>
        </w:rPr>
      </w:pPr>
      <w:bookmarkStart w:id="0" w:name="_Toc392227903"/>
      <w:bookmarkStart w:id="1" w:name="_Toc457748070"/>
      <w:bookmarkStart w:id="2" w:name="_Toc105342678"/>
      <w:bookmarkStart w:id="3" w:name="_Toc105342955"/>
      <w:bookmarkStart w:id="4" w:name="_Toc105342160"/>
      <w:bookmarkStart w:id="5" w:name="_Toc105340636"/>
      <w:r>
        <w:rPr>
          <w:rFonts w:hint="eastAsia" w:ascii="宋体" w:hAnsi="宋体" w:cs="宋体"/>
          <w:b/>
          <w:bCs/>
          <w:kern w:val="0"/>
          <w:sz w:val="36"/>
          <w:szCs w:val="44"/>
        </w:rPr>
        <w:t>第六章</w:t>
      </w:r>
      <w:bookmarkEnd w:id="0"/>
      <w:r>
        <w:rPr>
          <w:rFonts w:hint="eastAsia" w:ascii="宋体" w:hAnsi="宋体" w:cs="宋体"/>
          <w:b/>
          <w:bCs/>
          <w:kern w:val="0"/>
          <w:sz w:val="36"/>
          <w:szCs w:val="44"/>
        </w:rPr>
        <w:t xml:space="preserve"> </w:t>
      </w:r>
      <w:bookmarkEnd w:id="1"/>
      <w:r>
        <w:rPr>
          <w:rFonts w:hint="eastAsia" w:ascii="宋体" w:hAnsi="宋体" w:cs="宋体"/>
          <w:b/>
          <w:bCs/>
          <w:kern w:val="0"/>
          <w:sz w:val="36"/>
          <w:szCs w:val="44"/>
        </w:rPr>
        <w:t>采购需求</w:t>
      </w:r>
      <w:bookmarkEnd w:id="2"/>
      <w:bookmarkEnd w:id="3"/>
      <w:bookmarkEnd w:id="4"/>
      <w:bookmarkEnd w:id="5"/>
    </w:p>
    <w:p w14:paraId="4DED733D">
      <w:pPr>
        <w:numPr>
          <w:ilvl w:val="0"/>
          <w:numId w:val="1"/>
        </w:numPr>
        <w:spacing w:before="120" w:after="120" w:line="360" w:lineRule="auto"/>
        <w:ind w:firstLine="0"/>
        <w:outlineLvl w:val="0"/>
        <w:rPr>
          <w:rFonts w:ascii="宋体" w:hAnsi="宋体" w:cs="宋体"/>
          <w:b/>
          <w:bCs/>
          <w:kern w:val="44"/>
          <w:sz w:val="24"/>
          <w:szCs w:val="24"/>
        </w:rPr>
      </w:pPr>
      <w:bookmarkStart w:id="6" w:name="_Toc63785461"/>
      <w:bookmarkStart w:id="7" w:name="_Toc63785463"/>
      <w:bookmarkStart w:id="8" w:name="_Toc48223882"/>
      <w:r>
        <w:rPr>
          <w:rFonts w:hint="eastAsia" w:ascii="宋体" w:hAnsi="宋体" w:cs="宋体"/>
          <w:b/>
          <w:bCs/>
          <w:kern w:val="44"/>
          <w:sz w:val="24"/>
          <w:szCs w:val="24"/>
        </w:rPr>
        <w:t>项目概况</w:t>
      </w:r>
      <w:bookmarkEnd w:id="6"/>
    </w:p>
    <w:p w14:paraId="296ACD05">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项目背景和现状</w:t>
      </w:r>
    </w:p>
    <w:p w14:paraId="0147F4D7">
      <w:pPr>
        <w:spacing w:line="360" w:lineRule="auto"/>
        <w:ind w:firstLine="440" w:firstLineChars="200"/>
        <w:rPr>
          <w:rFonts w:ascii="宋体" w:hAnsi="宋体" w:cs="宋体"/>
          <w:sz w:val="22"/>
        </w:rPr>
      </w:pPr>
      <w:r>
        <w:rPr>
          <w:rFonts w:hint="eastAsia" w:ascii="宋体" w:hAnsi="宋体" w:cs="宋体"/>
          <w:sz w:val="22"/>
        </w:rPr>
        <w:t>目前，我所的业务主要是线下纸质记录，也没有对核心部分的试验数据进行管控；在检测业务中尚未实现仪器数据的自动采集，数据要依靠工作人员自行管理，线下计算和处理；在统计、分析、数据挖掘方面能力薄弱，难以在决策时为决策者提供有效的数据支持。</w:t>
      </w:r>
    </w:p>
    <w:p w14:paraId="40887C2D">
      <w:pPr>
        <w:spacing w:line="360" w:lineRule="auto"/>
        <w:ind w:firstLine="480" w:firstLineChars="200"/>
        <w:rPr>
          <w:rFonts w:ascii="宋体" w:hAnsi="宋体" w:cs="宋体"/>
          <w:sz w:val="24"/>
          <w:szCs w:val="24"/>
        </w:rPr>
      </w:pPr>
      <w:r>
        <w:rPr>
          <w:rFonts w:hint="eastAsia" w:ascii="宋体" w:hAnsi="宋体" w:cs="宋体"/>
          <w:sz w:val="24"/>
          <w:szCs w:val="24"/>
        </w:rPr>
        <w:t>根据《“十四五”市场监管现代化规划》、《药品监管网络安全与信息化建设“十四五”规划》中对于智慧监管的要求，为加强本所认证认可工作的工作水平，提升本所在包装材料认证认可检验检测方面的监管效能，需要建设满足包装材料认证认可检验检测的信息化基础设施，推进技术创新应用与药品监管能力提升的深度融合。</w:t>
      </w:r>
    </w:p>
    <w:p w14:paraId="4F109A4C">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建设期限</w:t>
      </w:r>
    </w:p>
    <w:p w14:paraId="4AFC33A5">
      <w:pPr>
        <w:spacing w:line="360" w:lineRule="auto"/>
        <w:ind w:firstLine="480" w:firstLineChars="200"/>
        <w:rPr>
          <w:rFonts w:ascii="宋体" w:hAnsi="宋体" w:cs="宋体"/>
          <w:color w:val="FF0000"/>
          <w:sz w:val="24"/>
          <w:szCs w:val="24"/>
        </w:rPr>
      </w:pPr>
      <w:r>
        <w:rPr>
          <w:rFonts w:hint="eastAsia" w:ascii="宋体" w:hAnsi="宋体" w:cs="宋体"/>
          <w:color w:val="FF0000"/>
          <w:sz w:val="24"/>
          <w:szCs w:val="24"/>
        </w:rPr>
        <w:t>建设期限：自合同签订之日起6个月内完成项目建设并通过验收（包括1个月试运行）</w:t>
      </w:r>
    </w:p>
    <w:p w14:paraId="48561935">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建设地点</w:t>
      </w:r>
    </w:p>
    <w:p w14:paraId="2A11DF0C">
      <w:pPr>
        <w:spacing w:line="360" w:lineRule="auto"/>
        <w:ind w:firstLine="480" w:firstLineChars="200"/>
        <w:rPr>
          <w:rFonts w:ascii="宋体" w:hAnsi="宋体" w:cs="宋体"/>
          <w:sz w:val="24"/>
          <w:szCs w:val="24"/>
        </w:rPr>
      </w:pPr>
      <w:r>
        <w:rPr>
          <w:rFonts w:hint="eastAsia" w:ascii="宋体" w:hAnsi="宋体" w:cs="宋体"/>
          <w:sz w:val="24"/>
          <w:szCs w:val="24"/>
        </w:rPr>
        <w:t>建设地点：上海市食品药品包装材料测试所</w:t>
      </w:r>
    </w:p>
    <w:p w14:paraId="0AA68C34">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预算金额</w:t>
      </w:r>
    </w:p>
    <w:p w14:paraId="325D6D40">
      <w:pPr>
        <w:spacing w:line="360" w:lineRule="auto"/>
        <w:ind w:firstLine="480" w:firstLineChars="200"/>
        <w:rPr>
          <w:rFonts w:ascii="宋体" w:hAnsi="宋体" w:cs="宋体"/>
          <w:sz w:val="24"/>
          <w:szCs w:val="24"/>
        </w:rPr>
      </w:pPr>
      <w:r>
        <w:rPr>
          <w:rFonts w:hint="eastAsia" w:ascii="宋体" w:hAnsi="宋体" w:cs="宋体"/>
          <w:sz w:val="24"/>
          <w:szCs w:val="24"/>
        </w:rPr>
        <w:t>预算金额：2,129,460元</w:t>
      </w:r>
    </w:p>
    <w:p w14:paraId="4534F93B">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采购金额（最高限价）</w:t>
      </w:r>
    </w:p>
    <w:p w14:paraId="1C4A2321">
      <w:pPr>
        <w:spacing w:line="360" w:lineRule="auto"/>
        <w:ind w:firstLine="480" w:firstLineChars="200"/>
        <w:rPr>
          <w:rFonts w:ascii="宋体" w:hAnsi="宋体" w:cs="宋体"/>
          <w:sz w:val="24"/>
          <w:szCs w:val="24"/>
        </w:rPr>
      </w:pPr>
      <w:r>
        <w:rPr>
          <w:rFonts w:hint="eastAsia" w:ascii="宋体" w:hAnsi="宋体" w:cs="宋体"/>
          <w:sz w:val="24"/>
          <w:szCs w:val="24"/>
        </w:rPr>
        <w:t>采购金额（最高限价）：2,129,460元</w:t>
      </w:r>
    </w:p>
    <w:bookmarkEnd w:id="7"/>
    <w:bookmarkEnd w:id="8"/>
    <w:p w14:paraId="63326288">
      <w:pPr>
        <w:numPr>
          <w:ilvl w:val="0"/>
          <w:numId w:val="1"/>
        </w:numPr>
        <w:spacing w:before="120" w:after="120" w:line="360" w:lineRule="auto"/>
        <w:ind w:firstLine="0"/>
        <w:outlineLvl w:val="0"/>
        <w:rPr>
          <w:rFonts w:ascii="宋体" w:hAnsi="宋体" w:cs="宋体"/>
          <w:b/>
          <w:bCs/>
          <w:kern w:val="44"/>
          <w:sz w:val="24"/>
          <w:szCs w:val="24"/>
        </w:rPr>
      </w:pPr>
      <w:bookmarkStart w:id="9" w:name="_Toc47533288"/>
      <w:bookmarkEnd w:id="9"/>
      <w:bookmarkStart w:id="10" w:name="_Toc47536304"/>
      <w:bookmarkEnd w:id="10"/>
      <w:bookmarkStart w:id="11" w:name="_Toc47532923"/>
      <w:bookmarkEnd w:id="11"/>
      <w:bookmarkStart w:id="12" w:name="_Toc47537166"/>
      <w:bookmarkEnd w:id="12"/>
      <w:bookmarkStart w:id="13" w:name="_Toc47539102"/>
      <w:bookmarkEnd w:id="13"/>
      <w:bookmarkStart w:id="14" w:name="_Toc47536676"/>
      <w:bookmarkEnd w:id="14"/>
      <w:r>
        <w:rPr>
          <w:rFonts w:hint="eastAsia" w:ascii="宋体" w:hAnsi="宋体" w:cs="宋体"/>
          <w:b/>
          <w:bCs/>
          <w:kern w:val="44"/>
          <w:sz w:val="24"/>
          <w:szCs w:val="24"/>
        </w:rPr>
        <w:t>建设目标</w:t>
      </w:r>
    </w:p>
    <w:p w14:paraId="1EFAE86E">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建设目标</w:t>
      </w:r>
    </w:p>
    <w:p w14:paraId="1AB38274">
      <w:pPr>
        <w:spacing w:line="360" w:lineRule="auto"/>
        <w:ind w:firstLine="480" w:firstLineChars="200"/>
        <w:rPr>
          <w:rFonts w:ascii="宋体" w:hAnsi="宋体" w:cs="宋体"/>
          <w:sz w:val="24"/>
          <w:szCs w:val="24"/>
        </w:rPr>
      </w:pPr>
      <w:r>
        <w:rPr>
          <w:rFonts w:hint="eastAsia" w:ascii="宋体" w:hAnsi="宋体" w:cs="宋体"/>
          <w:sz w:val="24"/>
          <w:szCs w:val="24"/>
        </w:rPr>
        <w:t>为了落实市数字化转型工作要求，深入推动生物医药产业的数字化进程，围绕“统一规划、统一部署、统一平台、统一数据、统一运维”指导思想。充分运用云计算、大数据、移动物联等新技术、新手段，横向覆盖食品/药品包装材料、药用辅料检测、洁净厂房等全业务链条，纵向连接政府与公众，打通各业务数据壁垒，规范检验行为，提高检验效能和管理水平。形成布局合理、协调统一、运转高效的检测一体化大平台，实现食药包材产品质量监管全程可视、全链可查、全物可清的管理目标，提高政府服务、质量监管能力，提升服务行业和社会公众水平。具体目标包括：</w:t>
      </w:r>
    </w:p>
    <w:p w14:paraId="73A06258">
      <w:pPr>
        <w:numPr>
          <w:ilvl w:val="0"/>
          <w:numId w:val="2"/>
        </w:numPr>
        <w:spacing w:line="360" w:lineRule="auto"/>
        <w:rPr>
          <w:rFonts w:ascii="宋体" w:hAnsi="宋体" w:cs="宋体"/>
          <w:sz w:val="24"/>
          <w:szCs w:val="24"/>
        </w:rPr>
      </w:pPr>
      <w:r>
        <w:rPr>
          <w:rFonts w:hint="eastAsia" w:ascii="宋体" w:hAnsi="宋体" w:cs="宋体"/>
          <w:sz w:val="24"/>
          <w:szCs w:val="24"/>
        </w:rPr>
        <w:t>服务政府监管，完成国家以及上海市政府要求的国抽以及市抽检测任务，提高食品/药品包装材料产品质量。</w:t>
      </w:r>
    </w:p>
    <w:p w14:paraId="6AE9D1BD">
      <w:pPr>
        <w:numPr>
          <w:ilvl w:val="0"/>
          <w:numId w:val="2"/>
        </w:numPr>
        <w:spacing w:line="360" w:lineRule="auto"/>
        <w:rPr>
          <w:rFonts w:ascii="宋体" w:hAnsi="宋体" w:cs="宋体"/>
          <w:sz w:val="24"/>
          <w:szCs w:val="24"/>
        </w:rPr>
      </w:pPr>
      <w:r>
        <w:rPr>
          <w:rFonts w:hint="eastAsia" w:ascii="宋体" w:hAnsi="宋体" w:cs="宋体"/>
          <w:sz w:val="24"/>
          <w:szCs w:val="24"/>
        </w:rPr>
        <w:t>服务企业，建立“一站式”客户服务平台，实现企业检前、检中、检后的信息化服务，提高新药注册上市速度。</w:t>
      </w:r>
    </w:p>
    <w:p w14:paraId="27201E99">
      <w:pPr>
        <w:numPr>
          <w:ilvl w:val="0"/>
          <w:numId w:val="2"/>
        </w:numPr>
        <w:spacing w:line="360" w:lineRule="auto"/>
        <w:rPr>
          <w:rFonts w:ascii="宋体" w:hAnsi="宋体" w:cs="宋体"/>
          <w:sz w:val="24"/>
          <w:szCs w:val="24"/>
        </w:rPr>
      </w:pPr>
      <w:r>
        <w:rPr>
          <w:rFonts w:hint="eastAsia" w:ascii="宋体" w:hAnsi="宋体" w:cs="宋体"/>
          <w:sz w:val="24"/>
          <w:szCs w:val="24"/>
        </w:rPr>
        <w:t>提高合规性，建立满足ISO/IEC 17025、CNAS-CL01 2018等标准规范，以及CNAS、CMA、GXP等实验室认证认可、药品质量相关管理规范。</w:t>
      </w:r>
    </w:p>
    <w:p w14:paraId="16428C75">
      <w:pPr>
        <w:numPr>
          <w:ilvl w:val="0"/>
          <w:numId w:val="2"/>
        </w:numPr>
        <w:spacing w:line="360" w:lineRule="auto"/>
        <w:rPr>
          <w:rFonts w:ascii="宋体" w:hAnsi="宋体" w:cs="宋体"/>
          <w:sz w:val="24"/>
          <w:szCs w:val="24"/>
        </w:rPr>
      </w:pPr>
      <w:r>
        <w:rPr>
          <w:rFonts w:hint="eastAsia" w:ascii="宋体" w:hAnsi="宋体" w:cs="宋体"/>
          <w:sz w:val="24"/>
          <w:szCs w:val="24"/>
        </w:rPr>
        <w:t>提高实验室检测效率，通过快速业务受理、任务自动分配、仪器自动采集、自动生成报告等，满足食品/药品包装材料、药用辅料的高质量、高效率检测。</w:t>
      </w:r>
    </w:p>
    <w:p w14:paraId="121312D0">
      <w:pPr>
        <w:numPr>
          <w:ilvl w:val="0"/>
          <w:numId w:val="2"/>
        </w:numPr>
        <w:spacing w:line="360" w:lineRule="auto"/>
        <w:rPr>
          <w:rFonts w:ascii="宋体" w:hAnsi="宋体" w:cs="宋体"/>
          <w:sz w:val="24"/>
          <w:szCs w:val="24"/>
        </w:rPr>
      </w:pPr>
      <w:r>
        <w:rPr>
          <w:rFonts w:hint="eastAsia" w:ascii="宋体" w:hAnsi="宋体" w:cs="宋体"/>
          <w:sz w:val="24"/>
          <w:szCs w:val="24"/>
        </w:rPr>
        <w:t>提高现场检测效率，通过构建移动应用系统，实现洁净厂房等现场检测办公效率，移动互联打通检测现场、规范现场采样登记信息、现场操作流程等，提升现场检测合规性、溯源性，提高现场管理能力、现场采样/检测效率。</w:t>
      </w:r>
    </w:p>
    <w:p w14:paraId="00C572C8">
      <w:pPr>
        <w:numPr>
          <w:ilvl w:val="0"/>
          <w:numId w:val="2"/>
        </w:numPr>
        <w:spacing w:line="360" w:lineRule="auto"/>
        <w:rPr>
          <w:rFonts w:ascii="宋体" w:hAnsi="宋体" w:cs="宋体"/>
          <w:sz w:val="24"/>
          <w:szCs w:val="24"/>
        </w:rPr>
      </w:pPr>
      <w:r>
        <w:rPr>
          <w:rFonts w:hint="eastAsia" w:ascii="宋体" w:hAnsi="宋体" w:cs="宋体"/>
          <w:sz w:val="24"/>
          <w:szCs w:val="24"/>
        </w:rPr>
        <w:t>提高实验室安全管理水平，通过构建系统化、信息化的安全管理体系，提高全员安全意识、规范实验室操作流程、降低安全风险、提高实验室安全管理水平。</w:t>
      </w:r>
    </w:p>
    <w:p w14:paraId="31D1257E">
      <w:pPr>
        <w:numPr>
          <w:ilvl w:val="0"/>
          <w:numId w:val="2"/>
        </w:numPr>
        <w:spacing w:line="360" w:lineRule="auto"/>
        <w:rPr>
          <w:rFonts w:ascii="宋体" w:hAnsi="宋体" w:cs="宋体"/>
          <w:sz w:val="24"/>
          <w:szCs w:val="24"/>
        </w:rPr>
      </w:pPr>
      <w:r>
        <w:rPr>
          <w:rFonts w:hint="eastAsia" w:ascii="宋体" w:hAnsi="宋体" w:cs="宋体"/>
          <w:sz w:val="24"/>
          <w:szCs w:val="24"/>
        </w:rPr>
        <w:t>提高研发创新能力，积极开展产学研合作，规划科研管理体系，探索食药包装辅料新技术、新标准，为企业、为产业创新赋能。</w:t>
      </w:r>
    </w:p>
    <w:p w14:paraId="3F982D83">
      <w:pPr>
        <w:numPr>
          <w:ilvl w:val="0"/>
          <w:numId w:val="2"/>
        </w:numPr>
        <w:spacing w:line="360" w:lineRule="auto"/>
        <w:rPr>
          <w:rFonts w:ascii="宋体" w:hAnsi="宋体" w:cs="宋体"/>
          <w:sz w:val="24"/>
          <w:szCs w:val="24"/>
        </w:rPr>
      </w:pPr>
      <w:r>
        <w:rPr>
          <w:rFonts w:hint="eastAsia" w:ascii="宋体" w:hAnsi="宋体" w:cs="宋体"/>
          <w:sz w:val="24"/>
          <w:szCs w:val="24"/>
        </w:rPr>
        <w:t>提高数字资产利用率，通过构建统一数据底座，形成高质量检验检测数据库，利用统计分析、数据挖掘、数据可视化等技术，开发数字运营、数字预警新场景，共享数据资源目录，发挥“数据要素X”效应。</w:t>
      </w:r>
    </w:p>
    <w:p w14:paraId="4C16DEA8">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应用指标</w:t>
      </w:r>
    </w:p>
    <w:p w14:paraId="2468AFF2">
      <w:pPr>
        <w:spacing w:line="360" w:lineRule="auto"/>
        <w:ind w:firstLine="480" w:firstLineChars="200"/>
        <w:rPr>
          <w:rFonts w:ascii="宋体" w:hAnsi="宋体" w:cs="宋体"/>
          <w:sz w:val="24"/>
          <w:szCs w:val="24"/>
        </w:rPr>
      </w:pPr>
      <w:r>
        <w:rPr>
          <w:rFonts w:hint="eastAsia" w:ascii="宋体" w:hAnsi="宋体" w:cs="宋体"/>
          <w:sz w:val="24"/>
          <w:szCs w:val="24"/>
        </w:rPr>
        <w:t>药品包装材料检测管理大系统用户共计约1100个用户，主要包括：</w:t>
      </w:r>
    </w:p>
    <w:p w14:paraId="5F329361">
      <w:pPr>
        <w:spacing w:line="360" w:lineRule="auto"/>
        <w:ind w:firstLine="480" w:firstLineChars="200"/>
        <w:rPr>
          <w:rFonts w:ascii="宋体" w:hAnsi="宋体" w:cs="宋体"/>
          <w:sz w:val="24"/>
          <w:szCs w:val="24"/>
        </w:rPr>
      </w:pPr>
      <w:r>
        <w:rPr>
          <w:rFonts w:hint="eastAsia" w:ascii="宋体" w:hAnsi="宋体" w:cs="宋体"/>
          <w:sz w:val="24"/>
          <w:szCs w:val="24"/>
        </w:rPr>
        <w:t>1、外部委托方客户：约1000多家企业，每家1个用户，约1000多个用户。</w:t>
      </w:r>
    </w:p>
    <w:p w14:paraId="324CE07B">
      <w:pPr>
        <w:spacing w:line="360" w:lineRule="auto"/>
        <w:ind w:firstLine="480" w:firstLineChars="200"/>
        <w:rPr>
          <w:rFonts w:ascii="宋体" w:hAnsi="宋体" w:cs="宋体"/>
          <w:sz w:val="24"/>
          <w:szCs w:val="24"/>
        </w:rPr>
      </w:pPr>
      <w:r>
        <w:rPr>
          <w:rFonts w:hint="eastAsia" w:ascii="宋体" w:hAnsi="宋体" w:cs="宋体"/>
          <w:sz w:val="24"/>
          <w:szCs w:val="24"/>
        </w:rPr>
        <w:t>2、所内部工作人员：约70多人，约70多个用户。</w:t>
      </w:r>
    </w:p>
    <w:p w14:paraId="4A4CAC45">
      <w:pPr>
        <w:spacing w:line="360" w:lineRule="auto"/>
        <w:ind w:firstLine="480" w:firstLineChars="200"/>
        <w:rPr>
          <w:rFonts w:ascii="宋体" w:hAnsi="宋体" w:cs="宋体"/>
          <w:sz w:val="24"/>
          <w:szCs w:val="24"/>
        </w:rPr>
      </w:pPr>
      <w:r>
        <w:rPr>
          <w:rFonts w:hint="eastAsia" w:ascii="宋体" w:hAnsi="宋体" w:cs="宋体"/>
          <w:sz w:val="24"/>
          <w:szCs w:val="24"/>
        </w:rPr>
        <w:t>3、系统管理用户：约10个用户。</w:t>
      </w:r>
    </w:p>
    <w:p w14:paraId="7A79A7E2">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业务绩效目标</w:t>
      </w:r>
    </w:p>
    <w:p w14:paraId="282A7A9F">
      <w:pPr>
        <w:numPr>
          <w:ilvl w:val="0"/>
          <w:numId w:val="3"/>
        </w:numPr>
        <w:spacing w:line="360" w:lineRule="auto"/>
        <w:rPr>
          <w:rFonts w:ascii="宋体" w:hAnsi="宋体" w:cs="宋体"/>
          <w:sz w:val="24"/>
          <w:szCs w:val="24"/>
        </w:rPr>
      </w:pPr>
      <w:r>
        <w:rPr>
          <w:rFonts w:hint="eastAsia" w:ascii="宋体" w:hAnsi="宋体" w:cs="宋体"/>
          <w:sz w:val="24"/>
          <w:szCs w:val="24"/>
        </w:rPr>
        <w:t>每年支持约检测项目数量≥33000个</w:t>
      </w:r>
    </w:p>
    <w:p w14:paraId="00AEE06F">
      <w:pPr>
        <w:numPr>
          <w:ilvl w:val="0"/>
          <w:numId w:val="3"/>
        </w:numPr>
        <w:spacing w:line="360" w:lineRule="auto"/>
        <w:rPr>
          <w:rFonts w:ascii="宋体" w:hAnsi="宋体" w:cs="宋体"/>
          <w:sz w:val="24"/>
          <w:szCs w:val="24"/>
        </w:rPr>
      </w:pPr>
      <w:r>
        <w:rPr>
          <w:rFonts w:hint="eastAsia" w:ascii="宋体" w:hAnsi="宋体" w:cs="宋体"/>
          <w:sz w:val="24"/>
          <w:szCs w:val="24"/>
        </w:rPr>
        <w:t>每年服务企业（不限本市）≥450家</w:t>
      </w:r>
    </w:p>
    <w:p w14:paraId="4FE4BE6B">
      <w:pPr>
        <w:numPr>
          <w:ilvl w:val="0"/>
          <w:numId w:val="3"/>
        </w:numPr>
        <w:spacing w:line="360" w:lineRule="auto"/>
        <w:rPr>
          <w:rFonts w:ascii="宋体" w:hAnsi="宋体" w:cs="宋体"/>
          <w:sz w:val="24"/>
          <w:szCs w:val="24"/>
        </w:rPr>
      </w:pPr>
      <w:r>
        <w:rPr>
          <w:rFonts w:hint="eastAsia" w:ascii="宋体" w:hAnsi="宋体" w:cs="宋体"/>
          <w:sz w:val="24"/>
          <w:szCs w:val="24"/>
        </w:rPr>
        <w:t>项目建成后，每年开展委托单≥3000个</w:t>
      </w:r>
    </w:p>
    <w:p w14:paraId="1569DC47">
      <w:pPr>
        <w:numPr>
          <w:ilvl w:val="0"/>
          <w:numId w:val="3"/>
        </w:numPr>
        <w:spacing w:line="360" w:lineRule="auto"/>
        <w:rPr>
          <w:rFonts w:ascii="宋体" w:hAnsi="宋体" w:cs="宋体"/>
          <w:sz w:val="24"/>
          <w:szCs w:val="24"/>
        </w:rPr>
      </w:pPr>
      <w:r>
        <w:rPr>
          <w:rFonts w:hint="eastAsia" w:ascii="宋体" w:hAnsi="宋体" w:cs="宋体"/>
          <w:sz w:val="24"/>
          <w:szCs w:val="24"/>
        </w:rPr>
        <w:t>项目建成后，每年提供在线报告真伪查询次数≥10000次</w:t>
      </w:r>
    </w:p>
    <w:p w14:paraId="193440B9">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技术绩效目标</w:t>
      </w:r>
    </w:p>
    <w:p w14:paraId="04A3C424">
      <w:pPr>
        <w:numPr>
          <w:ilvl w:val="0"/>
          <w:numId w:val="3"/>
        </w:numPr>
        <w:spacing w:line="360" w:lineRule="auto"/>
        <w:rPr>
          <w:rFonts w:ascii="宋体" w:hAnsi="宋体" w:cs="宋体"/>
          <w:sz w:val="24"/>
          <w:szCs w:val="24"/>
        </w:rPr>
      </w:pPr>
      <w:r>
        <w:rPr>
          <w:rFonts w:hint="eastAsia" w:ascii="宋体" w:hAnsi="宋体" w:cs="宋体"/>
          <w:sz w:val="24"/>
          <w:szCs w:val="24"/>
        </w:rPr>
        <w:t>软件开发完成率100%</w:t>
      </w:r>
    </w:p>
    <w:p w14:paraId="19A83EC5">
      <w:pPr>
        <w:numPr>
          <w:ilvl w:val="0"/>
          <w:numId w:val="3"/>
        </w:numPr>
        <w:spacing w:line="360" w:lineRule="auto"/>
        <w:rPr>
          <w:rFonts w:ascii="宋体" w:hAnsi="宋体" w:cs="宋体"/>
          <w:sz w:val="24"/>
          <w:szCs w:val="24"/>
        </w:rPr>
      </w:pPr>
      <w:r>
        <w:rPr>
          <w:rFonts w:hint="eastAsia" w:ascii="宋体" w:hAnsi="宋体" w:cs="宋体"/>
          <w:sz w:val="24"/>
          <w:szCs w:val="24"/>
        </w:rPr>
        <w:t>系统可靠性100%</w:t>
      </w:r>
    </w:p>
    <w:p w14:paraId="667CCD0D">
      <w:pPr>
        <w:numPr>
          <w:ilvl w:val="0"/>
          <w:numId w:val="3"/>
        </w:numPr>
        <w:spacing w:line="360" w:lineRule="auto"/>
        <w:rPr>
          <w:rFonts w:ascii="宋体" w:hAnsi="宋体" w:cs="宋体"/>
          <w:sz w:val="24"/>
          <w:szCs w:val="24"/>
        </w:rPr>
      </w:pPr>
      <w:r>
        <w:rPr>
          <w:rFonts w:hint="eastAsia" w:ascii="宋体" w:hAnsi="宋体" w:cs="宋体"/>
          <w:sz w:val="24"/>
          <w:szCs w:val="24"/>
        </w:rPr>
        <w:t>软件测试达标</w:t>
      </w:r>
    </w:p>
    <w:p w14:paraId="5CD3627C">
      <w:pPr>
        <w:numPr>
          <w:ilvl w:val="0"/>
          <w:numId w:val="3"/>
        </w:numPr>
        <w:spacing w:line="360" w:lineRule="auto"/>
        <w:rPr>
          <w:rFonts w:ascii="宋体" w:hAnsi="宋体" w:cs="宋体"/>
          <w:sz w:val="24"/>
          <w:szCs w:val="24"/>
        </w:rPr>
      </w:pPr>
      <w:r>
        <w:rPr>
          <w:rFonts w:hint="eastAsia" w:ascii="宋体" w:hAnsi="宋体" w:cs="宋体"/>
          <w:sz w:val="24"/>
          <w:szCs w:val="24"/>
        </w:rPr>
        <w:t>密码测试达标</w:t>
      </w:r>
    </w:p>
    <w:p w14:paraId="34760511">
      <w:pPr>
        <w:numPr>
          <w:ilvl w:val="0"/>
          <w:numId w:val="3"/>
        </w:numPr>
        <w:spacing w:line="360" w:lineRule="auto"/>
        <w:rPr>
          <w:rFonts w:ascii="宋体" w:hAnsi="宋体" w:cs="宋体"/>
          <w:sz w:val="24"/>
          <w:szCs w:val="24"/>
        </w:rPr>
      </w:pPr>
      <w:r>
        <w:rPr>
          <w:rFonts w:hint="eastAsia" w:ascii="宋体" w:hAnsi="宋体" w:cs="宋体"/>
          <w:sz w:val="24"/>
          <w:szCs w:val="24"/>
        </w:rPr>
        <w:t>安全测试达标</w:t>
      </w:r>
    </w:p>
    <w:p w14:paraId="2EAD24BC">
      <w:pPr>
        <w:numPr>
          <w:ilvl w:val="0"/>
          <w:numId w:val="1"/>
        </w:numPr>
        <w:spacing w:before="120" w:after="120" w:line="360" w:lineRule="auto"/>
        <w:ind w:firstLine="0"/>
        <w:outlineLvl w:val="0"/>
        <w:rPr>
          <w:rFonts w:ascii="宋体" w:hAnsi="宋体" w:cs="宋体"/>
          <w:b/>
          <w:bCs/>
          <w:kern w:val="44"/>
          <w:sz w:val="24"/>
          <w:szCs w:val="24"/>
        </w:rPr>
      </w:pPr>
      <w:r>
        <w:rPr>
          <w:rFonts w:hint="eastAsia" w:ascii="宋体" w:hAnsi="宋体" w:cs="宋体"/>
          <w:b/>
          <w:bCs/>
          <w:kern w:val="44"/>
          <w:sz w:val="24"/>
          <w:szCs w:val="24"/>
        </w:rPr>
        <w:t>项目建设内容</w:t>
      </w:r>
    </w:p>
    <w:p w14:paraId="436705AE">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项目建设内容</w:t>
      </w:r>
    </w:p>
    <w:p w14:paraId="6251C5B1">
      <w:pPr>
        <w:numPr>
          <w:ilvl w:val="2"/>
          <w:numId w:val="1"/>
        </w:numPr>
        <w:spacing w:before="120" w:after="120" w:line="360" w:lineRule="auto"/>
        <w:ind w:firstLine="0"/>
        <w:outlineLvl w:val="2"/>
        <w:rPr>
          <w:rFonts w:ascii="宋体" w:hAnsi="宋体" w:cs="宋体"/>
          <w:b/>
          <w:bCs/>
          <w:sz w:val="24"/>
          <w:szCs w:val="24"/>
        </w:rPr>
      </w:pPr>
      <w:r>
        <w:rPr>
          <w:rFonts w:hint="eastAsia" w:ascii="宋体" w:hAnsi="宋体" w:cs="宋体"/>
          <w:b/>
          <w:bCs/>
          <w:sz w:val="24"/>
          <w:szCs w:val="24"/>
        </w:rPr>
        <w:t>客户服务子系统</w:t>
      </w:r>
    </w:p>
    <w:p w14:paraId="7619FD33">
      <w:pPr>
        <w:numPr>
          <w:ilvl w:val="3"/>
          <w:numId w:val="1"/>
        </w:numPr>
        <w:spacing w:before="120" w:after="120" w:line="360" w:lineRule="auto"/>
        <w:ind w:left="851" w:firstLine="0"/>
        <w:outlineLvl w:val="3"/>
        <w:rPr>
          <w:rFonts w:ascii="宋体" w:hAnsi="宋体" w:cs="宋体"/>
          <w:b/>
          <w:bCs/>
          <w:sz w:val="24"/>
          <w:szCs w:val="24"/>
        </w:rPr>
      </w:pPr>
      <w:r>
        <w:rPr>
          <w:rFonts w:hint="eastAsia" w:ascii="宋体" w:hAnsi="宋体" w:cs="宋体"/>
          <w:b/>
          <w:bCs/>
          <w:sz w:val="24"/>
          <w:szCs w:val="24"/>
        </w:rPr>
        <w:t>一站式客户服务模块</w:t>
      </w:r>
    </w:p>
    <w:p w14:paraId="5E138EED">
      <w:pPr>
        <w:spacing w:line="360" w:lineRule="auto"/>
        <w:ind w:firstLine="480" w:firstLineChars="200"/>
        <w:rPr>
          <w:rFonts w:ascii="宋体" w:hAnsi="宋体" w:cs="宋体"/>
          <w:sz w:val="24"/>
          <w:szCs w:val="24"/>
        </w:rPr>
      </w:pPr>
      <w:r>
        <w:rPr>
          <w:rFonts w:hint="eastAsia" w:ascii="宋体" w:hAnsi="宋体" w:cs="宋体"/>
          <w:sz w:val="24"/>
          <w:szCs w:val="24"/>
        </w:rPr>
        <w:t>构建一站式客户服务模块：建设检务信息公开模块，发布我所业务信息和工作动态；建设客户注册与登录模块，通过与客户管理模块关联，建立客服系统登陆台账；建设网上委托服务模块，为客户提供网上预约服务；建设分包确认模块，为客户提供在线分包确认服务；建设缴费管理模块，客户可在线查看委托单的缴费情况并支持上传汇款凭证；建设开票管理模块，支持在线开票；建设智能客服咨询模块，通过智能客服机器人自动解答客户常见问题；建设便捷进度查询模块，实时查询样品和报告的进度；建设服务消息推送模块，系统自动为用户推送消息；建设报告跟踪/下载模块，支持电子报告下载和纸质报告快递物流跟踪查询；建设满意度评价管理模块，支持用户填写满意度与投诉意见并反馈结果；建设报告真伪查询模块，提供多种报告真伪查询服务；建设增值数据服务，提供与客户有关的数据分析成果；建设客户服务小程序模块，为客户提供掌上办公业务功能。</w:t>
      </w:r>
    </w:p>
    <w:p w14:paraId="2F5F0E9D">
      <w:pPr>
        <w:numPr>
          <w:ilvl w:val="2"/>
          <w:numId w:val="1"/>
        </w:numPr>
        <w:spacing w:before="120" w:after="120" w:line="360" w:lineRule="auto"/>
        <w:ind w:firstLine="0"/>
        <w:outlineLvl w:val="2"/>
        <w:rPr>
          <w:rFonts w:ascii="宋体" w:hAnsi="宋体" w:cs="宋体"/>
          <w:b/>
          <w:bCs/>
          <w:sz w:val="24"/>
          <w:szCs w:val="24"/>
        </w:rPr>
      </w:pPr>
      <w:r>
        <w:rPr>
          <w:rFonts w:hint="eastAsia" w:ascii="宋体" w:hAnsi="宋体" w:cs="宋体"/>
          <w:b/>
          <w:bCs/>
          <w:sz w:val="24"/>
          <w:szCs w:val="24"/>
        </w:rPr>
        <w:t>检测管理子系统</w:t>
      </w:r>
    </w:p>
    <w:p w14:paraId="6CC061D1">
      <w:pPr>
        <w:numPr>
          <w:ilvl w:val="3"/>
          <w:numId w:val="1"/>
        </w:numPr>
        <w:spacing w:before="120" w:after="120" w:line="360" w:lineRule="auto"/>
        <w:ind w:left="851" w:firstLine="0"/>
        <w:outlineLvl w:val="3"/>
        <w:rPr>
          <w:rFonts w:ascii="宋体" w:hAnsi="宋体" w:cs="宋体"/>
          <w:b/>
          <w:bCs/>
          <w:sz w:val="24"/>
          <w:szCs w:val="24"/>
        </w:rPr>
      </w:pPr>
      <w:r>
        <w:rPr>
          <w:rFonts w:hint="eastAsia" w:ascii="宋体" w:hAnsi="宋体" w:cs="宋体"/>
          <w:b/>
          <w:bCs/>
          <w:sz w:val="24"/>
          <w:szCs w:val="24"/>
        </w:rPr>
        <w:t>业务受理模块</w:t>
      </w:r>
    </w:p>
    <w:p w14:paraId="2B758564">
      <w:pPr>
        <w:spacing w:line="360" w:lineRule="auto"/>
        <w:ind w:firstLine="480" w:firstLineChars="200"/>
        <w:rPr>
          <w:rFonts w:ascii="宋体" w:hAnsi="宋体" w:cs="宋体"/>
          <w:sz w:val="24"/>
          <w:szCs w:val="24"/>
        </w:rPr>
      </w:pPr>
      <w:r>
        <w:rPr>
          <w:rFonts w:hint="eastAsia" w:ascii="宋体" w:hAnsi="宋体" w:cs="宋体"/>
          <w:sz w:val="24"/>
          <w:szCs w:val="24"/>
        </w:rPr>
        <w:t>构建以客户为中心的业务受理模块，建设的二级模块如下：</w:t>
      </w:r>
    </w:p>
    <w:p w14:paraId="568B078C">
      <w:pPr>
        <w:spacing w:line="360" w:lineRule="auto"/>
        <w:ind w:firstLine="480" w:firstLineChars="200"/>
        <w:rPr>
          <w:rFonts w:ascii="宋体" w:hAnsi="宋体" w:cs="宋体"/>
          <w:sz w:val="24"/>
          <w:szCs w:val="24"/>
        </w:rPr>
      </w:pPr>
      <w:r>
        <w:rPr>
          <w:rFonts w:hint="eastAsia" w:ascii="宋体" w:hAnsi="宋体" w:cs="宋体"/>
          <w:sz w:val="24"/>
          <w:szCs w:val="24"/>
        </w:rPr>
        <w:t>建设客户管理模块，对客户信息进行维护和完善；建设合同管理模块，对合同的审批流程、变更、电子签章、查询进行管理；建设到账管理模块，实现银行到账信息模板导入以及到账信息发布功能；建设开票管理模块，实现系统开票管理。</w:t>
      </w:r>
    </w:p>
    <w:p w14:paraId="2EAD64DF">
      <w:pPr>
        <w:numPr>
          <w:ilvl w:val="3"/>
          <w:numId w:val="1"/>
        </w:numPr>
        <w:spacing w:before="120" w:after="120" w:line="360" w:lineRule="auto"/>
        <w:ind w:left="851" w:firstLine="0"/>
        <w:outlineLvl w:val="3"/>
        <w:rPr>
          <w:rFonts w:ascii="宋体" w:hAnsi="宋体" w:cs="宋体"/>
          <w:b/>
          <w:bCs/>
          <w:sz w:val="24"/>
          <w:szCs w:val="24"/>
        </w:rPr>
      </w:pPr>
      <w:r>
        <w:rPr>
          <w:rFonts w:hint="eastAsia" w:ascii="宋体" w:hAnsi="宋体" w:cs="宋体"/>
          <w:b/>
          <w:bCs/>
          <w:sz w:val="24"/>
          <w:szCs w:val="24"/>
        </w:rPr>
        <w:t>智慧检验检测模块</w:t>
      </w:r>
    </w:p>
    <w:p w14:paraId="4D037EC6">
      <w:pPr>
        <w:spacing w:line="360" w:lineRule="auto"/>
        <w:ind w:firstLine="480" w:firstLineChars="200"/>
        <w:rPr>
          <w:rFonts w:ascii="宋体" w:hAnsi="宋体" w:cs="宋体"/>
          <w:sz w:val="24"/>
          <w:szCs w:val="24"/>
        </w:rPr>
      </w:pPr>
      <w:r>
        <w:rPr>
          <w:rFonts w:hint="eastAsia" w:ascii="宋体" w:hAnsi="宋体" w:cs="宋体"/>
          <w:sz w:val="24"/>
          <w:szCs w:val="24"/>
        </w:rPr>
        <w:t>构建智慧检验检测模块，建设的二级模块如下：</w:t>
      </w:r>
    </w:p>
    <w:p w14:paraId="1A2361E0">
      <w:pPr>
        <w:spacing w:line="360" w:lineRule="auto"/>
        <w:ind w:firstLine="480" w:firstLineChars="200"/>
        <w:rPr>
          <w:rFonts w:ascii="宋体" w:hAnsi="宋体" w:cs="宋体"/>
          <w:sz w:val="24"/>
          <w:szCs w:val="24"/>
        </w:rPr>
      </w:pPr>
      <w:r>
        <w:rPr>
          <w:rFonts w:hint="eastAsia" w:ascii="宋体" w:hAnsi="宋体" w:cs="宋体"/>
          <w:sz w:val="24"/>
          <w:szCs w:val="24"/>
        </w:rPr>
        <w:t>建设检测业务流程管理模块，满足对流通快检任务，国抽、市抽任务、企业送检和委托检验检测业务的全流程管理；建设样品全生命周期管理模块，支持对样品全生命周期（样品的接收、出入库、流转、留样、到期提醒、销毁）进行管理；建设仪器数据采集管理模块，实现仪器数据的自动采集；建设ELN电子原始记录模块，实现原始记录的无纸化，实现复杂的非格式数据的电子化。</w:t>
      </w:r>
    </w:p>
    <w:p w14:paraId="5A6E9016">
      <w:pPr>
        <w:numPr>
          <w:ilvl w:val="3"/>
          <w:numId w:val="1"/>
        </w:numPr>
        <w:spacing w:before="120" w:after="120" w:line="360" w:lineRule="auto"/>
        <w:ind w:left="851" w:firstLine="0"/>
        <w:outlineLvl w:val="3"/>
        <w:rPr>
          <w:rFonts w:ascii="宋体" w:hAnsi="宋体" w:cs="宋体"/>
          <w:b/>
          <w:bCs/>
          <w:sz w:val="24"/>
          <w:szCs w:val="24"/>
        </w:rPr>
      </w:pPr>
      <w:r>
        <w:rPr>
          <w:rFonts w:hint="eastAsia" w:ascii="宋体" w:hAnsi="宋体" w:cs="宋体"/>
          <w:b/>
          <w:bCs/>
          <w:sz w:val="24"/>
          <w:szCs w:val="24"/>
        </w:rPr>
        <w:t>仪器自动采集和ELN模块</w:t>
      </w:r>
    </w:p>
    <w:p w14:paraId="5E9A814B">
      <w:pPr>
        <w:spacing w:line="360" w:lineRule="auto"/>
        <w:ind w:firstLine="480" w:firstLineChars="200"/>
        <w:rPr>
          <w:rFonts w:ascii="宋体" w:hAnsi="宋体" w:cs="宋体"/>
          <w:sz w:val="24"/>
          <w:szCs w:val="24"/>
        </w:rPr>
      </w:pPr>
      <w:r>
        <w:rPr>
          <w:rFonts w:hint="eastAsia" w:ascii="宋体" w:hAnsi="宋体" w:cs="宋体"/>
          <w:sz w:val="24"/>
          <w:szCs w:val="24"/>
        </w:rPr>
        <w:t>构建仪器自动采集和ELN模块，对接核心检验检测设备，实现仪器数据自动采集，并将数据归集到对应的检测项目，建设的二级模块如下：</w:t>
      </w:r>
    </w:p>
    <w:p w14:paraId="685F0A43">
      <w:pPr>
        <w:spacing w:line="360" w:lineRule="auto"/>
        <w:ind w:firstLine="480" w:firstLineChars="200"/>
        <w:rPr>
          <w:rFonts w:ascii="宋体" w:hAnsi="宋体" w:cs="宋体"/>
          <w:sz w:val="24"/>
          <w:szCs w:val="24"/>
        </w:rPr>
      </w:pPr>
      <w:r>
        <w:rPr>
          <w:rFonts w:hint="eastAsia" w:ascii="宋体" w:hAnsi="宋体" w:cs="宋体"/>
          <w:sz w:val="24"/>
          <w:szCs w:val="24"/>
        </w:rPr>
        <w:t>建设仪器数据采集管理模块，包括串口类仪器和工作站类仪器数据采集模块；建设ELN电子原始记录模块，用于记录实验原始数据。</w:t>
      </w:r>
    </w:p>
    <w:p w14:paraId="21199B63">
      <w:pPr>
        <w:numPr>
          <w:ilvl w:val="3"/>
          <w:numId w:val="1"/>
        </w:numPr>
        <w:spacing w:before="120" w:after="120" w:line="360" w:lineRule="auto"/>
        <w:ind w:left="851" w:firstLine="0"/>
        <w:outlineLvl w:val="3"/>
        <w:rPr>
          <w:rFonts w:ascii="宋体" w:hAnsi="宋体" w:cs="宋体"/>
          <w:b/>
          <w:bCs/>
          <w:sz w:val="24"/>
          <w:szCs w:val="24"/>
        </w:rPr>
      </w:pPr>
      <w:r>
        <w:rPr>
          <w:rFonts w:hint="eastAsia" w:ascii="宋体" w:hAnsi="宋体" w:cs="宋体"/>
          <w:b/>
          <w:bCs/>
          <w:sz w:val="24"/>
          <w:szCs w:val="24"/>
        </w:rPr>
        <w:t>现场检测移动应用</w:t>
      </w:r>
    </w:p>
    <w:p w14:paraId="6E6ADFC8">
      <w:pPr>
        <w:spacing w:line="360" w:lineRule="auto"/>
        <w:ind w:firstLine="480" w:firstLineChars="200"/>
        <w:rPr>
          <w:rFonts w:ascii="宋体" w:hAnsi="宋体" w:cs="宋体"/>
          <w:sz w:val="24"/>
          <w:szCs w:val="24"/>
        </w:rPr>
      </w:pPr>
      <w:r>
        <w:rPr>
          <w:rFonts w:hint="eastAsia" w:ascii="宋体" w:hAnsi="宋体" w:cs="宋体"/>
          <w:sz w:val="24"/>
          <w:szCs w:val="24"/>
        </w:rPr>
        <w:t>构建现场检测移动应用，建设的二级模块如下：</w:t>
      </w:r>
    </w:p>
    <w:p w14:paraId="1517EC0D">
      <w:pPr>
        <w:spacing w:line="360" w:lineRule="auto"/>
        <w:ind w:firstLine="480" w:firstLineChars="200"/>
        <w:rPr>
          <w:rFonts w:ascii="宋体" w:hAnsi="宋体" w:cs="宋体"/>
          <w:sz w:val="24"/>
          <w:szCs w:val="24"/>
        </w:rPr>
      </w:pPr>
      <w:r>
        <w:rPr>
          <w:rFonts w:hint="eastAsia" w:ascii="宋体" w:hAnsi="宋体" w:cs="宋体"/>
          <w:sz w:val="24"/>
          <w:szCs w:val="24"/>
        </w:rPr>
        <w:t>建设现场采样/检测模块，包括移动端记录检测数据，自动生成ELN电子原始记录表等功能；建设悬浮粒子记录入模块，可扫描识别后生成EXCLE表单和PDF记录；建设微生物培养结果录入，可手工填写记录表，也可自动生成报告；建设现场检测电子原始记录模块，可在现场生成ELN电子原始记录表；建设现场检测结果审核，支持在线审核原始记录、现场拍摄照片等所有溯源信息。</w:t>
      </w:r>
    </w:p>
    <w:p w14:paraId="51C773E1">
      <w:pPr>
        <w:numPr>
          <w:ilvl w:val="3"/>
          <w:numId w:val="1"/>
        </w:numPr>
        <w:spacing w:before="120" w:after="120" w:line="360" w:lineRule="auto"/>
        <w:ind w:left="851" w:firstLine="0"/>
        <w:outlineLvl w:val="3"/>
        <w:rPr>
          <w:rFonts w:ascii="宋体" w:hAnsi="宋体" w:cs="宋体"/>
          <w:b/>
          <w:bCs/>
          <w:sz w:val="24"/>
          <w:szCs w:val="24"/>
        </w:rPr>
      </w:pPr>
      <w:r>
        <w:rPr>
          <w:rFonts w:hint="eastAsia" w:ascii="宋体" w:hAnsi="宋体" w:cs="宋体"/>
          <w:b/>
          <w:bCs/>
          <w:sz w:val="24"/>
          <w:szCs w:val="24"/>
        </w:rPr>
        <w:t>实验室资源管理模块</w:t>
      </w:r>
    </w:p>
    <w:p w14:paraId="6BB571AD">
      <w:pPr>
        <w:spacing w:line="360" w:lineRule="auto"/>
        <w:ind w:firstLine="480" w:firstLineChars="200"/>
        <w:rPr>
          <w:rFonts w:ascii="宋体" w:hAnsi="宋体" w:cs="宋体"/>
          <w:sz w:val="24"/>
          <w:szCs w:val="24"/>
        </w:rPr>
      </w:pPr>
      <w:r>
        <w:rPr>
          <w:rFonts w:hint="eastAsia" w:ascii="宋体" w:hAnsi="宋体" w:cs="宋体"/>
          <w:sz w:val="24"/>
          <w:szCs w:val="24"/>
        </w:rPr>
        <w:t>实现对人、机、料、法、环的管理，建设的二级模块如下：</w:t>
      </w:r>
    </w:p>
    <w:p w14:paraId="2AD6EC1D">
      <w:pPr>
        <w:spacing w:line="360" w:lineRule="auto"/>
        <w:ind w:firstLine="480" w:firstLineChars="200"/>
        <w:rPr>
          <w:rFonts w:ascii="宋体" w:hAnsi="宋体" w:cs="宋体"/>
          <w:sz w:val="24"/>
          <w:szCs w:val="24"/>
        </w:rPr>
      </w:pPr>
      <w:r>
        <w:rPr>
          <w:rFonts w:hint="eastAsia" w:ascii="宋体" w:hAnsi="宋体" w:cs="宋体"/>
          <w:sz w:val="24"/>
          <w:szCs w:val="24"/>
        </w:rPr>
        <w:t>建设人员管理，建立检测人员档案信息库并对人员的培训、考核等监测工作相关技能、组织等进行全过程管理；建立仪器设备管理，实现仪器设备台账管理、采购管理、设备计划事件管理、量值溯源管理、设备维修维护管理、设备借出与归还管理等；建设试剂耗材管理，记录试剂供应商等所有信息，提供试剂采购管理流程；建立标准物质管理，实现对全所标准物质和对照品、毒剧对照品的管理，并运用条形码实现查询、使用和借用、入库出库、领用等方面的全流程管理；建立标准溶液管理，实现对标准溶液信息的全面管理，以及配置、领域管理；建立采购与库存管理，实现采购计划制定审核管理、库存管理和出入库管理；建立培养基管理，包括配置、保存、使用、质量控制等管理；建立检测项目管理，实现对检测项目配套检测方法、资源、设备等内容的管理；建立检验方法依据管理，实现上传方法SOP操作手册、关联ELN原始记录等功能；建立评价标准管理，构建产品标准库，实现标准的结构化管理；建立环境管理，实现检测实验室环境温度、湿度、气压、记录时间管理和预警；建立供应商管理，实现供应商基本信息管理、供应商资质管理、供应商年度评审管理等功能；建立分包商管理和分包商档案，实现分包商信息管理、评审管理和统计分析等功能。</w:t>
      </w:r>
    </w:p>
    <w:p w14:paraId="122CEE87">
      <w:pPr>
        <w:numPr>
          <w:ilvl w:val="3"/>
          <w:numId w:val="1"/>
        </w:numPr>
        <w:spacing w:before="120" w:after="120" w:line="360" w:lineRule="auto"/>
        <w:ind w:left="851" w:firstLine="0"/>
        <w:outlineLvl w:val="3"/>
        <w:rPr>
          <w:rFonts w:ascii="宋体" w:hAnsi="宋体" w:cs="宋体"/>
          <w:b/>
          <w:bCs/>
          <w:sz w:val="24"/>
          <w:szCs w:val="24"/>
        </w:rPr>
      </w:pPr>
      <w:r>
        <w:rPr>
          <w:rFonts w:hint="eastAsia" w:ascii="宋体" w:hAnsi="宋体" w:cs="宋体"/>
          <w:b/>
          <w:bCs/>
          <w:sz w:val="24"/>
          <w:szCs w:val="24"/>
        </w:rPr>
        <w:t>实验室生物安全管理模块</w:t>
      </w:r>
    </w:p>
    <w:p w14:paraId="60C76A49">
      <w:pPr>
        <w:spacing w:line="360" w:lineRule="auto"/>
        <w:ind w:firstLine="480" w:firstLineChars="200"/>
        <w:rPr>
          <w:rFonts w:ascii="宋体" w:hAnsi="宋体" w:cs="宋体"/>
          <w:sz w:val="24"/>
          <w:szCs w:val="24"/>
        </w:rPr>
      </w:pPr>
      <w:r>
        <w:rPr>
          <w:rFonts w:hint="eastAsia" w:ascii="宋体" w:hAnsi="宋体" w:cs="宋体"/>
          <w:sz w:val="24"/>
          <w:szCs w:val="24"/>
        </w:rPr>
        <w:t>构建实验室生物安全管理模块，建设的二级模块如下：</w:t>
      </w:r>
    </w:p>
    <w:p w14:paraId="5D456A07">
      <w:pPr>
        <w:spacing w:line="360" w:lineRule="auto"/>
        <w:ind w:firstLine="480" w:firstLineChars="200"/>
        <w:rPr>
          <w:rFonts w:ascii="宋体" w:hAnsi="宋体" w:cs="宋体"/>
          <w:sz w:val="24"/>
          <w:szCs w:val="24"/>
        </w:rPr>
      </w:pPr>
      <w:r>
        <w:rPr>
          <w:rFonts w:hint="eastAsia" w:ascii="宋体" w:hAnsi="宋体" w:cs="宋体"/>
          <w:sz w:val="24"/>
          <w:szCs w:val="24"/>
        </w:rPr>
        <w:t>建设菌(毒)种管理模块，提供菌(毒)种库存、存储位置、入库、传代、复苏、领用、归还和销毁管理服务；建设毒理试验方案管理模块，实现动物试验方案编制、审核、批准全流程信息化管理；建设动物采购管理模块， 实现动物采购申请、审批管理；建设动物验收管理模块，完成动物验收的信息管理；建设饲料/垫料管理模块，实现动物饲料/垫料的采购、申请、审批管理；建设消毒记录管理模块，实现消毒记录信息管理；建设动物处置管理模块，实现动物处置的流程管理、记录管理、跟踪管理；建设危险材料运输管理模块，实现对危险材料的全程、可追溯管理； 建设生物安全设备管理模块，实现设备的台账管理、使用记录管理、全面跟踪生物安全设备运行及使用情况；建设应急演练管理模块，实现对生物安全的应急演练管理；建设事故报告管理模块，实现对实验室的事故进行闭环管理。</w:t>
      </w:r>
    </w:p>
    <w:p w14:paraId="4B0183E1">
      <w:pPr>
        <w:numPr>
          <w:ilvl w:val="2"/>
          <w:numId w:val="1"/>
        </w:numPr>
        <w:spacing w:before="120" w:after="120" w:line="360" w:lineRule="auto"/>
        <w:ind w:firstLine="0"/>
        <w:outlineLvl w:val="2"/>
        <w:rPr>
          <w:rFonts w:ascii="宋体" w:hAnsi="宋体" w:cs="宋体"/>
          <w:b/>
          <w:bCs/>
          <w:sz w:val="24"/>
          <w:szCs w:val="24"/>
        </w:rPr>
      </w:pPr>
      <w:r>
        <w:rPr>
          <w:rFonts w:hint="eastAsia" w:ascii="宋体" w:hAnsi="宋体" w:cs="宋体"/>
          <w:b/>
          <w:bCs/>
          <w:sz w:val="24"/>
          <w:szCs w:val="24"/>
        </w:rPr>
        <w:t>标准数据服务子系统</w:t>
      </w:r>
    </w:p>
    <w:p w14:paraId="142D39D0">
      <w:pPr>
        <w:spacing w:line="360" w:lineRule="auto"/>
        <w:ind w:firstLine="480" w:firstLineChars="200"/>
        <w:rPr>
          <w:rFonts w:ascii="宋体" w:hAnsi="宋体" w:cs="宋体"/>
          <w:sz w:val="24"/>
          <w:szCs w:val="24"/>
        </w:rPr>
      </w:pPr>
      <w:r>
        <w:rPr>
          <w:rFonts w:hint="eastAsia" w:ascii="宋体" w:hAnsi="宋体" w:cs="宋体"/>
          <w:sz w:val="24"/>
          <w:szCs w:val="24"/>
        </w:rPr>
        <w:t>建设标准查阅模块，提供标准电子版在线查看服务；建设指标值查阅模块，提供指标值查阅服务；建设标准查新模块，系统支持自动根据检测能力范围进行标准查新及推送；建设标准比对模块，支持进行标准文件内容以及指标值的比对；建设双平台应用实现模块，支持在微信小程序与PC端进行访问。</w:t>
      </w:r>
    </w:p>
    <w:p w14:paraId="260FA9B2">
      <w:pPr>
        <w:numPr>
          <w:ilvl w:val="2"/>
          <w:numId w:val="1"/>
        </w:numPr>
        <w:spacing w:before="120" w:after="120" w:line="360" w:lineRule="auto"/>
        <w:ind w:firstLine="0"/>
        <w:outlineLvl w:val="2"/>
        <w:rPr>
          <w:rFonts w:ascii="宋体" w:hAnsi="宋体" w:cs="宋体"/>
          <w:b/>
          <w:bCs/>
          <w:sz w:val="24"/>
          <w:szCs w:val="24"/>
        </w:rPr>
      </w:pPr>
      <w:r>
        <w:rPr>
          <w:rFonts w:hint="eastAsia" w:ascii="宋体" w:hAnsi="宋体" w:cs="宋体"/>
          <w:b/>
          <w:bCs/>
          <w:sz w:val="24"/>
          <w:szCs w:val="24"/>
        </w:rPr>
        <w:t>数据应用与挖掘子系统</w:t>
      </w:r>
    </w:p>
    <w:p w14:paraId="41EDCFEE">
      <w:pPr>
        <w:spacing w:line="360" w:lineRule="auto"/>
        <w:ind w:firstLine="480" w:firstLineChars="200"/>
        <w:rPr>
          <w:rFonts w:ascii="宋体" w:hAnsi="宋体" w:cs="宋体"/>
          <w:sz w:val="24"/>
          <w:szCs w:val="24"/>
        </w:rPr>
      </w:pPr>
      <w:r>
        <w:rPr>
          <w:rFonts w:hint="eastAsia" w:ascii="宋体" w:hAnsi="宋体" w:cs="宋体"/>
          <w:sz w:val="24"/>
          <w:szCs w:val="24"/>
        </w:rPr>
        <w:t>构建数据应用与挖掘子系统：建设业务数据自主查询模块，实现各类资源以及相关信息的查询与统计；建设运营统计多维分析模块，自动生成所日常的统计报表，并支持用户自定义统计报表生成；建设可视化数据驾驶舱模块，建立多维度主题驾驶舱，为高层管理者提供辅助决策功能；建设智慧监测、风险预警模块，支持根据检测结果进行统计分析并图表显示，并支持异常数据警示，实现对特定品种、特定项目的风险预警。</w:t>
      </w:r>
    </w:p>
    <w:p w14:paraId="5B4EB520">
      <w:pPr>
        <w:numPr>
          <w:ilvl w:val="2"/>
          <w:numId w:val="1"/>
        </w:numPr>
        <w:spacing w:before="120" w:after="120" w:line="360" w:lineRule="auto"/>
        <w:ind w:firstLine="0"/>
        <w:outlineLvl w:val="2"/>
        <w:rPr>
          <w:rFonts w:ascii="宋体" w:hAnsi="宋体" w:cs="宋体"/>
          <w:b/>
          <w:bCs/>
          <w:sz w:val="24"/>
          <w:szCs w:val="24"/>
        </w:rPr>
      </w:pPr>
      <w:r>
        <w:rPr>
          <w:rFonts w:hint="eastAsia" w:ascii="宋体" w:hAnsi="宋体" w:cs="宋体"/>
          <w:b/>
          <w:bCs/>
          <w:sz w:val="24"/>
          <w:szCs w:val="24"/>
        </w:rPr>
        <w:t>统一接口管理</w:t>
      </w:r>
    </w:p>
    <w:p w14:paraId="75877A64">
      <w:pPr>
        <w:numPr>
          <w:ilvl w:val="3"/>
          <w:numId w:val="1"/>
        </w:numPr>
        <w:spacing w:before="120" w:after="120" w:line="360" w:lineRule="auto"/>
        <w:ind w:left="851" w:firstLine="0"/>
        <w:outlineLvl w:val="3"/>
        <w:rPr>
          <w:rFonts w:ascii="宋体" w:hAnsi="宋体" w:cs="宋体"/>
          <w:b/>
          <w:bCs/>
          <w:sz w:val="24"/>
          <w:szCs w:val="24"/>
        </w:rPr>
      </w:pPr>
      <w:r>
        <w:rPr>
          <w:rFonts w:hint="eastAsia" w:ascii="宋体" w:hAnsi="宋体" w:cs="宋体"/>
          <w:b/>
          <w:bCs/>
          <w:sz w:val="24"/>
          <w:szCs w:val="24"/>
        </w:rPr>
        <w:t>数据共享与系统集成</w:t>
      </w:r>
    </w:p>
    <w:p w14:paraId="696F5280">
      <w:pPr>
        <w:spacing w:line="360" w:lineRule="auto"/>
        <w:ind w:firstLine="480" w:firstLineChars="200"/>
        <w:rPr>
          <w:rFonts w:ascii="宋体" w:hAnsi="宋体" w:cs="宋体"/>
          <w:sz w:val="24"/>
          <w:szCs w:val="24"/>
        </w:rPr>
      </w:pPr>
      <w:r>
        <w:rPr>
          <w:rFonts w:hint="eastAsia" w:ascii="宋体" w:hAnsi="宋体" w:cs="宋体"/>
          <w:sz w:val="24"/>
          <w:szCs w:val="24"/>
        </w:rPr>
        <w:t xml:space="preserve">实现数据共享与系统集成：建设对接药品国抽系统模块，对接药品国抽系统，获取药品国抽系统样品及检测等信息数据，并推送药品检测结果信息到药品国抽系统；建设与上海市药品监督管理局数据中心的对接，实现与市药监局的数据共享，包括市抽样检测系统样品及检测等信息数据的获取和药品检测结果信息上传，以及质量分析结果、电子检验报告、科研项目情况等数据的上传，以及企业许可数据、监管数据、抽检数据等数据的下行应用；建设CA系统集成模块，支持CA电子签章基础数据同步、开发调用电子签名接口、开发调用电子签章接口、开发调用电子报告真伪验证接口、集成测试与验证；建设与物流平台对接模块，登记客户报告、返还样品的邮寄快递单号，客户通过一站式客户服务模块可查看报告或样品邮寄单号、进度列表、以及进度详情等信息。 </w:t>
      </w:r>
    </w:p>
    <w:p w14:paraId="6EBCE239">
      <w:pPr>
        <w:spacing w:line="360" w:lineRule="auto"/>
        <w:ind w:firstLine="480" w:firstLineChars="200"/>
        <w:rPr>
          <w:rFonts w:ascii="宋体" w:hAnsi="宋体" w:cs="宋体"/>
          <w:sz w:val="24"/>
          <w:szCs w:val="24"/>
        </w:rPr>
      </w:pPr>
    </w:p>
    <w:p w14:paraId="5F3F89DC">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系统架构图</w:t>
      </w:r>
    </w:p>
    <w:p w14:paraId="23989F28">
      <w:pPr>
        <w:spacing w:line="360" w:lineRule="auto"/>
        <w:rPr>
          <w:rFonts w:ascii="宋体" w:hAnsi="宋体" w:cs="宋体"/>
          <w:sz w:val="24"/>
          <w:szCs w:val="24"/>
        </w:rPr>
      </w:pPr>
      <w:r>
        <w:rPr>
          <w:rFonts w:hint="eastAsia" w:ascii="宋体" w:hAnsi="宋体" w:cs="宋体"/>
          <w:sz w:val="24"/>
          <w:szCs w:val="24"/>
        </w:rPr>
        <w:drawing>
          <wp:inline distT="0" distB="0" distL="114300" distR="114300">
            <wp:extent cx="5277485" cy="4992370"/>
            <wp:effectExtent l="0" t="0" r="18415" b="1778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5277485" cy="4992370"/>
                    </a:xfrm>
                    <a:prstGeom prst="rect">
                      <a:avLst/>
                    </a:prstGeom>
                    <a:noFill/>
                    <a:ln>
                      <a:noFill/>
                    </a:ln>
                  </pic:spPr>
                </pic:pic>
              </a:graphicData>
            </a:graphic>
          </wp:inline>
        </w:drawing>
      </w:r>
    </w:p>
    <w:p w14:paraId="311E7A07">
      <w:pPr>
        <w:spacing w:line="360" w:lineRule="auto"/>
        <w:ind w:firstLine="480" w:firstLineChars="200"/>
        <w:rPr>
          <w:rFonts w:ascii="宋体" w:hAnsi="宋体" w:cs="宋体"/>
          <w:sz w:val="24"/>
          <w:szCs w:val="24"/>
        </w:rPr>
      </w:pPr>
      <w:r>
        <w:rPr>
          <w:rFonts w:hint="eastAsia" w:ascii="宋体" w:hAnsi="宋体" w:cs="宋体"/>
          <w:sz w:val="24"/>
          <w:szCs w:val="24"/>
        </w:rPr>
        <w:t>基础设施层：基于上海市政务云所提供的云服务目录，复用政务云服务器及相关软硬件资源，以及复用云平台VPN服务，并新建上海市包材所内部网络系统，安全保证系统，以实现仪器设备、环境条件自动采集，安全监管。</w:t>
      </w:r>
    </w:p>
    <w:p w14:paraId="793C36BB">
      <w:pPr>
        <w:spacing w:line="360" w:lineRule="auto"/>
        <w:ind w:firstLine="480" w:firstLineChars="200"/>
        <w:rPr>
          <w:rFonts w:ascii="宋体" w:hAnsi="宋体" w:cs="宋体"/>
          <w:sz w:val="24"/>
          <w:szCs w:val="24"/>
        </w:rPr>
      </w:pPr>
      <w:r>
        <w:rPr>
          <w:rFonts w:hint="eastAsia" w:ascii="宋体" w:hAnsi="宋体" w:cs="宋体"/>
          <w:sz w:val="24"/>
          <w:szCs w:val="24"/>
        </w:rPr>
        <w:t>数据层：主要由数据库系统组成，适配国产化数据库（如达梦等），构建包括标准数据库、代码数据库、检测能力数据库、检测业务数据。该层提供数据存储和管理、资源访问的机制，为通过数据总线为上层应用提供数据及资源服务。</w:t>
      </w:r>
    </w:p>
    <w:p w14:paraId="160C9C1F">
      <w:pPr>
        <w:spacing w:line="360" w:lineRule="auto"/>
        <w:ind w:firstLine="480" w:firstLineChars="200"/>
        <w:rPr>
          <w:rFonts w:ascii="宋体" w:hAnsi="宋体" w:cs="宋体"/>
          <w:sz w:val="24"/>
          <w:szCs w:val="24"/>
        </w:rPr>
      </w:pPr>
      <w:r>
        <w:rPr>
          <w:rFonts w:hint="eastAsia" w:ascii="宋体" w:hAnsi="宋体" w:cs="宋体"/>
          <w:sz w:val="24"/>
          <w:szCs w:val="24"/>
        </w:rPr>
        <w:t>应用支撑层：是连接基础设施和应用系统的桥梁，以构建系统运行技术平台为核心。实现应用服务器、操作系统（适配国产化，如麒麟OS、统信OS等）、中间件技术（适配国产化，如东方通等），部署测试环境、上线环境。是实现应用系统之间、应用系统与其他平台之间进行信息交换、传输的核心。核心是使用微服务架构，易于开发和维护、业务清晰、代码量少、单个服务启动快、局部修改易部署、技术栈不受限、按需收缩；容器化部署，在业务量高峰期，满足弹性扩容需求。</w:t>
      </w:r>
    </w:p>
    <w:p w14:paraId="7CCE1239">
      <w:pPr>
        <w:spacing w:line="360" w:lineRule="auto"/>
        <w:ind w:firstLine="480" w:firstLineChars="200"/>
        <w:rPr>
          <w:rFonts w:ascii="宋体" w:hAnsi="宋体" w:cs="宋体"/>
          <w:sz w:val="24"/>
          <w:szCs w:val="24"/>
        </w:rPr>
      </w:pPr>
      <w:r>
        <w:rPr>
          <w:rFonts w:hint="eastAsia" w:ascii="宋体" w:hAnsi="宋体" w:cs="宋体"/>
          <w:sz w:val="24"/>
          <w:szCs w:val="24"/>
        </w:rPr>
        <w:t>应用层：是用户直接使用的与业务有关的各系统集合，是系统的业务逻辑处理层，也是系统的核心。构建在的应用支撑层之上，主要的业务应用包括：客户服务子系统、检测管理子系统、标准数据服务子系统、数据应用与挖掘子系统等。此应用服务层可以专注于业务逻辑的设计，并通过综合集成管理平台实现对各子平台的交互整合。</w:t>
      </w:r>
    </w:p>
    <w:p w14:paraId="089E010F">
      <w:pPr>
        <w:spacing w:line="360" w:lineRule="auto"/>
        <w:ind w:firstLine="480" w:firstLineChars="200"/>
        <w:rPr>
          <w:rFonts w:ascii="宋体" w:hAnsi="宋体" w:cs="宋体"/>
          <w:sz w:val="24"/>
          <w:szCs w:val="24"/>
        </w:rPr>
      </w:pPr>
      <w:r>
        <w:rPr>
          <w:rFonts w:hint="eastAsia" w:ascii="宋体" w:hAnsi="宋体" w:cs="宋体"/>
          <w:sz w:val="24"/>
          <w:szCs w:val="24"/>
        </w:rPr>
        <w:t>访问层：系统输出展示设备包含PC电脑、移动手机以及PDA设备、平板电脑、可视化展示大平，是用户访问信息系统的第一门户，是数据应用、数据服务的主要载体。</w:t>
      </w:r>
    </w:p>
    <w:p w14:paraId="309B42BD">
      <w:pPr>
        <w:spacing w:line="360" w:lineRule="auto"/>
        <w:rPr>
          <w:rFonts w:ascii="宋体" w:hAnsi="宋体" w:cs="宋体"/>
          <w:sz w:val="24"/>
          <w:szCs w:val="24"/>
        </w:rPr>
      </w:pPr>
    </w:p>
    <w:p w14:paraId="4F5C1F88">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部署环境和网络拓扑</w:t>
      </w:r>
    </w:p>
    <w:p w14:paraId="1C327A34">
      <w:pPr>
        <w:spacing w:line="360" w:lineRule="auto"/>
        <w:ind w:firstLine="480" w:firstLineChars="200"/>
        <w:rPr>
          <w:rFonts w:ascii="宋体" w:hAnsi="宋体" w:cs="宋体"/>
          <w:sz w:val="24"/>
          <w:szCs w:val="24"/>
        </w:rPr>
      </w:pPr>
      <w:r>
        <w:rPr>
          <w:rFonts w:hint="eastAsia" w:ascii="宋体" w:hAnsi="宋体" w:cs="宋体"/>
          <w:sz w:val="24"/>
          <w:szCs w:val="24"/>
        </w:rPr>
        <w:t>上海市电子政务云平台分为政务外网区域和互联网区域，分别面向政府部门和企业公众提供访问，两个区域之间通过安全隔离设备实现逻辑隔离。本项目应用系统根据业务访问需求分别部署在政务外网区域和互联网区域。</w:t>
      </w:r>
    </w:p>
    <w:p w14:paraId="5786CF8B">
      <w:pPr>
        <w:spacing w:line="360" w:lineRule="auto"/>
        <w:rPr>
          <w:rFonts w:ascii="宋体" w:hAnsi="宋体" w:cs="宋体"/>
          <w:sz w:val="24"/>
          <w:szCs w:val="24"/>
        </w:rPr>
      </w:pPr>
      <w:r>
        <w:rPr>
          <w:rFonts w:hint="eastAsia" w:ascii="宋体" w:hAnsi="宋体" w:cs="宋体"/>
          <w:sz w:val="24"/>
          <w:szCs w:val="24"/>
        </w:rPr>
        <w:drawing>
          <wp:inline distT="0" distB="0" distL="114300" distR="114300">
            <wp:extent cx="5271770" cy="2488565"/>
            <wp:effectExtent l="0" t="0" r="5080" b="698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71770" cy="2488565"/>
                    </a:xfrm>
                    <a:prstGeom prst="rect">
                      <a:avLst/>
                    </a:prstGeom>
                    <a:noFill/>
                    <a:ln>
                      <a:noFill/>
                    </a:ln>
                  </pic:spPr>
                </pic:pic>
              </a:graphicData>
            </a:graphic>
          </wp:inline>
        </w:drawing>
      </w:r>
    </w:p>
    <w:p w14:paraId="69D4D93E">
      <w:pPr>
        <w:spacing w:line="360" w:lineRule="auto"/>
        <w:ind w:firstLine="480" w:firstLineChars="200"/>
        <w:rPr>
          <w:rFonts w:ascii="宋体" w:hAnsi="宋体" w:cs="宋体"/>
          <w:sz w:val="24"/>
          <w:szCs w:val="24"/>
        </w:rPr>
      </w:pPr>
    </w:p>
    <w:p w14:paraId="259EFFE2">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技术指标</w:t>
      </w:r>
    </w:p>
    <w:p w14:paraId="5FCB4B34">
      <w:pPr>
        <w:spacing w:line="360" w:lineRule="auto"/>
        <w:ind w:firstLine="480" w:firstLineChars="200"/>
        <w:rPr>
          <w:rFonts w:ascii="宋体" w:hAnsi="宋体" w:cs="宋体"/>
          <w:sz w:val="24"/>
          <w:szCs w:val="24"/>
        </w:rPr>
      </w:pPr>
      <w:r>
        <w:rPr>
          <w:rFonts w:hint="eastAsia" w:ascii="宋体" w:hAnsi="宋体" w:cs="宋体"/>
          <w:sz w:val="24"/>
          <w:szCs w:val="24"/>
        </w:rPr>
        <w:t>1、交互类业务：基础业务操作增删改查响应时间＜1秒；其他业务操作平均响应时间＜2秒，峰值响应时间＜5秒。</w:t>
      </w:r>
    </w:p>
    <w:p w14:paraId="1510FC62">
      <w:pPr>
        <w:spacing w:line="360" w:lineRule="auto"/>
        <w:ind w:firstLine="480" w:firstLineChars="200"/>
        <w:rPr>
          <w:rFonts w:ascii="宋体" w:hAnsi="宋体" w:cs="宋体"/>
          <w:sz w:val="24"/>
          <w:szCs w:val="24"/>
        </w:rPr>
      </w:pPr>
      <w:r>
        <w:rPr>
          <w:rFonts w:hint="eastAsia" w:ascii="宋体" w:hAnsi="宋体" w:cs="宋体"/>
          <w:sz w:val="24"/>
          <w:szCs w:val="24"/>
        </w:rPr>
        <w:t>2、统计查询类业务：简单查询平均响应时间0-3秒；复杂查询平均响应时间3-10秒；最大样本量时数据查询时间不超过1分钟，超时应友好提示。</w:t>
      </w:r>
    </w:p>
    <w:p w14:paraId="47AF040F">
      <w:pPr>
        <w:spacing w:line="360" w:lineRule="auto"/>
        <w:ind w:firstLine="480" w:firstLineChars="200"/>
        <w:rPr>
          <w:rFonts w:ascii="宋体" w:hAnsi="宋体" w:cs="宋体"/>
          <w:sz w:val="24"/>
          <w:szCs w:val="24"/>
        </w:rPr>
      </w:pPr>
      <w:r>
        <w:rPr>
          <w:rFonts w:hint="eastAsia" w:ascii="宋体" w:hAnsi="宋体" w:cs="宋体"/>
          <w:sz w:val="24"/>
          <w:szCs w:val="24"/>
        </w:rPr>
        <w:t>3、支持同时在线用户数≥70；并发用户数≥30。</w:t>
      </w:r>
    </w:p>
    <w:p w14:paraId="203B7FBA">
      <w:pPr>
        <w:snapToGrid w:val="0"/>
        <w:spacing w:line="440" w:lineRule="exact"/>
        <w:ind w:firstLine="482" w:firstLineChars="200"/>
        <w:jc w:val="left"/>
        <w:rPr>
          <w:rFonts w:ascii="宋体" w:hAnsi="宋体" w:cs="宋体"/>
          <w:b/>
          <w:sz w:val="24"/>
          <w:szCs w:val="24"/>
        </w:rPr>
      </w:pPr>
    </w:p>
    <w:p w14:paraId="259FD8F7">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软件开发清单</w:t>
      </w:r>
    </w:p>
    <w:tbl>
      <w:tblPr>
        <w:tblStyle w:val="5"/>
        <w:tblW w:w="0" w:type="auto"/>
        <w:tblInd w:w="0" w:type="dxa"/>
        <w:tblLayout w:type="fixed"/>
        <w:tblCellMar>
          <w:top w:w="0" w:type="dxa"/>
          <w:left w:w="108" w:type="dxa"/>
          <w:bottom w:w="0" w:type="dxa"/>
          <w:right w:w="108" w:type="dxa"/>
        </w:tblCellMar>
      </w:tblPr>
      <w:tblGrid>
        <w:gridCol w:w="638"/>
        <w:gridCol w:w="1580"/>
        <w:gridCol w:w="1673"/>
        <w:gridCol w:w="4401"/>
      </w:tblGrid>
      <w:tr w14:paraId="105D47BD">
        <w:tblPrEx>
          <w:tblCellMar>
            <w:top w:w="0" w:type="dxa"/>
            <w:left w:w="108" w:type="dxa"/>
            <w:bottom w:w="0" w:type="dxa"/>
            <w:right w:w="108" w:type="dxa"/>
          </w:tblCellMar>
        </w:tblPrEx>
        <w:trPr>
          <w:trHeight w:val="20" w:hRule="atLeast"/>
        </w:trPr>
        <w:tc>
          <w:tcPr>
            <w:tcW w:w="638" w:type="dxa"/>
            <w:tcBorders>
              <w:top w:val="single" w:color="auto" w:sz="8" w:space="0"/>
              <w:left w:val="single" w:color="auto" w:sz="8" w:space="0"/>
              <w:bottom w:val="single" w:color="auto" w:sz="8" w:space="0"/>
              <w:right w:val="single" w:color="auto" w:sz="8" w:space="0"/>
            </w:tcBorders>
            <w:shd w:val="clear" w:color="000000" w:fill="F3F8FC"/>
            <w:noWrap/>
            <w:vAlign w:val="center"/>
          </w:tcPr>
          <w:p w14:paraId="00533FC5">
            <w:pPr>
              <w:jc w:val="center"/>
              <w:rPr>
                <w:rFonts w:ascii="宋体" w:hAnsi="宋体" w:cs="宋体"/>
                <w:b/>
                <w:bCs/>
                <w:color w:val="000000"/>
                <w:kern w:val="0"/>
                <w:sz w:val="24"/>
                <w:szCs w:val="24"/>
              </w:rPr>
            </w:pPr>
            <w:r>
              <w:rPr>
                <w:rFonts w:hint="eastAsia" w:ascii="宋体" w:hAnsi="宋体" w:cs="宋体"/>
                <w:b/>
                <w:bCs/>
                <w:color w:val="000000"/>
                <w:kern w:val="0"/>
                <w:sz w:val="24"/>
                <w:szCs w:val="24"/>
              </w:rPr>
              <w:t>序号</w:t>
            </w:r>
          </w:p>
        </w:tc>
        <w:tc>
          <w:tcPr>
            <w:tcW w:w="1580" w:type="dxa"/>
            <w:tcBorders>
              <w:top w:val="single" w:color="auto" w:sz="8" w:space="0"/>
              <w:left w:val="nil"/>
              <w:bottom w:val="single" w:color="auto" w:sz="8" w:space="0"/>
              <w:right w:val="single" w:color="auto" w:sz="8" w:space="0"/>
            </w:tcBorders>
            <w:shd w:val="clear" w:color="000000" w:fill="F3F8FC"/>
            <w:noWrap/>
            <w:vAlign w:val="center"/>
          </w:tcPr>
          <w:p w14:paraId="14C21959">
            <w:pPr>
              <w:jc w:val="center"/>
              <w:rPr>
                <w:rFonts w:ascii="宋体" w:hAnsi="宋体" w:cs="宋体"/>
                <w:b/>
                <w:bCs/>
                <w:color w:val="000000"/>
                <w:kern w:val="0"/>
                <w:sz w:val="24"/>
                <w:szCs w:val="24"/>
              </w:rPr>
            </w:pPr>
            <w:r>
              <w:rPr>
                <w:rFonts w:hint="eastAsia" w:ascii="宋体" w:hAnsi="宋体" w:cs="宋体"/>
                <w:b/>
                <w:bCs/>
                <w:color w:val="000000"/>
                <w:kern w:val="0"/>
                <w:sz w:val="24"/>
                <w:szCs w:val="24"/>
              </w:rPr>
              <w:t>应用系统名称</w:t>
            </w:r>
          </w:p>
        </w:tc>
        <w:tc>
          <w:tcPr>
            <w:tcW w:w="1673" w:type="dxa"/>
            <w:tcBorders>
              <w:top w:val="single" w:color="auto" w:sz="8" w:space="0"/>
              <w:left w:val="nil"/>
              <w:bottom w:val="single" w:color="auto" w:sz="8" w:space="0"/>
              <w:right w:val="single" w:color="auto" w:sz="8" w:space="0"/>
            </w:tcBorders>
            <w:shd w:val="clear" w:color="000000" w:fill="F3F8FC"/>
            <w:noWrap/>
            <w:vAlign w:val="center"/>
          </w:tcPr>
          <w:p w14:paraId="75532852">
            <w:pPr>
              <w:jc w:val="center"/>
              <w:rPr>
                <w:rFonts w:ascii="宋体" w:hAnsi="宋体" w:cs="宋体"/>
                <w:b/>
                <w:bCs/>
                <w:color w:val="000000"/>
                <w:kern w:val="0"/>
                <w:sz w:val="24"/>
                <w:szCs w:val="24"/>
              </w:rPr>
            </w:pPr>
            <w:r>
              <w:rPr>
                <w:rFonts w:hint="eastAsia" w:ascii="宋体" w:hAnsi="宋体" w:cs="宋体"/>
                <w:b/>
                <w:bCs/>
                <w:color w:val="000000"/>
                <w:kern w:val="0"/>
                <w:sz w:val="24"/>
                <w:szCs w:val="24"/>
              </w:rPr>
              <w:t>模块名称</w:t>
            </w:r>
          </w:p>
        </w:tc>
        <w:tc>
          <w:tcPr>
            <w:tcW w:w="4401" w:type="dxa"/>
            <w:tcBorders>
              <w:top w:val="single" w:color="auto" w:sz="8" w:space="0"/>
              <w:left w:val="nil"/>
              <w:bottom w:val="single" w:color="auto" w:sz="8" w:space="0"/>
              <w:right w:val="single" w:color="auto" w:sz="8" w:space="0"/>
            </w:tcBorders>
            <w:shd w:val="clear" w:color="000000" w:fill="F3F8FC"/>
            <w:vAlign w:val="center"/>
          </w:tcPr>
          <w:p w14:paraId="123EDAD1">
            <w:pPr>
              <w:jc w:val="center"/>
              <w:rPr>
                <w:rFonts w:ascii="宋体" w:hAnsi="宋体" w:cs="宋体"/>
                <w:b/>
                <w:bCs/>
                <w:color w:val="000000"/>
                <w:kern w:val="0"/>
                <w:sz w:val="24"/>
                <w:szCs w:val="24"/>
              </w:rPr>
            </w:pPr>
            <w:r>
              <w:rPr>
                <w:rFonts w:hint="eastAsia" w:ascii="宋体" w:hAnsi="宋体" w:cs="宋体"/>
                <w:b/>
                <w:bCs/>
                <w:color w:val="000000"/>
                <w:kern w:val="0"/>
                <w:sz w:val="24"/>
                <w:szCs w:val="24"/>
              </w:rPr>
              <w:t>模块描述</w:t>
            </w:r>
          </w:p>
        </w:tc>
      </w:tr>
      <w:tr w14:paraId="6E6EDCF6">
        <w:tblPrEx>
          <w:tblCellMar>
            <w:top w:w="0" w:type="dxa"/>
            <w:left w:w="108" w:type="dxa"/>
            <w:bottom w:w="0" w:type="dxa"/>
            <w:right w:w="108" w:type="dxa"/>
          </w:tblCellMar>
        </w:tblPrEx>
        <w:trPr>
          <w:trHeight w:val="20" w:hRule="atLeast"/>
        </w:trPr>
        <w:tc>
          <w:tcPr>
            <w:tcW w:w="638" w:type="dxa"/>
            <w:tcBorders>
              <w:top w:val="single" w:color="000000" w:sz="4" w:space="0"/>
              <w:left w:val="single" w:color="000000" w:sz="4" w:space="0"/>
              <w:bottom w:val="single" w:color="000000" w:sz="4" w:space="0"/>
              <w:right w:val="single" w:color="000000" w:sz="4" w:space="0"/>
            </w:tcBorders>
            <w:vAlign w:val="center"/>
          </w:tcPr>
          <w:p w14:paraId="6595DFE5">
            <w:pPr>
              <w:jc w:val="center"/>
              <w:rPr>
                <w:rFonts w:ascii="宋体" w:hAnsi="宋体" w:cs="宋体"/>
                <w:color w:val="000000"/>
                <w:kern w:val="0"/>
                <w:sz w:val="24"/>
                <w:szCs w:val="24"/>
              </w:rPr>
            </w:pPr>
            <w:r>
              <w:rPr>
                <w:rFonts w:hint="eastAsia" w:ascii="宋体" w:hAnsi="宋体" w:cs="宋体"/>
                <w:color w:val="000000"/>
                <w:kern w:val="0"/>
                <w:sz w:val="24"/>
                <w:szCs w:val="24"/>
              </w:rPr>
              <w:t>1</w:t>
            </w:r>
          </w:p>
        </w:tc>
        <w:tc>
          <w:tcPr>
            <w:tcW w:w="1580" w:type="dxa"/>
            <w:tcBorders>
              <w:top w:val="single" w:color="000000" w:sz="4" w:space="0"/>
              <w:left w:val="nil"/>
              <w:bottom w:val="single" w:color="000000" w:sz="4" w:space="0"/>
              <w:right w:val="single" w:color="000000" w:sz="4" w:space="0"/>
            </w:tcBorders>
            <w:vAlign w:val="center"/>
          </w:tcPr>
          <w:p w14:paraId="41BB43E9">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single" w:color="000000" w:sz="4" w:space="0"/>
              <w:left w:val="nil"/>
              <w:bottom w:val="single" w:color="000000" w:sz="4" w:space="0"/>
              <w:right w:val="single" w:color="000000" w:sz="4" w:space="0"/>
            </w:tcBorders>
            <w:vAlign w:val="center"/>
          </w:tcPr>
          <w:p w14:paraId="482914D1">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一站式客户服务模块-检务信息公开</w:t>
            </w:r>
          </w:p>
        </w:tc>
        <w:tc>
          <w:tcPr>
            <w:tcW w:w="4401" w:type="dxa"/>
            <w:tcBorders>
              <w:top w:val="single" w:color="000000" w:sz="4" w:space="0"/>
              <w:left w:val="nil"/>
              <w:bottom w:val="single" w:color="000000" w:sz="4" w:space="0"/>
              <w:right w:val="single" w:color="000000" w:sz="4" w:space="0"/>
            </w:tcBorders>
            <w:vAlign w:val="center"/>
          </w:tcPr>
          <w:p w14:paraId="6B10613A">
            <w:pPr>
              <w:jc w:val="left"/>
              <w:rPr>
                <w:rFonts w:ascii="宋体" w:hAnsi="宋体" w:cs="宋体"/>
                <w:color w:val="000000"/>
                <w:kern w:val="0"/>
                <w:sz w:val="24"/>
                <w:szCs w:val="24"/>
              </w:rPr>
            </w:pPr>
            <w:r>
              <w:rPr>
                <w:rFonts w:hint="eastAsia" w:ascii="宋体" w:hAnsi="宋体" w:cs="宋体"/>
                <w:color w:val="000000"/>
                <w:kern w:val="0"/>
                <w:sz w:val="24"/>
                <w:szCs w:val="24"/>
              </w:rPr>
              <w:t>及时公布各类与我所领域业务信息的发布能力，及时反映测试所检验检测方面的工作动态。为企业、个人、机构等提供办事指南，介绍办事机构、办事项目、办理程序和规范、检测能力查询（检测产品类型、检测参数、检验依据等），支持资料查询与下载。</w:t>
            </w:r>
          </w:p>
        </w:tc>
      </w:tr>
      <w:tr w14:paraId="79A3E49F">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2E1FC2FA">
            <w:pPr>
              <w:jc w:val="center"/>
              <w:rPr>
                <w:rFonts w:ascii="宋体" w:hAnsi="宋体" w:cs="宋体"/>
                <w:color w:val="000000"/>
                <w:kern w:val="0"/>
                <w:sz w:val="24"/>
                <w:szCs w:val="24"/>
              </w:rPr>
            </w:pPr>
            <w:r>
              <w:rPr>
                <w:rFonts w:hint="eastAsia" w:ascii="宋体" w:hAnsi="宋体" w:cs="宋体"/>
                <w:color w:val="000000"/>
                <w:kern w:val="0"/>
                <w:sz w:val="24"/>
                <w:szCs w:val="24"/>
              </w:rPr>
              <w:t>2</w:t>
            </w:r>
          </w:p>
        </w:tc>
        <w:tc>
          <w:tcPr>
            <w:tcW w:w="1580" w:type="dxa"/>
            <w:tcBorders>
              <w:top w:val="nil"/>
              <w:left w:val="nil"/>
              <w:bottom w:val="single" w:color="000000" w:sz="4" w:space="0"/>
              <w:right w:val="single" w:color="000000" w:sz="4" w:space="0"/>
            </w:tcBorders>
            <w:vAlign w:val="center"/>
          </w:tcPr>
          <w:p w14:paraId="1387C32B">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nil"/>
              <w:left w:val="nil"/>
              <w:bottom w:val="single" w:color="000000" w:sz="4" w:space="0"/>
              <w:right w:val="single" w:color="000000" w:sz="4" w:space="0"/>
            </w:tcBorders>
            <w:vAlign w:val="center"/>
          </w:tcPr>
          <w:p w14:paraId="5A5713FF">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一站式客户服务模块-客户注册与登录</w:t>
            </w:r>
          </w:p>
        </w:tc>
        <w:tc>
          <w:tcPr>
            <w:tcW w:w="4401" w:type="dxa"/>
            <w:tcBorders>
              <w:top w:val="nil"/>
              <w:left w:val="nil"/>
              <w:bottom w:val="single" w:color="000000" w:sz="4" w:space="0"/>
              <w:right w:val="single" w:color="000000" w:sz="4" w:space="0"/>
            </w:tcBorders>
            <w:vAlign w:val="center"/>
          </w:tcPr>
          <w:p w14:paraId="59A7137F">
            <w:pPr>
              <w:jc w:val="left"/>
              <w:rPr>
                <w:rFonts w:ascii="宋体" w:hAnsi="宋体" w:cs="宋体"/>
                <w:color w:val="000000"/>
                <w:kern w:val="0"/>
                <w:sz w:val="24"/>
                <w:szCs w:val="24"/>
              </w:rPr>
            </w:pPr>
            <w:r>
              <w:rPr>
                <w:rFonts w:hint="eastAsia" w:ascii="宋体" w:hAnsi="宋体" w:cs="宋体"/>
                <w:color w:val="000000"/>
                <w:kern w:val="0"/>
                <w:sz w:val="24"/>
                <w:szCs w:val="24"/>
              </w:rPr>
              <w:t>系统可以通过与客户管理模块关联，建立客服系统登陆台账，支持用户自行注册和系统分配两种方式。用户可以根据注册或分配的账号，维护机构或个人信息，方便后续进行网上预约、进度查询等功能。</w:t>
            </w:r>
          </w:p>
        </w:tc>
      </w:tr>
      <w:tr w14:paraId="34335D21">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F86A0C6">
            <w:pPr>
              <w:jc w:val="center"/>
              <w:rPr>
                <w:rFonts w:ascii="宋体" w:hAnsi="宋体" w:cs="宋体"/>
                <w:color w:val="000000"/>
                <w:kern w:val="0"/>
                <w:sz w:val="24"/>
                <w:szCs w:val="24"/>
              </w:rPr>
            </w:pPr>
            <w:r>
              <w:rPr>
                <w:rFonts w:hint="eastAsia" w:ascii="宋体" w:hAnsi="宋体" w:cs="宋体"/>
                <w:color w:val="000000"/>
                <w:kern w:val="0"/>
                <w:sz w:val="24"/>
                <w:szCs w:val="24"/>
              </w:rPr>
              <w:t>3</w:t>
            </w:r>
          </w:p>
        </w:tc>
        <w:tc>
          <w:tcPr>
            <w:tcW w:w="1580" w:type="dxa"/>
            <w:tcBorders>
              <w:top w:val="nil"/>
              <w:left w:val="nil"/>
              <w:bottom w:val="single" w:color="000000" w:sz="4" w:space="0"/>
              <w:right w:val="single" w:color="000000" w:sz="4" w:space="0"/>
            </w:tcBorders>
            <w:vAlign w:val="center"/>
          </w:tcPr>
          <w:p w14:paraId="0AD28CE5">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nil"/>
              <w:left w:val="nil"/>
              <w:bottom w:val="single" w:color="000000" w:sz="4" w:space="0"/>
              <w:right w:val="single" w:color="000000" w:sz="4" w:space="0"/>
            </w:tcBorders>
            <w:vAlign w:val="center"/>
          </w:tcPr>
          <w:p w14:paraId="4A73F32D">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一站式客户服务模块-网上委托服务</w:t>
            </w:r>
          </w:p>
        </w:tc>
        <w:tc>
          <w:tcPr>
            <w:tcW w:w="4401" w:type="dxa"/>
            <w:tcBorders>
              <w:top w:val="nil"/>
              <w:left w:val="nil"/>
              <w:bottom w:val="single" w:color="000000" w:sz="4" w:space="0"/>
              <w:right w:val="single" w:color="000000" w:sz="4" w:space="0"/>
            </w:tcBorders>
            <w:vAlign w:val="center"/>
          </w:tcPr>
          <w:p w14:paraId="5D44D1D9">
            <w:pPr>
              <w:jc w:val="left"/>
              <w:rPr>
                <w:rFonts w:ascii="宋体" w:hAnsi="宋体" w:cs="宋体"/>
                <w:color w:val="000000"/>
                <w:kern w:val="0"/>
                <w:sz w:val="24"/>
                <w:szCs w:val="24"/>
              </w:rPr>
            </w:pPr>
            <w:r>
              <w:rPr>
                <w:rFonts w:hint="eastAsia" w:ascii="宋体" w:hAnsi="宋体" w:cs="宋体"/>
                <w:color w:val="000000"/>
                <w:kern w:val="0"/>
                <w:sz w:val="24"/>
                <w:szCs w:val="24"/>
              </w:rPr>
              <w:t>个人或企事业单位，通过登陆客户服务平台，进行网上预约。系统针对不同的业务类型提供不同的预约界面和预约方式，预约方式可在客户服务系统中进行配置。</w:t>
            </w:r>
          </w:p>
        </w:tc>
      </w:tr>
      <w:tr w14:paraId="5C663870">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31889906">
            <w:pPr>
              <w:jc w:val="center"/>
              <w:rPr>
                <w:rFonts w:ascii="宋体" w:hAnsi="宋体" w:cs="宋体"/>
                <w:color w:val="000000"/>
                <w:kern w:val="0"/>
                <w:sz w:val="24"/>
                <w:szCs w:val="24"/>
              </w:rPr>
            </w:pPr>
            <w:r>
              <w:rPr>
                <w:rFonts w:hint="eastAsia" w:ascii="宋体" w:hAnsi="宋体" w:cs="宋体"/>
                <w:color w:val="000000"/>
                <w:kern w:val="0"/>
                <w:sz w:val="24"/>
                <w:szCs w:val="24"/>
              </w:rPr>
              <w:t>4</w:t>
            </w:r>
          </w:p>
        </w:tc>
        <w:tc>
          <w:tcPr>
            <w:tcW w:w="1580" w:type="dxa"/>
            <w:tcBorders>
              <w:top w:val="nil"/>
              <w:left w:val="nil"/>
              <w:bottom w:val="single" w:color="000000" w:sz="4" w:space="0"/>
              <w:right w:val="single" w:color="000000" w:sz="4" w:space="0"/>
            </w:tcBorders>
            <w:vAlign w:val="center"/>
          </w:tcPr>
          <w:p w14:paraId="60635372">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nil"/>
              <w:left w:val="nil"/>
              <w:bottom w:val="single" w:color="000000" w:sz="4" w:space="0"/>
              <w:right w:val="single" w:color="000000" w:sz="4" w:space="0"/>
            </w:tcBorders>
            <w:vAlign w:val="center"/>
          </w:tcPr>
          <w:p w14:paraId="5D851534">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一站式客户服务模块-分包确认</w:t>
            </w:r>
          </w:p>
        </w:tc>
        <w:tc>
          <w:tcPr>
            <w:tcW w:w="4401" w:type="dxa"/>
            <w:tcBorders>
              <w:top w:val="nil"/>
              <w:left w:val="nil"/>
              <w:bottom w:val="single" w:color="000000" w:sz="4" w:space="0"/>
              <w:right w:val="single" w:color="000000" w:sz="4" w:space="0"/>
            </w:tcBorders>
            <w:vAlign w:val="center"/>
          </w:tcPr>
          <w:p w14:paraId="558B4F18">
            <w:pPr>
              <w:jc w:val="left"/>
              <w:rPr>
                <w:rFonts w:ascii="宋体" w:hAnsi="宋体" w:cs="宋体"/>
                <w:color w:val="000000"/>
                <w:kern w:val="0"/>
                <w:sz w:val="24"/>
                <w:szCs w:val="24"/>
              </w:rPr>
            </w:pPr>
            <w:r>
              <w:rPr>
                <w:rFonts w:hint="eastAsia" w:ascii="宋体" w:hAnsi="宋体" w:cs="宋体"/>
                <w:color w:val="000000"/>
                <w:kern w:val="0"/>
                <w:sz w:val="24"/>
                <w:szCs w:val="24"/>
              </w:rPr>
              <w:t>客户委托检测项目中，当实验室不具备某个项目检测能力，或者因设备损坏等原因需要分包时，需要能在线与客户进行确认（当前是线下确认，容易丢失确认记录）。</w:t>
            </w:r>
          </w:p>
        </w:tc>
      </w:tr>
      <w:tr w14:paraId="065D9AD1">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58901008">
            <w:pPr>
              <w:jc w:val="center"/>
              <w:rPr>
                <w:rFonts w:ascii="宋体" w:hAnsi="宋体" w:cs="宋体"/>
                <w:color w:val="000000"/>
                <w:kern w:val="0"/>
                <w:sz w:val="24"/>
                <w:szCs w:val="24"/>
              </w:rPr>
            </w:pPr>
            <w:r>
              <w:rPr>
                <w:rFonts w:hint="eastAsia" w:ascii="宋体" w:hAnsi="宋体" w:cs="宋体"/>
                <w:color w:val="000000"/>
                <w:kern w:val="0"/>
                <w:sz w:val="24"/>
                <w:szCs w:val="24"/>
              </w:rPr>
              <w:t>5</w:t>
            </w:r>
          </w:p>
        </w:tc>
        <w:tc>
          <w:tcPr>
            <w:tcW w:w="1580" w:type="dxa"/>
            <w:tcBorders>
              <w:top w:val="nil"/>
              <w:left w:val="nil"/>
              <w:bottom w:val="single" w:color="000000" w:sz="4" w:space="0"/>
              <w:right w:val="single" w:color="000000" w:sz="4" w:space="0"/>
            </w:tcBorders>
            <w:vAlign w:val="center"/>
          </w:tcPr>
          <w:p w14:paraId="29C3D99A">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nil"/>
              <w:left w:val="nil"/>
              <w:bottom w:val="single" w:color="000000" w:sz="4" w:space="0"/>
              <w:right w:val="single" w:color="000000" w:sz="4" w:space="0"/>
            </w:tcBorders>
            <w:vAlign w:val="center"/>
          </w:tcPr>
          <w:p w14:paraId="597FA27D">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一站式客户服务模块-缴费管理</w:t>
            </w:r>
          </w:p>
        </w:tc>
        <w:tc>
          <w:tcPr>
            <w:tcW w:w="4401" w:type="dxa"/>
            <w:tcBorders>
              <w:top w:val="nil"/>
              <w:left w:val="nil"/>
              <w:bottom w:val="single" w:color="000000" w:sz="4" w:space="0"/>
              <w:right w:val="single" w:color="000000" w:sz="4" w:space="0"/>
            </w:tcBorders>
            <w:vAlign w:val="center"/>
          </w:tcPr>
          <w:p w14:paraId="1089826F">
            <w:pPr>
              <w:jc w:val="left"/>
              <w:rPr>
                <w:rFonts w:ascii="宋体" w:hAnsi="宋体" w:cs="宋体"/>
                <w:color w:val="000000"/>
                <w:kern w:val="0"/>
                <w:sz w:val="24"/>
                <w:szCs w:val="24"/>
              </w:rPr>
            </w:pPr>
            <w:r>
              <w:rPr>
                <w:rFonts w:hint="eastAsia" w:ascii="宋体" w:hAnsi="宋体" w:cs="宋体"/>
                <w:color w:val="000000"/>
                <w:kern w:val="0"/>
                <w:sz w:val="24"/>
                <w:szCs w:val="24"/>
              </w:rPr>
              <w:t>通过对接“一网通办”统一公共支付平台，满足客户线上支付、扫码支付、撤销订单、退款、消息通知、查询等服务。客户前端操作可保留操作记录，通过智慧检测子系统提醒业务人员，为客户及时办理相关业务。</w:t>
            </w:r>
          </w:p>
        </w:tc>
      </w:tr>
      <w:tr w14:paraId="54A30D09">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50090A22">
            <w:pPr>
              <w:jc w:val="center"/>
              <w:rPr>
                <w:rFonts w:ascii="宋体" w:hAnsi="宋体" w:cs="宋体"/>
                <w:color w:val="000000"/>
                <w:kern w:val="0"/>
                <w:sz w:val="24"/>
                <w:szCs w:val="24"/>
              </w:rPr>
            </w:pPr>
            <w:r>
              <w:rPr>
                <w:rFonts w:hint="eastAsia" w:ascii="宋体" w:hAnsi="宋体" w:cs="宋体"/>
                <w:color w:val="000000"/>
                <w:kern w:val="0"/>
                <w:sz w:val="24"/>
                <w:szCs w:val="24"/>
              </w:rPr>
              <w:t>6</w:t>
            </w:r>
          </w:p>
        </w:tc>
        <w:tc>
          <w:tcPr>
            <w:tcW w:w="1580" w:type="dxa"/>
            <w:tcBorders>
              <w:top w:val="nil"/>
              <w:left w:val="nil"/>
              <w:bottom w:val="single" w:color="000000" w:sz="4" w:space="0"/>
              <w:right w:val="single" w:color="000000" w:sz="4" w:space="0"/>
            </w:tcBorders>
            <w:vAlign w:val="center"/>
          </w:tcPr>
          <w:p w14:paraId="05D69BC3">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nil"/>
              <w:left w:val="nil"/>
              <w:bottom w:val="single" w:color="000000" w:sz="4" w:space="0"/>
              <w:right w:val="single" w:color="000000" w:sz="4" w:space="0"/>
            </w:tcBorders>
            <w:vAlign w:val="center"/>
          </w:tcPr>
          <w:p w14:paraId="1522406A">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一站式客户服务模块-开票管理</w:t>
            </w:r>
          </w:p>
        </w:tc>
        <w:tc>
          <w:tcPr>
            <w:tcW w:w="4401" w:type="dxa"/>
            <w:tcBorders>
              <w:top w:val="nil"/>
              <w:left w:val="nil"/>
              <w:bottom w:val="single" w:color="000000" w:sz="4" w:space="0"/>
              <w:right w:val="single" w:color="000000" w:sz="4" w:space="0"/>
            </w:tcBorders>
            <w:vAlign w:val="center"/>
          </w:tcPr>
          <w:p w14:paraId="5E0DDB4D">
            <w:pPr>
              <w:jc w:val="left"/>
              <w:rPr>
                <w:rFonts w:ascii="宋体" w:hAnsi="宋体" w:cs="宋体"/>
                <w:color w:val="000000"/>
                <w:kern w:val="0"/>
                <w:sz w:val="24"/>
                <w:szCs w:val="24"/>
              </w:rPr>
            </w:pPr>
            <w:r>
              <w:rPr>
                <w:rFonts w:hint="eastAsia" w:ascii="宋体" w:hAnsi="宋体" w:cs="宋体"/>
                <w:color w:val="000000"/>
                <w:kern w:val="0"/>
                <w:sz w:val="24"/>
                <w:szCs w:val="24"/>
              </w:rPr>
              <w:t>客户缴费成功后，可在线发起开票申请，开具检验检测发票，支持普票与专票，以及电子发票和纸质发票。</w:t>
            </w:r>
          </w:p>
        </w:tc>
      </w:tr>
      <w:tr w14:paraId="37B6F8D2">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0E37F9F9">
            <w:pPr>
              <w:jc w:val="center"/>
              <w:rPr>
                <w:rFonts w:ascii="宋体" w:hAnsi="宋体" w:cs="宋体"/>
                <w:color w:val="000000"/>
                <w:kern w:val="0"/>
                <w:sz w:val="24"/>
                <w:szCs w:val="24"/>
              </w:rPr>
            </w:pPr>
            <w:r>
              <w:rPr>
                <w:rFonts w:hint="eastAsia" w:ascii="宋体" w:hAnsi="宋体" w:cs="宋体"/>
                <w:color w:val="000000"/>
                <w:kern w:val="0"/>
                <w:sz w:val="24"/>
                <w:szCs w:val="24"/>
              </w:rPr>
              <w:t>7</w:t>
            </w:r>
          </w:p>
        </w:tc>
        <w:tc>
          <w:tcPr>
            <w:tcW w:w="1580" w:type="dxa"/>
            <w:tcBorders>
              <w:top w:val="nil"/>
              <w:left w:val="nil"/>
              <w:bottom w:val="single" w:color="000000" w:sz="4" w:space="0"/>
              <w:right w:val="single" w:color="000000" w:sz="4" w:space="0"/>
            </w:tcBorders>
            <w:vAlign w:val="center"/>
          </w:tcPr>
          <w:p w14:paraId="147D87EC">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nil"/>
              <w:left w:val="nil"/>
              <w:bottom w:val="single" w:color="000000" w:sz="4" w:space="0"/>
              <w:right w:val="single" w:color="000000" w:sz="4" w:space="0"/>
            </w:tcBorders>
            <w:vAlign w:val="center"/>
          </w:tcPr>
          <w:p w14:paraId="2ED420A2">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一站式客户服务模块-智能客服咨询</w:t>
            </w:r>
          </w:p>
        </w:tc>
        <w:tc>
          <w:tcPr>
            <w:tcW w:w="4401" w:type="dxa"/>
            <w:tcBorders>
              <w:top w:val="nil"/>
              <w:left w:val="nil"/>
              <w:bottom w:val="single" w:color="000000" w:sz="4" w:space="0"/>
              <w:right w:val="single" w:color="000000" w:sz="4" w:space="0"/>
            </w:tcBorders>
            <w:vAlign w:val="center"/>
          </w:tcPr>
          <w:p w14:paraId="1AF4ADA9">
            <w:pPr>
              <w:jc w:val="left"/>
              <w:rPr>
                <w:rFonts w:ascii="宋体" w:hAnsi="宋体" w:cs="宋体"/>
                <w:color w:val="000000"/>
                <w:kern w:val="0"/>
                <w:sz w:val="24"/>
                <w:szCs w:val="24"/>
              </w:rPr>
            </w:pPr>
            <w:r>
              <w:rPr>
                <w:rFonts w:hint="eastAsia" w:ascii="宋体" w:hAnsi="宋体" w:cs="宋体"/>
                <w:color w:val="000000"/>
                <w:kern w:val="0"/>
                <w:sz w:val="24"/>
                <w:szCs w:val="24"/>
              </w:rPr>
              <w:t>通过智能客服机器人，能自动解答客户常见问题，支持咨询问题分类管理、关键字管理、常见问题Top5管理等，对于技术性问题可通过电话与技术人员沟通。</w:t>
            </w:r>
          </w:p>
        </w:tc>
      </w:tr>
      <w:tr w14:paraId="35658E41">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0174749F">
            <w:pPr>
              <w:jc w:val="center"/>
              <w:rPr>
                <w:rFonts w:ascii="宋体" w:hAnsi="宋体" w:cs="宋体"/>
                <w:color w:val="000000"/>
                <w:kern w:val="0"/>
                <w:sz w:val="24"/>
                <w:szCs w:val="24"/>
              </w:rPr>
            </w:pPr>
            <w:r>
              <w:rPr>
                <w:rFonts w:hint="eastAsia" w:ascii="宋体" w:hAnsi="宋体" w:cs="宋体"/>
                <w:color w:val="000000"/>
                <w:kern w:val="0"/>
                <w:sz w:val="24"/>
                <w:szCs w:val="24"/>
              </w:rPr>
              <w:t>8</w:t>
            </w:r>
          </w:p>
        </w:tc>
        <w:tc>
          <w:tcPr>
            <w:tcW w:w="1580" w:type="dxa"/>
            <w:tcBorders>
              <w:top w:val="nil"/>
              <w:left w:val="nil"/>
              <w:bottom w:val="single" w:color="000000" w:sz="4" w:space="0"/>
              <w:right w:val="single" w:color="000000" w:sz="4" w:space="0"/>
            </w:tcBorders>
            <w:vAlign w:val="center"/>
          </w:tcPr>
          <w:p w14:paraId="6BAAB38D">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nil"/>
              <w:left w:val="nil"/>
              <w:bottom w:val="single" w:color="000000" w:sz="4" w:space="0"/>
              <w:right w:val="single" w:color="000000" w:sz="4" w:space="0"/>
            </w:tcBorders>
            <w:vAlign w:val="center"/>
          </w:tcPr>
          <w:p w14:paraId="0EB7267B">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一站式客户服务模块-便捷进度查询</w:t>
            </w:r>
          </w:p>
        </w:tc>
        <w:tc>
          <w:tcPr>
            <w:tcW w:w="4401" w:type="dxa"/>
            <w:tcBorders>
              <w:top w:val="nil"/>
              <w:left w:val="nil"/>
              <w:bottom w:val="single" w:color="000000" w:sz="4" w:space="0"/>
              <w:right w:val="single" w:color="000000" w:sz="4" w:space="0"/>
            </w:tcBorders>
            <w:vAlign w:val="center"/>
          </w:tcPr>
          <w:p w14:paraId="234BFE3F">
            <w:pPr>
              <w:jc w:val="left"/>
              <w:rPr>
                <w:rFonts w:ascii="宋体" w:hAnsi="宋体" w:cs="宋体"/>
                <w:color w:val="000000"/>
                <w:kern w:val="0"/>
                <w:sz w:val="24"/>
                <w:szCs w:val="24"/>
              </w:rPr>
            </w:pPr>
            <w:r>
              <w:rPr>
                <w:rFonts w:hint="eastAsia" w:ascii="宋体" w:hAnsi="宋体" w:cs="宋体"/>
                <w:color w:val="000000"/>
                <w:kern w:val="0"/>
                <w:sz w:val="24"/>
                <w:szCs w:val="24"/>
              </w:rPr>
              <w:t>样品送到实验室，客户可以登陆客户服务系统或客户服务小程序，实时查询样品和报告的进度。</w:t>
            </w:r>
          </w:p>
        </w:tc>
      </w:tr>
      <w:tr w14:paraId="25E8E94A">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40F2583">
            <w:pPr>
              <w:jc w:val="center"/>
              <w:rPr>
                <w:rFonts w:ascii="宋体" w:hAnsi="宋体" w:cs="宋体"/>
                <w:color w:val="000000"/>
                <w:kern w:val="0"/>
                <w:sz w:val="24"/>
                <w:szCs w:val="24"/>
              </w:rPr>
            </w:pPr>
            <w:r>
              <w:rPr>
                <w:rFonts w:hint="eastAsia" w:ascii="宋体" w:hAnsi="宋体" w:cs="宋体"/>
                <w:color w:val="000000"/>
                <w:kern w:val="0"/>
                <w:sz w:val="24"/>
                <w:szCs w:val="24"/>
              </w:rPr>
              <w:t>9</w:t>
            </w:r>
          </w:p>
        </w:tc>
        <w:tc>
          <w:tcPr>
            <w:tcW w:w="1580" w:type="dxa"/>
            <w:tcBorders>
              <w:top w:val="nil"/>
              <w:left w:val="nil"/>
              <w:bottom w:val="single" w:color="000000" w:sz="4" w:space="0"/>
              <w:right w:val="single" w:color="000000" w:sz="4" w:space="0"/>
            </w:tcBorders>
            <w:vAlign w:val="center"/>
          </w:tcPr>
          <w:p w14:paraId="241EDA86">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nil"/>
              <w:left w:val="nil"/>
              <w:bottom w:val="single" w:color="000000" w:sz="4" w:space="0"/>
              <w:right w:val="single" w:color="000000" w:sz="4" w:space="0"/>
            </w:tcBorders>
            <w:vAlign w:val="center"/>
          </w:tcPr>
          <w:p w14:paraId="4EB2088B">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一站式客户服务模块-服务消息推送</w:t>
            </w:r>
          </w:p>
        </w:tc>
        <w:tc>
          <w:tcPr>
            <w:tcW w:w="4401" w:type="dxa"/>
            <w:tcBorders>
              <w:top w:val="nil"/>
              <w:left w:val="nil"/>
              <w:bottom w:val="single" w:color="000000" w:sz="4" w:space="0"/>
              <w:right w:val="single" w:color="000000" w:sz="4" w:space="0"/>
            </w:tcBorders>
            <w:vAlign w:val="center"/>
          </w:tcPr>
          <w:p w14:paraId="1EFE8960">
            <w:pPr>
              <w:jc w:val="left"/>
              <w:rPr>
                <w:rFonts w:ascii="宋体" w:hAnsi="宋体" w:cs="宋体"/>
                <w:color w:val="000000"/>
                <w:kern w:val="0"/>
                <w:sz w:val="24"/>
                <w:szCs w:val="24"/>
              </w:rPr>
            </w:pPr>
            <w:r>
              <w:rPr>
                <w:rFonts w:hint="eastAsia" w:ascii="宋体" w:hAnsi="宋体" w:cs="宋体"/>
                <w:color w:val="000000"/>
                <w:kern w:val="0"/>
                <w:sz w:val="24"/>
                <w:szCs w:val="24"/>
              </w:rPr>
              <w:t>在业务受理通过、样品已签收、报告待领取、结算单已发出等环节，系统可自动给客户推送消息，提高沟通效率、提升客户服务的满意度。</w:t>
            </w:r>
          </w:p>
        </w:tc>
      </w:tr>
      <w:tr w14:paraId="70C425D0">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34A854F">
            <w:pPr>
              <w:jc w:val="center"/>
              <w:rPr>
                <w:rFonts w:ascii="宋体" w:hAnsi="宋体" w:cs="宋体"/>
                <w:color w:val="000000"/>
                <w:kern w:val="0"/>
                <w:sz w:val="24"/>
                <w:szCs w:val="24"/>
              </w:rPr>
            </w:pPr>
            <w:r>
              <w:rPr>
                <w:rFonts w:hint="eastAsia" w:ascii="宋体" w:hAnsi="宋体" w:cs="宋体"/>
                <w:color w:val="000000"/>
                <w:kern w:val="0"/>
                <w:sz w:val="24"/>
                <w:szCs w:val="24"/>
              </w:rPr>
              <w:t>10</w:t>
            </w:r>
          </w:p>
        </w:tc>
        <w:tc>
          <w:tcPr>
            <w:tcW w:w="1580" w:type="dxa"/>
            <w:tcBorders>
              <w:top w:val="nil"/>
              <w:left w:val="nil"/>
              <w:bottom w:val="single" w:color="000000" w:sz="4" w:space="0"/>
              <w:right w:val="single" w:color="000000" w:sz="4" w:space="0"/>
            </w:tcBorders>
            <w:vAlign w:val="center"/>
          </w:tcPr>
          <w:p w14:paraId="0CE92834">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nil"/>
              <w:left w:val="nil"/>
              <w:bottom w:val="single" w:color="000000" w:sz="4" w:space="0"/>
              <w:right w:val="single" w:color="000000" w:sz="4" w:space="0"/>
            </w:tcBorders>
            <w:vAlign w:val="center"/>
          </w:tcPr>
          <w:p w14:paraId="67B81A25">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一站式客户服务模块-报告跟踪/下载</w:t>
            </w:r>
          </w:p>
        </w:tc>
        <w:tc>
          <w:tcPr>
            <w:tcW w:w="4401" w:type="dxa"/>
            <w:tcBorders>
              <w:top w:val="nil"/>
              <w:left w:val="nil"/>
              <w:bottom w:val="single" w:color="000000" w:sz="4" w:space="0"/>
              <w:right w:val="single" w:color="000000" w:sz="4" w:space="0"/>
            </w:tcBorders>
            <w:vAlign w:val="center"/>
          </w:tcPr>
          <w:p w14:paraId="1CCFF3AE">
            <w:pPr>
              <w:jc w:val="left"/>
              <w:rPr>
                <w:rFonts w:ascii="宋体" w:hAnsi="宋体" w:cs="宋体"/>
                <w:color w:val="000000"/>
                <w:kern w:val="0"/>
                <w:sz w:val="24"/>
                <w:szCs w:val="24"/>
              </w:rPr>
            </w:pPr>
            <w:r>
              <w:rPr>
                <w:rFonts w:hint="eastAsia" w:ascii="宋体" w:hAnsi="宋体" w:cs="宋体"/>
                <w:color w:val="000000"/>
                <w:kern w:val="0"/>
                <w:sz w:val="24"/>
                <w:szCs w:val="24"/>
              </w:rPr>
              <w:t>客户根据授权可下载电子报告，系统也支持纸质报告邮寄快递信息的跟踪管理，对接一网通办统一物流快递平台，关联纸质报告快递信息，物流信息，实时的跟踪快递物流情况，供客户在线查询物流进度。</w:t>
            </w:r>
          </w:p>
        </w:tc>
      </w:tr>
      <w:tr w14:paraId="4B2FC88F">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2FEB80F8">
            <w:pPr>
              <w:jc w:val="center"/>
              <w:rPr>
                <w:rFonts w:ascii="宋体" w:hAnsi="宋体" w:cs="宋体"/>
                <w:color w:val="000000"/>
                <w:kern w:val="0"/>
                <w:sz w:val="24"/>
                <w:szCs w:val="24"/>
              </w:rPr>
            </w:pPr>
            <w:r>
              <w:rPr>
                <w:rFonts w:hint="eastAsia" w:ascii="宋体" w:hAnsi="宋体" w:cs="宋体"/>
                <w:color w:val="000000"/>
                <w:kern w:val="0"/>
                <w:sz w:val="24"/>
                <w:szCs w:val="24"/>
              </w:rPr>
              <w:t>11</w:t>
            </w:r>
          </w:p>
        </w:tc>
        <w:tc>
          <w:tcPr>
            <w:tcW w:w="1580" w:type="dxa"/>
            <w:tcBorders>
              <w:top w:val="nil"/>
              <w:left w:val="nil"/>
              <w:bottom w:val="single" w:color="000000" w:sz="4" w:space="0"/>
              <w:right w:val="single" w:color="000000" w:sz="4" w:space="0"/>
            </w:tcBorders>
            <w:vAlign w:val="center"/>
          </w:tcPr>
          <w:p w14:paraId="78BF6CDA">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nil"/>
              <w:left w:val="nil"/>
              <w:bottom w:val="single" w:color="000000" w:sz="4" w:space="0"/>
              <w:right w:val="single" w:color="000000" w:sz="4" w:space="0"/>
            </w:tcBorders>
            <w:vAlign w:val="center"/>
          </w:tcPr>
          <w:p w14:paraId="62BFE154">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一站式客户服务模块-满意度评价管理</w:t>
            </w:r>
          </w:p>
        </w:tc>
        <w:tc>
          <w:tcPr>
            <w:tcW w:w="4401" w:type="dxa"/>
            <w:tcBorders>
              <w:top w:val="nil"/>
              <w:left w:val="nil"/>
              <w:bottom w:val="single" w:color="000000" w:sz="4" w:space="0"/>
              <w:right w:val="single" w:color="000000" w:sz="4" w:space="0"/>
            </w:tcBorders>
            <w:vAlign w:val="center"/>
          </w:tcPr>
          <w:p w14:paraId="76343059">
            <w:pPr>
              <w:jc w:val="left"/>
              <w:rPr>
                <w:rFonts w:ascii="宋体" w:hAnsi="宋体" w:cs="宋体"/>
                <w:color w:val="000000"/>
                <w:kern w:val="0"/>
                <w:sz w:val="24"/>
                <w:szCs w:val="24"/>
              </w:rPr>
            </w:pPr>
            <w:r>
              <w:rPr>
                <w:rFonts w:hint="eastAsia" w:ascii="宋体" w:hAnsi="宋体" w:cs="宋体"/>
                <w:color w:val="000000"/>
                <w:kern w:val="0"/>
                <w:sz w:val="24"/>
                <w:szCs w:val="24"/>
              </w:rPr>
              <w:t>对注册用户并且已经送检的用户，可在系统中填写满意度与投诉意见信息，对服务态度、检测过程、检测质量、检测时限等进行投诉和建议。由质量部门对投诉和意见进行处理，并将处理结果反馈到填写人。</w:t>
            </w:r>
          </w:p>
        </w:tc>
      </w:tr>
      <w:tr w14:paraId="7BFE9358">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032DE41A">
            <w:pPr>
              <w:jc w:val="center"/>
              <w:rPr>
                <w:rFonts w:ascii="宋体" w:hAnsi="宋体" w:cs="宋体"/>
                <w:color w:val="000000"/>
                <w:kern w:val="0"/>
                <w:sz w:val="24"/>
                <w:szCs w:val="24"/>
              </w:rPr>
            </w:pPr>
            <w:r>
              <w:rPr>
                <w:rFonts w:hint="eastAsia" w:ascii="宋体" w:hAnsi="宋体" w:cs="宋体"/>
                <w:color w:val="000000"/>
                <w:kern w:val="0"/>
                <w:sz w:val="24"/>
                <w:szCs w:val="24"/>
              </w:rPr>
              <w:t>12</w:t>
            </w:r>
          </w:p>
        </w:tc>
        <w:tc>
          <w:tcPr>
            <w:tcW w:w="1580" w:type="dxa"/>
            <w:tcBorders>
              <w:top w:val="nil"/>
              <w:left w:val="nil"/>
              <w:bottom w:val="single" w:color="000000" w:sz="4" w:space="0"/>
              <w:right w:val="single" w:color="000000" w:sz="4" w:space="0"/>
            </w:tcBorders>
            <w:vAlign w:val="center"/>
          </w:tcPr>
          <w:p w14:paraId="12947E3C">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nil"/>
              <w:left w:val="nil"/>
              <w:bottom w:val="single" w:color="000000" w:sz="4" w:space="0"/>
              <w:right w:val="single" w:color="000000" w:sz="4" w:space="0"/>
            </w:tcBorders>
            <w:vAlign w:val="center"/>
          </w:tcPr>
          <w:p w14:paraId="65BB6D88">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一站式客户服务模块-报告真伪查询</w:t>
            </w:r>
          </w:p>
        </w:tc>
        <w:tc>
          <w:tcPr>
            <w:tcW w:w="4401" w:type="dxa"/>
            <w:tcBorders>
              <w:top w:val="nil"/>
              <w:left w:val="nil"/>
              <w:bottom w:val="single" w:color="000000" w:sz="4" w:space="0"/>
              <w:right w:val="single" w:color="000000" w:sz="4" w:space="0"/>
            </w:tcBorders>
            <w:vAlign w:val="center"/>
          </w:tcPr>
          <w:p w14:paraId="6265F1EA">
            <w:pPr>
              <w:jc w:val="left"/>
              <w:rPr>
                <w:rFonts w:ascii="宋体" w:hAnsi="宋体" w:cs="宋体"/>
                <w:color w:val="000000"/>
                <w:kern w:val="0"/>
                <w:sz w:val="24"/>
                <w:szCs w:val="24"/>
              </w:rPr>
            </w:pPr>
            <w:r>
              <w:rPr>
                <w:rFonts w:hint="eastAsia" w:ascii="宋体" w:hAnsi="宋体" w:cs="宋体"/>
                <w:color w:val="000000"/>
                <w:kern w:val="0"/>
                <w:sz w:val="24"/>
                <w:szCs w:val="24"/>
              </w:rPr>
              <w:t>系统为公众、委托方等提供多种报告真伪查询服务，如扫码辨真伪、电子报告真伪验证、纸质报告信息验证等。</w:t>
            </w:r>
          </w:p>
        </w:tc>
      </w:tr>
      <w:tr w14:paraId="529EE9A8">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067820A">
            <w:pPr>
              <w:jc w:val="center"/>
              <w:rPr>
                <w:rFonts w:ascii="宋体" w:hAnsi="宋体" w:cs="宋体"/>
                <w:color w:val="000000"/>
                <w:kern w:val="0"/>
                <w:sz w:val="24"/>
                <w:szCs w:val="24"/>
              </w:rPr>
            </w:pPr>
            <w:r>
              <w:rPr>
                <w:rFonts w:hint="eastAsia" w:ascii="宋体" w:hAnsi="宋体" w:cs="宋体"/>
                <w:color w:val="000000"/>
                <w:kern w:val="0"/>
                <w:sz w:val="24"/>
                <w:szCs w:val="24"/>
              </w:rPr>
              <w:t>13</w:t>
            </w:r>
          </w:p>
        </w:tc>
        <w:tc>
          <w:tcPr>
            <w:tcW w:w="1580" w:type="dxa"/>
            <w:tcBorders>
              <w:top w:val="nil"/>
              <w:left w:val="nil"/>
              <w:bottom w:val="single" w:color="000000" w:sz="4" w:space="0"/>
              <w:right w:val="single" w:color="000000" w:sz="4" w:space="0"/>
            </w:tcBorders>
            <w:vAlign w:val="center"/>
          </w:tcPr>
          <w:p w14:paraId="4DF4A933">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nil"/>
              <w:left w:val="nil"/>
              <w:bottom w:val="single" w:color="000000" w:sz="4" w:space="0"/>
              <w:right w:val="single" w:color="000000" w:sz="4" w:space="0"/>
            </w:tcBorders>
            <w:vAlign w:val="center"/>
          </w:tcPr>
          <w:p w14:paraId="3E0BF533">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一站式客户服务模块-增值数据服务</w:t>
            </w:r>
          </w:p>
        </w:tc>
        <w:tc>
          <w:tcPr>
            <w:tcW w:w="4401" w:type="dxa"/>
            <w:tcBorders>
              <w:top w:val="nil"/>
              <w:left w:val="nil"/>
              <w:bottom w:val="single" w:color="000000" w:sz="4" w:space="0"/>
              <w:right w:val="single" w:color="000000" w:sz="4" w:space="0"/>
            </w:tcBorders>
            <w:vAlign w:val="center"/>
          </w:tcPr>
          <w:p w14:paraId="6BCA800A">
            <w:pPr>
              <w:jc w:val="left"/>
              <w:rPr>
                <w:rFonts w:ascii="宋体" w:hAnsi="宋体" w:cs="宋体"/>
                <w:color w:val="000000"/>
                <w:kern w:val="0"/>
                <w:sz w:val="24"/>
                <w:szCs w:val="24"/>
              </w:rPr>
            </w:pPr>
            <w:r>
              <w:rPr>
                <w:rFonts w:hint="eastAsia" w:ascii="宋体" w:hAnsi="宋体" w:cs="宋体"/>
                <w:color w:val="000000"/>
                <w:kern w:val="0"/>
                <w:sz w:val="24"/>
                <w:szCs w:val="24"/>
              </w:rPr>
              <w:t>发布与企业有关的数据分析成果</w:t>
            </w:r>
          </w:p>
        </w:tc>
      </w:tr>
      <w:tr w14:paraId="28477130">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3576ACC5">
            <w:pPr>
              <w:jc w:val="center"/>
              <w:rPr>
                <w:rFonts w:ascii="宋体" w:hAnsi="宋体" w:cs="宋体"/>
                <w:color w:val="000000"/>
                <w:kern w:val="0"/>
                <w:sz w:val="24"/>
                <w:szCs w:val="24"/>
              </w:rPr>
            </w:pPr>
            <w:r>
              <w:rPr>
                <w:rFonts w:hint="eastAsia" w:ascii="宋体" w:hAnsi="宋体" w:cs="宋体"/>
                <w:color w:val="000000"/>
                <w:kern w:val="0"/>
                <w:sz w:val="24"/>
                <w:szCs w:val="24"/>
              </w:rPr>
              <w:t>14</w:t>
            </w:r>
          </w:p>
        </w:tc>
        <w:tc>
          <w:tcPr>
            <w:tcW w:w="1580" w:type="dxa"/>
            <w:tcBorders>
              <w:top w:val="nil"/>
              <w:left w:val="nil"/>
              <w:bottom w:val="single" w:color="000000" w:sz="4" w:space="0"/>
              <w:right w:val="single" w:color="000000" w:sz="4" w:space="0"/>
            </w:tcBorders>
            <w:vAlign w:val="center"/>
          </w:tcPr>
          <w:p w14:paraId="24CEDA22">
            <w:pPr>
              <w:jc w:val="center"/>
              <w:rPr>
                <w:rFonts w:ascii="宋体" w:hAnsi="宋体" w:cs="宋体"/>
                <w:color w:val="000000"/>
                <w:kern w:val="0"/>
                <w:sz w:val="24"/>
                <w:szCs w:val="24"/>
              </w:rPr>
            </w:pPr>
            <w:r>
              <w:rPr>
                <w:rFonts w:hint="eastAsia" w:ascii="宋体" w:hAnsi="宋体" w:cs="宋体"/>
                <w:color w:val="000000"/>
                <w:kern w:val="0"/>
                <w:sz w:val="24"/>
                <w:szCs w:val="24"/>
              </w:rPr>
              <w:t>客户服务子系统</w:t>
            </w:r>
          </w:p>
        </w:tc>
        <w:tc>
          <w:tcPr>
            <w:tcW w:w="1673" w:type="dxa"/>
            <w:tcBorders>
              <w:top w:val="nil"/>
              <w:left w:val="nil"/>
              <w:bottom w:val="single" w:color="000000" w:sz="4" w:space="0"/>
              <w:right w:val="single" w:color="000000" w:sz="4" w:space="0"/>
            </w:tcBorders>
            <w:vAlign w:val="center"/>
          </w:tcPr>
          <w:p w14:paraId="2E9318A7">
            <w:pPr>
              <w:jc w:val="left"/>
              <w:rPr>
                <w:rFonts w:ascii="宋体" w:hAnsi="宋体" w:cs="宋体"/>
                <w:color w:val="000000"/>
                <w:kern w:val="0"/>
                <w:sz w:val="24"/>
                <w:szCs w:val="24"/>
              </w:rPr>
            </w:pPr>
            <w:r>
              <w:rPr>
                <w:rFonts w:hint="eastAsia" w:ascii="宋体" w:hAnsi="宋体" w:cs="宋体"/>
                <w:color w:val="000000"/>
                <w:kern w:val="0"/>
                <w:sz w:val="24"/>
                <w:szCs w:val="24"/>
              </w:rPr>
              <w:t>一站式客户服务模块-客户服务小程序</w:t>
            </w:r>
          </w:p>
        </w:tc>
        <w:tc>
          <w:tcPr>
            <w:tcW w:w="4401" w:type="dxa"/>
            <w:tcBorders>
              <w:top w:val="nil"/>
              <w:left w:val="nil"/>
              <w:bottom w:val="single" w:color="000000" w:sz="4" w:space="0"/>
              <w:right w:val="single" w:color="000000" w:sz="4" w:space="0"/>
            </w:tcBorders>
            <w:vAlign w:val="center"/>
          </w:tcPr>
          <w:p w14:paraId="5C259163">
            <w:pPr>
              <w:jc w:val="left"/>
              <w:rPr>
                <w:rFonts w:ascii="宋体" w:hAnsi="宋体" w:cs="宋体"/>
                <w:color w:val="000000"/>
                <w:kern w:val="0"/>
                <w:sz w:val="24"/>
                <w:szCs w:val="24"/>
              </w:rPr>
            </w:pPr>
            <w:r>
              <w:rPr>
                <w:rFonts w:hint="eastAsia" w:ascii="宋体" w:hAnsi="宋体" w:cs="宋体"/>
                <w:color w:val="000000"/>
                <w:kern w:val="0"/>
                <w:sz w:val="24"/>
                <w:szCs w:val="24"/>
              </w:rPr>
              <w:t>构建客户服务小程序，为客户提供掌上办公业务，通过移动端查询检测能力、业务流程、获取联系方式、进度查询、在线查询报告真伪、统计分析等功能。</w:t>
            </w:r>
          </w:p>
        </w:tc>
      </w:tr>
      <w:tr w14:paraId="5E3F3E44">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57CDF954">
            <w:pPr>
              <w:jc w:val="center"/>
              <w:rPr>
                <w:rFonts w:ascii="宋体" w:hAnsi="宋体" w:cs="宋体"/>
                <w:color w:val="000000"/>
                <w:kern w:val="0"/>
                <w:sz w:val="24"/>
                <w:szCs w:val="24"/>
              </w:rPr>
            </w:pPr>
            <w:r>
              <w:rPr>
                <w:rFonts w:hint="eastAsia" w:ascii="宋体" w:hAnsi="宋体" w:cs="宋体"/>
                <w:color w:val="000000"/>
                <w:kern w:val="0"/>
                <w:sz w:val="24"/>
                <w:szCs w:val="24"/>
              </w:rPr>
              <w:t>18</w:t>
            </w:r>
          </w:p>
        </w:tc>
        <w:tc>
          <w:tcPr>
            <w:tcW w:w="1580" w:type="dxa"/>
            <w:tcBorders>
              <w:top w:val="nil"/>
              <w:left w:val="nil"/>
              <w:bottom w:val="single" w:color="000000" w:sz="4" w:space="0"/>
              <w:right w:val="single" w:color="000000" w:sz="4" w:space="0"/>
            </w:tcBorders>
            <w:vAlign w:val="center"/>
          </w:tcPr>
          <w:p w14:paraId="13E302E1">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06F232C8">
            <w:pPr>
              <w:jc w:val="left"/>
              <w:rPr>
                <w:rFonts w:ascii="宋体" w:hAnsi="宋体" w:cs="宋体"/>
                <w:color w:val="000000"/>
                <w:kern w:val="0"/>
                <w:sz w:val="24"/>
                <w:szCs w:val="24"/>
              </w:rPr>
            </w:pPr>
            <w:r>
              <w:rPr>
                <w:rFonts w:hint="eastAsia" w:ascii="宋体" w:hAnsi="宋体" w:cs="宋体"/>
                <w:color w:val="000000"/>
                <w:kern w:val="0"/>
                <w:sz w:val="24"/>
                <w:szCs w:val="24"/>
              </w:rPr>
              <w:t>业务受理模块-客户管理</w:t>
            </w:r>
          </w:p>
        </w:tc>
        <w:tc>
          <w:tcPr>
            <w:tcW w:w="4401" w:type="dxa"/>
            <w:tcBorders>
              <w:top w:val="nil"/>
              <w:left w:val="nil"/>
              <w:bottom w:val="single" w:color="000000" w:sz="4" w:space="0"/>
              <w:right w:val="single" w:color="000000" w:sz="4" w:space="0"/>
            </w:tcBorders>
            <w:vAlign w:val="center"/>
          </w:tcPr>
          <w:p w14:paraId="1492C93F">
            <w:pPr>
              <w:jc w:val="left"/>
              <w:rPr>
                <w:rFonts w:ascii="宋体" w:hAnsi="宋体" w:cs="宋体"/>
                <w:color w:val="000000"/>
                <w:kern w:val="0"/>
                <w:sz w:val="24"/>
                <w:szCs w:val="24"/>
              </w:rPr>
            </w:pPr>
            <w:r>
              <w:rPr>
                <w:rFonts w:hint="eastAsia" w:ascii="宋体" w:hAnsi="宋体" w:cs="宋体"/>
                <w:color w:val="000000"/>
                <w:kern w:val="0"/>
                <w:sz w:val="24"/>
                <w:szCs w:val="24"/>
              </w:rPr>
              <w:t>管理客户基本信息、客户联系人管理，关联客户的累计成交额、历史成交信息、成交次数、上次成交日期等记录、付款记录、委托记录等信息汇总</w:t>
            </w:r>
          </w:p>
        </w:tc>
      </w:tr>
      <w:tr w14:paraId="21DE7700">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3B44A260">
            <w:pPr>
              <w:jc w:val="center"/>
              <w:rPr>
                <w:rFonts w:ascii="宋体" w:hAnsi="宋体" w:cs="宋体"/>
                <w:color w:val="000000"/>
                <w:kern w:val="0"/>
                <w:sz w:val="24"/>
                <w:szCs w:val="24"/>
              </w:rPr>
            </w:pPr>
            <w:r>
              <w:rPr>
                <w:rFonts w:hint="eastAsia" w:ascii="宋体" w:hAnsi="宋体" w:cs="宋体"/>
                <w:color w:val="000000"/>
                <w:kern w:val="0"/>
                <w:sz w:val="24"/>
                <w:szCs w:val="24"/>
              </w:rPr>
              <w:t>19</w:t>
            </w:r>
          </w:p>
        </w:tc>
        <w:tc>
          <w:tcPr>
            <w:tcW w:w="1580" w:type="dxa"/>
            <w:tcBorders>
              <w:top w:val="nil"/>
              <w:left w:val="nil"/>
              <w:bottom w:val="single" w:color="000000" w:sz="4" w:space="0"/>
              <w:right w:val="single" w:color="000000" w:sz="4" w:space="0"/>
            </w:tcBorders>
            <w:vAlign w:val="center"/>
          </w:tcPr>
          <w:p w14:paraId="53161763">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118C1AFE">
            <w:pPr>
              <w:jc w:val="left"/>
              <w:rPr>
                <w:rFonts w:ascii="宋体" w:hAnsi="宋体" w:cs="宋体"/>
                <w:color w:val="000000"/>
                <w:kern w:val="0"/>
                <w:sz w:val="24"/>
                <w:szCs w:val="24"/>
              </w:rPr>
            </w:pPr>
            <w:r>
              <w:rPr>
                <w:rFonts w:hint="eastAsia" w:ascii="宋体" w:hAnsi="宋体" w:cs="宋体"/>
                <w:color w:val="000000"/>
                <w:kern w:val="0"/>
                <w:sz w:val="24"/>
                <w:szCs w:val="24"/>
              </w:rPr>
              <w:t>业务受理模块-合同管理-合同管理</w:t>
            </w:r>
          </w:p>
        </w:tc>
        <w:tc>
          <w:tcPr>
            <w:tcW w:w="4401" w:type="dxa"/>
            <w:tcBorders>
              <w:top w:val="nil"/>
              <w:left w:val="nil"/>
              <w:bottom w:val="single" w:color="000000" w:sz="4" w:space="0"/>
              <w:right w:val="single" w:color="000000" w:sz="4" w:space="0"/>
            </w:tcBorders>
            <w:vAlign w:val="center"/>
          </w:tcPr>
          <w:p w14:paraId="46F43693">
            <w:pPr>
              <w:jc w:val="left"/>
              <w:rPr>
                <w:rFonts w:ascii="宋体" w:hAnsi="宋体" w:cs="宋体"/>
                <w:color w:val="000000"/>
                <w:kern w:val="0"/>
                <w:sz w:val="24"/>
                <w:szCs w:val="24"/>
              </w:rPr>
            </w:pPr>
            <w:r>
              <w:rPr>
                <w:rFonts w:hint="eastAsia" w:ascii="宋体" w:hAnsi="宋体" w:cs="宋体"/>
                <w:color w:val="000000"/>
                <w:kern w:val="0"/>
                <w:sz w:val="24"/>
                <w:szCs w:val="24"/>
              </w:rPr>
              <w:t>对检测合同信息进行登记，支持查看合同信息，支持对合同进行跟踪，支持合同到期系统自动提醒。支持上传正式合同附件。合同中可包含结构化的检测方案，包括预估检测的构件数量、构件类型、计价单位，单价，总价等信息。</w:t>
            </w:r>
          </w:p>
        </w:tc>
      </w:tr>
      <w:tr w14:paraId="2A45D375">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E880D6B">
            <w:pPr>
              <w:jc w:val="center"/>
              <w:rPr>
                <w:rFonts w:ascii="宋体" w:hAnsi="宋体" w:cs="宋体"/>
                <w:color w:val="000000"/>
                <w:kern w:val="0"/>
                <w:sz w:val="24"/>
                <w:szCs w:val="24"/>
              </w:rPr>
            </w:pPr>
            <w:r>
              <w:rPr>
                <w:rFonts w:hint="eastAsia" w:ascii="宋体" w:hAnsi="宋体" w:cs="宋体"/>
                <w:color w:val="000000"/>
                <w:kern w:val="0"/>
                <w:sz w:val="24"/>
                <w:szCs w:val="24"/>
              </w:rPr>
              <w:t>20</w:t>
            </w:r>
          </w:p>
        </w:tc>
        <w:tc>
          <w:tcPr>
            <w:tcW w:w="1580" w:type="dxa"/>
            <w:tcBorders>
              <w:top w:val="nil"/>
              <w:left w:val="nil"/>
              <w:bottom w:val="single" w:color="000000" w:sz="4" w:space="0"/>
              <w:right w:val="single" w:color="000000" w:sz="4" w:space="0"/>
            </w:tcBorders>
            <w:vAlign w:val="center"/>
          </w:tcPr>
          <w:p w14:paraId="7477BA94">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303DB195">
            <w:pPr>
              <w:jc w:val="left"/>
              <w:rPr>
                <w:rFonts w:ascii="宋体" w:hAnsi="宋体" w:cs="宋体"/>
                <w:color w:val="000000"/>
                <w:kern w:val="0"/>
                <w:sz w:val="24"/>
                <w:szCs w:val="24"/>
              </w:rPr>
            </w:pPr>
            <w:r>
              <w:rPr>
                <w:rFonts w:hint="eastAsia" w:ascii="宋体" w:hAnsi="宋体" w:cs="宋体"/>
                <w:color w:val="000000"/>
                <w:kern w:val="0"/>
                <w:sz w:val="24"/>
                <w:szCs w:val="24"/>
              </w:rPr>
              <w:t>业务受理模块-合同管理-合同变更管理</w:t>
            </w:r>
          </w:p>
        </w:tc>
        <w:tc>
          <w:tcPr>
            <w:tcW w:w="4401" w:type="dxa"/>
            <w:tcBorders>
              <w:top w:val="nil"/>
              <w:left w:val="nil"/>
              <w:bottom w:val="single" w:color="000000" w:sz="4" w:space="0"/>
              <w:right w:val="single" w:color="000000" w:sz="4" w:space="0"/>
            </w:tcBorders>
            <w:vAlign w:val="center"/>
          </w:tcPr>
          <w:p w14:paraId="49D277AC">
            <w:pPr>
              <w:jc w:val="left"/>
              <w:rPr>
                <w:rFonts w:ascii="宋体" w:hAnsi="宋体" w:cs="宋体"/>
                <w:color w:val="000000"/>
                <w:kern w:val="0"/>
                <w:sz w:val="24"/>
                <w:szCs w:val="24"/>
              </w:rPr>
            </w:pPr>
            <w:r>
              <w:rPr>
                <w:rFonts w:hint="eastAsia" w:ascii="宋体" w:hAnsi="宋体" w:cs="宋体"/>
                <w:color w:val="000000"/>
                <w:kern w:val="0"/>
                <w:sz w:val="24"/>
                <w:szCs w:val="24"/>
              </w:rPr>
              <w:t>合同信息有误，支持进行合同变更，包括合同变更申请、审核管理</w:t>
            </w:r>
          </w:p>
        </w:tc>
      </w:tr>
      <w:tr w14:paraId="409183AB">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53CDFE67">
            <w:pPr>
              <w:jc w:val="center"/>
              <w:rPr>
                <w:rFonts w:ascii="宋体" w:hAnsi="宋体" w:cs="宋体"/>
                <w:color w:val="000000"/>
                <w:kern w:val="0"/>
                <w:sz w:val="24"/>
                <w:szCs w:val="24"/>
              </w:rPr>
            </w:pPr>
            <w:r>
              <w:rPr>
                <w:rFonts w:hint="eastAsia" w:ascii="宋体" w:hAnsi="宋体" w:cs="宋体"/>
                <w:color w:val="000000"/>
                <w:kern w:val="0"/>
                <w:sz w:val="24"/>
                <w:szCs w:val="24"/>
              </w:rPr>
              <w:t>21</w:t>
            </w:r>
          </w:p>
        </w:tc>
        <w:tc>
          <w:tcPr>
            <w:tcW w:w="1580" w:type="dxa"/>
            <w:tcBorders>
              <w:top w:val="nil"/>
              <w:left w:val="nil"/>
              <w:bottom w:val="single" w:color="000000" w:sz="4" w:space="0"/>
              <w:right w:val="single" w:color="000000" w:sz="4" w:space="0"/>
            </w:tcBorders>
            <w:vAlign w:val="center"/>
          </w:tcPr>
          <w:p w14:paraId="20A59986">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0BFF76EF">
            <w:pPr>
              <w:jc w:val="left"/>
              <w:rPr>
                <w:rFonts w:ascii="宋体" w:hAnsi="宋体" w:cs="宋体"/>
                <w:color w:val="000000"/>
                <w:kern w:val="0"/>
                <w:sz w:val="24"/>
                <w:szCs w:val="24"/>
              </w:rPr>
            </w:pPr>
            <w:r>
              <w:rPr>
                <w:rFonts w:hint="eastAsia" w:ascii="宋体" w:hAnsi="宋体" w:cs="宋体"/>
                <w:color w:val="000000"/>
                <w:kern w:val="0"/>
                <w:sz w:val="24"/>
                <w:szCs w:val="24"/>
              </w:rPr>
              <w:t>业务受理模块-合同管理-合同电子签章</w:t>
            </w:r>
          </w:p>
        </w:tc>
        <w:tc>
          <w:tcPr>
            <w:tcW w:w="4401" w:type="dxa"/>
            <w:tcBorders>
              <w:top w:val="nil"/>
              <w:left w:val="nil"/>
              <w:bottom w:val="single" w:color="000000" w:sz="4" w:space="0"/>
              <w:right w:val="single" w:color="000000" w:sz="4" w:space="0"/>
            </w:tcBorders>
            <w:vAlign w:val="center"/>
          </w:tcPr>
          <w:p w14:paraId="62826CB7">
            <w:pPr>
              <w:jc w:val="left"/>
              <w:rPr>
                <w:rFonts w:ascii="宋体" w:hAnsi="宋体" w:cs="宋体"/>
                <w:color w:val="000000"/>
                <w:kern w:val="0"/>
                <w:sz w:val="24"/>
                <w:szCs w:val="24"/>
              </w:rPr>
            </w:pPr>
            <w:r>
              <w:rPr>
                <w:rFonts w:hint="eastAsia" w:ascii="宋体" w:hAnsi="宋体" w:cs="宋体"/>
                <w:color w:val="000000"/>
                <w:kern w:val="0"/>
                <w:sz w:val="24"/>
                <w:szCs w:val="24"/>
              </w:rPr>
              <w:t>系统通过与CA系统集成，实现合同电子签章管理。</w:t>
            </w:r>
          </w:p>
        </w:tc>
      </w:tr>
      <w:tr w14:paraId="7CB2873B">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29751322">
            <w:pPr>
              <w:jc w:val="center"/>
              <w:rPr>
                <w:rFonts w:ascii="宋体" w:hAnsi="宋体" w:cs="宋体"/>
                <w:color w:val="000000"/>
                <w:kern w:val="0"/>
                <w:sz w:val="24"/>
                <w:szCs w:val="24"/>
              </w:rPr>
            </w:pPr>
            <w:r>
              <w:rPr>
                <w:rFonts w:hint="eastAsia" w:ascii="宋体" w:hAnsi="宋体" w:cs="宋体"/>
                <w:color w:val="000000"/>
                <w:kern w:val="0"/>
                <w:sz w:val="24"/>
                <w:szCs w:val="24"/>
              </w:rPr>
              <w:t>22</w:t>
            </w:r>
          </w:p>
        </w:tc>
        <w:tc>
          <w:tcPr>
            <w:tcW w:w="1580" w:type="dxa"/>
            <w:tcBorders>
              <w:top w:val="nil"/>
              <w:left w:val="nil"/>
              <w:bottom w:val="single" w:color="000000" w:sz="4" w:space="0"/>
              <w:right w:val="single" w:color="000000" w:sz="4" w:space="0"/>
            </w:tcBorders>
            <w:vAlign w:val="center"/>
          </w:tcPr>
          <w:p w14:paraId="0B6BDB4B">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43C87ADA">
            <w:pPr>
              <w:jc w:val="left"/>
              <w:rPr>
                <w:rFonts w:ascii="宋体" w:hAnsi="宋体" w:cs="宋体"/>
                <w:color w:val="000000"/>
                <w:kern w:val="0"/>
                <w:sz w:val="24"/>
                <w:szCs w:val="24"/>
              </w:rPr>
            </w:pPr>
            <w:r>
              <w:rPr>
                <w:rFonts w:hint="eastAsia" w:ascii="宋体" w:hAnsi="宋体" w:cs="宋体"/>
                <w:color w:val="000000"/>
                <w:kern w:val="0"/>
                <w:sz w:val="24"/>
                <w:szCs w:val="24"/>
              </w:rPr>
              <w:t>业务受理模块-合同管理-合同查询管理</w:t>
            </w:r>
          </w:p>
        </w:tc>
        <w:tc>
          <w:tcPr>
            <w:tcW w:w="4401" w:type="dxa"/>
            <w:tcBorders>
              <w:top w:val="nil"/>
              <w:left w:val="nil"/>
              <w:bottom w:val="single" w:color="000000" w:sz="4" w:space="0"/>
              <w:right w:val="single" w:color="000000" w:sz="4" w:space="0"/>
            </w:tcBorders>
            <w:vAlign w:val="center"/>
          </w:tcPr>
          <w:p w14:paraId="7D1DD648">
            <w:pPr>
              <w:jc w:val="left"/>
              <w:rPr>
                <w:rFonts w:ascii="宋体" w:hAnsi="宋体" w:cs="宋体"/>
                <w:color w:val="000000"/>
                <w:kern w:val="0"/>
                <w:sz w:val="24"/>
                <w:szCs w:val="24"/>
              </w:rPr>
            </w:pPr>
            <w:r>
              <w:rPr>
                <w:rFonts w:hint="eastAsia" w:ascii="宋体" w:hAnsi="宋体" w:cs="宋体"/>
                <w:color w:val="000000"/>
                <w:kern w:val="0"/>
                <w:sz w:val="24"/>
                <w:szCs w:val="24"/>
              </w:rPr>
              <w:t>系统支持合同信息快捷查询，关联客户、关联委托单、关联收费、关联开票等联合查询。跟踪与合同相关的收款、开票、结算等信息。</w:t>
            </w:r>
          </w:p>
        </w:tc>
      </w:tr>
      <w:tr w14:paraId="3A9E26C9">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7FAE508">
            <w:pPr>
              <w:jc w:val="center"/>
              <w:rPr>
                <w:rFonts w:ascii="宋体" w:hAnsi="宋体" w:cs="宋体"/>
                <w:color w:val="000000"/>
                <w:kern w:val="0"/>
                <w:sz w:val="24"/>
                <w:szCs w:val="24"/>
              </w:rPr>
            </w:pPr>
            <w:r>
              <w:rPr>
                <w:rFonts w:hint="eastAsia" w:ascii="宋体" w:hAnsi="宋体" w:cs="宋体"/>
                <w:color w:val="000000"/>
                <w:kern w:val="0"/>
                <w:sz w:val="24"/>
                <w:szCs w:val="24"/>
              </w:rPr>
              <w:t>24</w:t>
            </w:r>
          </w:p>
        </w:tc>
        <w:tc>
          <w:tcPr>
            <w:tcW w:w="1580" w:type="dxa"/>
            <w:tcBorders>
              <w:top w:val="nil"/>
              <w:left w:val="nil"/>
              <w:bottom w:val="single" w:color="000000" w:sz="4" w:space="0"/>
              <w:right w:val="single" w:color="000000" w:sz="4" w:space="0"/>
            </w:tcBorders>
            <w:vAlign w:val="center"/>
          </w:tcPr>
          <w:p w14:paraId="1F3154D3">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428FF23A">
            <w:pPr>
              <w:jc w:val="left"/>
              <w:rPr>
                <w:rFonts w:ascii="宋体" w:hAnsi="宋体" w:cs="宋体"/>
                <w:color w:val="000000"/>
                <w:kern w:val="0"/>
                <w:sz w:val="24"/>
                <w:szCs w:val="24"/>
              </w:rPr>
            </w:pPr>
            <w:r>
              <w:rPr>
                <w:rFonts w:hint="eastAsia" w:ascii="宋体" w:hAnsi="宋体" w:cs="宋体"/>
                <w:color w:val="000000"/>
                <w:kern w:val="0"/>
                <w:sz w:val="24"/>
                <w:szCs w:val="24"/>
              </w:rPr>
              <w:t>业务受理模块-到账管理</w:t>
            </w:r>
          </w:p>
        </w:tc>
        <w:tc>
          <w:tcPr>
            <w:tcW w:w="4401" w:type="dxa"/>
            <w:tcBorders>
              <w:top w:val="nil"/>
              <w:left w:val="nil"/>
              <w:bottom w:val="single" w:color="000000" w:sz="4" w:space="0"/>
              <w:right w:val="single" w:color="000000" w:sz="4" w:space="0"/>
            </w:tcBorders>
            <w:vAlign w:val="center"/>
          </w:tcPr>
          <w:p w14:paraId="274C712A">
            <w:pPr>
              <w:jc w:val="left"/>
              <w:rPr>
                <w:rFonts w:ascii="宋体" w:hAnsi="宋体" w:cs="宋体"/>
                <w:color w:val="000000"/>
                <w:kern w:val="0"/>
                <w:sz w:val="24"/>
                <w:szCs w:val="24"/>
              </w:rPr>
            </w:pPr>
            <w:r>
              <w:rPr>
                <w:rFonts w:hint="eastAsia" w:ascii="宋体" w:hAnsi="宋体" w:cs="宋体"/>
                <w:color w:val="000000"/>
                <w:kern w:val="0"/>
                <w:sz w:val="24"/>
                <w:szCs w:val="24"/>
              </w:rPr>
              <w:t>实现银行到账信息模板导入以及到账信息发布功能。实现中心认领到账信息与审核流程；实现银行回单线上认领功能；实现到账认领完成后的内部转账与调整流程。并增加外汇转人民币到账所需信息功能。</w:t>
            </w:r>
          </w:p>
        </w:tc>
      </w:tr>
      <w:tr w14:paraId="004A1B27">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042AE48">
            <w:pPr>
              <w:jc w:val="center"/>
              <w:rPr>
                <w:rFonts w:ascii="宋体" w:hAnsi="宋体" w:cs="宋体"/>
                <w:color w:val="000000"/>
                <w:kern w:val="0"/>
                <w:sz w:val="24"/>
                <w:szCs w:val="24"/>
              </w:rPr>
            </w:pPr>
            <w:r>
              <w:rPr>
                <w:rFonts w:hint="eastAsia" w:ascii="宋体" w:hAnsi="宋体" w:cs="宋体"/>
                <w:color w:val="000000"/>
                <w:kern w:val="0"/>
                <w:sz w:val="24"/>
                <w:szCs w:val="24"/>
              </w:rPr>
              <w:t>25</w:t>
            </w:r>
          </w:p>
        </w:tc>
        <w:tc>
          <w:tcPr>
            <w:tcW w:w="1580" w:type="dxa"/>
            <w:tcBorders>
              <w:top w:val="nil"/>
              <w:left w:val="nil"/>
              <w:bottom w:val="single" w:color="000000" w:sz="4" w:space="0"/>
              <w:right w:val="single" w:color="000000" w:sz="4" w:space="0"/>
            </w:tcBorders>
            <w:vAlign w:val="center"/>
          </w:tcPr>
          <w:p w14:paraId="7924E202">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16FF6F79">
            <w:pPr>
              <w:jc w:val="left"/>
              <w:rPr>
                <w:rFonts w:ascii="宋体" w:hAnsi="宋体" w:cs="宋体"/>
                <w:color w:val="000000"/>
                <w:kern w:val="0"/>
                <w:sz w:val="24"/>
                <w:szCs w:val="24"/>
              </w:rPr>
            </w:pPr>
            <w:r>
              <w:rPr>
                <w:rFonts w:hint="eastAsia" w:ascii="宋体" w:hAnsi="宋体" w:cs="宋体"/>
                <w:color w:val="000000"/>
                <w:kern w:val="0"/>
                <w:sz w:val="24"/>
                <w:szCs w:val="24"/>
              </w:rPr>
              <w:t>业务受理模块-开票管理</w:t>
            </w:r>
          </w:p>
        </w:tc>
        <w:tc>
          <w:tcPr>
            <w:tcW w:w="4401" w:type="dxa"/>
            <w:tcBorders>
              <w:top w:val="nil"/>
              <w:left w:val="nil"/>
              <w:bottom w:val="single" w:color="000000" w:sz="4" w:space="0"/>
              <w:right w:val="single" w:color="000000" w:sz="4" w:space="0"/>
            </w:tcBorders>
            <w:vAlign w:val="center"/>
          </w:tcPr>
          <w:p w14:paraId="60643B77">
            <w:pPr>
              <w:jc w:val="left"/>
              <w:rPr>
                <w:rFonts w:ascii="宋体" w:hAnsi="宋体" w:cs="宋体"/>
                <w:color w:val="000000"/>
                <w:kern w:val="0"/>
                <w:sz w:val="24"/>
                <w:szCs w:val="24"/>
              </w:rPr>
            </w:pPr>
            <w:r>
              <w:rPr>
                <w:rFonts w:hint="eastAsia" w:ascii="宋体" w:hAnsi="宋体" w:cs="宋体"/>
                <w:color w:val="000000"/>
                <w:kern w:val="0"/>
                <w:sz w:val="24"/>
                <w:szCs w:val="24"/>
              </w:rPr>
              <w:t>开票申请流程管理、开票申请表单管理、开票关联委托单、关联到账、关联发票信息等综合管理。到账开票包括多种情况，如：到账金额与合同金额相同，到账金额大于合同金额、到账金额小于合同金额、已经到账找不到委托方、按照合同分进度付款等情况。此时需考虑到账信息与合同信息、委托信息多对多关联，并自动统计到账金额、已开票金额、未开票金额等，并支持导出费用核算一览表。</w:t>
            </w:r>
          </w:p>
        </w:tc>
      </w:tr>
      <w:tr w14:paraId="3F863D53">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36004F41">
            <w:pPr>
              <w:jc w:val="center"/>
              <w:rPr>
                <w:rFonts w:ascii="宋体" w:hAnsi="宋体" w:cs="宋体"/>
                <w:color w:val="000000"/>
                <w:kern w:val="0"/>
                <w:sz w:val="24"/>
                <w:szCs w:val="24"/>
              </w:rPr>
            </w:pPr>
            <w:r>
              <w:rPr>
                <w:rFonts w:hint="eastAsia" w:ascii="宋体" w:hAnsi="宋体" w:cs="宋体"/>
                <w:color w:val="000000"/>
                <w:kern w:val="0"/>
                <w:sz w:val="24"/>
                <w:szCs w:val="24"/>
              </w:rPr>
              <w:t>34</w:t>
            </w:r>
          </w:p>
        </w:tc>
        <w:tc>
          <w:tcPr>
            <w:tcW w:w="1580" w:type="dxa"/>
            <w:tcBorders>
              <w:top w:val="nil"/>
              <w:left w:val="nil"/>
              <w:bottom w:val="single" w:color="000000" w:sz="4" w:space="0"/>
              <w:right w:val="single" w:color="000000" w:sz="4" w:space="0"/>
            </w:tcBorders>
            <w:vAlign w:val="center"/>
          </w:tcPr>
          <w:p w14:paraId="44ED5146">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5F53B86E">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智慧检验检测模块-检测业务流程管理-业务受理</w:t>
            </w:r>
          </w:p>
        </w:tc>
        <w:tc>
          <w:tcPr>
            <w:tcW w:w="4401" w:type="dxa"/>
            <w:tcBorders>
              <w:top w:val="nil"/>
              <w:left w:val="nil"/>
              <w:bottom w:val="single" w:color="000000" w:sz="4" w:space="0"/>
              <w:right w:val="single" w:color="000000" w:sz="4" w:space="0"/>
            </w:tcBorders>
            <w:vAlign w:val="center"/>
          </w:tcPr>
          <w:p w14:paraId="29D7312C">
            <w:pPr>
              <w:jc w:val="left"/>
              <w:rPr>
                <w:rFonts w:ascii="宋体" w:hAnsi="宋体" w:cs="宋体"/>
                <w:color w:val="000000"/>
                <w:kern w:val="0"/>
                <w:sz w:val="24"/>
                <w:szCs w:val="24"/>
              </w:rPr>
            </w:pPr>
            <w:r>
              <w:rPr>
                <w:rFonts w:hint="eastAsia" w:ascii="宋体" w:hAnsi="宋体" w:cs="宋体"/>
                <w:color w:val="000000"/>
                <w:kern w:val="0"/>
                <w:sz w:val="24"/>
                <w:szCs w:val="24"/>
              </w:rPr>
              <w:t>业务受理功能支持登记检品基本信息，登记信息包含检品基本信息、收检信息、检验任务优先级等；支持选择检品需检测的检验项目、各项目检验依据、评价标准，确定各检验项目的检验科室；支持分配检验用样与留样数量；支持将检品收检过程中相关资料通过高拍仪拍照、扫描等方式转为电子版文件上传至系统进行统一管理并与检品一同流转。</w:t>
            </w:r>
          </w:p>
        </w:tc>
      </w:tr>
      <w:tr w14:paraId="6133D837">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BEB78EA">
            <w:pPr>
              <w:jc w:val="center"/>
              <w:rPr>
                <w:rFonts w:ascii="宋体" w:hAnsi="宋体" w:cs="宋体"/>
                <w:color w:val="000000"/>
                <w:kern w:val="0"/>
                <w:sz w:val="24"/>
                <w:szCs w:val="24"/>
              </w:rPr>
            </w:pPr>
            <w:r>
              <w:rPr>
                <w:rFonts w:hint="eastAsia" w:ascii="宋体" w:hAnsi="宋体" w:cs="宋体"/>
                <w:color w:val="000000"/>
                <w:kern w:val="0"/>
                <w:sz w:val="24"/>
                <w:szCs w:val="24"/>
              </w:rPr>
              <w:t>35</w:t>
            </w:r>
          </w:p>
        </w:tc>
        <w:tc>
          <w:tcPr>
            <w:tcW w:w="1580" w:type="dxa"/>
            <w:tcBorders>
              <w:top w:val="nil"/>
              <w:left w:val="nil"/>
              <w:bottom w:val="single" w:color="000000" w:sz="4" w:space="0"/>
              <w:right w:val="single" w:color="000000" w:sz="4" w:space="0"/>
            </w:tcBorders>
            <w:vAlign w:val="center"/>
          </w:tcPr>
          <w:p w14:paraId="338A61BB">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5ED409AA">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智慧检验检测模块-检测业务流程管理-现场缴费管理</w:t>
            </w:r>
          </w:p>
        </w:tc>
        <w:tc>
          <w:tcPr>
            <w:tcW w:w="4401" w:type="dxa"/>
            <w:tcBorders>
              <w:top w:val="nil"/>
              <w:left w:val="nil"/>
              <w:bottom w:val="single" w:color="000000" w:sz="4" w:space="0"/>
              <w:right w:val="single" w:color="000000" w:sz="4" w:space="0"/>
            </w:tcBorders>
            <w:vAlign w:val="center"/>
          </w:tcPr>
          <w:p w14:paraId="0783AA95">
            <w:pPr>
              <w:jc w:val="left"/>
              <w:rPr>
                <w:rFonts w:ascii="宋体" w:hAnsi="宋体" w:cs="宋体"/>
                <w:color w:val="000000"/>
                <w:kern w:val="0"/>
                <w:sz w:val="24"/>
                <w:szCs w:val="24"/>
              </w:rPr>
            </w:pPr>
            <w:r>
              <w:rPr>
                <w:rFonts w:hint="eastAsia" w:ascii="宋体" w:hAnsi="宋体" w:cs="宋体"/>
                <w:color w:val="000000"/>
                <w:kern w:val="0"/>
                <w:sz w:val="24"/>
                <w:szCs w:val="24"/>
              </w:rPr>
              <w:t>对于需收费的检品，检品支持流转至财务科室，客户手执预缴费通知单到财务科室进行缴费，财务科室办理收费完成后，在系统中进行收费确认及相关已缴费处理。对于未缴费的样品，系统支持根据用户实际需求控制检验报告的打印与发放操作。</w:t>
            </w:r>
          </w:p>
        </w:tc>
      </w:tr>
      <w:tr w14:paraId="6A9A6441">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CFA97C4">
            <w:pPr>
              <w:jc w:val="center"/>
              <w:rPr>
                <w:rFonts w:ascii="宋体" w:hAnsi="宋体" w:cs="宋体"/>
                <w:color w:val="000000"/>
                <w:kern w:val="0"/>
                <w:sz w:val="24"/>
                <w:szCs w:val="24"/>
              </w:rPr>
            </w:pPr>
            <w:r>
              <w:rPr>
                <w:rFonts w:hint="eastAsia" w:ascii="宋体" w:hAnsi="宋体" w:cs="宋体"/>
                <w:color w:val="000000"/>
                <w:kern w:val="0"/>
                <w:sz w:val="24"/>
                <w:szCs w:val="24"/>
              </w:rPr>
              <w:t>36</w:t>
            </w:r>
          </w:p>
        </w:tc>
        <w:tc>
          <w:tcPr>
            <w:tcW w:w="1580" w:type="dxa"/>
            <w:tcBorders>
              <w:top w:val="nil"/>
              <w:left w:val="nil"/>
              <w:bottom w:val="single" w:color="000000" w:sz="4" w:space="0"/>
              <w:right w:val="single" w:color="000000" w:sz="4" w:space="0"/>
            </w:tcBorders>
            <w:vAlign w:val="center"/>
          </w:tcPr>
          <w:p w14:paraId="549CEF40">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23935B2B">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智慧检验检测模块-检测业务流程管理-检品及留样管理</w:t>
            </w:r>
          </w:p>
        </w:tc>
        <w:tc>
          <w:tcPr>
            <w:tcW w:w="4401" w:type="dxa"/>
            <w:tcBorders>
              <w:top w:val="nil"/>
              <w:left w:val="nil"/>
              <w:bottom w:val="single" w:color="000000" w:sz="4" w:space="0"/>
              <w:right w:val="single" w:color="000000" w:sz="4" w:space="0"/>
            </w:tcBorders>
            <w:vAlign w:val="center"/>
          </w:tcPr>
          <w:p w14:paraId="671D5031">
            <w:pPr>
              <w:jc w:val="left"/>
              <w:rPr>
                <w:rFonts w:ascii="宋体" w:hAnsi="宋体" w:cs="宋体"/>
                <w:color w:val="000000"/>
                <w:kern w:val="0"/>
                <w:sz w:val="24"/>
                <w:szCs w:val="24"/>
              </w:rPr>
            </w:pPr>
            <w:r>
              <w:rPr>
                <w:rFonts w:hint="eastAsia" w:ascii="宋体" w:hAnsi="宋体" w:cs="宋体"/>
                <w:color w:val="000000"/>
                <w:kern w:val="0"/>
                <w:sz w:val="24"/>
                <w:szCs w:val="24"/>
              </w:rPr>
              <w:t>检品分配后，系统可以打印样品标签、留样标签、检品卡。样品标签包括：条形码、检品编号、检品名称、检验科室、检品状态（待检、在检、检毕）等信息；留样标签包括条形码、检品编号、检品名称、检验科室、留样数量、留样期等信息；检品卡按照检品种类而定。样品标签、留样标签和检品卡可以按照用户要求的格式通过报表来定制。</w:t>
            </w:r>
          </w:p>
        </w:tc>
      </w:tr>
      <w:tr w14:paraId="4063E89C">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0050680">
            <w:pPr>
              <w:jc w:val="center"/>
              <w:rPr>
                <w:rFonts w:ascii="宋体" w:hAnsi="宋体" w:cs="宋体"/>
                <w:color w:val="000000"/>
                <w:kern w:val="0"/>
                <w:sz w:val="24"/>
                <w:szCs w:val="24"/>
              </w:rPr>
            </w:pPr>
            <w:r>
              <w:rPr>
                <w:rFonts w:hint="eastAsia" w:ascii="宋体" w:hAnsi="宋体" w:cs="宋体"/>
                <w:color w:val="000000"/>
                <w:kern w:val="0"/>
                <w:sz w:val="24"/>
                <w:szCs w:val="24"/>
              </w:rPr>
              <w:t>37</w:t>
            </w:r>
          </w:p>
        </w:tc>
        <w:tc>
          <w:tcPr>
            <w:tcW w:w="1580" w:type="dxa"/>
            <w:tcBorders>
              <w:top w:val="nil"/>
              <w:left w:val="nil"/>
              <w:bottom w:val="single" w:color="000000" w:sz="4" w:space="0"/>
              <w:right w:val="single" w:color="000000" w:sz="4" w:space="0"/>
            </w:tcBorders>
            <w:vAlign w:val="center"/>
          </w:tcPr>
          <w:p w14:paraId="1BD74421">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2C5D617C">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智慧检验检测模块-检测业务流程管理-制样管理</w:t>
            </w:r>
          </w:p>
        </w:tc>
        <w:tc>
          <w:tcPr>
            <w:tcW w:w="4401" w:type="dxa"/>
            <w:tcBorders>
              <w:top w:val="nil"/>
              <w:left w:val="nil"/>
              <w:bottom w:val="single" w:color="000000" w:sz="4" w:space="0"/>
              <w:right w:val="single" w:color="000000" w:sz="4" w:space="0"/>
            </w:tcBorders>
            <w:vAlign w:val="center"/>
          </w:tcPr>
          <w:p w14:paraId="15718E11">
            <w:pPr>
              <w:jc w:val="left"/>
              <w:rPr>
                <w:rFonts w:ascii="宋体" w:hAnsi="宋体" w:cs="宋体"/>
                <w:color w:val="000000"/>
                <w:kern w:val="0"/>
                <w:sz w:val="24"/>
                <w:szCs w:val="24"/>
              </w:rPr>
            </w:pPr>
            <w:r>
              <w:rPr>
                <w:rFonts w:hint="eastAsia" w:ascii="宋体" w:hAnsi="宋体" w:cs="宋体"/>
                <w:color w:val="000000"/>
                <w:kern w:val="0"/>
                <w:sz w:val="24"/>
                <w:szCs w:val="24"/>
              </w:rPr>
              <w:t>系统实现制样任务列表管理，可以区分直接领用的样品和需要制样的样品，并能根据检验项目体现制样需求实现支持制样记录的电子化。支持制样后样品标贴的生成，能实现二维码扫码领用，并自动形成领用记录。</w:t>
            </w:r>
          </w:p>
        </w:tc>
      </w:tr>
      <w:tr w14:paraId="764183F0">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53DF789F">
            <w:pPr>
              <w:jc w:val="center"/>
              <w:rPr>
                <w:rFonts w:ascii="宋体" w:hAnsi="宋体" w:cs="宋体"/>
                <w:color w:val="000000"/>
                <w:kern w:val="0"/>
                <w:sz w:val="24"/>
                <w:szCs w:val="24"/>
              </w:rPr>
            </w:pPr>
            <w:r>
              <w:rPr>
                <w:rFonts w:hint="eastAsia" w:ascii="宋体" w:hAnsi="宋体" w:cs="宋体"/>
                <w:color w:val="000000"/>
                <w:kern w:val="0"/>
                <w:sz w:val="24"/>
                <w:szCs w:val="24"/>
              </w:rPr>
              <w:t>38</w:t>
            </w:r>
          </w:p>
        </w:tc>
        <w:tc>
          <w:tcPr>
            <w:tcW w:w="1580" w:type="dxa"/>
            <w:tcBorders>
              <w:top w:val="nil"/>
              <w:left w:val="nil"/>
              <w:bottom w:val="single" w:color="000000" w:sz="4" w:space="0"/>
              <w:right w:val="single" w:color="000000" w:sz="4" w:space="0"/>
            </w:tcBorders>
            <w:vAlign w:val="center"/>
          </w:tcPr>
          <w:p w14:paraId="3F233E55">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461B2329">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智慧检验检测模块-检测业务流程管理-检验任务分配与接收</w:t>
            </w:r>
          </w:p>
        </w:tc>
        <w:tc>
          <w:tcPr>
            <w:tcW w:w="4401" w:type="dxa"/>
            <w:tcBorders>
              <w:top w:val="nil"/>
              <w:left w:val="nil"/>
              <w:bottom w:val="single" w:color="000000" w:sz="4" w:space="0"/>
              <w:right w:val="single" w:color="000000" w:sz="4" w:space="0"/>
            </w:tcBorders>
            <w:vAlign w:val="center"/>
          </w:tcPr>
          <w:p w14:paraId="1A20C565">
            <w:pPr>
              <w:jc w:val="left"/>
              <w:rPr>
                <w:rFonts w:ascii="宋体" w:hAnsi="宋体" w:cs="宋体"/>
                <w:color w:val="000000"/>
                <w:kern w:val="0"/>
                <w:sz w:val="24"/>
                <w:szCs w:val="24"/>
              </w:rPr>
            </w:pPr>
            <w:r>
              <w:rPr>
                <w:rFonts w:hint="eastAsia" w:ascii="宋体" w:hAnsi="宋体" w:cs="宋体"/>
                <w:color w:val="000000"/>
                <w:kern w:val="0"/>
                <w:sz w:val="24"/>
                <w:szCs w:val="24"/>
              </w:rPr>
              <w:t>检验科室管理者接收检验任务之后，本科室所有待分配的样品将列在系统的“任务指派”模块中。支持按照不同的类别的形式分派任务（如：逐个分配，按项目分配，按报告分配），按不同的关键词检索项目（比如按检验依据、按项目、按样品名称等）。检验科室管理者可以根据检验员的检验技术能力，以及检验员已经承担的任务状况（包括：在检任务数量、项目等）进行检验任务及校核任务的分配。</w:t>
            </w:r>
          </w:p>
        </w:tc>
      </w:tr>
      <w:tr w14:paraId="09E3084C">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A6F7CA2">
            <w:pPr>
              <w:jc w:val="center"/>
              <w:rPr>
                <w:rFonts w:ascii="宋体" w:hAnsi="宋体" w:cs="宋体"/>
                <w:color w:val="000000"/>
                <w:kern w:val="0"/>
                <w:sz w:val="24"/>
                <w:szCs w:val="24"/>
              </w:rPr>
            </w:pPr>
            <w:r>
              <w:rPr>
                <w:rFonts w:hint="eastAsia" w:ascii="宋体" w:hAnsi="宋体" w:cs="宋体"/>
                <w:color w:val="000000"/>
                <w:kern w:val="0"/>
                <w:sz w:val="24"/>
                <w:szCs w:val="24"/>
              </w:rPr>
              <w:t>39</w:t>
            </w:r>
          </w:p>
        </w:tc>
        <w:tc>
          <w:tcPr>
            <w:tcW w:w="1580" w:type="dxa"/>
            <w:tcBorders>
              <w:top w:val="nil"/>
              <w:left w:val="nil"/>
              <w:bottom w:val="single" w:color="000000" w:sz="4" w:space="0"/>
              <w:right w:val="single" w:color="000000" w:sz="4" w:space="0"/>
            </w:tcBorders>
            <w:vAlign w:val="center"/>
          </w:tcPr>
          <w:p w14:paraId="320D22CD">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3CFCE50B">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智慧检验检测模块-检测业务流程管理-分析测试管理</w:t>
            </w:r>
          </w:p>
        </w:tc>
        <w:tc>
          <w:tcPr>
            <w:tcW w:w="4401" w:type="dxa"/>
            <w:tcBorders>
              <w:top w:val="nil"/>
              <w:left w:val="nil"/>
              <w:bottom w:val="single" w:color="000000" w:sz="4" w:space="0"/>
              <w:right w:val="single" w:color="000000" w:sz="4" w:space="0"/>
            </w:tcBorders>
            <w:vAlign w:val="center"/>
          </w:tcPr>
          <w:p w14:paraId="4CEBB747">
            <w:pPr>
              <w:jc w:val="left"/>
              <w:rPr>
                <w:rFonts w:ascii="宋体" w:hAnsi="宋体" w:cs="宋体"/>
                <w:color w:val="000000"/>
                <w:kern w:val="0"/>
                <w:sz w:val="24"/>
                <w:szCs w:val="24"/>
              </w:rPr>
            </w:pPr>
            <w:r>
              <w:rPr>
                <w:rFonts w:hint="eastAsia" w:ascii="宋体" w:hAnsi="宋体" w:cs="宋体"/>
                <w:color w:val="000000"/>
                <w:kern w:val="0"/>
                <w:sz w:val="24"/>
                <w:szCs w:val="24"/>
              </w:rPr>
              <w:t>在分析测试环节能够看到分配给检验人的所有“未开始实验”、“进行中实验”、“已完成试验”列表，可以单个或批量开始试验。</w:t>
            </w:r>
          </w:p>
        </w:tc>
      </w:tr>
      <w:tr w14:paraId="6EABBA6D">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5C1F57E">
            <w:pPr>
              <w:jc w:val="center"/>
              <w:rPr>
                <w:rFonts w:ascii="宋体" w:hAnsi="宋体" w:cs="宋体"/>
                <w:color w:val="000000"/>
                <w:kern w:val="0"/>
                <w:sz w:val="24"/>
                <w:szCs w:val="24"/>
              </w:rPr>
            </w:pPr>
            <w:r>
              <w:rPr>
                <w:rFonts w:hint="eastAsia" w:ascii="宋体" w:hAnsi="宋体" w:cs="宋体"/>
                <w:color w:val="000000"/>
                <w:kern w:val="0"/>
                <w:sz w:val="24"/>
                <w:szCs w:val="24"/>
              </w:rPr>
              <w:t>40</w:t>
            </w:r>
          </w:p>
        </w:tc>
        <w:tc>
          <w:tcPr>
            <w:tcW w:w="1580" w:type="dxa"/>
            <w:tcBorders>
              <w:top w:val="nil"/>
              <w:left w:val="nil"/>
              <w:bottom w:val="single" w:color="000000" w:sz="4" w:space="0"/>
              <w:right w:val="single" w:color="000000" w:sz="4" w:space="0"/>
            </w:tcBorders>
            <w:vAlign w:val="center"/>
          </w:tcPr>
          <w:p w14:paraId="5CF3D137">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10AE2125">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智慧检验检测模块-检测业务流程管理-记录校对与审核</w:t>
            </w:r>
          </w:p>
        </w:tc>
        <w:tc>
          <w:tcPr>
            <w:tcW w:w="4401" w:type="dxa"/>
            <w:tcBorders>
              <w:top w:val="nil"/>
              <w:left w:val="nil"/>
              <w:bottom w:val="single" w:color="000000" w:sz="4" w:space="0"/>
              <w:right w:val="single" w:color="000000" w:sz="4" w:space="0"/>
            </w:tcBorders>
            <w:vAlign w:val="center"/>
          </w:tcPr>
          <w:p w14:paraId="033A4D14">
            <w:pPr>
              <w:jc w:val="left"/>
              <w:rPr>
                <w:rFonts w:ascii="宋体" w:hAnsi="宋体" w:cs="宋体"/>
                <w:color w:val="000000"/>
                <w:kern w:val="0"/>
                <w:sz w:val="24"/>
                <w:szCs w:val="24"/>
              </w:rPr>
            </w:pPr>
            <w:r>
              <w:rPr>
                <w:rFonts w:hint="eastAsia" w:ascii="宋体" w:hAnsi="宋体" w:cs="宋体"/>
                <w:color w:val="000000"/>
                <w:kern w:val="0"/>
                <w:sz w:val="24"/>
                <w:szCs w:val="24"/>
              </w:rPr>
              <w:t>检验完成，系统支持相关人员对检验原始记录、数据等进行审核。在系统相关审核界面，支持记录校对与审核人查看待审核数据信息，系统支持对即将到期、超时限和检验期限内的检品用不同的颜色显示。也可在系统中添加重测并根据人员情况重新指派重测人员进行重新测试。</w:t>
            </w:r>
          </w:p>
        </w:tc>
      </w:tr>
      <w:tr w14:paraId="43A93405">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D1BD059">
            <w:pPr>
              <w:jc w:val="center"/>
              <w:rPr>
                <w:rFonts w:ascii="宋体" w:hAnsi="宋体" w:cs="宋体"/>
                <w:color w:val="000000"/>
                <w:kern w:val="0"/>
                <w:sz w:val="24"/>
                <w:szCs w:val="24"/>
              </w:rPr>
            </w:pPr>
            <w:r>
              <w:rPr>
                <w:rFonts w:hint="eastAsia" w:ascii="宋体" w:hAnsi="宋体" w:cs="宋体"/>
                <w:color w:val="000000"/>
                <w:kern w:val="0"/>
                <w:sz w:val="24"/>
                <w:szCs w:val="24"/>
              </w:rPr>
              <w:t>41</w:t>
            </w:r>
          </w:p>
        </w:tc>
        <w:tc>
          <w:tcPr>
            <w:tcW w:w="1580" w:type="dxa"/>
            <w:tcBorders>
              <w:top w:val="nil"/>
              <w:left w:val="nil"/>
              <w:bottom w:val="single" w:color="000000" w:sz="4" w:space="0"/>
              <w:right w:val="single" w:color="000000" w:sz="4" w:space="0"/>
            </w:tcBorders>
            <w:vAlign w:val="center"/>
          </w:tcPr>
          <w:p w14:paraId="3F14D4B4">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1D30C639">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智慧检验检测模块-检测业务流程管理-报告编制</w:t>
            </w:r>
          </w:p>
        </w:tc>
        <w:tc>
          <w:tcPr>
            <w:tcW w:w="4401" w:type="dxa"/>
            <w:tcBorders>
              <w:top w:val="nil"/>
              <w:left w:val="nil"/>
              <w:bottom w:val="single" w:color="000000" w:sz="4" w:space="0"/>
              <w:right w:val="single" w:color="000000" w:sz="4" w:space="0"/>
            </w:tcBorders>
            <w:vAlign w:val="center"/>
          </w:tcPr>
          <w:p w14:paraId="73314176">
            <w:pPr>
              <w:jc w:val="left"/>
              <w:rPr>
                <w:rFonts w:ascii="宋体" w:hAnsi="宋体" w:cs="宋体"/>
                <w:color w:val="000000"/>
                <w:kern w:val="0"/>
                <w:sz w:val="24"/>
                <w:szCs w:val="24"/>
              </w:rPr>
            </w:pPr>
            <w:r>
              <w:rPr>
                <w:rFonts w:hint="eastAsia" w:ascii="宋体" w:hAnsi="宋体" w:cs="宋体"/>
                <w:color w:val="000000"/>
                <w:kern w:val="0"/>
                <w:sz w:val="24"/>
                <w:szCs w:val="24"/>
              </w:rPr>
              <w:t>系统支持根据不同的业务领域、业务类型，定制多种不同的报告模板。也可以根据客户的要求，生成中文、英文或中英文格式的报告。系统支持根据业务类型设置的报告书打印份数、签章类别等。系统支持根据提前设定的符合机构检验报告要求的检品检验结论生成规则、检验报告书模板自动检品检验结论、检品检验报告书。</w:t>
            </w:r>
          </w:p>
        </w:tc>
      </w:tr>
      <w:tr w14:paraId="60386370">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D3D69E0">
            <w:pPr>
              <w:jc w:val="center"/>
              <w:rPr>
                <w:rFonts w:ascii="宋体" w:hAnsi="宋体" w:cs="宋体"/>
                <w:color w:val="000000"/>
                <w:kern w:val="0"/>
                <w:sz w:val="24"/>
                <w:szCs w:val="24"/>
              </w:rPr>
            </w:pPr>
            <w:r>
              <w:rPr>
                <w:rFonts w:hint="eastAsia" w:ascii="宋体" w:hAnsi="宋体" w:cs="宋体"/>
                <w:color w:val="000000"/>
                <w:kern w:val="0"/>
                <w:sz w:val="24"/>
                <w:szCs w:val="24"/>
              </w:rPr>
              <w:t>42</w:t>
            </w:r>
          </w:p>
        </w:tc>
        <w:tc>
          <w:tcPr>
            <w:tcW w:w="1580" w:type="dxa"/>
            <w:tcBorders>
              <w:top w:val="nil"/>
              <w:left w:val="nil"/>
              <w:bottom w:val="single" w:color="000000" w:sz="4" w:space="0"/>
              <w:right w:val="single" w:color="000000" w:sz="4" w:space="0"/>
            </w:tcBorders>
            <w:vAlign w:val="center"/>
          </w:tcPr>
          <w:p w14:paraId="481389D8">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309C0AA5">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智慧检验检测模块-检测业务流程管理-报告审核与签发</w:t>
            </w:r>
          </w:p>
        </w:tc>
        <w:tc>
          <w:tcPr>
            <w:tcW w:w="4401" w:type="dxa"/>
            <w:tcBorders>
              <w:top w:val="nil"/>
              <w:left w:val="nil"/>
              <w:bottom w:val="single" w:color="000000" w:sz="4" w:space="0"/>
              <w:right w:val="single" w:color="000000" w:sz="4" w:space="0"/>
            </w:tcBorders>
            <w:vAlign w:val="center"/>
          </w:tcPr>
          <w:p w14:paraId="6D513A59">
            <w:pPr>
              <w:jc w:val="left"/>
              <w:rPr>
                <w:rFonts w:ascii="宋体" w:hAnsi="宋体" w:cs="宋体"/>
                <w:color w:val="000000"/>
                <w:kern w:val="0"/>
                <w:sz w:val="24"/>
                <w:szCs w:val="24"/>
              </w:rPr>
            </w:pPr>
            <w:r>
              <w:rPr>
                <w:rFonts w:hint="eastAsia" w:ascii="宋体" w:hAnsi="宋体" w:cs="宋体"/>
                <w:color w:val="000000"/>
                <w:kern w:val="0"/>
                <w:sz w:val="24"/>
                <w:szCs w:val="24"/>
              </w:rPr>
              <w:t>系统中的检验报告审核与签发功能支持多级设置（二级或三级），支持根据检验机构实际需求及不同检验目的设置不同的审核与签发工作流程。支持检验报告书的查看、审核，支持实验记录、仪器数据、检验结果的追溯查看。</w:t>
            </w:r>
          </w:p>
        </w:tc>
      </w:tr>
      <w:tr w14:paraId="5C7B3D7F">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E4BAA4F">
            <w:pPr>
              <w:jc w:val="center"/>
              <w:rPr>
                <w:rFonts w:ascii="宋体" w:hAnsi="宋体" w:cs="宋体"/>
                <w:color w:val="000000"/>
                <w:kern w:val="0"/>
                <w:sz w:val="24"/>
                <w:szCs w:val="24"/>
              </w:rPr>
            </w:pPr>
            <w:r>
              <w:rPr>
                <w:rFonts w:hint="eastAsia" w:ascii="宋体" w:hAnsi="宋体" w:cs="宋体"/>
                <w:color w:val="000000"/>
                <w:kern w:val="0"/>
                <w:sz w:val="24"/>
                <w:szCs w:val="24"/>
              </w:rPr>
              <w:t>43</w:t>
            </w:r>
          </w:p>
        </w:tc>
        <w:tc>
          <w:tcPr>
            <w:tcW w:w="1580" w:type="dxa"/>
            <w:tcBorders>
              <w:top w:val="nil"/>
              <w:left w:val="nil"/>
              <w:bottom w:val="single" w:color="000000" w:sz="4" w:space="0"/>
              <w:right w:val="single" w:color="000000" w:sz="4" w:space="0"/>
            </w:tcBorders>
            <w:vAlign w:val="center"/>
          </w:tcPr>
          <w:p w14:paraId="67D184BE">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6BDE6A87">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智慧检验检测模块-检测业务流程管理-报告盖章与发放</w:t>
            </w:r>
          </w:p>
        </w:tc>
        <w:tc>
          <w:tcPr>
            <w:tcW w:w="4401" w:type="dxa"/>
            <w:tcBorders>
              <w:top w:val="nil"/>
              <w:left w:val="nil"/>
              <w:bottom w:val="single" w:color="000000" w:sz="4" w:space="0"/>
              <w:right w:val="single" w:color="000000" w:sz="4" w:space="0"/>
            </w:tcBorders>
            <w:vAlign w:val="center"/>
          </w:tcPr>
          <w:p w14:paraId="4EA9A066">
            <w:pPr>
              <w:jc w:val="left"/>
              <w:rPr>
                <w:rFonts w:ascii="宋体" w:hAnsi="宋体" w:cs="宋体"/>
                <w:color w:val="000000"/>
                <w:kern w:val="0"/>
                <w:sz w:val="24"/>
                <w:szCs w:val="24"/>
              </w:rPr>
            </w:pPr>
            <w:r>
              <w:rPr>
                <w:rFonts w:hint="eastAsia" w:ascii="宋体" w:hAnsi="宋体" w:cs="宋体"/>
                <w:color w:val="000000"/>
                <w:kern w:val="0"/>
                <w:sz w:val="24"/>
                <w:szCs w:val="24"/>
              </w:rPr>
              <w:t>“打印报告书”模块中，业务科室相关负责人可以预览检验报告书，确认无误后打印检验报告书、并盖章。系统支持集成CA电子签章系统，实现报告电子签章管理。系统支持设置报告书打印格式（横打、纵打），支持设置纸张大小等；支持利用彩色打印机打印带有CMA章、CNAS章、检验检测专用章等的检验报告书。支持记录报告书打印份数。</w:t>
            </w:r>
          </w:p>
        </w:tc>
      </w:tr>
      <w:tr w14:paraId="2EC2A7A3">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EF3262C">
            <w:pPr>
              <w:jc w:val="center"/>
              <w:rPr>
                <w:rFonts w:ascii="宋体" w:hAnsi="宋体" w:cs="宋体"/>
                <w:color w:val="000000"/>
                <w:kern w:val="0"/>
                <w:sz w:val="24"/>
                <w:szCs w:val="24"/>
              </w:rPr>
            </w:pPr>
            <w:r>
              <w:rPr>
                <w:rFonts w:hint="eastAsia" w:ascii="宋体" w:hAnsi="宋体" w:cs="宋体"/>
                <w:color w:val="000000"/>
                <w:kern w:val="0"/>
                <w:sz w:val="24"/>
                <w:szCs w:val="24"/>
              </w:rPr>
              <w:t>44</w:t>
            </w:r>
          </w:p>
        </w:tc>
        <w:tc>
          <w:tcPr>
            <w:tcW w:w="1580" w:type="dxa"/>
            <w:tcBorders>
              <w:top w:val="nil"/>
              <w:left w:val="nil"/>
              <w:bottom w:val="single" w:color="000000" w:sz="4" w:space="0"/>
              <w:right w:val="single" w:color="000000" w:sz="4" w:space="0"/>
            </w:tcBorders>
            <w:vAlign w:val="center"/>
          </w:tcPr>
          <w:p w14:paraId="510C5B8C">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6220E38C">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智慧检验检测模块-检测业务流程管理-报告归档管理</w:t>
            </w:r>
          </w:p>
        </w:tc>
        <w:tc>
          <w:tcPr>
            <w:tcW w:w="4401" w:type="dxa"/>
            <w:tcBorders>
              <w:top w:val="nil"/>
              <w:left w:val="nil"/>
              <w:bottom w:val="single" w:color="000000" w:sz="4" w:space="0"/>
              <w:right w:val="single" w:color="000000" w:sz="4" w:space="0"/>
            </w:tcBorders>
            <w:vAlign w:val="center"/>
          </w:tcPr>
          <w:p w14:paraId="22C65BF6">
            <w:pPr>
              <w:jc w:val="left"/>
              <w:rPr>
                <w:rFonts w:ascii="宋体" w:hAnsi="宋体" w:cs="宋体"/>
                <w:color w:val="000000"/>
                <w:kern w:val="0"/>
                <w:sz w:val="24"/>
                <w:szCs w:val="24"/>
              </w:rPr>
            </w:pPr>
            <w:r>
              <w:rPr>
                <w:rFonts w:hint="eastAsia" w:ascii="宋体" w:hAnsi="宋体" w:cs="宋体"/>
                <w:color w:val="000000"/>
                <w:kern w:val="0"/>
                <w:sz w:val="24"/>
                <w:szCs w:val="24"/>
              </w:rPr>
              <w:t>系统显示所有待归档的报告目录。具有报告归档权限的人员，能够进行报告归档登记，系统记录报告归档人员、归档时间、归档页数、归档位置、备注等信息。归档报告支持年限管理，可以设置归档电子报告有效期（如6年），并支持查询统计到期报告。</w:t>
            </w:r>
          </w:p>
        </w:tc>
      </w:tr>
      <w:tr w14:paraId="698E2822">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CA5E5B0">
            <w:pPr>
              <w:jc w:val="center"/>
              <w:rPr>
                <w:rFonts w:ascii="宋体" w:hAnsi="宋体" w:cs="宋体"/>
                <w:color w:val="000000"/>
                <w:kern w:val="0"/>
                <w:sz w:val="24"/>
                <w:szCs w:val="24"/>
              </w:rPr>
            </w:pPr>
            <w:r>
              <w:rPr>
                <w:rFonts w:hint="eastAsia" w:ascii="宋体" w:hAnsi="宋体" w:cs="宋体"/>
                <w:color w:val="000000"/>
                <w:kern w:val="0"/>
                <w:sz w:val="24"/>
                <w:szCs w:val="24"/>
              </w:rPr>
              <w:t>45</w:t>
            </w:r>
          </w:p>
        </w:tc>
        <w:tc>
          <w:tcPr>
            <w:tcW w:w="1580" w:type="dxa"/>
            <w:tcBorders>
              <w:top w:val="nil"/>
              <w:left w:val="nil"/>
              <w:bottom w:val="single" w:color="000000" w:sz="4" w:space="0"/>
              <w:right w:val="single" w:color="000000" w:sz="4" w:space="0"/>
            </w:tcBorders>
            <w:vAlign w:val="center"/>
          </w:tcPr>
          <w:p w14:paraId="03698A1A">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02E3AFFC">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智慧检验检测模块-检测业务流程管理-检验变更管理</w:t>
            </w:r>
          </w:p>
        </w:tc>
        <w:tc>
          <w:tcPr>
            <w:tcW w:w="4401" w:type="dxa"/>
            <w:tcBorders>
              <w:top w:val="nil"/>
              <w:left w:val="nil"/>
              <w:bottom w:val="single" w:color="000000" w:sz="4" w:space="0"/>
              <w:right w:val="single" w:color="000000" w:sz="4" w:space="0"/>
            </w:tcBorders>
            <w:vAlign w:val="center"/>
          </w:tcPr>
          <w:p w14:paraId="73E31449">
            <w:pPr>
              <w:jc w:val="left"/>
              <w:rPr>
                <w:rFonts w:ascii="宋体" w:hAnsi="宋体" w:cs="宋体"/>
                <w:color w:val="000000"/>
                <w:kern w:val="0"/>
                <w:sz w:val="24"/>
                <w:szCs w:val="24"/>
              </w:rPr>
            </w:pPr>
            <w:r>
              <w:rPr>
                <w:rFonts w:hint="eastAsia" w:ascii="宋体" w:hAnsi="宋体" w:cs="宋体"/>
                <w:color w:val="000000"/>
                <w:kern w:val="0"/>
                <w:sz w:val="24"/>
                <w:szCs w:val="24"/>
              </w:rPr>
              <w:t>对于未发出的报告，支持检验变更在线退回管理，以及快捷修改管理，只有相关授权人员可以进行快捷修改，并需要电子签名，注明修改原因，记录修改历史，便于追溯跟踪。对于已经发出的报告书，如果有误需要修改，可以按照系统中设置的审核流程，由相关科室提出修改申请，并通过审核、批准后，从报告书库中将原报告书调出，由相关人员修改、审核、签发后重新发放。</w:t>
            </w:r>
          </w:p>
        </w:tc>
      </w:tr>
      <w:tr w14:paraId="433EFE46">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0DA69B9D">
            <w:pPr>
              <w:jc w:val="center"/>
              <w:rPr>
                <w:rFonts w:ascii="宋体" w:hAnsi="宋体" w:cs="宋体"/>
                <w:color w:val="000000"/>
                <w:kern w:val="0"/>
                <w:sz w:val="24"/>
                <w:szCs w:val="24"/>
              </w:rPr>
            </w:pPr>
            <w:r>
              <w:rPr>
                <w:rFonts w:hint="eastAsia" w:ascii="宋体" w:hAnsi="宋体" w:cs="宋体"/>
                <w:color w:val="000000"/>
                <w:kern w:val="0"/>
                <w:sz w:val="24"/>
                <w:szCs w:val="24"/>
              </w:rPr>
              <w:t>46</w:t>
            </w:r>
          </w:p>
        </w:tc>
        <w:tc>
          <w:tcPr>
            <w:tcW w:w="1580" w:type="dxa"/>
            <w:tcBorders>
              <w:top w:val="nil"/>
              <w:left w:val="nil"/>
              <w:bottom w:val="single" w:color="000000" w:sz="4" w:space="0"/>
              <w:right w:val="single" w:color="000000" w:sz="4" w:space="0"/>
            </w:tcBorders>
            <w:vAlign w:val="center"/>
          </w:tcPr>
          <w:p w14:paraId="4BAC81CB">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33FC2595">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智慧检验检测模块-检测业务流程管理-检验时限管理</w:t>
            </w:r>
          </w:p>
        </w:tc>
        <w:tc>
          <w:tcPr>
            <w:tcW w:w="4401" w:type="dxa"/>
            <w:tcBorders>
              <w:top w:val="nil"/>
              <w:left w:val="nil"/>
              <w:bottom w:val="single" w:color="000000" w:sz="4" w:space="0"/>
              <w:right w:val="single" w:color="000000" w:sz="4" w:space="0"/>
            </w:tcBorders>
            <w:vAlign w:val="center"/>
          </w:tcPr>
          <w:p w14:paraId="6B3AA0FD">
            <w:pPr>
              <w:jc w:val="left"/>
              <w:rPr>
                <w:rFonts w:ascii="宋体" w:hAnsi="宋体" w:cs="宋体"/>
                <w:color w:val="000000"/>
                <w:kern w:val="0"/>
                <w:sz w:val="24"/>
                <w:szCs w:val="24"/>
              </w:rPr>
            </w:pPr>
            <w:r>
              <w:rPr>
                <w:rFonts w:hint="eastAsia" w:ascii="宋体" w:hAnsi="宋体" w:cs="宋体"/>
                <w:color w:val="000000"/>
                <w:kern w:val="0"/>
                <w:sz w:val="24"/>
                <w:szCs w:val="24"/>
              </w:rPr>
              <w:t>以上检验业务流程的各个环节均有时限及周期限制，如果有检品到期，系统可以进行预警，提前提醒检验员、科室管理者、业务科室检品的到期时间，而且到期、超时限和检验期限内的检品可以用不同颜色标识；并可以对各个环节的超期情况进行汇总；可以查询样品当前所处的业务流程的环节。</w:t>
            </w:r>
          </w:p>
        </w:tc>
      </w:tr>
      <w:tr w14:paraId="7E5F2A26">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2ADA0B7">
            <w:pPr>
              <w:jc w:val="center"/>
              <w:rPr>
                <w:rFonts w:ascii="宋体" w:hAnsi="宋体" w:cs="宋体"/>
                <w:color w:val="000000"/>
                <w:kern w:val="0"/>
                <w:sz w:val="24"/>
                <w:szCs w:val="24"/>
              </w:rPr>
            </w:pPr>
            <w:r>
              <w:rPr>
                <w:rFonts w:hint="eastAsia" w:ascii="宋体" w:hAnsi="宋体" w:cs="宋体"/>
                <w:color w:val="000000"/>
                <w:kern w:val="0"/>
                <w:sz w:val="24"/>
                <w:szCs w:val="24"/>
              </w:rPr>
              <w:t>47</w:t>
            </w:r>
          </w:p>
        </w:tc>
        <w:tc>
          <w:tcPr>
            <w:tcW w:w="1580" w:type="dxa"/>
            <w:tcBorders>
              <w:top w:val="nil"/>
              <w:left w:val="nil"/>
              <w:bottom w:val="single" w:color="000000" w:sz="4" w:space="0"/>
              <w:right w:val="single" w:color="000000" w:sz="4" w:space="0"/>
            </w:tcBorders>
            <w:vAlign w:val="center"/>
          </w:tcPr>
          <w:p w14:paraId="39FB6BCA">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7D630004">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智慧检验检测模块-检测业务流程管理-数据审计和追溯</w:t>
            </w:r>
          </w:p>
        </w:tc>
        <w:tc>
          <w:tcPr>
            <w:tcW w:w="4401" w:type="dxa"/>
            <w:tcBorders>
              <w:top w:val="nil"/>
              <w:left w:val="nil"/>
              <w:bottom w:val="single" w:color="000000" w:sz="4" w:space="0"/>
              <w:right w:val="single" w:color="000000" w:sz="4" w:space="0"/>
            </w:tcBorders>
            <w:vAlign w:val="center"/>
          </w:tcPr>
          <w:p w14:paraId="5A049F46">
            <w:pPr>
              <w:jc w:val="left"/>
              <w:rPr>
                <w:rFonts w:ascii="宋体" w:hAnsi="宋体" w:cs="宋体"/>
                <w:color w:val="000000"/>
                <w:kern w:val="0"/>
                <w:sz w:val="24"/>
                <w:szCs w:val="24"/>
              </w:rPr>
            </w:pPr>
            <w:r>
              <w:rPr>
                <w:rFonts w:hint="eastAsia" w:ascii="宋体" w:hAnsi="宋体" w:cs="宋体"/>
                <w:color w:val="000000"/>
                <w:kern w:val="0"/>
                <w:sz w:val="24"/>
                <w:szCs w:val="24"/>
              </w:rPr>
              <w:t>系统提供审计跟踪配置管理功能，可配置审计跟踪功能模块，记录数据的修改时间、修改人、修改原因、修改前数据、修改后数据，可溯源数据修改过程。在检验原始记录审核过程中，系统支持对原始数据的溯源，支持自动记录检验原始记录数据的修改过程，需要提供明显的修改标记，能够显示数据历次修改的新值、旧值的变化，记录修改时间、修改人及修改原因。审计追溯功能支持树形结构展示每次修改痕迹、修改前后数据比对等。</w:t>
            </w:r>
          </w:p>
        </w:tc>
      </w:tr>
      <w:tr w14:paraId="0DDFFB75">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23E0FF53">
            <w:pPr>
              <w:jc w:val="center"/>
              <w:rPr>
                <w:rFonts w:ascii="宋体" w:hAnsi="宋体" w:cs="宋体"/>
                <w:color w:val="000000"/>
                <w:kern w:val="0"/>
                <w:sz w:val="24"/>
                <w:szCs w:val="24"/>
              </w:rPr>
            </w:pPr>
            <w:r>
              <w:rPr>
                <w:rFonts w:hint="eastAsia" w:ascii="宋体" w:hAnsi="宋体" w:cs="宋体"/>
                <w:color w:val="000000"/>
                <w:kern w:val="0"/>
                <w:sz w:val="24"/>
                <w:szCs w:val="24"/>
              </w:rPr>
              <w:t>48</w:t>
            </w:r>
          </w:p>
        </w:tc>
        <w:tc>
          <w:tcPr>
            <w:tcW w:w="1580" w:type="dxa"/>
            <w:tcBorders>
              <w:top w:val="nil"/>
              <w:left w:val="nil"/>
              <w:bottom w:val="single" w:color="000000" w:sz="4" w:space="0"/>
              <w:right w:val="single" w:color="000000" w:sz="4" w:space="0"/>
            </w:tcBorders>
            <w:vAlign w:val="center"/>
          </w:tcPr>
          <w:p w14:paraId="09AFCF06">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38A5D1AD">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智慧检验检测模块-检测业务流程管理-分包流程管理</w:t>
            </w:r>
          </w:p>
        </w:tc>
        <w:tc>
          <w:tcPr>
            <w:tcW w:w="4401" w:type="dxa"/>
            <w:tcBorders>
              <w:top w:val="nil"/>
              <w:left w:val="nil"/>
              <w:bottom w:val="single" w:color="000000" w:sz="4" w:space="0"/>
              <w:right w:val="single" w:color="000000" w:sz="4" w:space="0"/>
            </w:tcBorders>
            <w:vAlign w:val="center"/>
          </w:tcPr>
          <w:p w14:paraId="4C69B20A">
            <w:pPr>
              <w:jc w:val="left"/>
              <w:rPr>
                <w:rFonts w:ascii="宋体" w:hAnsi="宋体" w:cs="宋体"/>
                <w:color w:val="000000"/>
                <w:kern w:val="0"/>
                <w:sz w:val="24"/>
                <w:szCs w:val="24"/>
              </w:rPr>
            </w:pPr>
            <w:r>
              <w:rPr>
                <w:rFonts w:hint="eastAsia" w:ascii="宋体" w:hAnsi="宋体" w:cs="宋体"/>
                <w:color w:val="000000"/>
                <w:kern w:val="0"/>
                <w:sz w:val="24"/>
                <w:szCs w:val="24"/>
              </w:rPr>
              <w:t>建立分包商档案，包括分包方资源，基本信息，业务状况，评价记录等，需要对分包项目及分包商资质进行审批。在业务受理单中可打印出分包信息，分包情况如有变更，可通过电子邮件等方式通知客户。分包商评审的流程化管理，分包方证明材料可随时扫描后导入LIMS系统，并进行查询。</w:t>
            </w:r>
          </w:p>
        </w:tc>
      </w:tr>
      <w:tr w14:paraId="0ACEF0E9">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4BE7877">
            <w:pPr>
              <w:jc w:val="center"/>
              <w:rPr>
                <w:rFonts w:ascii="宋体" w:hAnsi="宋体" w:cs="宋体"/>
                <w:color w:val="000000"/>
                <w:kern w:val="0"/>
                <w:sz w:val="24"/>
                <w:szCs w:val="24"/>
              </w:rPr>
            </w:pPr>
            <w:r>
              <w:rPr>
                <w:rFonts w:hint="eastAsia" w:ascii="宋体" w:hAnsi="宋体" w:cs="宋体"/>
                <w:color w:val="000000"/>
                <w:kern w:val="0"/>
                <w:sz w:val="24"/>
                <w:szCs w:val="24"/>
              </w:rPr>
              <w:t>49</w:t>
            </w:r>
          </w:p>
        </w:tc>
        <w:tc>
          <w:tcPr>
            <w:tcW w:w="1580" w:type="dxa"/>
            <w:tcBorders>
              <w:top w:val="nil"/>
              <w:left w:val="nil"/>
              <w:bottom w:val="single" w:color="000000" w:sz="4" w:space="0"/>
              <w:right w:val="single" w:color="000000" w:sz="4" w:space="0"/>
            </w:tcBorders>
            <w:vAlign w:val="center"/>
          </w:tcPr>
          <w:p w14:paraId="7A205993">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46194F44">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智慧检验检测模块-样品全生命周期管理-样品接收</w:t>
            </w:r>
          </w:p>
        </w:tc>
        <w:tc>
          <w:tcPr>
            <w:tcW w:w="4401" w:type="dxa"/>
            <w:tcBorders>
              <w:top w:val="nil"/>
              <w:left w:val="nil"/>
              <w:bottom w:val="single" w:color="000000" w:sz="4" w:space="0"/>
              <w:right w:val="single" w:color="000000" w:sz="4" w:space="0"/>
            </w:tcBorders>
            <w:vAlign w:val="center"/>
          </w:tcPr>
          <w:p w14:paraId="5402CF13">
            <w:pPr>
              <w:jc w:val="left"/>
              <w:rPr>
                <w:rFonts w:ascii="宋体" w:hAnsi="宋体" w:cs="宋体"/>
                <w:color w:val="000000"/>
                <w:kern w:val="0"/>
                <w:sz w:val="24"/>
                <w:szCs w:val="24"/>
              </w:rPr>
            </w:pPr>
            <w:r>
              <w:rPr>
                <w:rFonts w:hint="eastAsia" w:ascii="宋体" w:hAnsi="宋体" w:cs="宋体"/>
                <w:color w:val="000000"/>
                <w:kern w:val="0"/>
                <w:sz w:val="24"/>
                <w:szCs w:val="24"/>
              </w:rPr>
              <w:t>受托受理后，可以通过扫样品码接收样品；</w:t>
            </w:r>
          </w:p>
        </w:tc>
      </w:tr>
      <w:tr w14:paraId="58471EF6">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3FFCC86D">
            <w:pPr>
              <w:jc w:val="center"/>
              <w:rPr>
                <w:rFonts w:ascii="宋体" w:hAnsi="宋体" w:cs="宋体"/>
                <w:color w:val="000000"/>
                <w:kern w:val="0"/>
                <w:sz w:val="24"/>
                <w:szCs w:val="24"/>
              </w:rPr>
            </w:pPr>
            <w:r>
              <w:rPr>
                <w:rFonts w:hint="eastAsia" w:ascii="宋体" w:hAnsi="宋体" w:cs="宋体"/>
                <w:color w:val="000000"/>
                <w:kern w:val="0"/>
                <w:sz w:val="24"/>
                <w:szCs w:val="24"/>
              </w:rPr>
              <w:t>50</w:t>
            </w:r>
          </w:p>
        </w:tc>
        <w:tc>
          <w:tcPr>
            <w:tcW w:w="1580" w:type="dxa"/>
            <w:tcBorders>
              <w:top w:val="nil"/>
              <w:left w:val="nil"/>
              <w:bottom w:val="single" w:color="000000" w:sz="4" w:space="0"/>
              <w:right w:val="single" w:color="000000" w:sz="4" w:space="0"/>
            </w:tcBorders>
            <w:vAlign w:val="center"/>
          </w:tcPr>
          <w:p w14:paraId="5FA1D6C3">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5EB8D686">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智慧检验检测模块-样品全生命周期管理-样品出入库</w:t>
            </w:r>
          </w:p>
        </w:tc>
        <w:tc>
          <w:tcPr>
            <w:tcW w:w="4401" w:type="dxa"/>
            <w:tcBorders>
              <w:top w:val="nil"/>
              <w:left w:val="nil"/>
              <w:bottom w:val="single" w:color="000000" w:sz="4" w:space="0"/>
              <w:right w:val="single" w:color="000000" w:sz="4" w:space="0"/>
            </w:tcBorders>
            <w:vAlign w:val="center"/>
          </w:tcPr>
          <w:p w14:paraId="740AAACB">
            <w:pPr>
              <w:jc w:val="left"/>
              <w:rPr>
                <w:rFonts w:ascii="宋体" w:hAnsi="宋体" w:cs="宋体"/>
                <w:color w:val="000000"/>
                <w:kern w:val="0"/>
                <w:sz w:val="24"/>
                <w:szCs w:val="24"/>
              </w:rPr>
            </w:pPr>
            <w:r>
              <w:rPr>
                <w:rFonts w:hint="eastAsia" w:ascii="宋体" w:hAnsi="宋体" w:cs="宋体"/>
                <w:color w:val="000000"/>
                <w:kern w:val="0"/>
                <w:sz w:val="24"/>
                <w:szCs w:val="24"/>
              </w:rPr>
              <w:t>扫描样品条码入库，记录存放位置，出库时扫描存放位置条码，显示分类存放位置，责任人；</w:t>
            </w:r>
          </w:p>
        </w:tc>
      </w:tr>
      <w:tr w14:paraId="41E6850D">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3B7BAEE4">
            <w:pPr>
              <w:jc w:val="center"/>
              <w:rPr>
                <w:rFonts w:ascii="宋体" w:hAnsi="宋体" w:cs="宋体"/>
                <w:color w:val="000000"/>
                <w:kern w:val="0"/>
                <w:sz w:val="24"/>
                <w:szCs w:val="24"/>
              </w:rPr>
            </w:pPr>
            <w:r>
              <w:rPr>
                <w:rFonts w:hint="eastAsia" w:ascii="宋体" w:hAnsi="宋体" w:cs="宋体"/>
                <w:color w:val="000000"/>
                <w:kern w:val="0"/>
                <w:sz w:val="24"/>
                <w:szCs w:val="24"/>
              </w:rPr>
              <w:t>51</w:t>
            </w:r>
          </w:p>
        </w:tc>
        <w:tc>
          <w:tcPr>
            <w:tcW w:w="1580" w:type="dxa"/>
            <w:tcBorders>
              <w:top w:val="nil"/>
              <w:left w:val="nil"/>
              <w:bottom w:val="single" w:color="000000" w:sz="4" w:space="0"/>
              <w:right w:val="single" w:color="000000" w:sz="4" w:space="0"/>
            </w:tcBorders>
            <w:vAlign w:val="center"/>
          </w:tcPr>
          <w:p w14:paraId="12F12D68">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4967BAAF">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智慧检验检测模块-样品全生命周期管理-样品流转</w:t>
            </w:r>
          </w:p>
        </w:tc>
        <w:tc>
          <w:tcPr>
            <w:tcW w:w="4401" w:type="dxa"/>
            <w:tcBorders>
              <w:top w:val="nil"/>
              <w:left w:val="nil"/>
              <w:bottom w:val="single" w:color="000000" w:sz="4" w:space="0"/>
              <w:right w:val="single" w:color="000000" w:sz="4" w:space="0"/>
            </w:tcBorders>
            <w:vAlign w:val="center"/>
          </w:tcPr>
          <w:p w14:paraId="2B71A57D">
            <w:pPr>
              <w:jc w:val="left"/>
              <w:rPr>
                <w:rFonts w:ascii="宋体" w:hAnsi="宋体" w:cs="宋体"/>
                <w:color w:val="000000"/>
                <w:kern w:val="0"/>
                <w:sz w:val="24"/>
                <w:szCs w:val="24"/>
              </w:rPr>
            </w:pPr>
            <w:r>
              <w:rPr>
                <w:rFonts w:hint="eastAsia" w:ascii="宋体" w:hAnsi="宋体" w:cs="宋体"/>
                <w:color w:val="000000"/>
                <w:kern w:val="0"/>
                <w:sz w:val="24"/>
                <w:szCs w:val="24"/>
              </w:rPr>
              <w:t>扫描领用人员及样品，记录样品领用及归还情况</w:t>
            </w:r>
          </w:p>
        </w:tc>
      </w:tr>
      <w:tr w14:paraId="23790FC1">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38B18FE">
            <w:pPr>
              <w:jc w:val="center"/>
              <w:rPr>
                <w:rFonts w:ascii="宋体" w:hAnsi="宋体" w:cs="宋体"/>
                <w:color w:val="000000"/>
                <w:kern w:val="0"/>
                <w:sz w:val="24"/>
                <w:szCs w:val="24"/>
              </w:rPr>
            </w:pPr>
            <w:r>
              <w:rPr>
                <w:rFonts w:hint="eastAsia" w:ascii="宋体" w:hAnsi="宋体" w:cs="宋体"/>
                <w:color w:val="000000"/>
                <w:kern w:val="0"/>
                <w:sz w:val="24"/>
                <w:szCs w:val="24"/>
              </w:rPr>
              <w:t>52</w:t>
            </w:r>
          </w:p>
        </w:tc>
        <w:tc>
          <w:tcPr>
            <w:tcW w:w="1580" w:type="dxa"/>
            <w:tcBorders>
              <w:top w:val="nil"/>
              <w:left w:val="nil"/>
              <w:bottom w:val="single" w:color="000000" w:sz="4" w:space="0"/>
              <w:right w:val="single" w:color="000000" w:sz="4" w:space="0"/>
            </w:tcBorders>
            <w:vAlign w:val="center"/>
          </w:tcPr>
          <w:p w14:paraId="4A4A96DF">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2A8AD79C">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智慧检验检测模块-样品全生命周期管理-留/退样管理</w:t>
            </w:r>
          </w:p>
        </w:tc>
        <w:tc>
          <w:tcPr>
            <w:tcW w:w="4401" w:type="dxa"/>
            <w:tcBorders>
              <w:top w:val="nil"/>
              <w:left w:val="nil"/>
              <w:bottom w:val="single" w:color="000000" w:sz="4" w:space="0"/>
              <w:right w:val="single" w:color="000000" w:sz="4" w:space="0"/>
            </w:tcBorders>
            <w:vAlign w:val="center"/>
          </w:tcPr>
          <w:p w14:paraId="2B7E330C">
            <w:pPr>
              <w:jc w:val="left"/>
              <w:rPr>
                <w:rFonts w:ascii="宋体" w:hAnsi="宋体" w:cs="宋体"/>
                <w:color w:val="000000"/>
                <w:kern w:val="0"/>
                <w:sz w:val="24"/>
                <w:szCs w:val="24"/>
              </w:rPr>
            </w:pPr>
            <w:r>
              <w:rPr>
                <w:rFonts w:hint="eastAsia" w:ascii="宋体" w:hAnsi="宋体" w:cs="宋体"/>
                <w:color w:val="000000"/>
                <w:kern w:val="0"/>
                <w:sz w:val="24"/>
                <w:szCs w:val="24"/>
              </w:rPr>
              <w:t>检毕样留存样品室，对留样信息进行记录管理</w:t>
            </w:r>
          </w:p>
        </w:tc>
      </w:tr>
      <w:tr w14:paraId="38698AFD">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65E2205">
            <w:pPr>
              <w:jc w:val="center"/>
              <w:rPr>
                <w:rFonts w:ascii="宋体" w:hAnsi="宋体" w:cs="宋体"/>
                <w:color w:val="000000"/>
                <w:kern w:val="0"/>
                <w:sz w:val="24"/>
                <w:szCs w:val="24"/>
              </w:rPr>
            </w:pPr>
            <w:r>
              <w:rPr>
                <w:rFonts w:hint="eastAsia" w:ascii="宋体" w:hAnsi="宋体" w:cs="宋体"/>
                <w:color w:val="000000"/>
                <w:kern w:val="0"/>
                <w:sz w:val="24"/>
                <w:szCs w:val="24"/>
              </w:rPr>
              <w:t>54</w:t>
            </w:r>
          </w:p>
        </w:tc>
        <w:tc>
          <w:tcPr>
            <w:tcW w:w="1580" w:type="dxa"/>
            <w:tcBorders>
              <w:top w:val="nil"/>
              <w:left w:val="nil"/>
              <w:bottom w:val="single" w:color="000000" w:sz="4" w:space="0"/>
              <w:right w:val="single" w:color="000000" w:sz="4" w:space="0"/>
            </w:tcBorders>
            <w:vAlign w:val="center"/>
          </w:tcPr>
          <w:p w14:paraId="144C21E4">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47BCD5E9">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智慧检验检测模块-样品全生命周期管理-留样有效期配置和到期提醒</w:t>
            </w:r>
          </w:p>
        </w:tc>
        <w:tc>
          <w:tcPr>
            <w:tcW w:w="4401" w:type="dxa"/>
            <w:tcBorders>
              <w:top w:val="nil"/>
              <w:left w:val="nil"/>
              <w:bottom w:val="single" w:color="000000" w:sz="4" w:space="0"/>
              <w:right w:val="single" w:color="000000" w:sz="4" w:space="0"/>
            </w:tcBorders>
            <w:vAlign w:val="center"/>
          </w:tcPr>
          <w:p w14:paraId="32671A52">
            <w:pPr>
              <w:jc w:val="left"/>
              <w:rPr>
                <w:rFonts w:ascii="宋体" w:hAnsi="宋体" w:cs="宋体"/>
                <w:color w:val="000000"/>
                <w:kern w:val="0"/>
                <w:sz w:val="24"/>
                <w:szCs w:val="24"/>
              </w:rPr>
            </w:pPr>
            <w:r>
              <w:rPr>
                <w:rFonts w:hint="eastAsia" w:ascii="宋体" w:hAnsi="宋体" w:cs="宋体"/>
                <w:color w:val="000000"/>
                <w:kern w:val="0"/>
                <w:sz w:val="24"/>
                <w:szCs w:val="24"/>
              </w:rPr>
              <w:t>留样到期样品提醒</w:t>
            </w:r>
          </w:p>
        </w:tc>
      </w:tr>
      <w:tr w14:paraId="0CB29A6B">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405E586">
            <w:pPr>
              <w:jc w:val="center"/>
              <w:rPr>
                <w:rFonts w:ascii="宋体" w:hAnsi="宋体" w:cs="宋体"/>
                <w:color w:val="000000"/>
                <w:kern w:val="0"/>
                <w:sz w:val="24"/>
                <w:szCs w:val="24"/>
              </w:rPr>
            </w:pPr>
            <w:r>
              <w:rPr>
                <w:rFonts w:hint="eastAsia" w:ascii="宋体" w:hAnsi="宋体" w:cs="宋体"/>
                <w:color w:val="000000"/>
                <w:kern w:val="0"/>
                <w:sz w:val="24"/>
                <w:szCs w:val="24"/>
              </w:rPr>
              <w:t>55</w:t>
            </w:r>
          </w:p>
        </w:tc>
        <w:tc>
          <w:tcPr>
            <w:tcW w:w="1580" w:type="dxa"/>
            <w:tcBorders>
              <w:top w:val="nil"/>
              <w:left w:val="nil"/>
              <w:bottom w:val="single" w:color="000000" w:sz="4" w:space="0"/>
              <w:right w:val="single" w:color="000000" w:sz="4" w:space="0"/>
            </w:tcBorders>
            <w:vAlign w:val="center"/>
          </w:tcPr>
          <w:p w14:paraId="314328D0">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788172F3">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智慧检验检测模块-样品全生命周期管理-样品销毁</w:t>
            </w:r>
          </w:p>
        </w:tc>
        <w:tc>
          <w:tcPr>
            <w:tcW w:w="4401" w:type="dxa"/>
            <w:tcBorders>
              <w:top w:val="nil"/>
              <w:left w:val="nil"/>
              <w:bottom w:val="single" w:color="000000" w:sz="4" w:space="0"/>
              <w:right w:val="single" w:color="000000" w:sz="4" w:space="0"/>
            </w:tcBorders>
            <w:vAlign w:val="center"/>
          </w:tcPr>
          <w:p w14:paraId="1923C7BF">
            <w:pPr>
              <w:jc w:val="left"/>
              <w:rPr>
                <w:rFonts w:ascii="宋体" w:hAnsi="宋体" w:cs="宋体"/>
                <w:color w:val="000000"/>
                <w:kern w:val="0"/>
                <w:sz w:val="24"/>
                <w:szCs w:val="24"/>
              </w:rPr>
            </w:pPr>
            <w:r>
              <w:rPr>
                <w:rFonts w:hint="eastAsia" w:ascii="宋体" w:hAnsi="宋体" w:cs="宋体"/>
                <w:color w:val="000000"/>
                <w:kern w:val="0"/>
                <w:sz w:val="24"/>
                <w:szCs w:val="24"/>
              </w:rPr>
              <w:t>检后样品不需要退还的到期后进行销毁处理</w:t>
            </w:r>
          </w:p>
        </w:tc>
      </w:tr>
      <w:tr w14:paraId="318220A7">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3ADABEE8">
            <w:pPr>
              <w:jc w:val="center"/>
              <w:rPr>
                <w:rFonts w:ascii="宋体" w:hAnsi="宋体" w:cs="宋体"/>
                <w:color w:val="000000"/>
                <w:kern w:val="0"/>
                <w:sz w:val="24"/>
                <w:szCs w:val="24"/>
              </w:rPr>
            </w:pPr>
            <w:r>
              <w:rPr>
                <w:rFonts w:hint="eastAsia" w:ascii="宋体" w:hAnsi="宋体" w:cs="宋体"/>
                <w:color w:val="000000"/>
                <w:kern w:val="0"/>
                <w:sz w:val="24"/>
                <w:szCs w:val="24"/>
              </w:rPr>
              <w:t>56</w:t>
            </w:r>
          </w:p>
        </w:tc>
        <w:tc>
          <w:tcPr>
            <w:tcW w:w="1580" w:type="dxa"/>
            <w:tcBorders>
              <w:top w:val="nil"/>
              <w:left w:val="nil"/>
              <w:bottom w:val="single" w:color="000000" w:sz="4" w:space="0"/>
              <w:right w:val="single" w:color="000000" w:sz="4" w:space="0"/>
            </w:tcBorders>
            <w:vAlign w:val="center"/>
          </w:tcPr>
          <w:p w14:paraId="74DAA16C">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026F8F98">
            <w:pPr>
              <w:jc w:val="left"/>
              <w:rPr>
                <w:rFonts w:ascii="宋体" w:hAnsi="宋体" w:cs="宋体"/>
                <w:color w:val="000000"/>
                <w:kern w:val="0"/>
                <w:sz w:val="24"/>
                <w:szCs w:val="24"/>
              </w:rPr>
            </w:pPr>
            <w:r>
              <w:rPr>
                <w:rFonts w:hint="eastAsia" w:ascii="宋体" w:hAnsi="宋体" w:cs="宋体"/>
                <w:color w:val="000000"/>
                <w:kern w:val="0"/>
                <w:sz w:val="24"/>
                <w:szCs w:val="24"/>
              </w:rPr>
              <w:t>智慧检验检测模块-样品全生命周期管理-样品查询</w:t>
            </w:r>
          </w:p>
        </w:tc>
        <w:tc>
          <w:tcPr>
            <w:tcW w:w="4401" w:type="dxa"/>
            <w:tcBorders>
              <w:top w:val="nil"/>
              <w:left w:val="nil"/>
              <w:bottom w:val="single" w:color="000000" w:sz="4" w:space="0"/>
              <w:right w:val="single" w:color="000000" w:sz="4" w:space="0"/>
            </w:tcBorders>
            <w:vAlign w:val="center"/>
          </w:tcPr>
          <w:p w14:paraId="0CE4684E">
            <w:pPr>
              <w:jc w:val="left"/>
              <w:rPr>
                <w:rFonts w:ascii="宋体" w:hAnsi="宋体" w:cs="宋体"/>
                <w:color w:val="000000"/>
                <w:kern w:val="0"/>
                <w:sz w:val="24"/>
                <w:szCs w:val="24"/>
              </w:rPr>
            </w:pPr>
            <w:r>
              <w:rPr>
                <w:rFonts w:hint="eastAsia" w:ascii="宋体" w:hAnsi="宋体" w:cs="宋体"/>
                <w:color w:val="000000"/>
                <w:kern w:val="0"/>
                <w:sz w:val="24"/>
                <w:szCs w:val="24"/>
              </w:rPr>
              <w:t>样品全生命周期流转信息查询，如：包括时间节点，操作人，存放位置等信息。</w:t>
            </w:r>
          </w:p>
        </w:tc>
      </w:tr>
      <w:tr w14:paraId="6A3AD3F2">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82B667F">
            <w:pPr>
              <w:jc w:val="center"/>
              <w:rPr>
                <w:rFonts w:ascii="宋体" w:hAnsi="宋体" w:cs="宋体"/>
                <w:color w:val="000000"/>
                <w:kern w:val="0"/>
                <w:sz w:val="24"/>
                <w:szCs w:val="24"/>
              </w:rPr>
            </w:pPr>
            <w:r>
              <w:rPr>
                <w:rFonts w:hint="eastAsia" w:ascii="宋体" w:hAnsi="宋体" w:cs="宋体"/>
                <w:color w:val="000000"/>
                <w:kern w:val="0"/>
                <w:sz w:val="24"/>
                <w:szCs w:val="24"/>
              </w:rPr>
              <w:t>57</w:t>
            </w:r>
          </w:p>
        </w:tc>
        <w:tc>
          <w:tcPr>
            <w:tcW w:w="1580" w:type="dxa"/>
            <w:tcBorders>
              <w:top w:val="nil"/>
              <w:left w:val="nil"/>
              <w:bottom w:val="single" w:color="000000" w:sz="4" w:space="0"/>
              <w:right w:val="single" w:color="000000" w:sz="4" w:space="0"/>
            </w:tcBorders>
            <w:vAlign w:val="center"/>
          </w:tcPr>
          <w:p w14:paraId="6407FDCC">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21A07399">
            <w:pPr>
              <w:jc w:val="left"/>
              <w:rPr>
                <w:rFonts w:ascii="宋体" w:hAnsi="宋体" w:cs="宋体"/>
                <w:color w:val="000000"/>
                <w:kern w:val="0"/>
                <w:sz w:val="24"/>
                <w:szCs w:val="24"/>
              </w:rPr>
            </w:pPr>
            <w:r>
              <w:rPr>
                <w:rFonts w:hint="eastAsia" w:ascii="宋体" w:hAnsi="宋体" w:cs="宋体"/>
                <w:color w:val="000000"/>
                <w:kern w:val="0"/>
                <w:sz w:val="24"/>
                <w:szCs w:val="24"/>
              </w:rPr>
              <w:t>仪器采集与ELN管理-仪器数据采集管理-工作站仪器采集</w:t>
            </w:r>
          </w:p>
        </w:tc>
        <w:tc>
          <w:tcPr>
            <w:tcW w:w="4401" w:type="dxa"/>
            <w:tcBorders>
              <w:top w:val="nil"/>
              <w:left w:val="nil"/>
              <w:bottom w:val="single" w:color="000000" w:sz="4" w:space="0"/>
              <w:right w:val="single" w:color="000000" w:sz="4" w:space="0"/>
            </w:tcBorders>
            <w:vAlign w:val="center"/>
          </w:tcPr>
          <w:p w14:paraId="237F6B0F">
            <w:pPr>
              <w:jc w:val="left"/>
              <w:rPr>
                <w:rFonts w:ascii="宋体" w:hAnsi="宋体" w:cs="宋体"/>
                <w:color w:val="000000"/>
                <w:kern w:val="0"/>
                <w:sz w:val="24"/>
                <w:szCs w:val="24"/>
              </w:rPr>
            </w:pPr>
            <w:r>
              <w:rPr>
                <w:rFonts w:hint="eastAsia" w:ascii="宋体" w:hAnsi="宋体" w:cs="宋体"/>
                <w:color w:val="000000"/>
                <w:kern w:val="0"/>
                <w:sz w:val="24"/>
                <w:szCs w:val="24"/>
              </w:rPr>
              <w:t>经分析约有140台设备，可实现自动化采集，自动采集的仪器包括：带有RS232接口的仪器、有工作站软件的仪器。如气相色谱仪、液相色谱仪、原子吸收分光光度计、原子荧光分光光度计、ICPMS、天平、拉力机等。</w:t>
            </w:r>
          </w:p>
        </w:tc>
      </w:tr>
      <w:tr w14:paraId="66D967E3">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DE1DF46">
            <w:pPr>
              <w:jc w:val="center"/>
              <w:rPr>
                <w:rFonts w:ascii="宋体" w:hAnsi="宋体" w:cs="宋体"/>
                <w:color w:val="000000"/>
                <w:kern w:val="0"/>
                <w:sz w:val="24"/>
                <w:szCs w:val="24"/>
              </w:rPr>
            </w:pPr>
            <w:r>
              <w:rPr>
                <w:rFonts w:hint="eastAsia" w:ascii="宋体" w:hAnsi="宋体" w:cs="宋体"/>
                <w:color w:val="000000"/>
                <w:kern w:val="0"/>
                <w:sz w:val="24"/>
                <w:szCs w:val="24"/>
              </w:rPr>
              <w:t>58</w:t>
            </w:r>
          </w:p>
        </w:tc>
        <w:tc>
          <w:tcPr>
            <w:tcW w:w="1580" w:type="dxa"/>
            <w:tcBorders>
              <w:top w:val="nil"/>
              <w:left w:val="nil"/>
              <w:bottom w:val="single" w:color="000000" w:sz="4" w:space="0"/>
              <w:right w:val="single" w:color="000000" w:sz="4" w:space="0"/>
            </w:tcBorders>
            <w:vAlign w:val="center"/>
          </w:tcPr>
          <w:p w14:paraId="0D3F8402">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58B7F2B4">
            <w:pPr>
              <w:jc w:val="left"/>
              <w:rPr>
                <w:rFonts w:ascii="宋体" w:hAnsi="宋体" w:cs="宋体"/>
                <w:color w:val="000000"/>
                <w:kern w:val="0"/>
                <w:sz w:val="24"/>
                <w:szCs w:val="24"/>
              </w:rPr>
            </w:pPr>
            <w:r>
              <w:rPr>
                <w:rFonts w:hint="eastAsia" w:ascii="宋体" w:hAnsi="宋体" w:cs="宋体"/>
                <w:color w:val="000000"/>
                <w:kern w:val="0"/>
                <w:sz w:val="24"/>
                <w:szCs w:val="24"/>
              </w:rPr>
              <w:t>仪器采集与ELN管理-仪器数据采集管理-串口仪器采集</w:t>
            </w:r>
          </w:p>
        </w:tc>
        <w:tc>
          <w:tcPr>
            <w:tcW w:w="4401" w:type="dxa"/>
            <w:tcBorders>
              <w:top w:val="nil"/>
              <w:left w:val="nil"/>
              <w:bottom w:val="single" w:color="000000" w:sz="4" w:space="0"/>
              <w:right w:val="single" w:color="000000" w:sz="4" w:space="0"/>
            </w:tcBorders>
            <w:vAlign w:val="center"/>
          </w:tcPr>
          <w:p w14:paraId="23E6C327">
            <w:pPr>
              <w:jc w:val="left"/>
              <w:rPr>
                <w:rFonts w:ascii="宋体" w:hAnsi="宋体" w:cs="宋体"/>
                <w:color w:val="000000"/>
                <w:kern w:val="0"/>
                <w:sz w:val="24"/>
                <w:szCs w:val="24"/>
              </w:rPr>
            </w:pPr>
            <w:r>
              <w:rPr>
                <w:rFonts w:hint="eastAsia" w:ascii="宋体" w:hAnsi="宋体" w:cs="宋体"/>
                <w:color w:val="000000"/>
                <w:kern w:val="0"/>
                <w:sz w:val="24"/>
                <w:szCs w:val="24"/>
              </w:rPr>
              <w:t>串口类仪器（如天平、PH计、酸度计、粘度计等带串口的仪器，共98台）数据采集将采用支持基于TCP/IP协议的数据采集模式</w:t>
            </w:r>
          </w:p>
        </w:tc>
      </w:tr>
      <w:tr w14:paraId="7629BF35">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3D735C90">
            <w:pPr>
              <w:jc w:val="center"/>
              <w:rPr>
                <w:rFonts w:ascii="宋体" w:hAnsi="宋体" w:cs="宋体"/>
                <w:color w:val="000000"/>
                <w:kern w:val="0"/>
                <w:sz w:val="24"/>
                <w:szCs w:val="24"/>
              </w:rPr>
            </w:pPr>
            <w:r>
              <w:rPr>
                <w:rFonts w:hint="eastAsia" w:ascii="宋体" w:hAnsi="宋体" w:cs="宋体"/>
                <w:color w:val="000000"/>
                <w:kern w:val="0"/>
                <w:sz w:val="24"/>
                <w:szCs w:val="24"/>
              </w:rPr>
              <w:t>59</w:t>
            </w:r>
          </w:p>
        </w:tc>
        <w:tc>
          <w:tcPr>
            <w:tcW w:w="1580" w:type="dxa"/>
            <w:tcBorders>
              <w:top w:val="nil"/>
              <w:left w:val="nil"/>
              <w:bottom w:val="single" w:color="000000" w:sz="4" w:space="0"/>
              <w:right w:val="single" w:color="000000" w:sz="4" w:space="0"/>
            </w:tcBorders>
            <w:vAlign w:val="center"/>
          </w:tcPr>
          <w:p w14:paraId="0DB2C5C6">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1E59FF05">
            <w:pPr>
              <w:jc w:val="left"/>
              <w:rPr>
                <w:rFonts w:ascii="宋体" w:hAnsi="宋体" w:cs="宋体"/>
                <w:color w:val="000000"/>
                <w:kern w:val="0"/>
                <w:sz w:val="24"/>
                <w:szCs w:val="24"/>
              </w:rPr>
            </w:pPr>
            <w:r>
              <w:rPr>
                <w:rFonts w:hint="eastAsia" w:ascii="宋体" w:hAnsi="宋体" w:cs="宋体"/>
                <w:color w:val="000000"/>
                <w:kern w:val="0"/>
                <w:sz w:val="24"/>
                <w:szCs w:val="24"/>
              </w:rPr>
              <w:t>仪器采集与ELN管理-ELN电子原始记录</w:t>
            </w:r>
          </w:p>
        </w:tc>
        <w:tc>
          <w:tcPr>
            <w:tcW w:w="4401" w:type="dxa"/>
            <w:tcBorders>
              <w:top w:val="nil"/>
              <w:left w:val="nil"/>
              <w:bottom w:val="single" w:color="000000" w:sz="4" w:space="0"/>
              <w:right w:val="single" w:color="000000" w:sz="4" w:space="0"/>
            </w:tcBorders>
            <w:vAlign w:val="center"/>
          </w:tcPr>
          <w:p w14:paraId="7D991E3B">
            <w:pPr>
              <w:jc w:val="left"/>
              <w:rPr>
                <w:rFonts w:ascii="宋体" w:hAnsi="宋体" w:cs="宋体"/>
                <w:color w:val="000000"/>
                <w:kern w:val="0"/>
                <w:sz w:val="24"/>
                <w:szCs w:val="24"/>
              </w:rPr>
            </w:pPr>
            <w:r>
              <w:rPr>
                <w:rFonts w:hint="eastAsia" w:ascii="宋体" w:hAnsi="宋体" w:cs="宋体"/>
                <w:color w:val="000000"/>
                <w:kern w:val="0"/>
                <w:sz w:val="24"/>
                <w:szCs w:val="24"/>
              </w:rPr>
              <w:t>建立满足用户1000多项检测能力的原始记录，并支持用户可以自己定义原始记录模板的样式，系统提供ELN创建向导，用户可以通过向导简单的将现有电子版本的原始记录转化成ELN模板。可以提供自动计算和修约功能，用户输入必要的信息后，电子记事本可以自动计算出最终结果，并根据方法要求进行修约处理。电子记事本支持记录修改的前后值、修改人、修改时间和修改理由等。</w:t>
            </w:r>
          </w:p>
        </w:tc>
      </w:tr>
      <w:tr w14:paraId="24BE0639">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3A99452C">
            <w:pPr>
              <w:jc w:val="center"/>
              <w:rPr>
                <w:rFonts w:ascii="宋体" w:hAnsi="宋体" w:cs="宋体"/>
                <w:color w:val="000000"/>
                <w:kern w:val="0"/>
                <w:sz w:val="24"/>
                <w:szCs w:val="24"/>
              </w:rPr>
            </w:pPr>
            <w:r>
              <w:rPr>
                <w:rFonts w:hint="eastAsia" w:ascii="宋体" w:hAnsi="宋体" w:cs="宋体"/>
                <w:color w:val="000000"/>
                <w:kern w:val="0"/>
                <w:sz w:val="24"/>
                <w:szCs w:val="24"/>
              </w:rPr>
              <w:t>63</w:t>
            </w:r>
          </w:p>
        </w:tc>
        <w:tc>
          <w:tcPr>
            <w:tcW w:w="1580" w:type="dxa"/>
            <w:tcBorders>
              <w:top w:val="nil"/>
              <w:left w:val="nil"/>
              <w:bottom w:val="single" w:color="000000" w:sz="4" w:space="0"/>
              <w:right w:val="single" w:color="000000" w:sz="4" w:space="0"/>
            </w:tcBorders>
            <w:vAlign w:val="center"/>
          </w:tcPr>
          <w:p w14:paraId="24FF78A3">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77C3BBE9">
            <w:pPr>
              <w:jc w:val="left"/>
              <w:rPr>
                <w:rFonts w:ascii="宋体" w:hAnsi="宋体" w:cs="宋体"/>
                <w:color w:val="000000"/>
                <w:kern w:val="0"/>
                <w:sz w:val="24"/>
                <w:szCs w:val="24"/>
              </w:rPr>
            </w:pPr>
            <w:r>
              <w:rPr>
                <w:rFonts w:hint="eastAsia" w:ascii="宋体" w:hAnsi="宋体" w:cs="宋体"/>
                <w:color w:val="000000"/>
                <w:kern w:val="0"/>
                <w:sz w:val="24"/>
                <w:szCs w:val="24"/>
              </w:rPr>
              <w:t>现场检测移动应用模块-现场采样/检测</w:t>
            </w:r>
          </w:p>
        </w:tc>
        <w:tc>
          <w:tcPr>
            <w:tcW w:w="4401" w:type="dxa"/>
            <w:tcBorders>
              <w:top w:val="nil"/>
              <w:left w:val="nil"/>
              <w:bottom w:val="single" w:color="000000" w:sz="4" w:space="0"/>
              <w:right w:val="single" w:color="000000" w:sz="4" w:space="0"/>
            </w:tcBorders>
            <w:vAlign w:val="center"/>
          </w:tcPr>
          <w:p w14:paraId="2B0CCA6A">
            <w:pPr>
              <w:jc w:val="left"/>
              <w:rPr>
                <w:rFonts w:ascii="宋体" w:hAnsi="宋体" w:cs="宋体"/>
                <w:color w:val="000000"/>
                <w:kern w:val="0"/>
                <w:sz w:val="24"/>
                <w:szCs w:val="24"/>
              </w:rPr>
            </w:pPr>
            <w:r>
              <w:rPr>
                <w:rFonts w:hint="eastAsia" w:ascii="宋体" w:hAnsi="宋体" w:cs="宋体"/>
                <w:color w:val="000000"/>
                <w:kern w:val="0"/>
                <w:sz w:val="24"/>
                <w:szCs w:val="24"/>
              </w:rPr>
              <w:t>现场检测以检测区域为基础，分点位、分项目开展现场采样，采样后样品送到实验室检测（如浮游菌、沉降菌等）。如果是现场检测项目（如噪声、温湿度、风速等），则现场可通过APP记录检测数据。支持“受检单位”或“检测日期”选择自动导入委托受理信息（现场确认后可修改），支持勾选、下拉选择、复选、批量操作等便捷方式快速录入检测结果，如洁净室名称、洁净级别、气流形式、温度、湿度、压差、尺寸、风量、照度、噪声等数据录入检测结果，由静态数据中维护的公式计算结果。</w:t>
            </w:r>
          </w:p>
        </w:tc>
      </w:tr>
      <w:tr w14:paraId="28854187">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290177A6">
            <w:pPr>
              <w:jc w:val="center"/>
              <w:rPr>
                <w:rFonts w:ascii="宋体" w:hAnsi="宋体" w:cs="宋体"/>
                <w:color w:val="000000"/>
                <w:kern w:val="0"/>
                <w:sz w:val="24"/>
                <w:szCs w:val="24"/>
              </w:rPr>
            </w:pPr>
            <w:r>
              <w:rPr>
                <w:rFonts w:hint="eastAsia" w:ascii="宋体" w:hAnsi="宋体" w:cs="宋体"/>
                <w:color w:val="000000"/>
                <w:kern w:val="0"/>
                <w:sz w:val="24"/>
                <w:szCs w:val="24"/>
              </w:rPr>
              <w:t>65</w:t>
            </w:r>
          </w:p>
        </w:tc>
        <w:tc>
          <w:tcPr>
            <w:tcW w:w="1580" w:type="dxa"/>
            <w:tcBorders>
              <w:top w:val="nil"/>
              <w:left w:val="nil"/>
              <w:bottom w:val="single" w:color="000000" w:sz="4" w:space="0"/>
              <w:right w:val="single" w:color="000000" w:sz="4" w:space="0"/>
            </w:tcBorders>
            <w:vAlign w:val="center"/>
          </w:tcPr>
          <w:p w14:paraId="3857E4F6">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1EF77A0D">
            <w:pPr>
              <w:jc w:val="left"/>
              <w:rPr>
                <w:rFonts w:ascii="宋体" w:hAnsi="宋体" w:cs="宋体"/>
                <w:color w:val="000000"/>
                <w:kern w:val="0"/>
                <w:sz w:val="24"/>
                <w:szCs w:val="24"/>
              </w:rPr>
            </w:pPr>
            <w:r>
              <w:rPr>
                <w:rFonts w:hint="eastAsia" w:ascii="宋体" w:hAnsi="宋体" w:cs="宋体"/>
                <w:color w:val="000000"/>
                <w:kern w:val="0"/>
                <w:sz w:val="24"/>
                <w:szCs w:val="24"/>
              </w:rPr>
              <w:t>现场检测移动应用模块-悬浮粒子检测</w:t>
            </w:r>
          </w:p>
        </w:tc>
        <w:tc>
          <w:tcPr>
            <w:tcW w:w="4401" w:type="dxa"/>
            <w:tcBorders>
              <w:top w:val="nil"/>
              <w:left w:val="nil"/>
              <w:bottom w:val="single" w:color="000000" w:sz="4" w:space="0"/>
              <w:right w:val="single" w:color="000000" w:sz="4" w:space="0"/>
            </w:tcBorders>
            <w:vAlign w:val="center"/>
          </w:tcPr>
          <w:p w14:paraId="1711FF8B">
            <w:pPr>
              <w:jc w:val="left"/>
              <w:rPr>
                <w:rFonts w:ascii="宋体" w:hAnsi="宋体" w:cs="宋体"/>
                <w:color w:val="000000"/>
                <w:kern w:val="0"/>
                <w:sz w:val="24"/>
                <w:szCs w:val="24"/>
              </w:rPr>
            </w:pPr>
            <w:r>
              <w:rPr>
                <w:rFonts w:hint="eastAsia" w:ascii="宋体" w:hAnsi="宋体" w:cs="宋体"/>
                <w:color w:val="000000"/>
                <w:kern w:val="0"/>
                <w:sz w:val="24"/>
                <w:szCs w:val="24"/>
              </w:rPr>
              <w:t>悬浮粒子数据整理后（A4大小），可扫描识别后生成EXCLE表单和PDF记录。EXCLE表单中补录或修正洁净室名称，以“洁净室名称”为标签导入悬浮粒子数据进入系统数据库内参与计算，结果可以反存到后台用于报告自动生成。PDF记录存入数据库中作为《粒子扫描原始记录单4》，可以直接预览可打印，不参与后台报告生成。</w:t>
            </w:r>
          </w:p>
        </w:tc>
      </w:tr>
      <w:tr w14:paraId="3AAE445D">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B2F9D34">
            <w:pPr>
              <w:jc w:val="center"/>
              <w:rPr>
                <w:rFonts w:ascii="宋体" w:hAnsi="宋体" w:cs="宋体"/>
                <w:color w:val="000000"/>
                <w:kern w:val="0"/>
                <w:sz w:val="24"/>
                <w:szCs w:val="24"/>
              </w:rPr>
            </w:pPr>
            <w:r>
              <w:rPr>
                <w:rFonts w:hint="eastAsia" w:ascii="宋体" w:hAnsi="宋体" w:cs="宋体"/>
                <w:color w:val="000000"/>
                <w:kern w:val="0"/>
                <w:sz w:val="24"/>
                <w:szCs w:val="24"/>
              </w:rPr>
              <w:t>66</w:t>
            </w:r>
          </w:p>
        </w:tc>
        <w:tc>
          <w:tcPr>
            <w:tcW w:w="1580" w:type="dxa"/>
            <w:tcBorders>
              <w:top w:val="nil"/>
              <w:left w:val="nil"/>
              <w:bottom w:val="single" w:color="000000" w:sz="4" w:space="0"/>
              <w:right w:val="single" w:color="000000" w:sz="4" w:space="0"/>
            </w:tcBorders>
            <w:vAlign w:val="center"/>
          </w:tcPr>
          <w:p w14:paraId="0CAEA079">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224EE780">
            <w:pPr>
              <w:jc w:val="left"/>
              <w:rPr>
                <w:rFonts w:ascii="宋体" w:hAnsi="宋体" w:cs="宋体"/>
                <w:color w:val="000000"/>
                <w:kern w:val="0"/>
                <w:sz w:val="24"/>
                <w:szCs w:val="24"/>
              </w:rPr>
            </w:pPr>
            <w:r>
              <w:rPr>
                <w:rFonts w:hint="eastAsia" w:ascii="宋体" w:hAnsi="宋体" w:cs="宋体"/>
                <w:color w:val="000000"/>
                <w:kern w:val="0"/>
                <w:sz w:val="24"/>
                <w:szCs w:val="24"/>
              </w:rPr>
              <w:t>现场检测移动应用模块-微生物培养</w:t>
            </w:r>
          </w:p>
        </w:tc>
        <w:tc>
          <w:tcPr>
            <w:tcW w:w="4401" w:type="dxa"/>
            <w:tcBorders>
              <w:top w:val="nil"/>
              <w:left w:val="nil"/>
              <w:bottom w:val="single" w:color="000000" w:sz="4" w:space="0"/>
              <w:right w:val="single" w:color="000000" w:sz="4" w:space="0"/>
            </w:tcBorders>
            <w:vAlign w:val="center"/>
          </w:tcPr>
          <w:p w14:paraId="4813CD0D">
            <w:pPr>
              <w:jc w:val="left"/>
              <w:rPr>
                <w:rFonts w:ascii="宋体" w:hAnsi="宋体" w:cs="宋体"/>
                <w:color w:val="000000"/>
                <w:kern w:val="0"/>
                <w:sz w:val="24"/>
                <w:szCs w:val="24"/>
              </w:rPr>
            </w:pPr>
            <w:r>
              <w:rPr>
                <w:rFonts w:hint="eastAsia" w:ascii="宋体" w:hAnsi="宋体" w:cs="宋体"/>
                <w:color w:val="000000"/>
                <w:kern w:val="0"/>
                <w:sz w:val="24"/>
                <w:szCs w:val="24"/>
              </w:rPr>
              <w:t>打印微生物原始记录单3（空表），于培养周期结束后，手动填写；将实际结果录入ELN电子原始记录表3，录入的结果可以反存到后台用于报告自动生成。</w:t>
            </w:r>
          </w:p>
        </w:tc>
      </w:tr>
      <w:tr w14:paraId="7D43ECD0">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A81790E">
            <w:pPr>
              <w:jc w:val="center"/>
              <w:rPr>
                <w:rFonts w:ascii="宋体" w:hAnsi="宋体" w:cs="宋体"/>
                <w:color w:val="000000"/>
                <w:kern w:val="0"/>
                <w:sz w:val="24"/>
                <w:szCs w:val="24"/>
              </w:rPr>
            </w:pPr>
            <w:r>
              <w:rPr>
                <w:rFonts w:hint="eastAsia" w:ascii="宋体" w:hAnsi="宋体" w:cs="宋体"/>
                <w:color w:val="000000"/>
                <w:kern w:val="0"/>
                <w:sz w:val="24"/>
                <w:szCs w:val="24"/>
              </w:rPr>
              <w:t>67</w:t>
            </w:r>
          </w:p>
        </w:tc>
        <w:tc>
          <w:tcPr>
            <w:tcW w:w="1580" w:type="dxa"/>
            <w:tcBorders>
              <w:top w:val="nil"/>
              <w:left w:val="nil"/>
              <w:bottom w:val="single" w:color="000000" w:sz="4" w:space="0"/>
              <w:right w:val="single" w:color="000000" w:sz="4" w:space="0"/>
            </w:tcBorders>
            <w:vAlign w:val="center"/>
          </w:tcPr>
          <w:p w14:paraId="640DDCAF">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02D8142C">
            <w:pPr>
              <w:jc w:val="left"/>
              <w:rPr>
                <w:rFonts w:ascii="宋体" w:hAnsi="宋体" w:cs="宋体"/>
                <w:color w:val="000000"/>
                <w:kern w:val="0"/>
                <w:sz w:val="24"/>
                <w:szCs w:val="24"/>
              </w:rPr>
            </w:pPr>
            <w:r>
              <w:rPr>
                <w:rFonts w:hint="eastAsia" w:ascii="宋体" w:hAnsi="宋体" w:cs="宋体"/>
                <w:color w:val="000000"/>
                <w:kern w:val="0"/>
                <w:sz w:val="24"/>
                <w:szCs w:val="24"/>
              </w:rPr>
              <w:t>现场检测移动应用模块-现场检测电子原始记录</w:t>
            </w:r>
          </w:p>
        </w:tc>
        <w:tc>
          <w:tcPr>
            <w:tcW w:w="4401" w:type="dxa"/>
            <w:tcBorders>
              <w:top w:val="nil"/>
              <w:left w:val="nil"/>
              <w:bottom w:val="single" w:color="000000" w:sz="4" w:space="0"/>
              <w:right w:val="single" w:color="000000" w:sz="4" w:space="0"/>
            </w:tcBorders>
            <w:vAlign w:val="center"/>
          </w:tcPr>
          <w:p w14:paraId="368A935B">
            <w:pPr>
              <w:jc w:val="left"/>
              <w:rPr>
                <w:rFonts w:ascii="宋体" w:hAnsi="宋体" w:cs="宋体"/>
                <w:color w:val="000000"/>
                <w:kern w:val="0"/>
                <w:sz w:val="24"/>
                <w:szCs w:val="24"/>
              </w:rPr>
            </w:pPr>
            <w:r>
              <w:rPr>
                <w:rFonts w:hint="eastAsia" w:ascii="宋体" w:hAnsi="宋体" w:cs="宋体"/>
                <w:color w:val="000000"/>
                <w:kern w:val="0"/>
                <w:sz w:val="24"/>
                <w:szCs w:val="24"/>
              </w:rPr>
              <w:t>现场检测具备区域型、多点位、多频次、以及现场防护要求等特点，现场ELN电子原始记录表需按质控表特殊配置，在录完数据后可自动形成原始记录单，可以直接预览，录入的结果可以反存到后台用于报告自动生成。</w:t>
            </w:r>
          </w:p>
        </w:tc>
      </w:tr>
      <w:tr w14:paraId="17523916">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31E0E7D7">
            <w:pPr>
              <w:jc w:val="center"/>
              <w:rPr>
                <w:rFonts w:ascii="宋体" w:hAnsi="宋体" w:cs="宋体"/>
                <w:color w:val="000000"/>
                <w:kern w:val="0"/>
                <w:sz w:val="24"/>
                <w:szCs w:val="24"/>
              </w:rPr>
            </w:pPr>
            <w:r>
              <w:rPr>
                <w:rFonts w:hint="eastAsia" w:ascii="宋体" w:hAnsi="宋体" w:cs="宋体"/>
                <w:color w:val="000000"/>
                <w:kern w:val="0"/>
                <w:sz w:val="24"/>
                <w:szCs w:val="24"/>
              </w:rPr>
              <w:t>68</w:t>
            </w:r>
          </w:p>
        </w:tc>
        <w:tc>
          <w:tcPr>
            <w:tcW w:w="1580" w:type="dxa"/>
            <w:tcBorders>
              <w:top w:val="nil"/>
              <w:left w:val="nil"/>
              <w:bottom w:val="single" w:color="000000" w:sz="4" w:space="0"/>
              <w:right w:val="single" w:color="000000" w:sz="4" w:space="0"/>
            </w:tcBorders>
            <w:vAlign w:val="center"/>
          </w:tcPr>
          <w:p w14:paraId="1C2AFBC0">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3808A3A8">
            <w:pPr>
              <w:jc w:val="left"/>
              <w:rPr>
                <w:rFonts w:ascii="宋体" w:hAnsi="宋体" w:cs="宋体"/>
                <w:color w:val="000000"/>
                <w:kern w:val="0"/>
                <w:sz w:val="24"/>
                <w:szCs w:val="24"/>
              </w:rPr>
            </w:pPr>
            <w:r>
              <w:rPr>
                <w:rFonts w:hint="eastAsia" w:ascii="宋体" w:hAnsi="宋体" w:cs="宋体"/>
                <w:color w:val="000000"/>
                <w:kern w:val="0"/>
                <w:sz w:val="24"/>
                <w:szCs w:val="24"/>
              </w:rPr>
              <w:t>现场检测移动应用模块-现场检测结果审核</w:t>
            </w:r>
          </w:p>
        </w:tc>
        <w:tc>
          <w:tcPr>
            <w:tcW w:w="4401" w:type="dxa"/>
            <w:tcBorders>
              <w:top w:val="nil"/>
              <w:left w:val="nil"/>
              <w:bottom w:val="single" w:color="000000" w:sz="4" w:space="0"/>
              <w:right w:val="single" w:color="000000" w:sz="4" w:space="0"/>
            </w:tcBorders>
            <w:vAlign w:val="center"/>
          </w:tcPr>
          <w:p w14:paraId="3E7B32A2">
            <w:pPr>
              <w:jc w:val="left"/>
              <w:rPr>
                <w:rFonts w:ascii="宋体" w:hAnsi="宋体" w:cs="宋体"/>
                <w:color w:val="000000"/>
                <w:kern w:val="0"/>
                <w:sz w:val="24"/>
                <w:szCs w:val="24"/>
              </w:rPr>
            </w:pPr>
            <w:r>
              <w:rPr>
                <w:rFonts w:hint="eastAsia" w:ascii="宋体" w:hAnsi="宋体" w:cs="宋体"/>
                <w:color w:val="000000"/>
                <w:kern w:val="0"/>
                <w:sz w:val="24"/>
                <w:szCs w:val="24"/>
              </w:rPr>
              <w:t>现场检测结果审核将按照任务单、采样区域、采样点位、采样平次、检测项目的方式，进行系统界面设计展示，并支持在线审核原始记录、现场拍摄照片等所有溯源信息。</w:t>
            </w:r>
          </w:p>
        </w:tc>
      </w:tr>
      <w:tr w14:paraId="22D3ABDB">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864B85D">
            <w:pPr>
              <w:jc w:val="center"/>
              <w:rPr>
                <w:rFonts w:ascii="宋体" w:hAnsi="宋体" w:cs="宋体"/>
                <w:color w:val="000000"/>
                <w:kern w:val="0"/>
                <w:sz w:val="24"/>
                <w:szCs w:val="24"/>
              </w:rPr>
            </w:pPr>
            <w:r>
              <w:rPr>
                <w:rFonts w:hint="eastAsia" w:ascii="宋体" w:hAnsi="宋体" w:cs="宋体"/>
                <w:color w:val="000000"/>
                <w:kern w:val="0"/>
                <w:sz w:val="24"/>
                <w:szCs w:val="24"/>
              </w:rPr>
              <w:t>70</w:t>
            </w:r>
          </w:p>
        </w:tc>
        <w:tc>
          <w:tcPr>
            <w:tcW w:w="1580" w:type="dxa"/>
            <w:tcBorders>
              <w:top w:val="nil"/>
              <w:left w:val="nil"/>
              <w:bottom w:val="single" w:color="000000" w:sz="4" w:space="0"/>
              <w:right w:val="single" w:color="000000" w:sz="4" w:space="0"/>
            </w:tcBorders>
            <w:vAlign w:val="center"/>
          </w:tcPr>
          <w:p w14:paraId="5B01AA8A">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69F85968">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实验室资源管理模块-人员管理-人员档案管理</w:t>
            </w:r>
          </w:p>
        </w:tc>
        <w:tc>
          <w:tcPr>
            <w:tcW w:w="4401" w:type="dxa"/>
            <w:tcBorders>
              <w:top w:val="nil"/>
              <w:left w:val="nil"/>
              <w:bottom w:val="single" w:color="000000" w:sz="4" w:space="0"/>
              <w:right w:val="single" w:color="000000" w:sz="4" w:space="0"/>
            </w:tcBorders>
            <w:vAlign w:val="center"/>
          </w:tcPr>
          <w:p w14:paraId="778ACC7C">
            <w:pPr>
              <w:jc w:val="left"/>
              <w:rPr>
                <w:rFonts w:ascii="宋体" w:hAnsi="宋体" w:cs="宋体"/>
                <w:color w:val="000000"/>
                <w:kern w:val="0"/>
                <w:sz w:val="24"/>
                <w:szCs w:val="24"/>
              </w:rPr>
            </w:pPr>
            <w:r>
              <w:rPr>
                <w:rFonts w:hint="eastAsia" w:ascii="宋体" w:hAnsi="宋体" w:cs="宋体"/>
                <w:color w:val="000000"/>
                <w:kern w:val="0"/>
                <w:sz w:val="24"/>
                <w:szCs w:val="24"/>
              </w:rPr>
              <w:t>系统可以建立人员档案信息库，实现对人员技术档案的管理，管理信息包括：人员基本信息、学位情况、行政职务情况、技术职位情况、主要专业工作经历、培训记录、继续教育情况、业务考核情况、科研专题成果情况、获奖记录、事故情况、论文著作等</w:t>
            </w:r>
          </w:p>
        </w:tc>
      </w:tr>
      <w:tr w14:paraId="74E2F34D">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2D74BF4F">
            <w:pPr>
              <w:jc w:val="center"/>
              <w:rPr>
                <w:rFonts w:ascii="宋体" w:hAnsi="宋体" w:cs="宋体"/>
                <w:color w:val="000000"/>
                <w:kern w:val="0"/>
                <w:sz w:val="24"/>
                <w:szCs w:val="24"/>
              </w:rPr>
            </w:pPr>
            <w:r>
              <w:rPr>
                <w:rFonts w:hint="eastAsia" w:ascii="宋体" w:hAnsi="宋体" w:cs="宋体"/>
                <w:color w:val="000000"/>
                <w:kern w:val="0"/>
                <w:sz w:val="24"/>
                <w:szCs w:val="24"/>
              </w:rPr>
              <w:t>71</w:t>
            </w:r>
          </w:p>
        </w:tc>
        <w:tc>
          <w:tcPr>
            <w:tcW w:w="1580" w:type="dxa"/>
            <w:tcBorders>
              <w:top w:val="nil"/>
              <w:left w:val="nil"/>
              <w:bottom w:val="single" w:color="000000" w:sz="4" w:space="0"/>
              <w:right w:val="single" w:color="000000" w:sz="4" w:space="0"/>
            </w:tcBorders>
            <w:vAlign w:val="center"/>
          </w:tcPr>
          <w:p w14:paraId="72DC0FDD">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7F598D23">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实验室资源管理模块-人员管理-人员培训管理</w:t>
            </w:r>
          </w:p>
        </w:tc>
        <w:tc>
          <w:tcPr>
            <w:tcW w:w="4401" w:type="dxa"/>
            <w:tcBorders>
              <w:top w:val="nil"/>
              <w:left w:val="nil"/>
              <w:bottom w:val="single" w:color="000000" w:sz="4" w:space="0"/>
              <w:right w:val="single" w:color="000000" w:sz="4" w:space="0"/>
            </w:tcBorders>
            <w:vAlign w:val="center"/>
          </w:tcPr>
          <w:p w14:paraId="298881A9">
            <w:pPr>
              <w:jc w:val="left"/>
              <w:rPr>
                <w:rFonts w:ascii="宋体" w:hAnsi="宋体" w:cs="宋体"/>
                <w:color w:val="000000"/>
                <w:kern w:val="0"/>
                <w:sz w:val="24"/>
                <w:szCs w:val="24"/>
              </w:rPr>
            </w:pPr>
            <w:r>
              <w:rPr>
                <w:rFonts w:hint="eastAsia" w:ascii="宋体" w:hAnsi="宋体" w:cs="宋体"/>
                <w:color w:val="000000"/>
                <w:kern w:val="0"/>
                <w:sz w:val="24"/>
                <w:szCs w:val="24"/>
              </w:rPr>
              <w:t>人员管理模块中的“年度人员培训计划”、“人员培训管理”两个子模块完成人员培训的闭环管理。在“年度人员培训计划”模块建立培训计划，具体信息包括：培训说明、培训方式、培训内容、培训要求、备注等。并可以连接年度人员培训计划相关电子文档。在“人员培训管理”模块，系统支持对员工的技能、资质培训（包括内部培训、外部培训）在系统中进行培训申请、培训安排、培训实施及培训考核的全过程管理。</w:t>
            </w:r>
          </w:p>
        </w:tc>
      </w:tr>
      <w:tr w14:paraId="759C852D">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19CD90B">
            <w:pPr>
              <w:jc w:val="center"/>
              <w:rPr>
                <w:rFonts w:ascii="宋体" w:hAnsi="宋体" w:cs="宋体"/>
                <w:color w:val="000000"/>
                <w:kern w:val="0"/>
                <w:sz w:val="24"/>
                <w:szCs w:val="24"/>
              </w:rPr>
            </w:pPr>
            <w:r>
              <w:rPr>
                <w:rFonts w:hint="eastAsia" w:ascii="宋体" w:hAnsi="宋体" w:cs="宋体"/>
                <w:color w:val="000000"/>
                <w:kern w:val="0"/>
                <w:sz w:val="24"/>
                <w:szCs w:val="24"/>
              </w:rPr>
              <w:t>72</w:t>
            </w:r>
          </w:p>
        </w:tc>
        <w:tc>
          <w:tcPr>
            <w:tcW w:w="1580" w:type="dxa"/>
            <w:tcBorders>
              <w:top w:val="nil"/>
              <w:left w:val="nil"/>
              <w:bottom w:val="single" w:color="000000" w:sz="4" w:space="0"/>
              <w:right w:val="single" w:color="000000" w:sz="4" w:space="0"/>
            </w:tcBorders>
            <w:vAlign w:val="center"/>
          </w:tcPr>
          <w:p w14:paraId="393F4F71">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4CD770BA">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实验室资源管理模块-人员管理-考核管理</w:t>
            </w:r>
          </w:p>
        </w:tc>
        <w:tc>
          <w:tcPr>
            <w:tcW w:w="4401" w:type="dxa"/>
            <w:tcBorders>
              <w:top w:val="nil"/>
              <w:left w:val="nil"/>
              <w:bottom w:val="single" w:color="000000" w:sz="4" w:space="0"/>
              <w:right w:val="single" w:color="000000" w:sz="4" w:space="0"/>
            </w:tcBorders>
            <w:vAlign w:val="center"/>
          </w:tcPr>
          <w:p w14:paraId="000C5EC6">
            <w:pPr>
              <w:jc w:val="left"/>
              <w:rPr>
                <w:rFonts w:ascii="宋体" w:hAnsi="宋体" w:cs="宋体"/>
                <w:color w:val="000000"/>
                <w:kern w:val="0"/>
                <w:sz w:val="24"/>
                <w:szCs w:val="24"/>
              </w:rPr>
            </w:pPr>
            <w:r>
              <w:rPr>
                <w:rFonts w:hint="eastAsia" w:ascii="宋体" w:hAnsi="宋体" w:cs="宋体"/>
                <w:color w:val="000000"/>
                <w:kern w:val="0"/>
                <w:sz w:val="24"/>
                <w:szCs w:val="24"/>
              </w:rPr>
              <w:t>人员经过培训后，进行考核管理，登记考核记录（包括实操和理论），系统支持多人批量考核登记，信息维护、考核照片等资料上传，考核通过后为考核成绩合格的培训人员进行证书授权，登记证书信息，包括有效期。即将到达或超过证书的有效期时，系统将通知员工本人以及检验科室负责人。</w:t>
            </w:r>
          </w:p>
        </w:tc>
      </w:tr>
      <w:tr w14:paraId="484679AD">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0AE18D8">
            <w:pPr>
              <w:jc w:val="center"/>
              <w:rPr>
                <w:rFonts w:ascii="宋体" w:hAnsi="宋体" w:cs="宋体"/>
                <w:color w:val="000000"/>
                <w:kern w:val="0"/>
                <w:sz w:val="24"/>
                <w:szCs w:val="24"/>
              </w:rPr>
            </w:pPr>
            <w:r>
              <w:rPr>
                <w:rFonts w:hint="eastAsia" w:ascii="宋体" w:hAnsi="宋体" w:cs="宋体"/>
                <w:color w:val="000000"/>
                <w:kern w:val="0"/>
                <w:sz w:val="24"/>
                <w:szCs w:val="24"/>
              </w:rPr>
              <w:t>74</w:t>
            </w:r>
          </w:p>
        </w:tc>
        <w:tc>
          <w:tcPr>
            <w:tcW w:w="1580" w:type="dxa"/>
            <w:tcBorders>
              <w:top w:val="nil"/>
              <w:left w:val="nil"/>
              <w:bottom w:val="single" w:color="000000" w:sz="4" w:space="0"/>
              <w:right w:val="single" w:color="000000" w:sz="4" w:space="0"/>
            </w:tcBorders>
            <w:vAlign w:val="center"/>
          </w:tcPr>
          <w:p w14:paraId="01FBE393">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37562E5B">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实验室资源管理模块-仪器设备管理-仪器设备台账管理</w:t>
            </w:r>
          </w:p>
        </w:tc>
        <w:tc>
          <w:tcPr>
            <w:tcW w:w="4401" w:type="dxa"/>
            <w:tcBorders>
              <w:top w:val="nil"/>
              <w:left w:val="nil"/>
              <w:bottom w:val="single" w:color="000000" w:sz="4" w:space="0"/>
              <w:right w:val="single" w:color="000000" w:sz="4" w:space="0"/>
            </w:tcBorders>
            <w:vAlign w:val="center"/>
          </w:tcPr>
          <w:p w14:paraId="003D3C7F">
            <w:pPr>
              <w:jc w:val="left"/>
              <w:rPr>
                <w:rFonts w:ascii="宋体" w:hAnsi="宋体" w:cs="宋体"/>
                <w:color w:val="000000"/>
                <w:kern w:val="0"/>
                <w:sz w:val="24"/>
                <w:szCs w:val="24"/>
              </w:rPr>
            </w:pPr>
            <w:r>
              <w:rPr>
                <w:rFonts w:hint="eastAsia" w:ascii="宋体" w:hAnsi="宋体" w:cs="宋体"/>
                <w:color w:val="000000"/>
                <w:kern w:val="0"/>
                <w:sz w:val="24"/>
                <w:szCs w:val="24"/>
              </w:rPr>
              <w:t>在系统中可以通过目录树将仪器按照不同的部门、岗位、类型对实验室仪器设备进行分类管理，建立仪器设备档案库。信息包括固定资产编号、仪器编号（唯一标识）、仪器名称、仪器类型、规格型号等。并支持维护仪器零配件信息，支持生成设备二维码标签。</w:t>
            </w:r>
          </w:p>
        </w:tc>
      </w:tr>
      <w:tr w14:paraId="7AE457AF">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52B6BBC3">
            <w:pPr>
              <w:jc w:val="center"/>
              <w:rPr>
                <w:rFonts w:ascii="宋体" w:hAnsi="宋体" w:cs="宋体"/>
                <w:color w:val="000000"/>
                <w:kern w:val="0"/>
                <w:sz w:val="24"/>
                <w:szCs w:val="24"/>
              </w:rPr>
            </w:pPr>
            <w:r>
              <w:rPr>
                <w:rFonts w:hint="eastAsia" w:ascii="宋体" w:hAnsi="宋体" w:cs="宋体"/>
                <w:color w:val="000000"/>
                <w:kern w:val="0"/>
                <w:sz w:val="24"/>
                <w:szCs w:val="24"/>
              </w:rPr>
              <w:t>75</w:t>
            </w:r>
          </w:p>
        </w:tc>
        <w:tc>
          <w:tcPr>
            <w:tcW w:w="1580" w:type="dxa"/>
            <w:tcBorders>
              <w:top w:val="nil"/>
              <w:left w:val="nil"/>
              <w:bottom w:val="single" w:color="000000" w:sz="4" w:space="0"/>
              <w:right w:val="single" w:color="000000" w:sz="4" w:space="0"/>
            </w:tcBorders>
            <w:vAlign w:val="center"/>
          </w:tcPr>
          <w:p w14:paraId="474E0EDE">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189D2B20">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实验室资源管理模块-仪器设备管理-仪器设备采购管理</w:t>
            </w:r>
          </w:p>
        </w:tc>
        <w:tc>
          <w:tcPr>
            <w:tcW w:w="4401" w:type="dxa"/>
            <w:tcBorders>
              <w:top w:val="nil"/>
              <w:left w:val="nil"/>
              <w:bottom w:val="single" w:color="000000" w:sz="4" w:space="0"/>
              <w:right w:val="single" w:color="000000" w:sz="4" w:space="0"/>
            </w:tcBorders>
            <w:vAlign w:val="center"/>
          </w:tcPr>
          <w:p w14:paraId="608C213F">
            <w:pPr>
              <w:jc w:val="left"/>
              <w:rPr>
                <w:rFonts w:ascii="宋体" w:hAnsi="宋体" w:cs="宋体"/>
                <w:color w:val="000000"/>
                <w:kern w:val="0"/>
                <w:sz w:val="24"/>
                <w:szCs w:val="24"/>
              </w:rPr>
            </w:pPr>
            <w:r>
              <w:rPr>
                <w:rFonts w:hint="eastAsia" w:ascii="宋体" w:hAnsi="宋体" w:cs="宋体"/>
                <w:color w:val="000000"/>
                <w:kern w:val="0"/>
                <w:sz w:val="24"/>
                <w:szCs w:val="24"/>
              </w:rPr>
              <w:t>支持一个采购申请可采购多台设备，记录申请部门、申请人、采购用途、预算来源、资金来源、采购方式、预计金额、以及具体的设备类型、设备名称、规格型号、主要性能指标、采购数量、单价、总价、备注等信息。</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实现设备采购申请、审批、验收入库全流程管控；</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支持可配置的工作流，可设置不同采购金额，不同的审批流程；</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支持打印采购申请单，上传验收单等文件。</w:t>
            </w:r>
          </w:p>
        </w:tc>
      </w:tr>
      <w:tr w14:paraId="022CEF7B">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2504C0B3">
            <w:pPr>
              <w:jc w:val="center"/>
              <w:rPr>
                <w:rFonts w:ascii="宋体" w:hAnsi="宋体" w:cs="宋体"/>
                <w:color w:val="000000"/>
                <w:kern w:val="0"/>
                <w:sz w:val="24"/>
                <w:szCs w:val="24"/>
              </w:rPr>
            </w:pPr>
            <w:r>
              <w:rPr>
                <w:rFonts w:hint="eastAsia" w:ascii="宋体" w:hAnsi="宋体" w:cs="宋体"/>
                <w:color w:val="000000"/>
                <w:kern w:val="0"/>
                <w:sz w:val="24"/>
                <w:szCs w:val="24"/>
              </w:rPr>
              <w:t>76</w:t>
            </w:r>
          </w:p>
        </w:tc>
        <w:tc>
          <w:tcPr>
            <w:tcW w:w="1580" w:type="dxa"/>
            <w:tcBorders>
              <w:top w:val="nil"/>
              <w:left w:val="nil"/>
              <w:bottom w:val="single" w:color="000000" w:sz="4" w:space="0"/>
              <w:right w:val="single" w:color="000000" w:sz="4" w:space="0"/>
            </w:tcBorders>
            <w:vAlign w:val="center"/>
          </w:tcPr>
          <w:p w14:paraId="42614AB3">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297B8D4B">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实验室资源管理模块-仪器设备管理-设备计划事件管理</w:t>
            </w:r>
          </w:p>
        </w:tc>
        <w:tc>
          <w:tcPr>
            <w:tcW w:w="4401" w:type="dxa"/>
            <w:tcBorders>
              <w:top w:val="nil"/>
              <w:left w:val="nil"/>
              <w:bottom w:val="single" w:color="000000" w:sz="4" w:space="0"/>
              <w:right w:val="single" w:color="000000" w:sz="4" w:space="0"/>
            </w:tcBorders>
            <w:vAlign w:val="center"/>
          </w:tcPr>
          <w:p w14:paraId="03E84F0A">
            <w:pPr>
              <w:jc w:val="left"/>
              <w:rPr>
                <w:rFonts w:ascii="宋体" w:hAnsi="宋体" w:cs="宋体"/>
                <w:color w:val="000000"/>
                <w:kern w:val="0"/>
                <w:sz w:val="24"/>
                <w:szCs w:val="24"/>
              </w:rPr>
            </w:pPr>
            <w:r>
              <w:rPr>
                <w:rFonts w:hint="eastAsia" w:ascii="宋体" w:hAnsi="宋体" w:cs="宋体"/>
                <w:color w:val="000000"/>
                <w:kern w:val="0"/>
                <w:sz w:val="24"/>
                <w:szCs w:val="24"/>
              </w:rPr>
              <w:t>可配置的设备事件，包括检定校准、期间核查、维护保养、设备巡检等。</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根据不同的设备事件，可以设定设备的到期日期、时间间隔、提前提醒天数、提醒人员。</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对于期间核查计划，可提前维护核查方法；对于维护保养可以提前维护保养事项、保养要求/依据。</w:t>
            </w:r>
          </w:p>
        </w:tc>
      </w:tr>
      <w:tr w14:paraId="755134AA">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0EBE1AE">
            <w:pPr>
              <w:jc w:val="center"/>
              <w:rPr>
                <w:rFonts w:ascii="宋体" w:hAnsi="宋体" w:cs="宋体"/>
                <w:color w:val="000000"/>
                <w:kern w:val="0"/>
                <w:sz w:val="24"/>
                <w:szCs w:val="24"/>
              </w:rPr>
            </w:pPr>
            <w:r>
              <w:rPr>
                <w:rFonts w:hint="eastAsia" w:ascii="宋体" w:hAnsi="宋体" w:cs="宋体"/>
                <w:color w:val="000000"/>
                <w:kern w:val="0"/>
                <w:sz w:val="24"/>
                <w:szCs w:val="24"/>
              </w:rPr>
              <w:t>77</w:t>
            </w:r>
          </w:p>
        </w:tc>
        <w:tc>
          <w:tcPr>
            <w:tcW w:w="1580" w:type="dxa"/>
            <w:tcBorders>
              <w:top w:val="nil"/>
              <w:left w:val="nil"/>
              <w:bottom w:val="single" w:color="000000" w:sz="4" w:space="0"/>
              <w:right w:val="single" w:color="000000" w:sz="4" w:space="0"/>
            </w:tcBorders>
            <w:vAlign w:val="center"/>
          </w:tcPr>
          <w:p w14:paraId="443D9932">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0A2ADA80">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实验室资源管理模块-仪器设备管理-量值溯源管理</w:t>
            </w:r>
          </w:p>
        </w:tc>
        <w:tc>
          <w:tcPr>
            <w:tcW w:w="4401" w:type="dxa"/>
            <w:tcBorders>
              <w:top w:val="nil"/>
              <w:left w:val="nil"/>
              <w:bottom w:val="single" w:color="000000" w:sz="4" w:space="0"/>
              <w:right w:val="single" w:color="000000" w:sz="4" w:space="0"/>
            </w:tcBorders>
            <w:vAlign w:val="center"/>
          </w:tcPr>
          <w:p w14:paraId="290D10FB">
            <w:pPr>
              <w:jc w:val="left"/>
              <w:rPr>
                <w:rFonts w:ascii="宋体" w:hAnsi="宋体" w:cs="宋体"/>
                <w:color w:val="000000"/>
                <w:kern w:val="0"/>
                <w:sz w:val="24"/>
                <w:szCs w:val="24"/>
              </w:rPr>
            </w:pPr>
            <w:r>
              <w:rPr>
                <w:rFonts w:hint="eastAsia" w:ascii="宋体" w:hAnsi="宋体" w:cs="宋体"/>
                <w:color w:val="000000"/>
                <w:kern w:val="0"/>
                <w:sz w:val="24"/>
                <w:szCs w:val="24"/>
              </w:rPr>
              <w:t>根据检定校准计划，系统自动提醒相关人员进行设备检定校准，支持计划内设备和计划外设备检定校准，支持导出Excel。</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检定校准记录校准日期、送检人、检定校准机构、地址及联系方式、正式编号、检定结果、检定证书（可上传附件）、确认报告（可上传附件）。</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系统自动根据检定校准间隔计算下次检定校准日期。</w:t>
            </w:r>
          </w:p>
        </w:tc>
      </w:tr>
      <w:tr w14:paraId="2F4565AF">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75E4289">
            <w:pPr>
              <w:jc w:val="center"/>
              <w:rPr>
                <w:rFonts w:ascii="宋体" w:hAnsi="宋体" w:cs="宋体"/>
                <w:color w:val="000000"/>
                <w:kern w:val="0"/>
                <w:sz w:val="24"/>
                <w:szCs w:val="24"/>
              </w:rPr>
            </w:pPr>
            <w:r>
              <w:rPr>
                <w:rFonts w:hint="eastAsia" w:ascii="宋体" w:hAnsi="宋体" w:cs="宋体"/>
                <w:color w:val="000000"/>
                <w:kern w:val="0"/>
                <w:sz w:val="24"/>
                <w:szCs w:val="24"/>
              </w:rPr>
              <w:t>78</w:t>
            </w:r>
          </w:p>
        </w:tc>
        <w:tc>
          <w:tcPr>
            <w:tcW w:w="1580" w:type="dxa"/>
            <w:tcBorders>
              <w:top w:val="nil"/>
              <w:left w:val="nil"/>
              <w:bottom w:val="single" w:color="000000" w:sz="4" w:space="0"/>
              <w:right w:val="single" w:color="000000" w:sz="4" w:space="0"/>
            </w:tcBorders>
            <w:vAlign w:val="center"/>
          </w:tcPr>
          <w:p w14:paraId="062B6773">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4A2C6CE9">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实验室资源管理模块-仪器设备管理-设备维修维护管理</w:t>
            </w:r>
          </w:p>
        </w:tc>
        <w:tc>
          <w:tcPr>
            <w:tcW w:w="4401" w:type="dxa"/>
            <w:tcBorders>
              <w:top w:val="nil"/>
              <w:left w:val="nil"/>
              <w:bottom w:val="single" w:color="000000" w:sz="4" w:space="0"/>
              <w:right w:val="single" w:color="000000" w:sz="4" w:space="0"/>
            </w:tcBorders>
            <w:vAlign w:val="center"/>
          </w:tcPr>
          <w:p w14:paraId="255B0116">
            <w:pPr>
              <w:jc w:val="left"/>
              <w:rPr>
                <w:rFonts w:ascii="宋体" w:hAnsi="宋体" w:cs="宋体"/>
                <w:color w:val="000000"/>
                <w:kern w:val="0"/>
                <w:sz w:val="24"/>
                <w:szCs w:val="24"/>
              </w:rPr>
            </w:pPr>
            <w:r>
              <w:rPr>
                <w:rFonts w:hint="eastAsia" w:ascii="宋体" w:hAnsi="宋体" w:cs="宋体"/>
                <w:color w:val="000000"/>
                <w:kern w:val="0"/>
                <w:sz w:val="24"/>
                <w:szCs w:val="24"/>
              </w:rPr>
              <w:t>设备维修工单，可以根据设备类型、维修内容、维修方式（自修/外部送修）、是否需要专家支持等，进行分级、灵活配置对应的流程、以及权限控制。</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设备维修工单基础信息包括设备编号、设备类型、设备名称、资产编号、所属部门、设备维修原因、申请人、申请时间等，其他信息可配置，</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系统可以在线生成电子申请单，符合实验室受控格式要求。</w:t>
            </w:r>
          </w:p>
        </w:tc>
      </w:tr>
      <w:tr w14:paraId="2B2FB576">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45AC95D">
            <w:pPr>
              <w:jc w:val="center"/>
              <w:rPr>
                <w:rFonts w:ascii="宋体" w:hAnsi="宋体" w:cs="宋体"/>
                <w:color w:val="000000"/>
                <w:kern w:val="0"/>
                <w:sz w:val="24"/>
                <w:szCs w:val="24"/>
              </w:rPr>
            </w:pPr>
            <w:r>
              <w:rPr>
                <w:rFonts w:hint="eastAsia" w:ascii="宋体" w:hAnsi="宋体" w:cs="宋体"/>
                <w:color w:val="000000"/>
                <w:kern w:val="0"/>
                <w:sz w:val="24"/>
                <w:szCs w:val="24"/>
              </w:rPr>
              <w:t>79</w:t>
            </w:r>
          </w:p>
        </w:tc>
        <w:tc>
          <w:tcPr>
            <w:tcW w:w="1580" w:type="dxa"/>
            <w:tcBorders>
              <w:top w:val="nil"/>
              <w:left w:val="nil"/>
              <w:bottom w:val="single" w:color="000000" w:sz="4" w:space="0"/>
              <w:right w:val="single" w:color="000000" w:sz="4" w:space="0"/>
            </w:tcBorders>
            <w:vAlign w:val="center"/>
          </w:tcPr>
          <w:p w14:paraId="79EB9FA4">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5F5852E2">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实验室资源管理模块-仪器设备管理-设备报废管理</w:t>
            </w:r>
          </w:p>
        </w:tc>
        <w:tc>
          <w:tcPr>
            <w:tcW w:w="4401" w:type="dxa"/>
            <w:tcBorders>
              <w:top w:val="nil"/>
              <w:left w:val="nil"/>
              <w:bottom w:val="single" w:color="000000" w:sz="4" w:space="0"/>
              <w:right w:val="single" w:color="000000" w:sz="4" w:space="0"/>
            </w:tcBorders>
            <w:vAlign w:val="center"/>
          </w:tcPr>
          <w:p w14:paraId="5A708F20">
            <w:pPr>
              <w:jc w:val="left"/>
              <w:rPr>
                <w:rFonts w:ascii="宋体" w:hAnsi="宋体" w:cs="宋体"/>
                <w:color w:val="000000"/>
                <w:kern w:val="0"/>
                <w:sz w:val="24"/>
                <w:szCs w:val="24"/>
              </w:rPr>
            </w:pPr>
            <w:r>
              <w:rPr>
                <w:rFonts w:hint="eastAsia" w:ascii="宋体" w:hAnsi="宋体" w:cs="宋体"/>
                <w:color w:val="000000"/>
                <w:kern w:val="0"/>
                <w:sz w:val="24"/>
                <w:szCs w:val="24"/>
              </w:rPr>
              <w:t>当设备量程或准确度，无法满足相关检测要求，可以对设备进行报废。</w:t>
            </w:r>
          </w:p>
        </w:tc>
      </w:tr>
      <w:tr w14:paraId="16DCA3F8">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0514CDA">
            <w:pPr>
              <w:jc w:val="center"/>
              <w:rPr>
                <w:rFonts w:ascii="宋体" w:hAnsi="宋体" w:cs="宋体"/>
                <w:color w:val="000000"/>
                <w:kern w:val="0"/>
                <w:sz w:val="24"/>
                <w:szCs w:val="24"/>
              </w:rPr>
            </w:pPr>
            <w:r>
              <w:rPr>
                <w:rFonts w:hint="eastAsia" w:ascii="宋体" w:hAnsi="宋体" w:cs="宋体"/>
                <w:color w:val="000000"/>
                <w:kern w:val="0"/>
                <w:sz w:val="24"/>
                <w:szCs w:val="24"/>
              </w:rPr>
              <w:t>81</w:t>
            </w:r>
          </w:p>
        </w:tc>
        <w:tc>
          <w:tcPr>
            <w:tcW w:w="1580" w:type="dxa"/>
            <w:tcBorders>
              <w:top w:val="nil"/>
              <w:left w:val="nil"/>
              <w:bottom w:val="single" w:color="000000" w:sz="4" w:space="0"/>
              <w:right w:val="single" w:color="000000" w:sz="4" w:space="0"/>
            </w:tcBorders>
            <w:vAlign w:val="center"/>
          </w:tcPr>
          <w:p w14:paraId="29FE30FF">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17AA6C66">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实验室资源管理模块-检测物资采购管理</w:t>
            </w:r>
          </w:p>
        </w:tc>
        <w:tc>
          <w:tcPr>
            <w:tcW w:w="4401" w:type="dxa"/>
            <w:tcBorders>
              <w:top w:val="nil"/>
              <w:left w:val="nil"/>
              <w:bottom w:val="single" w:color="000000" w:sz="4" w:space="0"/>
              <w:right w:val="single" w:color="000000" w:sz="4" w:space="0"/>
            </w:tcBorders>
            <w:vAlign w:val="center"/>
          </w:tcPr>
          <w:p w14:paraId="000D3CA8">
            <w:pPr>
              <w:jc w:val="left"/>
              <w:rPr>
                <w:rFonts w:ascii="宋体" w:hAnsi="宋体" w:cs="宋体"/>
                <w:color w:val="000000"/>
                <w:kern w:val="0"/>
                <w:sz w:val="24"/>
                <w:szCs w:val="24"/>
              </w:rPr>
            </w:pPr>
            <w:r>
              <w:rPr>
                <w:rFonts w:hint="eastAsia" w:ascii="宋体" w:hAnsi="宋体" w:cs="宋体"/>
                <w:color w:val="000000"/>
                <w:kern w:val="0"/>
                <w:sz w:val="24"/>
                <w:szCs w:val="24"/>
              </w:rPr>
              <w:t>系统记录试剂供应商等所有信息，提供试剂的购买流程，包括试剂的购买申请、科室审核、主管科室审核、购买批准、验收、入库等的功能，并可记录领用、配置情况，库存量不足可报警，效期质量管理，所有库存情况及时更新。支持试液、试剂及对照品（标准品）有效期提醒功能。</w:t>
            </w:r>
          </w:p>
        </w:tc>
      </w:tr>
      <w:tr w14:paraId="78ABD480">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298B17A5">
            <w:pPr>
              <w:jc w:val="center"/>
              <w:rPr>
                <w:rFonts w:ascii="宋体" w:hAnsi="宋体" w:cs="宋体"/>
                <w:color w:val="000000"/>
                <w:kern w:val="0"/>
                <w:sz w:val="24"/>
                <w:szCs w:val="24"/>
              </w:rPr>
            </w:pPr>
            <w:r>
              <w:rPr>
                <w:rFonts w:hint="eastAsia" w:ascii="宋体" w:hAnsi="宋体" w:cs="宋体"/>
                <w:color w:val="000000"/>
                <w:kern w:val="0"/>
                <w:sz w:val="24"/>
                <w:szCs w:val="24"/>
              </w:rPr>
              <w:t>82</w:t>
            </w:r>
          </w:p>
        </w:tc>
        <w:tc>
          <w:tcPr>
            <w:tcW w:w="1580" w:type="dxa"/>
            <w:tcBorders>
              <w:top w:val="nil"/>
              <w:left w:val="nil"/>
              <w:bottom w:val="single" w:color="000000" w:sz="4" w:space="0"/>
              <w:right w:val="single" w:color="000000" w:sz="4" w:space="0"/>
            </w:tcBorders>
            <w:vAlign w:val="center"/>
          </w:tcPr>
          <w:p w14:paraId="5816DF10">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00785371">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实验室资源管理模块-试剂耗材管理</w:t>
            </w:r>
          </w:p>
        </w:tc>
        <w:tc>
          <w:tcPr>
            <w:tcW w:w="4401" w:type="dxa"/>
            <w:tcBorders>
              <w:top w:val="nil"/>
              <w:left w:val="nil"/>
              <w:bottom w:val="single" w:color="000000" w:sz="4" w:space="0"/>
              <w:right w:val="single" w:color="000000" w:sz="4" w:space="0"/>
            </w:tcBorders>
            <w:vAlign w:val="center"/>
          </w:tcPr>
          <w:p w14:paraId="2325B55F">
            <w:pPr>
              <w:jc w:val="left"/>
              <w:rPr>
                <w:rFonts w:ascii="宋体" w:hAnsi="宋体" w:cs="宋体"/>
                <w:color w:val="000000"/>
                <w:kern w:val="0"/>
                <w:sz w:val="24"/>
                <w:szCs w:val="24"/>
              </w:rPr>
            </w:pPr>
            <w:r>
              <w:rPr>
                <w:rFonts w:hint="eastAsia" w:ascii="宋体" w:hAnsi="宋体" w:cs="宋体"/>
                <w:color w:val="000000"/>
                <w:kern w:val="0"/>
                <w:sz w:val="24"/>
                <w:szCs w:val="24"/>
              </w:rPr>
              <w:t>标准物质管理模块：标准物质一览表，领用记录，动态库存。需提前提醒样品的到期时间。需进行全所标准物质和对照品、毒剧对照品的管理。对所有标准物质进行条形码管理，需要显示和查询所有标准物质的库存信息。对标准物质的使用和借用进行管理。在标准物质入库时，系统会自动增加库存；标准物质在领用时，系统则能自动扣除库存从而实现库存的自动更新管理。同时，需实现设定最小库存量警戒提醒，应能自动生成标准物质领用表。</w:t>
            </w:r>
          </w:p>
        </w:tc>
      </w:tr>
      <w:tr w14:paraId="69F43203">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30439C8">
            <w:pPr>
              <w:jc w:val="center"/>
              <w:rPr>
                <w:rFonts w:ascii="宋体" w:hAnsi="宋体" w:cs="宋体"/>
                <w:color w:val="000000"/>
                <w:kern w:val="0"/>
                <w:sz w:val="24"/>
                <w:szCs w:val="24"/>
              </w:rPr>
            </w:pPr>
            <w:r>
              <w:rPr>
                <w:rFonts w:hint="eastAsia" w:ascii="宋体" w:hAnsi="宋体" w:cs="宋体"/>
                <w:color w:val="000000"/>
                <w:kern w:val="0"/>
                <w:sz w:val="24"/>
                <w:szCs w:val="24"/>
              </w:rPr>
              <w:t>83</w:t>
            </w:r>
          </w:p>
        </w:tc>
        <w:tc>
          <w:tcPr>
            <w:tcW w:w="1580" w:type="dxa"/>
            <w:tcBorders>
              <w:top w:val="nil"/>
              <w:left w:val="nil"/>
              <w:bottom w:val="single" w:color="000000" w:sz="4" w:space="0"/>
              <w:right w:val="single" w:color="000000" w:sz="4" w:space="0"/>
            </w:tcBorders>
            <w:vAlign w:val="center"/>
          </w:tcPr>
          <w:p w14:paraId="042998E2">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4ADAC6E1">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实验室资源管理模块-标准物质管理</w:t>
            </w:r>
          </w:p>
        </w:tc>
        <w:tc>
          <w:tcPr>
            <w:tcW w:w="4401" w:type="dxa"/>
            <w:tcBorders>
              <w:top w:val="nil"/>
              <w:left w:val="nil"/>
              <w:bottom w:val="single" w:color="000000" w:sz="4" w:space="0"/>
              <w:right w:val="single" w:color="000000" w:sz="4" w:space="0"/>
            </w:tcBorders>
            <w:vAlign w:val="center"/>
          </w:tcPr>
          <w:p w14:paraId="460C8918">
            <w:pPr>
              <w:jc w:val="left"/>
              <w:rPr>
                <w:rFonts w:ascii="宋体" w:hAnsi="宋体" w:cs="宋体"/>
                <w:color w:val="000000"/>
                <w:kern w:val="0"/>
                <w:sz w:val="24"/>
                <w:szCs w:val="24"/>
              </w:rPr>
            </w:pPr>
            <w:r>
              <w:rPr>
                <w:rFonts w:hint="eastAsia" w:ascii="宋体" w:hAnsi="宋体" w:cs="宋体"/>
                <w:color w:val="000000"/>
                <w:kern w:val="0"/>
                <w:sz w:val="24"/>
                <w:szCs w:val="24"/>
              </w:rPr>
              <w:t>对标准溶液的全面管理，包括配置日期、配置人员、配制依据、有效期、母液效期、存放地点、库存量、领用人、领用量等等。需要对标准溶液的“稀释、比对、标定”并可生成配置记录表，领用记录表。</w:t>
            </w:r>
          </w:p>
        </w:tc>
      </w:tr>
      <w:tr w14:paraId="71E31150">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582F8431">
            <w:pPr>
              <w:jc w:val="center"/>
              <w:rPr>
                <w:rFonts w:ascii="宋体" w:hAnsi="宋体" w:cs="宋体"/>
                <w:color w:val="000000"/>
                <w:kern w:val="0"/>
                <w:sz w:val="24"/>
                <w:szCs w:val="24"/>
              </w:rPr>
            </w:pPr>
            <w:r>
              <w:rPr>
                <w:rFonts w:hint="eastAsia" w:ascii="宋体" w:hAnsi="宋体" w:cs="宋体"/>
                <w:color w:val="000000"/>
                <w:kern w:val="0"/>
                <w:sz w:val="24"/>
                <w:szCs w:val="24"/>
              </w:rPr>
              <w:t>84</w:t>
            </w:r>
          </w:p>
        </w:tc>
        <w:tc>
          <w:tcPr>
            <w:tcW w:w="1580" w:type="dxa"/>
            <w:tcBorders>
              <w:top w:val="nil"/>
              <w:left w:val="nil"/>
              <w:bottom w:val="single" w:color="000000" w:sz="4" w:space="0"/>
              <w:right w:val="single" w:color="000000" w:sz="4" w:space="0"/>
            </w:tcBorders>
            <w:vAlign w:val="center"/>
          </w:tcPr>
          <w:p w14:paraId="31EF233E">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3E27DA64">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实验室资源管理模块-标准溶液配置管理</w:t>
            </w:r>
          </w:p>
        </w:tc>
        <w:tc>
          <w:tcPr>
            <w:tcW w:w="4401" w:type="dxa"/>
            <w:tcBorders>
              <w:top w:val="nil"/>
              <w:left w:val="nil"/>
              <w:bottom w:val="single" w:color="000000" w:sz="4" w:space="0"/>
              <w:right w:val="single" w:color="000000" w:sz="4" w:space="0"/>
            </w:tcBorders>
            <w:vAlign w:val="center"/>
          </w:tcPr>
          <w:p w14:paraId="19F1F224">
            <w:pPr>
              <w:jc w:val="left"/>
              <w:rPr>
                <w:rFonts w:ascii="宋体" w:hAnsi="宋体" w:cs="宋体"/>
                <w:color w:val="000000"/>
                <w:kern w:val="0"/>
                <w:sz w:val="24"/>
                <w:szCs w:val="24"/>
              </w:rPr>
            </w:pPr>
            <w:r>
              <w:rPr>
                <w:rFonts w:hint="eastAsia" w:ascii="宋体" w:hAnsi="宋体" w:cs="宋体"/>
                <w:color w:val="000000"/>
                <w:kern w:val="0"/>
                <w:sz w:val="24"/>
                <w:szCs w:val="24"/>
              </w:rPr>
              <w:t>采购管理功能需要包括：各部门制定采购计划，提交领导审批，支持多级审核流程，支持电子签名，可生成采购申请单后提交采购部门采购。库存管理功能需要包括：设备、物资等采购后的接收功能，支持条码打印，接收后进入库存，库存管理信息包括基础信息、库存地点位置、库存量、库存预警设置量等。出入库管理功能需要包括：设备、物资等的领用功能，只有在领用人员领出后，记录中才能调用到该数据信息，且只有领用人能调用查看到该信息；设备、物资等的退库功能。</w:t>
            </w:r>
          </w:p>
        </w:tc>
      </w:tr>
      <w:tr w14:paraId="06E7673E">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2F1C19C8">
            <w:pPr>
              <w:jc w:val="center"/>
              <w:rPr>
                <w:rFonts w:ascii="宋体" w:hAnsi="宋体" w:cs="宋体"/>
                <w:color w:val="000000"/>
                <w:kern w:val="0"/>
                <w:sz w:val="24"/>
                <w:szCs w:val="24"/>
              </w:rPr>
            </w:pPr>
            <w:r>
              <w:rPr>
                <w:rFonts w:hint="eastAsia" w:ascii="宋体" w:hAnsi="宋体" w:cs="宋体"/>
                <w:color w:val="000000"/>
                <w:kern w:val="0"/>
                <w:sz w:val="24"/>
                <w:szCs w:val="24"/>
              </w:rPr>
              <w:t>85</w:t>
            </w:r>
          </w:p>
        </w:tc>
        <w:tc>
          <w:tcPr>
            <w:tcW w:w="1580" w:type="dxa"/>
            <w:tcBorders>
              <w:top w:val="nil"/>
              <w:left w:val="nil"/>
              <w:bottom w:val="single" w:color="000000" w:sz="4" w:space="0"/>
              <w:right w:val="single" w:color="000000" w:sz="4" w:space="0"/>
            </w:tcBorders>
            <w:vAlign w:val="center"/>
          </w:tcPr>
          <w:p w14:paraId="6415E0E6">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3661D031">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实验室资源管理模块-培养基管理</w:t>
            </w:r>
          </w:p>
        </w:tc>
        <w:tc>
          <w:tcPr>
            <w:tcW w:w="4401" w:type="dxa"/>
            <w:tcBorders>
              <w:top w:val="nil"/>
              <w:left w:val="nil"/>
              <w:bottom w:val="single" w:color="000000" w:sz="4" w:space="0"/>
              <w:right w:val="single" w:color="000000" w:sz="4" w:space="0"/>
            </w:tcBorders>
            <w:vAlign w:val="center"/>
          </w:tcPr>
          <w:p w14:paraId="617CAC35">
            <w:pPr>
              <w:jc w:val="left"/>
              <w:rPr>
                <w:rFonts w:ascii="宋体" w:hAnsi="宋体" w:cs="宋体"/>
                <w:color w:val="000000"/>
                <w:kern w:val="0"/>
                <w:sz w:val="24"/>
                <w:szCs w:val="24"/>
              </w:rPr>
            </w:pPr>
            <w:r>
              <w:rPr>
                <w:rFonts w:hint="eastAsia" w:ascii="宋体" w:hAnsi="宋体" w:cs="宋体"/>
                <w:color w:val="000000"/>
                <w:kern w:val="0"/>
                <w:sz w:val="24"/>
                <w:szCs w:val="24"/>
              </w:rPr>
              <w:t>培养基用于细菌培养、分离、鉴定、研究和保存，是微生物试验的基础，通过培养方法、供应商筛选、分类管理、申购管理、配置配置、保存管理、使用管理、质量控制管理、超期预警、低限库存提醒等，是微生物实验结果准确性的重要保证。</w:t>
            </w:r>
          </w:p>
        </w:tc>
      </w:tr>
      <w:tr w14:paraId="33E958DE">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6705DE8">
            <w:pPr>
              <w:jc w:val="center"/>
              <w:rPr>
                <w:rFonts w:ascii="宋体" w:hAnsi="宋体" w:cs="宋体"/>
                <w:color w:val="000000"/>
                <w:kern w:val="0"/>
                <w:sz w:val="24"/>
                <w:szCs w:val="24"/>
              </w:rPr>
            </w:pPr>
            <w:r>
              <w:rPr>
                <w:rFonts w:hint="eastAsia" w:ascii="宋体" w:hAnsi="宋体" w:cs="宋体"/>
                <w:color w:val="000000"/>
                <w:kern w:val="0"/>
                <w:sz w:val="24"/>
                <w:szCs w:val="24"/>
              </w:rPr>
              <w:t>86</w:t>
            </w:r>
          </w:p>
        </w:tc>
        <w:tc>
          <w:tcPr>
            <w:tcW w:w="1580" w:type="dxa"/>
            <w:tcBorders>
              <w:top w:val="nil"/>
              <w:left w:val="nil"/>
              <w:bottom w:val="single" w:color="000000" w:sz="4" w:space="0"/>
              <w:right w:val="single" w:color="000000" w:sz="4" w:space="0"/>
            </w:tcBorders>
            <w:vAlign w:val="center"/>
          </w:tcPr>
          <w:p w14:paraId="4FCF89D0">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67E6C634">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实验室资源管理模块-检测项目管理</w:t>
            </w:r>
          </w:p>
        </w:tc>
        <w:tc>
          <w:tcPr>
            <w:tcW w:w="4401" w:type="dxa"/>
            <w:tcBorders>
              <w:top w:val="nil"/>
              <w:left w:val="nil"/>
              <w:bottom w:val="single" w:color="000000" w:sz="4" w:space="0"/>
              <w:right w:val="single" w:color="000000" w:sz="4" w:space="0"/>
            </w:tcBorders>
            <w:vAlign w:val="center"/>
          </w:tcPr>
          <w:p w14:paraId="1B4EAA56">
            <w:pPr>
              <w:jc w:val="left"/>
              <w:rPr>
                <w:rFonts w:ascii="宋体" w:hAnsi="宋体" w:cs="宋体"/>
                <w:color w:val="000000"/>
                <w:kern w:val="0"/>
                <w:sz w:val="24"/>
                <w:szCs w:val="24"/>
              </w:rPr>
            </w:pPr>
            <w:r>
              <w:rPr>
                <w:rFonts w:hint="eastAsia" w:ascii="宋体" w:hAnsi="宋体" w:cs="宋体"/>
                <w:color w:val="000000"/>
                <w:kern w:val="0"/>
                <w:sz w:val="24"/>
                <w:szCs w:val="24"/>
              </w:rPr>
              <w:t>实现所检测能力管理，维护检测能力类型（食品、药品等）、检测顺序、检测项目、检测方法编号、检测方法名称、CMA资质、CNAS资质等。能关联方法库、关联标准文件（如国标等）、ELN原始记录、作业指导书等PDF电子文件。</w:t>
            </w:r>
          </w:p>
        </w:tc>
      </w:tr>
      <w:tr w14:paraId="5F66BD3C">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A031C42">
            <w:pPr>
              <w:jc w:val="center"/>
              <w:rPr>
                <w:rFonts w:ascii="宋体" w:hAnsi="宋体" w:cs="宋体"/>
                <w:color w:val="000000"/>
                <w:kern w:val="0"/>
                <w:sz w:val="24"/>
                <w:szCs w:val="24"/>
              </w:rPr>
            </w:pPr>
            <w:r>
              <w:rPr>
                <w:rFonts w:hint="eastAsia" w:ascii="宋体" w:hAnsi="宋体" w:cs="宋体"/>
                <w:color w:val="000000"/>
                <w:kern w:val="0"/>
                <w:sz w:val="24"/>
                <w:szCs w:val="24"/>
              </w:rPr>
              <w:t>87</w:t>
            </w:r>
          </w:p>
        </w:tc>
        <w:tc>
          <w:tcPr>
            <w:tcW w:w="1580" w:type="dxa"/>
            <w:tcBorders>
              <w:top w:val="nil"/>
              <w:left w:val="nil"/>
              <w:bottom w:val="single" w:color="000000" w:sz="4" w:space="0"/>
              <w:right w:val="single" w:color="000000" w:sz="4" w:space="0"/>
            </w:tcBorders>
            <w:vAlign w:val="center"/>
          </w:tcPr>
          <w:p w14:paraId="045FE121">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6D4C5799">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实验室资源管理模块-检验方法依据管理</w:t>
            </w:r>
          </w:p>
        </w:tc>
        <w:tc>
          <w:tcPr>
            <w:tcW w:w="4401" w:type="dxa"/>
            <w:tcBorders>
              <w:top w:val="nil"/>
              <w:left w:val="nil"/>
              <w:bottom w:val="single" w:color="000000" w:sz="4" w:space="0"/>
              <w:right w:val="single" w:color="000000" w:sz="4" w:space="0"/>
            </w:tcBorders>
            <w:vAlign w:val="center"/>
          </w:tcPr>
          <w:p w14:paraId="24C973A8">
            <w:pPr>
              <w:jc w:val="left"/>
              <w:rPr>
                <w:rFonts w:ascii="宋体" w:hAnsi="宋体" w:cs="宋体"/>
                <w:color w:val="000000"/>
                <w:kern w:val="0"/>
                <w:sz w:val="24"/>
                <w:szCs w:val="24"/>
              </w:rPr>
            </w:pPr>
            <w:r>
              <w:rPr>
                <w:rFonts w:hint="eastAsia" w:ascii="宋体" w:hAnsi="宋体" w:cs="宋体"/>
                <w:color w:val="000000"/>
                <w:kern w:val="0"/>
                <w:sz w:val="24"/>
                <w:szCs w:val="24"/>
              </w:rPr>
              <w:t>实现检验方法依据管理功能，包括方法分类、方法名称、方法编号、方法版本等信息。可以上传方法SOP操作手册、关联ELN原始记录等。方法可以关联检测项目，在检验的过程中可以修改方法，以及查看方法SOP手册。系统要能根据发放要求，实现自动计算，计算的公式包含：ABS（）、Max（）、Min（）、Log（x,y）、Pow（）、SUMIF（）、BDMAX（）、XY（）、IF（）、PAVG（）、Count（）等数学计算公式。</w:t>
            </w:r>
          </w:p>
        </w:tc>
      </w:tr>
      <w:tr w14:paraId="72A20AF6">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03769266">
            <w:pPr>
              <w:jc w:val="center"/>
              <w:rPr>
                <w:rFonts w:ascii="宋体" w:hAnsi="宋体" w:cs="宋体"/>
                <w:color w:val="000000"/>
                <w:kern w:val="0"/>
                <w:sz w:val="24"/>
                <w:szCs w:val="24"/>
              </w:rPr>
            </w:pPr>
            <w:r>
              <w:rPr>
                <w:rFonts w:hint="eastAsia" w:ascii="宋体" w:hAnsi="宋体" w:cs="宋体"/>
                <w:color w:val="000000"/>
                <w:kern w:val="0"/>
                <w:sz w:val="24"/>
                <w:szCs w:val="24"/>
              </w:rPr>
              <w:t>88</w:t>
            </w:r>
          </w:p>
        </w:tc>
        <w:tc>
          <w:tcPr>
            <w:tcW w:w="1580" w:type="dxa"/>
            <w:tcBorders>
              <w:top w:val="nil"/>
              <w:left w:val="nil"/>
              <w:bottom w:val="single" w:color="000000" w:sz="4" w:space="0"/>
              <w:right w:val="single" w:color="000000" w:sz="4" w:space="0"/>
            </w:tcBorders>
            <w:vAlign w:val="center"/>
          </w:tcPr>
          <w:p w14:paraId="76DB003C">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4AA4EBF1">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实验室资源管理模块-评价标准管理</w:t>
            </w:r>
          </w:p>
        </w:tc>
        <w:tc>
          <w:tcPr>
            <w:tcW w:w="4401" w:type="dxa"/>
            <w:tcBorders>
              <w:top w:val="nil"/>
              <w:left w:val="nil"/>
              <w:bottom w:val="single" w:color="000000" w:sz="4" w:space="0"/>
              <w:right w:val="single" w:color="000000" w:sz="4" w:space="0"/>
            </w:tcBorders>
            <w:vAlign w:val="center"/>
          </w:tcPr>
          <w:p w14:paraId="33FC56FE">
            <w:pPr>
              <w:jc w:val="left"/>
              <w:rPr>
                <w:rFonts w:ascii="宋体" w:hAnsi="宋体" w:cs="宋体"/>
                <w:color w:val="000000"/>
                <w:kern w:val="0"/>
                <w:sz w:val="24"/>
                <w:szCs w:val="24"/>
              </w:rPr>
            </w:pPr>
            <w:r>
              <w:rPr>
                <w:rFonts w:hint="eastAsia" w:ascii="宋体" w:hAnsi="宋体" w:cs="宋体"/>
                <w:color w:val="000000"/>
                <w:kern w:val="0"/>
                <w:sz w:val="24"/>
                <w:szCs w:val="24"/>
              </w:rPr>
              <w:t>构建产品标准库，可将国家标准、地方标准、企业标准等卫生（评价）标准维护到系统中，并根据需要随时修改。实现标准录入、更新简单化、快捷化，对国家标准和企业标准可进行维护和升级。支持按产品（食品/药品）分类分级维护。对于相关产品（评价）标准的PDF，相关工作人员可上传到系统中供随时查看。</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系统支持评价标准的结构化，实现定性分析、定量分析结果的自动判定（合格/不合格、阴性/阳性等）。</w:t>
            </w:r>
          </w:p>
        </w:tc>
      </w:tr>
      <w:tr w14:paraId="338F0973">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D8B8484">
            <w:pPr>
              <w:jc w:val="center"/>
              <w:rPr>
                <w:rFonts w:ascii="宋体" w:hAnsi="宋体" w:cs="宋体"/>
                <w:color w:val="000000"/>
                <w:kern w:val="0"/>
                <w:sz w:val="24"/>
                <w:szCs w:val="24"/>
              </w:rPr>
            </w:pPr>
            <w:r>
              <w:rPr>
                <w:rFonts w:hint="eastAsia" w:ascii="宋体" w:hAnsi="宋体" w:cs="宋体"/>
                <w:color w:val="000000"/>
                <w:kern w:val="0"/>
                <w:sz w:val="24"/>
                <w:szCs w:val="24"/>
              </w:rPr>
              <w:t>89</w:t>
            </w:r>
          </w:p>
        </w:tc>
        <w:tc>
          <w:tcPr>
            <w:tcW w:w="1580" w:type="dxa"/>
            <w:tcBorders>
              <w:top w:val="nil"/>
              <w:left w:val="nil"/>
              <w:bottom w:val="single" w:color="000000" w:sz="4" w:space="0"/>
              <w:right w:val="single" w:color="000000" w:sz="4" w:space="0"/>
            </w:tcBorders>
            <w:vAlign w:val="center"/>
          </w:tcPr>
          <w:p w14:paraId="7C678D3F">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2BA2AD2A">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实验室资源管理模块-环境管理</w:t>
            </w:r>
          </w:p>
        </w:tc>
        <w:tc>
          <w:tcPr>
            <w:tcW w:w="4401" w:type="dxa"/>
            <w:tcBorders>
              <w:top w:val="nil"/>
              <w:left w:val="nil"/>
              <w:bottom w:val="single" w:color="000000" w:sz="4" w:space="0"/>
              <w:right w:val="single" w:color="000000" w:sz="4" w:space="0"/>
            </w:tcBorders>
            <w:vAlign w:val="center"/>
          </w:tcPr>
          <w:p w14:paraId="1AD9E0BA">
            <w:pPr>
              <w:jc w:val="left"/>
              <w:rPr>
                <w:rFonts w:ascii="宋体" w:hAnsi="宋体" w:cs="宋体"/>
                <w:color w:val="000000"/>
                <w:kern w:val="0"/>
                <w:sz w:val="24"/>
                <w:szCs w:val="24"/>
              </w:rPr>
            </w:pPr>
            <w:r>
              <w:rPr>
                <w:rFonts w:hint="eastAsia" w:ascii="宋体" w:hAnsi="宋体" w:cs="宋体"/>
                <w:color w:val="000000"/>
                <w:kern w:val="0"/>
                <w:sz w:val="24"/>
                <w:szCs w:val="24"/>
              </w:rPr>
              <w:t>实现检测实验室环境温度、湿度、气压、记录时间的填写，可配置温湿度上下限，超出限值范围系统红色预警提醒，并可以自动在原始记录实现温湿度的环境条件调用。并且系统支持未来与环境监控系统集成。</w:t>
            </w:r>
          </w:p>
        </w:tc>
      </w:tr>
      <w:tr w14:paraId="60C7EC23">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16A5E5E">
            <w:pPr>
              <w:jc w:val="center"/>
              <w:rPr>
                <w:rFonts w:ascii="宋体" w:hAnsi="宋体" w:cs="宋体"/>
                <w:color w:val="000000"/>
                <w:kern w:val="0"/>
                <w:sz w:val="24"/>
                <w:szCs w:val="24"/>
              </w:rPr>
            </w:pPr>
            <w:r>
              <w:rPr>
                <w:rFonts w:hint="eastAsia" w:ascii="宋体" w:hAnsi="宋体" w:cs="宋体"/>
                <w:color w:val="000000"/>
                <w:kern w:val="0"/>
                <w:sz w:val="24"/>
                <w:szCs w:val="24"/>
              </w:rPr>
              <w:t>90</w:t>
            </w:r>
          </w:p>
        </w:tc>
        <w:tc>
          <w:tcPr>
            <w:tcW w:w="1580" w:type="dxa"/>
            <w:tcBorders>
              <w:top w:val="nil"/>
              <w:left w:val="nil"/>
              <w:bottom w:val="single" w:color="000000" w:sz="4" w:space="0"/>
              <w:right w:val="single" w:color="000000" w:sz="4" w:space="0"/>
            </w:tcBorders>
            <w:vAlign w:val="center"/>
          </w:tcPr>
          <w:p w14:paraId="38B2EA9B">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42DF0776">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实验室资源管理模块-供应商管理</w:t>
            </w:r>
          </w:p>
        </w:tc>
        <w:tc>
          <w:tcPr>
            <w:tcW w:w="4401" w:type="dxa"/>
            <w:tcBorders>
              <w:top w:val="nil"/>
              <w:left w:val="nil"/>
              <w:bottom w:val="single" w:color="000000" w:sz="4" w:space="0"/>
              <w:right w:val="single" w:color="000000" w:sz="4" w:space="0"/>
            </w:tcBorders>
            <w:vAlign w:val="center"/>
          </w:tcPr>
          <w:p w14:paraId="012E1AD4">
            <w:pPr>
              <w:jc w:val="left"/>
              <w:rPr>
                <w:rFonts w:ascii="宋体" w:hAnsi="宋体" w:cs="宋体"/>
                <w:color w:val="000000"/>
                <w:kern w:val="0"/>
                <w:sz w:val="24"/>
                <w:szCs w:val="24"/>
              </w:rPr>
            </w:pPr>
            <w:r>
              <w:rPr>
                <w:rFonts w:hint="eastAsia" w:ascii="宋体" w:hAnsi="宋体" w:cs="宋体"/>
                <w:color w:val="000000"/>
                <w:kern w:val="0"/>
                <w:sz w:val="24"/>
                <w:szCs w:val="24"/>
              </w:rPr>
              <w:t>系统支持对实验室的各种技术文档、质量文件、检验标准、校准规程、以及相关的其它质量体系文件进行管理，实现对文件的创建、修改、审核、审批、发布全过程的管理和监控。</w:t>
            </w:r>
          </w:p>
        </w:tc>
      </w:tr>
      <w:tr w14:paraId="57AE429E">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0BAF299">
            <w:pPr>
              <w:jc w:val="center"/>
              <w:rPr>
                <w:rFonts w:ascii="宋体" w:hAnsi="宋体" w:cs="宋体"/>
                <w:color w:val="000000"/>
                <w:kern w:val="0"/>
                <w:sz w:val="24"/>
                <w:szCs w:val="24"/>
              </w:rPr>
            </w:pPr>
            <w:r>
              <w:rPr>
                <w:rFonts w:hint="eastAsia" w:ascii="宋体" w:hAnsi="宋体" w:cs="宋体"/>
                <w:color w:val="000000"/>
                <w:kern w:val="0"/>
                <w:sz w:val="24"/>
                <w:szCs w:val="24"/>
              </w:rPr>
              <w:t>91</w:t>
            </w:r>
          </w:p>
        </w:tc>
        <w:tc>
          <w:tcPr>
            <w:tcW w:w="1580" w:type="dxa"/>
            <w:tcBorders>
              <w:top w:val="nil"/>
              <w:left w:val="nil"/>
              <w:bottom w:val="single" w:color="000000" w:sz="4" w:space="0"/>
              <w:right w:val="single" w:color="000000" w:sz="4" w:space="0"/>
            </w:tcBorders>
            <w:vAlign w:val="center"/>
          </w:tcPr>
          <w:p w14:paraId="4EF9D4DD">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6167F0BC">
            <w:pPr>
              <w:jc w:val="left"/>
              <w:rPr>
                <w:rFonts w:ascii="宋体" w:hAnsi="宋体" w:cs="宋体"/>
                <w:color w:val="000000"/>
                <w:kern w:val="0"/>
                <w:sz w:val="24"/>
                <w:szCs w:val="24"/>
              </w:rPr>
            </w:pPr>
            <w:r>
              <w:rPr>
                <w:rFonts w:hint="eastAsia" w:ascii="宋体" w:hAnsi="宋体" w:cs="宋体"/>
                <w:color w:val="000000"/>
                <w:kern w:val="0"/>
                <w:sz w:val="24"/>
                <w:szCs w:val="24"/>
              </w:rPr>
              <w:t>实验室资源管理模块-分包商管理</w:t>
            </w:r>
          </w:p>
        </w:tc>
        <w:tc>
          <w:tcPr>
            <w:tcW w:w="4401" w:type="dxa"/>
            <w:tcBorders>
              <w:top w:val="nil"/>
              <w:left w:val="nil"/>
              <w:bottom w:val="single" w:color="000000" w:sz="4" w:space="0"/>
              <w:right w:val="single" w:color="000000" w:sz="4" w:space="0"/>
            </w:tcBorders>
            <w:vAlign w:val="center"/>
          </w:tcPr>
          <w:p w14:paraId="6B8B3CF4">
            <w:pPr>
              <w:jc w:val="left"/>
              <w:rPr>
                <w:rFonts w:ascii="宋体" w:hAnsi="宋体" w:cs="宋体"/>
                <w:color w:val="000000"/>
                <w:kern w:val="0"/>
                <w:sz w:val="24"/>
                <w:szCs w:val="24"/>
              </w:rPr>
            </w:pPr>
            <w:r>
              <w:rPr>
                <w:rFonts w:hint="eastAsia" w:ascii="宋体" w:hAnsi="宋体" w:cs="宋体"/>
                <w:color w:val="000000"/>
                <w:kern w:val="0"/>
                <w:sz w:val="24"/>
                <w:szCs w:val="24"/>
              </w:rPr>
              <w:t>供应商管理包含供应商基本信息管理、供应商资质管理、供应商年度评审管理等功能。</w:t>
            </w:r>
          </w:p>
        </w:tc>
      </w:tr>
      <w:tr w14:paraId="1397E717">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533E897B">
            <w:pPr>
              <w:jc w:val="center"/>
              <w:rPr>
                <w:rFonts w:ascii="宋体" w:hAnsi="宋体" w:cs="宋体"/>
                <w:color w:val="000000"/>
                <w:kern w:val="0"/>
                <w:sz w:val="24"/>
                <w:szCs w:val="24"/>
              </w:rPr>
            </w:pPr>
            <w:r>
              <w:rPr>
                <w:rFonts w:hint="eastAsia" w:ascii="宋体" w:hAnsi="宋体" w:cs="宋体"/>
                <w:color w:val="000000"/>
                <w:kern w:val="0"/>
                <w:sz w:val="24"/>
                <w:szCs w:val="24"/>
              </w:rPr>
              <w:t>96</w:t>
            </w:r>
          </w:p>
        </w:tc>
        <w:tc>
          <w:tcPr>
            <w:tcW w:w="1580" w:type="dxa"/>
            <w:tcBorders>
              <w:top w:val="nil"/>
              <w:left w:val="nil"/>
              <w:bottom w:val="single" w:color="000000" w:sz="4" w:space="0"/>
              <w:right w:val="single" w:color="000000" w:sz="4" w:space="0"/>
            </w:tcBorders>
            <w:vAlign w:val="center"/>
          </w:tcPr>
          <w:p w14:paraId="212D049C">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57168EBD">
            <w:pPr>
              <w:jc w:val="left"/>
              <w:rPr>
                <w:rFonts w:ascii="宋体" w:hAnsi="宋体" w:cs="宋体"/>
                <w:color w:val="000000"/>
                <w:kern w:val="0"/>
                <w:sz w:val="24"/>
                <w:szCs w:val="24"/>
              </w:rPr>
            </w:pPr>
            <w:r>
              <w:rPr>
                <w:rFonts w:hint="eastAsia" w:ascii="宋体" w:hAnsi="宋体" w:cs="宋体"/>
                <w:color w:val="000000"/>
                <w:kern w:val="0"/>
                <w:sz w:val="24"/>
                <w:szCs w:val="24"/>
              </w:rPr>
              <w:t>实验室生物安全管理模块-受控实验室出入管理</w:t>
            </w:r>
          </w:p>
        </w:tc>
        <w:tc>
          <w:tcPr>
            <w:tcW w:w="4401" w:type="dxa"/>
            <w:tcBorders>
              <w:top w:val="nil"/>
              <w:left w:val="nil"/>
              <w:bottom w:val="single" w:color="000000" w:sz="4" w:space="0"/>
              <w:right w:val="single" w:color="000000" w:sz="4" w:space="0"/>
            </w:tcBorders>
            <w:vAlign w:val="center"/>
          </w:tcPr>
          <w:p w14:paraId="176EE019">
            <w:pPr>
              <w:jc w:val="left"/>
              <w:rPr>
                <w:rFonts w:ascii="宋体" w:hAnsi="宋体" w:cs="宋体"/>
                <w:color w:val="000000"/>
                <w:kern w:val="0"/>
                <w:sz w:val="24"/>
                <w:szCs w:val="24"/>
              </w:rPr>
            </w:pPr>
            <w:r>
              <w:rPr>
                <w:rFonts w:hint="eastAsia" w:ascii="宋体" w:hAnsi="宋体" w:cs="宋体"/>
                <w:color w:val="000000"/>
                <w:kern w:val="0"/>
                <w:sz w:val="24"/>
                <w:szCs w:val="24"/>
              </w:rPr>
              <w:t>对受控实验室进行出入管理，记录实验室编号、实验室名称、进入人员、进入时间、出去时间、主要工作描述、备注等信息，以便后续统计分析、跟踪溯源。</w:t>
            </w:r>
          </w:p>
        </w:tc>
      </w:tr>
      <w:tr w14:paraId="693083C1">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5892630">
            <w:pPr>
              <w:jc w:val="center"/>
              <w:rPr>
                <w:rFonts w:ascii="宋体" w:hAnsi="宋体" w:cs="宋体"/>
                <w:color w:val="000000"/>
                <w:kern w:val="0"/>
                <w:sz w:val="24"/>
                <w:szCs w:val="24"/>
              </w:rPr>
            </w:pPr>
            <w:r>
              <w:rPr>
                <w:rFonts w:hint="eastAsia" w:ascii="宋体" w:hAnsi="宋体" w:cs="宋体"/>
                <w:color w:val="000000"/>
                <w:kern w:val="0"/>
                <w:sz w:val="24"/>
                <w:szCs w:val="24"/>
              </w:rPr>
              <w:t>97</w:t>
            </w:r>
          </w:p>
        </w:tc>
        <w:tc>
          <w:tcPr>
            <w:tcW w:w="1580" w:type="dxa"/>
            <w:tcBorders>
              <w:top w:val="nil"/>
              <w:left w:val="nil"/>
              <w:bottom w:val="single" w:color="000000" w:sz="4" w:space="0"/>
              <w:right w:val="single" w:color="000000" w:sz="4" w:space="0"/>
            </w:tcBorders>
            <w:vAlign w:val="center"/>
          </w:tcPr>
          <w:p w14:paraId="398AC832">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1C2EE7F4">
            <w:pPr>
              <w:jc w:val="left"/>
              <w:rPr>
                <w:rFonts w:ascii="宋体" w:hAnsi="宋体" w:cs="宋体"/>
                <w:color w:val="000000"/>
                <w:kern w:val="0"/>
                <w:sz w:val="24"/>
                <w:szCs w:val="24"/>
              </w:rPr>
            </w:pPr>
            <w:r>
              <w:rPr>
                <w:rFonts w:hint="eastAsia" w:ascii="宋体" w:hAnsi="宋体" w:cs="宋体"/>
                <w:color w:val="000000"/>
                <w:kern w:val="0"/>
                <w:sz w:val="24"/>
                <w:szCs w:val="24"/>
              </w:rPr>
              <w:t>实验室生物安全管理模块-菌（毒）种管理</w:t>
            </w:r>
          </w:p>
        </w:tc>
        <w:tc>
          <w:tcPr>
            <w:tcW w:w="4401" w:type="dxa"/>
            <w:tcBorders>
              <w:top w:val="nil"/>
              <w:left w:val="nil"/>
              <w:bottom w:val="single" w:color="000000" w:sz="4" w:space="0"/>
              <w:right w:val="single" w:color="000000" w:sz="4" w:space="0"/>
            </w:tcBorders>
            <w:vAlign w:val="center"/>
          </w:tcPr>
          <w:p w14:paraId="4E85418C">
            <w:pPr>
              <w:jc w:val="left"/>
              <w:rPr>
                <w:rFonts w:ascii="宋体" w:hAnsi="宋体" w:cs="宋体"/>
                <w:color w:val="000000"/>
                <w:kern w:val="0"/>
                <w:sz w:val="24"/>
                <w:szCs w:val="24"/>
              </w:rPr>
            </w:pPr>
            <w:r>
              <w:rPr>
                <w:rFonts w:hint="eastAsia" w:ascii="宋体" w:hAnsi="宋体" w:cs="宋体"/>
                <w:color w:val="000000"/>
                <w:kern w:val="0"/>
                <w:sz w:val="24"/>
                <w:szCs w:val="24"/>
              </w:rPr>
              <w:t>系统支持菌毒种信息的详细录入，包括菌毒种名称、来源、数量、存储条件、使用目的等关键信息。并实现存储位置管理、入库管理、传代管理、复苏管理、领用管理、归还管理、销毁管理等内容</w:t>
            </w:r>
          </w:p>
        </w:tc>
      </w:tr>
      <w:tr w14:paraId="35A3A82C">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053B7289">
            <w:pPr>
              <w:jc w:val="center"/>
              <w:rPr>
                <w:rFonts w:ascii="宋体" w:hAnsi="宋体" w:cs="宋体"/>
                <w:color w:val="000000"/>
                <w:kern w:val="0"/>
                <w:sz w:val="24"/>
                <w:szCs w:val="24"/>
              </w:rPr>
            </w:pPr>
            <w:r>
              <w:rPr>
                <w:rFonts w:hint="eastAsia" w:ascii="宋体" w:hAnsi="宋体" w:cs="宋体"/>
                <w:color w:val="000000"/>
                <w:kern w:val="0"/>
                <w:sz w:val="24"/>
                <w:szCs w:val="24"/>
              </w:rPr>
              <w:t>98</w:t>
            </w:r>
          </w:p>
        </w:tc>
        <w:tc>
          <w:tcPr>
            <w:tcW w:w="1580" w:type="dxa"/>
            <w:tcBorders>
              <w:top w:val="nil"/>
              <w:left w:val="nil"/>
              <w:bottom w:val="single" w:color="000000" w:sz="4" w:space="0"/>
              <w:right w:val="single" w:color="000000" w:sz="4" w:space="0"/>
            </w:tcBorders>
            <w:vAlign w:val="center"/>
          </w:tcPr>
          <w:p w14:paraId="54A5A911">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7253CCF6">
            <w:pPr>
              <w:jc w:val="left"/>
              <w:rPr>
                <w:rFonts w:ascii="宋体" w:hAnsi="宋体" w:cs="宋体"/>
                <w:color w:val="000000"/>
                <w:kern w:val="0"/>
                <w:sz w:val="24"/>
                <w:szCs w:val="24"/>
              </w:rPr>
            </w:pPr>
            <w:r>
              <w:rPr>
                <w:rFonts w:hint="eastAsia" w:ascii="宋体" w:hAnsi="宋体" w:cs="宋体"/>
                <w:color w:val="000000"/>
                <w:kern w:val="0"/>
                <w:sz w:val="24"/>
                <w:szCs w:val="24"/>
              </w:rPr>
              <w:t>实验室生物安全管理模块-毒理试验方案管理</w:t>
            </w:r>
          </w:p>
        </w:tc>
        <w:tc>
          <w:tcPr>
            <w:tcW w:w="4401" w:type="dxa"/>
            <w:tcBorders>
              <w:top w:val="nil"/>
              <w:left w:val="nil"/>
              <w:bottom w:val="single" w:color="000000" w:sz="4" w:space="0"/>
              <w:right w:val="single" w:color="000000" w:sz="4" w:space="0"/>
            </w:tcBorders>
            <w:vAlign w:val="center"/>
          </w:tcPr>
          <w:p w14:paraId="13EAE6C4">
            <w:pPr>
              <w:jc w:val="left"/>
              <w:rPr>
                <w:rFonts w:ascii="宋体" w:hAnsi="宋体" w:cs="宋体"/>
                <w:color w:val="000000"/>
                <w:kern w:val="0"/>
                <w:sz w:val="24"/>
                <w:szCs w:val="24"/>
              </w:rPr>
            </w:pPr>
            <w:r>
              <w:rPr>
                <w:rFonts w:hint="eastAsia" w:ascii="宋体" w:hAnsi="宋体" w:cs="宋体"/>
                <w:color w:val="000000"/>
                <w:kern w:val="0"/>
                <w:sz w:val="24"/>
                <w:szCs w:val="24"/>
              </w:rPr>
              <w:t>根据毒理试验需求，实现动物试验方案编制、审核、批准全流程信息化管理，支持上传方案等相关附件。</w:t>
            </w:r>
          </w:p>
        </w:tc>
      </w:tr>
      <w:tr w14:paraId="5C0DA0BC">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27777F3">
            <w:pPr>
              <w:jc w:val="center"/>
              <w:rPr>
                <w:rFonts w:ascii="宋体" w:hAnsi="宋体" w:cs="宋体"/>
                <w:color w:val="000000"/>
                <w:kern w:val="0"/>
                <w:sz w:val="24"/>
                <w:szCs w:val="24"/>
              </w:rPr>
            </w:pPr>
            <w:r>
              <w:rPr>
                <w:rFonts w:hint="eastAsia" w:ascii="宋体" w:hAnsi="宋体" w:cs="宋体"/>
                <w:color w:val="000000"/>
                <w:kern w:val="0"/>
                <w:sz w:val="24"/>
                <w:szCs w:val="24"/>
              </w:rPr>
              <w:t>99</w:t>
            </w:r>
          </w:p>
        </w:tc>
        <w:tc>
          <w:tcPr>
            <w:tcW w:w="1580" w:type="dxa"/>
            <w:tcBorders>
              <w:top w:val="nil"/>
              <w:left w:val="nil"/>
              <w:bottom w:val="single" w:color="000000" w:sz="4" w:space="0"/>
              <w:right w:val="single" w:color="000000" w:sz="4" w:space="0"/>
            </w:tcBorders>
            <w:vAlign w:val="center"/>
          </w:tcPr>
          <w:p w14:paraId="1C41888F">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1920A347">
            <w:pPr>
              <w:jc w:val="left"/>
              <w:rPr>
                <w:rFonts w:ascii="宋体" w:hAnsi="宋体" w:cs="宋体"/>
                <w:color w:val="000000"/>
                <w:kern w:val="0"/>
                <w:sz w:val="24"/>
                <w:szCs w:val="24"/>
              </w:rPr>
            </w:pPr>
            <w:r>
              <w:rPr>
                <w:rFonts w:hint="eastAsia" w:ascii="宋体" w:hAnsi="宋体" w:cs="宋体"/>
                <w:color w:val="000000"/>
                <w:kern w:val="0"/>
                <w:sz w:val="24"/>
                <w:szCs w:val="24"/>
              </w:rPr>
              <w:t>实验室生物安全管理模块-动物采购管理</w:t>
            </w:r>
          </w:p>
        </w:tc>
        <w:tc>
          <w:tcPr>
            <w:tcW w:w="4401" w:type="dxa"/>
            <w:tcBorders>
              <w:top w:val="nil"/>
              <w:left w:val="nil"/>
              <w:bottom w:val="single" w:color="000000" w:sz="4" w:space="0"/>
              <w:right w:val="single" w:color="000000" w:sz="4" w:space="0"/>
            </w:tcBorders>
            <w:vAlign w:val="center"/>
          </w:tcPr>
          <w:p w14:paraId="14249FA8">
            <w:pPr>
              <w:jc w:val="left"/>
              <w:rPr>
                <w:rFonts w:ascii="宋体" w:hAnsi="宋体" w:cs="宋体"/>
                <w:color w:val="000000"/>
                <w:kern w:val="0"/>
                <w:sz w:val="24"/>
                <w:szCs w:val="24"/>
              </w:rPr>
            </w:pPr>
            <w:r>
              <w:rPr>
                <w:rFonts w:hint="eastAsia" w:ascii="宋体" w:hAnsi="宋体" w:cs="宋体"/>
                <w:color w:val="000000"/>
                <w:kern w:val="0"/>
                <w:sz w:val="24"/>
                <w:szCs w:val="24"/>
              </w:rPr>
              <w:t>根据试验方案实现动物采购申请、审批管理，明确申请动物类型、品种、性别、数量、规格等。</w:t>
            </w:r>
          </w:p>
        </w:tc>
      </w:tr>
      <w:tr w14:paraId="47A420D1">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1DC28B0">
            <w:pPr>
              <w:jc w:val="center"/>
              <w:rPr>
                <w:rFonts w:ascii="宋体" w:hAnsi="宋体" w:cs="宋体"/>
                <w:color w:val="000000"/>
                <w:kern w:val="0"/>
                <w:sz w:val="24"/>
                <w:szCs w:val="24"/>
              </w:rPr>
            </w:pPr>
            <w:r>
              <w:rPr>
                <w:rFonts w:hint="eastAsia" w:ascii="宋体" w:hAnsi="宋体" w:cs="宋体"/>
                <w:color w:val="000000"/>
                <w:kern w:val="0"/>
                <w:sz w:val="24"/>
                <w:szCs w:val="24"/>
              </w:rPr>
              <w:t>100</w:t>
            </w:r>
          </w:p>
        </w:tc>
        <w:tc>
          <w:tcPr>
            <w:tcW w:w="1580" w:type="dxa"/>
            <w:tcBorders>
              <w:top w:val="nil"/>
              <w:left w:val="nil"/>
              <w:bottom w:val="single" w:color="000000" w:sz="4" w:space="0"/>
              <w:right w:val="single" w:color="000000" w:sz="4" w:space="0"/>
            </w:tcBorders>
            <w:vAlign w:val="center"/>
          </w:tcPr>
          <w:p w14:paraId="461199FD">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2C4D65A3">
            <w:pPr>
              <w:jc w:val="left"/>
              <w:rPr>
                <w:rFonts w:ascii="宋体" w:hAnsi="宋体" w:cs="宋体"/>
                <w:color w:val="000000"/>
                <w:kern w:val="0"/>
                <w:sz w:val="24"/>
                <w:szCs w:val="24"/>
              </w:rPr>
            </w:pPr>
            <w:r>
              <w:rPr>
                <w:rFonts w:hint="eastAsia" w:ascii="宋体" w:hAnsi="宋体" w:cs="宋体"/>
                <w:color w:val="000000"/>
                <w:kern w:val="0"/>
                <w:sz w:val="24"/>
                <w:szCs w:val="24"/>
              </w:rPr>
              <w:t>实验室生物安全管理模块-动物验收管理</w:t>
            </w:r>
          </w:p>
        </w:tc>
        <w:tc>
          <w:tcPr>
            <w:tcW w:w="4401" w:type="dxa"/>
            <w:tcBorders>
              <w:top w:val="nil"/>
              <w:left w:val="nil"/>
              <w:bottom w:val="single" w:color="000000" w:sz="4" w:space="0"/>
              <w:right w:val="single" w:color="000000" w:sz="4" w:space="0"/>
            </w:tcBorders>
            <w:vAlign w:val="center"/>
          </w:tcPr>
          <w:p w14:paraId="3040F92E">
            <w:pPr>
              <w:jc w:val="left"/>
              <w:rPr>
                <w:rFonts w:ascii="宋体" w:hAnsi="宋体" w:cs="宋体"/>
                <w:color w:val="000000"/>
                <w:kern w:val="0"/>
                <w:sz w:val="24"/>
                <w:szCs w:val="24"/>
              </w:rPr>
            </w:pPr>
            <w:r>
              <w:rPr>
                <w:rFonts w:hint="eastAsia" w:ascii="宋体" w:hAnsi="宋体" w:cs="宋体"/>
                <w:color w:val="000000"/>
                <w:kern w:val="0"/>
                <w:sz w:val="24"/>
                <w:szCs w:val="24"/>
              </w:rPr>
              <w:t>根据采购申请完成动物验收管理，登记动物类型、采购数量、性别、登记人、登记日期等信息。</w:t>
            </w:r>
          </w:p>
        </w:tc>
      </w:tr>
      <w:tr w14:paraId="577A4DD2">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E8BDA39">
            <w:pPr>
              <w:jc w:val="center"/>
              <w:rPr>
                <w:rFonts w:ascii="宋体" w:hAnsi="宋体" w:cs="宋体"/>
                <w:color w:val="000000"/>
                <w:kern w:val="0"/>
                <w:sz w:val="24"/>
                <w:szCs w:val="24"/>
              </w:rPr>
            </w:pPr>
            <w:r>
              <w:rPr>
                <w:rFonts w:hint="eastAsia" w:ascii="宋体" w:hAnsi="宋体" w:cs="宋体"/>
                <w:color w:val="000000"/>
                <w:kern w:val="0"/>
                <w:sz w:val="24"/>
                <w:szCs w:val="24"/>
              </w:rPr>
              <w:t>101</w:t>
            </w:r>
          </w:p>
        </w:tc>
        <w:tc>
          <w:tcPr>
            <w:tcW w:w="1580" w:type="dxa"/>
            <w:tcBorders>
              <w:top w:val="nil"/>
              <w:left w:val="nil"/>
              <w:bottom w:val="single" w:color="000000" w:sz="4" w:space="0"/>
              <w:right w:val="single" w:color="000000" w:sz="4" w:space="0"/>
            </w:tcBorders>
            <w:vAlign w:val="center"/>
          </w:tcPr>
          <w:p w14:paraId="563FB6EA">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655912BC">
            <w:pPr>
              <w:jc w:val="left"/>
              <w:rPr>
                <w:rFonts w:ascii="宋体" w:hAnsi="宋体" w:cs="宋体"/>
                <w:color w:val="000000"/>
                <w:kern w:val="0"/>
                <w:sz w:val="24"/>
                <w:szCs w:val="24"/>
              </w:rPr>
            </w:pPr>
            <w:r>
              <w:rPr>
                <w:rFonts w:hint="eastAsia" w:ascii="宋体" w:hAnsi="宋体" w:cs="宋体"/>
                <w:color w:val="000000"/>
                <w:kern w:val="0"/>
                <w:sz w:val="24"/>
                <w:szCs w:val="24"/>
              </w:rPr>
              <w:t>实验室生物安全管理模块-动物检疫管理</w:t>
            </w:r>
          </w:p>
        </w:tc>
        <w:tc>
          <w:tcPr>
            <w:tcW w:w="4401" w:type="dxa"/>
            <w:tcBorders>
              <w:top w:val="nil"/>
              <w:left w:val="nil"/>
              <w:bottom w:val="single" w:color="000000" w:sz="4" w:space="0"/>
              <w:right w:val="single" w:color="000000" w:sz="4" w:space="0"/>
            </w:tcBorders>
            <w:vAlign w:val="center"/>
          </w:tcPr>
          <w:p w14:paraId="2530AD6F">
            <w:pPr>
              <w:jc w:val="left"/>
              <w:rPr>
                <w:rFonts w:ascii="宋体" w:hAnsi="宋体" w:cs="宋体"/>
                <w:color w:val="000000"/>
                <w:kern w:val="0"/>
                <w:sz w:val="24"/>
                <w:szCs w:val="24"/>
              </w:rPr>
            </w:pPr>
            <w:r>
              <w:rPr>
                <w:rFonts w:hint="eastAsia" w:ascii="宋体" w:hAnsi="宋体" w:cs="宋体"/>
                <w:color w:val="000000"/>
                <w:kern w:val="0"/>
                <w:sz w:val="24"/>
                <w:szCs w:val="24"/>
              </w:rPr>
              <w:t>记录动物检疫相关信息，包括被检疫单位信息、被检疫动物信息、检疫人员信息、检疫结果等信息。</w:t>
            </w:r>
          </w:p>
        </w:tc>
      </w:tr>
      <w:tr w14:paraId="0593C7CD">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0A084A9B">
            <w:pPr>
              <w:jc w:val="center"/>
              <w:rPr>
                <w:rFonts w:ascii="宋体" w:hAnsi="宋体" w:cs="宋体"/>
                <w:color w:val="000000"/>
                <w:kern w:val="0"/>
                <w:sz w:val="24"/>
                <w:szCs w:val="24"/>
              </w:rPr>
            </w:pPr>
            <w:r>
              <w:rPr>
                <w:rFonts w:hint="eastAsia" w:ascii="宋体" w:hAnsi="宋体" w:cs="宋体"/>
                <w:color w:val="000000"/>
                <w:kern w:val="0"/>
                <w:sz w:val="24"/>
                <w:szCs w:val="24"/>
              </w:rPr>
              <w:t>102</w:t>
            </w:r>
          </w:p>
        </w:tc>
        <w:tc>
          <w:tcPr>
            <w:tcW w:w="1580" w:type="dxa"/>
            <w:tcBorders>
              <w:top w:val="nil"/>
              <w:left w:val="nil"/>
              <w:bottom w:val="single" w:color="000000" w:sz="4" w:space="0"/>
              <w:right w:val="single" w:color="000000" w:sz="4" w:space="0"/>
            </w:tcBorders>
            <w:vAlign w:val="center"/>
          </w:tcPr>
          <w:p w14:paraId="7B22E390">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0481018E">
            <w:pPr>
              <w:jc w:val="left"/>
              <w:rPr>
                <w:rFonts w:ascii="宋体" w:hAnsi="宋体" w:cs="宋体"/>
                <w:color w:val="000000"/>
                <w:kern w:val="0"/>
                <w:sz w:val="24"/>
                <w:szCs w:val="24"/>
              </w:rPr>
            </w:pPr>
            <w:r>
              <w:rPr>
                <w:rFonts w:hint="eastAsia" w:ascii="宋体" w:hAnsi="宋体" w:cs="宋体"/>
                <w:color w:val="000000"/>
                <w:kern w:val="0"/>
                <w:sz w:val="24"/>
                <w:szCs w:val="24"/>
              </w:rPr>
              <w:t>实验室生物安全管理模块-饲料/垫料管理</w:t>
            </w:r>
          </w:p>
        </w:tc>
        <w:tc>
          <w:tcPr>
            <w:tcW w:w="4401" w:type="dxa"/>
            <w:tcBorders>
              <w:top w:val="nil"/>
              <w:left w:val="nil"/>
              <w:bottom w:val="single" w:color="000000" w:sz="4" w:space="0"/>
              <w:right w:val="single" w:color="000000" w:sz="4" w:space="0"/>
            </w:tcBorders>
            <w:vAlign w:val="center"/>
          </w:tcPr>
          <w:p w14:paraId="642549F9">
            <w:pPr>
              <w:jc w:val="left"/>
              <w:rPr>
                <w:rFonts w:ascii="宋体" w:hAnsi="宋体" w:cs="宋体"/>
                <w:color w:val="000000"/>
                <w:kern w:val="0"/>
                <w:sz w:val="24"/>
                <w:szCs w:val="24"/>
              </w:rPr>
            </w:pPr>
            <w:r>
              <w:rPr>
                <w:rFonts w:hint="eastAsia" w:ascii="宋体" w:hAnsi="宋体" w:cs="宋体"/>
                <w:color w:val="000000"/>
                <w:kern w:val="0"/>
                <w:sz w:val="24"/>
                <w:szCs w:val="24"/>
              </w:rPr>
              <w:t>基于动物实验方案，以及动物房管理要求，实现动物饲料/垫料的采购、申请、审批管理。</w:t>
            </w:r>
          </w:p>
        </w:tc>
      </w:tr>
      <w:tr w14:paraId="681884C5">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164BDFF">
            <w:pPr>
              <w:jc w:val="center"/>
              <w:rPr>
                <w:rFonts w:ascii="宋体" w:hAnsi="宋体" w:cs="宋体"/>
                <w:color w:val="000000"/>
                <w:kern w:val="0"/>
                <w:sz w:val="24"/>
                <w:szCs w:val="24"/>
              </w:rPr>
            </w:pPr>
            <w:r>
              <w:rPr>
                <w:rFonts w:hint="eastAsia" w:ascii="宋体" w:hAnsi="宋体" w:cs="宋体"/>
                <w:color w:val="000000"/>
                <w:kern w:val="0"/>
                <w:sz w:val="24"/>
                <w:szCs w:val="24"/>
              </w:rPr>
              <w:t>103</w:t>
            </w:r>
          </w:p>
        </w:tc>
        <w:tc>
          <w:tcPr>
            <w:tcW w:w="1580" w:type="dxa"/>
            <w:tcBorders>
              <w:top w:val="nil"/>
              <w:left w:val="nil"/>
              <w:bottom w:val="single" w:color="000000" w:sz="4" w:space="0"/>
              <w:right w:val="single" w:color="000000" w:sz="4" w:space="0"/>
            </w:tcBorders>
            <w:vAlign w:val="center"/>
          </w:tcPr>
          <w:p w14:paraId="60D98DCA">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15217A64">
            <w:pPr>
              <w:jc w:val="left"/>
              <w:rPr>
                <w:rFonts w:ascii="宋体" w:hAnsi="宋体" w:cs="宋体"/>
                <w:color w:val="000000"/>
                <w:kern w:val="0"/>
                <w:sz w:val="24"/>
                <w:szCs w:val="24"/>
              </w:rPr>
            </w:pPr>
            <w:r>
              <w:rPr>
                <w:rFonts w:hint="eastAsia" w:ascii="宋体" w:hAnsi="宋体" w:cs="宋体"/>
                <w:color w:val="000000"/>
                <w:kern w:val="0"/>
                <w:sz w:val="24"/>
                <w:szCs w:val="24"/>
              </w:rPr>
              <w:t>实验室生物安全管理模块-消毒记录管理</w:t>
            </w:r>
          </w:p>
        </w:tc>
        <w:tc>
          <w:tcPr>
            <w:tcW w:w="4401" w:type="dxa"/>
            <w:tcBorders>
              <w:top w:val="nil"/>
              <w:left w:val="nil"/>
              <w:bottom w:val="single" w:color="000000" w:sz="4" w:space="0"/>
              <w:right w:val="single" w:color="000000" w:sz="4" w:space="0"/>
            </w:tcBorders>
            <w:vAlign w:val="center"/>
          </w:tcPr>
          <w:p w14:paraId="40611968">
            <w:pPr>
              <w:jc w:val="left"/>
              <w:rPr>
                <w:rFonts w:ascii="宋体" w:hAnsi="宋体" w:cs="宋体"/>
                <w:color w:val="000000"/>
                <w:kern w:val="0"/>
                <w:sz w:val="24"/>
                <w:szCs w:val="24"/>
              </w:rPr>
            </w:pPr>
            <w:r>
              <w:rPr>
                <w:rFonts w:hint="eastAsia" w:ascii="宋体" w:hAnsi="宋体" w:cs="宋体"/>
                <w:color w:val="000000"/>
                <w:kern w:val="0"/>
                <w:sz w:val="24"/>
                <w:szCs w:val="24"/>
              </w:rPr>
              <w:t>对于实验室的消毒记录需要在系统中较为及时的维护，需要记录的信息有：实验室、房间号、消毒液名称、生产厂家、生产批号、消毒剂有效期、消毒日期、消毒时间、消毒人、消毒效果等。</w:t>
            </w:r>
          </w:p>
        </w:tc>
      </w:tr>
      <w:tr w14:paraId="51520604">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0FAA592E">
            <w:pPr>
              <w:jc w:val="center"/>
              <w:rPr>
                <w:rFonts w:ascii="宋体" w:hAnsi="宋体" w:cs="宋体"/>
                <w:color w:val="000000"/>
                <w:kern w:val="0"/>
                <w:sz w:val="24"/>
                <w:szCs w:val="24"/>
              </w:rPr>
            </w:pPr>
            <w:r>
              <w:rPr>
                <w:rFonts w:hint="eastAsia" w:ascii="宋体" w:hAnsi="宋体" w:cs="宋体"/>
                <w:color w:val="000000"/>
                <w:kern w:val="0"/>
                <w:sz w:val="24"/>
                <w:szCs w:val="24"/>
              </w:rPr>
              <w:t>104</w:t>
            </w:r>
          </w:p>
        </w:tc>
        <w:tc>
          <w:tcPr>
            <w:tcW w:w="1580" w:type="dxa"/>
            <w:tcBorders>
              <w:top w:val="nil"/>
              <w:left w:val="nil"/>
              <w:bottom w:val="nil"/>
              <w:right w:val="nil"/>
            </w:tcBorders>
            <w:vAlign w:val="center"/>
          </w:tcPr>
          <w:p w14:paraId="152BE47F">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nil"/>
            </w:tcBorders>
            <w:vAlign w:val="center"/>
          </w:tcPr>
          <w:p w14:paraId="4FE9AB1C">
            <w:pPr>
              <w:jc w:val="left"/>
              <w:rPr>
                <w:rFonts w:ascii="宋体" w:hAnsi="宋体" w:cs="宋体"/>
                <w:color w:val="000000"/>
                <w:kern w:val="0"/>
                <w:sz w:val="24"/>
                <w:szCs w:val="24"/>
              </w:rPr>
            </w:pPr>
            <w:r>
              <w:rPr>
                <w:rFonts w:hint="eastAsia" w:ascii="宋体" w:hAnsi="宋体" w:cs="宋体"/>
                <w:color w:val="000000"/>
                <w:kern w:val="0"/>
                <w:sz w:val="24"/>
                <w:szCs w:val="24"/>
              </w:rPr>
              <w:t>实验室生物安全管理模块-动物处置管理</w:t>
            </w:r>
          </w:p>
        </w:tc>
        <w:tc>
          <w:tcPr>
            <w:tcW w:w="4401" w:type="dxa"/>
            <w:tcBorders>
              <w:top w:val="nil"/>
              <w:left w:val="nil"/>
              <w:bottom w:val="single" w:color="000000" w:sz="4" w:space="0"/>
              <w:right w:val="nil"/>
            </w:tcBorders>
            <w:vAlign w:val="center"/>
          </w:tcPr>
          <w:p w14:paraId="52563C3E">
            <w:pPr>
              <w:jc w:val="left"/>
              <w:rPr>
                <w:rFonts w:ascii="宋体" w:hAnsi="宋体" w:cs="宋体"/>
                <w:color w:val="000000"/>
                <w:kern w:val="0"/>
                <w:sz w:val="24"/>
                <w:szCs w:val="24"/>
              </w:rPr>
            </w:pPr>
            <w:r>
              <w:rPr>
                <w:rFonts w:hint="eastAsia" w:ascii="宋体" w:hAnsi="宋体" w:cs="宋体"/>
                <w:color w:val="000000"/>
                <w:kern w:val="0"/>
                <w:sz w:val="24"/>
                <w:szCs w:val="24"/>
              </w:rPr>
              <w:t>根据试验方案，实现动物处置（安乐死等）流程管理、记录管理、跟踪管理。</w:t>
            </w:r>
          </w:p>
        </w:tc>
      </w:tr>
      <w:tr w14:paraId="0A634F11">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52BDAC15">
            <w:pPr>
              <w:jc w:val="center"/>
              <w:rPr>
                <w:rFonts w:ascii="宋体" w:hAnsi="宋体" w:cs="宋体"/>
                <w:color w:val="000000"/>
                <w:kern w:val="0"/>
                <w:sz w:val="24"/>
                <w:szCs w:val="24"/>
              </w:rPr>
            </w:pPr>
            <w:r>
              <w:rPr>
                <w:rFonts w:hint="eastAsia" w:ascii="宋体" w:hAnsi="宋体" w:cs="宋体"/>
                <w:color w:val="000000"/>
                <w:kern w:val="0"/>
                <w:sz w:val="24"/>
                <w:szCs w:val="24"/>
              </w:rPr>
              <w:t>105</w:t>
            </w:r>
          </w:p>
        </w:tc>
        <w:tc>
          <w:tcPr>
            <w:tcW w:w="1580" w:type="dxa"/>
            <w:tcBorders>
              <w:top w:val="single" w:color="000000" w:sz="4" w:space="0"/>
              <w:left w:val="nil"/>
              <w:bottom w:val="single" w:color="000000" w:sz="4" w:space="0"/>
              <w:right w:val="single" w:color="000000" w:sz="4" w:space="0"/>
            </w:tcBorders>
            <w:vAlign w:val="center"/>
          </w:tcPr>
          <w:p w14:paraId="517F794B">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225D2005">
            <w:pPr>
              <w:jc w:val="left"/>
              <w:rPr>
                <w:rFonts w:ascii="宋体" w:hAnsi="宋体" w:cs="宋体"/>
                <w:color w:val="000000"/>
                <w:kern w:val="0"/>
                <w:sz w:val="24"/>
                <w:szCs w:val="24"/>
              </w:rPr>
            </w:pPr>
            <w:r>
              <w:rPr>
                <w:rFonts w:hint="eastAsia" w:ascii="宋体" w:hAnsi="宋体" w:cs="宋体"/>
                <w:color w:val="000000"/>
                <w:kern w:val="0"/>
                <w:sz w:val="24"/>
                <w:szCs w:val="24"/>
              </w:rPr>
              <w:t>实验室生物安全管理模块-危险材料运输管理</w:t>
            </w:r>
          </w:p>
        </w:tc>
        <w:tc>
          <w:tcPr>
            <w:tcW w:w="4401" w:type="dxa"/>
            <w:tcBorders>
              <w:top w:val="nil"/>
              <w:left w:val="nil"/>
              <w:bottom w:val="single" w:color="000000" w:sz="4" w:space="0"/>
              <w:right w:val="single" w:color="000000" w:sz="4" w:space="0"/>
            </w:tcBorders>
            <w:vAlign w:val="center"/>
          </w:tcPr>
          <w:p w14:paraId="69A21743">
            <w:pPr>
              <w:jc w:val="left"/>
              <w:rPr>
                <w:rFonts w:ascii="宋体" w:hAnsi="宋体" w:cs="宋体"/>
                <w:color w:val="000000"/>
                <w:kern w:val="0"/>
                <w:sz w:val="24"/>
                <w:szCs w:val="24"/>
              </w:rPr>
            </w:pPr>
            <w:r>
              <w:rPr>
                <w:rFonts w:hint="eastAsia" w:ascii="宋体" w:hAnsi="宋体" w:cs="宋体"/>
                <w:color w:val="000000"/>
                <w:kern w:val="0"/>
                <w:sz w:val="24"/>
                <w:szCs w:val="24"/>
              </w:rPr>
              <w:t>主要用来记录危险材料运输管理，实现对危险材料的接收和运出清单管理，可以实现危险材料的全程可以追溯。</w:t>
            </w:r>
          </w:p>
        </w:tc>
      </w:tr>
      <w:tr w14:paraId="7196A2C1">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EDCFDF8">
            <w:pPr>
              <w:jc w:val="center"/>
              <w:rPr>
                <w:rFonts w:ascii="宋体" w:hAnsi="宋体" w:cs="宋体"/>
                <w:color w:val="000000"/>
                <w:kern w:val="0"/>
                <w:sz w:val="24"/>
                <w:szCs w:val="24"/>
              </w:rPr>
            </w:pPr>
            <w:r>
              <w:rPr>
                <w:rFonts w:hint="eastAsia" w:ascii="宋体" w:hAnsi="宋体" w:cs="宋体"/>
                <w:color w:val="000000"/>
                <w:kern w:val="0"/>
                <w:sz w:val="24"/>
                <w:szCs w:val="24"/>
              </w:rPr>
              <w:t>106</w:t>
            </w:r>
          </w:p>
        </w:tc>
        <w:tc>
          <w:tcPr>
            <w:tcW w:w="1580" w:type="dxa"/>
            <w:tcBorders>
              <w:top w:val="nil"/>
              <w:left w:val="nil"/>
              <w:bottom w:val="single" w:color="000000" w:sz="4" w:space="0"/>
              <w:right w:val="single" w:color="000000" w:sz="4" w:space="0"/>
            </w:tcBorders>
            <w:vAlign w:val="center"/>
          </w:tcPr>
          <w:p w14:paraId="1F07CED0">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0995D27D">
            <w:pPr>
              <w:jc w:val="left"/>
              <w:rPr>
                <w:rFonts w:ascii="宋体" w:hAnsi="宋体" w:cs="宋体"/>
                <w:color w:val="000000"/>
                <w:kern w:val="0"/>
                <w:sz w:val="24"/>
                <w:szCs w:val="24"/>
              </w:rPr>
            </w:pPr>
            <w:r>
              <w:rPr>
                <w:rFonts w:hint="eastAsia" w:ascii="宋体" w:hAnsi="宋体" w:cs="宋体"/>
                <w:color w:val="000000"/>
                <w:kern w:val="0"/>
                <w:sz w:val="24"/>
                <w:szCs w:val="24"/>
              </w:rPr>
              <w:t>实验室生物安全管理模块-生物安全设备管理</w:t>
            </w:r>
          </w:p>
        </w:tc>
        <w:tc>
          <w:tcPr>
            <w:tcW w:w="4401" w:type="dxa"/>
            <w:tcBorders>
              <w:top w:val="nil"/>
              <w:left w:val="nil"/>
              <w:bottom w:val="single" w:color="000000" w:sz="4" w:space="0"/>
              <w:right w:val="single" w:color="000000" w:sz="4" w:space="0"/>
            </w:tcBorders>
            <w:vAlign w:val="center"/>
          </w:tcPr>
          <w:p w14:paraId="53B8BF7B">
            <w:pPr>
              <w:jc w:val="left"/>
              <w:rPr>
                <w:rFonts w:ascii="宋体" w:hAnsi="宋体" w:cs="宋体"/>
                <w:color w:val="000000"/>
                <w:kern w:val="0"/>
                <w:sz w:val="24"/>
                <w:szCs w:val="24"/>
              </w:rPr>
            </w:pPr>
            <w:r>
              <w:rPr>
                <w:rFonts w:hint="eastAsia" w:ascii="宋体" w:hAnsi="宋体" w:cs="宋体"/>
                <w:color w:val="000000"/>
                <w:kern w:val="0"/>
                <w:sz w:val="24"/>
                <w:szCs w:val="24"/>
              </w:rPr>
              <w:t>主要是管理生物安全柜、高压灭菌设备等的管理，实现设备的台账管理、使用记录管理、全面跟踪生物安全设备运行情况使用情况。记录使用人员、使用开始时间、使用结束时间、设备使用前后状态、使用目的、备注等信息。</w:t>
            </w:r>
          </w:p>
        </w:tc>
      </w:tr>
      <w:tr w14:paraId="3372E436">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3AEEB47C">
            <w:pPr>
              <w:jc w:val="center"/>
              <w:rPr>
                <w:rFonts w:ascii="宋体" w:hAnsi="宋体" w:cs="宋体"/>
                <w:color w:val="000000"/>
                <w:kern w:val="0"/>
                <w:sz w:val="24"/>
                <w:szCs w:val="24"/>
              </w:rPr>
            </w:pPr>
            <w:r>
              <w:rPr>
                <w:rFonts w:hint="eastAsia" w:ascii="宋体" w:hAnsi="宋体" w:cs="宋体"/>
                <w:color w:val="000000"/>
                <w:kern w:val="0"/>
                <w:sz w:val="24"/>
                <w:szCs w:val="24"/>
              </w:rPr>
              <w:t>107</w:t>
            </w:r>
          </w:p>
        </w:tc>
        <w:tc>
          <w:tcPr>
            <w:tcW w:w="1580" w:type="dxa"/>
            <w:tcBorders>
              <w:top w:val="nil"/>
              <w:left w:val="nil"/>
              <w:bottom w:val="single" w:color="000000" w:sz="4" w:space="0"/>
              <w:right w:val="single" w:color="000000" w:sz="4" w:space="0"/>
            </w:tcBorders>
            <w:vAlign w:val="center"/>
          </w:tcPr>
          <w:p w14:paraId="728EC1F3">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69B37D5D">
            <w:pPr>
              <w:jc w:val="left"/>
              <w:rPr>
                <w:rFonts w:ascii="宋体" w:hAnsi="宋体" w:cs="宋体"/>
                <w:color w:val="000000"/>
                <w:kern w:val="0"/>
                <w:sz w:val="24"/>
                <w:szCs w:val="24"/>
              </w:rPr>
            </w:pPr>
            <w:r>
              <w:rPr>
                <w:rFonts w:hint="eastAsia" w:ascii="宋体" w:hAnsi="宋体" w:cs="宋体"/>
                <w:color w:val="000000"/>
                <w:kern w:val="0"/>
                <w:sz w:val="24"/>
                <w:szCs w:val="24"/>
              </w:rPr>
              <w:t>实验室生物安全管理模块-应急演练管理</w:t>
            </w:r>
          </w:p>
        </w:tc>
        <w:tc>
          <w:tcPr>
            <w:tcW w:w="4401" w:type="dxa"/>
            <w:tcBorders>
              <w:top w:val="nil"/>
              <w:left w:val="nil"/>
              <w:bottom w:val="single" w:color="000000" w:sz="4" w:space="0"/>
              <w:right w:val="single" w:color="000000" w:sz="4" w:space="0"/>
            </w:tcBorders>
            <w:vAlign w:val="center"/>
          </w:tcPr>
          <w:p w14:paraId="25DD3CD1">
            <w:pPr>
              <w:jc w:val="left"/>
              <w:rPr>
                <w:rFonts w:ascii="宋体" w:hAnsi="宋体" w:cs="宋体"/>
                <w:color w:val="000000"/>
                <w:kern w:val="0"/>
                <w:sz w:val="24"/>
                <w:szCs w:val="24"/>
              </w:rPr>
            </w:pPr>
            <w:r>
              <w:rPr>
                <w:rFonts w:hint="eastAsia" w:ascii="宋体" w:hAnsi="宋体" w:cs="宋体"/>
                <w:color w:val="000000"/>
                <w:kern w:val="0"/>
                <w:sz w:val="24"/>
                <w:szCs w:val="24"/>
              </w:rPr>
              <w:t>主要用来实现对生物安全的应急演练管理，可以制定应急程序，根据应急程序完成应急演练，记录整个演练过程。系统可模拟菌毒种感染、有毒气体挥发、火宅等突发场景，演练应急处置方案。在演练过程中，管理人员可启动演练开始，可对当前演练的任务执行情况，处理时间、处理人员、处理内容进行反馈</w:t>
            </w:r>
          </w:p>
        </w:tc>
      </w:tr>
      <w:tr w14:paraId="47B50EE0">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59A9ADA1">
            <w:pPr>
              <w:jc w:val="center"/>
              <w:rPr>
                <w:rFonts w:ascii="宋体" w:hAnsi="宋体" w:cs="宋体"/>
                <w:color w:val="000000"/>
                <w:kern w:val="0"/>
                <w:sz w:val="24"/>
                <w:szCs w:val="24"/>
              </w:rPr>
            </w:pPr>
            <w:r>
              <w:rPr>
                <w:rFonts w:hint="eastAsia" w:ascii="宋体" w:hAnsi="宋体" w:cs="宋体"/>
                <w:color w:val="000000"/>
                <w:kern w:val="0"/>
                <w:sz w:val="24"/>
                <w:szCs w:val="24"/>
              </w:rPr>
              <w:t>108</w:t>
            </w:r>
          </w:p>
        </w:tc>
        <w:tc>
          <w:tcPr>
            <w:tcW w:w="1580" w:type="dxa"/>
            <w:tcBorders>
              <w:top w:val="nil"/>
              <w:left w:val="nil"/>
              <w:bottom w:val="single" w:color="000000" w:sz="4" w:space="0"/>
              <w:right w:val="single" w:color="000000" w:sz="4" w:space="0"/>
            </w:tcBorders>
            <w:vAlign w:val="center"/>
          </w:tcPr>
          <w:p w14:paraId="5D76D44D">
            <w:pPr>
              <w:jc w:val="center"/>
              <w:rPr>
                <w:rFonts w:ascii="宋体" w:hAnsi="宋体" w:cs="宋体"/>
                <w:color w:val="000000"/>
                <w:kern w:val="0"/>
                <w:sz w:val="24"/>
                <w:szCs w:val="24"/>
              </w:rPr>
            </w:pPr>
            <w:r>
              <w:rPr>
                <w:rFonts w:hint="eastAsia" w:ascii="宋体" w:hAnsi="宋体" w:cs="宋体"/>
                <w:color w:val="000000"/>
                <w:kern w:val="0"/>
                <w:sz w:val="24"/>
                <w:szCs w:val="24"/>
              </w:rPr>
              <w:t>检测管理子系统</w:t>
            </w:r>
          </w:p>
        </w:tc>
        <w:tc>
          <w:tcPr>
            <w:tcW w:w="1673" w:type="dxa"/>
            <w:tcBorders>
              <w:top w:val="nil"/>
              <w:left w:val="nil"/>
              <w:bottom w:val="single" w:color="000000" w:sz="4" w:space="0"/>
              <w:right w:val="single" w:color="000000" w:sz="4" w:space="0"/>
            </w:tcBorders>
            <w:vAlign w:val="center"/>
          </w:tcPr>
          <w:p w14:paraId="32BB6D82">
            <w:pPr>
              <w:jc w:val="left"/>
              <w:rPr>
                <w:rFonts w:ascii="宋体" w:hAnsi="宋体" w:cs="宋体"/>
                <w:color w:val="000000"/>
                <w:kern w:val="0"/>
                <w:sz w:val="24"/>
                <w:szCs w:val="24"/>
              </w:rPr>
            </w:pPr>
            <w:r>
              <w:rPr>
                <w:rFonts w:hint="eastAsia" w:ascii="宋体" w:hAnsi="宋体" w:cs="宋体"/>
                <w:color w:val="000000"/>
                <w:kern w:val="0"/>
                <w:sz w:val="24"/>
                <w:szCs w:val="24"/>
              </w:rPr>
              <w:t>实验室生物安全管理模块-事故报告管理</w:t>
            </w:r>
          </w:p>
        </w:tc>
        <w:tc>
          <w:tcPr>
            <w:tcW w:w="4401" w:type="dxa"/>
            <w:tcBorders>
              <w:top w:val="nil"/>
              <w:left w:val="nil"/>
              <w:bottom w:val="single" w:color="000000" w:sz="4" w:space="0"/>
              <w:right w:val="single" w:color="000000" w:sz="4" w:space="0"/>
            </w:tcBorders>
            <w:vAlign w:val="center"/>
          </w:tcPr>
          <w:p w14:paraId="5B64DE67">
            <w:pPr>
              <w:jc w:val="left"/>
              <w:rPr>
                <w:rFonts w:ascii="宋体" w:hAnsi="宋体" w:cs="宋体"/>
                <w:color w:val="000000"/>
                <w:kern w:val="0"/>
                <w:sz w:val="24"/>
                <w:szCs w:val="24"/>
              </w:rPr>
            </w:pPr>
            <w:r>
              <w:rPr>
                <w:rFonts w:hint="eastAsia" w:ascii="宋体" w:hAnsi="宋体" w:cs="宋体"/>
                <w:color w:val="000000"/>
                <w:kern w:val="0"/>
                <w:sz w:val="24"/>
                <w:szCs w:val="24"/>
              </w:rPr>
              <w:t>主要用来实现对实验室的事故进行闭环管理，记录事故信息、处理过程及结论，并可以管理事故报告，同时支持相关审批流程。</w:t>
            </w:r>
          </w:p>
        </w:tc>
      </w:tr>
      <w:tr w14:paraId="5900379F">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08089214">
            <w:pPr>
              <w:jc w:val="center"/>
              <w:rPr>
                <w:rFonts w:ascii="宋体" w:hAnsi="宋体" w:cs="宋体"/>
                <w:color w:val="000000"/>
                <w:kern w:val="0"/>
                <w:sz w:val="24"/>
                <w:szCs w:val="24"/>
              </w:rPr>
            </w:pPr>
            <w:r>
              <w:rPr>
                <w:rFonts w:hint="eastAsia" w:ascii="宋体" w:hAnsi="宋体" w:cs="宋体"/>
                <w:color w:val="000000"/>
                <w:kern w:val="0"/>
                <w:sz w:val="24"/>
                <w:szCs w:val="24"/>
              </w:rPr>
              <w:t>130</w:t>
            </w:r>
          </w:p>
        </w:tc>
        <w:tc>
          <w:tcPr>
            <w:tcW w:w="1580" w:type="dxa"/>
            <w:tcBorders>
              <w:top w:val="nil"/>
              <w:left w:val="nil"/>
              <w:bottom w:val="single" w:color="000000" w:sz="4" w:space="0"/>
              <w:right w:val="single" w:color="000000" w:sz="4" w:space="0"/>
            </w:tcBorders>
            <w:vAlign w:val="center"/>
          </w:tcPr>
          <w:p w14:paraId="4BD8AF8E">
            <w:pPr>
              <w:jc w:val="center"/>
              <w:rPr>
                <w:rFonts w:ascii="宋体" w:hAnsi="宋体" w:cs="宋体"/>
                <w:color w:val="000000"/>
                <w:kern w:val="0"/>
                <w:sz w:val="24"/>
                <w:szCs w:val="24"/>
              </w:rPr>
            </w:pPr>
            <w:r>
              <w:rPr>
                <w:rFonts w:hint="eastAsia" w:ascii="宋体" w:hAnsi="宋体" w:cs="宋体"/>
                <w:color w:val="000000"/>
                <w:kern w:val="0"/>
                <w:sz w:val="24"/>
                <w:szCs w:val="24"/>
              </w:rPr>
              <w:t>标准数据服务子系统</w:t>
            </w:r>
          </w:p>
        </w:tc>
        <w:tc>
          <w:tcPr>
            <w:tcW w:w="1673" w:type="dxa"/>
            <w:tcBorders>
              <w:top w:val="nil"/>
              <w:left w:val="nil"/>
              <w:bottom w:val="single" w:color="000000" w:sz="4" w:space="0"/>
              <w:right w:val="single" w:color="000000" w:sz="4" w:space="0"/>
            </w:tcBorders>
            <w:vAlign w:val="center"/>
          </w:tcPr>
          <w:p w14:paraId="52D3AD75">
            <w:pPr>
              <w:jc w:val="left"/>
              <w:rPr>
                <w:rFonts w:ascii="宋体" w:hAnsi="宋体" w:cs="宋体"/>
                <w:color w:val="000000"/>
                <w:kern w:val="0"/>
                <w:sz w:val="24"/>
                <w:szCs w:val="24"/>
              </w:rPr>
            </w:pPr>
            <w:r>
              <w:rPr>
                <w:rFonts w:hint="eastAsia" w:ascii="宋体" w:hAnsi="宋体" w:cs="宋体"/>
                <w:color w:val="000000"/>
                <w:kern w:val="0"/>
                <w:sz w:val="24"/>
                <w:szCs w:val="24"/>
              </w:rPr>
              <w:t>标准查阅</w:t>
            </w:r>
          </w:p>
        </w:tc>
        <w:tc>
          <w:tcPr>
            <w:tcW w:w="4401" w:type="dxa"/>
            <w:tcBorders>
              <w:top w:val="nil"/>
              <w:left w:val="nil"/>
              <w:bottom w:val="single" w:color="000000" w:sz="4" w:space="0"/>
              <w:right w:val="single" w:color="000000" w:sz="4" w:space="0"/>
            </w:tcBorders>
            <w:vAlign w:val="center"/>
          </w:tcPr>
          <w:p w14:paraId="1DB2374D">
            <w:pPr>
              <w:jc w:val="left"/>
              <w:rPr>
                <w:rFonts w:ascii="宋体" w:hAnsi="宋体" w:cs="宋体"/>
                <w:color w:val="000000"/>
                <w:kern w:val="0"/>
                <w:sz w:val="24"/>
                <w:szCs w:val="24"/>
              </w:rPr>
            </w:pPr>
            <w:r>
              <w:rPr>
                <w:rFonts w:hint="eastAsia" w:ascii="宋体" w:hAnsi="宋体" w:cs="宋体"/>
                <w:color w:val="000000"/>
                <w:kern w:val="0"/>
                <w:sz w:val="24"/>
                <w:szCs w:val="24"/>
              </w:rPr>
              <w:t>提供标准电子版的在线查看，覆盖标准范围广、数量大。整合了100余万条标准数据涵盖国家标准、行业标准、地方标准、国际标准、国外标准、计量规程规范等类型。包含所有检测行业内的标准，如：食品、药品、环境等60多个领域，以及国标、行标、地标、国际标准等各级别标准。</w:t>
            </w:r>
          </w:p>
        </w:tc>
      </w:tr>
      <w:tr w14:paraId="3D56AAC7">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862C6DE">
            <w:pPr>
              <w:jc w:val="center"/>
              <w:rPr>
                <w:rFonts w:ascii="宋体" w:hAnsi="宋体" w:cs="宋体"/>
                <w:color w:val="000000"/>
                <w:kern w:val="0"/>
                <w:sz w:val="24"/>
                <w:szCs w:val="24"/>
              </w:rPr>
            </w:pPr>
            <w:r>
              <w:rPr>
                <w:rFonts w:hint="eastAsia" w:ascii="宋体" w:hAnsi="宋体" w:cs="宋体"/>
                <w:color w:val="000000"/>
                <w:kern w:val="0"/>
                <w:sz w:val="24"/>
                <w:szCs w:val="24"/>
              </w:rPr>
              <w:t>131</w:t>
            </w:r>
          </w:p>
        </w:tc>
        <w:tc>
          <w:tcPr>
            <w:tcW w:w="1580" w:type="dxa"/>
            <w:tcBorders>
              <w:top w:val="nil"/>
              <w:left w:val="nil"/>
              <w:bottom w:val="single" w:color="000000" w:sz="4" w:space="0"/>
              <w:right w:val="single" w:color="000000" w:sz="4" w:space="0"/>
            </w:tcBorders>
            <w:vAlign w:val="center"/>
          </w:tcPr>
          <w:p w14:paraId="00743960">
            <w:pPr>
              <w:jc w:val="center"/>
              <w:rPr>
                <w:rFonts w:ascii="宋体" w:hAnsi="宋体" w:cs="宋体"/>
                <w:color w:val="000000"/>
                <w:kern w:val="0"/>
                <w:sz w:val="24"/>
                <w:szCs w:val="24"/>
              </w:rPr>
            </w:pPr>
            <w:r>
              <w:rPr>
                <w:rFonts w:hint="eastAsia" w:ascii="宋体" w:hAnsi="宋体" w:cs="宋体"/>
                <w:color w:val="000000"/>
                <w:kern w:val="0"/>
                <w:sz w:val="24"/>
                <w:szCs w:val="24"/>
              </w:rPr>
              <w:t>标准数据服务子系统</w:t>
            </w:r>
          </w:p>
        </w:tc>
        <w:tc>
          <w:tcPr>
            <w:tcW w:w="1673" w:type="dxa"/>
            <w:tcBorders>
              <w:top w:val="nil"/>
              <w:left w:val="nil"/>
              <w:bottom w:val="single" w:color="000000" w:sz="4" w:space="0"/>
              <w:right w:val="single" w:color="000000" w:sz="4" w:space="0"/>
            </w:tcBorders>
            <w:vAlign w:val="center"/>
          </w:tcPr>
          <w:p w14:paraId="05C9BBC5">
            <w:pPr>
              <w:jc w:val="left"/>
              <w:rPr>
                <w:rFonts w:ascii="宋体" w:hAnsi="宋体" w:cs="宋体"/>
                <w:color w:val="000000"/>
                <w:kern w:val="0"/>
                <w:sz w:val="24"/>
                <w:szCs w:val="24"/>
              </w:rPr>
            </w:pPr>
            <w:r>
              <w:rPr>
                <w:rFonts w:hint="eastAsia" w:ascii="宋体" w:hAnsi="宋体" w:cs="宋体"/>
                <w:color w:val="000000"/>
                <w:kern w:val="0"/>
                <w:sz w:val="24"/>
                <w:szCs w:val="24"/>
              </w:rPr>
              <w:t>指标值查阅</w:t>
            </w:r>
          </w:p>
        </w:tc>
        <w:tc>
          <w:tcPr>
            <w:tcW w:w="4401" w:type="dxa"/>
            <w:tcBorders>
              <w:top w:val="nil"/>
              <w:left w:val="nil"/>
              <w:bottom w:val="single" w:color="000000" w:sz="4" w:space="0"/>
              <w:right w:val="single" w:color="000000" w:sz="4" w:space="0"/>
            </w:tcBorders>
            <w:vAlign w:val="center"/>
          </w:tcPr>
          <w:p w14:paraId="27352845">
            <w:pPr>
              <w:jc w:val="left"/>
              <w:rPr>
                <w:rFonts w:ascii="宋体" w:hAnsi="宋体" w:cs="宋体"/>
                <w:color w:val="000000"/>
                <w:kern w:val="0"/>
                <w:sz w:val="24"/>
                <w:szCs w:val="24"/>
              </w:rPr>
            </w:pPr>
            <w:r>
              <w:rPr>
                <w:rFonts w:hint="eastAsia" w:ascii="宋体" w:hAnsi="宋体" w:cs="宋体"/>
                <w:color w:val="000000"/>
                <w:kern w:val="0"/>
                <w:sz w:val="24"/>
                <w:szCs w:val="24"/>
              </w:rPr>
              <w:t>产品标准进行专业、深层次的拆解，拆出了检测项目、产品类型、限值等信息，便于客户精确定位，快速查询到自己想看的内容，并且为与LIMS接口实现核心静态数据的推送。</w:t>
            </w:r>
          </w:p>
        </w:tc>
      </w:tr>
      <w:tr w14:paraId="75688B41">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0E26853">
            <w:pPr>
              <w:jc w:val="center"/>
              <w:rPr>
                <w:rFonts w:ascii="宋体" w:hAnsi="宋体" w:cs="宋体"/>
                <w:color w:val="000000"/>
                <w:kern w:val="0"/>
                <w:sz w:val="24"/>
                <w:szCs w:val="24"/>
              </w:rPr>
            </w:pPr>
            <w:r>
              <w:rPr>
                <w:rFonts w:hint="eastAsia" w:ascii="宋体" w:hAnsi="宋体" w:cs="宋体"/>
                <w:color w:val="000000"/>
                <w:kern w:val="0"/>
                <w:sz w:val="24"/>
                <w:szCs w:val="24"/>
              </w:rPr>
              <w:t>132</w:t>
            </w:r>
          </w:p>
        </w:tc>
        <w:tc>
          <w:tcPr>
            <w:tcW w:w="1580" w:type="dxa"/>
            <w:tcBorders>
              <w:top w:val="nil"/>
              <w:left w:val="nil"/>
              <w:bottom w:val="single" w:color="000000" w:sz="4" w:space="0"/>
              <w:right w:val="single" w:color="000000" w:sz="4" w:space="0"/>
            </w:tcBorders>
            <w:vAlign w:val="center"/>
          </w:tcPr>
          <w:p w14:paraId="48C91A02">
            <w:pPr>
              <w:jc w:val="center"/>
              <w:rPr>
                <w:rFonts w:ascii="宋体" w:hAnsi="宋体" w:cs="宋体"/>
                <w:color w:val="000000"/>
                <w:kern w:val="0"/>
                <w:sz w:val="24"/>
                <w:szCs w:val="24"/>
              </w:rPr>
            </w:pPr>
            <w:r>
              <w:rPr>
                <w:rFonts w:hint="eastAsia" w:ascii="宋体" w:hAnsi="宋体" w:cs="宋体"/>
                <w:color w:val="000000"/>
                <w:kern w:val="0"/>
                <w:sz w:val="24"/>
                <w:szCs w:val="24"/>
              </w:rPr>
              <w:t>标准数据服务子系统</w:t>
            </w:r>
          </w:p>
        </w:tc>
        <w:tc>
          <w:tcPr>
            <w:tcW w:w="1673" w:type="dxa"/>
            <w:tcBorders>
              <w:top w:val="nil"/>
              <w:left w:val="nil"/>
              <w:bottom w:val="single" w:color="000000" w:sz="4" w:space="0"/>
              <w:right w:val="single" w:color="000000" w:sz="4" w:space="0"/>
            </w:tcBorders>
            <w:vAlign w:val="center"/>
          </w:tcPr>
          <w:p w14:paraId="65F7A11B">
            <w:pPr>
              <w:jc w:val="left"/>
              <w:rPr>
                <w:rFonts w:ascii="宋体" w:hAnsi="宋体" w:cs="宋体"/>
                <w:color w:val="000000"/>
                <w:kern w:val="0"/>
                <w:sz w:val="24"/>
                <w:szCs w:val="24"/>
              </w:rPr>
            </w:pPr>
            <w:r>
              <w:rPr>
                <w:rFonts w:hint="eastAsia" w:ascii="宋体" w:hAnsi="宋体" w:cs="宋体"/>
                <w:color w:val="000000"/>
                <w:kern w:val="0"/>
                <w:sz w:val="24"/>
                <w:szCs w:val="24"/>
              </w:rPr>
              <w:t>标准查新</w:t>
            </w:r>
          </w:p>
        </w:tc>
        <w:tc>
          <w:tcPr>
            <w:tcW w:w="4401" w:type="dxa"/>
            <w:tcBorders>
              <w:top w:val="nil"/>
              <w:left w:val="nil"/>
              <w:bottom w:val="single" w:color="000000" w:sz="4" w:space="0"/>
              <w:right w:val="single" w:color="000000" w:sz="4" w:space="0"/>
            </w:tcBorders>
            <w:vAlign w:val="center"/>
          </w:tcPr>
          <w:p w14:paraId="67EC759A">
            <w:pPr>
              <w:jc w:val="left"/>
              <w:rPr>
                <w:rFonts w:ascii="宋体" w:hAnsi="宋体" w:cs="宋体"/>
                <w:color w:val="000000"/>
                <w:kern w:val="0"/>
                <w:sz w:val="24"/>
                <w:szCs w:val="24"/>
              </w:rPr>
            </w:pPr>
            <w:r>
              <w:rPr>
                <w:rFonts w:hint="eastAsia" w:ascii="宋体" w:hAnsi="宋体" w:cs="宋体"/>
                <w:color w:val="000000"/>
                <w:kern w:val="0"/>
                <w:sz w:val="24"/>
                <w:szCs w:val="24"/>
              </w:rPr>
              <w:t>可在线导入客户检测能力，自动根据检测能力范围进行标准查新（包括作废标准、即将发布标准、在用标准等），系统通过手机短信、平台消息、邮件通知等多种方式推送消息到用户，能够让检测机构及时得到标准版本迭代和标准更新消息。标准查新推送服务能够让检测机构规避违规使用过期标准的问题。</w:t>
            </w:r>
          </w:p>
        </w:tc>
      </w:tr>
      <w:tr w14:paraId="146811F1">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6B3358C">
            <w:pPr>
              <w:jc w:val="center"/>
              <w:rPr>
                <w:rFonts w:ascii="宋体" w:hAnsi="宋体" w:cs="宋体"/>
                <w:color w:val="000000"/>
                <w:kern w:val="0"/>
                <w:sz w:val="24"/>
                <w:szCs w:val="24"/>
              </w:rPr>
            </w:pPr>
            <w:r>
              <w:rPr>
                <w:rFonts w:hint="eastAsia" w:ascii="宋体" w:hAnsi="宋体" w:cs="宋体"/>
                <w:color w:val="000000"/>
                <w:kern w:val="0"/>
                <w:sz w:val="24"/>
                <w:szCs w:val="24"/>
              </w:rPr>
              <w:t>133</w:t>
            </w:r>
          </w:p>
        </w:tc>
        <w:tc>
          <w:tcPr>
            <w:tcW w:w="1580" w:type="dxa"/>
            <w:tcBorders>
              <w:top w:val="nil"/>
              <w:left w:val="nil"/>
              <w:bottom w:val="nil"/>
              <w:right w:val="nil"/>
            </w:tcBorders>
            <w:vAlign w:val="center"/>
          </w:tcPr>
          <w:p w14:paraId="641A1C4A">
            <w:pPr>
              <w:jc w:val="center"/>
              <w:rPr>
                <w:rFonts w:ascii="宋体" w:hAnsi="宋体" w:cs="宋体"/>
                <w:color w:val="000000"/>
                <w:kern w:val="0"/>
                <w:sz w:val="24"/>
                <w:szCs w:val="24"/>
              </w:rPr>
            </w:pPr>
            <w:r>
              <w:rPr>
                <w:rFonts w:hint="eastAsia" w:ascii="宋体" w:hAnsi="宋体" w:cs="宋体"/>
                <w:color w:val="000000"/>
                <w:kern w:val="0"/>
                <w:sz w:val="24"/>
                <w:szCs w:val="24"/>
              </w:rPr>
              <w:t>标准数据服务子系统</w:t>
            </w:r>
          </w:p>
        </w:tc>
        <w:tc>
          <w:tcPr>
            <w:tcW w:w="1673" w:type="dxa"/>
            <w:tcBorders>
              <w:top w:val="nil"/>
              <w:left w:val="nil"/>
              <w:bottom w:val="single" w:color="000000" w:sz="4" w:space="0"/>
              <w:right w:val="nil"/>
            </w:tcBorders>
            <w:vAlign w:val="center"/>
          </w:tcPr>
          <w:p w14:paraId="58BC3A51">
            <w:pPr>
              <w:jc w:val="left"/>
              <w:rPr>
                <w:rFonts w:ascii="宋体" w:hAnsi="宋体" w:cs="宋体"/>
                <w:color w:val="000000"/>
                <w:kern w:val="0"/>
                <w:sz w:val="24"/>
                <w:szCs w:val="24"/>
              </w:rPr>
            </w:pPr>
            <w:r>
              <w:rPr>
                <w:rFonts w:hint="eastAsia" w:ascii="宋体" w:hAnsi="宋体" w:cs="宋体"/>
                <w:color w:val="000000"/>
                <w:kern w:val="0"/>
                <w:sz w:val="24"/>
                <w:szCs w:val="24"/>
              </w:rPr>
              <w:t>标准比对</w:t>
            </w:r>
          </w:p>
        </w:tc>
        <w:tc>
          <w:tcPr>
            <w:tcW w:w="4401" w:type="dxa"/>
            <w:tcBorders>
              <w:top w:val="nil"/>
              <w:left w:val="nil"/>
              <w:bottom w:val="single" w:color="000000" w:sz="4" w:space="0"/>
              <w:right w:val="nil"/>
            </w:tcBorders>
            <w:vAlign w:val="center"/>
          </w:tcPr>
          <w:p w14:paraId="481623CC">
            <w:pPr>
              <w:jc w:val="left"/>
              <w:rPr>
                <w:rFonts w:ascii="宋体" w:hAnsi="宋体" w:cs="宋体"/>
                <w:color w:val="000000"/>
                <w:kern w:val="0"/>
                <w:sz w:val="24"/>
                <w:szCs w:val="24"/>
              </w:rPr>
            </w:pPr>
            <w:r>
              <w:rPr>
                <w:rFonts w:hint="eastAsia" w:ascii="宋体" w:hAnsi="宋体" w:cs="宋体"/>
                <w:color w:val="000000"/>
                <w:kern w:val="0"/>
                <w:sz w:val="24"/>
                <w:szCs w:val="24"/>
              </w:rPr>
              <w:t>提供标准比对功能，是进行标准文件内容以及指标值的比对，方便检测机构选择产品标准。</w:t>
            </w:r>
          </w:p>
        </w:tc>
      </w:tr>
      <w:tr w14:paraId="597843FD">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785134E">
            <w:pPr>
              <w:jc w:val="center"/>
              <w:rPr>
                <w:rFonts w:ascii="宋体" w:hAnsi="宋体" w:cs="宋体"/>
                <w:color w:val="000000"/>
                <w:kern w:val="0"/>
                <w:sz w:val="24"/>
                <w:szCs w:val="24"/>
              </w:rPr>
            </w:pPr>
            <w:r>
              <w:rPr>
                <w:rFonts w:hint="eastAsia" w:ascii="宋体" w:hAnsi="宋体" w:cs="宋体"/>
                <w:color w:val="000000"/>
                <w:kern w:val="0"/>
                <w:sz w:val="24"/>
                <w:szCs w:val="24"/>
              </w:rPr>
              <w:t>134</w:t>
            </w:r>
          </w:p>
        </w:tc>
        <w:tc>
          <w:tcPr>
            <w:tcW w:w="1580" w:type="dxa"/>
            <w:tcBorders>
              <w:top w:val="single" w:color="000000" w:sz="4" w:space="0"/>
              <w:left w:val="nil"/>
              <w:bottom w:val="single" w:color="000000" w:sz="4" w:space="0"/>
              <w:right w:val="single" w:color="000000" w:sz="4" w:space="0"/>
            </w:tcBorders>
            <w:vAlign w:val="center"/>
          </w:tcPr>
          <w:p w14:paraId="47427F7C">
            <w:pPr>
              <w:jc w:val="center"/>
              <w:rPr>
                <w:rFonts w:ascii="宋体" w:hAnsi="宋体" w:cs="宋体"/>
                <w:color w:val="000000"/>
                <w:kern w:val="0"/>
                <w:sz w:val="24"/>
                <w:szCs w:val="24"/>
              </w:rPr>
            </w:pPr>
            <w:r>
              <w:rPr>
                <w:rFonts w:hint="eastAsia" w:ascii="宋体" w:hAnsi="宋体" w:cs="宋体"/>
                <w:color w:val="000000"/>
                <w:kern w:val="0"/>
                <w:sz w:val="24"/>
                <w:szCs w:val="24"/>
              </w:rPr>
              <w:t>标准数据服务子系统</w:t>
            </w:r>
          </w:p>
        </w:tc>
        <w:tc>
          <w:tcPr>
            <w:tcW w:w="1673" w:type="dxa"/>
            <w:tcBorders>
              <w:top w:val="nil"/>
              <w:left w:val="nil"/>
              <w:bottom w:val="single" w:color="000000" w:sz="4" w:space="0"/>
              <w:right w:val="single" w:color="000000" w:sz="4" w:space="0"/>
            </w:tcBorders>
            <w:vAlign w:val="center"/>
          </w:tcPr>
          <w:p w14:paraId="5D21A477">
            <w:pPr>
              <w:jc w:val="left"/>
              <w:rPr>
                <w:rFonts w:ascii="宋体" w:hAnsi="宋体" w:cs="宋体"/>
                <w:color w:val="000000"/>
                <w:kern w:val="0"/>
                <w:sz w:val="24"/>
                <w:szCs w:val="24"/>
              </w:rPr>
            </w:pPr>
            <w:r>
              <w:rPr>
                <w:rFonts w:hint="eastAsia" w:ascii="宋体" w:hAnsi="宋体" w:cs="宋体"/>
                <w:color w:val="000000"/>
                <w:kern w:val="0"/>
                <w:sz w:val="24"/>
                <w:szCs w:val="24"/>
              </w:rPr>
              <w:t>双平台应用实现</w:t>
            </w:r>
          </w:p>
        </w:tc>
        <w:tc>
          <w:tcPr>
            <w:tcW w:w="4401" w:type="dxa"/>
            <w:tcBorders>
              <w:top w:val="nil"/>
              <w:left w:val="nil"/>
              <w:bottom w:val="single" w:color="000000" w:sz="4" w:space="0"/>
              <w:right w:val="single" w:color="000000" w:sz="4" w:space="0"/>
            </w:tcBorders>
            <w:vAlign w:val="center"/>
          </w:tcPr>
          <w:p w14:paraId="6EAF6310">
            <w:pPr>
              <w:jc w:val="left"/>
              <w:rPr>
                <w:rFonts w:ascii="宋体" w:hAnsi="宋体" w:cs="宋体"/>
                <w:color w:val="000000"/>
                <w:kern w:val="0"/>
                <w:sz w:val="24"/>
                <w:szCs w:val="24"/>
              </w:rPr>
            </w:pPr>
            <w:r>
              <w:rPr>
                <w:rFonts w:hint="eastAsia" w:ascii="宋体" w:hAnsi="宋体" w:cs="宋体"/>
                <w:color w:val="000000"/>
                <w:kern w:val="0"/>
                <w:sz w:val="24"/>
                <w:szCs w:val="24"/>
              </w:rPr>
              <w:t>可在微信小程序与PC端访问，满足客户随时随地看标准的需求。实现标准文献、产品指标值精确查找与展示，提供在线阅览标准文本、在线查看指标项目、限值、方法等指标信息，并且提供了下载、收藏、分享、笔记等功能。除此之外，还提供标准查新消息推送、国抽细则查阅、指标限值对比、智慧检验系统接口定制等智能化应用。</w:t>
            </w:r>
          </w:p>
        </w:tc>
      </w:tr>
      <w:tr w14:paraId="64068E53">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5D51F64">
            <w:pPr>
              <w:jc w:val="center"/>
              <w:rPr>
                <w:rFonts w:ascii="宋体" w:hAnsi="宋体" w:cs="宋体"/>
                <w:color w:val="000000"/>
                <w:kern w:val="0"/>
                <w:sz w:val="24"/>
                <w:szCs w:val="24"/>
              </w:rPr>
            </w:pPr>
            <w:r>
              <w:rPr>
                <w:rFonts w:hint="eastAsia" w:ascii="宋体" w:hAnsi="宋体" w:cs="宋体"/>
                <w:color w:val="000000"/>
                <w:kern w:val="0"/>
                <w:sz w:val="24"/>
                <w:szCs w:val="24"/>
              </w:rPr>
              <w:t>138</w:t>
            </w:r>
          </w:p>
        </w:tc>
        <w:tc>
          <w:tcPr>
            <w:tcW w:w="1580" w:type="dxa"/>
            <w:tcBorders>
              <w:top w:val="nil"/>
              <w:left w:val="nil"/>
              <w:bottom w:val="single" w:color="000000" w:sz="4" w:space="0"/>
              <w:right w:val="single" w:color="000000" w:sz="4" w:space="0"/>
            </w:tcBorders>
            <w:vAlign w:val="center"/>
          </w:tcPr>
          <w:p w14:paraId="0C224168">
            <w:pPr>
              <w:jc w:val="center"/>
              <w:rPr>
                <w:rFonts w:ascii="宋体" w:hAnsi="宋体" w:cs="宋体"/>
                <w:color w:val="000000"/>
                <w:kern w:val="0"/>
                <w:sz w:val="24"/>
                <w:szCs w:val="24"/>
              </w:rPr>
            </w:pPr>
            <w:r>
              <w:rPr>
                <w:rFonts w:hint="eastAsia" w:ascii="宋体" w:hAnsi="宋体" w:cs="宋体"/>
                <w:color w:val="000000"/>
                <w:kern w:val="0"/>
                <w:sz w:val="24"/>
                <w:szCs w:val="24"/>
              </w:rPr>
              <w:t>数据应用与挖掘子系统</w:t>
            </w:r>
          </w:p>
        </w:tc>
        <w:tc>
          <w:tcPr>
            <w:tcW w:w="1673" w:type="dxa"/>
            <w:tcBorders>
              <w:top w:val="nil"/>
              <w:left w:val="nil"/>
              <w:bottom w:val="single" w:color="000000" w:sz="4" w:space="0"/>
              <w:right w:val="single" w:color="000000" w:sz="4" w:space="0"/>
            </w:tcBorders>
            <w:vAlign w:val="center"/>
          </w:tcPr>
          <w:p w14:paraId="1933F2D9">
            <w:pPr>
              <w:jc w:val="left"/>
              <w:rPr>
                <w:rFonts w:ascii="宋体" w:hAnsi="宋体" w:cs="宋体"/>
                <w:color w:val="000000"/>
                <w:kern w:val="0"/>
                <w:sz w:val="24"/>
                <w:szCs w:val="24"/>
              </w:rPr>
            </w:pPr>
            <w:r>
              <w:rPr>
                <w:rFonts w:hint="eastAsia" w:ascii="宋体" w:hAnsi="宋体" w:cs="宋体"/>
                <w:color w:val="000000"/>
                <w:kern w:val="0"/>
                <w:sz w:val="24"/>
                <w:szCs w:val="24"/>
              </w:rPr>
              <w:t>业务数据自主查询</w:t>
            </w:r>
          </w:p>
        </w:tc>
        <w:tc>
          <w:tcPr>
            <w:tcW w:w="4401" w:type="dxa"/>
            <w:tcBorders>
              <w:top w:val="nil"/>
              <w:left w:val="nil"/>
              <w:bottom w:val="single" w:color="000000" w:sz="4" w:space="0"/>
              <w:right w:val="single" w:color="000000" w:sz="4" w:space="0"/>
            </w:tcBorders>
            <w:vAlign w:val="center"/>
          </w:tcPr>
          <w:p w14:paraId="78F82DEB">
            <w:pPr>
              <w:jc w:val="left"/>
              <w:rPr>
                <w:rFonts w:ascii="宋体" w:hAnsi="宋体" w:cs="宋体"/>
                <w:color w:val="000000"/>
                <w:kern w:val="0"/>
                <w:sz w:val="24"/>
                <w:szCs w:val="24"/>
              </w:rPr>
            </w:pPr>
            <w:r>
              <w:rPr>
                <w:rFonts w:hint="eastAsia" w:ascii="宋体" w:hAnsi="宋体" w:cs="宋体"/>
                <w:color w:val="000000"/>
                <w:kern w:val="0"/>
                <w:sz w:val="24"/>
                <w:szCs w:val="24"/>
              </w:rPr>
              <w:t>实现各类资源（包括检测人员、检测方法、检测项目、卫生标准、仪器设备、试剂、标准品等）以及相关信息的查询与统计。</w:t>
            </w:r>
          </w:p>
        </w:tc>
      </w:tr>
      <w:tr w14:paraId="6B2AC145">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A8EED07">
            <w:pPr>
              <w:jc w:val="center"/>
              <w:rPr>
                <w:rFonts w:ascii="宋体" w:hAnsi="宋体" w:cs="宋体"/>
                <w:color w:val="000000"/>
                <w:kern w:val="0"/>
                <w:sz w:val="24"/>
                <w:szCs w:val="24"/>
              </w:rPr>
            </w:pPr>
            <w:r>
              <w:rPr>
                <w:rFonts w:hint="eastAsia" w:ascii="宋体" w:hAnsi="宋体" w:cs="宋体"/>
                <w:color w:val="000000"/>
                <w:kern w:val="0"/>
                <w:sz w:val="24"/>
                <w:szCs w:val="24"/>
              </w:rPr>
              <w:t>139</w:t>
            </w:r>
          </w:p>
        </w:tc>
        <w:tc>
          <w:tcPr>
            <w:tcW w:w="1580" w:type="dxa"/>
            <w:tcBorders>
              <w:top w:val="nil"/>
              <w:left w:val="nil"/>
              <w:bottom w:val="single" w:color="000000" w:sz="4" w:space="0"/>
              <w:right w:val="single" w:color="000000" w:sz="4" w:space="0"/>
            </w:tcBorders>
            <w:vAlign w:val="center"/>
          </w:tcPr>
          <w:p w14:paraId="08280E72">
            <w:pPr>
              <w:jc w:val="center"/>
              <w:rPr>
                <w:rFonts w:ascii="宋体" w:hAnsi="宋体" w:cs="宋体"/>
                <w:color w:val="000000"/>
                <w:kern w:val="0"/>
                <w:sz w:val="24"/>
                <w:szCs w:val="24"/>
              </w:rPr>
            </w:pPr>
            <w:r>
              <w:rPr>
                <w:rFonts w:hint="eastAsia" w:ascii="宋体" w:hAnsi="宋体" w:cs="宋体"/>
                <w:color w:val="000000"/>
                <w:kern w:val="0"/>
                <w:sz w:val="24"/>
                <w:szCs w:val="24"/>
              </w:rPr>
              <w:t>数据应用与挖掘子系统</w:t>
            </w:r>
          </w:p>
        </w:tc>
        <w:tc>
          <w:tcPr>
            <w:tcW w:w="1673" w:type="dxa"/>
            <w:tcBorders>
              <w:top w:val="nil"/>
              <w:left w:val="nil"/>
              <w:bottom w:val="single" w:color="000000" w:sz="4" w:space="0"/>
              <w:right w:val="single" w:color="000000" w:sz="4" w:space="0"/>
            </w:tcBorders>
            <w:vAlign w:val="center"/>
          </w:tcPr>
          <w:p w14:paraId="03BEEA48">
            <w:pPr>
              <w:jc w:val="left"/>
              <w:rPr>
                <w:rFonts w:ascii="宋体" w:hAnsi="宋体" w:cs="宋体"/>
                <w:color w:val="000000"/>
                <w:kern w:val="0"/>
                <w:sz w:val="24"/>
                <w:szCs w:val="24"/>
              </w:rPr>
            </w:pPr>
            <w:r>
              <w:rPr>
                <w:rFonts w:hint="eastAsia" w:ascii="宋体" w:hAnsi="宋体" w:cs="宋体"/>
                <w:color w:val="000000"/>
                <w:kern w:val="0"/>
                <w:sz w:val="24"/>
                <w:szCs w:val="24"/>
              </w:rPr>
              <w:t>运营统计多维分析</w:t>
            </w:r>
          </w:p>
        </w:tc>
        <w:tc>
          <w:tcPr>
            <w:tcW w:w="4401" w:type="dxa"/>
            <w:tcBorders>
              <w:top w:val="nil"/>
              <w:left w:val="nil"/>
              <w:bottom w:val="single" w:color="000000" w:sz="4" w:space="0"/>
              <w:right w:val="single" w:color="000000" w:sz="4" w:space="0"/>
            </w:tcBorders>
            <w:vAlign w:val="center"/>
          </w:tcPr>
          <w:p w14:paraId="4E2E8ED8">
            <w:pPr>
              <w:jc w:val="left"/>
              <w:rPr>
                <w:rFonts w:ascii="宋体" w:hAnsi="宋体" w:cs="宋体"/>
                <w:color w:val="000000"/>
                <w:kern w:val="0"/>
                <w:sz w:val="24"/>
                <w:szCs w:val="24"/>
              </w:rPr>
            </w:pPr>
            <w:r>
              <w:rPr>
                <w:rFonts w:hint="eastAsia" w:ascii="宋体" w:hAnsi="宋体" w:cs="宋体"/>
                <w:color w:val="000000"/>
                <w:kern w:val="0"/>
                <w:sz w:val="24"/>
                <w:szCs w:val="24"/>
              </w:rPr>
              <w:t>自动生成所日常的统计报表，包括日报、月报、季报、年报等。还支持用户自定义统计报表生成。</w:t>
            </w:r>
          </w:p>
        </w:tc>
      </w:tr>
      <w:tr w14:paraId="16AF7E6C">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24554DF">
            <w:pPr>
              <w:jc w:val="center"/>
              <w:rPr>
                <w:rFonts w:ascii="宋体" w:hAnsi="宋体" w:cs="宋体"/>
                <w:color w:val="000000"/>
                <w:kern w:val="0"/>
                <w:sz w:val="24"/>
                <w:szCs w:val="24"/>
              </w:rPr>
            </w:pPr>
            <w:r>
              <w:rPr>
                <w:rFonts w:hint="eastAsia" w:ascii="宋体" w:hAnsi="宋体" w:cs="宋体"/>
                <w:color w:val="000000"/>
                <w:kern w:val="0"/>
                <w:sz w:val="24"/>
                <w:szCs w:val="24"/>
              </w:rPr>
              <w:t>140</w:t>
            </w:r>
          </w:p>
        </w:tc>
        <w:tc>
          <w:tcPr>
            <w:tcW w:w="1580" w:type="dxa"/>
            <w:tcBorders>
              <w:top w:val="nil"/>
              <w:left w:val="nil"/>
              <w:bottom w:val="single" w:color="000000" w:sz="4" w:space="0"/>
              <w:right w:val="single" w:color="000000" w:sz="4" w:space="0"/>
            </w:tcBorders>
            <w:vAlign w:val="center"/>
          </w:tcPr>
          <w:p w14:paraId="18D5E2EE">
            <w:pPr>
              <w:jc w:val="center"/>
              <w:rPr>
                <w:rFonts w:ascii="宋体" w:hAnsi="宋体" w:cs="宋体"/>
                <w:color w:val="000000"/>
                <w:kern w:val="0"/>
                <w:sz w:val="24"/>
                <w:szCs w:val="24"/>
              </w:rPr>
            </w:pPr>
            <w:r>
              <w:rPr>
                <w:rFonts w:hint="eastAsia" w:ascii="宋体" w:hAnsi="宋体" w:cs="宋体"/>
                <w:color w:val="000000"/>
                <w:kern w:val="0"/>
                <w:sz w:val="24"/>
                <w:szCs w:val="24"/>
              </w:rPr>
              <w:t>数据应用与挖掘子系统</w:t>
            </w:r>
          </w:p>
        </w:tc>
        <w:tc>
          <w:tcPr>
            <w:tcW w:w="1673" w:type="dxa"/>
            <w:tcBorders>
              <w:top w:val="nil"/>
              <w:left w:val="nil"/>
              <w:bottom w:val="single" w:color="000000" w:sz="4" w:space="0"/>
              <w:right w:val="single" w:color="000000" w:sz="4" w:space="0"/>
            </w:tcBorders>
            <w:vAlign w:val="center"/>
          </w:tcPr>
          <w:p w14:paraId="606F77DC">
            <w:pPr>
              <w:jc w:val="left"/>
              <w:rPr>
                <w:rFonts w:ascii="宋体" w:hAnsi="宋体" w:cs="宋体"/>
                <w:color w:val="000000"/>
                <w:kern w:val="0"/>
                <w:sz w:val="24"/>
                <w:szCs w:val="24"/>
              </w:rPr>
            </w:pPr>
            <w:r>
              <w:rPr>
                <w:rFonts w:hint="eastAsia" w:ascii="宋体" w:hAnsi="宋体" w:cs="宋体"/>
                <w:color w:val="000000"/>
                <w:kern w:val="0"/>
                <w:sz w:val="24"/>
                <w:szCs w:val="24"/>
              </w:rPr>
              <w:t>可视化数据驾驶舱</w:t>
            </w:r>
          </w:p>
        </w:tc>
        <w:tc>
          <w:tcPr>
            <w:tcW w:w="4401" w:type="dxa"/>
            <w:tcBorders>
              <w:top w:val="nil"/>
              <w:left w:val="nil"/>
              <w:bottom w:val="single" w:color="000000" w:sz="4" w:space="0"/>
              <w:right w:val="single" w:color="000000" w:sz="4" w:space="0"/>
            </w:tcBorders>
            <w:vAlign w:val="center"/>
          </w:tcPr>
          <w:p w14:paraId="2F5623FD">
            <w:pPr>
              <w:jc w:val="left"/>
              <w:rPr>
                <w:rFonts w:ascii="宋体" w:hAnsi="宋体" w:cs="宋体"/>
                <w:color w:val="000000"/>
                <w:kern w:val="0"/>
                <w:sz w:val="24"/>
                <w:szCs w:val="24"/>
              </w:rPr>
            </w:pPr>
            <w:r>
              <w:rPr>
                <w:rFonts w:hint="eastAsia" w:ascii="宋体" w:hAnsi="宋体" w:cs="宋体"/>
                <w:color w:val="000000"/>
                <w:kern w:val="0"/>
                <w:sz w:val="24"/>
                <w:szCs w:val="24"/>
              </w:rPr>
              <w:t>为高层管理者提供辅助决策功能，建立多维度主题驾驶舱，检验检测主题驾驶舱、工作绩效驾驶舱、监测完成情况驾驶舱、财务主题驾驶舱等。</w:t>
            </w:r>
          </w:p>
        </w:tc>
      </w:tr>
      <w:tr w14:paraId="4608672C">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591C315">
            <w:pPr>
              <w:jc w:val="center"/>
              <w:rPr>
                <w:rFonts w:ascii="宋体" w:hAnsi="宋体" w:cs="宋体"/>
                <w:color w:val="000000"/>
                <w:kern w:val="0"/>
                <w:sz w:val="24"/>
                <w:szCs w:val="24"/>
              </w:rPr>
            </w:pPr>
            <w:r>
              <w:rPr>
                <w:rFonts w:hint="eastAsia" w:ascii="宋体" w:hAnsi="宋体" w:cs="宋体"/>
                <w:color w:val="000000"/>
                <w:kern w:val="0"/>
                <w:sz w:val="24"/>
                <w:szCs w:val="24"/>
              </w:rPr>
              <w:t>141</w:t>
            </w:r>
          </w:p>
        </w:tc>
        <w:tc>
          <w:tcPr>
            <w:tcW w:w="1580" w:type="dxa"/>
            <w:tcBorders>
              <w:top w:val="nil"/>
              <w:left w:val="nil"/>
              <w:bottom w:val="single" w:color="000000" w:sz="4" w:space="0"/>
              <w:right w:val="single" w:color="000000" w:sz="4" w:space="0"/>
            </w:tcBorders>
            <w:vAlign w:val="center"/>
          </w:tcPr>
          <w:p w14:paraId="23F5F245">
            <w:pPr>
              <w:jc w:val="center"/>
              <w:rPr>
                <w:rFonts w:ascii="宋体" w:hAnsi="宋体" w:cs="宋体"/>
                <w:color w:val="000000"/>
                <w:kern w:val="0"/>
                <w:sz w:val="24"/>
                <w:szCs w:val="24"/>
              </w:rPr>
            </w:pPr>
            <w:r>
              <w:rPr>
                <w:rFonts w:hint="eastAsia" w:ascii="宋体" w:hAnsi="宋体" w:cs="宋体"/>
                <w:color w:val="000000"/>
                <w:kern w:val="0"/>
                <w:sz w:val="24"/>
                <w:szCs w:val="24"/>
              </w:rPr>
              <w:t>数据应用与挖掘子系统</w:t>
            </w:r>
          </w:p>
        </w:tc>
        <w:tc>
          <w:tcPr>
            <w:tcW w:w="1673" w:type="dxa"/>
            <w:tcBorders>
              <w:top w:val="nil"/>
              <w:left w:val="nil"/>
              <w:bottom w:val="single" w:color="000000" w:sz="4" w:space="0"/>
              <w:right w:val="single" w:color="000000" w:sz="4" w:space="0"/>
            </w:tcBorders>
            <w:vAlign w:val="center"/>
          </w:tcPr>
          <w:p w14:paraId="2D5BFB4A">
            <w:pPr>
              <w:jc w:val="left"/>
              <w:rPr>
                <w:rFonts w:ascii="宋体" w:hAnsi="宋体" w:cs="宋体"/>
                <w:color w:val="000000"/>
                <w:kern w:val="0"/>
                <w:sz w:val="24"/>
                <w:szCs w:val="24"/>
              </w:rPr>
            </w:pPr>
            <w:r>
              <w:rPr>
                <w:rFonts w:hint="eastAsia" w:ascii="宋体" w:hAnsi="宋体" w:cs="宋体"/>
                <w:color w:val="000000"/>
                <w:kern w:val="0"/>
                <w:sz w:val="24"/>
                <w:szCs w:val="24"/>
              </w:rPr>
              <w:t>质控趋势分析</w:t>
            </w:r>
          </w:p>
        </w:tc>
        <w:tc>
          <w:tcPr>
            <w:tcW w:w="4401" w:type="dxa"/>
            <w:tcBorders>
              <w:top w:val="nil"/>
              <w:left w:val="nil"/>
              <w:bottom w:val="single" w:color="000000" w:sz="4" w:space="0"/>
              <w:right w:val="single" w:color="000000" w:sz="4" w:space="0"/>
            </w:tcBorders>
            <w:vAlign w:val="center"/>
          </w:tcPr>
          <w:p w14:paraId="3CC3FE87">
            <w:pPr>
              <w:jc w:val="left"/>
              <w:rPr>
                <w:rFonts w:ascii="宋体" w:hAnsi="宋体" w:cs="宋体"/>
                <w:color w:val="000000"/>
                <w:kern w:val="0"/>
                <w:sz w:val="24"/>
                <w:szCs w:val="24"/>
              </w:rPr>
            </w:pPr>
            <w:r>
              <w:rPr>
                <w:rFonts w:hint="eastAsia" w:ascii="宋体" w:hAnsi="宋体" w:cs="宋体"/>
                <w:color w:val="000000"/>
                <w:kern w:val="0"/>
                <w:sz w:val="24"/>
                <w:szCs w:val="24"/>
              </w:rPr>
              <w:t>在检验检测过程中，把人工经验，转化为数字算法，可提高食药包材检测的质量控制与趋势分析能力。</w:t>
            </w:r>
          </w:p>
        </w:tc>
      </w:tr>
      <w:tr w14:paraId="5EF4ECE3">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4B6ACC90">
            <w:pPr>
              <w:jc w:val="center"/>
              <w:rPr>
                <w:rFonts w:ascii="宋体" w:hAnsi="宋体" w:cs="宋体"/>
                <w:color w:val="000000"/>
                <w:kern w:val="0"/>
                <w:sz w:val="24"/>
                <w:szCs w:val="24"/>
              </w:rPr>
            </w:pPr>
            <w:r>
              <w:rPr>
                <w:rFonts w:hint="eastAsia" w:ascii="宋体" w:hAnsi="宋体" w:cs="宋体"/>
                <w:color w:val="000000"/>
                <w:kern w:val="0"/>
                <w:sz w:val="24"/>
                <w:szCs w:val="24"/>
              </w:rPr>
              <w:t>142</w:t>
            </w:r>
          </w:p>
        </w:tc>
        <w:tc>
          <w:tcPr>
            <w:tcW w:w="1580" w:type="dxa"/>
            <w:tcBorders>
              <w:top w:val="nil"/>
              <w:left w:val="nil"/>
              <w:bottom w:val="single" w:color="000000" w:sz="4" w:space="0"/>
              <w:right w:val="single" w:color="000000" w:sz="4" w:space="0"/>
            </w:tcBorders>
            <w:vAlign w:val="center"/>
          </w:tcPr>
          <w:p w14:paraId="5B369863">
            <w:pPr>
              <w:jc w:val="center"/>
              <w:rPr>
                <w:rFonts w:ascii="宋体" w:hAnsi="宋体" w:cs="宋体"/>
                <w:color w:val="000000"/>
                <w:kern w:val="0"/>
                <w:sz w:val="24"/>
                <w:szCs w:val="24"/>
              </w:rPr>
            </w:pPr>
            <w:r>
              <w:rPr>
                <w:rFonts w:hint="eastAsia" w:ascii="宋体" w:hAnsi="宋体" w:cs="宋体"/>
                <w:color w:val="000000"/>
                <w:kern w:val="0"/>
                <w:sz w:val="24"/>
                <w:szCs w:val="24"/>
              </w:rPr>
              <w:t>数据应用与挖掘子系统</w:t>
            </w:r>
          </w:p>
        </w:tc>
        <w:tc>
          <w:tcPr>
            <w:tcW w:w="1673" w:type="dxa"/>
            <w:tcBorders>
              <w:top w:val="nil"/>
              <w:left w:val="nil"/>
              <w:bottom w:val="single" w:color="000000" w:sz="4" w:space="0"/>
              <w:right w:val="single" w:color="000000" w:sz="4" w:space="0"/>
            </w:tcBorders>
            <w:vAlign w:val="center"/>
          </w:tcPr>
          <w:p w14:paraId="5880F344">
            <w:pPr>
              <w:jc w:val="left"/>
              <w:rPr>
                <w:rFonts w:ascii="宋体" w:hAnsi="宋体" w:cs="宋体"/>
                <w:color w:val="000000"/>
                <w:kern w:val="0"/>
                <w:sz w:val="24"/>
                <w:szCs w:val="24"/>
              </w:rPr>
            </w:pPr>
            <w:r>
              <w:rPr>
                <w:rFonts w:hint="eastAsia" w:ascii="宋体" w:hAnsi="宋体" w:cs="宋体"/>
                <w:color w:val="000000"/>
                <w:kern w:val="0"/>
                <w:sz w:val="24"/>
                <w:szCs w:val="24"/>
              </w:rPr>
              <w:t>高风险产品预警</w:t>
            </w:r>
          </w:p>
        </w:tc>
        <w:tc>
          <w:tcPr>
            <w:tcW w:w="4401" w:type="dxa"/>
            <w:tcBorders>
              <w:top w:val="nil"/>
              <w:left w:val="nil"/>
              <w:bottom w:val="single" w:color="000000" w:sz="4" w:space="0"/>
              <w:right w:val="single" w:color="000000" w:sz="4" w:space="0"/>
            </w:tcBorders>
            <w:vAlign w:val="center"/>
          </w:tcPr>
          <w:p w14:paraId="660167B8">
            <w:pPr>
              <w:jc w:val="left"/>
              <w:rPr>
                <w:rFonts w:ascii="宋体" w:hAnsi="宋体" w:cs="宋体"/>
                <w:color w:val="000000"/>
                <w:kern w:val="0"/>
                <w:sz w:val="24"/>
                <w:szCs w:val="24"/>
              </w:rPr>
            </w:pPr>
            <w:r>
              <w:rPr>
                <w:rFonts w:hint="eastAsia" w:ascii="宋体" w:hAnsi="宋体" w:cs="宋体"/>
                <w:color w:val="000000"/>
                <w:kern w:val="0"/>
                <w:sz w:val="24"/>
                <w:szCs w:val="24"/>
              </w:rPr>
              <w:t>对长期检测有问题的企业、产品增加标签，形成对高风险企业和产品的分级分类，并将高风险企业和产品信息推送到市药监局进行重点关注、重点抽检，提高食品药品风险预警能力。</w:t>
            </w:r>
          </w:p>
        </w:tc>
      </w:tr>
      <w:tr w14:paraId="256A1C8B">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530A1A5">
            <w:pPr>
              <w:jc w:val="center"/>
              <w:rPr>
                <w:rFonts w:ascii="宋体" w:hAnsi="宋体" w:cs="宋体"/>
                <w:color w:val="000000"/>
                <w:kern w:val="0"/>
                <w:sz w:val="24"/>
                <w:szCs w:val="24"/>
              </w:rPr>
            </w:pPr>
            <w:r>
              <w:rPr>
                <w:rFonts w:hint="eastAsia" w:ascii="宋体" w:hAnsi="宋体" w:cs="宋体"/>
                <w:color w:val="000000"/>
                <w:kern w:val="0"/>
                <w:sz w:val="24"/>
                <w:szCs w:val="24"/>
              </w:rPr>
              <w:t>143</w:t>
            </w:r>
          </w:p>
        </w:tc>
        <w:tc>
          <w:tcPr>
            <w:tcW w:w="1580" w:type="dxa"/>
            <w:tcBorders>
              <w:top w:val="nil"/>
              <w:left w:val="nil"/>
              <w:bottom w:val="single" w:color="000000" w:sz="4" w:space="0"/>
              <w:right w:val="single" w:color="000000" w:sz="4" w:space="0"/>
            </w:tcBorders>
            <w:vAlign w:val="center"/>
          </w:tcPr>
          <w:p w14:paraId="65B62755">
            <w:pPr>
              <w:jc w:val="center"/>
              <w:rPr>
                <w:rFonts w:ascii="宋体" w:hAnsi="宋体" w:cs="宋体"/>
                <w:color w:val="000000"/>
                <w:kern w:val="0"/>
                <w:sz w:val="24"/>
                <w:szCs w:val="24"/>
              </w:rPr>
            </w:pPr>
            <w:r>
              <w:rPr>
                <w:rFonts w:hint="eastAsia" w:ascii="宋体" w:hAnsi="宋体" w:cs="宋体"/>
                <w:color w:val="000000"/>
                <w:kern w:val="0"/>
                <w:sz w:val="24"/>
                <w:szCs w:val="24"/>
              </w:rPr>
              <w:t>数据应用与挖掘子系统</w:t>
            </w:r>
          </w:p>
        </w:tc>
        <w:tc>
          <w:tcPr>
            <w:tcW w:w="1673" w:type="dxa"/>
            <w:tcBorders>
              <w:top w:val="nil"/>
              <w:left w:val="nil"/>
              <w:bottom w:val="single" w:color="000000" w:sz="4" w:space="0"/>
              <w:right w:val="single" w:color="000000" w:sz="4" w:space="0"/>
            </w:tcBorders>
            <w:vAlign w:val="center"/>
          </w:tcPr>
          <w:p w14:paraId="180FD367">
            <w:pPr>
              <w:jc w:val="left"/>
              <w:rPr>
                <w:rFonts w:ascii="宋体" w:hAnsi="宋体" w:cs="宋体"/>
                <w:color w:val="000000"/>
                <w:kern w:val="0"/>
                <w:sz w:val="24"/>
                <w:szCs w:val="24"/>
              </w:rPr>
            </w:pPr>
            <w:r>
              <w:rPr>
                <w:rFonts w:hint="eastAsia" w:ascii="宋体" w:hAnsi="宋体" w:cs="宋体"/>
                <w:color w:val="000000"/>
                <w:kern w:val="0"/>
                <w:sz w:val="24"/>
                <w:szCs w:val="24"/>
              </w:rPr>
              <w:t>检测项目高风险预警</w:t>
            </w:r>
          </w:p>
        </w:tc>
        <w:tc>
          <w:tcPr>
            <w:tcW w:w="4401" w:type="dxa"/>
            <w:tcBorders>
              <w:top w:val="nil"/>
              <w:left w:val="nil"/>
              <w:bottom w:val="single" w:color="000000" w:sz="4" w:space="0"/>
              <w:right w:val="single" w:color="000000" w:sz="4" w:space="0"/>
            </w:tcBorders>
            <w:vAlign w:val="center"/>
          </w:tcPr>
          <w:p w14:paraId="322DE2FF">
            <w:pPr>
              <w:jc w:val="left"/>
              <w:rPr>
                <w:rFonts w:ascii="宋体" w:hAnsi="宋体" w:cs="宋体"/>
                <w:color w:val="000000"/>
                <w:kern w:val="0"/>
                <w:sz w:val="24"/>
                <w:szCs w:val="24"/>
              </w:rPr>
            </w:pPr>
            <w:r>
              <w:rPr>
                <w:rFonts w:hint="eastAsia" w:ascii="宋体" w:hAnsi="宋体" w:cs="宋体"/>
                <w:color w:val="000000"/>
                <w:kern w:val="0"/>
                <w:sz w:val="24"/>
                <w:szCs w:val="24"/>
              </w:rPr>
              <w:t>可按月、按季度、按年度，根据历史抽验产品的检测结果数据进行高风险检测项目识别</w:t>
            </w:r>
          </w:p>
        </w:tc>
      </w:tr>
      <w:tr w14:paraId="24BCAD3F">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2D5B40B">
            <w:pPr>
              <w:jc w:val="center"/>
              <w:rPr>
                <w:rFonts w:ascii="宋体" w:hAnsi="宋体" w:cs="宋体"/>
                <w:color w:val="000000"/>
                <w:kern w:val="0"/>
                <w:sz w:val="24"/>
                <w:szCs w:val="24"/>
              </w:rPr>
            </w:pPr>
            <w:r>
              <w:rPr>
                <w:rFonts w:hint="eastAsia" w:ascii="宋体" w:hAnsi="宋体" w:cs="宋体"/>
                <w:color w:val="000000"/>
                <w:kern w:val="0"/>
                <w:sz w:val="24"/>
                <w:szCs w:val="24"/>
              </w:rPr>
              <w:t>144</w:t>
            </w:r>
          </w:p>
        </w:tc>
        <w:tc>
          <w:tcPr>
            <w:tcW w:w="1580" w:type="dxa"/>
            <w:tcBorders>
              <w:top w:val="nil"/>
              <w:left w:val="nil"/>
              <w:bottom w:val="single" w:color="000000" w:sz="4" w:space="0"/>
              <w:right w:val="single" w:color="000000" w:sz="4" w:space="0"/>
            </w:tcBorders>
            <w:vAlign w:val="center"/>
          </w:tcPr>
          <w:p w14:paraId="0B690901">
            <w:pPr>
              <w:jc w:val="center"/>
              <w:rPr>
                <w:rFonts w:ascii="宋体" w:hAnsi="宋体" w:cs="宋体"/>
                <w:color w:val="000000"/>
                <w:kern w:val="0"/>
                <w:sz w:val="24"/>
                <w:szCs w:val="24"/>
              </w:rPr>
            </w:pPr>
            <w:r>
              <w:rPr>
                <w:rFonts w:hint="eastAsia" w:ascii="宋体" w:hAnsi="宋体" w:cs="宋体"/>
                <w:color w:val="000000"/>
                <w:kern w:val="0"/>
                <w:sz w:val="24"/>
                <w:szCs w:val="24"/>
              </w:rPr>
              <w:t>数据应用与挖掘子系统</w:t>
            </w:r>
          </w:p>
        </w:tc>
        <w:tc>
          <w:tcPr>
            <w:tcW w:w="1673" w:type="dxa"/>
            <w:tcBorders>
              <w:top w:val="nil"/>
              <w:left w:val="nil"/>
              <w:bottom w:val="single" w:color="000000" w:sz="4" w:space="0"/>
              <w:right w:val="single" w:color="000000" w:sz="4" w:space="0"/>
            </w:tcBorders>
            <w:vAlign w:val="center"/>
          </w:tcPr>
          <w:p w14:paraId="578B1A58">
            <w:pPr>
              <w:jc w:val="left"/>
              <w:rPr>
                <w:rFonts w:ascii="宋体" w:hAnsi="宋体" w:cs="宋体"/>
                <w:color w:val="000000"/>
                <w:kern w:val="0"/>
                <w:sz w:val="24"/>
                <w:szCs w:val="24"/>
              </w:rPr>
            </w:pPr>
            <w:r>
              <w:rPr>
                <w:rFonts w:hint="eastAsia" w:ascii="宋体" w:hAnsi="宋体" w:cs="宋体"/>
                <w:color w:val="000000"/>
                <w:kern w:val="0"/>
                <w:sz w:val="24"/>
                <w:szCs w:val="24"/>
              </w:rPr>
              <w:t>智慧监测、风险预警</w:t>
            </w:r>
          </w:p>
        </w:tc>
        <w:tc>
          <w:tcPr>
            <w:tcW w:w="4401" w:type="dxa"/>
            <w:tcBorders>
              <w:top w:val="nil"/>
              <w:left w:val="nil"/>
              <w:bottom w:val="single" w:color="000000" w:sz="4" w:space="0"/>
              <w:right w:val="single" w:color="000000" w:sz="4" w:space="0"/>
            </w:tcBorders>
            <w:vAlign w:val="center"/>
          </w:tcPr>
          <w:p w14:paraId="0E7E778A">
            <w:pPr>
              <w:jc w:val="left"/>
              <w:rPr>
                <w:rFonts w:ascii="宋体" w:hAnsi="宋体" w:cs="宋体"/>
                <w:color w:val="000000"/>
                <w:kern w:val="0"/>
                <w:sz w:val="24"/>
                <w:szCs w:val="24"/>
              </w:rPr>
            </w:pPr>
            <w:r>
              <w:rPr>
                <w:rFonts w:hint="eastAsia" w:ascii="宋体" w:hAnsi="宋体" w:cs="宋体"/>
                <w:color w:val="000000"/>
                <w:kern w:val="0"/>
                <w:sz w:val="24"/>
                <w:szCs w:val="24"/>
              </w:rPr>
              <w:t>强化系统数据分析及共享功能的开发，提升数据的智慧应用，能根据检测结果对检验项目、不合格情况进行统计分析，并可以以各种散点图、雷达图、热力图等图表直观显示。如质控趋势分析、高风险产品预警、检测项目高风险预警。通过系统提供对可疑数据、边界值等异常数据的警示功能，可以根据自定义模板自动生成各类质量分析报告，实现对特定品种、特定项目的风险预警，从而为监管部门计划进度跟踪、抽检方案调整等提供决策依据。</w:t>
            </w:r>
          </w:p>
        </w:tc>
      </w:tr>
      <w:tr w14:paraId="27FAD06B">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754F01A1">
            <w:pPr>
              <w:jc w:val="center"/>
              <w:rPr>
                <w:rFonts w:ascii="宋体" w:hAnsi="宋体" w:cs="宋体"/>
                <w:color w:val="000000"/>
                <w:kern w:val="0"/>
                <w:sz w:val="24"/>
                <w:szCs w:val="24"/>
              </w:rPr>
            </w:pPr>
            <w:r>
              <w:rPr>
                <w:rFonts w:hint="eastAsia" w:ascii="宋体" w:hAnsi="宋体" w:cs="宋体"/>
                <w:color w:val="000000"/>
                <w:kern w:val="0"/>
                <w:sz w:val="24"/>
                <w:szCs w:val="24"/>
              </w:rPr>
              <w:t>147</w:t>
            </w:r>
          </w:p>
        </w:tc>
        <w:tc>
          <w:tcPr>
            <w:tcW w:w="1580" w:type="dxa"/>
            <w:tcBorders>
              <w:top w:val="nil"/>
              <w:left w:val="nil"/>
              <w:bottom w:val="nil"/>
              <w:right w:val="nil"/>
            </w:tcBorders>
            <w:vAlign w:val="center"/>
          </w:tcPr>
          <w:p w14:paraId="72FE8315">
            <w:pPr>
              <w:jc w:val="center"/>
              <w:rPr>
                <w:rFonts w:ascii="宋体" w:hAnsi="宋体" w:cs="宋体"/>
                <w:color w:val="000000"/>
                <w:kern w:val="0"/>
                <w:sz w:val="24"/>
                <w:szCs w:val="24"/>
              </w:rPr>
            </w:pPr>
            <w:r>
              <w:rPr>
                <w:rFonts w:hint="eastAsia" w:ascii="宋体" w:hAnsi="宋体" w:cs="宋体"/>
                <w:color w:val="000000"/>
                <w:kern w:val="0"/>
                <w:sz w:val="24"/>
                <w:szCs w:val="24"/>
              </w:rPr>
              <w:t>统一接口管理</w:t>
            </w:r>
          </w:p>
        </w:tc>
        <w:tc>
          <w:tcPr>
            <w:tcW w:w="1673" w:type="dxa"/>
            <w:tcBorders>
              <w:top w:val="nil"/>
              <w:left w:val="nil"/>
              <w:bottom w:val="single" w:color="000000" w:sz="4" w:space="0"/>
              <w:right w:val="nil"/>
            </w:tcBorders>
            <w:vAlign w:val="center"/>
          </w:tcPr>
          <w:p w14:paraId="28F7B7BD">
            <w:pPr>
              <w:jc w:val="left"/>
              <w:rPr>
                <w:rFonts w:ascii="宋体" w:hAnsi="宋体" w:cs="宋体"/>
                <w:color w:val="000000"/>
                <w:kern w:val="0"/>
                <w:sz w:val="24"/>
                <w:szCs w:val="24"/>
              </w:rPr>
            </w:pPr>
            <w:r>
              <w:rPr>
                <w:rFonts w:hint="eastAsia" w:ascii="宋体" w:hAnsi="宋体" w:cs="宋体"/>
                <w:color w:val="000000"/>
                <w:kern w:val="0"/>
                <w:sz w:val="24"/>
                <w:szCs w:val="24"/>
              </w:rPr>
              <w:t>数据共享与系统集成-对接药品国抽系统</w:t>
            </w:r>
          </w:p>
        </w:tc>
        <w:tc>
          <w:tcPr>
            <w:tcW w:w="4401" w:type="dxa"/>
            <w:tcBorders>
              <w:top w:val="nil"/>
              <w:left w:val="nil"/>
              <w:bottom w:val="single" w:color="000000" w:sz="4" w:space="0"/>
              <w:right w:val="nil"/>
            </w:tcBorders>
            <w:vAlign w:val="center"/>
          </w:tcPr>
          <w:p w14:paraId="425091EC">
            <w:pPr>
              <w:jc w:val="left"/>
              <w:rPr>
                <w:rFonts w:ascii="宋体" w:hAnsi="宋体" w:cs="宋体"/>
                <w:color w:val="000000"/>
                <w:kern w:val="0"/>
                <w:sz w:val="24"/>
                <w:szCs w:val="24"/>
              </w:rPr>
            </w:pPr>
            <w:r>
              <w:rPr>
                <w:rFonts w:hint="eastAsia" w:ascii="宋体" w:hAnsi="宋体" w:cs="宋体"/>
                <w:color w:val="000000"/>
                <w:kern w:val="0"/>
                <w:sz w:val="24"/>
                <w:szCs w:val="24"/>
              </w:rPr>
              <w:t>获取药品国抽系统样品信息、检测信息等数据，并推送药品检测结果信息到药品国抽系统。</w:t>
            </w:r>
          </w:p>
        </w:tc>
      </w:tr>
      <w:tr w14:paraId="3BF61735">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5C1A6FDD">
            <w:pPr>
              <w:jc w:val="center"/>
              <w:rPr>
                <w:rFonts w:ascii="宋体" w:hAnsi="宋体" w:cs="宋体"/>
                <w:color w:val="000000"/>
                <w:kern w:val="0"/>
                <w:sz w:val="24"/>
                <w:szCs w:val="24"/>
              </w:rPr>
            </w:pPr>
            <w:r>
              <w:rPr>
                <w:rFonts w:hint="eastAsia" w:ascii="宋体" w:hAnsi="宋体" w:cs="宋体"/>
                <w:color w:val="000000"/>
                <w:kern w:val="0"/>
                <w:sz w:val="24"/>
                <w:szCs w:val="24"/>
              </w:rPr>
              <w:t>148</w:t>
            </w:r>
          </w:p>
        </w:tc>
        <w:tc>
          <w:tcPr>
            <w:tcW w:w="1580" w:type="dxa"/>
            <w:tcBorders>
              <w:top w:val="single" w:color="000000" w:sz="4" w:space="0"/>
              <w:left w:val="nil"/>
              <w:bottom w:val="single" w:color="000000" w:sz="4" w:space="0"/>
              <w:right w:val="single" w:color="000000" w:sz="4" w:space="0"/>
            </w:tcBorders>
            <w:vAlign w:val="center"/>
          </w:tcPr>
          <w:p w14:paraId="7D4246B3">
            <w:pPr>
              <w:jc w:val="center"/>
              <w:rPr>
                <w:rFonts w:ascii="宋体" w:hAnsi="宋体" w:cs="宋体"/>
                <w:color w:val="000000"/>
                <w:kern w:val="0"/>
                <w:sz w:val="24"/>
                <w:szCs w:val="24"/>
              </w:rPr>
            </w:pPr>
            <w:r>
              <w:rPr>
                <w:rFonts w:hint="eastAsia" w:ascii="宋体" w:hAnsi="宋体" w:cs="宋体"/>
                <w:color w:val="000000"/>
                <w:kern w:val="0"/>
                <w:sz w:val="24"/>
                <w:szCs w:val="24"/>
              </w:rPr>
              <w:t>统一接口管理</w:t>
            </w:r>
          </w:p>
        </w:tc>
        <w:tc>
          <w:tcPr>
            <w:tcW w:w="1673" w:type="dxa"/>
            <w:tcBorders>
              <w:top w:val="nil"/>
              <w:left w:val="nil"/>
              <w:bottom w:val="single" w:color="000000" w:sz="4" w:space="0"/>
              <w:right w:val="single" w:color="000000" w:sz="4" w:space="0"/>
            </w:tcBorders>
            <w:vAlign w:val="center"/>
          </w:tcPr>
          <w:p w14:paraId="729F43ED">
            <w:pPr>
              <w:jc w:val="left"/>
              <w:rPr>
                <w:rFonts w:ascii="宋体" w:hAnsi="宋体" w:cs="宋体"/>
                <w:color w:val="000000"/>
                <w:kern w:val="0"/>
                <w:sz w:val="24"/>
                <w:szCs w:val="24"/>
              </w:rPr>
            </w:pPr>
            <w:r>
              <w:rPr>
                <w:rFonts w:hint="eastAsia" w:ascii="宋体" w:hAnsi="宋体" w:cs="宋体"/>
                <w:color w:val="000000"/>
                <w:kern w:val="0"/>
                <w:sz w:val="24"/>
                <w:szCs w:val="24"/>
              </w:rPr>
              <w:t>数据共享与系统集成-对接上海市药监局系统数据</w:t>
            </w:r>
          </w:p>
        </w:tc>
        <w:tc>
          <w:tcPr>
            <w:tcW w:w="4401" w:type="dxa"/>
            <w:tcBorders>
              <w:top w:val="nil"/>
              <w:left w:val="nil"/>
              <w:bottom w:val="single" w:color="000000" w:sz="4" w:space="0"/>
              <w:right w:val="single" w:color="000000" w:sz="4" w:space="0"/>
            </w:tcBorders>
            <w:vAlign w:val="center"/>
          </w:tcPr>
          <w:p w14:paraId="62FDC186">
            <w:pPr>
              <w:jc w:val="left"/>
              <w:rPr>
                <w:rFonts w:ascii="宋体" w:hAnsi="宋体" w:cs="宋体"/>
                <w:color w:val="000000"/>
                <w:kern w:val="0"/>
                <w:sz w:val="24"/>
                <w:szCs w:val="24"/>
              </w:rPr>
            </w:pPr>
            <w:r>
              <w:rPr>
                <w:rFonts w:hint="eastAsia" w:ascii="宋体" w:hAnsi="宋体" w:cs="宋体"/>
                <w:color w:val="000000"/>
                <w:kern w:val="0"/>
                <w:sz w:val="24"/>
                <w:szCs w:val="24"/>
              </w:rPr>
              <w:t>获取市抽样检测系统样品信息、检测信息等数据，并推送药品检测结果信息到市抽样检测系统。</w:t>
            </w:r>
          </w:p>
        </w:tc>
      </w:tr>
      <w:tr w14:paraId="369A5A60">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6AE52AD0">
            <w:pPr>
              <w:jc w:val="center"/>
              <w:rPr>
                <w:rFonts w:ascii="宋体" w:hAnsi="宋体" w:cs="宋体"/>
                <w:color w:val="000000"/>
                <w:kern w:val="0"/>
                <w:sz w:val="24"/>
                <w:szCs w:val="24"/>
              </w:rPr>
            </w:pPr>
            <w:r>
              <w:rPr>
                <w:rFonts w:hint="eastAsia" w:ascii="宋体" w:hAnsi="宋体" w:cs="宋体"/>
                <w:color w:val="000000"/>
                <w:kern w:val="0"/>
                <w:sz w:val="24"/>
                <w:szCs w:val="24"/>
              </w:rPr>
              <w:t>150</w:t>
            </w:r>
          </w:p>
        </w:tc>
        <w:tc>
          <w:tcPr>
            <w:tcW w:w="1580" w:type="dxa"/>
            <w:tcBorders>
              <w:top w:val="nil"/>
              <w:left w:val="nil"/>
              <w:bottom w:val="single" w:color="000000" w:sz="4" w:space="0"/>
              <w:right w:val="single" w:color="000000" w:sz="4" w:space="0"/>
            </w:tcBorders>
            <w:vAlign w:val="center"/>
          </w:tcPr>
          <w:p w14:paraId="74A8503D">
            <w:pPr>
              <w:jc w:val="center"/>
              <w:rPr>
                <w:rFonts w:ascii="宋体" w:hAnsi="宋体" w:cs="宋体"/>
                <w:color w:val="000000"/>
                <w:kern w:val="0"/>
                <w:sz w:val="24"/>
                <w:szCs w:val="24"/>
              </w:rPr>
            </w:pPr>
            <w:r>
              <w:rPr>
                <w:rFonts w:hint="eastAsia" w:ascii="宋体" w:hAnsi="宋体" w:cs="宋体"/>
                <w:color w:val="000000"/>
                <w:kern w:val="0"/>
                <w:sz w:val="24"/>
                <w:szCs w:val="24"/>
              </w:rPr>
              <w:t>统一接口管理</w:t>
            </w:r>
          </w:p>
        </w:tc>
        <w:tc>
          <w:tcPr>
            <w:tcW w:w="1673" w:type="dxa"/>
            <w:tcBorders>
              <w:top w:val="nil"/>
              <w:left w:val="nil"/>
              <w:bottom w:val="single" w:color="000000" w:sz="4" w:space="0"/>
              <w:right w:val="single" w:color="000000" w:sz="4" w:space="0"/>
            </w:tcBorders>
            <w:vAlign w:val="center"/>
          </w:tcPr>
          <w:p w14:paraId="781B3CE7">
            <w:pPr>
              <w:jc w:val="left"/>
              <w:rPr>
                <w:rFonts w:ascii="宋体" w:hAnsi="宋体" w:cs="宋体"/>
                <w:color w:val="000000"/>
                <w:kern w:val="0"/>
                <w:sz w:val="24"/>
                <w:szCs w:val="24"/>
              </w:rPr>
            </w:pPr>
            <w:r>
              <w:rPr>
                <w:rFonts w:hint="eastAsia" w:ascii="宋体" w:hAnsi="宋体" w:cs="宋体"/>
                <w:color w:val="000000"/>
                <w:kern w:val="0"/>
                <w:sz w:val="24"/>
                <w:szCs w:val="24"/>
              </w:rPr>
              <w:t>数据共享与系统集成-对接财务系统</w:t>
            </w:r>
          </w:p>
        </w:tc>
        <w:tc>
          <w:tcPr>
            <w:tcW w:w="4401" w:type="dxa"/>
            <w:tcBorders>
              <w:top w:val="nil"/>
              <w:left w:val="nil"/>
              <w:bottom w:val="single" w:color="000000" w:sz="4" w:space="0"/>
              <w:right w:val="single" w:color="000000" w:sz="4" w:space="0"/>
            </w:tcBorders>
            <w:vAlign w:val="center"/>
          </w:tcPr>
          <w:p w14:paraId="47FC56CA">
            <w:pPr>
              <w:jc w:val="left"/>
              <w:rPr>
                <w:rFonts w:ascii="宋体" w:hAnsi="宋体" w:cs="宋体"/>
                <w:color w:val="000000"/>
                <w:kern w:val="0"/>
                <w:sz w:val="24"/>
                <w:szCs w:val="24"/>
              </w:rPr>
            </w:pPr>
            <w:r>
              <w:rPr>
                <w:rFonts w:hint="eastAsia" w:ascii="宋体" w:hAnsi="宋体" w:cs="宋体"/>
                <w:color w:val="000000"/>
                <w:kern w:val="0"/>
                <w:sz w:val="24"/>
                <w:szCs w:val="24"/>
              </w:rPr>
              <w:t>财务科目标准数据集成、业务数据集成、异常数据处理</w:t>
            </w:r>
          </w:p>
        </w:tc>
      </w:tr>
      <w:tr w14:paraId="5D4FF012">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5A89EA4B">
            <w:pPr>
              <w:jc w:val="center"/>
              <w:rPr>
                <w:rFonts w:ascii="宋体" w:hAnsi="宋体" w:cs="宋体"/>
                <w:color w:val="000000"/>
                <w:kern w:val="0"/>
                <w:sz w:val="24"/>
                <w:szCs w:val="24"/>
              </w:rPr>
            </w:pPr>
            <w:r>
              <w:rPr>
                <w:rFonts w:hint="eastAsia" w:ascii="宋体" w:hAnsi="宋体" w:cs="宋体"/>
                <w:color w:val="000000"/>
                <w:kern w:val="0"/>
                <w:sz w:val="24"/>
                <w:szCs w:val="24"/>
              </w:rPr>
              <w:t>151</w:t>
            </w:r>
          </w:p>
        </w:tc>
        <w:tc>
          <w:tcPr>
            <w:tcW w:w="1580" w:type="dxa"/>
            <w:tcBorders>
              <w:top w:val="nil"/>
              <w:left w:val="nil"/>
              <w:bottom w:val="single" w:color="000000" w:sz="4" w:space="0"/>
              <w:right w:val="single" w:color="000000" w:sz="4" w:space="0"/>
            </w:tcBorders>
            <w:vAlign w:val="center"/>
          </w:tcPr>
          <w:p w14:paraId="77EE1BC8">
            <w:pPr>
              <w:jc w:val="center"/>
              <w:rPr>
                <w:rFonts w:ascii="宋体" w:hAnsi="宋体" w:cs="宋体"/>
                <w:color w:val="000000"/>
                <w:kern w:val="0"/>
                <w:sz w:val="24"/>
                <w:szCs w:val="24"/>
              </w:rPr>
            </w:pPr>
            <w:r>
              <w:rPr>
                <w:rFonts w:hint="eastAsia" w:ascii="宋体" w:hAnsi="宋体" w:cs="宋体"/>
                <w:color w:val="000000"/>
                <w:kern w:val="0"/>
                <w:sz w:val="24"/>
                <w:szCs w:val="24"/>
              </w:rPr>
              <w:t>统一接口管理</w:t>
            </w:r>
          </w:p>
        </w:tc>
        <w:tc>
          <w:tcPr>
            <w:tcW w:w="1673" w:type="dxa"/>
            <w:tcBorders>
              <w:top w:val="nil"/>
              <w:left w:val="nil"/>
              <w:bottom w:val="single" w:color="000000" w:sz="4" w:space="0"/>
              <w:right w:val="single" w:color="000000" w:sz="4" w:space="0"/>
            </w:tcBorders>
            <w:vAlign w:val="center"/>
          </w:tcPr>
          <w:p w14:paraId="04ACAE03">
            <w:pPr>
              <w:jc w:val="left"/>
              <w:rPr>
                <w:rFonts w:ascii="宋体" w:hAnsi="宋体" w:cs="宋体"/>
                <w:color w:val="000000"/>
                <w:kern w:val="0"/>
                <w:sz w:val="24"/>
                <w:szCs w:val="24"/>
              </w:rPr>
            </w:pPr>
            <w:r>
              <w:rPr>
                <w:rFonts w:hint="eastAsia" w:ascii="宋体" w:hAnsi="宋体" w:cs="宋体"/>
                <w:color w:val="000000"/>
                <w:kern w:val="0"/>
                <w:sz w:val="24"/>
                <w:szCs w:val="24"/>
              </w:rPr>
              <w:t>数据共享与系统集成-CA系统集成</w:t>
            </w:r>
          </w:p>
        </w:tc>
        <w:tc>
          <w:tcPr>
            <w:tcW w:w="4401" w:type="dxa"/>
            <w:tcBorders>
              <w:top w:val="nil"/>
              <w:left w:val="nil"/>
              <w:bottom w:val="single" w:color="000000" w:sz="4" w:space="0"/>
              <w:right w:val="single" w:color="000000" w:sz="4" w:space="0"/>
            </w:tcBorders>
            <w:vAlign w:val="center"/>
          </w:tcPr>
          <w:p w14:paraId="6F9C615C">
            <w:pPr>
              <w:jc w:val="left"/>
              <w:rPr>
                <w:rFonts w:ascii="宋体" w:hAnsi="宋体" w:cs="宋体"/>
                <w:color w:val="000000"/>
                <w:kern w:val="0"/>
                <w:sz w:val="24"/>
                <w:szCs w:val="24"/>
              </w:rPr>
            </w:pPr>
            <w:r>
              <w:rPr>
                <w:rFonts w:hint="eastAsia" w:ascii="宋体" w:hAnsi="宋体" w:cs="宋体"/>
                <w:color w:val="000000"/>
                <w:kern w:val="0"/>
                <w:sz w:val="24"/>
                <w:szCs w:val="24"/>
              </w:rPr>
              <w:t>CA电子签章基础数据同步、开发调用电子签名接口、开发调用电子签章接口、开发调用电子报告真伪验证接口</w:t>
            </w:r>
          </w:p>
        </w:tc>
      </w:tr>
      <w:tr w14:paraId="13149B08">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5EB9C0DF">
            <w:pPr>
              <w:jc w:val="center"/>
              <w:rPr>
                <w:rFonts w:ascii="宋体" w:hAnsi="宋体" w:cs="宋体"/>
                <w:color w:val="000000"/>
                <w:kern w:val="0"/>
                <w:sz w:val="24"/>
                <w:szCs w:val="24"/>
              </w:rPr>
            </w:pPr>
            <w:r>
              <w:rPr>
                <w:rFonts w:hint="eastAsia" w:ascii="宋体" w:hAnsi="宋体" w:cs="宋体"/>
                <w:color w:val="000000"/>
                <w:kern w:val="0"/>
                <w:sz w:val="24"/>
                <w:szCs w:val="24"/>
              </w:rPr>
              <w:t>152</w:t>
            </w:r>
          </w:p>
        </w:tc>
        <w:tc>
          <w:tcPr>
            <w:tcW w:w="1580" w:type="dxa"/>
            <w:tcBorders>
              <w:top w:val="nil"/>
              <w:left w:val="nil"/>
              <w:bottom w:val="single" w:color="000000" w:sz="4" w:space="0"/>
              <w:right w:val="single" w:color="000000" w:sz="4" w:space="0"/>
            </w:tcBorders>
            <w:vAlign w:val="center"/>
          </w:tcPr>
          <w:p w14:paraId="17291F27">
            <w:pPr>
              <w:jc w:val="center"/>
              <w:rPr>
                <w:rFonts w:ascii="宋体" w:hAnsi="宋体" w:cs="宋体"/>
                <w:color w:val="000000"/>
                <w:kern w:val="0"/>
                <w:sz w:val="24"/>
                <w:szCs w:val="24"/>
              </w:rPr>
            </w:pPr>
            <w:r>
              <w:rPr>
                <w:rFonts w:hint="eastAsia" w:ascii="宋体" w:hAnsi="宋体" w:cs="宋体"/>
                <w:color w:val="000000"/>
                <w:kern w:val="0"/>
                <w:sz w:val="24"/>
                <w:szCs w:val="24"/>
              </w:rPr>
              <w:t>统一接口管理</w:t>
            </w:r>
          </w:p>
        </w:tc>
        <w:tc>
          <w:tcPr>
            <w:tcW w:w="1673" w:type="dxa"/>
            <w:tcBorders>
              <w:top w:val="nil"/>
              <w:left w:val="nil"/>
              <w:bottom w:val="single" w:color="000000" w:sz="4" w:space="0"/>
              <w:right w:val="single" w:color="000000" w:sz="4" w:space="0"/>
            </w:tcBorders>
            <w:vAlign w:val="center"/>
          </w:tcPr>
          <w:p w14:paraId="1F9CE37A">
            <w:pPr>
              <w:jc w:val="left"/>
              <w:rPr>
                <w:rFonts w:ascii="宋体" w:hAnsi="宋体" w:cs="宋体"/>
                <w:color w:val="000000"/>
                <w:kern w:val="0"/>
                <w:sz w:val="24"/>
                <w:szCs w:val="24"/>
              </w:rPr>
            </w:pPr>
            <w:r>
              <w:rPr>
                <w:rFonts w:hint="eastAsia" w:ascii="宋体" w:hAnsi="宋体" w:cs="宋体"/>
                <w:color w:val="000000"/>
                <w:kern w:val="0"/>
                <w:sz w:val="24"/>
                <w:szCs w:val="24"/>
              </w:rPr>
              <w:t>数据共享与系统集成-对接物流平台</w:t>
            </w:r>
          </w:p>
        </w:tc>
        <w:tc>
          <w:tcPr>
            <w:tcW w:w="4401" w:type="dxa"/>
            <w:tcBorders>
              <w:top w:val="nil"/>
              <w:left w:val="nil"/>
              <w:bottom w:val="single" w:color="000000" w:sz="4" w:space="0"/>
              <w:right w:val="single" w:color="000000" w:sz="4" w:space="0"/>
            </w:tcBorders>
            <w:vAlign w:val="center"/>
          </w:tcPr>
          <w:p w14:paraId="60CF7DA9">
            <w:pPr>
              <w:jc w:val="left"/>
              <w:rPr>
                <w:rFonts w:ascii="宋体" w:hAnsi="宋体" w:cs="宋体"/>
                <w:color w:val="000000"/>
                <w:kern w:val="0"/>
                <w:sz w:val="24"/>
                <w:szCs w:val="24"/>
              </w:rPr>
            </w:pPr>
            <w:r>
              <w:rPr>
                <w:rFonts w:hint="eastAsia" w:ascii="宋体" w:hAnsi="宋体" w:cs="宋体"/>
                <w:color w:val="000000"/>
                <w:kern w:val="0"/>
                <w:sz w:val="24"/>
                <w:szCs w:val="24"/>
              </w:rPr>
              <w:t>通过与物流（顺丰）平台对接，登记客户报告、返还样品的邮寄快递单号（支持扫码录入），客户通过一站式客户服务子系统可查看报告或样品邮寄单号、进度列表、以及进度详情等信息</w:t>
            </w:r>
          </w:p>
        </w:tc>
      </w:tr>
      <w:tr w14:paraId="1817D491">
        <w:tblPrEx>
          <w:tblCellMar>
            <w:top w:w="0" w:type="dxa"/>
            <w:left w:w="108" w:type="dxa"/>
            <w:bottom w:w="0" w:type="dxa"/>
            <w:right w:w="108" w:type="dxa"/>
          </w:tblCellMar>
        </w:tblPrEx>
        <w:trPr>
          <w:trHeight w:val="20" w:hRule="atLeast"/>
        </w:trPr>
        <w:tc>
          <w:tcPr>
            <w:tcW w:w="638" w:type="dxa"/>
            <w:tcBorders>
              <w:top w:val="nil"/>
              <w:left w:val="single" w:color="000000" w:sz="4" w:space="0"/>
              <w:bottom w:val="single" w:color="000000" w:sz="4" w:space="0"/>
              <w:right w:val="single" w:color="000000" w:sz="4" w:space="0"/>
            </w:tcBorders>
            <w:vAlign w:val="center"/>
          </w:tcPr>
          <w:p w14:paraId="188C4532">
            <w:pPr>
              <w:jc w:val="center"/>
              <w:rPr>
                <w:rFonts w:ascii="宋体" w:hAnsi="宋体" w:cs="宋体"/>
                <w:color w:val="000000"/>
                <w:kern w:val="0"/>
                <w:sz w:val="24"/>
                <w:szCs w:val="24"/>
              </w:rPr>
            </w:pPr>
            <w:r>
              <w:rPr>
                <w:rFonts w:hint="eastAsia" w:ascii="宋体" w:hAnsi="宋体" w:cs="宋体"/>
                <w:color w:val="000000"/>
                <w:kern w:val="0"/>
                <w:sz w:val="24"/>
                <w:szCs w:val="24"/>
              </w:rPr>
              <w:t>153</w:t>
            </w:r>
          </w:p>
        </w:tc>
        <w:tc>
          <w:tcPr>
            <w:tcW w:w="1580" w:type="dxa"/>
            <w:tcBorders>
              <w:top w:val="nil"/>
              <w:left w:val="nil"/>
              <w:bottom w:val="single" w:color="000000" w:sz="4" w:space="0"/>
              <w:right w:val="single" w:color="000000" w:sz="4" w:space="0"/>
            </w:tcBorders>
            <w:vAlign w:val="center"/>
          </w:tcPr>
          <w:p w14:paraId="584746FC">
            <w:pPr>
              <w:jc w:val="center"/>
              <w:rPr>
                <w:rFonts w:ascii="宋体" w:hAnsi="宋体" w:cs="宋体"/>
                <w:color w:val="000000"/>
                <w:kern w:val="0"/>
                <w:sz w:val="24"/>
                <w:szCs w:val="24"/>
              </w:rPr>
            </w:pPr>
            <w:r>
              <w:rPr>
                <w:rFonts w:hint="eastAsia" w:ascii="宋体" w:hAnsi="宋体" w:cs="宋体"/>
                <w:color w:val="000000"/>
                <w:kern w:val="0"/>
                <w:sz w:val="24"/>
                <w:szCs w:val="24"/>
              </w:rPr>
              <w:t>密码安全应用</w:t>
            </w:r>
          </w:p>
        </w:tc>
        <w:tc>
          <w:tcPr>
            <w:tcW w:w="1673" w:type="dxa"/>
            <w:tcBorders>
              <w:top w:val="nil"/>
              <w:left w:val="nil"/>
              <w:bottom w:val="single" w:color="000000" w:sz="4" w:space="0"/>
              <w:right w:val="single" w:color="000000" w:sz="4" w:space="0"/>
            </w:tcBorders>
            <w:vAlign w:val="center"/>
          </w:tcPr>
          <w:p w14:paraId="417B17C0">
            <w:pPr>
              <w:jc w:val="left"/>
              <w:rPr>
                <w:rFonts w:ascii="宋体" w:hAnsi="宋体" w:cs="宋体"/>
                <w:color w:val="000000"/>
                <w:kern w:val="0"/>
                <w:sz w:val="24"/>
                <w:szCs w:val="24"/>
              </w:rPr>
            </w:pPr>
            <w:r>
              <w:rPr>
                <w:rFonts w:hint="eastAsia" w:ascii="宋体" w:hAnsi="宋体" w:cs="宋体"/>
                <w:color w:val="000000"/>
                <w:kern w:val="0"/>
                <w:sz w:val="24"/>
                <w:szCs w:val="24"/>
              </w:rPr>
              <w:t>密码应用功能模块</w:t>
            </w:r>
          </w:p>
        </w:tc>
        <w:tc>
          <w:tcPr>
            <w:tcW w:w="4401" w:type="dxa"/>
            <w:tcBorders>
              <w:top w:val="nil"/>
              <w:left w:val="nil"/>
              <w:bottom w:val="single" w:color="000000" w:sz="4" w:space="0"/>
              <w:right w:val="single" w:color="000000" w:sz="4" w:space="0"/>
            </w:tcBorders>
            <w:vAlign w:val="center"/>
          </w:tcPr>
          <w:p w14:paraId="2A4AF14D">
            <w:pPr>
              <w:jc w:val="left"/>
              <w:rPr>
                <w:rFonts w:ascii="宋体" w:hAnsi="宋体" w:cs="宋体"/>
                <w:color w:val="000000"/>
                <w:kern w:val="0"/>
                <w:sz w:val="24"/>
                <w:szCs w:val="24"/>
              </w:rPr>
            </w:pPr>
            <w:r>
              <w:rPr>
                <w:rFonts w:hint="eastAsia" w:ascii="宋体" w:hAnsi="宋体" w:cs="宋体"/>
                <w:color w:val="000000"/>
                <w:kern w:val="0"/>
                <w:sz w:val="24"/>
                <w:szCs w:val="24"/>
              </w:rPr>
              <w:t>用户身份认证机制模块、用户访问控制信息签名验签模块、应用系统重要数据签名验签模块、应用系统重要数据加解密模块、服务器虚拟机设备日志/访问控制信息完整性模块、业务重要数据安全传输模块、重要可执行程序签名验签模块、电子印章模块</w:t>
            </w:r>
          </w:p>
        </w:tc>
      </w:tr>
    </w:tbl>
    <w:p w14:paraId="65427DFD">
      <w:pPr>
        <w:spacing w:line="360" w:lineRule="auto"/>
        <w:ind w:firstLine="482" w:firstLineChars="200"/>
        <w:rPr>
          <w:rFonts w:ascii="宋体" w:hAnsi="宋体" w:cs="宋体"/>
          <w:b/>
          <w:sz w:val="24"/>
          <w:szCs w:val="24"/>
        </w:rPr>
      </w:pPr>
    </w:p>
    <w:p w14:paraId="42E83F68">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硬件购置清单</w:t>
      </w:r>
    </w:p>
    <w:tbl>
      <w:tblPr>
        <w:tblStyle w:val="5"/>
        <w:tblW w:w="0" w:type="auto"/>
        <w:jc w:val="center"/>
        <w:tblLayout w:type="fixed"/>
        <w:tblCellMar>
          <w:top w:w="0" w:type="dxa"/>
          <w:left w:w="108" w:type="dxa"/>
          <w:bottom w:w="0" w:type="dxa"/>
          <w:right w:w="108" w:type="dxa"/>
        </w:tblCellMar>
      </w:tblPr>
      <w:tblGrid>
        <w:gridCol w:w="658"/>
        <w:gridCol w:w="947"/>
        <w:gridCol w:w="803"/>
        <w:gridCol w:w="4922"/>
        <w:gridCol w:w="486"/>
        <w:gridCol w:w="486"/>
      </w:tblGrid>
      <w:tr w14:paraId="1F0A4B03">
        <w:tblPrEx>
          <w:tblCellMar>
            <w:top w:w="0" w:type="dxa"/>
            <w:left w:w="108" w:type="dxa"/>
            <w:bottom w:w="0" w:type="dxa"/>
            <w:right w:w="108" w:type="dxa"/>
          </w:tblCellMar>
        </w:tblPrEx>
        <w:trPr>
          <w:trHeight w:val="20" w:hRule="atLeast"/>
          <w:jc w:val="center"/>
        </w:trPr>
        <w:tc>
          <w:tcPr>
            <w:tcW w:w="658" w:type="dxa"/>
            <w:tcBorders>
              <w:top w:val="single" w:color="auto" w:sz="4" w:space="0"/>
              <w:left w:val="single" w:color="auto" w:sz="4" w:space="0"/>
              <w:bottom w:val="single" w:color="auto" w:sz="4" w:space="0"/>
              <w:right w:val="single" w:color="auto" w:sz="4" w:space="0"/>
            </w:tcBorders>
            <w:shd w:val="clear" w:color="000000" w:fill="F3F8FC"/>
            <w:noWrap/>
            <w:vAlign w:val="center"/>
          </w:tcPr>
          <w:p w14:paraId="62D55338">
            <w:pPr>
              <w:jc w:val="center"/>
              <w:rPr>
                <w:rFonts w:ascii="宋体" w:hAnsi="宋体" w:cs="宋体"/>
                <w:b/>
                <w:color w:val="000000"/>
                <w:kern w:val="0"/>
                <w:sz w:val="24"/>
                <w:szCs w:val="24"/>
              </w:rPr>
            </w:pPr>
            <w:r>
              <w:rPr>
                <w:rFonts w:hint="eastAsia" w:ascii="宋体" w:hAnsi="宋体" w:cs="宋体"/>
                <w:b/>
                <w:color w:val="000000"/>
                <w:kern w:val="0"/>
                <w:sz w:val="24"/>
                <w:szCs w:val="24"/>
              </w:rPr>
              <w:t>序号</w:t>
            </w:r>
          </w:p>
        </w:tc>
        <w:tc>
          <w:tcPr>
            <w:tcW w:w="947" w:type="dxa"/>
            <w:tcBorders>
              <w:top w:val="single" w:color="auto" w:sz="4" w:space="0"/>
              <w:left w:val="nil"/>
              <w:bottom w:val="single" w:color="auto" w:sz="4" w:space="0"/>
              <w:right w:val="single" w:color="auto" w:sz="4" w:space="0"/>
            </w:tcBorders>
            <w:shd w:val="clear" w:color="000000" w:fill="F3F8FC"/>
            <w:noWrap/>
            <w:vAlign w:val="center"/>
          </w:tcPr>
          <w:p w14:paraId="2CE66E67">
            <w:pPr>
              <w:jc w:val="center"/>
              <w:rPr>
                <w:rFonts w:ascii="宋体" w:hAnsi="宋体" w:cs="宋体"/>
                <w:b/>
                <w:color w:val="000000"/>
                <w:kern w:val="0"/>
                <w:sz w:val="24"/>
                <w:szCs w:val="24"/>
              </w:rPr>
            </w:pPr>
            <w:r>
              <w:rPr>
                <w:rFonts w:hint="eastAsia" w:ascii="宋体" w:hAnsi="宋体" w:cs="宋体"/>
                <w:b/>
                <w:color w:val="000000"/>
                <w:kern w:val="0"/>
                <w:sz w:val="24"/>
                <w:szCs w:val="24"/>
              </w:rPr>
              <w:t>名称</w:t>
            </w:r>
          </w:p>
        </w:tc>
        <w:tc>
          <w:tcPr>
            <w:tcW w:w="803" w:type="dxa"/>
            <w:tcBorders>
              <w:top w:val="single" w:color="auto" w:sz="4" w:space="0"/>
              <w:left w:val="nil"/>
              <w:bottom w:val="single" w:color="auto" w:sz="4" w:space="0"/>
              <w:right w:val="single" w:color="auto" w:sz="4" w:space="0"/>
            </w:tcBorders>
            <w:shd w:val="clear" w:color="000000" w:fill="F3F8FC"/>
            <w:noWrap/>
            <w:vAlign w:val="center"/>
          </w:tcPr>
          <w:p w14:paraId="1F261DD7">
            <w:pPr>
              <w:jc w:val="center"/>
              <w:rPr>
                <w:rFonts w:ascii="宋体" w:hAnsi="宋体" w:cs="宋体"/>
                <w:b/>
                <w:color w:val="000000"/>
                <w:kern w:val="0"/>
                <w:sz w:val="24"/>
                <w:szCs w:val="24"/>
              </w:rPr>
            </w:pPr>
            <w:r>
              <w:rPr>
                <w:rFonts w:hint="eastAsia" w:ascii="宋体" w:hAnsi="宋体" w:cs="宋体"/>
                <w:b/>
                <w:color w:val="000000"/>
                <w:kern w:val="0"/>
                <w:sz w:val="24"/>
                <w:szCs w:val="24"/>
              </w:rPr>
              <w:t>类别</w:t>
            </w:r>
          </w:p>
        </w:tc>
        <w:tc>
          <w:tcPr>
            <w:tcW w:w="4922" w:type="dxa"/>
            <w:tcBorders>
              <w:top w:val="single" w:color="auto" w:sz="4" w:space="0"/>
              <w:left w:val="nil"/>
              <w:bottom w:val="single" w:color="auto" w:sz="4" w:space="0"/>
              <w:right w:val="single" w:color="auto" w:sz="4" w:space="0"/>
            </w:tcBorders>
            <w:shd w:val="clear" w:color="000000" w:fill="F3F8FC"/>
            <w:vAlign w:val="center"/>
          </w:tcPr>
          <w:p w14:paraId="14539255">
            <w:pPr>
              <w:jc w:val="center"/>
              <w:rPr>
                <w:rFonts w:ascii="宋体" w:hAnsi="宋体" w:cs="宋体"/>
                <w:b/>
                <w:color w:val="000000"/>
                <w:kern w:val="0"/>
                <w:sz w:val="24"/>
                <w:szCs w:val="24"/>
              </w:rPr>
            </w:pPr>
            <w:r>
              <w:rPr>
                <w:rFonts w:hint="eastAsia" w:ascii="宋体" w:hAnsi="宋体" w:cs="宋体"/>
                <w:b/>
                <w:color w:val="000000"/>
                <w:kern w:val="0"/>
                <w:sz w:val="24"/>
                <w:szCs w:val="24"/>
              </w:rPr>
              <w:t>配置要求</w:t>
            </w:r>
          </w:p>
        </w:tc>
        <w:tc>
          <w:tcPr>
            <w:tcW w:w="486" w:type="dxa"/>
            <w:tcBorders>
              <w:top w:val="single" w:color="auto" w:sz="4" w:space="0"/>
              <w:left w:val="nil"/>
              <w:bottom w:val="single" w:color="auto" w:sz="4" w:space="0"/>
              <w:right w:val="single" w:color="auto" w:sz="4" w:space="0"/>
            </w:tcBorders>
            <w:shd w:val="clear" w:color="000000" w:fill="F3F8FC"/>
            <w:vAlign w:val="center"/>
          </w:tcPr>
          <w:p w14:paraId="65217675">
            <w:pPr>
              <w:jc w:val="center"/>
              <w:rPr>
                <w:rFonts w:ascii="宋体" w:hAnsi="宋体" w:cs="宋体"/>
                <w:b/>
                <w:color w:val="000000"/>
                <w:kern w:val="0"/>
                <w:sz w:val="24"/>
                <w:szCs w:val="24"/>
              </w:rPr>
            </w:pPr>
            <w:r>
              <w:rPr>
                <w:rFonts w:hint="eastAsia" w:ascii="宋体" w:hAnsi="宋体" w:cs="宋体"/>
                <w:b/>
                <w:color w:val="000000"/>
                <w:kern w:val="0"/>
                <w:sz w:val="24"/>
                <w:szCs w:val="24"/>
              </w:rPr>
              <w:t>数量</w:t>
            </w:r>
          </w:p>
        </w:tc>
        <w:tc>
          <w:tcPr>
            <w:tcW w:w="486" w:type="dxa"/>
            <w:tcBorders>
              <w:top w:val="single" w:color="auto" w:sz="4" w:space="0"/>
              <w:left w:val="nil"/>
              <w:bottom w:val="single" w:color="auto" w:sz="4" w:space="0"/>
              <w:right w:val="single" w:color="auto" w:sz="4" w:space="0"/>
            </w:tcBorders>
            <w:shd w:val="clear" w:color="000000" w:fill="F3F8FC"/>
            <w:vAlign w:val="center"/>
          </w:tcPr>
          <w:p w14:paraId="4FCA4D74">
            <w:pPr>
              <w:jc w:val="center"/>
              <w:rPr>
                <w:rFonts w:ascii="宋体" w:hAnsi="宋体" w:cs="宋体"/>
                <w:b/>
                <w:color w:val="000000"/>
                <w:kern w:val="0"/>
                <w:sz w:val="24"/>
                <w:szCs w:val="24"/>
              </w:rPr>
            </w:pPr>
            <w:r>
              <w:rPr>
                <w:rFonts w:hint="eastAsia" w:ascii="宋体" w:hAnsi="宋体" w:cs="宋体"/>
                <w:b/>
                <w:color w:val="000000"/>
                <w:kern w:val="0"/>
                <w:sz w:val="24"/>
                <w:szCs w:val="24"/>
              </w:rPr>
              <w:t>单位</w:t>
            </w:r>
          </w:p>
        </w:tc>
      </w:tr>
      <w:tr w14:paraId="70A09276">
        <w:tblPrEx>
          <w:tblCellMar>
            <w:top w:w="0" w:type="dxa"/>
            <w:left w:w="108" w:type="dxa"/>
            <w:bottom w:w="0" w:type="dxa"/>
            <w:right w:w="108" w:type="dxa"/>
          </w:tblCellMar>
        </w:tblPrEx>
        <w:trPr>
          <w:trHeight w:val="20" w:hRule="atLeast"/>
          <w:jc w:val="center"/>
        </w:trPr>
        <w:tc>
          <w:tcPr>
            <w:tcW w:w="658" w:type="dxa"/>
            <w:tcBorders>
              <w:top w:val="single" w:color="auto" w:sz="4" w:space="0"/>
              <w:left w:val="single" w:color="auto" w:sz="4" w:space="0"/>
              <w:bottom w:val="single" w:color="auto" w:sz="4" w:space="0"/>
              <w:right w:val="single" w:color="auto" w:sz="4" w:space="0"/>
            </w:tcBorders>
            <w:shd w:val="clear" w:color="auto" w:fill="FFFFFF"/>
            <w:vAlign w:val="center"/>
          </w:tcPr>
          <w:p w14:paraId="68EC6CD5">
            <w:pPr>
              <w:jc w:val="center"/>
              <w:rPr>
                <w:rFonts w:ascii="宋体" w:hAnsi="宋体" w:cs="宋体"/>
                <w:bCs/>
                <w:color w:val="000000"/>
                <w:kern w:val="0"/>
                <w:sz w:val="24"/>
                <w:szCs w:val="24"/>
              </w:rPr>
            </w:pPr>
            <w:r>
              <w:rPr>
                <w:rFonts w:hint="eastAsia" w:ascii="宋体" w:hAnsi="宋体" w:cs="宋体"/>
                <w:bCs/>
                <w:color w:val="000000"/>
                <w:kern w:val="0"/>
                <w:sz w:val="24"/>
                <w:szCs w:val="24"/>
              </w:rPr>
              <w:t>1</w:t>
            </w:r>
          </w:p>
        </w:tc>
        <w:tc>
          <w:tcPr>
            <w:tcW w:w="947" w:type="dxa"/>
            <w:tcBorders>
              <w:top w:val="single" w:color="auto" w:sz="4" w:space="0"/>
              <w:left w:val="nil"/>
              <w:bottom w:val="single" w:color="auto" w:sz="4" w:space="0"/>
              <w:right w:val="single" w:color="auto" w:sz="4" w:space="0"/>
            </w:tcBorders>
            <w:shd w:val="clear" w:color="auto" w:fill="FFFFFF"/>
            <w:vAlign w:val="center"/>
          </w:tcPr>
          <w:p w14:paraId="511810CD">
            <w:pPr>
              <w:jc w:val="center"/>
              <w:rPr>
                <w:rFonts w:ascii="宋体" w:hAnsi="宋体" w:cs="宋体"/>
                <w:bCs/>
                <w:color w:val="000000"/>
                <w:kern w:val="0"/>
                <w:sz w:val="24"/>
                <w:szCs w:val="24"/>
              </w:rPr>
            </w:pPr>
            <w:r>
              <w:rPr>
                <w:rFonts w:hint="eastAsia" w:ascii="宋体" w:hAnsi="宋体" w:cs="宋体"/>
                <w:bCs/>
                <w:color w:val="000000"/>
                <w:sz w:val="24"/>
                <w:szCs w:val="24"/>
              </w:rPr>
              <w:t>条码打印机</w:t>
            </w:r>
          </w:p>
        </w:tc>
        <w:tc>
          <w:tcPr>
            <w:tcW w:w="803" w:type="dxa"/>
            <w:tcBorders>
              <w:top w:val="single" w:color="auto" w:sz="4" w:space="0"/>
              <w:left w:val="nil"/>
              <w:bottom w:val="single" w:color="auto" w:sz="4" w:space="0"/>
              <w:right w:val="single" w:color="auto" w:sz="4" w:space="0"/>
            </w:tcBorders>
            <w:shd w:val="clear" w:color="auto" w:fill="FFFFFF"/>
            <w:vAlign w:val="center"/>
          </w:tcPr>
          <w:p w14:paraId="2349781E">
            <w:pPr>
              <w:jc w:val="center"/>
              <w:rPr>
                <w:rFonts w:ascii="宋体" w:hAnsi="宋体" w:cs="宋体"/>
                <w:bCs/>
                <w:color w:val="000000"/>
                <w:kern w:val="0"/>
                <w:sz w:val="24"/>
                <w:szCs w:val="24"/>
              </w:rPr>
            </w:pPr>
            <w:r>
              <w:rPr>
                <w:rFonts w:hint="eastAsia" w:ascii="宋体" w:hAnsi="宋体" w:cs="宋体"/>
                <w:bCs/>
                <w:color w:val="000000"/>
                <w:sz w:val="24"/>
                <w:szCs w:val="24"/>
              </w:rPr>
              <w:t>条形码设备</w:t>
            </w:r>
          </w:p>
        </w:tc>
        <w:tc>
          <w:tcPr>
            <w:tcW w:w="4922" w:type="dxa"/>
            <w:tcBorders>
              <w:top w:val="single" w:color="auto" w:sz="4" w:space="0"/>
              <w:left w:val="nil"/>
              <w:bottom w:val="single" w:color="auto" w:sz="4" w:space="0"/>
              <w:right w:val="single" w:color="auto" w:sz="4" w:space="0"/>
            </w:tcBorders>
            <w:shd w:val="clear" w:color="auto" w:fill="FFFFFF"/>
            <w:vAlign w:val="center"/>
          </w:tcPr>
          <w:p w14:paraId="5491E319">
            <w:pPr>
              <w:jc w:val="center"/>
              <w:rPr>
                <w:rFonts w:ascii="宋体" w:hAnsi="宋体" w:cs="宋体"/>
                <w:bCs/>
                <w:color w:val="000000"/>
                <w:kern w:val="0"/>
                <w:sz w:val="24"/>
                <w:szCs w:val="24"/>
              </w:rPr>
            </w:pPr>
            <w:r>
              <w:rPr>
                <w:rFonts w:hint="eastAsia" w:ascii="宋体" w:hAnsi="宋体" w:cs="宋体"/>
                <w:bCs/>
                <w:color w:val="000000"/>
                <w:sz w:val="24"/>
                <w:szCs w:val="24"/>
              </w:rPr>
              <w:t>速度：76mm/s；打印方式：热敏式；内存：内存8MB，闪存4MB；通信接口：USB2.0，蓝牙；最大打印宽度：73.7mm；最大打印长度914mm条码类型：一维和二维；</w:t>
            </w:r>
          </w:p>
        </w:tc>
        <w:tc>
          <w:tcPr>
            <w:tcW w:w="486" w:type="dxa"/>
            <w:tcBorders>
              <w:top w:val="single" w:color="auto" w:sz="4" w:space="0"/>
              <w:left w:val="nil"/>
              <w:bottom w:val="single" w:color="auto" w:sz="4" w:space="0"/>
              <w:right w:val="single" w:color="auto" w:sz="4" w:space="0"/>
            </w:tcBorders>
            <w:shd w:val="clear" w:color="auto" w:fill="FFFFFF"/>
            <w:vAlign w:val="center"/>
          </w:tcPr>
          <w:p w14:paraId="7BC22BDE">
            <w:pPr>
              <w:jc w:val="center"/>
              <w:rPr>
                <w:rFonts w:ascii="宋体" w:hAnsi="宋体" w:cs="宋体"/>
                <w:bCs/>
                <w:color w:val="000000"/>
                <w:kern w:val="0"/>
                <w:sz w:val="24"/>
                <w:szCs w:val="24"/>
              </w:rPr>
            </w:pPr>
            <w:r>
              <w:rPr>
                <w:rFonts w:hint="eastAsia" w:ascii="宋体" w:hAnsi="宋体" w:cs="宋体"/>
                <w:bCs/>
                <w:color w:val="000000"/>
                <w:sz w:val="24"/>
                <w:szCs w:val="24"/>
              </w:rPr>
              <w:t>3</w:t>
            </w:r>
          </w:p>
        </w:tc>
        <w:tc>
          <w:tcPr>
            <w:tcW w:w="486" w:type="dxa"/>
            <w:tcBorders>
              <w:top w:val="single" w:color="auto" w:sz="4" w:space="0"/>
              <w:left w:val="nil"/>
              <w:bottom w:val="single" w:color="auto" w:sz="4" w:space="0"/>
              <w:right w:val="single" w:color="auto" w:sz="4" w:space="0"/>
            </w:tcBorders>
            <w:shd w:val="clear" w:color="auto" w:fill="FFFFFF"/>
            <w:vAlign w:val="center"/>
          </w:tcPr>
          <w:p w14:paraId="6319D22A">
            <w:pPr>
              <w:jc w:val="center"/>
              <w:rPr>
                <w:rFonts w:ascii="宋体" w:hAnsi="宋体" w:cs="宋体"/>
                <w:bCs/>
                <w:color w:val="000000"/>
                <w:kern w:val="0"/>
                <w:sz w:val="24"/>
                <w:szCs w:val="24"/>
              </w:rPr>
            </w:pPr>
            <w:r>
              <w:rPr>
                <w:rFonts w:hint="eastAsia" w:ascii="宋体" w:hAnsi="宋体" w:cs="宋体"/>
                <w:bCs/>
                <w:color w:val="000000"/>
                <w:kern w:val="0"/>
                <w:sz w:val="24"/>
                <w:szCs w:val="24"/>
              </w:rPr>
              <w:t>台</w:t>
            </w:r>
          </w:p>
        </w:tc>
      </w:tr>
      <w:tr w14:paraId="1C955AFA">
        <w:tblPrEx>
          <w:tblCellMar>
            <w:top w:w="0" w:type="dxa"/>
            <w:left w:w="108" w:type="dxa"/>
            <w:bottom w:w="0" w:type="dxa"/>
            <w:right w:w="108" w:type="dxa"/>
          </w:tblCellMar>
        </w:tblPrEx>
        <w:trPr>
          <w:trHeight w:val="20" w:hRule="atLeast"/>
          <w:jc w:val="center"/>
        </w:trPr>
        <w:tc>
          <w:tcPr>
            <w:tcW w:w="658" w:type="dxa"/>
            <w:tcBorders>
              <w:top w:val="single" w:color="auto" w:sz="4" w:space="0"/>
              <w:left w:val="single" w:color="auto" w:sz="4" w:space="0"/>
              <w:bottom w:val="single" w:color="auto" w:sz="4" w:space="0"/>
              <w:right w:val="single" w:color="auto" w:sz="4" w:space="0"/>
            </w:tcBorders>
            <w:shd w:val="clear" w:color="auto" w:fill="FFFFFF"/>
            <w:vAlign w:val="center"/>
          </w:tcPr>
          <w:p w14:paraId="5B1FA6B6">
            <w:pPr>
              <w:jc w:val="center"/>
              <w:rPr>
                <w:rFonts w:ascii="宋体" w:hAnsi="宋体" w:cs="宋体"/>
                <w:bCs/>
                <w:color w:val="000000"/>
                <w:kern w:val="0"/>
                <w:sz w:val="24"/>
                <w:szCs w:val="24"/>
              </w:rPr>
            </w:pPr>
            <w:r>
              <w:rPr>
                <w:rFonts w:hint="eastAsia" w:ascii="宋体" w:hAnsi="宋体" w:cs="宋体"/>
                <w:bCs/>
                <w:color w:val="000000"/>
                <w:kern w:val="0"/>
                <w:sz w:val="24"/>
                <w:szCs w:val="24"/>
              </w:rPr>
              <w:t>2</w:t>
            </w:r>
          </w:p>
        </w:tc>
        <w:tc>
          <w:tcPr>
            <w:tcW w:w="947" w:type="dxa"/>
            <w:tcBorders>
              <w:top w:val="single" w:color="auto" w:sz="4" w:space="0"/>
              <w:left w:val="nil"/>
              <w:bottom w:val="single" w:color="auto" w:sz="4" w:space="0"/>
              <w:right w:val="single" w:color="auto" w:sz="4" w:space="0"/>
            </w:tcBorders>
            <w:shd w:val="clear" w:color="auto" w:fill="FFFFFF"/>
            <w:vAlign w:val="center"/>
          </w:tcPr>
          <w:p w14:paraId="684B790B">
            <w:pPr>
              <w:jc w:val="center"/>
              <w:rPr>
                <w:rFonts w:ascii="宋体" w:hAnsi="宋体" w:cs="宋体"/>
                <w:bCs/>
                <w:color w:val="000000"/>
                <w:kern w:val="0"/>
                <w:sz w:val="24"/>
                <w:szCs w:val="24"/>
              </w:rPr>
            </w:pPr>
            <w:r>
              <w:rPr>
                <w:rFonts w:hint="eastAsia" w:ascii="宋体" w:hAnsi="宋体" w:cs="宋体"/>
                <w:bCs/>
                <w:color w:val="000000"/>
                <w:sz w:val="24"/>
                <w:szCs w:val="24"/>
              </w:rPr>
              <w:t>手持式条码扫描仪</w:t>
            </w:r>
          </w:p>
        </w:tc>
        <w:tc>
          <w:tcPr>
            <w:tcW w:w="803" w:type="dxa"/>
            <w:tcBorders>
              <w:top w:val="single" w:color="auto" w:sz="4" w:space="0"/>
              <w:left w:val="nil"/>
              <w:bottom w:val="single" w:color="auto" w:sz="4" w:space="0"/>
              <w:right w:val="single" w:color="auto" w:sz="4" w:space="0"/>
            </w:tcBorders>
            <w:shd w:val="clear" w:color="auto" w:fill="FFFFFF"/>
            <w:vAlign w:val="center"/>
          </w:tcPr>
          <w:p w14:paraId="326F8E89">
            <w:pPr>
              <w:jc w:val="center"/>
              <w:rPr>
                <w:rFonts w:ascii="宋体" w:hAnsi="宋体" w:cs="宋体"/>
                <w:bCs/>
                <w:color w:val="000000"/>
                <w:kern w:val="0"/>
                <w:sz w:val="24"/>
                <w:szCs w:val="24"/>
              </w:rPr>
            </w:pPr>
            <w:r>
              <w:rPr>
                <w:rFonts w:hint="eastAsia" w:ascii="宋体" w:hAnsi="宋体" w:cs="宋体"/>
                <w:bCs/>
                <w:color w:val="000000"/>
                <w:sz w:val="24"/>
                <w:szCs w:val="24"/>
              </w:rPr>
              <w:t>条形码设备</w:t>
            </w:r>
          </w:p>
        </w:tc>
        <w:tc>
          <w:tcPr>
            <w:tcW w:w="4922" w:type="dxa"/>
            <w:tcBorders>
              <w:top w:val="single" w:color="auto" w:sz="4" w:space="0"/>
              <w:left w:val="nil"/>
              <w:bottom w:val="single" w:color="auto" w:sz="4" w:space="0"/>
              <w:right w:val="single" w:color="auto" w:sz="4" w:space="0"/>
            </w:tcBorders>
            <w:shd w:val="clear" w:color="auto" w:fill="FFFFFF"/>
            <w:vAlign w:val="center"/>
          </w:tcPr>
          <w:p w14:paraId="7CBBFB0D">
            <w:pPr>
              <w:jc w:val="center"/>
              <w:rPr>
                <w:rFonts w:ascii="宋体" w:hAnsi="宋体" w:cs="宋体"/>
                <w:bCs/>
                <w:color w:val="000000"/>
                <w:kern w:val="0"/>
                <w:sz w:val="24"/>
                <w:szCs w:val="24"/>
              </w:rPr>
            </w:pPr>
            <w:r>
              <w:rPr>
                <w:rFonts w:hint="eastAsia" w:ascii="宋体" w:hAnsi="宋体" w:cs="宋体"/>
                <w:bCs/>
                <w:color w:val="000000"/>
                <w:sz w:val="24"/>
                <w:szCs w:val="24"/>
              </w:rPr>
              <w:t>手持/自动激光条码扫描器 标称扫描距离：完全接触到65cm长距离扫描 条码扫描的高灵活性：可靠准确的条码扫描性能，斜度，偏转&gt;50度均可准确扫描 200 线 / 秒的高速扫描；</w:t>
            </w:r>
          </w:p>
        </w:tc>
        <w:tc>
          <w:tcPr>
            <w:tcW w:w="486" w:type="dxa"/>
            <w:tcBorders>
              <w:top w:val="single" w:color="auto" w:sz="4" w:space="0"/>
              <w:left w:val="nil"/>
              <w:bottom w:val="single" w:color="auto" w:sz="4" w:space="0"/>
              <w:right w:val="single" w:color="auto" w:sz="4" w:space="0"/>
            </w:tcBorders>
            <w:shd w:val="clear" w:color="auto" w:fill="FFFFFF"/>
            <w:vAlign w:val="center"/>
          </w:tcPr>
          <w:p w14:paraId="529B2765">
            <w:pPr>
              <w:jc w:val="center"/>
              <w:rPr>
                <w:rFonts w:ascii="宋体" w:hAnsi="宋体" w:cs="宋体"/>
                <w:bCs/>
                <w:color w:val="000000"/>
                <w:kern w:val="0"/>
                <w:sz w:val="24"/>
                <w:szCs w:val="24"/>
              </w:rPr>
            </w:pPr>
            <w:r>
              <w:rPr>
                <w:rFonts w:hint="eastAsia" w:ascii="宋体" w:hAnsi="宋体" w:cs="宋体"/>
                <w:bCs/>
                <w:color w:val="000000"/>
                <w:sz w:val="24"/>
                <w:szCs w:val="24"/>
              </w:rPr>
              <w:t>10</w:t>
            </w:r>
          </w:p>
        </w:tc>
        <w:tc>
          <w:tcPr>
            <w:tcW w:w="486" w:type="dxa"/>
            <w:tcBorders>
              <w:top w:val="single" w:color="auto" w:sz="4" w:space="0"/>
              <w:left w:val="nil"/>
              <w:bottom w:val="single" w:color="auto" w:sz="4" w:space="0"/>
              <w:right w:val="single" w:color="auto" w:sz="4" w:space="0"/>
            </w:tcBorders>
            <w:shd w:val="clear" w:color="auto" w:fill="FFFFFF"/>
            <w:vAlign w:val="center"/>
          </w:tcPr>
          <w:p w14:paraId="25432955">
            <w:pPr>
              <w:jc w:val="center"/>
              <w:rPr>
                <w:rFonts w:ascii="宋体" w:hAnsi="宋体" w:cs="宋体"/>
                <w:bCs/>
                <w:color w:val="000000"/>
                <w:kern w:val="0"/>
                <w:sz w:val="24"/>
                <w:szCs w:val="24"/>
              </w:rPr>
            </w:pPr>
            <w:r>
              <w:rPr>
                <w:rFonts w:hint="eastAsia" w:ascii="宋体" w:hAnsi="宋体" w:cs="宋体"/>
                <w:bCs/>
                <w:color w:val="000000"/>
                <w:kern w:val="0"/>
                <w:sz w:val="24"/>
                <w:szCs w:val="24"/>
              </w:rPr>
              <w:t>台</w:t>
            </w:r>
          </w:p>
        </w:tc>
      </w:tr>
      <w:tr w14:paraId="059EEC1B">
        <w:tblPrEx>
          <w:tblCellMar>
            <w:top w:w="0" w:type="dxa"/>
            <w:left w:w="108" w:type="dxa"/>
            <w:bottom w:w="0" w:type="dxa"/>
            <w:right w:w="108" w:type="dxa"/>
          </w:tblCellMar>
        </w:tblPrEx>
        <w:trPr>
          <w:trHeight w:val="20" w:hRule="atLeast"/>
          <w:jc w:val="center"/>
        </w:trPr>
        <w:tc>
          <w:tcPr>
            <w:tcW w:w="658" w:type="dxa"/>
            <w:tcBorders>
              <w:top w:val="single" w:color="auto" w:sz="4" w:space="0"/>
              <w:left w:val="single" w:color="auto" w:sz="4" w:space="0"/>
              <w:bottom w:val="single" w:color="auto" w:sz="4" w:space="0"/>
              <w:right w:val="single" w:color="auto" w:sz="4" w:space="0"/>
            </w:tcBorders>
            <w:shd w:val="clear" w:color="auto" w:fill="FFFFFF"/>
            <w:vAlign w:val="center"/>
          </w:tcPr>
          <w:p w14:paraId="28CFEC08">
            <w:pPr>
              <w:jc w:val="center"/>
              <w:rPr>
                <w:rFonts w:ascii="宋体" w:hAnsi="宋体" w:cs="宋体"/>
                <w:bCs/>
                <w:color w:val="000000"/>
                <w:kern w:val="0"/>
                <w:sz w:val="24"/>
                <w:szCs w:val="24"/>
              </w:rPr>
            </w:pPr>
            <w:r>
              <w:rPr>
                <w:rFonts w:hint="eastAsia" w:ascii="宋体" w:hAnsi="宋体" w:cs="宋体"/>
                <w:bCs/>
                <w:color w:val="000000"/>
                <w:kern w:val="0"/>
                <w:sz w:val="24"/>
                <w:szCs w:val="24"/>
              </w:rPr>
              <w:t>3</w:t>
            </w:r>
          </w:p>
        </w:tc>
        <w:tc>
          <w:tcPr>
            <w:tcW w:w="947" w:type="dxa"/>
            <w:tcBorders>
              <w:top w:val="single" w:color="auto" w:sz="4" w:space="0"/>
              <w:left w:val="nil"/>
              <w:bottom w:val="single" w:color="auto" w:sz="4" w:space="0"/>
              <w:right w:val="single" w:color="auto" w:sz="4" w:space="0"/>
            </w:tcBorders>
            <w:shd w:val="clear" w:color="auto" w:fill="FFFFFF"/>
            <w:vAlign w:val="center"/>
          </w:tcPr>
          <w:p w14:paraId="4B9EC61F">
            <w:pPr>
              <w:jc w:val="center"/>
              <w:rPr>
                <w:rFonts w:ascii="宋体" w:hAnsi="宋体" w:cs="宋体"/>
                <w:bCs/>
                <w:color w:val="000000"/>
                <w:kern w:val="0"/>
                <w:sz w:val="24"/>
                <w:szCs w:val="24"/>
              </w:rPr>
            </w:pPr>
            <w:r>
              <w:rPr>
                <w:rFonts w:hint="eastAsia" w:ascii="宋体" w:hAnsi="宋体" w:cs="宋体"/>
                <w:bCs/>
                <w:color w:val="000000"/>
                <w:sz w:val="24"/>
                <w:szCs w:val="24"/>
              </w:rPr>
              <w:t>模块</w:t>
            </w:r>
          </w:p>
        </w:tc>
        <w:tc>
          <w:tcPr>
            <w:tcW w:w="803" w:type="dxa"/>
            <w:tcBorders>
              <w:top w:val="single" w:color="auto" w:sz="4" w:space="0"/>
              <w:left w:val="nil"/>
              <w:bottom w:val="single" w:color="auto" w:sz="4" w:space="0"/>
              <w:right w:val="single" w:color="auto" w:sz="4" w:space="0"/>
            </w:tcBorders>
            <w:shd w:val="clear" w:color="auto" w:fill="FFFFFF"/>
            <w:vAlign w:val="center"/>
          </w:tcPr>
          <w:p w14:paraId="25237D96">
            <w:pPr>
              <w:jc w:val="center"/>
              <w:rPr>
                <w:rFonts w:ascii="宋体" w:hAnsi="宋体" w:cs="宋体"/>
                <w:bCs/>
                <w:color w:val="000000"/>
                <w:kern w:val="0"/>
                <w:sz w:val="24"/>
                <w:szCs w:val="24"/>
              </w:rPr>
            </w:pPr>
            <w:r>
              <w:rPr>
                <w:rFonts w:hint="eastAsia" w:ascii="宋体" w:hAnsi="宋体" w:cs="宋体"/>
                <w:bCs/>
                <w:color w:val="000000"/>
                <w:sz w:val="24"/>
                <w:szCs w:val="24"/>
              </w:rPr>
              <w:t>综合布线</w:t>
            </w:r>
          </w:p>
        </w:tc>
        <w:tc>
          <w:tcPr>
            <w:tcW w:w="4922" w:type="dxa"/>
            <w:tcBorders>
              <w:top w:val="single" w:color="auto" w:sz="4" w:space="0"/>
              <w:left w:val="nil"/>
              <w:bottom w:val="single" w:color="auto" w:sz="4" w:space="0"/>
              <w:right w:val="single" w:color="auto" w:sz="4" w:space="0"/>
            </w:tcBorders>
            <w:shd w:val="clear" w:color="auto" w:fill="FFFFFF"/>
            <w:vAlign w:val="center"/>
          </w:tcPr>
          <w:p w14:paraId="5D95B3AA">
            <w:pPr>
              <w:jc w:val="center"/>
              <w:rPr>
                <w:rFonts w:ascii="宋体" w:hAnsi="宋体" w:cs="宋体"/>
                <w:bCs/>
                <w:color w:val="000000"/>
                <w:kern w:val="0"/>
                <w:sz w:val="24"/>
                <w:szCs w:val="24"/>
              </w:rPr>
            </w:pPr>
            <w:r>
              <w:rPr>
                <w:rFonts w:hint="eastAsia" w:ascii="宋体" w:hAnsi="宋体" w:cs="宋体"/>
                <w:bCs/>
                <w:color w:val="000000"/>
                <w:sz w:val="24"/>
                <w:szCs w:val="24"/>
              </w:rPr>
              <w:t>RS232接口转WiFi组件，支持9孔/9针转WiFi、25孔/25针转WiFi多种模式。</w:t>
            </w:r>
          </w:p>
        </w:tc>
        <w:tc>
          <w:tcPr>
            <w:tcW w:w="486" w:type="dxa"/>
            <w:tcBorders>
              <w:top w:val="single" w:color="auto" w:sz="4" w:space="0"/>
              <w:left w:val="nil"/>
              <w:bottom w:val="single" w:color="auto" w:sz="4" w:space="0"/>
              <w:right w:val="single" w:color="auto" w:sz="4" w:space="0"/>
            </w:tcBorders>
            <w:shd w:val="clear" w:color="auto" w:fill="FFFFFF"/>
            <w:vAlign w:val="center"/>
          </w:tcPr>
          <w:p w14:paraId="531A683C">
            <w:pPr>
              <w:jc w:val="center"/>
              <w:rPr>
                <w:rFonts w:ascii="宋体" w:hAnsi="宋体" w:cs="宋体"/>
                <w:bCs/>
                <w:color w:val="000000"/>
                <w:kern w:val="0"/>
                <w:sz w:val="24"/>
                <w:szCs w:val="24"/>
              </w:rPr>
            </w:pPr>
            <w:r>
              <w:rPr>
                <w:rFonts w:hint="eastAsia" w:ascii="宋体" w:hAnsi="宋体" w:cs="宋体"/>
                <w:bCs/>
                <w:color w:val="000000"/>
                <w:sz w:val="24"/>
                <w:szCs w:val="24"/>
              </w:rPr>
              <w:t>10</w:t>
            </w:r>
          </w:p>
        </w:tc>
        <w:tc>
          <w:tcPr>
            <w:tcW w:w="486" w:type="dxa"/>
            <w:tcBorders>
              <w:top w:val="single" w:color="auto" w:sz="4" w:space="0"/>
              <w:left w:val="nil"/>
              <w:bottom w:val="single" w:color="auto" w:sz="4" w:space="0"/>
              <w:right w:val="single" w:color="auto" w:sz="4" w:space="0"/>
            </w:tcBorders>
            <w:shd w:val="clear" w:color="auto" w:fill="FFFFFF"/>
            <w:vAlign w:val="center"/>
          </w:tcPr>
          <w:p w14:paraId="371D99B8">
            <w:pPr>
              <w:jc w:val="center"/>
              <w:rPr>
                <w:rFonts w:ascii="宋体" w:hAnsi="宋体" w:cs="宋体"/>
                <w:bCs/>
                <w:color w:val="000000"/>
                <w:kern w:val="0"/>
                <w:sz w:val="24"/>
                <w:szCs w:val="24"/>
              </w:rPr>
            </w:pPr>
            <w:r>
              <w:rPr>
                <w:rFonts w:hint="eastAsia" w:ascii="宋体" w:hAnsi="宋体" w:cs="宋体"/>
                <w:bCs/>
                <w:color w:val="000000"/>
                <w:kern w:val="0"/>
                <w:sz w:val="24"/>
                <w:szCs w:val="24"/>
              </w:rPr>
              <w:t>台</w:t>
            </w:r>
          </w:p>
        </w:tc>
      </w:tr>
    </w:tbl>
    <w:p w14:paraId="3CD48D7E">
      <w:pPr>
        <w:spacing w:line="360" w:lineRule="auto"/>
        <w:ind w:firstLine="482" w:firstLineChars="200"/>
        <w:rPr>
          <w:rFonts w:ascii="宋体" w:hAnsi="宋体" w:cs="宋体"/>
          <w:b/>
          <w:sz w:val="24"/>
          <w:szCs w:val="24"/>
        </w:rPr>
      </w:pPr>
    </w:p>
    <w:p w14:paraId="4144F1C4">
      <w:pPr>
        <w:numPr>
          <w:ilvl w:val="1"/>
          <w:numId w:val="1"/>
        </w:numPr>
        <w:spacing w:before="120" w:after="120" w:line="360" w:lineRule="auto"/>
        <w:ind w:firstLine="0"/>
        <w:outlineLvl w:val="1"/>
        <w:rPr>
          <w:rFonts w:ascii="宋体" w:hAnsi="宋体" w:cs="宋体"/>
          <w:b/>
          <w:bCs/>
          <w:color w:val="FF0000"/>
          <w:sz w:val="24"/>
          <w:szCs w:val="24"/>
        </w:rPr>
      </w:pPr>
      <w:r>
        <w:rPr>
          <w:rFonts w:hint="eastAsia" w:ascii="宋体" w:hAnsi="宋体" w:cs="宋体"/>
          <w:b/>
          <w:bCs/>
          <w:color w:val="FF0000"/>
          <w:sz w:val="24"/>
          <w:szCs w:val="24"/>
          <w:lang w:eastAsia="zh-CN"/>
        </w:rPr>
        <w:t>功能</w:t>
      </w:r>
      <w:r>
        <w:rPr>
          <w:rFonts w:hint="eastAsia" w:ascii="宋体" w:hAnsi="宋体" w:cs="宋体"/>
          <w:b/>
          <w:bCs/>
          <w:color w:val="FF0000"/>
          <w:sz w:val="24"/>
          <w:szCs w:val="24"/>
        </w:rPr>
        <w:t>要求</w:t>
      </w:r>
    </w:p>
    <w:p w14:paraId="0CFBC1A0">
      <w:pPr>
        <w:pStyle w:val="8"/>
        <w:ind w:firstLine="480"/>
        <w:rPr>
          <w:rFonts w:hint="eastAsia" w:ascii="宋体" w:hAnsi="宋体" w:eastAsia="宋体" w:cs="宋体"/>
          <w:color w:val="000000"/>
          <w:kern w:val="0"/>
          <w:szCs w:val="24"/>
        </w:rPr>
      </w:pPr>
      <w:r>
        <w:rPr>
          <w:rFonts w:hint="eastAsia" w:ascii="宋体" w:hAnsi="宋体" w:eastAsia="宋体" w:cs="宋体"/>
          <w:color w:val="000000"/>
          <w:kern w:val="0"/>
          <w:szCs w:val="24"/>
        </w:rPr>
        <w:t>（1）系统应为基于开源软件、国产商业化基础软件、国产中间件的集成系统。</w:t>
      </w:r>
    </w:p>
    <w:p w14:paraId="313FCD4D">
      <w:pPr>
        <w:pStyle w:val="8"/>
        <w:ind w:firstLine="482"/>
        <w:rPr>
          <w:rFonts w:hint="eastAsia" w:ascii="宋体" w:hAnsi="宋体" w:eastAsia="宋体" w:cs="宋体"/>
          <w:b w:val="0"/>
          <w:color w:val="000000"/>
          <w:kern w:val="0"/>
          <w:szCs w:val="24"/>
        </w:rPr>
      </w:pPr>
      <w:r>
        <w:rPr>
          <w:rFonts w:hint="eastAsia" w:ascii="宋体" w:hAnsi="宋体" w:eastAsia="宋体" w:cs="宋体"/>
          <w:b w:val="0"/>
          <w:color w:val="000000"/>
          <w:kern w:val="0"/>
          <w:szCs w:val="24"/>
        </w:rPr>
        <w:t>（2）系统兼容性高，应能在多操作系统下运行，至少应该包含Windows操作系统、Linux操作系统、Android操作系统、Mac OS操作系统、国产操作系统（如国产麒麟操作系统等），并提供支持国产信创操作系统环境运行的佐证材料；应支持多浏览器版本，至少应支持Edge（IE）、360、搜狗、火狐、谷歌等常用浏览器的最新版本。</w:t>
      </w:r>
    </w:p>
    <w:p w14:paraId="77B3C2F5">
      <w:pPr>
        <w:pStyle w:val="8"/>
        <w:ind w:firstLine="482"/>
        <w:rPr>
          <w:rFonts w:hint="eastAsia" w:ascii="宋体" w:hAnsi="宋体" w:eastAsia="宋体" w:cs="宋体"/>
          <w:b w:val="0"/>
          <w:color w:val="000000"/>
          <w:kern w:val="0"/>
          <w:szCs w:val="24"/>
        </w:rPr>
      </w:pPr>
      <w:r>
        <w:rPr>
          <w:rFonts w:hint="eastAsia" w:ascii="宋体" w:hAnsi="宋体" w:eastAsia="宋体" w:cs="宋体"/>
          <w:b w:val="0"/>
          <w:color w:val="000000"/>
          <w:kern w:val="0"/>
          <w:szCs w:val="24"/>
        </w:rPr>
        <w:t>（3）综合考虑国产化的需求及要求，系统须支持国家安可目录相关的产品及要求，包括但不限于操作系统、中间件、数据库，提供系统相关国产化适配证明材料。</w:t>
      </w:r>
    </w:p>
    <w:p w14:paraId="464B35DA">
      <w:pPr>
        <w:pStyle w:val="8"/>
        <w:ind w:firstLine="480"/>
        <w:rPr>
          <w:rFonts w:hint="eastAsia" w:ascii="宋体" w:hAnsi="宋体" w:eastAsia="宋体" w:cs="宋体"/>
          <w:color w:val="000000"/>
          <w:kern w:val="0"/>
          <w:szCs w:val="24"/>
        </w:rPr>
      </w:pPr>
      <w:r>
        <w:rPr>
          <w:rFonts w:hint="eastAsia" w:ascii="宋体" w:hAnsi="宋体" w:eastAsia="宋体" w:cs="宋体"/>
          <w:bCs w:val="0"/>
          <w:color w:val="000000"/>
          <w:kern w:val="0"/>
          <w:szCs w:val="24"/>
        </w:rPr>
        <w:t>（4）系统应采用目前流行的程序语言、B/S架构、采用可伸缩、高可用、高并发、高可靠的微服务架构，易于部署、升级。系统应提供良好的接口和完善的技术文档；高度配置化，方便项目交接，以简化后期的管理维护工作。支持Web Service或API二次接口方式，与其他信息系统实现实时数据对接。系统用户界面友好，易于学习和掌握；具有安全、可靠、可配置、可扩展以及良好的开放性。</w:t>
      </w:r>
    </w:p>
    <w:p w14:paraId="4E5DC7FB">
      <w:pPr>
        <w:pStyle w:val="8"/>
        <w:spacing w:after="163"/>
        <w:ind w:firstLine="482"/>
        <w:rPr>
          <w:rFonts w:hint="eastAsia" w:ascii="宋体" w:hAnsi="宋体" w:eastAsia="宋体" w:cs="宋体"/>
          <w:b w:val="0"/>
          <w:bCs w:val="0"/>
          <w:color w:val="000000"/>
          <w:kern w:val="0"/>
          <w:szCs w:val="24"/>
        </w:rPr>
      </w:pPr>
      <w:r>
        <w:rPr>
          <w:rFonts w:hint="eastAsia" w:ascii="宋体" w:hAnsi="宋体" w:eastAsia="宋体" w:cs="宋体"/>
          <w:b w:val="0"/>
          <w:bCs w:val="0"/>
          <w:color w:val="000000"/>
          <w:kern w:val="0"/>
          <w:szCs w:val="24"/>
        </w:rPr>
        <w:t>（5）系统须提供二次开发环境，提供功能强大的IDE开发环境，支持用户对系统进行二次开发，且二次开发环境与系统在同一个平台。</w:t>
      </w:r>
    </w:p>
    <w:p w14:paraId="7ECDD593">
      <w:pPr>
        <w:pStyle w:val="8"/>
        <w:spacing w:after="163"/>
        <w:ind w:firstLine="482"/>
        <w:rPr>
          <w:rFonts w:hint="eastAsia" w:ascii="宋体" w:hAnsi="宋体" w:eastAsia="宋体" w:cs="宋体"/>
          <w:b w:val="0"/>
          <w:bCs w:val="0"/>
          <w:color w:val="000000"/>
          <w:kern w:val="0"/>
          <w:szCs w:val="24"/>
        </w:rPr>
      </w:pPr>
      <w:r>
        <w:rPr>
          <w:rFonts w:hint="eastAsia" w:ascii="宋体" w:hAnsi="宋体" w:eastAsia="宋体" w:cs="宋体"/>
          <w:b w:val="0"/>
          <w:bCs w:val="0"/>
          <w:color w:val="000000"/>
          <w:kern w:val="0"/>
          <w:szCs w:val="24"/>
        </w:rPr>
        <w:t>（6）系统须提供图形化的业务流程配置工具，支持用户通过拖拽方式配置审核审批流程定义。</w:t>
      </w:r>
    </w:p>
    <w:p w14:paraId="39877019">
      <w:pPr>
        <w:pStyle w:val="8"/>
        <w:ind w:firstLine="480"/>
        <w:rPr>
          <w:rFonts w:hint="eastAsia" w:ascii="宋体" w:hAnsi="宋体" w:eastAsia="宋体" w:cs="宋体"/>
          <w:color w:val="000000"/>
          <w:kern w:val="0"/>
          <w:szCs w:val="24"/>
        </w:rPr>
      </w:pPr>
      <w:r>
        <w:rPr>
          <w:rFonts w:hint="eastAsia" w:ascii="宋体" w:hAnsi="宋体" w:eastAsia="宋体" w:cs="宋体"/>
          <w:color w:val="000000"/>
          <w:kern w:val="0"/>
          <w:szCs w:val="24"/>
        </w:rPr>
        <w:t>（7）系统应具有容错能力，对数据库写入失败应具有数据恢复功能。对某些关键字段的输入要具有校验功能，具备检验记忆功能，对原有数据可进行检索调用。</w:t>
      </w:r>
    </w:p>
    <w:p w14:paraId="1BE44720">
      <w:pPr>
        <w:pStyle w:val="8"/>
        <w:ind w:firstLine="480"/>
        <w:rPr>
          <w:rFonts w:hint="eastAsia" w:ascii="宋体" w:hAnsi="宋体" w:eastAsia="宋体" w:cs="宋体"/>
          <w:color w:val="000000"/>
          <w:kern w:val="0"/>
          <w:szCs w:val="24"/>
        </w:rPr>
      </w:pPr>
      <w:r>
        <w:rPr>
          <w:rFonts w:hint="eastAsia" w:ascii="宋体" w:hAnsi="宋体" w:eastAsia="宋体" w:cs="宋体"/>
          <w:color w:val="000000"/>
          <w:kern w:val="0"/>
          <w:szCs w:val="24"/>
        </w:rPr>
        <w:t>（8）系统应具备客户服务子系统相关功能：包括检务信息公开、客户注册与登录、网上委托服务、分包确认、缴费管理、开票管理、智能客服咨询、便捷进度查询、服务消息推送、报告跟踪/下载、满意度评价管理、报告真伪查询、增值数据服务等功能。</w:t>
      </w:r>
    </w:p>
    <w:p w14:paraId="1F895A83">
      <w:pPr>
        <w:pStyle w:val="8"/>
        <w:ind w:firstLine="480"/>
        <w:rPr>
          <w:rFonts w:hint="eastAsia" w:ascii="宋体" w:hAnsi="宋体" w:eastAsia="宋体" w:cs="宋体"/>
          <w:color w:val="000000"/>
          <w:kern w:val="0"/>
          <w:szCs w:val="24"/>
        </w:rPr>
      </w:pPr>
      <w:r>
        <w:rPr>
          <w:rFonts w:hint="eastAsia" w:ascii="宋体" w:hAnsi="宋体" w:eastAsia="宋体" w:cs="宋体"/>
          <w:color w:val="000000"/>
          <w:kern w:val="0"/>
          <w:szCs w:val="24"/>
        </w:rPr>
        <w:t>（9）系统应具备CRM管理相关功能：包括客户管理、合同管理、财务管理以及支持客户信息、合同信息、收费信息的查询和统计。</w:t>
      </w:r>
    </w:p>
    <w:p w14:paraId="73621CCB">
      <w:pPr>
        <w:pStyle w:val="8"/>
        <w:ind w:firstLine="480"/>
        <w:rPr>
          <w:rFonts w:hint="eastAsia" w:ascii="宋体" w:hAnsi="宋体" w:eastAsia="宋体" w:cs="宋体"/>
          <w:color w:val="000000"/>
          <w:kern w:val="0"/>
          <w:szCs w:val="24"/>
        </w:rPr>
      </w:pPr>
      <w:r>
        <w:rPr>
          <w:rFonts w:hint="eastAsia" w:ascii="宋体" w:hAnsi="宋体" w:eastAsia="宋体" w:cs="宋体"/>
          <w:color w:val="000000"/>
          <w:kern w:val="0"/>
          <w:szCs w:val="24"/>
        </w:rPr>
        <w:t>（10）系统应具备实验室检验检测业务主流程管理：包括业务受理、现场缴费管理、检品及留样管理、制样管理、检验任务分配与接收、分析测试管理、记录校对与审核、报告编制、报告审核与签发、报告盖章与发放、报告归档管理、检验变更管理、检验时限管理、数据审计和追溯、分包流程管理等功能。</w:t>
      </w:r>
    </w:p>
    <w:p w14:paraId="15F78359">
      <w:pPr>
        <w:pStyle w:val="8"/>
        <w:ind w:firstLine="480"/>
        <w:rPr>
          <w:rFonts w:hint="eastAsia" w:ascii="宋体" w:hAnsi="宋体" w:eastAsia="宋体" w:cs="宋体"/>
          <w:color w:val="000000"/>
          <w:kern w:val="0"/>
          <w:szCs w:val="24"/>
        </w:rPr>
      </w:pPr>
      <w:r>
        <w:rPr>
          <w:rFonts w:hint="eastAsia" w:ascii="宋体" w:hAnsi="宋体" w:eastAsia="宋体" w:cs="宋体"/>
          <w:color w:val="000000"/>
          <w:kern w:val="0"/>
          <w:szCs w:val="24"/>
        </w:rPr>
        <w:t>（11）系统应具备样品全生命周期管理功能:包括样品接收、样品出入库、样品流转、留/退样管理、留样有效期配置和到期提醒、样品销毁、样品查询等功能。</w:t>
      </w:r>
    </w:p>
    <w:p w14:paraId="53769A83">
      <w:pPr>
        <w:pStyle w:val="8"/>
        <w:ind w:firstLine="482"/>
        <w:rPr>
          <w:rFonts w:hint="eastAsia" w:ascii="宋体" w:hAnsi="宋体" w:eastAsia="宋体" w:cs="宋体"/>
          <w:b w:val="0"/>
          <w:color w:val="000000"/>
          <w:kern w:val="0"/>
          <w:szCs w:val="24"/>
        </w:rPr>
      </w:pPr>
      <w:r>
        <w:rPr>
          <w:rFonts w:hint="eastAsia" w:ascii="宋体" w:hAnsi="宋体" w:eastAsia="宋体" w:cs="宋体"/>
          <w:b w:val="0"/>
          <w:color w:val="000000"/>
          <w:kern w:val="0"/>
          <w:szCs w:val="24"/>
        </w:rPr>
        <w:t>（12）系统应支持仪器采集功能，能够实现具有标准输出接口分析仪器的自动采集，采集PDF、Excel、Txt、串口等多种格式的仪器输出数据。支持使用区块链等技术实现保证采集数据的完整不可篡改性和溯源；支持可视化的谱图解析，可将检验结果谱图文件解析为系统可识别的结构化数据文件。</w:t>
      </w:r>
    </w:p>
    <w:p w14:paraId="081281BD">
      <w:pPr>
        <w:pStyle w:val="8"/>
        <w:ind w:firstLine="482"/>
        <w:rPr>
          <w:rFonts w:hint="eastAsia" w:ascii="宋体" w:hAnsi="宋体" w:eastAsia="宋体" w:cs="宋体"/>
          <w:b w:val="0"/>
          <w:color w:val="000000"/>
          <w:kern w:val="0"/>
          <w:szCs w:val="24"/>
        </w:rPr>
      </w:pPr>
      <w:r>
        <w:rPr>
          <w:rFonts w:hint="eastAsia" w:ascii="宋体" w:hAnsi="宋体" w:eastAsia="宋体" w:cs="宋体"/>
          <w:b w:val="0"/>
          <w:color w:val="000000"/>
          <w:kern w:val="0"/>
          <w:szCs w:val="24"/>
        </w:rPr>
        <w:t>（13）系统应支持实验室电子实验记录本（ELN）功能，电子实验记录本（ELN）功能应支持全中文操作，操作简单方便，易于掌握；并且需与LIMS系统在同一个软件平台上实现，支持安卓移动端设备调用。支持通用计算及修约函数的使用，支持自定义修约函数开发和定制。</w:t>
      </w:r>
    </w:p>
    <w:p w14:paraId="4907E396">
      <w:pPr>
        <w:pStyle w:val="8"/>
        <w:ind w:firstLine="480"/>
        <w:rPr>
          <w:rFonts w:hint="eastAsia" w:ascii="宋体" w:hAnsi="宋体" w:eastAsia="宋体" w:cs="宋体"/>
          <w:color w:val="000000"/>
          <w:kern w:val="0"/>
          <w:szCs w:val="24"/>
        </w:rPr>
      </w:pPr>
      <w:r>
        <w:rPr>
          <w:rFonts w:hint="eastAsia" w:ascii="宋体" w:hAnsi="宋体" w:eastAsia="宋体" w:cs="宋体"/>
          <w:color w:val="000000"/>
          <w:kern w:val="0"/>
          <w:szCs w:val="24"/>
        </w:rPr>
        <w:t>（14）系统应具备现场检测移动应用模块:包括现场采样/检测、悬浮粒子检测、微生物培养、现场检测电子原始记录、现场检测结果审核等功能。</w:t>
      </w:r>
    </w:p>
    <w:p w14:paraId="4EB2C69C">
      <w:pPr>
        <w:pStyle w:val="8"/>
        <w:ind w:firstLine="480"/>
        <w:rPr>
          <w:rFonts w:hint="eastAsia" w:ascii="宋体" w:hAnsi="宋体" w:eastAsia="宋体" w:cs="宋体"/>
          <w:color w:val="000000"/>
          <w:kern w:val="0"/>
          <w:szCs w:val="24"/>
        </w:rPr>
      </w:pPr>
      <w:r>
        <w:rPr>
          <w:rFonts w:hint="eastAsia" w:ascii="宋体" w:hAnsi="宋体" w:eastAsia="宋体" w:cs="宋体"/>
          <w:color w:val="000000"/>
          <w:kern w:val="0"/>
          <w:szCs w:val="24"/>
        </w:rPr>
        <w:t>（15）系统应具备实验室资源管理功能，包括人员管理、仪器设备全生命周期管理、检测物资采购管理、试剂耗材管理、标准物质管理、标准溶液配置管理、培养基管理、检测项目管理、检验方法依据管理、评价标准管理、环境管理、供应商管理、分包商管理等功能。</w:t>
      </w:r>
    </w:p>
    <w:p w14:paraId="3B7A35B3">
      <w:pPr>
        <w:pStyle w:val="8"/>
        <w:ind w:firstLine="480"/>
        <w:rPr>
          <w:rFonts w:hint="eastAsia" w:ascii="宋体" w:hAnsi="宋体" w:eastAsia="宋体" w:cs="宋体"/>
          <w:color w:val="000000"/>
          <w:kern w:val="0"/>
          <w:szCs w:val="24"/>
        </w:rPr>
      </w:pPr>
      <w:r>
        <w:rPr>
          <w:rFonts w:hint="eastAsia" w:ascii="宋体" w:hAnsi="宋体" w:eastAsia="宋体" w:cs="宋体"/>
          <w:color w:val="000000"/>
          <w:kern w:val="0"/>
          <w:szCs w:val="24"/>
        </w:rPr>
        <w:t>（16）系统应具备实验室生物安全管理模块，包括受控实验室出入管理、菌(毒)种管理、毒理试验方案管理、动物采购管理、动物验收管理、动物检疫管理、饲料/垫料管理、消毒记录管理、动物处置管理、危险材料运输管理、生物安全设备管理、应急演练管理、事故报告管理等功能。</w:t>
      </w:r>
    </w:p>
    <w:p w14:paraId="5A6AE480">
      <w:pPr>
        <w:pStyle w:val="8"/>
        <w:ind w:firstLine="480"/>
        <w:rPr>
          <w:rFonts w:hint="eastAsia" w:ascii="宋体" w:hAnsi="宋体" w:eastAsia="宋体" w:cs="宋体"/>
          <w:bCs w:val="0"/>
          <w:color w:val="000000"/>
          <w:kern w:val="0"/>
          <w:szCs w:val="24"/>
        </w:rPr>
      </w:pPr>
      <w:r>
        <w:rPr>
          <w:rFonts w:hint="eastAsia" w:ascii="宋体" w:hAnsi="宋体" w:eastAsia="宋体" w:cs="宋体"/>
          <w:bCs w:val="0"/>
          <w:color w:val="000000"/>
          <w:kern w:val="0"/>
          <w:szCs w:val="24"/>
        </w:rPr>
        <w:t>（17）系统应具备标准数据管理模块，如标准查阅、指标值查阅、标准查新、标准比对、双平台应用实现等功能。</w:t>
      </w:r>
    </w:p>
    <w:p w14:paraId="51CCDF7C">
      <w:pPr>
        <w:pStyle w:val="8"/>
        <w:ind w:firstLine="480"/>
        <w:rPr>
          <w:rFonts w:hint="eastAsia" w:ascii="宋体" w:hAnsi="宋体" w:eastAsia="宋体" w:cs="宋体"/>
          <w:color w:val="000000"/>
          <w:kern w:val="0"/>
          <w:szCs w:val="24"/>
        </w:rPr>
      </w:pPr>
      <w:r>
        <w:rPr>
          <w:rFonts w:hint="eastAsia" w:ascii="宋体" w:hAnsi="宋体" w:eastAsia="宋体" w:cs="宋体"/>
          <w:color w:val="000000"/>
          <w:kern w:val="0"/>
          <w:szCs w:val="24"/>
        </w:rPr>
        <w:t>（18）系统应具备数据应用与挖掘相关功能，如业务数据自主查询、运营统计多维分析、可视化数据驾驶舱、质控趋势分析、高风险产品预警、检测项目高风险预警、智慧监测、风险预警等功能。</w:t>
      </w:r>
    </w:p>
    <w:p w14:paraId="3BA681D9">
      <w:pPr>
        <w:pStyle w:val="8"/>
        <w:ind w:firstLine="480"/>
        <w:rPr>
          <w:rFonts w:hint="eastAsia" w:ascii="宋体" w:hAnsi="宋体" w:eastAsia="宋体" w:cs="宋体"/>
          <w:color w:val="000000"/>
          <w:kern w:val="0"/>
          <w:szCs w:val="24"/>
        </w:rPr>
      </w:pPr>
      <w:r>
        <w:rPr>
          <w:rFonts w:hint="eastAsia" w:ascii="宋体" w:hAnsi="宋体" w:eastAsia="宋体" w:cs="宋体"/>
          <w:color w:val="000000"/>
          <w:kern w:val="0"/>
          <w:szCs w:val="24"/>
        </w:rPr>
        <w:t>（19）系统应实现常用接口管理和对接：包括对接药品国抽系统、对接上海市药监局系统、对接财务系统、对接CA电子签章系统、对接物流平台等。</w:t>
      </w:r>
    </w:p>
    <w:p w14:paraId="7DD02796">
      <w:pPr>
        <w:pStyle w:val="8"/>
        <w:ind w:firstLine="480"/>
        <w:rPr>
          <w:rFonts w:hint="eastAsia" w:ascii="宋体" w:hAnsi="宋体" w:eastAsia="宋体" w:cs="宋体"/>
          <w:color w:val="000000"/>
          <w:kern w:val="0"/>
          <w:szCs w:val="24"/>
        </w:rPr>
      </w:pPr>
      <w:r>
        <w:rPr>
          <w:rFonts w:hint="eastAsia" w:ascii="宋体" w:hAnsi="宋体" w:eastAsia="宋体" w:cs="宋体"/>
          <w:color w:val="000000"/>
          <w:kern w:val="0"/>
          <w:szCs w:val="24"/>
        </w:rPr>
        <w:t>（20）系统应具备用户安全认证功能，包括用户身份认证机制模块、用户访问权限信息控制模块、用户电子签名验签模块。登录的用户信息通过系统的校验后，匹配对应的菜单权限、签名权限等，为检验检测流程提供便捷性和安全性。</w:t>
      </w:r>
    </w:p>
    <w:p w14:paraId="358BA9D1">
      <w:pPr>
        <w:pStyle w:val="8"/>
        <w:ind w:firstLine="480"/>
        <w:rPr>
          <w:rFonts w:hint="eastAsia" w:ascii="宋体" w:hAnsi="宋体" w:eastAsia="宋体" w:cs="宋体"/>
          <w:color w:val="000000"/>
          <w:kern w:val="0"/>
          <w:szCs w:val="24"/>
        </w:rPr>
      </w:pPr>
      <w:r>
        <w:rPr>
          <w:rFonts w:hint="eastAsia" w:ascii="宋体" w:hAnsi="宋体" w:eastAsia="宋体" w:cs="宋体"/>
          <w:b w:val="0"/>
          <w:bCs w:val="0"/>
          <w:color w:val="000000"/>
          <w:kern w:val="0"/>
          <w:szCs w:val="24"/>
        </w:rPr>
        <w:t>（21）系统应支持产品技术要求自动解析功能，根据企业提供的WORD或PDF版产品技术要求解析出结构化的检验项目。</w:t>
      </w:r>
    </w:p>
    <w:p w14:paraId="49FE885F">
      <w:pPr>
        <w:pStyle w:val="8"/>
        <w:ind w:firstLine="480"/>
        <w:rPr>
          <w:rFonts w:hint="eastAsia" w:ascii="宋体" w:hAnsi="宋体" w:eastAsia="宋体" w:cs="宋体"/>
          <w:color w:val="000000"/>
          <w:kern w:val="0"/>
          <w:szCs w:val="24"/>
        </w:rPr>
      </w:pPr>
      <w:r>
        <w:rPr>
          <w:rFonts w:hint="eastAsia" w:ascii="宋体" w:hAnsi="宋体" w:eastAsia="宋体" w:cs="宋体"/>
          <w:color w:val="000000"/>
          <w:kern w:val="0"/>
          <w:szCs w:val="24"/>
        </w:rPr>
        <w:t>（22）运维服务：服务响应时间快，在保修期内能提供7*24小时免费服务。</w:t>
      </w:r>
    </w:p>
    <w:p w14:paraId="44C28F5C">
      <w:pPr>
        <w:pStyle w:val="3"/>
      </w:pPr>
    </w:p>
    <w:p w14:paraId="77029702">
      <w:pPr>
        <w:numPr>
          <w:ilvl w:val="0"/>
          <w:numId w:val="1"/>
        </w:numPr>
        <w:spacing w:before="120" w:after="120" w:line="360" w:lineRule="auto"/>
        <w:ind w:firstLine="0"/>
        <w:outlineLvl w:val="0"/>
        <w:rPr>
          <w:rFonts w:ascii="宋体" w:hAnsi="宋体" w:cs="宋体"/>
          <w:b/>
          <w:bCs/>
          <w:kern w:val="44"/>
          <w:sz w:val="24"/>
          <w:szCs w:val="24"/>
        </w:rPr>
      </w:pPr>
      <w:bookmarkStart w:id="15" w:name="_Toc63785502"/>
      <w:r>
        <w:rPr>
          <w:rFonts w:hint="eastAsia" w:ascii="宋体" w:hAnsi="宋体" w:cs="宋体"/>
          <w:b/>
          <w:bCs/>
          <w:kern w:val="44"/>
          <w:sz w:val="24"/>
          <w:szCs w:val="24"/>
        </w:rPr>
        <w:t>电子政务云资源需求</w:t>
      </w:r>
      <w:bookmarkEnd w:id="15"/>
    </w:p>
    <w:p w14:paraId="396818B8">
      <w:pPr>
        <w:spacing w:line="360" w:lineRule="auto"/>
        <w:ind w:firstLine="480" w:firstLineChars="200"/>
        <w:rPr>
          <w:rFonts w:ascii="宋体" w:hAnsi="宋体" w:cs="宋体"/>
          <w:sz w:val="24"/>
          <w:szCs w:val="24"/>
        </w:rPr>
      </w:pPr>
      <w:bookmarkStart w:id="16" w:name="_Toc63785503"/>
      <w:r>
        <w:rPr>
          <w:rFonts w:hint="eastAsia" w:ascii="宋体" w:hAnsi="宋体" w:cs="宋体"/>
          <w:sz w:val="24"/>
          <w:szCs w:val="24"/>
        </w:rPr>
        <w:t>根据项目前期资源现状，本次建设根据估算拟向电子政务云申请6台虚拟服务器，资源CPU56核 、内存224G、存储6.5T。</w:t>
      </w:r>
    </w:p>
    <w:bookmarkEnd w:id="16"/>
    <w:p w14:paraId="69892162">
      <w:pPr>
        <w:numPr>
          <w:ilvl w:val="0"/>
          <w:numId w:val="1"/>
        </w:numPr>
        <w:spacing w:before="120" w:after="120" w:line="360" w:lineRule="auto"/>
        <w:ind w:firstLine="0"/>
        <w:outlineLvl w:val="0"/>
        <w:rPr>
          <w:rFonts w:ascii="宋体" w:hAnsi="宋体" w:cs="宋体"/>
          <w:b/>
          <w:bCs/>
          <w:kern w:val="44"/>
          <w:sz w:val="24"/>
          <w:szCs w:val="24"/>
        </w:rPr>
      </w:pPr>
      <w:bookmarkStart w:id="17" w:name="_Toc63785512"/>
      <w:r>
        <w:rPr>
          <w:rFonts w:hint="eastAsia" w:ascii="宋体" w:hAnsi="宋体" w:cs="宋体"/>
          <w:b/>
          <w:bCs/>
          <w:kern w:val="44"/>
          <w:sz w:val="24"/>
          <w:szCs w:val="24"/>
        </w:rPr>
        <w:t>其他工作要求</w:t>
      </w:r>
    </w:p>
    <w:p w14:paraId="4CD2A4F0">
      <w:pPr>
        <w:numPr>
          <w:ilvl w:val="1"/>
          <w:numId w:val="1"/>
        </w:numPr>
        <w:spacing w:before="120" w:after="120" w:line="360" w:lineRule="auto"/>
        <w:ind w:firstLine="0"/>
        <w:outlineLvl w:val="1"/>
        <w:rPr>
          <w:rFonts w:ascii="宋体" w:hAnsi="宋体" w:cs="宋体"/>
          <w:b/>
          <w:bCs/>
          <w:sz w:val="24"/>
          <w:szCs w:val="24"/>
        </w:rPr>
      </w:pPr>
      <w:bookmarkStart w:id="18" w:name="_Toc61968111"/>
      <w:bookmarkEnd w:id="18"/>
      <w:bookmarkStart w:id="19" w:name="_Toc63151871"/>
      <w:bookmarkEnd w:id="19"/>
      <w:bookmarkStart w:id="20" w:name="_Toc63785439"/>
      <w:bookmarkEnd w:id="20"/>
      <w:bookmarkStart w:id="21" w:name="_Toc63585480"/>
      <w:bookmarkEnd w:id="21"/>
      <w:bookmarkStart w:id="22" w:name="_Toc63785504"/>
      <w:bookmarkEnd w:id="22"/>
      <w:bookmarkStart w:id="23" w:name="_Toc62209488"/>
      <w:bookmarkEnd w:id="23"/>
      <w:bookmarkStart w:id="24" w:name="_Toc63762370"/>
      <w:bookmarkEnd w:id="24"/>
      <w:bookmarkStart w:id="25" w:name="_Toc62219358"/>
      <w:bookmarkEnd w:id="25"/>
      <w:bookmarkStart w:id="26" w:name="_Toc63785505"/>
      <w:r>
        <w:rPr>
          <w:rFonts w:hint="eastAsia" w:ascii="宋体" w:hAnsi="宋体" w:cs="宋体"/>
          <w:b/>
          <w:bCs/>
          <w:sz w:val="24"/>
          <w:szCs w:val="24"/>
        </w:rPr>
        <w:t>售后服务要求</w:t>
      </w:r>
      <w:bookmarkEnd w:id="26"/>
    </w:p>
    <w:p w14:paraId="480E5A16">
      <w:pPr>
        <w:spacing w:line="360" w:lineRule="auto"/>
        <w:ind w:firstLine="480" w:firstLineChars="200"/>
        <w:rPr>
          <w:rFonts w:ascii="宋体" w:hAnsi="宋体" w:cs="宋体"/>
          <w:sz w:val="24"/>
          <w:szCs w:val="24"/>
        </w:rPr>
      </w:pPr>
      <w:r>
        <w:rPr>
          <w:rFonts w:hint="eastAsia" w:ascii="宋体" w:hAnsi="宋体" w:cs="宋体"/>
          <w:sz w:val="24"/>
          <w:szCs w:val="24"/>
        </w:rPr>
        <w:t>本项目从系统验收通过之日起1年内提供7*24小时免费技术支持和售后服务，1年后进入有偿维护期。</w:t>
      </w:r>
    </w:p>
    <w:p w14:paraId="69A2E218">
      <w:pPr>
        <w:spacing w:line="360" w:lineRule="auto"/>
        <w:ind w:firstLine="480" w:firstLineChars="200"/>
        <w:rPr>
          <w:rFonts w:ascii="宋体" w:hAnsi="宋体" w:cs="宋体"/>
          <w:sz w:val="24"/>
          <w:szCs w:val="24"/>
        </w:rPr>
      </w:pPr>
      <w:r>
        <w:rPr>
          <w:rFonts w:hint="eastAsia" w:ascii="宋体" w:hAnsi="宋体" w:cs="宋体"/>
          <w:sz w:val="24"/>
          <w:szCs w:val="24"/>
        </w:rPr>
        <w:t>在质量保证期内，供应商将按照售后服务的承诺提供保修和运行维护服务，如果厂商对信息系统中软、硬件设备等产品中的部分保修期超过上述期限的，则按照厂商的规定进行免费保修。</w:t>
      </w:r>
    </w:p>
    <w:p w14:paraId="28C8A656">
      <w:pPr>
        <w:spacing w:line="360" w:lineRule="auto"/>
        <w:ind w:firstLine="480" w:firstLineChars="200"/>
        <w:rPr>
          <w:rFonts w:ascii="宋体" w:hAnsi="宋体" w:cs="宋体"/>
          <w:sz w:val="24"/>
          <w:szCs w:val="24"/>
        </w:rPr>
      </w:pPr>
      <w:r>
        <w:rPr>
          <w:rFonts w:hint="eastAsia" w:ascii="宋体" w:hAnsi="宋体" w:cs="宋体"/>
          <w:sz w:val="24"/>
          <w:szCs w:val="24"/>
        </w:rPr>
        <w:t>在质量保证期内，供应商负责信息系统的运行维护工作，确保信息系统安全、稳定、可靠地运行。本项目涉及的运行维护工作范围为：系统定期巡检、系统安全补丁升级、系统和应用漏洞修复、Bug修复、功能优化。</w:t>
      </w:r>
    </w:p>
    <w:p w14:paraId="34A1EF22">
      <w:pPr>
        <w:numPr>
          <w:ilvl w:val="1"/>
          <w:numId w:val="1"/>
        </w:numPr>
        <w:spacing w:before="120" w:after="120" w:line="360" w:lineRule="auto"/>
        <w:ind w:firstLine="0"/>
        <w:outlineLvl w:val="1"/>
        <w:rPr>
          <w:rFonts w:ascii="宋体" w:hAnsi="宋体" w:cs="宋体"/>
          <w:b/>
          <w:bCs/>
          <w:sz w:val="24"/>
          <w:szCs w:val="24"/>
        </w:rPr>
      </w:pPr>
      <w:bookmarkStart w:id="27" w:name="_Toc63785506"/>
      <w:r>
        <w:rPr>
          <w:rFonts w:hint="eastAsia" w:ascii="宋体" w:hAnsi="宋体" w:cs="宋体"/>
          <w:b/>
          <w:bCs/>
          <w:sz w:val="24"/>
          <w:szCs w:val="24"/>
        </w:rPr>
        <w:t>应急响应要求</w:t>
      </w:r>
      <w:bookmarkEnd w:id="27"/>
    </w:p>
    <w:p w14:paraId="435FC68A">
      <w:pPr>
        <w:spacing w:line="360" w:lineRule="auto"/>
        <w:ind w:firstLine="480" w:firstLineChars="200"/>
        <w:rPr>
          <w:rFonts w:ascii="宋体" w:hAnsi="宋体" w:cs="宋体"/>
          <w:sz w:val="24"/>
          <w:szCs w:val="24"/>
        </w:rPr>
      </w:pPr>
      <w:r>
        <w:rPr>
          <w:rFonts w:hint="eastAsia" w:ascii="宋体" w:hAnsi="宋体" w:cs="宋体"/>
          <w:sz w:val="24"/>
          <w:szCs w:val="24"/>
        </w:rPr>
        <w:t>供应商对系统故障应能够实时响应，若系统发生故障，接到通知后30分钟之内响应，专业工程师2小时内到达现场。特殊故障与客户沟通协商后，按照协商的方式制定解决方案并进行处理。</w:t>
      </w:r>
    </w:p>
    <w:p w14:paraId="4C507825">
      <w:pPr>
        <w:spacing w:line="360" w:lineRule="auto"/>
        <w:ind w:firstLine="480" w:firstLineChars="200"/>
        <w:rPr>
          <w:rFonts w:ascii="宋体" w:hAnsi="宋体" w:cs="宋体"/>
          <w:sz w:val="24"/>
          <w:szCs w:val="24"/>
        </w:rPr>
      </w:pPr>
      <w:r>
        <w:rPr>
          <w:rFonts w:hint="eastAsia" w:ascii="宋体" w:hAnsi="宋体" w:cs="宋体"/>
          <w:sz w:val="24"/>
          <w:szCs w:val="24"/>
        </w:rPr>
        <w:t>具体故障级别及对应的应急响应要求如下：</w:t>
      </w:r>
    </w:p>
    <w:p w14:paraId="461DFF61">
      <w:pPr>
        <w:spacing w:line="360" w:lineRule="auto"/>
        <w:ind w:firstLine="480" w:firstLineChars="200"/>
        <w:rPr>
          <w:rFonts w:ascii="宋体" w:hAnsi="宋体" w:cs="宋体"/>
          <w:sz w:val="24"/>
          <w:szCs w:val="24"/>
        </w:rPr>
      </w:pPr>
      <w:r>
        <w:rPr>
          <w:rFonts w:hint="eastAsia" w:ascii="宋体" w:hAnsi="宋体" w:cs="宋体"/>
          <w:sz w:val="24"/>
          <w:szCs w:val="24"/>
        </w:rPr>
        <w:t>一级故障：在1小时内确诊，总故障解决时间不超过4小时。</w:t>
      </w:r>
    </w:p>
    <w:p w14:paraId="07DB0136">
      <w:pPr>
        <w:spacing w:line="360" w:lineRule="auto"/>
        <w:ind w:firstLine="480" w:firstLineChars="200"/>
        <w:rPr>
          <w:rFonts w:ascii="宋体" w:hAnsi="宋体" w:cs="宋体"/>
          <w:sz w:val="24"/>
          <w:szCs w:val="24"/>
        </w:rPr>
      </w:pPr>
      <w:r>
        <w:rPr>
          <w:rFonts w:hint="eastAsia" w:ascii="宋体" w:hAnsi="宋体" w:cs="宋体"/>
          <w:sz w:val="24"/>
          <w:szCs w:val="24"/>
        </w:rPr>
        <w:t>二级故障：在2小时内确诊，并在4小时内由专家到达现场确诊并解决，总故障解决时间不超过8小时；</w:t>
      </w:r>
    </w:p>
    <w:p w14:paraId="77CA2757">
      <w:pPr>
        <w:spacing w:line="360" w:lineRule="auto"/>
        <w:ind w:firstLine="480" w:firstLineChars="200"/>
        <w:rPr>
          <w:rFonts w:ascii="宋体" w:hAnsi="宋体" w:cs="宋体"/>
          <w:sz w:val="24"/>
          <w:szCs w:val="24"/>
        </w:rPr>
      </w:pPr>
      <w:r>
        <w:rPr>
          <w:rFonts w:hint="eastAsia" w:ascii="宋体" w:hAnsi="宋体" w:cs="宋体"/>
          <w:sz w:val="24"/>
          <w:szCs w:val="24"/>
        </w:rPr>
        <w:t>三、四级故障：在4小时内确诊故障，总故障解决时间不超过16小时。</w:t>
      </w:r>
    </w:p>
    <w:p w14:paraId="215433B0">
      <w:pPr>
        <w:numPr>
          <w:ilvl w:val="1"/>
          <w:numId w:val="1"/>
        </w:numPr>
        <w:spacing w:before="120" w:after="120" w:line="360" w:lineRule="auto"/>
        <w:ind w:firstLine="0"/>
        <w:outlineLvl w:val="1"/>
        <w:rPr>
          <w:rFonts w:ascii="宋体" w:hAnsi="宋体" w:cs="宋体"/>
          <w:b/>
          <w:bCs/>
          <w:sz w:val="24"/>
          <w:szCs w:val="24"/>
        </w:rPr>
      </w:pPr>
      <w:bookmarkStart w:id="28" w:name="_Toc63785507"/>
      <w:r>
        <w:rPr>
          <w:rFonts w:hint="eastAsia" w:ascii="宋体" w:hAnsi="宋体" w:cs="宋体"/>
          <w:b/>
          <w:bCs/>
          <w:sz w:val="24"/>
          <w:szCs w:val="24"/>
        </w:rPr>
        <w:t>培训要求</w:t>
      </w:r>
      <w:bookmarkEnd w:id="28"/>
    </w:p>
    <w:p w14:paraId="364F9CD0">
      <w:pPr>
        <w:spacing w:line="360" w:lineRule="auto"/>
        <w:ind w:firstLine="480" w:firstLineChars="200"/>
        <w:rPr>
          <w:rFonts w:ascii="宋体" w:hAnsi="宋体" w:cs="宋体"/>
          <w:sz w:val="24"/>
          <w:szCs w:val="24"/>
        </w:rPr>
      </w:pPr>
      <w:r>
        <w:rPr>
          <w:rFonts w:hint="eastAsia" w:ascii="宋体" w:hAnsi="宋体" w:cs="宋体"/>
          <w:sz w:val="24"/>
          <w:szCs w:val="24"/>
        </w:rPr>
        <w:t>对系统使用单位提供业务操作培训，应提供详细培训方案。</w:t>
      </w:r>
    </w:p>
    <w:p w14:paraId="273FA20B">
      <w:pPr>
        <w:spacing w:line="360" w:lineRule="auto"/>
        <w:ind w:firstLine="480" w:firstLineChars="200"/>
        <w:rPr>
          <w:rFonts w:ascii="宋体" w:hAnsi="宋体" w:cs="宋体"/>
          <w:sz w:val="24"/>
          <w:szCs w:val="24"/>
        </w:rPr>
      </w:pPr>
      <w:r>
        <w:rPr>
          <w:rFonts w:hint="eastAsia" w:ascii="宋体" w:hAnsi="宋体" w:cs="宋体"/>
          <w:sz w:val="24"/>
          <w:szCs w:val="24"/>
        </w:rPr>
        <w:t>(1)在12个月的质量保证期内，提供2次与项目相关的必要培训。</w:t>
      </w:r>
    </w:p>
    <w:p w14:paraId="4F38489A">
      <w:pPr>
        <w:spacing w:line="360" w:lineRule="auto"/>
        <w:ind w:firstLine="480" w:firstLineChars="200"/>
        <w:rPr>
          <w:rFonts w:ascii="宋体" w:hAnsi="宋体" w:cs="宋体"/>
          <w:sz w:val="24"/>
          <w:szCs w:val="24"/>
        </w:rPr>
      </w:pPr>
      <w:r>
        <w:rPr>
          <w:rFonts w:hint="eastAsia" w:ascii="宋体" w:hAnsi="宋体" w:cs="宋体"/>
          <w:sz w:val="24"/>
          <w:szCs w:val="24"/>
        </w:rPr>
        <w:t>(2)供应商需要开展分层次的人员培训工作，每次培训后应对参加培训人员进行测试，评估培训成果。培训应具有培训教材、培训环境和高水平的培训讲师。</w:t>
      </w:r>
    </w:p>
    <w:p w14:paraId="3D461629">
      <w:pPr>
        <w:spacing w:line="360" w:lineRule="auto"/>
        <w:ind w:firstLine="480" w:firstLineChars="200"/>
        <w:rPr>
          <w:rFonts w:ascii="宋体" w:hAnsi="宋体" w:cs="宋体"/>
          <w:sz w:val="24"/>
          <w:szCs w:val="24"/>
        </w:rPr>
      </w:pPr>
      <w:r>
        <w:rPr>
          <w:rFonts w:hint="eastAsia" w:ascii="宋体" w:hAnsi="宋体" w:cs="宋体"/>
          <w:sz w:val="24"/>
          <w:szCs w:val="24"/>
        </w:rPr>
        <w:t>(3)供应商应提供一般用户的基础操作培训和部门信息管理员的日常应用维护的培训，确保用户对象能够掌握对应的操作技能。</w:t>
      </w:r>
    </w:p>
    <w:p w14:paraId="44CCF10B">
      <w:pPr>
        <w:numPr>
          <w:ilvl w:val="1"/>
          <w:numId w:val="1"/>
        </w:numPr>
        <w:spacing w:before="120" w:after="120" w:line="360" w:lineRule="auto"/>
        <w:ind w:firstLine="0"/>
        <w:outlineLvl w:val="1"/>
        <w:rPr>
          <w:rFonts w:ascii="宋体" w:hAnsi="宋体" w:cs="宋体"/>
          <w:b/>
          <w:bCs/>
          <w:sz w:val="24"/>
          <w:szCs w:val="24"/>
        </w:rPr>
      </w:pPr>
      <w:bookmarkStart w:id="29" w:name="_Toc63785508"/>
      <w:r>
        <w:rPr>
          <w:rFonts w:hint="eastAsia" w:ascii="宋体" w:hAnsi="宋体" w:cs="宋体"/>
          <w:b/>
          <w:bCs/>
          <w:sz w:val="24"/>
          <w:szCs w:val="24"/>
        </w:rPr>
        <w:t>验收要求</w:t>
      </w:r>
      <w:bookmarkEnd w:id="29"/>
    </w:p>
    <w:p w14:paraId="05481E26">
      <w:pPr>
        <w:spacing w:line="360" w:lineRule="auto"/>
        <w:ind w:firstLine="480" w:firstLineChars="200"/>
        <w:rPr>
          <w:rFonts w:ascii="宋体" w:hAnsi="宋体" w:cs="宋体"/>
          <w:sz w:val="24"/>
          <w:szCs w:val="24"/>
        </w:rPr>
      </w:pPr>
      <w:r>
        <w:rPr>
          <w:rFonts w:hint="eastAsia" w:ascii="宋体" w:hAnsi="宋体" w:cs="宋体"/>
          <w:sz w:val="24"/>
          <w:szCs w:val="24"/>
        </w:rPr>
        <w:t>本项目按下述方式开展验收。</w:t>
      </w:r>
    </w:p>
    <w:p w14:paraId="3AB9418A">
      <w:pPr>
        <w:spacing w:line="360" w:lineRule="auto"/>
        <w:ind w:firstLine="480" w:firstLineChars="200"/>
        <w:rPr>
          <w:rFonts w:ascii="宋体" w:hAnsi="宋体" w:cs="宋体"/>
          <w:sz w:val="24"/>
          <w:szCs w:val="24"/>
        </w:rPr>
      </w:pPr>
      <w:r>
        <w:rPr>
          <w:rFonts w:hint="eastAsia" w:ascii="宋体" w:hAnsi="宋体" w:cs="宋体"/>
          <w:sz w:val="24"/>
          <w:szCs w:val="24"/>
        </w:rPr>
        <w:t>（1）验收分初验和终验。</w:t>
      </w:r>
    </w:p>
    <w:p w14:paraId="70142BA3">
      <w:pPr>
        <w:spacing w:line="360" w:lineRule="auto"/>
        <w:ind w:firstLine="480" w:firstLineChars="200"/>
        <w:rPr>
          <w:rFonts w:ascii="宋体" w:hAnsi="宋体" w:cs="宋体"/>
          <w:sz w:val="24"/>
          <w:szCs w:val="24"/>
        </w:rPr>
      </w:pPr>
      <w:r>
        <w:rPr>
          <w:rFonts w:hint="eastAsia" w:ascii="宋体" w:hAnsi="宋体" w:cs="宋体"/>
          <w:sz w:val="24"/>
          <w:szCs w:val="24"/>
        </w:rPr>
        <w:t>（2）初验前，供应商须完成软件开发、软硬件安装和信息系统的调试等，并对本项目进行功能和运行检测，确保所有信息系统功能模块能够正常运行且已达到本项目约定的各类标准要求。供应商应以书面形式向招标方递交初验通知书。</w:t>
      </w:r>
      <w:r>
        <w:rPr>
          <w:rFonts w:hint="eastAsia" w:ascii="宋体" w:hAnsi="宋体" w:cs="宋体"/>
          <w:color w:val="auto"/>
          <w:sz w:val="24"/>
          <w:szCs w:val="24"/>
          <w:highlight w:val="none"/>
        </w:rPr>
        <w:t>招标方应当在接到通知后的5个工作日内确定初验的具体日期</w:t>
      </w:r>
      <w:r>
        <w:rPr>
          <w:rFonts w:hint="eastAsia" w:ascii="宋体" w:hAnsi="宋体" w:cs="宋体"/>
          <w:sz w:val="24"/>
          <w:szCs w:val="24"/>
        </w:rPr>
        <w:t>，由双方按照本项目的约定完成本项目的初验。招标方有权委托第三方检测机构进行验收，对此供应商应当配合。</w:t>
      </w:r>
    </w:p>
    <w:p w14:paraId="50DB0A9E">
      <w:pPr>
        <w:spacing w:line="360" w:lineRule="auto"/>
        <w:ind w:firstLine="480" w:firstLineChars="200"/>
        <w:rPr>
          <w:rFonts w:ascii="宋体" w:hAnsi="宋体" w:cs="宋体"/>
          <w:sz w:val="24"/>
          <w:szCs w:val="24"/>
        </w:rPr>
      </w:pPr>
      <w:r>
        <w:rPr>
          <w:rFonts w:hint="eastAsia" w:ascii="宋体" w:hAnsi="宋体" w:cs="宋体"/>
          <w:sz w:val="24"/>
          <w:szCs w:val="24"/>
        </w:rPr>
        <w:t>（3）初验时，供应商须提供软件文档包括《用户需求说明书》、《系统概要设计说明书》、《系统详细设计说明书》、《三方功能需求确认单》、《测试报告》、《用户使用手册》、《系统部署文档》等）及可安装的程序运行文件。所交付的文档与文件应当是可供自然人阅读的书面和电子文档。软件文档及可安装的程序运行文件验收通过后，视为初验通过。如有缺陷，招标方应向供应商出具书面报告，陈述需要改进的缺陷。供应商应立即严格依照招标方的书面报告中的要求改进缺陷，并再次进行初验。</w:t>
      </w:r>
    </w:p>
    <w:p w14:paraId="7E3339B8">
      <w:pPr>
        <w:spacing w:line="360" w:lineRule="auto"/>
        <w:ind w:firstLine="480" w:firstLineChars="200"/>
        <w:rPr>
          <w:rFonts w:ascii="宋体" w:hAnsi="宋体" w:cs="宋体"/>
          <w:sz w:val="24"/>
          <w:szCs w:val="24"/>
          <w:highlight w:val="none"/>
        </w:rPr>
      </w:pPr>
      <w:r>
        <w:rPr>
          <w:rFonts w:hint="eastAsia" w:ascii="宋体" w:hAnsi="宋体" w:cs="宋体"/>
          <w:sz w:val="24"/>
          <w:szCs w:val="24"/>
        </w:rPr>
        <w:t>（4）自初验通过之日起</w:t>
      </w:r>
      <w:r>
        <w:rPr>
          <w:rFonts w:hint="eastAsia" w:ascii="宋体" w:hAnsi="宋体" w:cs="宋体"/>
          <w:sz w:val="24"/>
          <w:szCs w:val="24"/>
          <w:highlight w:val="none"/>
        </w:rPr>
        <w:t>，招标方享有供应商免费提供的</w:t>
      </w:r>
      <w:r>
        <w:rPr>
          <w:rFonts w:hint="eastAsia" w:ascii="宋体" w:hAnsi="宋体" w:cs="宋体"/>
          <w:sz w:val="24"/>
          <w:szCs w:val="24"/>
          <w:highlight w:val="none"/>
          <w:lang w:eastAsia="zh-CN"/>
        </w:rPr>
        <w:t>1个月</w:t>
      </w:r>
      <w:r>
        <w:rPr>
          <w:rFonts w:hint="eastAsia" w:ascii="宋体" w:hAnsi="宋体" w:cs="宋体"/>
          <w:sz w:val="24"/>
          <w:szCs w:val="24"/>
          <w:highlight w:val="none"/>
        </w:rPr>
        <w:t>的信息系统试运行现场驻场服务期。该期间内，供应商应当按照招标方的要求提供现场技术支持服务，解决信息系统试运行期间可能出现的各类问题，或进一步提高与完善信息系统运行水平。</w:t>
      </w:r>
    </w:p>
    <w:p w14:paraId="0E3A3E62">
      <w:pPr>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5）初验通过且信息系统试运行期已经达到本项目约定的时间，经供应商确认信息系统具备正常运行条件，且信息系统通过运行测试，供应商应以书面形式通知招标方信息系统已准备就绪等待终验。招标方在收到终验通知后的20个工作日内发起组织专家验收会。</w:t>
      </w:r>
    </w:p>
    <w:p w14:paraId="6B77F6DD">
      <w:pPr>
        <w:spacing w:line="360" w:lineRule="auto"/>
        <w:ind w:firstLine="480" w:firstLineChars="200"/>
        <w:rPr>
          <w:rFonts w:ascii="宋体" w:hAnsi="宋体" w:cs="宋体"/>
          <w:sz w:val="24"/>
          <w:szCs w:val="24"/>
        </w:rPr>
      </w:pPr>
      <w:r>
        <w:rPr>
          <w:rFonts w:hint="eastAsia" w:ascii="宋体" w:hAnsi="宋体" w:cs="宋体"/>
          <w:sz w:val="24"/>
          <w:szCs w:val="24"/>
        </w:rPr>
        <w:t>（6）如果属于供应商原因致使本项目未能通过终验，供应商应当排除缺陷，直至本项目完全符合验收标准，由上述情形而产生的相关费用应由供应商自行承担。</w:t>
      </w:r>
    </w:p>
    <w:p w14:paraId="74465E23">
      <w:pPr>
        <w:spacing w:line="360" w:lineRule="auto"/>
        <w:ind w:firstLine="480" w:firstLineChars="200"/>
        <w:rPr>
          <w:rFonts w:ascii="宋体" w:hAnsi="宋体" w:cs="宋体"/>
          <w:sz w:val="24"/>
          <w:szCs w:val="24"/>
        </w:rPr>
      </w:pPr>
      <w:r>
        <w:rPr>
          <w:rFonts w:hint="eastAsia" w:ascii="宋体" w:hAnsi="宋体" w:cs="宋体"/>
          <w:sz w:val="24"/>
          <w:szCs w:val="24"/>
        </w:rPr>
        <w:t>（7）如果由于招标方原因导致本项目在终验通过前出现故障或问题，供应商应及时配合排除该方面的故障或问题。</w:t>
      </w:r>
    </w:p>
    <w:p w14:paraId="4A966D9C">
      <w:pPr>
        <w:spacing w:line="360" w:lineRule="auto"/>
        <w:ind w:firstLine="480" w:firstLineChars="200"/>
        <w:rPr>
          <w:rFonts w:ascii="宋体" w:hAnsi="宋体" w:cs="宋体"/>
          <w:sz w:val="24"/>
          <w:szCs w:val="24"/>
        </w:rPr>
      </w:pPr>
      <w:r>
        <w:rPr>
          <w:rFonts w:hint="eastAsia" w:ascii="宋体" w:hAnsi="宋体" w:cs="宋体"/>
          <w:sz w:val="24"/>
          <w:szCs w:val="24"/>
        </w:rPr>
        <w:t>（8）如本项目连续3次验收未通过（含初验未通过或终验未通过），招标方有权解除项目，并有权依照本项目约定的违约条款追究供应商的违约责任。</w:t>
      </w:r>
    </w:p>
    <w:p w14:paraId="07F7CE1F">
      <w:pPr>
        <w:numPr>
          <w:ilvl w:val="1"/>
          <w:numId w:val="1"/>
        </w:numPr>
        <w:spacing w:before="120" w:after="120" w:line="360" w:lineRule="auto"/>
        <w:ind w:firstLine="0"/>
        <w:outlineLvl w:val="1"/>
        <w:rPr>
          <w:rFonts w:ascii="宋体" w:hAnsi="宋体" w:cs="宋体"/>
          <w:b/>
          <w:bCs/>
          <w:sz w:val="24"/>
          <w:szCs w:val="24"/>
        </w:rPr>
      </w:pPr>
      <w:bookmarkStart w:id="30" w:name="_Toc63785509"/>
      <w:r>
        <w:rPr>
          <w:rFonts w:hint="eastAsia" w:ascii="宋体" w:hAnsi="宋体" w:cs="宋体"/>
          <w:b/>
          <w:bCs/>
          <w:sz w:val="24"/>
          <w:szCs w:val="24"/>
        </w:rPr>
        <w:t>进度要求</w:t>
      </w:r>
      <w:bookmarkEnd w:id="30"/>
    </w:p>
    <w:p w14:paraId="48AB2393">
      <w:pPr>
        <w:spacing w:line="360" w:lineRule="auto"/>
        <w:ind w:firstLine="480" w:firstLineChars="200"/>
        <w:rPr>
          <w:rFonts w:ascii="宋体" w:hAnsi="宋体" w:cs="宋体"/>
          <w:sz w:val="24"/>
          <w:szCs w:val="24"/>
        </w:rPr>
      </w:pPr>
      <w:r>
        <w:rPr>
          <w:rFonts w:hint="eastAsia" w:ascii="宋体" w:hAnsi="宋体" w:cs="宋体"/>
          <w:sz w:val="24"/>
          <w:szCs w:val="24"/>
        </w:rPr>
        <w:t>投标人应根据建设内容，分阶段制定合理的时间进度，并且应根据招标方要求进行调整和细化。</w:t>
      </w:r>
    </w:p>
    <w:p w14:paraId="68808D99">
      <w:pPr>
        <w:spacing w:line="360" w:lineRule="auto"/>
        <w:ind w:firstLine="480" w:firstLineChars="200"/>
        <w:rPr>
          <w:rFonts w:ascii="宋体" w:hAnsi="宋体" w:cs="宋体"/>
          <w:sz w:val="24"/>
          <w:szCs w:val="24"/>
        </w:rPr>
      </w:pPr>
      <w:r>
        <w:rPr>
          <w:rFonts w:hint="eastAsia" w:ascii="宋体" w:hAnsi="宋体" w:cs="宋体"/>
          <w:sz w:val="24"/>
          <w:szCs w:val="24"/>
        </w:rPr>
        <w:t>总建设周期为6个月，分为4个阶段。</w:t>
      </w:r>
    </w:p>
    <w:p w14:paraId="26C52690">
      <w:pPr>
        <w:spacing w:line="360" w:lineRule="auto"/>
        <w:ind w:firstLine="480" w:firstLineChars="200"/>
        <w:rPr>
          <w:rFonts w:ascii="宋体" w:hAnsi="宋体" w:cs="宋体"/>
          <w:sz w:val="24"/>
          <w:szCs w:val="24"/>
        </w:rPr>
      </w:pPr>
      <w:bookmarkStart w:id="31" w:name="_Toc63785510"/>
      <w:r>
        <w:rPr>
          <w:rFonts w:hint="eastAsia" w:ascii="宋体" w:hAnsi="宋体" w:cs="宋体"/>
          <w:sz w:val="24"/>
          <w:szCs w:val="24"/>
        </w:rPr>
        <w:t>第一阶段为2个月，完成项目有关业务、系统和需求的调研，形成总体设计方案，完成系统架构、基础资源、功能等详细设计，并提供主体建设内容的部分系统原型。</w:t>
      </w:r>
    </w:p>
    <w:p w14:paraId="74651F14">
      <w:pPr>
        <w:spacing w:line="360" w:lineRule="auto"/>
        <w:ind w:firstLine="480" w:firstLineChars="200"/>
        <w:rPr>
          <w:rFonts w:ascii="宋体" w:hAnsi="宋体" w:cs="宋体"/>
          <w:sz w:val="24"/>
          <w:szCs w:val="24"/>
        </w:rPr>
      </w:pPr>
      <w:r>
        <w:rPr>
          <w:rFonts w:hint="eastAsia" w:ascii="宋体" w:hAnsi="宋体" w:cs="宋体"/>
          <w:sz w:val="24"/>
          <w:szCs w:val="24"/>
        </w:rPr>
        <w:t>第二阶段为2个月，完成数据归集整合、资源申请和各模块的开发与测试工作，完成系统联调与部署，发布beta测试版本。</w:t>
      </w:r>
    </w:p>
    <w:p w14:paraId="66662804">
      <w:pPr>
        <w:spacing w:line="360" w:lineRule="auto"/>
        <w:ind w:firstLine="480" w:firstLineChars="200"/>
        <w:rPr>
          <w:rFonts w:ascii="宋体" w:hAnsi="宋体" w:cs="宋体"/>
          <w:sz w:val="24"/>
          <w:szCs w:val="24"/>
        </w:rPr>
      </w:pPr>
      <w:r>
        <w:rPr>
          <w:rFonts w:hint="eastAsia" w:ascii="宋体" w:hAnsi="宋体" w:cs="宋体"/>
          <w:sz w:val="24"/>
          <w:szCs w:val="24"/>
        </w:rPr>
        <w:t>第三阶段为1个月，完成项目功能试运行，修正各模块联调中出现的问题，完成系统完善和功能迭代，直至发布正式运行版本。</w:t>
      </w:r>
    </w:p>
    <w:p w14:paraId="781A1510">
      <w:pPr>
        <w:spacing w:line="360" w:lineRule="auto"/>
        <w:ind w:firstLine="480" w:firstLineChars="200"/>
        <w:rPr>
          <w:rFonts w:ascii="宋体" w:hAnsi="宋体" w:cs="宋体"/>
          <w:sz w:val="24"/>
          <w:szCs w:val="24"/>
        </w:rPr>
      </w:pPr>
      <w:r>
        <w:rPr>
          <w:rFonts w:hint="eastAsia" w:ascii="宋体" w:hAnsi="宋体" w:cs="宋体"/>
          <w:sz w:val="24"/>
          <w:szCs w:val="24"/>
        </w:rPr>
        <w:t>第四阶段为1个月，完成项目验收并启动项目的正式运行，根据项目运行情况和验收要求开展项目测评、功能优化和绩效评价等工作。</w:t>
      </w:r>
    </w:p>
    <w:p w14:paraId="1BA7116F">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项目团队及驻场人员要求</w:t>
      </w:r>
      <w:bookmarkEnd w:id="31"/>
    </w:p>
    <w:p w14:paraId="7354844C">
      <w:pPr>
        <w:spacing w:line="360" w:lineRule="auto"/>
        <w:ind w:firstLine="480" w:firstLineChars="200"/>
        <w:rPr>
          <w:rFonts w:ascii="宋体" w:hAnsi="宋体" w:cs="宋体"/>
          <w:sz w:val="24"/>
          <w:szCs w:val="24"/>
        </w:rPr>
      </w:pPr>
      <w:r>
        <w:rPr>
          <w:rFonts w:hint="eastAsia" w:ascii="宋体" w:hAnsi="宋体" w:cs="宋体"/>
          <w:sz w:val="24"/>
          <w:szCs w:val="24"/>
        </w:rPr>
        <w:t>1）投标人须具有稳定的在职技术保障力量，能够提供及时的技术支援或服务，应针对本项目提供不少于</w:t>
      </w:r>
      <w:r>
        <w:rPr>
          <w:rFonts w:hint="eastAsia" w:ascii="宋体" w:hAnsi="宋体" w:cs="宋体"/>
          <w:sz w:val="24"/>
          <w:szCs w:val="24"/>
          <w:lang w:val="en-US" w:eastAsia="zh-CN"/>
        </w:rPr>
        <w:t>16</w:t>
      </w:r>
      <w:r>
        <w:rPr>
          <w:rFonts w:hint="eastAsia" w:ascii="宋体" w:hAnsi="宋体" w:cs="宋体"/>
          <w:sz w:val="24"/>
          <w:szCs w:val="24"/>
        </w:rPr>
        <w:t>人的项目服务团队（包括项目经理、技术负责人、研发人员等），投标单位的相关服务人员需具备相应的服务能力，需提供相关证明。</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6"/>
        <w:gridCol w:w="3215"/>
        <w:gridCol w:w="1180"/>
        <w:gridCol w:w="1415"/>
        <w:gridCol w:w="1296"/>
      </w:tblGrid>
      <w:tr w14:paraId="7148E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noWrap/>
            <w:vAlign w:val="center"/>
          </w:tcPr>
          <w:p w14:paraId="0C644190">
            <w:pPr>
              <w:jc w:val="center"/>
              <w:rPr>
                <w:rFonts w:ascii="宋体" w:hAnsi="宋体" w:cs="宋体"/>
                <w:b/>
                <w:sz w:val="24"/>
                <w:szCs w:val="24"/>
              </w:rPr>
            </w:pPr>
            <w:r>
              <w:rPr>
                <w:rFonts w:hint="eastAsia" w:ascii="宋体" w:hAnsi="宋体" w:cs="宋体"/>
                <w:b/>
                <w:sz w:val="24"/>
                <w:szCs w:val="24"/>
              </w:rPr>
              <w:t>角色</w:t>
            </w:r>
          </w:p>
        </w:tc>
        <w:tc>
          <w:tcPr>
            <w:tcW w:w="0" w:type="auto"/>
            <w:noWrap/>
            <w:vAlign w:val="center"/>
          </w:tcPr>
          <w:p w14:paraId="7D33DECA">
            <w:pPr>
              <w:jc w:val="center"/>
              <w:rPr>
                <w:rFonts w:ascii="宋体" w:hAnsi="宋体" w:cs="宋体"/>
                <w:b/>
                <w:sz w:val="24"/>
                <w:szCs w:val="24"/>
              </w:rPr>
            </w:pPr>
            <w:r>
              <w:rPr>
                <w:rFonts w:hint="eastAsia" w:ascii="宋体" w:hAnsi="宋体" w:cs="宋体"/>
                <w:b/>
                <w:sz w:val="24"/>
                <w:szCs w:val="24"/>
              </w:rPr>
              <w:t>主要职责</w:t>
            </w:r>
          </w:p>
        </w:tc>
        <w:tc>
          <w:tcPr>
            <w:tcW w:w="0" w:type="auto"/>
            <w:noWrap/>
            <w:vAlign w:val="center"/>
          </w:tcPr>
          <w:p w14:paraId="49F6F567">
            <w:pPr>
              <w:jc w:val="center"/>
              <w:rPr>
                <w:rFonts w:ascii="宋体" w:hAnsi="宋体" w:cs="宋体"/>
                <w:b/>
                <w:sz w:val="24"/>
                <w:szCs w:val="24"/>
              </w:rPr>
            </w:pPr>
            <w:r>
              <w:rPr>
                <w:rFonts w:hint="eastAsia" w:ascii="宋体" w:hAnsi="宋体" w:cs="宋体"/>
                <w:b/>
                <w:sz w:val="24"/>
                <w:szCs w:val="24"/>
              </w:rPr>
              <w:t>人员数量</w:t>
            </w:r>
          </w:p>
        </w:tc>
        <w:tc>
          <w:tcPr>
            <w:tcW w:w="1415" w:type="dxa"/>
            <w:vAlign w:val="center"/>
          </w:tcPr>
          <w:p w14:paraId="22313A60">
            <w:pPr>
              <w:jc w:val="center"/>
              <w:rPr>
                <w:rFonts w:ascii="宋体" w:hAnsi="宋体" w:cs="宋体"/>
                <w:b/>
                <w:sz w:val="24"/>
                <w:szCs w:val="24"/>
              </w:rPr>
            </w:pPr>
            <w:r>
              <w:rPr>
                <w:rFonts w:hint="eastAsia" w:ascii="宋体" w:hAnsi="宋体" w:cs="宋体"/>
                <w:b/>
                <w:sz w:val="24"/>
                <w:szCs w:val="24"/>
              </w:rPr>
              <w:t>人员要求</w:t>
            </w:r>
          </w:p>
        </w:tc>
        <w:tc>
          <w:tcPr>
            <w:tcW w:w="1296" w:type="dxa"/>
            <w:noWrap/>
            <w:vAlign w:val="center"/>
          </w:tcPr>
          <w:p w14:paraId="55993311">
            <w:pPr>
              <w:jc w:val="center"/>
              <w:rPr>
                <w:rFonts w:ascii="宋体" w:hAnsi="宋体" w:cs="宋体"/>
                <w:b/>
                <w:sz w:val="24"/>
                <w:szCs w:val="24"/>
              </w:rPr>
            </w:pPr>
            <w:r>
              <w:rPr>
                <w:rFonts w:hint="eastAsia" w:ascii="宋体" w:hAnsi="宋体" w:cs="宋体"/>
                <w:b/>
                <w:sz w:val="24"/>
                <w:szCs w:val="24"/>
              </w:rPr>
              <w:t>驻场要求</w:t>
            </w:r>
          </w:p>
        </w:tc>
      </w:tr>
      <w:tr w14:paraId="04458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noWrap/>
            <w:vAlign w:val="center"/>
          </w:tcPr>
          <w:p w14:paraId="145AD3E8">
            <w:pPr>
              <w:jc w:val="center"/>
              <w:rPr>
                <w:rFonts w:ascii="宋体" w:hAnsi="宋体" w:cs="宋体"/>
                <w:sz w:val="24"/>
                <w:szCs w:val="24"/>
              </w:rPr>
            </w:pPr>
            <w:r>
              <w:rPr>
                <w:rFonts w:hint="eastAsia" w:ascii="宋体" w:hAnsi="宋体" w:cs="宋体"/>
                <w:sz w:val="24"/>
                <w:szCs w:val="24"/>
              </w:rPr>
              <w:t>项目经理</w:t>
            </w:r>
          </w:p>
        </w:tc>
        <w:tc>
          <w:tcPr>
            <w:tcW w:w="0" w:type="auto"/>
            <w:vAlign w:val="center"/>
          </w:tcPr>
          <w:p w14:paraId="7B80225A">
            <w:pPr>
              <w:jc w:val="center"/>
              <w:rPr>
                <w:rFonts w:ascii="宋体" w:hAnsi="宋体" w:cs="宋体"/>
                <w:sz w:val="24"/>
                <w:szCs w:val="24"/>
              </w:rPr>
            </w:pPr>
            <w:r>
              <w:rPr>
                <w:rFonts w:hint="eastAsia" w:ascii="宋体" w:hAnsi="宋体" w:cs="宋体"/>
                <w:sz w:val="24"/>
                <w:szCs w:val="24"/>
              </w:rPr>
              <w:t>负责项目质量和进度控制</w:t>
            </w:r>
          </w:p>
        </w:tc>
        <w:tc>
          <w:tcPr>
            <w:tcW w:w="0" w:type="auto"/>
            <w:noWrap/>
            <w:vAlign w:val="center"/>
          </w:tcPr>
          <w:p w14:paraId="7DB2C3F0">
            <w:pPr>
              <w:jc w:val="center"/>
              <w:rPr>
                <w:rFonts w:ascii="宋体" w:hAnsi="宋体" w:cs="宋体"/>
                <w:sz w:val="24"/>
                <w:szCs w:val="24"/>
              </w:rPr>
            </w:pPr>
            <w:r>
              <w:rPr>
                <w:rFonts w:hint="eastAsia" w:ascii="宋体" w:hAnsi="宋体" w:cs="宋体"/>
                <w:sz w:val="24"/>
                <w:szCs w:val="24"/>
              </w:rPr>
              <w:t>1人</w:t>
            </w:r>
          </w:p>
        </w:tc>
        <w:tc>
          <w:tcPr>
            <w:tcW w:w="1415" w:type="dxa"/>
          </w:tcPr>
          <w:p w14:paraId="4E13C818">
            <w:pPr>
              <w:jc w:val="center"/>
              <w:rPr>
                <w:rFonts w:ascii="宋体" w:hAnsi="宋体" w:cs="宋体"/>
                <w:sz w:val="24"/>
                <w:szCs w:val="24"/>
              </w:rPr>
            </w:pPr>
            <w:r>
              <w:rPr>
                <w:rFonts w:hint="eastAsia" w:ascii="宋体" w:hAnsi="宋体" w:cs="宋体"/>
                <w:sz w:val="24"/>
                <w:szCs w:val="24"/>
              </w:rPr>
              <w:t>本科及以上学历</w:t>
            </w:r>
          </w:p>
        </w:tc>
        <w:tc>
          <w:tcPr>
            <w:tcW w:w="1296" w:type="dxa"/>
            <w:noWrap/>
            <w:vAlign w:val="center"/>
          </w:tcPr>
          <w:p w14:paraId="67F02EF0">
            <w:pPr>
              <w:jc w:val="center"/>
              <w:rPr>
                <w:rFonts w:ascii="宋体" w:hAnsi="宋体" w:cs="宋体"/>
                <w:sz w:val="24"/>
                <w:szCs w:val="24"/>
              </w:rPr>
            </w:pPr>
            <w:r>
              <w:rPr>
                <w:rFonts w:hint="eastAsia" w:ascii="宋体" w:hAnsi="宋体" w:cs="宋体"/>
                <w:sz w:val="24"/>
                <w:szCs w:val="24"/>
              </w:rPr>
              <w:t>驻场</w:t>
            </w:r>
          </w:p>
        </w:tc>
      </w:tr>
      <w:tr w14:paraId="67FC3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noWrap/>
          </w:tcPr>
          <w:p w14:paraId="7B767C69">
            <w:pPr>
              <w:jc w:val="center"/>
              <w:rPr>
                <w:rFonts w:ascii="宋体" w:hAnsi="宋体" w:cs="宋体"/>
                <w:sz w:val="24"/>
                <w:szCs w:val="24"/>
              </w:rPr>
            </w:pPr>
            <w:r>
              <w:rPr>
                <w:rFonts w:hint="eastAsia" w:ascii="宋体" w:hAnsi="宋体" w:cs="宋体"/>
                <w:sz w:val="24"/>
                <w:szCs w:val="24"/>
              </w:rPr>
              <w:t>技术负责人</w:t>
            </w:r>
          </w:p>
        </w:tc>
        <w:tc>
          <w:tcPr>
            <w:tcW w:w="0" w:type="auto"/>
          </w:tcPr>
          <w:p w14:paraId="0B8FAF8D">
            <w:pPr>
              <w:jc w:val="center"/>
              <w:rPr>
                <w:rFonts w:ascii="宋体" w:hAnsi="宋体" w:cs="宋体"/>
                <w:sz w:val="24"/>
                <w:szCs w:val="24"/>
              </w:rPr>
            </w:pPr>
            <w:r>
              <w:rPr>
                <w:rFonts w:hint="eastAsia" w:ascii="宋体" w:hAnsi="宋体" w:cs="宋体"/>
                <w:sz w:val="24"/>
                <w:szCs w:val="24"/>
              </w:rPr>
              <w:t>负责项目具体开发、设计与实施</w:t>
            </w:r>
          </w:p>
        </w:tc>
        <w:tc>
          <w:tcPr>
            <w:tcW w:w="0" w:type="auto"/>
            <w:noWrap/>
          </w:tcPr>
          <w:p w14:paraId="224E5AD0">
            <w:pPr>
              <w:jc w:val="center"/>
              <w:rPr>
                <w:rFonts w:ascii="宋体" w:hAnsi="宋体" w:cs="宋体"/>
                <w:sz w:val="24"/>
                <w:szCs w:val="24"/>
              </w:rPr>
            </w:pPr>
            <w:r>
              <w:rPr>
                <w:rFonts w:hint="eastAsia" w:ascii="宋体" w:hAnsi="宋体" w:cs="宋体"/>
                <w:sz w:val="24"/>
                <w:szCs w:val="24"/>
              </w:rPr>
              <w:t>1人</w:t>
            </w:r>
          </w:p>
        </w:tc>
        <w:tc>
          <w:tcPr>
            <w:tcW w:w="1415" w:type="dxa"/>
          </w:tcPr>
          <w:p w14:paraId="32FEA5F2">
            <w:pPr>
              <w:jc w:val="center"/>
              <w:rPr>
                <w:rFonts w:ascii="宋体" w:hAnsi="宋体" w:cs="宋体"/>
                <w:sz w:val="24"/>
                <w:szCs w:val="24"/>
              </w:rPr>
            </w:pPr>
            <w:r>
              <w:rPr>
                <w:rFonts w:hint="eastAsia" w:ascii="宋体" w:hAnsi="宋体" w:cs="宋体"/>
                <w:sz w:val="24"/>
                <w:szCs w:val="24"/>
              </w:rPr>
              <w:t>本科及以上学历</w:t>
            </w:r>
          </w:p>
        </w:tc>
        <w:tc>
          <w:tcPr>
            <w:tcW w:w="1296" w:type="dxa"/>
            <w:noWrap/>
          </w:tcPr>
          <w:p w14:paraId="6E30FA38">
            <w:pPr>
              <w:jc w:val="center"/>
              <w:rPr>
                <w:rFonts w:ascii="宋体" w:hAnsi="宋体" w:cs="宋体"/>
                <w:sz w:val="24"/>
                <w:szCs w:val="24"/>
              </w:rPr>
            </w:pPr>
            <w:r>
              <w:rPr>
                <w:rFonts w:hint="eastAsia" w:ascii="宋体" w:hAnsi="宋体" w:cs="宋体"/>
                <w:sz w:val="24"/>
                <w:szCs w:val="24"/>
              </w:rPr>
              <w:t>驻场</w:t>
            </w:r>
          </w:p>
        </w:tc>
      </w:tr>
      <w:tr w14:paraId="68834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noWrap/>
            <w:vAlign w:val="center"/>
          </w:tcPr>
          <w:p w14:paraId="51DF495E">
            <w:pPr>
              <w:jc w:val="center"/>
              <w:rPr>
                <w:rFonts w:ascii="宋体" w:hAnsi="宋体" w:cs="宋体"/>
                <w:sz w:val="24"/>
                <w:szCs w:val="24"/>
              </w:rPr>
            </w:pPr>
            <w:r>
              <w:rPr>
                <w:rFonts w:hint="eastAsia" w:ascii="宋体" w:hAnsi="宋体" w:cs="宋体"/>
                <w:sz w:val="24"/>
                <w:szCs w:val="24"/>
              </w:rPr>
              <w:t>研发人员</w:t>
            </w:r>
          </w:p>
        </w:tc>
        <w:tc>
          <w:tcPr>
            <w:tcW w:w="0" w:type="auto"/>
            <w:noWrap/>
            <w:vAlign w:val="center"/>
          </w:tcPr>
          <w:p w14:paraId="7E0E75CF">
            <w:pPr>
              <w:jc w:val="center"/>
              <w:rPr>
                <w:rFonts w:ascii="宋体" w:hAnsi="宋体" w:cs="宋体"/>
                <w:sz w:val="24"/>
                <w:szCs w:val="24"/>
              </w:rPr>
            </w:pPr>
            <w:r>
              <w:rPr>
                <w:rFonts w:hint="eastAsia" w:ascii="宋体" w:hAnsi="宋体" w:cs="宋体"/>
                <w:sz w:val="24"/>
                <w:szCs w:val="24"/>
              </w:rPr>
              <w:t>负责项目具体开发与实施</w:t>
            </w:r>
          </w:p>
        </w:tc>
        <w:tc>
          <w:tcPr>
            <w:tcW w:w="0" w:type="auto"/>
            <w:noWrap/>
            <w:vAlign w:val="center"/>
          </w:tcPr>
          <w:p w14:paraId="0BCA7E2A">
            <w:pPr>
              <w:jc w:val="center"/>
              <w:rPr>
                <w:rFonts w:ascii="宋体" w:hAnsi="宋体" w:cs="宋体"/>
                <w:sz w:val="24"/>
                <w:szCs w:val="24"/>
              </w:rPr>
            </w:pPr>
            <w:r>
              <w:rPr>
                <w:rFonts w:hint="eastAsia" w:ascii="宋体" w:hAnsi="宋体" w:cs="宋体"/>
                <w:sz w:val="24"/>
                <w:szCs w:val="24"/>
              </w:rPr>
              <w:t>8人</w:t>
            </w:r>
          </w:p>
        </w:tc>
        <w:tc>
          <w:tcPr>
            <w:tcW w:w="1415" w:type="dxa"/>
          </w:tcPr>
          <w:p w14:paraId="7256BD63">
            <w:pPr>
              <w:jc w:val="center"/>
              <w:rPr>
                <w:rFonts w:ascii="宋体" w:hAnsi="宋体" w:cs="宋体"/>
                <w:sz w:val="24"/>
                <w:szCs w:val="24"/>
              </w:rPr>
            </w:pPr>
            <w:r>
              <w:rPr>
                <w:rFonts w:hint="eastAsia" w:ascii="宋体" w:hAnsi="宋体" w:cs="宋体"/>
                <w:sz w:val="24"/>
                <w:szCs w:val="24"/>
              </w:rPr>
              <w:t>本科及以上学历</w:t>
            </w:r>
          </w:p>
        </w:tc>
        <w:tc>
          <w:tcPr>
            <w:tcW w:w="1296" w:type="dxa"/>
            <w:noWrap/>
            <w:vAlign w:val="center"/>
          </w:tcPr>
          <w:p w14:paraId="04AC7EA6">
            <w:pPr>
              <w:jc w:val="center"/>
              <w:rPr>
                <w:rFonts w:ascii="宋体" w:hAnsi="宋体" w:cs="宋体"/>
                <w:sz w:val="24"/>
                <w:szCs w:val="24"/>
              </w:rPr>
            </w:pPr>
            <w:r>
              <w:rPr>
                <w:rFonts w:hint="eastAsia" w:ascii="宋体" w:hAnsi="宋体" w:cs="宋体"/>
                <w:sz w:val="24"/>
                <w:szCs w:val="24"/>
              </w:rPr>
              <w:t>驻场2人</w:t>
            </w:r>
          </w:p>
        </w:tc>
      </w:tr>
      <w:tr w14:paraId="62672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416" w:type="dxa"/>
            <w:noWrap/>
            <w:vAlign w:val="center"/>
          </w:tcPr>
          <w:p w14:paraId="0F4F3F67">
            <w:pPr>
              <w:jc w:val="center"/>
              <w:rPr>
                <w:rFonts w:ascii="宋体" w:hAnsi="宋体" w:cs="宋体"/>
                <w:color w:val="auto"/>
                <w:sz w:val="24"/>
                <w:szCs w:val="24"/>
              </w:rPr>
            </w:pPr>
            <w:r>
              <w:rPr>
                <w:rFonts w:hint="eastAsia" w:ascii="宋体" w:hAnsi="宋体" w:cs="宋体"/>
                <w:color w:val="auto"/>
                <w:sz w:val="24"/>
                <w:szCs w:val="24"/>
              </w:rPr>
              <w:t>测试人员</w:t>
            </w:r>
          </w:p>
        </w:tc>
        <w:tc>
          <w:tcPr>
            <w:tcW w:w="3215" w:type="dxa"/>
            <w:noWrap/>
            <w:vAlign w:val="center"/>
          </w:tcPr>
          <w:p w14:paraId="6E401E05">
            <w:pPr>
              <w:jc w:val="center"/>
              <w:rPr>
                <w:rFonts w:ascii="宋体" w:hAnsi="宋体" w:cs="宋体"/>
                <w:color w:val="auto"/>
                <w:sz w:val="24"/>
                <w:szCs w:val="24"/>
              </w:rPr>
            </w:pPr>
            <w:r>
              <w:rPr>
                <w:rFonts w:hint="eastAsia" w:ascii="宋体" w:hAnsi="宋体" w:cs="宋体"/>
                <w:color w:val="auto"/>
                <w:sz w:val="24"/>
                <w:szCs w:val="24"/>
              </w:rPr>
              <w:t>负责项目的模块、整体测试</w:t>
            </w:r>
          </w:p>
        </w:tc>
        <w:tc>
          <w:tcPr>
            <w:tcW w:w="1180" w:type="dxa"/>
            <w:noWrap/>
            <w:vAlign w:val="center"/>
          </w:tcPr>
          <w:p w14:paraId="2CCC8A39">
            <w:pPr>
              <w:jc w:val="center"/>
              <w:rPr>
                <w:rFonts w:ascii="宋体" w:hAnsi="宋体" w:cs="宋体"/>
                <w:color w:val="auto"/>
                <w:sz w:val="24"/>
                <w:szCs w:val="24"/>
              </w:rPr>
            </w:pPr>
            <w:r>
              <w:rPr>
                <w:rFonts w:hint="eastAsia" w:ascii="宋体" w:hAnsi="宋体" w:cs="宋体"/>
                <w:color w:val="auto"/>
                <w:sz w:val="24"/>
                <w:szCs w:val="24"/>
              </w:rPr>
              <w:t>3人</w:t>
            </w:r>
          </w:p>
        </w:tc>
        <w:tc>
          <w:tcPr>
            <w:tcW w:w="1415" w:type="dxa"/>
          </w:tcPr>
          <w:p w14:paraId="3DDF6F78">
            <w:pPr>
              <w:jc w:val="center"/>
              <w:rPr>
                <w:rFonts w:ascii="宋体" w:hAnsi="宋体" w:cs="宋体"/>
                <w:color w:val="auto"/>
                <w:sz w:val="24"/>
                <w:szCs w:val="24"/>
              </w:rPr>
            </w:pPr>
            <w:r>
              <w:rPr>
                <w:rFonts w:hint="eastAsia" w:ascii="宋体" w:hAnsi="宋体" w:cs="宋体"/>
                <w:color w:val="auto"/>
                <w:sz w:val="24"/>
                <w:szCs w:val="24"/>
              </w:rPr>
              <w:t>本科及以上学历</w:t>
            </w:r>
          </w:p>
        </w:tc>
        <w:tc>
          <w:tcPr>
            <w:tcW w:w="1296" w:type="dxa"/>
            <w:noWrap/>
            <w:vAlign w:val="center"/>
          </w:tcPr>
          <w:p w14:paraId="3FC4225D">
            <w:pPr>
              <w:jc w:val="center"/>
              <w:rPr>
                <w:rFonts w:ascii="宋体" w:hAnsi="宋体" w:cs="宋体"/>
                <w:color w:val="auto"/>
                <w:sz w:val="24"/>
                <w:szCs w:val="24"/>
              </w:rPr>
            </w:pPr>
            <w:bookmarkStart w:id="32" w:name="OLE_LINK1"/>
            <w:r>
              <w:rPr>
                <w:rFonts w:hint="eastAsia" w:ascii="宋体" w:hAnsi="宋体" w:cs="宋体"/>
                <w:color w:val="auto"/>
                <w:sz w:val="24"/>
                <w:szCs w:val="24"/>
              </w:rPr>
              <w:t>驻场1人</w:t>
            </w:r>
            <w:bookmarkEnd w:id="32"/>
          </w:p>
        </w:tc>
      </w:tr>
      <w:tr w14:paraId="5C0C0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416" w:type="dxa"/>
            <w:noWrap/>
            <w:vAlign w:val="center"/>
          </w:tcPr>
          <w:p w14:paraId="2A3BBDE2">
            <w:pPr>
              <w:jc w:val="center"/>
              <w:rPr>
                <w:rFonts w:ascii="宋体" w:hAnsi="宋体" w:cs="宋体"/>
                <w:color w:val="auto"/>
                <w:sz w:val="24"/>
                <w:szCs w:val="24"/>
              </w:rPr>
            </w:pPr>
            <w:r>
              <w:rPr>
                <w:rFonts w:hint="eastAsia" w:ascii="宋体" w:hAnsi="宋体" w:cs="宋体"/>
                <w:color w:val="auto"/>
                <w:sz w:val="24"/>
                <w:szCs w:val="24"/>
              </w:rPr>
              <w:t>需求分析师</w:t>
            </w:r>
          </w:p>
        </w:tc>
        <w:tc>
          <w:tcPr>
            <w:tcW w:w="3215" w:type="dxa"/>
            <w:noWrap/>
            <w:vAlign w:val="center"/>
          </w:tcPr>
          <w:p w14:paraId="50F05D58">
            <w:pPr>
              <w:jc w:val="center"/>
              <w:rPr>
                <w:rFonts w:ascii="宋体" w:hAnsi="宋体" w:cs="宋体"/>
                <w:color w:val="auto"/>
                <w:sz w:val="24"/>
                <w:szCs w:val="24"/>
              </w:rPr>
            </w:pPr>
            <w:r>
              <w:rPr>
                <w:rFonts w:hint="eastAsia" w:ascii="宋体" w:hAnsi="宋体" w:cs="宋体"/>
                <w:color w:val="auto"/>
                <w:sz w:val="24"/>
                <w:szCs w:val="24"/>
              </w:rPr>
              <w:t>负责需求的调研和整理</w:t>
            </w:r>
          </w:p>
        </w:tc>
        <w:tc>
          <w:tcPr>
            <w:tcW w:w="1180" w:type="dxa"/>
            <w:noWrap/>
            <w:vAlign w:val="center"/>
          </w:tcPr>
          <w:p w14:paraId="3039D56E">
            <w:pPr>
              <w:jc w:val="center"/>
              <w:rPr>
                <w:rFonts w:ascii="宋体" w:hAnsi="宋体" w:cs="宋体"/>
                <w:color w:val="auto"/>
                <w:sz w:val="24"/>
                <w:szCs w:val="24"/>
              </w:rPr>
            </w:pPr>
            <w:r>
              <w:rPr>
                <w:rFonts w:hint="eastAsia" w:ascii="宋体" w:hAnsi="宋体" w:cs="宋体"/>
                <w:color w:val="auto"/>
                <w:sz w:val="24"/>
                <w:szCs w:val="24"/>
              </w:rPr>
              <w:t>2人</w:t>
            </w:r>
          </w:p>
        </w:tc>
        <w:tc>
          <w:tcPr>
            <w:tcW w:w="1415" w:type="dxa"/>
          </w:tcPr>
          <w:p w14:paraId="35BDBC58">
            <w:pPr>
              <w:jc w:val="center"/>
              <w:rPr>
                <w:rFonts w:ascii="宋体" w:hAnsi="宋体" w:cs="宋体"/>
                <w:color w:val="auto"/>
                <w:sz w:val="24"/>
                <w:szCs w:val="24"/>
              </w:rPr>
            </w:pPr>
            <w:r>
              <w:rPr>
                <w:rFonts w:hint="eastAsia" w:ascii="宋体" w:hAnsi="宋体" w:cs="宋体"/>
                <w:color w:val="auto"/>
                <w:sz w:val="24"/>
                <w:szCs w:val="24"/>
              </w:rPr>
              <w:t>本科及以上学历</w:t>
            </w:r>
          </w:p>
        </w:tc>
        <w:tc>
          <w:tcPr>
            <w:tcW w:w="1296" w:type="dxa"/>
            <w:noWrap/>
            <w:vAlign w:val="center"/>
          </w:tcPr>
          <w:p w14:paraId="4AEF5E93">
            <w:pPr>
              <w:jc w:val="center"/>
              <w:rPr>
                <w:rFonts w:ascii="宋体" w:hAnsi="宋体" w:cs="宋体"/>
                <w:color w:val="auto"/>
                <w:sz w:val="24"/>
                <w:szCs w:val="24"/>
              </w:rPr>
            </w:pPr>
            <w:r>
              <w:rPr>
                <w:rFonts w:hint="eastAsia" w:ascii="宋体" w:hAnsi="宋体" w:cs="宋体"/>
                <w:color w:val="auto"/>
                <w:sz w:val="24"/>
                <w:szCs w:val="24"/>
              </w:rPr>
              <w:t>驻场2人</w:t>
            </w:r>
          </w:p>
        </w:tc>
      </w:tr>
      <w:tr w14:paraId="37B72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416" w:type="dxa"/>
            <w:noWrap/>
            <w:vAlign w:val="center"/>
          </w:tcPr>
          <w:p w14:paraId="54B8249C">
            <w:pPr>
              <w:jc w:val="center"/>
              <w:rPr>
                <w:rFonts w:ascii="宋体" w:hAnsi="宋体" w:cs="宋体"/>
                <w:color w:val="auto"/>
                <w:sz w:val="24"/>
                <w:szCs w:val="24"/>
              </w:rPr>
            </w:pPr>
            <w:r>
              <w:rPr>
                <w:rFonts w:hint="eastAsia" w:ascii="宋体" w:hAnsi="宋体" w:cs="宋体"/>
                <w:color w:val="auto"/>
                <w:sz w:val="24"/>
                <w:szCs w:val="24"/>
              </w:rPr>
              <w:t>QA</w:t>
            </w:r>
          </w:p>
        </w:tc>
        <w:tc>
          <w:tcPr>
            <w:tcW w:w="3215" w:type="dxa"/>
            <w:noWrap/>
            <w:vAlign w:val="center"/>
          </w:tcPr>
          <w:p w14:paraId="3761485E">
            <w:pPr>
              <w:jc w:val="center"/>
              <w:rPr>
                <w:rFonts w:ascii="宋体" w:hAnsi="宋体" w:cs="宋体"/>
                <w:color w:val="auto"/>
                <w:sz w:val="24"/>
                <w:szCs w:val="24"/>
              </w:rPr>
            </w:pPr>
            <w:r>
              <w:rPr>
                <w:rFonts w:hint="eastAsia" w:ascii="宋体" w:hAnsi="宋体" w:cs="宋体"/>
                <w:color w:val="auto"/>
                <w:sz w:val="24"/>
                <w:szCs w:val="24"/>
              </w:rPr>
              <w:t>负责整个项目的内部质量和风险管控</w:t>
            </w:r>
          </w:p>
        </w:tc>
        <w:tc>
          <w:tcPr>
            <w:tcW w:w="1180" w:type="dxa"/>
            <w:noWrap/>
            <w:vAlign w:val="center"/>
          </w:tcPr>
          <w:p w14:paraId="2A2213DE">
            <w:pPr>
              <w:jc w:val="center"/>
              <w:rPr>
                <w:rFonts w:ascii="宋体" w:hAnsi="宋体" w:cs="宋体"/>
                <w:color w:val="auto"/>
                <w:sz w:val="24"/>
                <w:szCs w:val="24"/>
              </w:rPr>
            </w:pPr>
            <w:r>
              <w:rPr>
                <w:rFonts w:hint="eastAsia" w:ascii="宋体" w:hAnsi="宋体" w:cs="宋体"/>
                <w:color w:val="auto"/>
                <w:sz w:val="24"/>
                <w:szCs w:val="24"/>
              </w:rPr>
              <w:t>1人</w:t>
            </w:r>
          </w:p>
        </w:tc>
        <w:tc>
          <w:tcPr>
            <w:tcW w:w="1415" w:type="dxa"/>
          </w:tcPr>
          <w:p w14:paraId="7860FDB1">
            <w:pPr>
              <w:jc w:val="center"/>
              <w:rPr>
                <w:rFonts w:ascii="宋体" w:hAnsi="宋体" w:cs="宋体"/>
                <w:color w:val="auto"/>
                <w:sz w:val="24"/>
                <w:szCs w:val="24"/>
              </w:rPr>
            </w:pPr>
            <w:r>
              <w:rPr>
                <w:rFonts w:hint="eastAsia" w:ascii="宋体" w:hAnsi="宋体" w:cs="宋体"/>
                <w:color w:val="auto"/>
                <w:sz w:val="24"/>
                <w:szCs w:val="24"/>
              </w:rPr>
              <w:t>本科及以上学历</w:t>
            </w:r>
          </w:p>
        </w:tc>
        <w:tc>
          <w:tcPr>
            <w:tcW w:w="1296" w:type="dxa"/>
            <w:noWrap/>
            <w:vAlign w:val="center"/>
          </w:tcPr>
          <w:p w14:paraId="3BF16B88">
            <w:pPr>
              <w:jc w:val="center"/>
              <w:rPr>
                <w:rFonts w:ascii="宋体" w:hAnsi="宋体" w:cs="宋体"/>
                <w:color w:val="auto"/>
                <w:sz w:val="24"/>
                <w:szCs w:val="24"/>
              </w:rPr>
            </w:pPr>
            <w:r>
              <w:rPr>
                <w:rFonts w:hint="eastAsia" w:ascii="宋体" w:hAnsi="宋体" w:cs="宋体"/>
                <w:color w:val="auto"/>
                <w:sz w:val="24"/>
                <w:szCs w:val="24"/>
              </w:rPr>
              <w:t>驻场1人</w:t>
            </w:r>
          </w:p>
        </w:tc>
      </w:tr>
    </w:tbl>
    <w:p w14:paraId="076829B3">
      <w:pPr>
        <w:spacing w:line="360" w:lineRule="auto"/>
        <w:ind w:firstLine="480" w:firstLineChars="200"/>
        <w:rPr>
          <w:rFonts w:ascii="宋体" w:hAnsi="宋体" w:cs="宋体"/>
          <w:sz w:val="24"/>
          <w:szCs w:val="24"/>
        </w:rPr>
      </w:pPr>
      <w:r>
        <w:rPr>
          <w:rFonts w:hint="eastAsia" w:ascii="宋体" w:hAnsi="宋体" w:cs="宋体"/>
          <w:sz w:val="24"/>
          <w:szCs w:val="24"/>
        </w:rPr>
        <w:t>2）投标人应针对本项目提供不少于3人的质保期间支撑团队（其中技术经理1人，技术工程师不少于2人）；投标人的相关服务人员需具备相应的服务能力，需提供相关证明（最近一个季度依法缴纳社保费的证明）。</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6"/>
        <w:gridCol w:w="2375"/>
        <w:gridCol w:w="1180"/>
        <w:gridCol w:w="935"/>
        <w:gridCol w:w="2616"/>
      </w:tblGrid>
      <w:tr w14:paraId="44B38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noWrap/>
            <w:vAlign w:val="center"/>
          </w:tcPr>
          <w:p w14:paraId="42146A28">
            <w:pPr>
              <w:jc w:val="center"/>
              <w:rPr>
                <w:rFonts w:ascii="宋体" w:hAnsi="宋体" w:cs="宋体"/>
                <w:b/>
                <w:sz w:val="24"/>
                <w:szCs w:val="24"/>
              </w:rPr>
            </w:pPr>
            <w:bookmarkStart w:id="33" w:name="_Toc63785511"/>
            <w:r>
              <w:rPr>
                <w:rFonts w:hint="eastAsia" w:ascii="宋体" w:hAnsi="宋体" w:cs="宋体"/>
                <w:b/>
                <w:sz w:val="24"/>
                <w:szCs w:val="24"/>
              </w:rPr>
              <w:t>角色</w:t>
            </w:r>
          </w:p>
        </w:tc>
        <w:tc>
          <w:tcPr>
            <w:tcW w:w="0" w:type="auto"/>
            <w:noWrap/>
            <w:vAlign w:val="center"/>
          </w:tcPr>
          <w:p w14:paraId="243947DD">
            <w:pPr>
              <w:jc w:val="center"/>
              <w:rPr>
                <w:rFonts w:ascii="宋体" w:hAnsi="宋体" w:cs="宋体"/>
                <w:b/>
                <w:sz w:val="24"/>
                <w:szCs w:val="24"/>
              </w:rPr>
            </w:pPr>
            <w:r>
              <w:rPr>
                <w:rFonts w:hint="eastAsia" w:ascii="宋体" w:hAnsi="宋体" w:cs="宋体"/>
                <w:b/>
                <w:sz w:val="24"/>
                <w:szCs w:val="24"/>
              </w:rPr>
              <w:t>主要职责</w:t>
            </w:r>
          </w:p>
        </w:tc>
        <w:tc>
          <w:tcPr>
            <w:tcW w:w="0" w:type="auto"/>
            <w:noWrap/>
            <w:vAlign w:val="center"/>
          </w:tcPr>
          <w:p w14:paraId="4486C021">
            <w:pPr>
              <w:jc w:val="center"/>
              <w:rPr>
                <w:rFonts w:ascii="宋体" w:hAnsi="宋体" w:cs="宋体"/>
                <w:b/>
                <w:sz w:val="24"/>
                <w:szCs w:val="24"/>
              </w:rPr>
            </w:pPr>
            <w:r>
              <w:rPr>
                <w:rFonts w:hint="eastAsia" w:ascii="宋体" w:hAnsi="宋体" w:cs="宋体"/>
                <w:b/>
                <w:sz w:val="24"/>
                <w:szCs w:val="24"/>
              </w:rPr>
              <w:t>人员数量</w:t>
            </w:r>
          </w:p>
        </w:tc>
        <w:tc>
          <w:tcPr>
            <w:tcW w:w="0" w:type="auto"/>
            <w:vAlign w:val="center"/>
          </w:tcPr>
          <w:p w14:paraId="00857979">
            <w:pPr>
              <w:jc w:val="center"/>
              <w:rPr>
                <w:rFonts w:ascii="宋体" w:hAnsi="宋体" w:cs="宋体"/>
                <w:b/>
                <w:sz w:val="24"/>
                <w:szCs w:val="24"/>
              </w:rPr>
            </w:pPr>
            <w:r>
              <w:rPr>
                <w:rFonts w:hint="eastAsia" w:ascii="宋体" w:hAnsi="宋体" w:cs="宋体"/>
                <w:b/>
                <w:sz w:val="24"/>
                <w:szCs w:val="24"/>
              </w:rPr>
              <w:t>人员要求</w:t>
            </w:r>
          </w:p>
        </w:tc>
        <w:tc>
          <w:tcPr>
            <w:tcW w:w="0" w:type="auto"/>
            <w:noWrap/>
            <w:vAlign w:val="center"/>
          </w:tcPr>
          <w:p w14:paraId="1B91D560">
            <w:pPr>
              <w:jc w:val="center"/>
              <w:rPr>
                <w:rFonts w:ascii="宋体" w:hAnsi="宋体" w:cs="宋体"/>
                <w:b/>
                <w:sz w:val="24"/>
                <w:szCs w:val="24"/>
              </w:rPr>
            </w:pPr>
            <w:r>
              <w:rPr>
                <w:rFonts w:hint="eastAsia" w:ascii="宋体" w:hAnsi="宋体" w:cs="宋体"/>
                <w:b/>
                <w:sz w:val="24"/>
                <w:szCs w:val="24"/>
              </w:rPr>
              <w:t>驻场要求</w:t>
            </w:r>
          </w:p>
        </w:tc>
      </w:tr>
      <w:tr w14:paraId="54703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noWrap/>
            <w:vAlign w:val="center"/>
          </w:tcPr>
          <w:p w14:paraId="35B9E091">
            <w:pPr>
              <w:jc w:val="center"/>
              <w:rPr>
                <w:rFonts w:ascii="宋体" w:hAnsi="宋体" w:cs="宋体"/>
                <w:sz w:val="24"/>
                <w:szCs w:val="24"/>
              </w:rPr>
            </w:pPr>
            <w:r>
              <w:rPr>
                <w:rFonts w:hint="eastAsia" w:ascii="宋体" w:hAnsi="宋体" w:cs="宋体"/>
                <w:sz w:val="24"/>
                <w:szCs w:val="24"/>
              </w:rPr>
              <w:t>项目经理</w:t>
            </w:r>
          </w:p>
        </w:tc>
        <w:tc>
          <w:tcPr>
            <w:tcW w:w="0" w:type="auto"/>
            <w:vAlign w:val="center"/>
          </w:tcPr>
          <w:p w14:paraId="36E8E18F">
            <w:pPr>
              <w:jc w:val="center"/>
              <w:rPr>
                <w:rFonts w:ascii="宋体" w:hAnsi="宋体" w:cs="宋体"/>
                <w:sz w:val="24"/>
                <w:szCs w:val="24"/>
              </w:rPr>
            </w:pPr>
            <w:r>
              <w:rPr>
                <w:rFonts w:hint="eastAsia" w:ascii="宋体" w:hAnsi="宋体" w:cs="宋体"/>
                <w:sz w:val="24"/>
                <w:szCs w:val="24"/>
              </w:rPr>
              <w:t>负责项目质量和进度控制</w:t>
            </w:r>
          </w:p>
        </w:tc>
        <w:tc>
          <w:tcPr>
            <w:tcW w:w="0" w:type="auto"/>
            <w:noWrap/>
            <w:vAlign w:val="center"/>
          </w:tcPr>
          <w:p w14:paraId="1F21FE59">
            <w:pPr>
              <w:jc w:val="center"/>
              <w:rPr>
                <w:rFonts w:ascii="宋体" w:hAnsi="宋体" w:cs="宋体"/>
                <w:sz w:val="24"/>
                <w:szCs w:val="24"/>
              </w:rPr>
            </w:pPr>
            <w:r>
              <w:rPr>
                <w:rFonts w:hint="eastAsia" w:ascii="宋体" w:hAnsi="宋体" w:cs="宋体"/>
                <w:sz w:val="24"/>
                <w:szCs w:val="24"/>
              </w:rPr>
              <w:t>1人</w:t>
            </w:r>
          </w:p>
        </w:tc>
        <w:tc>
          <w:tcPr>
            <w:tcW w:w="0" w:type="auto"/>
          </w:tcPr>
          <w:p w14:paraId="7627562C">
            <w:pPr>
              <w:jc w:val="center"/>
              <w:rPr>
                <w:rFonts w:ascii="宋体" w:hAnsi="宋体" w:cs="宋体"/>
                <w:sz w:val="24"/>
                <w:szCs w:val="24"/>
              </w:rPr>
            </w:pPr>
            <w:r>
              <w:rPr>
                <w:rFonts w:hint="eastAsia" w:ascii="宋体" w:hAnsi="宋体" w:cs="宋体"/>
                <w:sz w:val="24"/>
                <w:szCs w:val="24"/>
              </w:rPr>
              <w:t>本科及以上学历</w:t>
            </w:r>
          </w:p>
        </w:tc>
        <w:tc>
          <w:tcPr>
            <w:tcW w:w="0" w:type="auto"/>
            <w:noWrap/>
            <w:vAlign w:val="center"/>
          </w:tcPr>
          <w:p w14:paraId="5E21DEE0">
            <w:pPr>
              <w:jc w:val="center"/>
              <w:rPr>
                <w:rFonts w:ascii="宋体" w:hAnsi="宋体" w:cs="宋体"/>
                <w:sz w:val="24"/>
                <w:szCs w:val="24"/>
              </w:rPr>
            </w:pPr>
            <w:r>
              <w:rPr>
                <w:rFonts w:hint="eastAsia" w:ascii="宋体" w:hAnsi="宋体" w:cs="宋体"/>
                <w:sz w:val="24"/>
                <w:szCs w:val="24"/>
              </w:rPr>
              <w:t>每周在现场不少于1天</w:t>
            </w:r>
          </w:p>
        </w:tc>
      </w:tr>
      <w:tr w14:paraId="4D4AF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noWrap/>
            <w:vAlign w:val="center"/>
          </w:tcPr>
          <w:p w14:paraId="6F4203BF">
            <w:pPr>
              <w:jc w:val="center"/>
              <w:rPr>
                <w:rFonts w:ascii="宋体" w:hAnsi="宋体" w:cs="宋体"/>
                <w:sz w:val="24"/>
                <w:szCs w:val="24"/>
              </w:rPr>
            </w:pPr>
            <w:r>
              <w:rPr>
                <w:rFonts w:hint="eastAsia" w:ascii="宋体" w:hAnsi="宋体" w:cs="宋体"/>
                <w:sz w:val="24"/>
                <w:szCs w:val="24"/>
              </w:rPr>
              <w:t>技术工程师</w:t>
            </w:r>
          </w:p>
        </w:tc>
        <w:tc>
          <w:tcPr>
            <w:tcW w:w="0" w:type="auto"/>
            <w:noWrap/>
            <w:vAlign w:val="center"/>
          </w:tcPr>
          <w:p w14:paraId="5296ABF3">
            <w:pPr>
              <w:jc w:val="center"/>
              <w:rPr>
                <w:rFonts w:ascii="宋体" w:hAnsi="宋体" w:cs="宋体"/>
                <w:sz w:val="24"/>
                <w:szCs w:val="24"/>
              </w:rPr>
            </w:pPr>
            <w:r>
              <w:rPr>
                <w:rFonts w:hint="eastAsia" w:ascii="宋体" w:hAnsi="宋体" w:cs="宋体"/>
                <w:sz w:val="24"/>
                <w:szCs w:val="24"/>
              </w:rPr>
              <w:t>负责项目运行维护</w:t>
            </w:r>
          </w:p>
        </w:tc>
        <w:tc>
          <w:tcPr>
            <w:tcW w:w="0" w:type="auto"/>
            <w:noWrap/>
            <w:vAlign w:val="center"/>
          </w:tcPr>
          <w:p w14:paraId="794F62F7">
            <w:pPr>
              <w:jc w:val="center"/>
              <w:rPr>
                <w:rFonts w:ascii="宋体" w:hAnsi="宋体" w:cs="宋体"/>
                <w:sz w:val="24"/>
                <w:szCs w:val="24"/>
              </w:rPr>
            </w:pPr>
            <w:r>
              <w:rPr>
                <w:rFonts w:hint="eastAsia" w:ascii="宋体" w:hAnsi="宋体" w:cs="宋体"/>
                <w:sz w:val="24"/>
                <w:szCs w:val="24"/>
              </w:rPr>
              <w:t>2人</w:t>
            </w:r>
          </w:p>
        </w:tc>
        <w:tc>
          <w:tcPr>
            <w:tcW w:w="0" w:type="auto"/>
          </w:tcPr>
          <w:p w14:paraId="759487D3">
            <w:pPr>
              <w:jc w:val="center"/>
              <w:rPr>
                <w:rFonts w:ascii="宋体" w:hAnsi="宋体" w:cs="宋体"/>
                <w:sz w:val="24"/>
                <w:szCs w:val="24"/>
              </w:rPr>
            </w:pPr>
            <w:r>
              <w:rPr>
                <w:rFonts w:hint="eastAsia" w:ascii="宋体" w:hAnsi="宋体" w:cs="宋体"/>
                <w:sz w:val="24"/>
                <w:szCs w:val="24"/>
              </w:rPr>
              <w:t>本科及以上学历</w:t>
            </w:r>
          </w:p>
        </w:tc>
        <w:tc>
          <w:tcPr>
            <w:tcW w:w="0" w:type="auto"/>
            <w:noWrap/>
            <w:vAlign w:val="center"/>
          </w:tcPr>
          <w:p w14:paraId="5E2BB1A5">
            <w:pPr>
              <w:jc w:val="center"/>
              <w:rPr>
                <w:rFonts w:ascii="宋体" w:hAnsi="宋体" w:cs="宋体"/>
                <w:sz w:val="24"/>
                <w:szCs w:val="24"/>
              </w:rPr>
            </w:pPr>
            <w:r>
              <w:rPr>
                <w:rFonts w:hint="eastAsia" w:ascii="宋体" w:hAnsi="宋体" w:cs="宋体"/>
                <w:sz w:val="24"/>
                <w:szCs w:val="24"/>
              </w:rPr>
              <w:t>驻场1人</w:t>
            </w:r>
          </w:p>
        </w:tc>
      </w:tr>
    </w:tbl>
    <w:p w14:paraId="50867D52">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等级保护要求</w:t>
      </w:r>
      <w:bookmarkEnd w:id="33"/>
    </w:p>
    <w:p w14:paraId="5282A3DB">
      <w:pPr>
        <w:spacing w:line="360" w:lineRule="auto"/>
        <w:ind w:firstLine="480" w:firstLineChars="200"/>
        <w:rPr>
          <w:rFonts w:ascii="宋体" w:hAnsi="宋体" w:cs="宋体"/>
          <w:sz w:val="24"/>
          <w:szCs w:val="24"/>
        </w:rPr>
      </w:pPr>
      <w:r>
        <w:rPr>
          <w:rFonts w:hint="eastAsia" w:ascii="宋体" w:hAnsi="宋体" w:cs="宋体"/>
          <w:sz w:val="24"/>
          <w:szCs w:val="24"/>
        </w:rPr>
        <w:t>本项目等级保护要求： 参照等保三级要求建设。</w:t>
      </w:r>
    </w:p>
    <w:p w14:paraId="78D4E611">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商业密码应用需求</w:t>
      </w:r>
    </w:p>
    <w:p w14:paraId="1A8B0E64">
      <w:pPr>
        <w:spacing w:line="360" w:lineRule="auto"/>
        <w:ind w:firstLine="480" w:firstLineChars="200"/>
        <w:rPr>
          <w:rFonts w:ascii="宋体" w:hAnsi="宋体" w:cs="宋体"/>
          <w:sz w:val="24"/>
          <w:szCs w:val="24"/>
        </w:rPr>
      </w:pPr>
      <w:r>
        <w:rPr>
          <w:rFonts w:hint="eastAsia" w:ascii="宋体" w:hAnsi="宋体" w:cs="宋体"/>
          <w:sz w:val="24"/>
          <w:szCs w:val="24"/>
        </w:rPr>
        <w:t>满足商业密码应用建设要求，并通过商业密码应用安全测评，综合评分需达到75分。</w:t>
      </w:r>
    </w:p>
    <w:p w14:paraId="63B3E1AD">
      <w:pPr>
        <w:numPr>
          <w:ilvl w:val="1"/>
          <w:numId w:val="1"/>
        </w:numPr>
        <w:spacing w:before="120" w:after="120" w:line="360" w:lineRule="auto"/>
        <w:ind w:firstLine="0"/>
        <w:outlineLvl w:val="1"/>
        <w:rPr>
          <w:rFonts w:ascii="宋体" w:hAnsi="宋体" w:cs="宋体"/>
          <w:b/>
          <w:bCs/>
          <w:sz w:val="24"/>
          <w:szCs w:val="24"/>
        </w:rPr>
      </w:pPr>
      <w:r>
        <w:rPr>
          <w:rFonts w:hint="eastAsia" w:ascii="宋体" w:hAnsi="宋体" w:cs="宋体"/>
          <w:b/>
          <w:bCs/>
          <w:sz w:val="24"/>
          <w:szCs w:val="24"/>
        </w:rPr>
        <w:t>技术文件要求</w:t>
      </w:r>
    </w:p>
    <w:p w14:paraId="06E59167">
      <w:pPr>
        <w:spacing w:line="360" w:lineRule="auto"/>
        <w:ind w:firstLine="480" w:firstLineChars="200"/>
        <w:rPr>
          <w:rFonts w:ascii="宋体" w:hAnsi="宋体" w:cs="宋体"/>
          <w:sz w:val="24"/>
          <w:szCs w:val="24"/>
        </w:rPr>
      </w:pPr>
      <w:r>
        <w:rPr>
          <w:rFonts w:hint="eastAsia" w:ascii="宋体" w:hAnsi="宋体" w:cs="宋体"/>
          <w:sz w:val="24"/>
          <w:szCs w:val="24"/>
        </w:rPr>
        <w:t>投标人提供的书面技术资料应能确保系统正常运行所需的管理、运营及维护有关的全套文件。技术文件应该全面、完整、详细。投标人提供的技术文件至少应包括：</w:t>
      </w:r>
    </w:p>
    <w:p w14:paraId="3007D0F2">
      <w:pPr>
        <w:spacing w:line="360" w:lineRule="auto"/>
        <w:ind w:firstLine="480" w:firstLineChars="200"/>
        <w:rPr>
          <w:rFonts w:ascii="宋体" w:hAnsi="宋体" w:cs="宋体"/>
          <w:sz w:val="24"/>
          <w:szCs w:val="24"/>
        </w:rPr>
      </w:pPr>
      <w:r>
        <w:rPr>
          <w:rFonts w:hint="eastAsia" w:ascii="宋体" w:hAnsi="宋体" w:cs="宋体"/>
          <w:sz w:val="24"/>
          <w:szCs w:val="24"/>
        </w:rPr>
        <w:t xml:space="preserve">－ 系统说明文件； </w:t>
      </w:r>
    </w:p>
    <w:p w14:paraId="36E7940E">
      <w:pPr>
        <w:spacing w:line="360" w:lineRule="auto"/>
        <w:ind w:firstLine="480" w:firstLineChars="200"/>
        <w:rPr>
          <w:rFonts w:ascii="宋体" w:hAnsi="宋体" w:cs="宋体"/>
          <w:sz w:val="24"/>
          <w:szCs w:val="24"/>
        </w:rPr>
      </w:pPr>
      <w:r>
        <w:rPr>
          <w:rFonts w:hint="eastAsia" w:ascii="宋体" w:hAnsi="宋体" w:cs="宋体"/>
          <w:sz w:val="24"/>
          <w:szCs w:val="24"/>
        </w:rPr>
        <w:t xml:space="preserve">－ 技术手册(安装、测试、操作、维护、故障排除等)； </w:t>
      </w:r>
    </w:p>
    <w:p w14:paraId="6D27A324">
      <w:pPr>
        <w:spacing w:line="360" w:lineRule="auto"/>
        <w:ind w:firstLine="480" w:firstLineChars="200"/>
        <w:rPr>
          <w:rFonts w:ascii="宋体" w:hAnsi="宋体" w:cs="宋体"/>
          <w:sz w:val="24"/>
          <w:szCs w:val="24"/>
        </w:rPr>
      </w:pPr>
      <w:r>
        <w:rPr>
          <w:rFonts w:hint="eastAsia" w:ascii="宋体" w:hAnsi="宋体" w:cs="宋体"/>
          <w:sz w:val="24"/>
          <w:szCs w:val="24"/>
        </w:rPr>
        <w:t>－ 项目文档，应该包括：</w:t>
      </w:r>
    </w:p>
    <w:p w14:paraId="24AA95EA">
      <w:pPr>
        <w:spacing w:line="360" w:lineRule="auto"/>
        <w:ind w:firstLine="480" w:firstLineChars="200"/>
        <w:rPr>
          <w:rFonts w:ascii="宋体" w:hAnsi="宋体" w:cs="宋体"/>
          <w:sz w:val="24"/>
          <w:szCs w:val="24"/>
        </w:rPr>
      </w:pPr>
      <w:r>
        <w:rPr>
          <w:rFonts w:hint="eastAsia" w:ascii="宋体" w:hAnsi="宋体" w:cs="宋体"/>
          <w:sz w:val="24"/>
          <w:szCs w:val="24"/>
        </w:rPr>
        <w:t>(1)软件需求说明书</w:t>
      </w:r>
    </w:p>
    <w:p w14:paraId="3F45F2F9">
      <w:pPr>
        <w:spacing w:line="360" w:lineRule="auto"/>
        <w:ind w:firstLine="480" w:firstLineChars="200"/>
        <w:rPr>
          <w:rFonts w:ascii="宋体" w:hAnsi="宋体" w:cs="宋体"/>
          <w:sz w:val="24"/>
          <w:szCs w:val="24"/>
        </w:rPr>
      </w:pPr>
      <w:r>
        <w:rPr>
          <w:rFonts w:hint="eastAsia" w:ascii="宋体" w:hAnsi="宋体" w:cs="宋体"/>
          <w:sz w:val="24"/>
          <w:szCs w:val="24"/>
        </w:rPr>
        <w:t>(2)</w:t>
      </w:r>
      <w:r>
        <w:rPr>
          <w:rFonts w:hint="eastAsia" w:ascii="宋体" w:hAnsi="宋体" w:cs="宋体"/>
          <w:sz w:val="24"/>
          <w:szCs w:val="24"/>
        </w:rPr>
        <w:tab/>
      </w:r>
      <w:r>
        <w:rPr>
          <w:rFonts w:hint="eastAsia" w:ascii="宋体" w:hAnsi="宋体" w:cs="宋体"/>
          <w:sz w:val="24"/>
          <w:szCs w:val="24"/>
        </w:rPr>
        <w:t>系统总体设计说明书</w:t>
      </w:r>
    </w:p>
    <w:p w14:paraId="79870070">
      <w:pPr>
        <w:spacing w:line="360" w:lineRule="auto"/>
        <w:ind w:firstLine="480" w:firstLineChars="200"/>
        <w:rPr>
          <w:rFonts w:ascii="宋体" w:hAnsi="宋体" w:cs="宋体"/>
          <w:sz w:val="24"/>
          <w:szCs w:val="24"/>
        </w:rPr>
      </w:pPr>
      <w:r>
        <w:rPr>
          <w:rFonts w:hint="eastAsia" w:ascii="宋体" w:hAnsi="宋体" w:cs="宋体"/>
          <w:sz w:val="24"/>
          <w:szCs w:val="24"/>
        </w:rPr>
        <w:t>(3)</w:t>
      </w:r>
      <w:r>
        <w:rPr>
          <w:rFonts w:hint="eastAsia" w:ascii="宋体" w:hAnsi="宋体" w:cs="宋体"/>
          <w:sz w:val="24"/>
          <w:szCs w:val="24"/>
        </w:rPr>
        <w:tab/>
      </w:r>
      <w:r>
        <w:rPr>
          <w:rFonts w:hint="eastAsia" w:ascii="宋体" w:hAnsi="宋体" w:cs="宋体"/>
          <w:sz w:val="24"/>
          <w:szCs w:val="24"/>
        </w:rPr>
        <w:t>应用软件功能清单</w:t>
      </w:r>
    </w:p>
    <w:p w14:paraId="4B28BB8D">
      <w:pPr>
        <w:spacing w:line="360" w:lineRule="auto"/>
        <w:ind w:firstLine="480" w:firstLineChars="200"/>
        <w:rPr>
          <w:rFonts w:ascii="宋体" w:hAnsi="宋体" w:cs="宋体"/>
          <w:sz w:val="24"/>
          <w:szCs w:val="24"/>
        </w:rPr>
      </w:pPr>
      <w:r>
        <w:rPr>
          <w:rFonts w:hint="eastAsia" w:ascii="宋体" w:hAnsi="宋体" w:cs="宋体"/>
          <w:sz w:val="24"/>
          <w:szCs w:val="24"/>
        </w:rPr>
        <w:t>提供全套技术文件纸介质3套以及电子文件1套。</w:t>
      </w:r>
    </w:p>
    <w:p w14:paraId="74AFFB98">
      <w:pPr>
        <w:numPr>
          <w:ilvl w:val="0"/>
          <w:numId w:val="1"/>
        </w:numPr>
        <w:spacing w:before="120" w:after="120" w:line="360" w:lineRule="auto"/>
        <w:ind w:firstLine="0"/>
        <w:outlineLvl w:val="0"/>
        <w:rPr>
          <w:rFonts w:ascii="宋体" w:hAnsi="宋体" w:cs="宋体"/>
          <w:b/>
          <w:bCs/>
          <w:kern w:val="44"/>
          <w:sz w:val="24"/>
          <w:szCs w:val="24"/>
        </w:rPr>
      </w:pPr>
      <w:r>
        <w:rPr>
          <w:rFonts w:hint="eastAsia" w:ascii="宋体" w:hAnsi="宋体" w:cs="宋体"/>
          <w:b/>
          <w:bCs/>
          <w:kern w:val="44"/>
          <w:sz w:val="24"/>
          <w:szCs w:val="24"/>
        </w:rPr>
        <w:t>供应商</w:t>
      </w:r>
      <w:r>
        <w:rPr>
          <w:rFonts w:hint="eastAsia" w:ascii="宋体" w:hAnsi="宋体" w:cs="宋体"/>
          <w:b/>
          <w:bCs/>
          <w:kern w:val="44"/>
          <w:sz w:val="24"/>
          <w:szCs w:val="24"/>
          <w:lang w:eastAsia="zh-CN"/>
        </w:rPr>
        <w:t>能力</w:t>
      </w:r>
      <w:r>
        <w:rPr>
          <w:rFonts w:hint="eastAsia" w:ascii="宋体" w:hAnsi="宋体" w:cs="宋体"/>
          <w:b/>
          <w:bCs/>
          <w:kern w:val="44"/>
          <w:sz w:val="24"/>
          <w:szCs w:val="24"/>
        </w:rPr>
        <w:t>要求</w:t>
      </w:r>
    </w:p>
    <w:p w14:paraId="28FDC999">
      <w:pPr>
        <w:spacing w:line="360" w:lineRule="auto"/>
        <w:ind w:firstLine="480" w:firstLineChars="200"/>
        <w:rPr>
          <w:rFonts w:hint="eastAsia" w:ascii="宋体" w:hAnsi="宋体" w:eastAsia="宋体" w:cs="宋体"/>
          <w:sz w:val="24"/>
          <w:szCs w:val="24"/>
          <w:lang w:eastAsia="zh-CN"/>
        </w:rPr>
      </w:pPr>
      <w:r>
        <w:rPr>
          <w:rFonts w:hint="eastAsia" w:ascii="宋体" w:hAnsi="宋体" w:cs="宋体"/>
          <w:sz w:val="24"/>
          <w:szCs w:val="24"/>
        </w:rPr>
        <w:t>投标人具</w:t>
      </w:r>
      <w:r>
        <w:rPr>
          <w:rFonts w:hint="eastAsia" w:ascii="宋体" w:hAnsi="宋体" w:cs="宋体"/>
          <w:sz w:val="24"/>
          <w:szCs w:val="24"/>
          <w:lang w:eastAsia="zh-CN"/>
        </w:rPr>
        <w:t>有</w:t>
      </w:r>
      <w:r>
        <w:rPr>
          <w:rFonts w:hint="eastAsia" w:ascii="宋体" w:hAnsi="宋体" w:cs="宋体"/>
          <w:sz w:val="24"/>
          <w:szCs w:val="24"/>
        </w:rPr>
        <w:t>实验室信息管理系统相关软件著作权证书</w:t>
      </w:r>
      <w:r>
        <w:rPr>
          <w:rFonts w:hint="eastAsia" w:ascii="宋体" w:hAnsi="宋体" w:cs="宋体"/>
          <w:sz w:val="24"/>
          <w:szCs w:val="24"/>
          <w:lang w:eastAsia="zh-CN"/>
        </w:rPr>
        <w:t>优先考虑</w:t>
      </w:r>
      <w:r>
        <w:rPr>
          <w:rFonts w:hint="eastAsia" w:ascii="宋体" w:hAnsi="宋体" w:cs="宋体"/>
          <w:sz w:val="24"/>
          <w:szCs w:val="24"/>
        </w:rPr>
        <w:t>（提供证书</w:t>
      </w:r>
      <w:r>
        <w:rPr>
          <w:rFonts w:hint="eastAsia" w:ascii="宋体" w:hAnsi="宋体" w:cs="宋体"/>
          <w:sz w:val="24"/>
          <w:szCs w:val="24"/>
          <w:lang w:eastAsia="zh-CN"/>
        </w:rPr>
        <w:t>扫描件，</w:t>
      </w:r>
      <w:r>
        <w:rPr>
          <w:rFonts w:hint="eastAsia" w:ascii="宋体" w:hAnsi="宋体" w:cs="宋体"/>
          <w:sz w:val="24"/>
          <w:szCs w:val="24"/>
        </w:rPr>
        <w:t>具有有效的ISO 20000</w:t>
      </w:r>
      <w:r>
        <w:rPr>
          <w:rFonts w:hint="eastAsia" w:ascii="宋体" w:hAnsi="宋体" w:cs="宋体"/>
          <w:sz w:val="24"/>
          <w:szCs w:val="24"/>
          <w:lang w:eastAsia="zh-CN"/>
        </w:rPr>
        <w:t>信息</w:t>
      </w:r>
      <w:r>
        <w:rPr>
          <w:rFonts w:hint="eastAsia" w:ascii="宋体" w:hAnsi="宋体" w:cs="宋体"/>
          <w:sz w:val="24"/>
          <w:szCs w:val="24"/>
        </w:rPr>
        <w:t>服务管理体系认证证书</w:t>
      </w:r>
      <w:r>
        <w:rPr>
          <w:rFonts w:hint="eastAsia" w:ascii="宋体" w:hAnsi="宋体" w:cs="宋体"/>
          <w:sz w:val="24"/>
          <w:szCs w:val="24"/>
          <w:lang w:eastAsia="zh-CN"/>
        </w:rPr>
        <w:t>、</w:t>
      </w:r>
      <w:r>
        <w:rPr>
          <w:rFonts w:hint="eastAsia" w:ascii="宋体" w:hAnsi="宋体" w:cs="宋体"/>
          <w:sz w:val="24"/>
          <w:szCs w:val="24"/>
        </w:rPr>
        <w:t>ISO 27001信息安全管理体系认证证书</w:t>
      </w:r>
      <w:r>
        <w:rPr>
          <w:rFonts w:hint="eastAsia" w:ascii="宋体" w:hAnsi="宋体" w:cs="宋体"/>
          <w:sz w:val="24"/>
          <w:szCs w:val="24"/>
          <w:lang w:eastAsia="zh-CN"/>
        </w:rPr>
        <w:t>、</w:t>
      </w:r>
      <w:r>
        <w:rPr>
          <w:rFonts w:hint="eastAsia" w:ascii="宋体" w:hAnsi="宋体" w:cs="宋体"/>
          <w:sz w:val="24"/>
          <w:szCs w:val="24"/>
        </w:rPr>
        <w:t>ISO 9001质量管理体系认证证书</w:t>
      </w:r>
      <w:r>
        <w:rPr>
          <w:rFonts w:hint="eastAsia" w:ascii="宋体" w:hAnsi="宋体" w:cs="宋体"/>
          <w:sz w:val="24"/>
          <w:szCs w:val="24"/>
          <w:lang w:eastAsia="zh-CN"/>
        </w:rPr>
        <w:t>优先考虑。</w:t>
      </w:r>
    </w:p>
    <w:p w14:paraId="5A7587F3">
      <w:pPr>
        <w:numPr>
          <w:ilvl w:val="0"/>
          <w:numId w:val="1"/>
        </w:numPr>
        <w:spacing w:before="120" w:after="120" w:line="360" w:lineRule="auto"/>
        <w:ind w:firstLine="0"/>
        <w:outlineLvl w:val="0"/>
        <w:rPr>
          <w:rFonts w:ascii="宋体" w:hAnsi="宋体" w:cs="宋体"/>
          <w:b/>
          <w:bCs/>
          <w:kern w:val="44"/>
          <w:sz w:val="24"/>
          <w:szCs w:val="24"/>
        </w:rPr>
      </w:pPr>
      <w:r>
        <w:rPr>
          <w:rFonts w:hint="eastAsia" w:ascii="宋体" w:hAnsi="宋体" w:cs="宋体"/>
          <w:b/>
          <w:bCs/>
          <w:kern w:val="44"/>
          <w:sz w:val="24"/>
          <w:szCs w:val="24"/>
        </w:rPr>
        <w:t>供应商管理要求</w:t>
      </w:r>
      <w:bookmarkEnd w:id="17"/>
    </w:p>
    <w:p w14:paraId="69ED60B9">
      <w:pPr>
        <w:spacing w:line="360" w:lineRule="auto"/>
        <w:ind w:firstLine="480" w:firstLineChars="200"/>
        <w:rPr>
          <w:rFonts w:ascii="宋体" w:hAnsi="宋体" w:cs="宋体"/>
          <w:sz w:val="24"/>
          <w:szCs w:val="24"/>
        </w:rPr>
      </w:pPr>
      <w:r>
        <w:rPr>
          <w:rFonts w:hint="eastAsia" w:ascii="宋体" w:hAnsi="宋体" w:cs="宋体"/>
          <w:sz w:val="24"/>
          <w:szCs w:val="24"/>
        </w:rPr>
        <w:t>1、在项目实施期间，中标人应严格执行国家、地方、行业有关本项目业务管理和安全作业的法律、法规和制度并按规定承担相应的费用。中标人因违反规定等原因造成的一切损失和责任由中标人自行承担。</w:t>
      </w:r>
    </w:p>
    <w:p w14:paraId="52A4852E">
      <w:pPr>
        <w:spacing w:line="360" w:lineRule="auto"/>
        <w:ind w:firstLine="480" w:firstLineChars="200"/>
        <w:rPr>
          <w:rFonts w:ascii="宋体" w:hAnsi="宋体" w:cs="宋体"/>
          <w:sz w:val="24"/>
          <w:szCs w:val="24"/>
        </w:rPr>
      </w:pPr>
      <w:r>
        <w:rPr>
          <w:rFonts w:hint="eastAsia" w:ascii="宋体" w:hAnsi="宋体" w:cs="宋体"/>
          <w:sz w:val="24"/>
          <w:szCs w:val="24"/>
        </w:rPr>
        <w:t>2、中标人在投标书中承诺并经招标人认定的项目负责人及专业技术人员必须是本单位职工（在本单位缴纳社会保障金）和该项目实施现场的实际操作者，应具有类似本项目的实施经验，并应在软件应用调研、安装、试运行等期间常驻项目现场。未经采购人同意，中标人不得调换或撤离上述人员。如采购人认为有必要，可要求中标人对上述人员中的部分人员作出更好的调整。</w:t>
      </w:r>
    </w:p>
    <w:p w14:paraId="0C9605BD">
      <w:pPr>
        <w:spacing w:line="360" w:lineRule="auto"/>
        <w:ind w:firstLine="480" w:firstLineChars="200"/>
        <w:rPr>
          <w:rFonts w:ascii="宋体" w:hAnsi="宋体" w:cs="宋体"/>
          <w:sz w:val="24"/>
          <w:szCs w:val="24"/>
        </w:rPr>
      </w:pPr>
      <w:r>
        <w:rPr>
          <w:rFonts w:hint="eastAsia" w:ascii="宋体" w:hAnsi="宋体" w:cs="宋体"/>
          <w:sz w:val="24"/>
          <w:szCs w:val="24"/>
        </w:rPr>
        <w:t>3、中标人在项目实施期间，应按项目实际进度与环节落实所对应项目整体及各环节管理工作，按照规范做好项目实施期间相关管理与实施记录。</w:t>
      </w:r>
    </w:p>
    <w:p w14:paraId="7266D6D5">
      <w:pPr>
        <w:spacing w:line="360" w:lineRule="auto"/>
        <w:ind w:firstLine="480" w:firstLineChars="200"/>
        <w:rPr>
          <w:rFonts w:ascii="宋体" w:hAnsi="宋体" w:cs="宋体"/>
          <w:sz w:val="24"/>
          <w:szCs w:val="24"/>
        </w:rPr>
      </w:pPr>
      <w:r>
        <w:rPr>
          <w:rFonts w:hint="eastAsia" w:ascii="宋体" w:hAnsi="宋体" w:cs="宋体"/>
          <w:sz w:val="24"/>
          <w:szCs w:val="24"/>
        </w:rPr>
        <w:t>4、参与本项目的工作人员应严格遵循采购人的安全制度，保障采购人资料和设备的安全。中标方如需进入采购人机房工作，只能在采购人规定的工作区域内对项目涉及的设备进行操作，严禁触动与项目无关的任何设备（包括任何操作行为），如需跨区操作必须得到采购人项目联系人确认。</w:t>
      </w:r>
    </w:p>
    <w:p w14:paraId="6E4CABE7">
      <w:pPr>
        <w:spacing w:line="360" w:lineRule="auto"/>
        <w:ind w:firstLine="480" w:firstLineChars="200"/>
        <w:rPr>
          <w:rFonts w:ascii="宋体" w:hAnsi="宋体" w:cs="宋体"/>
          <w:sz w:val="24"/>
          <w:szCs w:val="24"/>
        </w:rPr>
      </w:pPr>
      <w:r>
        <w:rPr>
          <w:rFonts w:hint="eastAsia" w:ascii="宋体" w:hAnsi="宋体" w:cs="宋体"/>
          <w:sz w:val="24"/>
          <w:szCs w:val="24"/>
        </w:rPr>
        <w:t>5、中标人在项目实施期间必须遵守采购人的规章制度并提供实施人员名单。</w:t>
      </w:r>
    </w:p>
    <w:p w14:paraId="0E6BA6F2">
      <w:pPr>
        <w:spacing w:line="360" w:lineRule="auto"/>
        <w:ind w:firstLine="480" w:firstLineChars="200"/>
        <w:rPr>
          <w:rFonts w:ascii="宋体" w:hAnsi="宋体" w:cs="宋体"/>
          <w:sz w:val="24"/>
          <w:szCs w:val="24"/>
        </w:rPr>
      </w:pPr>
      <w:r>
        <w:rPr>
          <w:rFonts w:hint="eastAsia" w:ascii="宋体" w:hAnsi="宋体" w:cs="宋体"/>
          <w:sz w:val="24"/>
          <w:szCs w:val="24"/>
        </w:rPr>
        <w:t>6、各投标人在投标文件中要结合本项目的特点和采购人上述的具体要求制定相应的管理措施，并在报价中列支相应的费用清单，投标人报价中未列支上述费用清单的，上述费用视为已包含在投标人的投标总报价中。</w:t>
      </w:r>
    </w:p>
    <w:p w14:paraId="52F0464A">
      <w:pPr>
        <w:spacing w:line="360" w:lineRule="auto"/>
        <w:ind w:firstLine="480" w:firstLineChars="200"/>
        <w:rPr>
          <w:rFonts w:ascii="宋体" w:hAnsi="宋体" w:cs="宋体"/>
          <w:sz w:val="24"/>
          <w:szCs w:val="24"/>
        </w:rPr>
      </w:pPr>
      <w:r>
        <w:rPr>
          <w:rFonts w:hint="eastAsia" w:ascii="宋体" w:hAnsi="宋体" w:cs="宋体"/>
          <w:sz w:val="24"/>
          <w:szCs w:val="24"/>
        </w:rPr>
        <w:t>7、本项目软件开发及调试将纳入采购人的管理范围，中标人在此过程中须服从上述单位的管理协调。</w:t>
      </w:r>
    </w:p>
    <w:p w14:paraId="66C55D72">
      <w:pPr>
        <w:spacing w:line="360" w:lineRule="auto"/>
        <w:ind w:firstLine="480" w:firstLineChars="200"/>
        <w:rPr>
          <w:rFonts w:hint="eastAsia" w:ascii="宋体" w:hAnsi="宋体" w:eastAsia="宋体" w:cs="宋体"/>
          <w:sz w:val="24"/>
          <w:szCs w:val="24"/>
          <w:lang w:val="en-US" w:eastAsia="zh-CN"/>
        </w:rPr>
      </w:pPr>
      <w:r>
        <w:rPr>
          <w:rFonts w:hint="eastAsia" w:ascii="宋体" w:hAnsi="宋体" w:cs="宋体"/>
          <w:sz w:val="24"/>
          <w:szCs w:val="24"/>
          <w:lang w:val="en-US" w:eastAsia="zh-CN"/>
        </w:rPr>
        <w:t>8、</w:t>
      </w:r>
      <w:bookmarkStart w:id="35" w:name="_GoBack"/>
      <w:r>
        <w:rPr>
          <w:rFonts w:hint="eastAsia" w:ascii="宋体" w:hAnsi="宋体" w:cs="宋体"/>
          <w:sz w:val="24"/>
          <w:szCs w:val="24"/>
          <w:lang w:val="en-US" w:eastAsia="zh-CN"/>
        </w:rPr>
        <w:t>投标人承诺项目实施结束后提供本项目完整源代码</w:t>
      </w:r>
      <w:bookmarkEnd w:id="35"/>
      <w:r>
        <w:rPr>
          <w:rFonts w:hint="eastAsia" w:ascii="宋体" w:hAnsi="宋体" w:cs="宋体"/>
          <w:sz w:val="24"/>
          <w:szCs w:val="24"/>
          <w:lang w:val="en-US" w:eastAsia="zh-CN"/>
        </w:rPr>
        <w:t>优先考虑。</w:t>
      </w:r>
    </w:p>
    <w:p w14:paraId="34F7970F">
      <w:pPr>
        <w:numPr>
          <w:ilvl w:val="0"/>
          <w:numId w:val="1"/>
        </w:numPr>
        <w:spacing w:before="120" w:after="120" w:line="360" w:lineRule="auto"/>
        <w:ind w:firstLine="0"/>
        <w:outlineLvl w:val="0"/>
        <w:rPr>
          <w:rFonts w:ascii="宋体" w:hAnsi="宋体" w:cs="宋体"/>
          <w:b/>
          <w:bCs/>
          <w:color w:val="FF0000"/>
          <w:kern w:val="44"/>
          <w:sz w:val="24"/>
          <w:szCs w:val="24"/>
        </w:rPr>
      </w:pPr>
      <w:bookmarkStart w:id="34" w:name="_Toc63785514"/>
      <w:r>
        <w:rPr>
          <w:rFonts w:hint="eastAsia" w:ascii="宋体" w:hAnsi="宋体" w:cs="宋体"/>
          <w:b/>
          <w:bCs/>
          <w:color w:val="FF0000"/>
          <w:kern w:val="44"/>
          <w:sz w:val="24"/>
          <w:szCs w:val="24"/>
        </w:rPr>
        <w:t>付款</w:t>
      </w:r>
      <w:bookmarkEnd w:id="34"/>
      <w:r>
        <w:rPr>
          <w:rFonts w:hint="eastAsia" w:ascii="宋体" w:hAnsi="宋体" w:cs="宋体"/>
          <w:b/>
          <w:bCs/>
          <w:color w:val="FF0000"/>
          <w:kern w:val="44"/>
          <w:sz w:val="24"/>
          <w:szCs w:val="24"/>
        </w:rPr>
        <w:t>方式</w:t>
      </w:r>
    </w:p>
    <w:p w14:paraId="70047573">
      <w:pPr>
        <w:spacing w:line="360" w:lineRule="auto"/>
        <w:ind w:firstLine="480" w:firstLineChars="200"/>
        <w:rPr>
          <w:rFonts w:ascii="宋体" w:hAnsi="宋体" w:cs="宋体"/>
          <w:color w:val="FF0000"/>
          <w:sz w:val="24"/>
          <w:szCs w:val="24"/>
        </w:rPr>
      </w:pPr>
      <w:r>
        <w:rPr>
          <w:rFonts w:hint="eastAsia" w:ascii="宋体" w:hAnsi="宋体" w:cs="宋体"/>
          <w:color w:val="FF0000"/>
          <w:sz w:val="24"/>
          <w:szCs w:val="24"/>
          <w:lang w:eastAsia="zh-CN"/>
        </w:rPr>
        <w:t>第一笔付款（</w:t>
      </w:r>
      <w:r>
        <w:rPr>
          <w:rFonts w:hint="eastAsia" w:ascii="宋体" w:hAnsi="宋体" w:cs="宋体"/>
          <w:color w:val="FF0000"/>
          <w:sz w:val="24"/>
          <w:szCs w:val="24"/>
          <w:lang w:val="en-US" w:eastAsia="zh-CN"/>
        </w:rPr>
        <w:t>40%</w:t>
      </w:r>
      <w:r>
        <w:rPr>
          <w:rFonts w:hint="eastAsia" w:ascii="宋体" w:hAnsi="宋体" w:cs="宋体"/>
          <w:color w:val="FF0000"/>
          <w:sz w:val="24"/>
          <w:szCs w:val="24"/>
          <w:lang w:eastAsia="zh-CN"/>
        </w:rPr>
        <w:t>）：</w:t>
      </w:r>
      <w:r>
        <w:rPr>
          <w:rFonts w:hint="eastAsia" w:ascii="宋体" w:hAnsi="宋体" w:cs="宋体"/>
          <w:color w:val="FF0000"/>
          <w:sz w:val="24"/>
          <w:szCs w:val="24"/>
        </w:rPr>
        <w:t>合同签订生效</w:t>
      </w:r>
      <w:r>
        <w:rPr>
          <w:rFonts w:hint="eastAsia" w:ascii="宋体" w:hAnsi="宋体" w:cs="宋体"/>
          <w:color w:val="FF0000"/>
          <w:sz w:val="24"/>
          <w:szCs w:val="24"/>
          <w:lang w:eastAsia="zh-CN"/>
        </w:rPr>
        <w:t>且采购人收到履约保证金和发票</w:t>
      </w:r>
      <w:r>
        <w:rPr>
          <w:rFonts w:hint="eastAsia" w:ascii="宋体" w:hAnsi="宋体" w:cs="宋体"/>
          <w:color w:val="FF0000"/>
          <w:sz w:val="24"/>
          <w:szCs w:val="24"/>
        </w:rPr>
        <w:t xml:space="preserve">后 </w:t>
      </w:r>
      <w:r>
        <w:rPr>
          <w:rFonts w:hint="eastAsia" w:ascii="宋体" w:hAnsi="宋体" w:cs="宋体"/>
          <w:color w:val="FF0000"/>
          <w:sz w:val="24"/>
          <w:szCs w:val="24"/>
          <w:lang w:val="en-US" w:eastAsia="zh-CN"/>
        </w:rPr>
        <w:t>1</w:t>
      </w:r>
      <w:r>
        <w:rPr>
          <w:rFonts w:hint="eastAsia" w:ascii="宋体" w:hAnsi="宋体" w:cs="宋体"/>
          <w:color w:val="FF0000"/>
          <w:sz w:val="24"/>
          <w:szCs w:val="24"/>
        </w:rPr>
        <w:t>0个工作日内，支付合同总价款的40%；</w:t>
      </w:r>
      <w:r>
        <w:rPr>
          <w:rFonts w:hint="eastAsia" w:ascii="宋体" w:hAnsi="宋体" w:cs="宋体"/>
          <w:color w:val="FF0000"/>
          <w:sz w:val="24"/>
          <w:szCs w:val="24"/>
          <w:lang w:eastAsia="zh-CN"/>
        </w:rPr>
        <w:t>第二笔付款（</w:t>
      </w:r>
      <w:r>
        <w:rPr>
          <w:rFonts w:hint="eastAsia" w:ascii="宋体" w:hAnsi="宋体" w:cs="宋体"/>
          <w:color w:val="FF0000"/>
          <w:sz w:val="24"/>
          <w:szCs w:val="24"/>
          <w:lang w:val="en-US" w:eastAsia="zh-CN"/>
        </w:rPr>
        <w:t>30%</w:t>
      </w:r>
      <w:r>
        <w:rPr>
          <w:rFonts w:hint="eastAsia" w:ascii="宋体" w:hAnsi="宋体" w:cs="宋体"/>
          <w:color w:val="FF0000"/>
          <w:sz w:val="24"/>
          <w:szCs w:val="24"/>
          <w:lang w:eastAsia="zh-CN"/>
        </w:rPr>
        <w:t>）：</w:t>
      </w:r>
      <w:r>
        <w:rPr>
          <w:rFonts w:hint="eastAsia" w:ascii="宋体" w:hAnsi="宋体" w:cs="宋体"/>
          <w:color w:val="FF0000"/>
          <w:sz w:val="24"/>
          <w:szCs w:val="24"/>
        </w:rPr>
        <w:t>中期验收（即初验）通过</w:t>
      </w:r>
      <w:r>
        <w:rPr>
          <w:rFonts w:hint="eastAsia" w:ascii="宋体" w:hAnsi="宋体" w:cs="宋体"/>
          <w:color w:val="FF0000"/>
          <w:sz w:val="24"/>
          <w:szCs w:val="24"/>
          <w:lang w:eastAsia="zh-CN"/>
        </w:rPr>
        <w:t>且采购人收到发票</w:t>
      </w:r>
      <w:r>
        <w:rPr>
          <w:rFonts w:hint="eastAsia" w:ascii="宋体" w:hAnsi="宋体" w:cs="宋体"/>
          <w:color w:val="FF0000"/>
          <w:sz w:val="24"/>
          <w:szCs w:val="24"/>
        </w:rPr>
        <w:t>后</w:t>
      </w:r>
      <w:r>
        <w:rPr>
          <w:rFonts w:hint="eastAsia" w:ascii="宋体" w:hAnsi="宋体" w:cs="宋体"/>
          <w:color w:val="FF0000"/>
          <w:sz w:val="24"/>
          <w:szCs w:val="24"/>
          <w:lang w:val="en-US" w:eastAsia="zh-CN"/>
        </w:rPr>
        <w:t>1</w:t>
      </w:r>
      <w:r>
        <w:rPr>
          <w:rFonts w:hint="eastAsia" w:ascii="宋体" w:hAnsi="宋体" w:cs="宋体"/>
          <w:color w:val="FF0000"/>
          <w:sz w:val="24"/>
          <w:szCs w:val="24"/>
        </w:rPr>
        <w:t>0个工作日内，支付合同总价款的30%；第</w:t>
      </w:r>
      <w:r>
        <w:rPr>
          <w:rFonts w:hint="eastAsia" w:ascii="宋体" w:hAnsi="宋体" w:cs="宋体"/>
          <w:color w:val="FF0000"/>
          <w:sz w:val="24"/>
          <w:szCs w:val="24"/>
          <w:lang w:eastAsia="zh-CN"/>
        </w:rPr>
        <w:t>三</w:t>
      </w:r>
      <w:r>
        <w:rPr>
          <w:rFonts w:hint="eastAsia" w:ascii="宋体" w:hAnsi="宋体" w:cs="宋体"/>
          <w:color w:val="FF0000"/>
          <w:sz w:val="24"/>
          <w:szCs w:val="24"/>
        </w:rPr>
        <w:t>笔付款（30%）：通过最终验收</w:t>
      </w:r>
      <w:r>
        <w:rPr>
          <w:rFonts w:hint="eastAsia" w:ascii="宋体" w:hAnsi="宋体" w:cs="宋体"/>
          <w:color w:val="FF0000"/>
          <w:sz w:val="24"/>
          <w:szCs w:val="24"/>
          <w:lang w:eastAsia="zh-CN"/>
        </w:rPr>
        <w:t>且采购人收到发票</w:t>
      </w:r>
      <w:r>
        <w:rPr>
          <w:rFonts w:hint="eastAsia" w:ascii="宋体" w:hAnsi="宋体" w:cs="宋体"/>
          <w:color w:val="FF0000"/>
          <w:sz w:val="24"/>
          <w:szCs w:val="24"/>
        </w:rPr>
        <w:t>后</w:t>
      </w:r>
      <w:r>
        <w:rPr>
          <w:rFonts w:hint="eastAsia" w:ascii="宋体" w:hAnsi="宋体" w:cs="宋体"/>
          <w:color w:val="FF0000"/>
          <w:sz w:val="24"/>
          <w:szCs w:val="24"/>
          <w:lang w:val="en-US" w:eastAsia="zh-CN"/>
        </w:rPr>
        <w:t>1</w:t>
      </w:r>
      <w:r>
        <w:rPr>
          <w:rFonts w:hint="eastAsia" w:ascii="宋体" w:hAnsi="宋体" w:cs="宋体"/>
          <w:color w:val="FF0000"/>
          <w:sz w:val="24"/>
          <w:szCs w:val="24"/>
        </w:rPr>
        <w:t>0个工作日内，支付合同总价款的</w:t>
      </w:r>
      <w:r>
        <w:rPr>
          <w:rFonts w:hint="eastAsia" w:ascii="宋体" w:hAnsi="宋体" w:cs="宋体"/>
          <w:color w:val="FF0000"/>
          <w:sz w:val="24"/>
          <w:szCs w:val="24"/>
          <w:lang w:val="en-US" w:eastAsia="zh-CN"/>
        </w:rPr>
        <w:t>3</w:t>
      </w:r>
      <w:r>
        <w:rPr>
          <w:rFonts w:hint="eastAsia" w:ascii="宋体" w:hAnsi="宋体" w:cs="宋体"/>
          <w:color w:val="FF0000"/>
          <w:sz w:val="24"/>
          <w:szCs w:val="24"/>
        </w:rPr>
        <w:t>0%</w:t>
      </w:r>
      <w:r>
        <w:rPr>
          <w:rFonts w:hint="eastAsia" w:ascii="宋体" w:hAnsi="宋体" w:cs="宋体"/>
          <w:color w:val="FF0000"/>
          <w:sz w:val="24"/>
          <w:szCs w:val="24"/>
          <w:lang w:eastAsia="zh-CN"/>
        </w:rPr>
        <w:t>，退还履约保证金</w:t>
      </w:r>
      <w:r>
        <w:rPr>
          <w:rFonts w:hint="eastAsia" w:ascii="宋体" w:hAnsi="宋体" w:cs="宋体"/>
          <w:color w:val="FF0000"/>
          <w:sz w:val="24"/>
          <w:szCs w:val="24"/>
        </w:rPr>
        <w:t>。</w:t>
      </w:r>
    </w:p>
    <w:p w14:paraId="11C5A258"/>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C111E5"/>
    <w:multiLevelType w:val="multilevel"/>
    <w:tmpl w:val="00C111E5"/>
    <w:lvl w:ilvl="0" w:tentative="0">
      <w:start w:val="1"/>
      <w:numFmt w:val="bullet"/>
      <w:lvlText w:val=""/>
      <w:lvlJc w:val="left"/>
      <w:pPr>
        <w:ind w:left="1000" w:hanging="440"/>
      </w:pPr>
      <w:rPr>
        <w:rFonts w:hint="default" w:ascii="Wingdings" w:hAnsi="Wingdings"/>
      </w:rPr>
    </w:lvl>
    <w:lvl w:ilvl="1" w:tentative="0">
      <w:start w:val="1"/>
      <w:numFmt w:val="bullet"/>
      <w:lvlText w:val=""/>
      <w:lvlJc w:val="left"/>
      <w:pPr>
        <w:ind w:left="1440" w:hanging="440"/>
      </w:pPr>
      <w:rPr>
        <w:rFonts w:hint="default" w:ascii="Wingdings" w:hAnsi="Wingdings"/>
      </w:rPr>
    </w:lvl>
    <w:lvl w:ilvl="2" w:tentative="0">
      <w:start w:val="1"/>
      <w:numFmt w:val="bullet"/>
      <w:lvlText w:val=""/>
      <w:lvlJc w:val="left"/>
      <w:pPr>
        <w:ind w:left="1880" w:hanging="440"/>
      </w:pPr>
      <w:rPr>
        <w:rFonts w:hint="default" w:ascii="Wingdings" w:hAnsi="Wingdings"/>
      </w:rPr>
    </w:lvl>
    <w:lvl w:ilvl="3" w:tentative="0">
      <w:start w:val="1"/>
      <w:numFmt w:val="bullet"/>
      <w:lvlText w:val=""/>
      <w:lvlJc w:val="left"/>
      <w:pPr>
        <w:ind w:left="2320" w:hanging="440"/>
      </w:pPr>
      <w:rPr>
        <w:rFonts w:hint="default" w:ascii="Wingdings" w:hAnsi="Wingdings"/>
      </w:rPr>
    </w:lvl>
    <w:lvl w:ilvl="4" w:tentative="0">
      <w:start w:val="1"/>
      <w:numFmt w:val="bullet"/>
      <w:lvlText w:val=""/>
      <w:lvlJc w:val="left"/>
      <w:pPr>
        <w:ind w:left="2760" w:hanging="440"/>
      </w:pPr>
      <w:rPr>
        <w:rFonts w:hint="default" w:ascii="Wingdings" w:hAnsi="Wingdings"/>
      </w:rPr>
    </w:lvl>
    <w:lvl w:ilvl="5" w:tentative="0">
      <w:start w:val="1"/>
      <w:numFmt w:val="bullet"/>
      <w:lvlText w:val=""/>
      <w:lvlJc w:val="left"/>
      <w:pPr>
        <w:ind w:left="3200" w:hanging="440"/>
      </w:pPr>
      <w:rPr>
        <w:rFonts w:hint="default" w:ascii="Wingdings" w:hAnsi="Wingdings"/>
      </w:rPr>
    </w:lvl>
    <w:lvl w:ilvl="6" w:tentative="0">
      <w:start w:val="1"/>
      <w:numFmt w:val="bullet"/>
      <w:lvlText w:val=""/>
      <w:lvlJc w:val="left"/>
      <w:pPr>
        <w:ind w:left="3640" w:hanging="440"/>
      </w:pPr>
      <w:rPr>
        <w:rFonts w:hint="default" w:ascii="Wingdings" w:hAnsi="Wingdings"/>
      </w:rPr>
    </w:lvl>
    <w:lvl w:ilvl="7" w:tentative="0">
      <w:start w:val="1"/>
      <w:numFmt w:val="bullet"/>
      <w:lvlText w:val=""/>
      <w:lvlJc w:val="left"/>
      <w:pPr>
        <w:ind w:left="4080" w:hanging="440"/>
      </w:pPr>
      <w:rPr>
        <w:rFonts w:hint="default" w:ascii="Wingdings" w:hAnsi="Wingdings"/>
      </w:rPr>
    </w:lvl>
    <w:lvl w:ilvl="8" w:tentative="0">
      <w:start w:val="1"/>
      <w:numFmt w:val="bullet"/>
      <w:lvlText w:val=""/>
      <w:lvlJc w:val="left"/>
      <w:pPr>
        <w:ind w:left="4520" w:hanging="440"/>
      </w:pPr>
      <w:rPr>
        <w:rFonts w:hint="default" w:ascii="Wingdings" w:hAnsi="Wingdings"/>
      </w:rPr>
    </w:lvl>
  </w:abstractNum>
  <w:abstractNum w:abstractNumId="1">
    <w:nsid w:val="022F01E5"/>
    <w:multiLevelType w:val="multilevel"/>
    <w:tmpl w:val="022F01E5"/>
    <w:lvl w:ilvl="0" w:tentative="0">
      <w:start w:val="1"/>
      <w:numFmt w:val="bullet"/>
      <w:lvlText w:val=""/>
      <w:lvlJc w:val="left"/>
      <w:pPr>
        <w:ind w:left="1000" w:hanging="440"/>
      </w:pPr>
      <w:rPr>
        <w:rFonts w:hint="default" w:ascii="Wingdings" w:hAnsi="Wingdings"/>
      </w:rPr>
    </w:lvl>
    <w:lvl w:ilvl="1" w:tentative="0">
      <w:start w:val="1"/>
      <w:numFmt w:val="bullet"/>
      <w:lvlText w:val=""/>
      <w:lvlJc w:val="left"/>
      <w:pPr>
        <w:ind w:left="1440" w:hanging="440"/>
      </w:pPr>
      <w:rPr>
        <w:rFonts w:hint="default" w:ascii="Wingdings" w:hAnsi="Wingdings"/>
      </w:rPr>
    </w:lvl>
    <w:lvl w:ilvl="2" w:tentative="0">
      <w:start w:val="1"/>
      <w:numFmt w:val="bullet"/>
      <w:lvlText w:val=""/>
      <w:lvlJc w:val="left"/>
      <w:pPr>
        <w:ind w:left="1880" w:hanging="440"/>
      </w:pPr>
      <w:rPr>
        <w:rFonts w:hint="default" w:ascii="Wingdings" w:hAnsi="Wingdings"/>
      </w:rPr>
    </w:lvl>
    <w:lvl w:ilvl="3" w:tentative="0">
      <w:start w:val="1"/>
      <w:numFmt w:val="bullet"/>
      <w:lvlText w:val=""/>
      <w:lvlJc w:val="left"/>
      <w:pPr>
        <w:ind w:left="2320" w:hanging="440"/>
      </w:pPr>
      <w:rPr>
        <w:rFonts w:hint="default" w:ascii="Wingdings" w:hAnsi="Wingdings"/>
      </w:rPr>
    </w:lvl>
    <w:lvl w:ilvl="4" w:tentative="0">
      <w:start w:val="1"/>
      <w:numFmt w:val="bullet"/>
      <w:lvlText w:val=""/>
      <w:lvlJc w:val="left"/>
      <w:pPr>
        <w:ind w:left="2760" w:hanging="440"/>
      </w:pPr>
      <w:rPr>
        <w:rFonts w:hint="default" w:ascii="Wingdings" w:hAnsi="Wingdings"/>
      </w:rPr>
    </w:lvl>
    <w:lvl w:ilvl="5" w:tentative="0">
      <w:start w:val="1"/>
      <w:numFmt w:val="bullet"/>
      <w:lvlText w:val=""/>
      <w:lvlJc w:val="left"/>
      <w:pPr>
        <w:ind w:left="3200" w:hanging="440"/>
      </w:pPr>
      <w:rPr>
        <w:rFonts w:hint="default" w:ascii="Wingdings" w:hAnsi="Wingdings"/>
      </w:rPr>
    </w:lvl>
    <w:lvl w:ilvl="6" w:tentative="0">
      <w:start w:val="1"/>
      <w:numFmt w:val="bullet"/>
      <w:lvlText w:val=""/>
      <w:lvlJc w:val="left"/>
      <w:pPr>
        <w:ind w:left="3640" w:hanging="440"/>
      </w:pPr>
      <w:rPr>
        <w:rFonts w:hint="default" w:ascii="Wingdings" w:hAnsi="Wingdings"/>
      </w:rPr>
    </w:lvl>
    <w:lvl w:ilvl="7" w:tentative="0">
      <w:start w:val="1"/>
      <w:numFmt w:val="bullet"/>
      <w:lvlText w:val=""/>
      <w:lvlJc w:val="left"/>
      <w:pPr>
        <w:ind w:left="4080" w:hanging="440"/>
      </w:pPr>
      <w:rPr>
        <w:rFonts w:hint="default" w:ascii="Wingdings" w:hAnsi="Wingdings"/>
      </w:rPr>
    </w:lvl>
    <w:lvl w:ilvl="8" w:tentative="0">
      <w:start w:val="1"/>
      <w:numFmt w:val="bullet"/>
      <w:lvlText w:val=""/>
      <w:lvlJc w:val="left"/>
      <w:pPr>
        <w:ind w:left="4520" w:hanging="440"/>
      </w:pPr>
      <w:rPr>
        <w:rFonts w:hint="default" w:ascii="Wingdings" w:hAnsi="Wingdings"/>
      </w:rPr>
    </w:lvl>
  </w:abstractNum>
  <w:abstractNum w:abstractNumId="2">
    <w:nsid w:val="6A2F4AB3"/>
    <w:multiLevelType w:val="multilevel"/>
    <w:tmpl w:val="6A2F4AB3"/>
    <w:lvl w:ilvl="0" w:tentative="0">
      <w:start w:val="1"/>
      <w:numFmt w:val="chineseCountingThousand"/>
      <w:suff w:val="nothing"/>
      <w:lvlText w:val="%1、"/>
      <w:lvlJc w:val="left"/>
      <w:pPr>
        <w:ind w:left="425" w:hanging="425"/>
      </w:pPr>
      <w:rPr>
        <w:rFonts w:hint="eastAsia" w:ascii="宋体" w:hAnsi="宋体" w:eastAsia="宋体" w:cs="宋体"/>
        <w:sz w:val="24"/>
        <w:szCs w:val="24"/>
      </w:rPr>
    </w:lvl>
    <w:lvl w:ilvl="1" w:tentative="0">
      <w:start w:val="1"/>
      <w:numFmt w:val="decimal"/>
      <w:isLgl/>
      <w:suff w:val="nothing"/>
      <w:lvlText w:val="%1.%2、"/>
      <w:lvlJc w:val="left"/>
      <w:pPr>
        <w:ind w:left="1135" w:hanging="567"/>
      </w:pPr>
    </w:lvl>
    <w:lvl w:ilvl="2" w:tentative="0">
      <w:start w:val="1"/>
      <w:numFmt w:val="decimal"/>
      <w:isLgl/>
      <w:suff w:val="nothing"/>
      <w:lvlText w:val="%1.%2.%3、"/>
      <w:lvlJc w:val="left"/>
      <w:pPr>
        <w:ind w:left="1069" w:hanging="1069"/>
      </w:pPr>
      <w:rPr>
        <w:rFonts w:hint="default" w:ascii="宋体" w:hAnsi="宋体" w:eastAsia="宋体" w:cs="Arial"/>
      </w:rPr>
    </w:lvl>
    <w:lvl w:ilvl="3" w:tentative="0">
      <w:start w:val="1"/>
      <w:numFmt w:val="decimal"/>
      <w:isLgl/>
      <w:suff w:val="nothing"/>
      <w:lvlText w:val="%1.%2.%3.%4、"/>
      <w:lvlJc w:val="left"/>
      <w:pPr>
        <w:ind w:left="3403" w:hanging="851"/>
      </w:pPr>
    </w:lvl>
    <w:lvl w:ilvl="4" w:tentative="0">
      <w:start w:val="1"/>
      <w:numFmt w:val="decimal"/>
      <w:isLgl/>
      <w:suff w:val="nothing"/>
      <w:lvlText w:val="%1.%2.%3.%4.%5、"/>
      <w:lvlJc w:val="left"/>
      <w:pPr>
        <w:ind w:left="3544" w:hanging="992"/>
      </w:pPr>
      <w:rPr>
        <w:rFonts w:hint="eastAsia"/>
      </w:rPr>
    </w:lvl>
    <w:lvl w:ilvl="5" w:tentative="0">
      <w:start w:val="1"/>
      <w:numFmt w:val="decimal"/>
      <w:isLgl/>
      <w:suff w:val="nothing"/>
      <w:lvlText w:val="%1.%2.%3.%4.%5.%6、"/>
      <w:lvlJc w:val="left"/>
      <w:pPr>
        <w:ind w:left="1134" w:hanging="1134"/>
      </w:pPr>
      <w:rPr>
        <w:rFonts w:hint="eastAsia"/>
      </w:rPr>
    </w:lvl>
    <w:lvl w:ilvl="6" w:tentative="0">
      <w:start w:val="1"/>
      <w:numFmt w:val="decimal"/>
      <w:isLgl/>
      <w:lvlText w:val="%1.%2.%3.%4.%5.%6.%7"/>
      <w:lvlJc w:val="left"/>
      <w:pPr>
        <w:tabs>
          <w:tab w:val="left" w:pos="1800"/>
        </w:tabs>
        <w:ind w:left="1276" w:hanging="1276"/>
      </w:pPr>
      <w:rPr>
        <w:rFonts w:hint="eastAsia"/>
      </w:rPr>
    </w:lvl>
    <w:lvl w:ilvl="7" w:tentative="0">
      <w:start w:val="1"/>
      <w:numFmt w:val="decimal"/>
      <w:isLgl/>
      <w:lvlText w:val="%1.%2.%3.%4.%5.%6.%7.%8"/>
      <w:lvlJc w:val="left"/>
      <w:pPr>
        <w:tabs>
          <w:tab w:val="left" w:pos="1800"/>
        </w:tabs>
        <w:ind w:left="1418" w:hanging="1418"/>
      </w:pPr>
      <w:rPr>
        <w:rFonts w:hint="eastAsia"/>
      </w:rPr>
    </w:lvl>
    <w:lvl w:ilvl="8" w:tentative="0">
      <w:start w:val="1"/>
      <w:numFmt w:val="decimal"/>
      <w:isLgl/>
      <w:lvlText w:val="%1.%2.%3.%4.%5.%6.%7.%8.%9"/>
      <w:lvlJc w:val="left"/>
      <w:pPr>
        <w:tabs>
          <w:tab w:val="left" w:pos="2160"/>
        </w:tabs>
        <w:ind w:left="1559" w:hanging="1559"/>
      </w:pPr>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537802E3"/>
    <w:rsid w:val="00213C9E"/>
    <w:rsid w:val="0026697A"/>
    <w:rsid w:val="007B4C98"/>
    <w:rsid w:val="008770D7"/>
    <w:rsid w:val="008B1170"/>
    <w:rsid w:val="00A006A8"/>
    <w:rsid w:val="00FD1348"/>
    <w:rsid w:val="0E4B5F29"/>
    <w:rsid w:val="1BE101A8"/>
    <w:rsid w:val="1C536B8E"/>
    <w:rsid w:val="22FB3ADB"/>
    <w:rsid w:val="24FB4266"/>
    <w:rsid w:val="26B9146C"/>
    <w:rsid w:val="28B87649"/>
    <w:rsid w:val="29B36EBE"/>
    <w:rsid w:val="29D33268"/>
    <w:rsid w:val="2A9C2048"/>
    <w:rsid w:val="2D1F5D8E"/>
    <w:rsid w:val="2F3F11F4"/>
    <w:rsid w:val="34FA1E45"/>
    <w:rsid w:val="35FC7755"/>
    <w:rsid w:val="3AA840F1"/>
    <w:rsid w:val="3B765F9D"/>
    <w:rsid w:val="4435582D"/>
    <w:rsid w:val="44F867C4"/>
    <w:rsid w:val="45366A52"/>
    <w:rsid w:val="4A0D21C2"/>
    <w:rsid w:val="537802E3"/>
    <w:rsid w:val="53AB6CD4"/>
    <w:rsid w:val="571C1C97"/>
    <w:rsid w:val="59965D30"/>
    <w:rsid w:val="5DA327CA"/>
    <w:rsid w:val="5FCF3D4A"/>
    <w:rsid w:val="5FED3D98"/>
    <w:rsid w:val="67050051"/>
    <w:rsid w:val="674548F2"/>
    <w:rsid w:val="6C3311BD"/>
    <w:rsid w:val="6D0B038C"/>
    <w:rsid w:val="6DFFFE06"/>
    <w:rsid w:val="6ED30A35"/>
    <w:rsid w:val="718129CA"/>
    <w:rsid w:val="76EB02AF"/>
    <w:rsid w:val="77F322FC"/>
    <w:rsid w:val="7DFF630D"/>
    <w:rsid w:val="7F3AD81D"/>
    <w:rsid w:val="7F421DDE"/>
    <w:rsid w:val="7F910091"/>
    <w:rsid w:val="BBEFDD8E"/>
    <w:rsid w:val="EEDACC39"/>
    <w:rsid w:val="FF7E37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next w:val="4"/>
    <w:qFormat/>
    <w:uiPriority w:val="0"/>
    <w:pPr>
      <w:spacing w:after="120"/>
    </w:pPr>
    <w:rPr>
      <w:sz w:val="28"/>
      <w:szCs w:val="24"/>
    </w:rPr>
  </w:style>
  <w:style w:type="paragraph" w:customStyle="1" w:styleId="4">
    <w:name w:val="Default"/>
    <w:qFormat/>
    <w:uiPriority w:val="0"/>
    <w:pPr>
      <w:widowControl w:val="0"/>
      <w:autoSpaceDE w:val="0"/>
      <w:autoSpaceDN w:val="0"/>
      <w:adjustRightInd w:val="0"/>
    </w:pPr>
    <w:rPr>
      <w:rFonts w:ascii="楷体" w:hAnsi="Times New Roman" w:eastAsia="楷体" w:cs="楷体"/>
      <w:color w:val="000000"/>
      <w:sz w:val="24"/>
      <w:szCs w:val="24"/>
      <w:lang w:val="en-US" w:eastAsia="zh-CN" w:bidi="ar-SA"/>
    </w:rPr>
  </w:style>
  <w:style w:type="character" w:styleId="7">
    <w:name w:val="annotation reference"/>
    <w:basedOn w:val="6"/>
    <w:qFormat/>
    <w:uiPriority w:val="0"/>
    <w:rPr>
      <w:sz w:val="21"/>
      <w:szCs w:val="21"/>
    </w:rPr>
  </w:style>
  <w:style w:type="paragraph" w:customStyle="1" w:styleId="8">
    <w:name w:val="my正文"/>
    <w:basedOn w:val="1"/>
    <w:qFormat/>
    <w:uiPriority w:val="0"/>
    <w:pPr>
      <w:spacing w:line="360" w:lineRule="auto"/>
      <w:ind w:firstLine="200" w:firstLineChars="200"/>
    </w:pPr>
    <w:rPr>
      <w:sz w:val="24"/>
    </w:rPr>
  </w:style>
  <w:style w:type="paragraph" w:customStyle="1" w:styleId="9">
    <w:name w:val="Revision"/>
    <w:hidden/>
    <w:unhideWhenUsed/>
    <w:qFormat/>
    <w:uiPriority w:val="99"/>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51</Pages>
  <Words>19268</Words>
  <Characters>19754</Characters>
  <Lines>184</Lines>
  <Paragraphs>51</Paragraphs>
  <TotalTime>1193</TotalTime>
  <ScaleCrop>false</ScaleCrop>
  <LinksUpToDate>false</LinksUpToDate>
  <CharactersWithSpaces>19768</CharactersWithSpaces>
  <Application>WPS Office_12.8.2.1118_F1E327BC-269C-435d-A152-05C5408002CA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2025-03-25T10:49:00Z</dcterms:created>
  <dc:creator>郭鑫鑫</dc:creator>
  <cp:lastModifiedBy>user</cp:lastModifiedBy>
  <dcterms:modified xsi:type="dcterms:W3CDTF">2025-04-02T10:27:46Z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2052-12.8.2.1118</vt:lpwstr>
  </property>
  <property fmtid="{D5CDD505-2E9C-101B-9397-08002B2CF9AE}" pid="3" name="ICV">
    <vt:lpwstr>FADA494DAFF445FFAE697D2CC7CE1050_13</vt:lpwstr>
  </property>
  <property fmtid="{D5CDD505-2E9C-101B-9397-08002B2CF9AE}" pid="4" name="KSOTemplateDocerSaveRecord">
    <vt:lpwstr>eyJoZGlkIjoiZDVmNzQ4MzkxNzViZmRhMDYyMzlkN2NkYTcyMDAwZjIiLCJ1c2VySWQiOiIxMDQyNDE5MTE5In0=</vt:lpwstr>
  </property>
</Properties>
</file>