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宋体" w:hAnsi="宋体"/>
          <w:b/>
          <w:color w:val="auto"/>
          <w:sz w:val="52"/>
          <w:szCs w:val="52"/>
        </w:rPr>
      </w:pPr>
    </w:p>
    <w:p>
      <w:pPr>
        <w:ind w:firstLine="0" w:firstLineChars="0"/>
        <w:jc w:val="center"/>
        <w:rPr>
          <w:rFonts w:hint="eastAsia" w:ascii="宋体" w:hAnsi="宋体"/>
          <w:b/>
          <w:bCs/>
          <w:color w:val="auto"/>
          <w:sz w:val="52"/>
          <w:szCs w:val="52"/>
        </w:rPr>
      </w:pPr>
      <w:r>
        <w:rPr>
          <w:rFonts w:hint="eastAsia" w:ascii="宋体" w:hAnsi="宋体"/>
          <w:b/>
          <w:bCs/>
          <w:color w:val="auto"/>
          <w:sz w:val="52"/>
          <w:szCs w:val="52"/>
        </w:rPr>
        <w:t>长三角科技创新共同体联合攻关管理与服务子系统建设项目</w:t>
      </w:r>
    </w:p>
    <w:p>
      <w:pPr>
        <w:ind w:firstLine="0" w:firstLineChars="0"/>
        <w:jc w:val="center"/>
        <w:rPr>
          <w:rFonts w:hint="eastAsia" w:ascii="宋体" w:hAnsi="宋体"/>
          <w:b/>
          <w:bCs/>
          <w:color w:val="auto"/>
          <w:sz w:val="52"/>
          <w:szCs w:val="52"/>
        </w:rPr>
      </w:pPr>
      <w:r>
        <w:rPr>
          <w:rFonts w:hint="eastAsia" w:ascii="宋体" w:hAnsi="宋体"/>
          <w:b/>
          <w:bCs/>
          <w:color w:val="auto"/>
          <w:sz w:val="52"/>
          <w:szCs w:val="52"/>
        </w:rPr>
        <w:t>(2025年升级改造)</w:t>
      </w:r>
    </w:p>
    <w:p>
      <w:pPr>
        <w:ind w:firstLine="0" w:firstLineChars="0"/>
        <w:jc w:val="center"/>
        <w:rPr>
          <w:rFonts w:hint="eastAsia" w:ascii="宋体" w:hAnsi="宋体"/>
          <w:b/>
          <w:color w:val="auto"/>
          <w:sz w:val="52"/>
          <w:szCs w:val="52"/>
        </w:rPr>
      </w:pPr>
      <w:r>
        <w:rPr>
          <w:rFonts w:hint="eastAsia" w:ascii="宋体" w:hAnsi="宋体"/>
          <w:b/>
          <w:color w:val="auto"/>
          <w:sz w:val="52"/>
          <w:szCs w:val="52"/>
        </w:rPr>
        <w:t>采</w:t>
      </w:r>
    </w:p>
    <w:p>
      <w:pPr>
        <w:ind w:firstLine="0" w:firstLineChars="0"/>
        <w:jc w:val="center"/>
        <w:rPr>
          <w:rFonts w:hint="eastAsia" w:ascii="宋体" w:hAnsi="宋体"/>
          <w:b/>
          <w:color w:val="auto"/>
          <w:sz w:val="52"/>
          <w:szCs w:val="52"/>
        </w:rPr>
      </w:pPr>
      <w:r>
        <w:rPr>
          <w:rFonts w:hint="eastAsia" w:ascii="宋体" w:hAnsi="宋体"/>
          <w:b/>
          <w:color w:val="auto"/>
          <w:sz w:val="52"/>
          <w:szCs w:val="52"/>
        </w:rPr>
        <w:t>购</w:t>
      </w:r>
    </w:p>
    <w:p>
      <w:pPr>
        <w:ind w:firstLine="0" w:firstLineChars="0"/>
        <w:jc w:val="center"/>
        <w:rPr>
          <w:rFonts w:hint="eastAsia" w:ascii="宋体" w:hAnsi="宋体"/>
          <w:b/>
          <w:color w:val="auto"/>
          <w:sz w:val="52"/>
          <w:szCs w:val="52"/>
        </w:rPr>
      </w:pPr>
      <w:r>
        <w:rPr>
          <w:rFonts w:hint="eastAsia" w:ascii="宋体" w:hAnsi="宋体"/>
          <w:b/>
          <w:color w:val="auto"/>
          <w:sz w:val="52"/>
          <w:szCs w:val="52"/>
        </w:rPr>
        <w:t>需</w:t>
      </w:r>
    </w:p>
    <w:p>
      <w:pPr>
        <w:ind w:firstLine="0" w:firstLineChars="0"/>
        <w:jc w:val="center"/>
        <w:rPr>
          <w:rFonts w:hint="eastAsia" w:ascii="宋体" w:hAnsi="宋体"/>
          <w:b/>
          <w:color w:val="auto"/>
          <w:sz w:val="52"/>
          <w:szCs w:val="52"/>
        </w:rPr>
      </w:pPr>
      <w:r>
        <w:rPr>
          <w:rFonts w:hint="eastAsia" w:ascii="宋体" w:hAnsi="宋体"/>
          <w:b/>
          <w:color w:val="auto"/>
          <w:sz w:val="52"/>
          <w:szCs w:val="52"/>
        </w:rPr>
        <w:t>求</w:t>
      </w:r>
    </w:p>
    <w:p>
      <w:pPr>
        <w:ind w:firstLine="1044"/>
        <w:rPr>
          <w:rFonts w:hint="eastAsia" w:ascii="宋体" w:hAnsi="宋体"/>
          <w:b/>
          <w:color w:val="auto"/>
          <w:sz w:val="52"/>
          <w:szCs w:val="52"/>
        </w:rPr>
      </w:pPr>
    </w:p>
    <w:p>
      <w:pPr>
        <w:ind w:firstLine="1044"/>
        <w:rPr>
          <w:rFonts w:hint="eastAsia" w:ascii="宋体" w:hAnsi="宋体"/>
          <w:b/>
          <w:color w:val="auto"/>
          <w:sz w:val="52"/>
          <w:szCs w:val="52"/>
        </w:rPr>
      </w:pPr>
    </w:p>
    <w:p>
      <w:pPr>
        <w:ind w:firstLine="1044"/>
        <w:rPr>
          <w:rFonts w:hint="eastAsia" w:ascii="宋体" w:hAnsi="宋体"/>
          <w:b/>
          <w:color w:val="auto"/>
          <w:sz w:val="52"/>
          <w:szCs w:val="52"/>
        </w:rPr>
      </w:pPr>
    </w:p>
    <w:p>
      <w:pPr>
        <w:ind w:firstLine="1044"/>
        <w:rPr>
          <w:rFonts w:hint="eastAsia" w:ascii="宋体" w:hAnsi="宋体"/>
          <w:b/>
          <w:color w:val="auto"/>
          <w:sz w:val="52"/>
          <w:szCs w:val="52"/>
        </w:rPr>
      </w:pPr>
    </w:p>
    <w:p>
      <w:pPr>
        <w:ind w:left="1988" w:hanging="1988" w:hangingChars="550"/>
        <w:jc w:val="center"/>
        <w:rPr>
          <w:rFonts w:hint="eastAsia" w:ascii="宋体" w:hAnsi="宋体"/>
          <w:b/>
          <w:color w:val="auto"/>
          <w:sz w:val="36"/>
          <w:szCs w:val="28"/>
        </w:rPr>
      </w:pPr>
      <w:r>
        <w:rPr>
          <w:rFonts w:hint="eastAsia" w:ascii="宋体" w:hAnsi="宋体"/>
          <w:b/>
          <w:color w:val="auto"/>
          <w:sz w:val="36"/>
          <w:szCs w:val="28"/>
        </w:rPr>
        <w:t>项目单位：上海科学技术交流中心</w:t>
      </w:r>
    </w:p>
    <w:p>
      <w:pPr>
        <w:widowControl/>
        <w:ind w:firstLine="0" w:firstLineChars="0"/>
        <w:rPr>
          <w:rFonts w:hint="eastAsia" w:ascii="宋体" w:hAnsi="宋体"/>
          <w:b/>
          <w:color w:val="auto"/>
          <w:sz w:val="36"/>
          <w:szCs w:val="28"/>
        </w:rPr>
      </w:pPr>
    </w:p>
    <w:p>
      <w:pPr>
        <w:widowControl/>
        <w:ind w:firstLine="0" w:firstLineChars="0"/>
        <w:rPr>
          <w:rFonts w:hint="eastAsia" w:ascii="宋体" w:hAnsi="宋体"/>
          <w:b/>
          <w:color w:val="auto"/>
          <w:sz w:val="36"/>
          <w:szCs w:val="28"/>
        </w:rPr>
      </w:pPr>
    </w:p>
    <w:p>
      <w:pPr>
        <w:widowControl/>
        <w:ind w:firstLine="0" w:firstLineChars="0"/>
        <w:rPr>
          <w:rFonts w:hint="eastAsia" w:ascii="宋体" w:hAnsi="宋体"/>
          <w:b/>
          <w:color w:val="auto"/>
          <w:sz w:val="36"/>
          <w:szCs w:val="28"/>
        </w:rPr>
      </w:pPr>
    </w:p>
    <w:p>
      <w:pPr>
        <w:pStyle w:val="2"/>
        <w:rPr>
          <w:color w:val="auto"/>
        </w:rPr>
      </w:pPr>
      <w:bookmarkStart w:id="0" w:name="_Toc69301495"/>
      <w:r>
        <w:rPr>
          <w:rFonts w:hint="eastAsia"/>
          <w:color w:val="auto"/>
        </w:rPr>
        <w:t>项目名称</w:t>
      </w:r>
      <w:bookmarkEnd w:id="0"/>
    </w:p>
    <w:p>
      <w:pPr>
        <w:ind w:firstLine="480"/>
        <w:rPr>
          <w:rFonts w:hint="eastAsia" w:ascii="宋体" w:hAnsi="宋体" w:cs="宋体"/>
          <w:color w:val="auto"/>
          <w:kern w:val="0"/>
        </w:rPr>
      </w:pPr>
      <w:r>
        <w:rPr>
          <w:rFonts w:hint="eastAsia" w:ascii="宋体" w:hAnsi="宋体"/>
          <w:color w:val="auto"/>
        </w:rPr>
        <w:t>长三角科技创新共同体联合攻关管理与服务子系统建设项目(2025年升级改造)</w:t>
      </w:r>
    </w:p>
    <w:p>
      <w:pPr>
        <w:pStyle w:val="2"/>
        <w:rPr>
          <w:color w:val="auto"/>
        </w:rPr>
      </w:pPr>
      <w:bookmarkStart w:id="1" w:name="_Toc69301496"/>
      <w:r>
        <w:rPr>
          <w:rFonts w:hint="eastAsia"/>
          <w:color w:val="auto"/>
        </w:rPr>
        <w:t>项目背景</w:t>
      </w:r>
      <w:bookmarkEnd w:id="1"/>
    </w:p>
    <w:p>
      <w:pPr>
        <w:pStyle w:val="3"/>
        <w:ind w:firstLine="161"/>
        <w:rPr>
          <w:color w:val="auto"/>
        </w:rPr>
      </w:pPr>
      <w:bookmarkStart w:id="2" w:name="_Toc69301497"/>
      <w:r>
        <w:rPr>
          <w:rFonts w:hint="eastAsia"/>
          <w:color w:val="auto"/>
        </w:rPr>
        <w:t>项目来源</w:t>
      </w:r>
      <w:bookmarkEnd w:id="2"/>
    </w:p>
    <w:p>
      <w:pPr>
        <w:ind w:firstLine="480"/>
        <w:rPr>
          <w:rFonts w:hint="eastAsia" w:ascii="宋体" w:hAnsi="宋体" w:cs="宋体"/>
          <w:color w:val="auto"/>
          <w:kern w:val="0"/>
        </w:rPr>
      </w:pPr>
      <w:r>
        <w:rPr>
          <w:rFonts w:hint="eastAsia" w:ascii="宋体" w:hAnsi="宋体" w:cs="宋体"/>
          <w:color w:val="auto"/>
          <w:kern w:val="0"/>
        </w:rPr>
        <w:t>政府性基金</w:t>
      </w:r>
    </w:p>
    <w:p>
      <w:pPr>
        <w:pStyle w:val="3"/>
        <w:ind w:firstLine="161"/>
        <w:rPr>
          <w:color w:val="auto"/>
        </w:rPr>
      </w:pPr>
      <w:bookmarkStart w:id="3" w:name="_Toc69301498"/>
      <w:r>
        <w:rPr>
          <w:rFonts w:hint="eastAsia"/>
          <w:color w:val="auto"/>
        </w:rPr>
        <w:t>项目概况</w:t>
      </w:r>
      <w:bookmarkEnd w:id="3"/>
    </w:p>
    <w:p>
      <w:pPr>
        <w:pStyle w:val="4"/>
        <w:ind w:firstLine="301"/>
        <w:rPr>
          <w:color w:val="auto"/>
        </w:rPr>
      </w:pPr>
      <w:bookmarkStart w:id="4" w:name="_Toc69301499"/>
      <w:r>
        <w:rPr>
          <w:rFonts w:hint="eastAsia"/>
          <w:color w:val="auto"/>
        </w:rPr>
        <w:t>项目单位职能</w:t>
      </w:r>
      <w:bookmarkEnd w:id="4"/>
    </w:p>
    <w:p>
      <w:pPr>
        <w:ind w:firstLine="480"/>
        <w:rPr>
          <w:rFonts w:hint="eastAsia" w:ascii="宋体" w:hAnsi="宋体" w:cs="宋体"/>
          <w:color w:val="auto"/>
          <w:kern w:val="0"/>
        </w:rPr>
      </w:pPr>
      <w:r>
        <w:rPr>
          <w:rFonts w:hint="eastAsia" w:ascii="宋体" w:hAnsi="宋体" w:cs="宋体"/>
          <w:color w:val="auto"/>
          <w:kern w:val="0"/>
        </w:rPr>
        <w:t>上海科学技术交流中心经上海市人民政府批准于1983年成立，是从事科技创新、合作交流、管理与服务的副厅（局）级事业单位。主要承担上海市国际国内科技合作交流、科技创新管理与服务等职能。</w:t>
      </w:r>
    </w:p>
    <w:p>
      <w:pPr>
        <w:pStyle w:val="4"/>
        <w:ind w:firstLine="301"/>
        <w:rPr>
          <w:color w:val="auto"/>
        </w:rPr>
      </w:pPr>
      <w:bookmarkStart w:id="5" w:name="_Toc69301500"/>
      <w:r>
        <w:rPr>
          <w:rFonts w:hint="eastAsia"/>
          <w:color w:val="auto"/>
        </w:rPr>
        <w:t>项目所涉业务领域概况</w:t>
      </w:r>
      <w:bookmarkEnd w:id="5"/>
    </w:p>
    <w:p>
      <w:pPr>
        <w:ind w:firstLine="424" w:firstLineChars="177"/>
        <w:rPr>
          <w:rFonts w:hint="eastAsia" w:ascii="宋体" w:hAnsi="宋体" w:cs="宋体"/>
          <w:color w:val="auto"/>
          <w:kern w:val="0"/>
        </w:rPr>
      </w:pPr>
      <w:r>
        <w:rPr>
          <w:rFonts w:hint="eastAsia" w:ascii="宋体" w:hAnsi="宋体" w:cs="宋体"/>
          <w:color w:val="auto"/>
          <w:kern w:val="0"/>
        </w:rPr>
        <w:t>为贯彻落实中共中央、国务院关于长江三角洲区域一体化发展的决策部署，加快推进实施科技部印发的《长三角科技创新共同体建设发展规划》（以下简称《规划》），加快提升长三角创新链资源的配置效率，科技部牵头，三省一市共同实施长三角科技创新共同体联合攻关计划，形成“长三角科技创新共同体联合攻关实施方案”（以下简称“实施方案”）。2022年8月，科技部与三省一市省市人民政府联合印发《长三角科技创新共同体联合攻关合作机制》（以下简称《合作机制》），2023年4月，三省一市科技部门共同发布《长三角科技创新共同体联合攻关计划实施办法（试行）》，明确长三角联合攻关的重点任务与实施路径。</w:t>
      </w:r>
    </w:p>
    <w:p>
      <w:pPr>
        <w:ind w:firstLine="424" w:firstLineChars="177"/>
        <w:rPr>
          <w:rFonts w:hint="eastAsia" w:ascii="宋体" w:hAnsi="宋体" w:cs="宋体"/>
          <w:color w:val="auto"/>
          <w:kern w:val="0"/>
        </w:rPr>
      </w:pPr>
      <w:r>
        <w:rPr>
          <w:rFonts w:hint="eastAsia" w:ascii="宋体" w:hAnsi="宋体" w:cs="宋体"/>
          <w:color w:val="auto"/>
          <w:kern w:val="0"/>
        </w:rPr>
        <w:t>依照科技部《长三角科技创新共同体建设发展规划》以及</w:t>
      </w:r>
      <w:r>
        <w:rPr>
          <w:rFonts w:hint="eastAsia" w:ascii="宋体" w:hAnsi="宋体"/>
          <w:color w:val="auto"/>
        </w:rPr>
        <w:t>《长三角科技创新共同体联合攻关合作机制》</w:t>
      </w:r>
      <w:r>
        <w:rPr>
          <w:rFonts w:hint="eastAsia" w:ascii="宋体" w:hAnsi="宋体" w:cs="宋体"/>
          <w:color w:val="auto"/>
          <w:kern w:val="0"/>
        </w:rPr>
        <w:t>、《联合攻关实施办法》要求，在科技部指导下，利用大数据和云计算技术全方位推动长三角科技创新共同体协同管理业务线上化，推动区域科创信息和成果资源的集中汇聚和展示，为项目管理机制创新提供借鉴。</w:t>
      </w:r>
    </w:p>
    <w:p>
      <w:pPr>
        <w:pStyle w:val="4"/>
        <w:ind w:firstLine="301"/>
        <w:rPr>
          <w:color w:val="auto"/>
        </w:rPr>
      </w:pPr>
      <w:bookmarkStart w:id="6" w:name="_Toc69301501"/>
      <w:r>
        <w:rPr>
          <w:rFonts w:hint="eastAsia"/>
          <w:color w:val="auto"/>
        </w:rPr>
        <w:t>项目所涉业务领域信息化建设概况</w:t>
      </w:r>
      <w:bookmarkEnd w:id="6"/>
    </w:p>
    <w:p>
      <w:pPr>
        <w:ind w:firstLine="480"/>
        <w:rPr>
          <w:rFonts w:hint="eastAsia" w:ascii="宋体" w:hAnsi="宋体"/>
          <w:color w:val="auto"/>
        </w:rPr>
      </w:pPr>
      <w:r>
        <w:rPr>
          <w:rFonts w:hint="eastAsia" w:ascii="宋体" w:hAnsi="宋体" w:cs="宋体"/>
          <w:color w:val="auto"/>
          <w:kern w:val="0"/>
        </w:rPr>
        <w:t>随着科技部《长三角科技创新共同体建设发展规划》的出台，长三角科技创新共同体建设办公室、科技专题合作组及实体化办事机构的组建，以及针对《规划》重点任务的分解推进，长三角具备了率先启动区域科创数字化和政府协作创新等场景预研、示范应用的先机。</w:t>
      </w:r>
      <w:r>
        <w:rPr>
          <w:rFonts w:hint="eastAsia" w:ascii="宋体" w:hAnsi="宋体"/>
          <w:color w:val="auto"/>
        </w:rPr>
        <w:t>长三角科技创新共同体联合攻关管理与服务子系统是服务长三角科创共同体建设与区域科创数字化转型的一次重要探索与实践，将有利于推动政府科技管理向创新智慧化治理转变。</w:t>
      </w:r>
    </w:p>
    <w:p>
      <w:pPr>
        <w:pStyle w:val="4"/>
        <w:ind w:firstLine="301"/>
        <w:rPr>
          <w:color w:val="auto"/>
        </w:rPr>
      </w:pPr>
      <w:r>
        <w:rPr>
          <w:rFonts w:hint="eastAsia"/>
          <w:color w:val="auto"/>
        </w:rPr>
        <w:t>现有系统概况</w:t>
      </w:r>
    </w:p>
    <w:p>
      <w:pPr>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t>上海科学技术交流中心建设了长三角科技创新共同体联合攻关子系统。长三角科技创新共同体联合攻关子系统是长三角科技创新共同体门户网站、联合攻关项目部省市的协同管理、长三角创新数据分析与决策应用、区域科创数据一体化展示云图（科创云图）、系统支撑服务后台。支撑长三角科技创新联合攻关业务流程，为联合攻关提供数据挖掘分析，为长三角联合攻关提供决策支撑。</w:t>
      </w:r>
    </w:p>
    <w:p>
      <w:pPr>
        <w:ind w:firstLine="480"/>
        <w:rPr>
          <w:rFonts w:hint="eastAsia" w:asciiTheme="minorEastAsia" w:hAnsiTheme="minorEastAsia" w:eastAsiaTheme="minorEastAsia"/>
          <w:color w:val="auto"/>
        </w:rPr>
      </w:pPr>
      <w:r>
        <w:rPr>
          <w:rFonts w:hint="eastAsia" w:asciiTheme="minorEastAsia" w:hAnsiTheme="minorEastAsia" w:eastAsiaTheme="minorEastAsia"/>
          <w:color w:val="auto"/>
        </w:rPr>
        <w:drawing>
          <wp:inline distT="0" distB="0" distL="114300" distR="114300">
            <wp:extent cx="4594225" cy="3783965"/>
            <wp:effectExtent l="0" t="0" r="6350" b="6985"/>
            <wp:docPr id="1" name="图片 1" descr="8613bf9ca2b03b5ada0bd70b28aec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613bf9ca2b03b5ada0bd70b28aec3c"/>
                    <pic:cNvPicPr>
                      <a:picLocks noChangeAspect="1"/>
                    </pic:cNvPicPr>
                  </pic:nvPicPr>
                  <pic:blipFill>
                    <a:blip r:embed="rId12"/>
                    <a:stretch>
                      <a:fillRect/>
                    </a:stretch>
                  </pic:blipFill>
                  <pic:spPr>
                    <a:xfrm>
                      <a:off x="0" y="0"/>
                      <a:ext cx="4594225" cy="3783965"/>
                    </a:xfrm>
                    <a:prstGeom prst="rect">
                      <a:avLst/>
                    </a:prstGeom>
                  </pic:spPr>
                </pic:pic>
              </a:graphicData>
            </a:graphic>
          </wp:inline>
        </w:drawing>
      </w:r>
    </w:p>
    <w:p>
      <w:pPr>
        <w:pStyle w:val="2"/>
        <w:rPr>
          <w:color w:val="auto"/>
        </w:rPr>
      </w:pPr>
      <w:bookmarkStart w:id="7" w:name="_Toc69301503"/>
      <w:r>
        <w:rPr>
          <w:rFonts w:hint="eastAsia"/>
          <w:color w:val="auto"/>
        </w:rPr>
        <w:t>项目建设目标、内容和要求</w:t>
      </w:r>
      <w:bookmarkEnd w:id="7"/>
    </w:p>
    <w:p>
      <w:pPr>
        <w:pStyle w:val="3"/>
        <w:ind w:firstLine="161"/>
        <w:rPr>
          <w:color w:val="auto"/>
        </w:rPr>
      </w:pPr>
      <w:bookmarkStart w:id="8" w:name="_Toc69301504"/>
      <w:r>
        <w:rPr>
          <w:rFonts w:hint="eastAsia"/>
          <w:color w:val="auto"/>
        </w:rPr>
        <w:t>项目建设目标</w:t>
      </w:r>
      <w:bookmarkEnd w:id="8"/>
    </w:p>
    <w:p>
      <w:pPr>
        <w:pStyle w:val="4"/>
        <w:ind w:firstLine="301"/>
        <w:rPr>
          <w:color w:val="auto"/>
        </w:rPr>
      </w:pPr>
      <w:r>
        <w:rPr>
          <w:rFonts w:hint="eastAsia"/>
          <w:color w:val="auto"/>
        </w:rPr>
        <w:t>总体目标</w:t>
      </w:r>
    </w:p>
    <w:p>
      <w:pPr>
        <w:ind w:firstLine="480"/>
        <w:rPr>
          <w:color w:val="auto"/>
        </w:rPr>
      </w:pPr>
      <w:r>
        <w:rPr>
          <w:rFonts w:hint="eastAsia" w:ascii="宋体" w:hAnsi="宋体" w:cs="仿宋_GB2312"/>
          <w:color w:val="auto"/>
        </w:rPr>
        <w:t>深入贯彻落实习近平总书记关于长三角一体化发展的系列重要讲话和指示批示精神，围绕《长江三角洲区域一体化发展规划纲要》及科技部《长三角科技创新共同体建设发展规划》重点任务，探索实现科技要素全息、全景呈现，为区域发展前瞻决策、信息互联互通、资源互融共享提供支撑。以加强长三角区域创新一体化为主线，以“科创+产业”为引领，整合各方优势资源，推进长三角科创资源整合，深化科技体制改革和创新开放合作，着力提升区域协作创新能力，数据赋能、技术赋能科创产业发展，强化对创新主体的服务能力，打造全国原始创新高地和高精尖产业承载区，努力建成具有全球影响力的长三角科技创新共同体。</w:t>
      </w:r>
    </w:p>
    <w:p>
      <w:pPr>
        <w:pStyle w:val="3"/>
        <w:ind w:firstLine="161"/>
        <w:rPr>
          <w:color w:val="auto"/>
        </w:rPr>
      </w:pPr>
      <w:bookmarkStart w:id="9" w:name="_Toc69301505"/>
      <w:r>
        <w:rPr>
          <w:rFonts w:hint="eastAsia"/>
          <w:color w:val="auto"/>
        </w:rPr>
        <w:t>项目建设内容</w:t>
      </w:r>
      <w:bookmarkEnd w:id="9"/>
    </w:p>
    <w:p>
      <w:pPr>
        <w:ind w:firstLine="480"/>
        <w:rPr>
          <w:rFonts w:hint="eastAsia" w:ascii="宋体" w:hAnsi="宋体" w:cs="宋体"/>
          <w:color w:val="auto"/>
          <w:kern w:val="0"/>
        </w:rPr>
      </w:pPr>
      <w:r>
        <w:rPr>
          <w:rFonts w:hint="eastAsia" w:ascii="宋体" w:hAnsi="宋体" w:cs="仿宋_GB2312"/>
          <w:color w:val="auto"/>
        </w:rPr>
        <w:t>本项目是基于长三角科技创新共同体联合攻关管理与服务子系统的升级改造，建设内容包括以下四个方面：</w:t>
      </w:r>
    </w:p>
    <w:p>
      <w:pPr>
        <w:pStyle w:val="4"/>
        <w:ind w:firstLine="301"/>
        <w:rPr>
          <w:color w:val="auto"/>
        </w:rPr>
      </w:pPr>
      <w:r>
        <w:rPr>
          <w:rFonts w:hint="eastAsia"/>
          <w:color w:val="auto"/>
        </w:rPr>
        <w:t>完善长三角联合攻关流程支撑</w:t>
      </w:r>
    </w:p>
    <w:p>
      <w:pPr>
        <w:ind w:firstLine="482"/>
        <w:rPr>
          <w:rFonts w:hint="eastAsia" w:ascii="宋体" w:hAnsi="宋体" w:cs="宋体"/>
          <w:color w:val="auto"/>
          <w:kern w:val="0"/>
        </w:rPr>
      </w:pPr>
      <w:r>
        <w:rPr>
          <w:rFonts w:hint="eastAsia" w:ascii="宋体" w:hAnsi="宋体" w:cs="仿宋_GB2312"/>
          <w:b/>
          <w:color w:val="auto"/>
        </w:rPr>
        <w:t>联合攻关重要节点管理的优化提升</w:t>
      </w:r>
      <w:r>
        <w:rPr>
          <w:rFonts w:hint="eastAsia" w:ascii="宋体" w:hAnsi="宋体" w:cs="仿宋_GB2312"/>
          <w:color w:val="auto"/>
        </w:rPr>
        <w:t>：</w:t>
      </w:r>
      <w:r>
        <w:rPr>
          <w:rFonts w:hint="eastAsia" w:ascii="宋体" w:hAnsi="宋体" w:cs="宋体"/>
          <w:color w:val="auto"/>
          <w:kern w:val="0"/>
        </w:rPr>
        <w:t>在前期功能的基础上，增加长三角联合攻关指南论证、需求凝练、年报管理等重要节点的系统支撑，实现联合攻关项目闭环管理。其中指南论证需要在论证模型上进行优化，针对指南的管理以及各领域的专家等方面需要进行优化提升。</w:t>
      </w:r>
      <w:r>
        <w:rPr>
          <w:rFonts w:ascii="宋体" w:hAnsi="宋体" w:cs="宋体"/>
          <w:color w:val="auto"/>
          <w:kern w:val="0"/>
        </w:rPr>
        <w:t>需求凝练</w:t>
      </w:r>
      <w:r>
        <w:rPr>
          <w:rFonts w:hint="eastAsia" w:ascii="宋体" w:hAnsi="宋体" w:cs="宋体"/>
          <w:color w:val="auto"/>
          <w:kern w:val="0"/>
        </w:rPr>
        <w:t>的优化需要增加相关参数的管理以及添加在线填写和发布功能。</w:t>
      </w:r>
      <w:r>
        <w:rPr>
          <w:rFonts w:ascii="宋体" w:hAnsi="宋体" w:cs="宋体"/>
          <w:color w:val="auto"/>
          <w:kern w:val="0"/>
        </w:rPr>
        <w:t>年报管理</w:t>
      </w:r>
      <w:r>
        <w:rPr>
          <w:rFonts w:hint="eastAsia" w:ascii="宋体" w:hAnsi="宋体" w:cs="宋体"/>
          <w:color w:val="auto"/>
          <w:kern w:val="0"/>
        </w:rPr>
        <w:t>的优化提升需增强在自动化审查功能等相关功能。</w:t>
      </w:r>
    </w:p>
    <w:p>
      <w:pPr>
        <w:ind w:firstLine="482"/>
        <w:rPr>
          <w:rFonts w:hint="eastAsia" w:ascii="宋体" w:hAnsi="宋体" w:cs="仿宋_GB2312"/>
          <w:color w:val="auto"/>
        </w:rPr>
      </w:pPr>
      <w:r>
        <w:rPr>
          <w:rFonts w:hint="eastAsia" w:ascii="宋体" w:hAnsi="宋体" w:cs="仿宋_GB2312"/>
          <w:b/>
          <w:color w:val="auto"/>
        </w:rPr>
        <w:t>增强联合攻关全过程数据服务能力</w:t>
      </w:r>
      <w:r>
        <w:rPr>
          <w:rFonts w:hint="eastAsia" w:ascii="宋体" w:hAnsi="宋体" w:cs="仿宋_GB2312"/>
          <w:color w:val="auto"/>
        </w:rPr>
        <w:t>。</w:t>
      </w:r>
      <w:r>
        <w:rPr>
          <w:rFonts w:hint="eastAsia" w:ascii="宋体" w:hAnsi="宋体" w:cs="宋体"/>
          <w:color w:val="auto"/>
          <w:kern w:val="0"/>
        </w:rPr>
        <w:t>实现各环节字段级业务规则的智能校验，提高各环节征集填报数据质量，包括营业收入数据校验、研发投入占比校验、攻关子任务与总意向投入校验、外部揭榜投入规则校验、供需双方股权穿透校验、子课题单位地域验证</w:t>
      </w:r>
      <w:r>
        <w:rPr>
          <w:rFonts w:hint="eastAsia" w:ascii="宋体" w:hAnsi="宋体" w:cs="仿宋_GB2312"/>
          <w:color w:val="auto"/>
        </w:rPr>
        <w:t>。</w:t>
      </w:r>
    </w:p>
    <w:p>
      <w:pPr>
        <w:ind w:firstLine="482"/>
        <w:rPr>
          <w:rFonts w:hint="eastAsia" w:ascii="宋体" w:hAnsi="宋体"/>
          <w:color w:val="auto"/>
        </w:rPr>
      </w:pPr>
      <w:r>
        <w:rPr>
          <w:rFonts w:hint="eastAsia" w:ascii="宋体" w:hAnsi="宋体" w:cs="仿宋_GB2312"/>
          <w:b/>
          <w:color w:val="auto"/>
        </w:rPr>
        <w:t>加强联合攻关全过程智能提醒</w:t>
      </w:r>
      <w:r>
        <w:rPr>
          <w:rFonts w:hint="eastAsia" w:ascii="宋体" w:hAnsi="宋体"/>
          <w:color w:val="auto"/>
        </w:rPr>
        <w:t>。梳理各环节提醒事项，为创新联合体、三省一市审核方、平台管理方提供站内智能提醒服务，提高联合攻关服务的响应速度。</w:t>
      </w:r>
    </w:p>
    <w:p>
      <w:pPr>
        <w:ind w:firstLine="482"/>
        <w:rPr>
          <w:rFonts w:hint="eastAsia" w:ascii="宋体" w:hAnsi="宋体"/>
          <w:color w:val="auto"/>
        </w:rPr>
      </w:pPr>
      <w:r>
        <w:rPr>
          <w:rFonts w:hint="eastAsia" w:ascii="宋体" w:hAnsi="宋体" w:cs="仿宋_GB2312"/>
          <w:b/>
          <w:color w:val="auto"/>
        </w:rPr>
        <w:t>增强联合攻关项目主体多业务场景高效管理和精准服务。</w:t>
      </w:r>
      <w:r>
        <w:rPr>
          <w:rFonts w:hint="eastAsia" w:ascii="宋体" w:hAnsi="宋体"/>
          <w:color w:val="auto"/>
        </w:rPr>
        <w:t>建立</w:t>
      </w:r>
      <w:r>
        <w:rPr>
          <w:rFonts w:ascii="宋体" w:hAnsi="宋体" w:cs="宋体"/>
          <w:color w:val="auto"/>
          <w:kern w:val="0"/>
        </w:rPr>
        <w:t>联合攻关项目管理业务场景的企业指标建模</w:t>
      </w:r>
      <w:r>
        <w:rPr>
          <w:rFonts w:hint="eastAsia" w:ascii="宋体" w:hAnsi="宋体" w:cs="宋体"/>
          <w:color w:val="auto"/>
          <w:kern w:val="0"/>
        </w:rPr>
        <w:t>和</w:t>
      </w:r>
      <w:r>
        <w:rPr>
          <w:rFonts w:ascii="宋体" w:hAnsi="宋体" w:cs="宋体"/>
          <w:color w:val="auto"/>
          <w:kern w:val="0"/>
        </w:rPr>
        <w:t>联合攻关精准管理和服务应用</w:t>
      </w:r>
      <w:r>
        <w:rPr>
          <w:rFonts w:hint="eastAsia" w:ascii="宋体" w:hAnsi="宋体" w:cs="宋体"/>
          <w:color w:val="auto"/>
          <w:kern w:val="0"/>
        </w:rPr>
        <w:t>。</w:t>
      </w:r>
    </w:p>
    <w:p>
      <w:pPr>
        <w:pStyle w:val="4"/>
        <w:ind w:firstLine="301"/>
        <w:rPr>
          <w:color w:val="auto"/>
        </w:rPr>
      </w:pPr>
      <w:r>
        <w:rPr>
          <w:rFonts w:hint="eastAsia"/>
          <w:color w:val="auto"/>
        </w:rPr>
        <w:t>增强长三角科创共同体门户网站服务体验</w:t>
      </w:r>
    </w:p>
    <w:p>
      <w:pPr>
        <w:ind w:firstLine="482"/>
        <w:rPr>
          <w:rFonts w:hint="eastAsia" w:ascii="宋体" w:hAnsi="宋体" w:cs="仿宋_GB2312"/>
          <w:color w:val="auto"/>
        </w:rPr>
      </w:pPr>
      <w:r>
        <w:rPr>
          <w:rFonts w:hint="eastAsia" w:ascii="宋体" w:hAnsi="宋体" w:cs="仿宋_GB2312"/>
          <w:b/>
          <w:color w:val="auto"/>
        </w:rPr>
        <w:t>开设长三角联合攻关专栏</w:t>
      </w:r>
      <w:r>
        <w:rPr>
          <w:rFonts w:hint="eastAsia" w:ascii="宋体" w:hAnsi="宋体" w:cs="仿宋_GB2312"/>
          <w:color w:val="auto"/>
        </w:rPr>
        <w:t>。集中展示长三角联合攻关的内容和成果，实现对专栏内容和数据的管理和维护。</w:t>
      </w:r>
    </w:p>
    <w:p>
      <w:pPr>
        <w:ind w:firstLine="482"/>
        <w:rPr>
          <w:rFonts w:hint="eastAsia" w:ascii="宋体" w:hAnsi="宋体" w:cs="仿宋_GB2312"/>
          <w:color w:val="auto"/>
        </w:rPr>
      </w:pPr>
      <w:r>
        <w:rPr>
          <w:rFonts w:hint="eastAsia" w:ascii="宋体" w:hAnsi="宋体" w:cs="仿宋_GB2312"/>
          <w:b/>
          <w:color w:val="auto"/>
        </w:rPr>
        <w:t>推出联合攻关“掌上服务”</w:t>
      </w:r>
      <w:r>
        <w:rPr>
          <w:rFonts w:hint="eastAsia" w:ascii="宋体" w:hAnsi="宋体" w:cs="仿宋_GB2312"/>
          <w:color w:val="auto"/>
        </w:rPr>
        <w:t>。多端共建，利用已有的“长三角科技创新共同体”微信公众号，实现公众号与联合攻关子系统的跨端交互，打通联合攻关服务“最后一公里”。</w:t>
      </w:r>
    </w:p>
    <w:p>
      <w:pPr>
        <w:ind w:firstLine="482"/>
        <w:rPr>
          <w:rFonts w:hint="eastAsia" w:ascii="宋体" w:hAnsi="宋体"/>
          <w:color w:val="auto"/>
        </w:rPr>
      </w:pPr>
      <w:r>
        <w:rPr>
          <w:rFonts w:hint="eastAsia" w:ascii="宋体" w:hAnsi="宋体" w:cs="仿宋_GB2312"/>
          <w:b/>
          <w:color w:val="auto"/>
        </w:rPr>
        <w:t>开发联合攻关实时交流工具</w:t>
      </w:r>
      <w:r>
        <w:rPr>
          <w:rFonts w:hint="eastAsia" w:ascii="宋体" w:hAnsi="宋体" w:cs="仿宋_GB2312"/>
          <w:color w:val="auto"/>
        </w:rPr>
        <w:t>。</w:t>
      </w:r>
      <w:r>
        <w:rPr>
          <w:rFonts w:hint="eastAsia" w:ascii="宋体" w:hAnsi="宋体"/>
          <w:color w:val="auto"/>
        </w:rPr>
        <w:t>开发在线实时交流工具，在充分保障双方隐私的情况下，供需双方可通过即时通讯工具实现实时交流、留言交流等功能。</w:t>
      </w:r>
    </w:p>
    <w:p>
      <w:pPr>
        <w:pStyle w:val="4"/>
        <w:ind w:firstLine="301"/>
        <w:rPr>
          <w:color w:val="auto"/>
        </w:rPr>
      </w:pPr>
      <w:r>
        <w:rPr>
          <w:rFonts w:hint="eastAsia"/>
          <w:color w:val="auto"/>
        </w:rPr>
        <w:t>优化区域科创数据治理与分析</w:t>
      </w:r>
    </w:p>
    <w:p>
      <w:pPr>
        <w:ind w:firstLine="482"/>
        <w:rPr>
          <w:rFonts w:hint="eastAsia" w:ascii="宋体" w:hAnsi="宋体" w:cs="仿宋_GB2312"/>
          <w:color w:val="auto"/>
        </w:rPr>
      </w:pPr>
      <w:r>
        <w:rPr>
          <w:rFonts w:hint="eastAsia" w:ascii="宋体" w:hAnsi="宋体" w:cs="仿宋_GB2312"/>
          <w:b/>
          <w:color w:val="auto"/>
        </w:rPr>
        <w:t>提升联合攻关综合服务能级</w:t>
      </w:r>
      <w:r>
        <w:rPr>
          <w:rFonts w:hint="eastAsia" w:ascii="宋体" w:hAnsi="宋体" w:cs="仿宋_GB2312"/>
          <w:color w:val="auto"/>
        </w:rPr>
        <w:t>。加强联合攻关项目信息数据治理及电子资料库的管理，以需求库、项目库、案例库为基础，整合联合攻关创新需求、联合攻关立项项目、联合攻关案例相关数据，实现综合多元检索，推动创新要素自由流通。</w:t>
      </w:r>
    </w:p>
    <w:p>
      <w:pPr>
        <w:ind w:firstLine="482"/>
        <w:rPr>
          <w:rFonts w:hint="eastAsia" w:ascii="宋体" w:hAnsi="宋体" w:cs="仿宋_GB2312"/>
          <w:color w:val="auto"/>
        </w:rPr>
      </w:pPr>
      <w:r>
        <w:rPr>
          <w:rFonts w:hint="eastAsia" w:ascii="宋体" w:hAnsi="宋体" w:cs="仿宋_GB2312"/>
          <w:b/>
          <w:color w:val="auto"/>
        </w:rPr>
        <w:t>建设科创云图数据管理服务系统</w:t>
      </w:r>
      <w:r>
        <w:rPr>
          <w:rFonts w:hint="eastAsia" w:ascii="宋体" w:hAnsi="宋体" w:cs="仿宋_GB2312"/>
          <w:color w:val="auto"/>
        </w:rPr>
        <w:t>。对云图数据来源、数据标准、更新方式、更新频率等进行管理，进一步保障数据的完整性、一致性、及时性。</w:t>
      </w:r>
    </w:p>
    <w:p>
      <w:pPr>
        <w:pStyle w:val="4"/>
        <w:ind w:firstLine="301"/>
        <w:rPr>
          <w:color w:val="auto"/>
        </w:rPr>
      </w:pPr>
      <w:r>
        <w:rPr>
          <w:rFonts w:hint="eastAsia"/>
          <w:color w:val="auto"/>
        </w:rPr>
        <w:t>密码应用建设</w:t>
      </w:r>
    </w:p>
    <w:p>
      <w:pPr>
        <w:ind w:firstLine="420" w:firstLineChars="0"/>
        <w:rPr>
          <w:rFonts w:hint="eastAsia" w:ascii="宋体" w:hAnsi="宋体" w:cs="仿宋_GB2312"/>
          <w:color w:val="auto"/>
        </w:rPr>
      </w:pPr>
      <w:r>
        <w:rPr>
          <w:rFonts w:ascii="Segoe UI" w:hAnsi="Segoe UI" w:eastAsia="Segoe UI" w:cs="Segoe UI"/>
          <w:color w:val="auto"/>
          <w:shd w:val="clear" w:color="auto" w:fill="FFFFFF"/>
        </w:rPr>
        <w:t>构建全面的信息安全保障体系，</w:t>
      </w:r>
      <w:r>
        <w:rPr>
          <w:rFonts w:hint="eastAsia" w:ascii="Segoe UI" w:hAnsi="Segoe UI" w:cs="Segoe UI"/>
          <w:color w:val="auto"/>
          <w:shd w:val="clear" w:color="auto" w:fill="FFFFFF"/>
        </w:rPr>
        <w:t>包括业务重要数据安全传输模块</w:t>
      </w:r>
      <w:r>
        <w:rPr>
          <w:rFonts w:ascii="Segoe UI" w:hAnsi="Segoe UI" w:eastAsia="Segoe UI" w:cs="Segoe UI"/>
          <w:color w:val="auto"/>
          <w:shd w:val="clear" w:color="auto" w:fill="FFFFFF"/>
        </w:rPr>
        <w:t>、</w:t>
      </w:r>
      <w:r>
        <w:rPr>
          <w:rFonts w:hint="eastAsia" w:ascii="Segoe UI" w:hAnsi="Segoe UI" w:cs="Segoe UI"/>
          <w:color w:val="auto"/>
          <w:shd w:val="clear" w:color="auto" w:fill="FFFFFF"/>
        </w:rPr>
        <w:t>服务器虚拟机设备日志/访问控制信息完整性模块</w:t>
      </w:r>
      <w:r>
        <w:rPr>
          <w:rFonts w:ascii="Segoe UI" w:hAnsi="Segoe UI" w:eastAsia="Segoe UI" w:cs="Segoe UI"/>
          <w:color w:val="auto"/>
          <w:shd w:val="clear" w:color="auto" w:fill="FFFFFF"/>
        </w:rPr>
        <w:t>、</w:t>
      </w:r>
      <w:r>
        <w:rPr>
          <w:rFonts w:hint="eastAsia" w:ascii="Segoe UI" w:hAnsi="Segoe UI" w:cs="Segoe UI"/>
          <w:color w:val="auto"/>
          <w:shd w:val="clear" w:color="auto" w:fill="FFFFFF"/>
        </w:rPr>
        <w:t>重要可执行程序签名验签模块</w:t>
      </w:r>
      <w:r>
        <w:rPr>
          <w:rFonts w:ascii="Segoe UI" w:hAnsi="Segoe UI" w:eastAsia="Segoe UI" w:cs="Segoe UI"/>
          <w:color w:val="auto"/>
          <w:shd w:val="clear" w:color="auto" w:fill="FFFFFF"/>
        </w:rPr>
        <w:t>、</w:t>
      </w:r>
      <w:r>
        <w:rPr>
          <w:rFonts w:hint="eastAsia" w:ascii="Segoe UI" w:hAnsi="Segoe UI" w:cs="Segoe UI"/>
          <w:color w:val="auto"/>
          <w:shd w:val="clear" w:color="auto" w:fill="FFFFFF"/>
        </w:rPr>
        <w:t>用户访问控制签名验签模块、应用系统重要数据加解密模块、应用系统重要数据签名验签模块</w:t>
      </w:r>
      <w:r>
        <w:rPr>
          <w:rFonts w:ascii="Segoe UI" w:hAnsi="Segoe UI" w:eastAsia="Segoe UI" w:cs="Segoe UI"/>
          <w:color w:val="auto"/>
          <w:shd w:val="clear" w:color="auto" w:fill="FFFFFF"/>
        </w:rPr>
        <w:t>，全方位地保护业务重要数据和系统的安全</w:t>
      </w:r>
      <w:r>
        <w:rPr>
          <w:rFonts w:hint="eastAsia" w:ascii="Segoe UI" w:hAnsi="Segoe UI" w:cs="Segoe UI"/>
          <w:color w:val="auto"/>
          <w:shd w:val="clear" w:color="auto" w:fill="FFFFFF"/>
        </w:rPr>
        <w:t>。</w:t>
      </w:r>
    </w:p>
    <w:p>
      <w:pPr>
        <w:pStyle w:val="3"/>
        <w:ind w:firstLine="161"/>
        <w:rPr>
          <w:color w:val="auto"/>
        </w:rPr>
      </w:pPr>
      <w:bookmarkStart w:id="10" w:name="_Toc69301506"/>
      <w:r>
        <w:rPr>
          <w:rFonts w:hint="eastAsia"/>
          <w:color w:val="auto"/>
        </w:rPr>
        <w:t>项目建设周期</w:t>
      </w:r>
      <w:bookmarkEnd w:id="10"/>
    </w:p>
    <w:p>
      <w:pPr>
        <w:ind w:firstLine="480"/>
        <w:rPr>
          <w:rFonts w:hint="eastAsia" w:ascii="宋体" w:hAnsi="宋体" w:cs="宋体"/>
          <w:color w:val="auto"/>
          <w:kern w:val="0"/>
        </w:rPr>
      </w:pPr>
      <w:r>
        <w:rPr>
          <w:rFonts w:hint="eastAsia" w:ascii="宋体" w:hAnsi="宋体" w:cs="宋体"/>
          <w:color w:val="auto"/>
          <w:kern w:val="0"/>
        </w:rPr>
        <w:t>本项目要求自合同签订后，于</w:t>
      </w:r>
      <w:r>
        <w:rPr>
          <w:rFonts w:hint="eastAsia" w:ascii="宋体" w:hAnsi="宋体"/>
          <w:color w:val="auto"/>
        </w:rPr>
        <w:t>202</w:t>
      </w:r>
      <w:r>
        <w:rPr>
          <w:rFonts w:ascii="宋体" w:hAnsi="宋体"/>
          <w:color w:val="auto"/>
        </w:rPr>
        <w:t>5</w:t>
      </w:r>
      <w:r>
        <w:rPr>
          <w:rFonts w:hint="eastAsia" w:ascii="宋体" w:hAnsi="宋体"/>
          <w:color w:val="auto"/>
        </w:rPr>
        <w:t>年10月底前完成项目验收。</w:t>
      </w:r>
    </w:p>
    <w:p>
      <w:pPr>
        <w:pStyle w:val="3"/>
        <w:ind w:firstLine="161"/>
        <w:rPr>
          <w:color w:val="auto"/>
        </w:rPr>
      </w:pPr>
      <w:bookmarkStart w:id="11" w:name="_Toc69301508"/>
      <w:r>
        <w:rPr>
          <w:rFonts w:hint="eastAsia"/>
          <w:color w:val="auto"/>
        </w:rPr>
        <w:t>项目相关产品软件需求</w:t>
      </w:r>
      <w:bookmarkEnd w:id="11"/>
    </w:p>
    <w:p>
      <w:pPr>
        <w:ind w:firstLine="480"/>
        <w:rPr>
          <w:rFonts w:hint="eastAsia" w:ascii="宋体" w:hAnsi="宋体" w:cs="宋体"/>
          <w:color w:val="auto"/>
          <w:kern w:val="0"/>
        </w:rPr>
      </w:pPr>
      <w:r>
        <w:rPr>
          <w:rFonts w:hint="eastAsia" w:ascii="宋体" w:hAnsi="宋体" w:cs="宋体"/>
          <w:color w:val="auto"/>
          <w:kern w:val="0"/>
        </w:rPr>
        <w:t>无</w:t>
      </w:r>
    </w:p>
    <w:p>
      <w:pPr>
        <w:pStyle w:val="3"/>
        <w:ind w:firstLine="161"/>
        <w:rPr>
          <w:color w:val="auto"/>
        </w:rPr>
      </w:pPr>
      <w:bookmarkStart w:id="12" w:name="_Toc69301509"/>
      <w:r>
        <w:rPr>
          <w:rFonts w:hint="eastAsia"/>
          <w:color w:val="auto"/>
        </w:rPr>
        <w:t>项目相关安全设备需求</w:t>
      </w:r>
      <w:bookmarkEnd w:id="12"/>
    </w:p>
    <w:p>
      <w:pPr>
        <w:ind w:firstLine="480"/>
        <w:rPr>
          <w:rFonts w:hint="eastAsia" w:ascii="宋体" w:hAnsi="宋体" w:cs="宋体"/>
          <w:color w:val="auto"/>
          <w:kern w:val="0"/>
        </w:rPr>
      </w:pPr>
      <w:r>
        <w:rPr>
          <w:rFonts w:hint="eastAsia" w:ascii="宋体" w:hAnsi="宋体" w:cs="宋体"/>
          <w:color w:val="auto"/>
          <w:kern w:val="0"/>
        </w:rPr>
        <w:t>无</w:t>
      </w:r>
    </w:p>
    <w:p>
      <w:pPr>
        <w:pStyle w:val="3"/>
        <w:ind w:firstLine="161"/>
        <w:rPr>
          <w:color w:val="auto"/>
        </w:rPr>
      </w:pPr>
      <w:bookmarkStart w:id="13" w:name="_Toc69301513"/>
      <w:r>
        <w:rPr>
          <w:rFonts w:hint="eastAsia"/>
          <w:color w:val="auto"/>
        </w:rPr>
        <w:t>数据标准要求</w:t>
      </w:r>
      <w:bookmarkEnd w:id="13"/>
    </w:p>
    <w:p>
      <w:pPr>
        <w:ind w:firstLine="480"/>
        <w:rPr>
          <w:rFonts w:hint="eastAsia" w:ascii="宋体" w:hAnsi="宋体" w:cs="宋体"/>
          <w:color w:val="auto"/>
          <w:kern w:val="0"/>
        </w:rPr>
      </w:pPr>
      <w:r>
        <w:rPr>
          <w:rFonts w:hint="eastAsia" w:ascii="宋体" w:hAnsi="宋体" w:cs="宋体"/>
          <w:color w:val="auto"/>
          <w:kern w:val="0"/>
        </w:rPr>
        <w:t>本项目建设过程中涉及的数据标准，需考虑上海科学技术交流中心已有的业务流程和业务系统，同时融合三省一市标准，投标人需根据项目特点提出符合业务逻辑和有利于项目推进的各项数据标准。</w:t>
      </w:r>
    </w:p>
    <w:p>
      <w:pPr>
        <w:pStyle w:val="3"/>
        <w:ind w:firstLine="161"/>
        <w:rPr>
          <w:color w:val="auto"/>
        </w:rPr>
      </w:pPr>
      <w:bookmarkStart w:id="14" w:name="_Toc69301514"/>
      <w:r>
        <w:rPr>
          <w:rFonts w:hint="eastAsia"/>
          <w:color w:val="auto"/>
        </w:rPr>
        <w:t>数据库要求</w:t>
      </w:r>
      <w:bookmarkEnd w:id="14"/>
    </w:p>
    <w:p>
      <w:pPr>
        <w:ind w:firstLine="480"/>
        <w:rPr>
          <w:rFonts w:hint="eastAsia" w:ascii="宋体" w:hAnsi="宋体" w:cs="宋体"/>
          <w:color w:val="auto"/>
          <w:kern w:val="0"/>
        </w:rPr>
      </w:pPr>
      <w:r>
        <w:rPr>
          <w:rFonts w:hint="eastAsia" w:ascii="宋体" w:hAnsi="宋体" w:cs="宋体"/>
          <w:color w:val="auto"/>
          <w:kern w:val="0"/>
        </w:rPr>
        <w:t>使用信创云平台提供的</w:t>
      </w:r>
      <w:r>
        <w:rPr>
          <w:rFonts w:hint="eastAsia" w:ascii="宋体" w:hAnsi="宋体" w:cs="宋体"/>
          <w:color w:val="auto"/>
          <w:kern w:val="0"/>
          <w:lang w:eastAsia="zh-CN"/>
        </w:rPr>
        <w:t>达梦</w:t>
      </w:r>
      <w:r>
        <w:rPr>
          <w:rFonts w:hint="eastAsia" w:ascii="宋体" w:hAnsi="宋体" w:cs="宋体"/>
          <w:color w:val="auto"/>
          <w:kern w:val="0"/>
        </w:rPr>
        <w:t>数据库。</w:t>
      </w:r>
    </w:p>
    <w:p>
      <w:pPr>
        <w:pStyle w:val="3"/>
        <w:ind w:firstLine="161"/>
        <w:rPr>
          <w:color w:val="auto"/>
        </w:rPr>
      </w:pPr>
      <w:bookmarkStart w:id="15" w:name="_Toc69301515"/>
      <w:r>
        <w:rPr>
          <w:rFonts w:hint="eastAsia"/>
          <w:color w:val="auto"/>
        </w:rPr>
        <w:t>中间件要求</w:t>
      </w:r>
      <w:bookmarkEnd w:id="15"/>
    </w:p>
    <w:p>
      <w:pPr>
        <w:ind w:firstLine="480"/>
        <w:rPr>
          <w:rFonts w:hint="eastAsia" w:ascii="宋体" w:hAnsi="宋体" w:cs="宋体"/>
          <w:color w:val="auto"/>
          <w:kern w:val="0"/>
        </w:rPr>
      </w:pPr>
      <w:r>
        <w:rPr>
          <w:rFonts w:hint="eastAsia" w:ascii="宋体" w:hAnsi="宋体" w:cs="宋体"/>
          <w:color w:val="auto"/>
          <w:kern w:val="0"/>
        </w:rPr>
        <w:t>使用信创云上提供的中间件。</w:t>
      </w:r>
    </w:p>
    <w:p>
      <w:pPr>
        <w:pStyle w:val="3"/>
        <w:ind w:firstLine="161"/>
        <w:rPr>
          <w:color w:val="auto"/>
        </w:rPr>
      </w:pPr>
      <w:bookmarkStart w:id="16" w:name="_Toc69301516"/>
      <w:r>
        <w:rPr>
          <w:rFonts w:hint="eastAsia"/>
          <w:color w:val="auto"/>
        </w:rPr>
        <w:t>存储要求</w:t>
      </w:r>
      <w:bookmarkEnd w:id="16"/>
    </w:p>
    <w:p>
      <w:pPr>
        <w:ind w:firstLine="480"/>
        <w:rPr>
          <w:rFonts w:hint="eastAsia" w:ascii="宋体" w:hAnsi="宋体" w:cs="宋体"/>
          <w:color w:val="auto"/>
          <w:kern w:val="0"/>
        </w:rPr>
      </w:pPr>
      <w:r>
        <w:rPr>
          <w:rFonts w:hint="eastAsia" w:ascii="宋体" w:hAnsi="宋体" w:cs="宋体"/>
          <w:color w:val="auto"/>
          <w:kern w:val="0"/>
        </w:rPr>
        <w:t>为最大程度实现政府监管部门间资源共享、信息互通的建设要求，减少政府资金投入，规避建设孤岛机房，本次云平台作纳入政务信息资源共享目录，其平台基础设施（相关计算存储、安全、网络等资源）拟申请利用上海市政务云资源中心，投标人需提出针对本项目的数据处理量分析、存储容量分析、数据关系和数据共享需求分析。</w:t>
      </w:r>
    </w:p>
    <w:p>
      <w:pPr>
        <w:pStyle w:val="3"/>
        <w:ind w:firstLine="161"/>
        <w:rPr>
          <w:color w:val="auto"/>
        </w:rPr>
      </w:pPr>
      <w:bookmarkStart w:id="17" w:name="_Toc69301518"/>
      <w:r>
        <w:rPr>
          <w:rFonts w:hint="eastAsia"/>
          <w:color w:val="auto"/>
        </w:rPr>
        <w:t>终端系统和接口要求</w:t>
      </w:r>
      <w:bookmarkEnd w:id="17"/>
    </w:p>
    <w:p>
      <w:pPr>
        <w:ind w:firstLine="480"/>
        <w:rPr>
          <w:rFonts w:hint="eastAsia" w:ascii="宋体" w:hAnsi="宋体" w:cs="宋体"/>
          <w:color w:val="auto"/>
          <w:kern w:val="0"/>
        </w:rPr>
      </w:pPr>
      <w:r>
        <w:rPr>
          <w:rFonts w:hint="eastAsia" w:ascii="宋体" w:hAnsi="宋体" w:cs="宋体"/>
          <w:color w:val="auto"/>
          <w:kern w:val="0"/>
        </w:rPr>
        <w:t>根据实际情况调研后，充分剖析各个平台系统相关标准，部分平台通过开发标准数据接口，通过获取接口权限的方式，完成与各个平台数据对接，实现数据的互联互通，数据共享。</w:t>
      </w:r>
    </w:p>
    <w:p>
      <w:pPr>
        <w:pStyle w:val="3"/>
        <w:ind w:firstLine="161"/>
        <w:rPr>
          <w:color w:val="auto"/>
        </w:rPr>
      </w:pPr>
      <w:bookmarkStart w:id="18" w:name="_Toc69301519"/>
      <w:r>
        <w:rPr>
          <w:rFonts w:hint="eastAsia"/>
          <w:color w:val="auto"/>
        </w:rPr>
        <w:t>操作系统要求</w:t>
      </w:r>
      <w:bookmarkEnd w:id="18"/>
    </w:p>
    <w:p>
      <w:pPr>
        <w:ind w:firstLine="480"/>
        <w:rPr>
          <w:rFonts w:hint="eastAsia" w:ascii="宋体" w:hAnsi="宋体" w:cs="宋体"/>
          <w:color w:val="auto"/>
          <w:kern w:val="0"/>
        </w:rPr>
      </w:pPr>
      <w:r>
        <w:rPr>
          <w:rFonts w:hint="eastAsia" w:ascii="宋体" w:hAnsi="宋体" w:cs="宋体"/>
          <w:color w:val="auto"/>
          <w:kern w:val="0"/>
        </w:rPr>
        <w:t>参照申报整体统一上信创云规划，兼容麒麟操作系统。</w:t>
      </w:r>
    </w:p>
    <w:p>
      <w:pPr>
        <w:pStyle w:val="3"/>
        <w:ind w:firstLine="161"/>
        <w:rPr>
          <w:color w:val="auto"/>
        </w:rPr>
      </w:pPr>
      <w:bookmarkStart w:id="19" w:name="_Toc69301520"/>
      <w:r>
        <w:rPr>
          <w:rFonts w:hint="eastAsia"/>
          <w:color w:val="auto"/>
        </w:rPr>
        <w:t>浏览器要求</w:t>
      </w:r>
      <w:bookmarkEnd w:id="19"/>
    </w:p>
    <w:p>
      <w:pPr>
        <w:ind w:firstLine="480"/>
        <w:rPr>
          <w:rFonts w:hint="eastAsia" w:ascii="宋体" w:hAnsi="宋体"/>
          <w:color w:val="auto"/>
        </w:rPr>
      </w:pPr>
      <w:r>
        <w:rPr>
          <w:rFonts w:hint="eastAsia" w:ascii="宋体" w:hAnsi="宋体" w:cs="宋体"/>
          <w:color w:val="auto"/>
          <w:kern w:val="0"/>
        </w:rPr>
        <w:t>平台支持I</w:t>
      </w:r>
      <w:r>
        <w:rPr>
          <w:rFonts w:ascii="宋体" w:hAnsi="宋体" w:cs="宋体"/>
          <w:color w:val="auto"/>
          <w:kern w:val="0"/>
        </w:rPr>
        <w:t>E</w:t>
      </w:r>
      <w:r>
        <w:rPr>
          <w:rFonts w:hint="eastAsia" w:ascii="宋体" w:hAnsi="宋体" w:cs="宋体"/>
          <w:color w:val="auto"/>
          <w:kern w:val="0"/>
        </w:rPr>
        <w:t>（版本</w:t>
      </w:r>
      <w:r>
        <w:rPr>
          <w:rFonts w:ascii="宋体" w:hAnsi="宋体" w:cs="宋体"/>
          <w:color w:val="auto"/>
          <w:kern w:val="0"/>
        </w:rPr>
        <w:t>10</w:t>
      </w:r>
      <w:r>
        <w:rPr>
          <w:rFonts w:hint="eastAsia" w:ascii="宋体" w:hAnsi="宋体" w:cs="宋体"/>
          <w:color w:val="auto"/>
          <w:kern w:val="0"/>
        </w:rPr>
        <w:t>以上）、</w:t>
      </w:r>
      <w:r>
        <w:rPr>
          <w:rFonts w:ascii="宋体" w:hAnsi="宋体" w:cs="宋体"/>
          <w:color w:val="auto"/>
          <w:kern w:val="0"/>
        </w:rPr>
        <w:t>chrome</w:t>
      </w:r>
      <w:r>
        <w:rPr>
          <w:rFonts w:hint="eastAsia" w:ascii="宋体" w:hAnsi="宋体" w:cs="宋体"/>
          <w:color w:val="auto"/>
          <w:kern w:val="0"/>
        </w:rPr>
        <w:t>、Firefox、3</w:t>
      </w:r>
      <w:r>
        <w:rPr>
          <w:rFonts w:ascii="宋体" w:hAnsi="宋体" w:cs="宋体"/>
          <w:color w:val="auto"/>
          <w:kern w:val="0"/>
        </w:rPr>
        <w:t>60浏览器</w:t>
      </w:r>
      <w:r>
        <w:rPr>
          <w:rFonts w:hint="eastAsia" w:ascii="宋体" w:hAnsi="宋体" w:cs="宋体"/>
          <w:color w:val="auto"/>
          <w:kern w:val="0"/>
        </w:rPr>
        <w:t>；全面支持信创浏览器。</w:t>
      </w:r>
    </w:p>
    <w:p>
      <w:pPr>
        <w:pStyle w:val="3"/>
        <w:ind w:firstLine="161"/>
        <w:rPr>
          <w:color w:val="auto"/>
        </w:rPr>
      </w:pPr>
      <w:bookmarkStart w:id="20" w:name="_Toc69301521"/>
      <w:r>
        <w:rPr>
          <w:rFonts w:hint="eastAsia"/>
          <w:color w:val="auto"/>
        </w:rPr>
        <w:t>系统安全要求</w:t>
      </w:r>
      <w:bookmarkEnd w:id="20"/>
    </w:p>
    <w:p>
      <w:pPr>
        <w:ind w:firstLine="480"/>
        <w:rPr>
          <w:color w:val="auto"/>
        </w:rPr>
      </w:pPr>
      <w:r>
        <w:rPr>
          <w:rFonts w:hint="eastAsia"/>
          <w:color w:val="auto"/>
        </w:rPr>
        <w:t>信息系统安全设计包括系统软件安全与网络安全设计，软件安全包括程序软件安全、第三方软件安全、数据备份、事务日志、访问日志以及身份鉴别的设计，网络安全设计包括防火墙、入侵监测、网络漏洞扫描的安全设计。本项目中数据安全至关重要，投标人应充分考虑第三方数据安全工具的使用。</w:t>
      </w:r>
    </w:p>
    <w:p>
      <w:pPr>
        <w:pStyle w:val="3"/>
        <w:ind w:firstLine="161"/>
        <w:rPr>
          <w:rFonts w:hint="eastAsia" w:ascii="宋体" w:hAnsi="宋体"/>
          <w:color w:val="auto"/>
        </w:rPr>
      </w:pPr>
      <w:bookmarkStart w:id="21" w:name="_Toc69301522"/>
      <w:r>
        <w:rPr>
          <w:rFonts w:hint="eastAsia" w:ascii="宋体" w:hAnsi="宋体"/>
          <w:color w:val="auto"/>
        </w:rPr>
        <w:t>备份和恢复要求</w:t>
      </w:r>
      <w:bookmarkEnd w:id="21"/>
    </w:p>
    <w:p>
      <w:pPr>
        <w:pStyle w:val="31"/>
        <w:numPr>
          <w:ilvl w:val="0"/>
          <w:numId w:val="2"/>
        </w:numPr>
        <w:ind w:firstLineChars="0"/>
        <w:rPr>
          <w:rFonts w:hint="eastAsia" w:ascii="宋体" w:hAnsi="宋体"/>
          <w:color w:val="auto"/>
        </w:rPr>
      </w:pPr>
      <w:r>
        <w:rPr>
          <w:rFonts w:hint="eastAsia" w:ascii="宋体" w:hAnsi="宋体"/>
          <w:color w:val="auto"/>
        </w:rPr>
        <w:t>数据库数据备份</w:t>
      </w:r>
    </w:p>
    <w:p>
      <w:pPr>
        <w:ind w:firstLine="480"/>
        <w:rPr>
          <w:color w:val="auto"/>
        </w:rPr>
      </w:pPr>
      <w:r>
        <w:rPr>
          <w:rFonts w:hint="eastAsia"/>
          <w:color w:val="auto"/>
        </w:rPr>
        <w:t>制定数据库详细备份制度和方案，每月进行一次冷备份，每周进行一次增量备份，确保数据库数据安全。</w:t>
      </w:r>
    </w:p>
    <w:p>
      <w:pPr>
        <w:pStyle w:val="31"/>
        <w:numPr>
          <w:ilvl w:val="0"/>
          <w:numId w:val="2"/>
        </w:numPr>
        <w:ind w:firstLineChars="0"/>
        <w:rPr>
          <w:rFonts w:hint="eastAsia" w:ascii="宋体" w:hAnsi="宋体"/>
          <w:color w:val="auto"/>
        </w:rPr>
      </w:pPr>
      <w:r>
        <w:rPr>
          <w:rFonts w:hint="eastAsia" w:ascii="宋体" w:hAnsi="宋体"/>
          <w:color w:val="auto"/>
        </w:rPr>
        <w:t>应用程序数据备份</w:t>
      </w:r>
    </w:p>
    <w:p>
      <w:pPr>
        <w:ind w:firstLine="480"/>
        <w:rPr>
          <w:color w:val="auto"/>
        </w:rPr>
      </w:pPr>
      <w:r>
        <w:rPr>
          <w:rFonts w:hint="eastAsia"/>
          <w:color w:val="auto"/>
        </w:rPr>
        <w:t>对部署于应用服务器上的程序数据和用户非数据库数据，建立定期备份制度，每周备份一次数据，保障数据安全。</w:t>
      </w:r>
    </w:p>
    <w:p>
      <w:pPr>
        <w:ind w:firstLine="480"/>
        <w:rPr>
          <w:color w:val="auto"/>
        </w:rPr>
      </w:pPr>
      <w:r>
        <w:rPr>
          <w:rFonts w:hint="eastAsia"/>
          <w:color w:val="auto"/>
        </w:rPr>
        <w:t>正确处理保密、安全与开放之间的关系；安全技术与安全管理相结合；分析系统安全的风险，构造系统安全模型，从保护、检测、响应、恢复四个方面建立一套全方位的立体信息保障体系；遵循系统安全性与可用性相容原则，并具有适用性和可扩展性。</w:t>
      </w:r>
    </w:p>
    <w:p>
      <w:pPr>
        <w:pStyle w:val="3"/>
        <w:ind w:firstLine="161"/>
        <w:rPr>
          <w:rFonts w:hint="eastAsia" w:ascii="宋体" w:hAnsi="宋体"/>
          <w:color w:val="auto"/>
        </w:rPr>
      </w:pPr>
      <w:bookmarkStart w:id="22" w:name="_Toc69301523"/>
      <w:r>
        <w:rPr>
          <w:rFonts w:hint="eastAsia" w:ascii="宋体" w:hAnsi="宋体"/>
          <w:color w:val="auto"/>
        </w:rPr>
        <w:t>采购方提供的软硬件设备清单</w:t>
      </w:r>
      <w:bookmarkEnd w:id="22"/>
    </w:p>
    <w:p>
      <w:pPr>
        <w:ind w:firstLine="480"/>
        <w:rPr>
          <w:rFonts w:hint="eastAsia" w:ascii="宋体" w:hAnsi="宋体" w:cs="宋体"/>
          <w:color w:val="auto"/>
          <w:kern w:val="0"/>
        </w:rPr>
      </w:pPr>
      <w:r>
        <w:rPr>
          <w:rFonts w:hint="eastAsia" w:ascii="宋体" w:hAnsi="宋体" w:cs="宋体"/>
          <w:color w:val="auto"/>
          <w:kern w:val="0"/>
        </w:rPr>
        <w:t>无</w:t>
      </w:r>
    </w:p>
    <w:p>
      <w:pPr>
        <w:pStyle w:val="3"/>
        <w:ind w:firstLine="161"/>
        <w:rPr>
          <w:rFonts w:hint="eastAsia" w:ascii="宋体" w:hAnsi="宋体"/>
          <w:color w:val="auto"/>
        </w:rPr>
      </w:pPr>
      <w:bookmarkStart w:id="23" w:name="_Toc69301524"/>
      <w:r>
        <w:rPr>
          <w:rFonts w:hint="eastAsia" w:ascii="宋体" w:hAnsi="宋体"/>
          <w:color w:val="auto"/>
        </w:rPr>
        <w:t>系统部署及软硬件集成要求</w:t>
      </w:r>
      <w:bookmarkEnd w:id="23"/>
    </w:p>
    <w:p>
      <w:pPr>
        <w:ind w:firstLine="480"/>
        <w:rPr>
          <w:rFonts w:hint="eastAsia" w:ascii="宋体" w:hAnsi="宋体"/>
          <w:color w:val="auto"/>
        </w:rPr>
      </w:pPr>
      <w:r>
        <w:rPr>
          <w:rFonts w:hint="eastAsia" w:ascii="宋体" w:hAnsi="宋体"/>
          <w:color w:val="auto"/>
        </w:rPr>
        <w:t>无</w:t>
      </w:r>
    </w:p>
    <w:p>
      <w:pPr>
        <w:pStyle w:val="2"/>
        <w:ind w:firstLine="723"/>
        <w:rPr>
          <w:color w:val="auto"/>
          <w:szCs w:val="36"/>
        </w:rPr>
      </w:pPr>
      <w:bookmarkStart w:id="24" w:name="_Toc69301525"/>
      <w:r>
        <w:rPr>
          <w:rFonts w:hint="eastAsia"/>
          <w:color w:val="auto"/>
          <w:szCs w:val="36"/>
        </w:rPr>
        <w:t xml:space="preserve"> 项目管理及售后服务要求</w:t>
      </w:r>
      <w:bookmarkEnd w:id="24"/>
    </w:p>
    <w:p>
      <w:pPr>
        <w:pStyle w:val="3"/>
        <w:ind w:firstLine="161"/>
        <w:rPr>
          <w:rFonts w:hint="eastAsia" w:ascii="宋体" w:hAnsi="宋体"/>
          <w:color w:val="auto"/>
        </w:rPr>
      </w:pPr>
      <w:bookmarkStart w:id="25" w:name="_Toc69301526"/>
      <w:r>
        <w:rPr>
          <w:rFonts w:hint="eastAsia" w:ascii="宋体" w:hAnsi="宋体"/>
          <w:color w:val="auto"/>
        </w:rPr>
        <w:t>项目建设原则</w:t>
      </w:r>
      <w:bookmarkEnd w:id="25"/>
    </w:p>
    <w:p>
      <w:pPr>
        <w:ind w:firstLine="480"/>
        <w:rPr>
          <w:color w:val="auto"/>
        </w:rPr>
      </w:pPr>
      <w:r>
        <w:rPr>
          <w:rFonts w:hint="eastAsia"/>
          <w:color w:val="auto"/>
        </w:rPr>
        <w:t>根据以上对云平台需求分析，在设计整个系统之前，对于系统的设计原则，归纳总结为安全性、成熟性、标准化、易用性、开放性等五大类型要求，并以此作为本系统设计原则。</w:t>
      </w:r>
    </w:p>
    <w:p>
      <w:pPr>
        <w:ind w:firstLine="480"/>
        <w:rPr>
          <w:color w:val="auto"/>
        </w:rPr>
      </w:pPr>
      <w:r>
        <w:rPr>
          <w:color w:val="auto"/>
        </w:rPr>
        <w:t>1.</w:t>
      </w:r>
      <w:r>
        <w:rPr>
          <w:rFonts w:hint="eastAsia"/>
          <w:color w:val="auto"/>
        </w:rPr>
        <w:t>安全性原则</w:t>
      </w:r>
    </w:p>
    <w:p>
      <w:pPr>
        <w:ind w:firstLine="480"/>
        <w:rPr>
          <w:color w:val="auto"/>
        </w:rPr>
      </w:pPr>
      <w:r>
        <w:rPr>
          <w:rFonts w:hint="eastAsia"/>
          <w:color w:val="auto"/>
        </w:rPr>
        <w:t>安全保密是信息化建设的关键。云平台涉及到单位中重要或机密信息，因此安全性需要放在首位进行考虑。系统要有完善、周密的安全体系和信息安全支撑平台紧密配合，从物理、传输、网络、应用，采用多层次的安全保障措施。</w:t>
      </w:r>
    </w:p>
    <w:p>
      <w:pPr>
        <w:ind w:firstLine="480"/>
        <w:rPr>
          <w:color w:val="auto"/>
        </w:rPr>
      </w:pPr>
      <w:r>
        <w:rPr>
          <w:color w:val="auto"/>
        </w:rPr>
        <w:t>2.</w:t>
      </w:r>
      <w:r>
        <w:rPr>
          <w:rFonts w:hint="eastAsia"/>
          <w:color w:val="auto"/>
        </w:rPr>
        <w:t>成熟性原则</w:t>
      </w:r>
    </w:p>
    <w:p>
      <w:pPr>
        <w:ind w:firstLine="480"/>
        <w:rPr>
          <w:color w:val="auto"/>
        </w:rPr>
      </w:pPr>
      <w:r>
        <w:rPr>
          <w:rFonts w:hint="eastAsia"/>
          <w:color w:val="auto"/>
        </w:rPr>
        <w:t>作为一套庞大而复杂的应用系统开发项目，如何降低项目开发实施风险，避免出现项目失败是在项目分析阶段所必须关注的重要环节。而云平台和使用技术是否成熟，往往会直接影响到项目的结果。实践证明，过分强调采用先进的平台和技术，是系统不稳定的重要因素。因此，应该选用经过市场考验和用户实际应用验证，在系统稳定性、运行效率和可维护性上都达到了国际先进水平的成熟操作系统平台和应用系统平台。</w:t>
      </w:r>
    </w:p>
    <w:p>
      <w:pPr>
        <w:ind w:firstLine="480"/>
        <w:rPr>
          <w:color w:val="auto"/>
        </w:rPr>
      </w:pPr>
      <w:r>
        <w:rPr>
          <w:color w:val="auto"/>
        </w:rPr>
        <w:t>3.</w:t>
      </w:r>
      <w:r>
        <w:rPr>
          <w:rFonts w:hint="eastAsia"/>
          <w:color w:val="auto"/>
        </w:rPr>
        <w:t>标准化原则</w:t>
      </w:r>
    </w:p>
    <w:p>
      <w:pPr>
        <w:ind w:firstLine="480"/>
        <w:rPr>
          <w:color w:val="auto"/>
        </w:rPr>
      </w:pPr>
      <w:r>
        <w:rPr>
          <w:rFonts w:hint="eastAsia"/>
          <w:color w:val="auto"/>
        </w:rPr>
        <w:t>在系统平台、技术等选型时，应符合国际标准、工业标准、行业标准，特别是国家、行业发布的标准和规范。使系统的通信环境、软件环境相互间依赖减至最小，使其各自发挥自身优势。另一方面也要强调各种系统之间的通信和信息交换，以信息资源共享为有效的基本出发点。</w:t>
      </w:r>
    </w:p>
    <w:p>
      <w:pPr>
        <w:ind w:firstLine="480"/>
        <w:rPr>
          <w:color w:val="auto"/>
        </w:rPr>
      </w:pPr>
      <w:r>
        <w:rPr>
          <w:color w:val="auto"/>
        </w:rPr>
        <w:t>4.</w:t>
      </w:r>
      <w:r>
        <w:rPr>
          <w:rFonts w:hint="eastAsia"/>
          <w:color w:val="auto"/>
        </w:rPr>
        <w:t>易用性原则</w:t>
      </w:r>
    </w:p>
    <w:p>
      <w:pPr>
        <w:ind w:firstLine="480"/>
        <w:rPr>
          <w:color w:val="auto"/>
        </w:rPr>
      </w:pPr>
      <w:r>
        <w:rPr>
          <w:rFonts w:hint="eastAsia"/>
          <w:color w:val="auto"/>
        </w:rPr>
        <w:t>信息化是为了帮助提高管理水平，因此在云平台的操作上，需要尽量的直观，简洁，操作步骤不能太复杂，广大用户可以通过主流的Internet浏览器访问协作管理平台，操作与上网类似。</w:t>
      </w:r>
    </w:p>
    <w:p>
      <w:pPr>
        <w:ind w:firstLine="480"/>
        <w:rPr>
          <w:color w:val="auto"/>
        </w:rPr>
      </w:pPr>
      <w:bookmarkStart w:id="26" w:name="_Toc90292567"/>
      <w:bookmarkStart w:id="27" w:name="_Toc8410"/>
      <w:bookmarkStart w:id="28" w:name="_Toc246991029"/>
      <w:bookmarkStart w:id="29" w:name="_Toc80373913"/>
      <w:bookmarkStart w:id="30" w:name="_Toc51495093"/>
      <w:bookmarkStart w:id="31" w:name="_Toc242058972"/>
      <w:bookmarkStart w:id="32" w:name="_Toc144563955"/>
      <w:bookmarkStart w:id="33" w:name="_Toc90294269"/>
      <w:bookmarkStart w:id="34" w:name="_Toc255484520"/>
      <w:bookmarkStart w:id="35" w:name="_Toc341803021"/>
      <w:bookmarkStart w:id="36" w:name="_Toc153052027"/>
      <w:bookmarkStart w:id="37" w:name="_Toc90291698"/>
      <w:bookmarkStart w:id="38" w:name="_Toc109999684"/>
      <w:r>
        <w:rPr>
          <w:rFonts w:hint="eastAsia"/>
          <w:color w:val="auto"/>
        </w:rPr>
        <w:t>5</w:t>
      </w:r>
      <w:r>
        <w:rPr>
          <w:color w:val="auto"/>
        </w:rPr>
        <w:t>.开放性原则</w:t>
      </w:r>
      <w:bookmarkEnd w:id="26"/>
      <w:bookmarkEnd w:id="27"/>
      <w:bookmarkEnd w:id="28"/>
      <w:bookmarkEnd w:id="29"/>
      <w:bookmarkEnd w:id="30"/>
      <w:bookmarkEnd w:id="31"/>
      <w:bookmarkEnd w:id="32"/>
      <w:bookmarkEnd w:id="33"/>
      <w:bookmarkEnd w:id="34"/>
      <w:bookmarkEnd w:id="35"/>
      <w:bookmarkEnd w:id="36"/>
      <w:bookmarkEnd w:id="37"/>
      <w:bookmarkEnd w:id="38"/>
    </w:p>
    <w:p>
      <w:pPr>
        <w:ind w:firstLine="480"/>
        <w:rPr>
          <w:color w:val="auto"/>
        </w:rPr>
      </w:pPr>
      <w:r>
        <w:rPr>
          <w:color w:val="auto"/>
        </w:rPr>
        <w:t>系统开放程度直接影响到系统的生命周期。系统真正符合三层浏览器/服务器(B/S)体系结构，随着应用水平的提高、规模的扩大和需求的增加，无须对系统的体系结构做较大的改变就可以对系统的功能实现扩展。</w:t>
      </w:r>
    </w:p>
    <w:p>
      <w:pPr>
        <w:pStyle w:val="3"/>
        <w:ind w:firstLine="161"/>
        <w:rPr>
          <w:rFonts w:hint="eastAsia" w:ascii="宋体" w:hAnsi="宋体"/>
          <w:color w:val="auto"/>
        </w:rPr>
      </w:pPr>
      <w:bookmarkStart w:id="39" w:name="_Toc69301527"/>
      <w:r>
        <w:rPr>
          <w:rFonts w:hint="eastAsia" w:ascii="宋体" w:hAnsi="宋体"/>
          <w:color w:val="auto"/>
        </w:rPr>
        <w:t>项目实施进度要求</w:t>
      </w:r>
      <w:bookmarkEnd w:id="39"/>
    </w:p>
    <w:p>
      <w:pPr>
        <w:ind w:firstLine="480"/>
        <w:rPr>
          <w:rFonts w:hint="eastAsia" w:ascii="宋体" w:hAnsi="宋体" w:cs="宋体"/>
          <w:color w:val="auto"/>
          <w:kern w:val="0"/>
        </w:rPr>
      </w:pPr>
      <w:r>
        <w:rPr>
          <w:rFonts w:hint="eastAsia" w:ascii="宋体" w:hAnsi="宋体" w:cs="宋体"/>
          <w:color w:val="auto"/>
          <w:kern w:val="0"/>
        </w:rPr>
        <w:t>本项目要求自合同签订后，于</w:t>
      </w:r>
      <w:r>
        <w:rPr>
          <w:rFonts w:hint="eastAsia" w:ascii="宋体" w:hAnsi="宋体"/>
          <w:color w:val="auto"/>
        </w:rPr>
        <w:t>202</w:t>
      </w:r>
      <w:r>
        <w:rPr>
          <w:rFonts w:ascii="宋体" w:hAnsi="宋体"/>
          <w:color w:val="auto"/>
        </w:rPr>
        <w:t>5</w:t>
      </w:r>
      <w:r>
        <w:rPr>
          <w:rFonts w:hint="eastAsia" w:ascii="宋体" w:hAnsi="宋体"/>
          <w:color w:val="auto"/>
        </w:rPr>
        <w:t>年10月底前完成项目验收。</w:t>
      </w:r>
    </w:p>
    <w:p>
      <w:pPr>
        <w:pStyle w:val="3"/>
        <w:ind w:firstLine="161"/>
        <w:rPr>
          <w:rFonts w:hint="eastAsia" w:ascii="宋体" w:hAnsi="宋体"/>
          <w:color w:val="auto"/>
        </w:rPr>
      </w:pPr>
      <w:bookmarkStart w:id="40" w:name="_Toc69301528"/>
      <w:r>
        <w:rPr>
          <w:rFonts w:hint="eastAsia" w:ascii="宋体" w:hAnsi="宋体"/>
          <w:color w:val="auto"/>
        </w:rPr>
        <w:t>安装调试环境</w:t>
      </w:r>
      <w:bookmarkEnd w:id="40"/>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安装调试在项目单位指定的地点进行。</w:t>
      </w:r>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中标人负责全部软件的安装、调试。具体工作程序、工作内容、调试方法、调试结果及验收方案，由中标人书面提出并征得采购人同意之后按计划实施，未征得采购人同意中标人无权私自更改作业计划及内容，全部工作文档需有各方当事人签字认可。</w:t>
      </w:r>
    </w:p>
    <w:p>
      <w:pPr>
        <w:pStyle w:val="3"/>
        <w:ind w:firstLine="161"/>
        <w:rPr>
          <w:rFonts w:hint="eastAsia" w:ascii="宋体" w:hAnsi="宋体"/>
          <w:color w:val="auto"/>
        </w:rPr>
      </w:pPr>
      <w:bookmarkStart w:id="41" w:name="_Toc69301529"/>
      <w:r>
        <w:rPr>
          <w:rFonts w:hint="eastAsia" w:ascii="宋体" w:hAnsi="宋体"/>
          <w:color w:val="auto"/>
        </w:rPr>
        <w:t>系统安装要求</w:t>
      </w:r>
      <w:bookmarkEnd w:id="41"/>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软件系统安装的主要目标不仅是使所有软件能够在相应平台上正常运行，而且需具有对软件系统运行的监控测试手段，以证明系统优化运行。中标人有责任承诺使项目单位的系统达到以上目标。</w:t>
      </w:r>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系统部署前，需通过中标人内部的安全和质量测评。</w:t>
      </w:r>
    </w:p>
    <w:p>
      <w:pPr>
        <w:pStyle w:val="3"/>
        <w:ind w:firstLine="161"/>
        <w:rPr>
          <w:rFonts w:hint="eastAsia" w:ascii="宋体" w:hAnsi="宋体"/>
          <w:color w:val="auto"/>
        </w:rPr>
      </w:pPr>
      <w:bookmarkStart w:id="42" w:name="_Toc69301530"/>
      <w:r>
        <w:rPr>
          <w:rFonts w:hint="eastAsia" w:ascii="宋体" w:hAnsi="宋体"/>
          <w:color w:val="auto"/>
        </w:rPr>
        <w:t>项目文档要求</w:t>
      </w:r>
      <w:bookmarkEnd w:id="42"/>
    </w:p>
    <w:p>
      <w:pPr>
        <w:pStyle w:val="30"/>
        <w:numPr>
          <w:ilvl w:val="0"/>
          <w:numId w:val="4"/>
        </w:numPr>
        <w:adjustRightInd w:val="0"/>
        <w:snapToGrid w:val="0"/>
        <w:ind w:left="0" w:firstLine="480"/>
        <w:rPr>
          <w:rFonts w:hint="eastAsia" w:ascii="宋体" w:hAnsi="宋体" w:cs="Arial"/>
          <w:color w:val="auto"/>
          <w:szCs w:val="24"/>
        </w:rPr>
      </w:pPr>
      <w:r>
        <w:rPr>
          <w:rFonts w:hint="eastAsia" w:ascii="宋体" w:hAnsi="宋体" w:cs="Arial"/>
          <w:color w:val="auto"/>
          <w:szCs w:val="24"/>
        </w:rPr>
        <w:t>文档内容要求</w:t>
      </w:r>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系统开发应严格遵照国家软件项目规范进行，根据开发进度及时提供有关开发文档以及采购人认为必要的其他文档等。</w:t>
      </w:r>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最终提供的软件产品应包括各种相关的软件系统、各阶段开发文档、运行稳定可靠的本系统安装程序等。</w:t>
      </w:r>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项目管理应提交软件开发和实施计划、进度报告、培训计划、以及采购人认为必要的其他文档。</w:t>
      </w:r>
    </w:p>
    <w:p>
      <w:pPr>
        <w:pStyle w:val="30"/>
        <w:numPr>
          <w:ilvl w:val="0"/>
          <w:numId w:val="3"/>
        </w:numPr>
        <w:adjustRightInd w:val="0"/>
        <w:snapToGrid w:val="0"/>
        <w:ind w:left="0" w:firstLine="480"/>
        <w:rPr>
          <w:rFonts w:hint="eastAsia" w:ascii="宋体" w:hAnsi="宋体" w:cs="Arial"/>
          <w:color w:val="auto"/>
          <w:szCs w:val="24"/>
        </w:rPr>
      </w:pPr>
      <w:r>
        <w:rPr>
          <w:rFonts w:hint="eastAsia" w:ascii="宋体" w:hAnsi="宋体" w:cs="Arial"/>
          <w:color w:val="auto"/>
          <w:szCs w:val="24"/>
        </w:rPr>
        <w:t>未经采购人认可的情况下，所有的技术文件用中文书写或有完整的中文注释。</w:t>
      </w:r>
    </w:p>
    <w:p>
      <w:pPr>
        <w:pStyle w:val="30"/>
        <w:numPr>
          <w:ilvl w:val="0"/>
          <w:numId w:val="4"/>
        </w:numPr>
        <w:adjustRightInd w:val="0"/>
        <w:snapToGrid w:val="0"/>
        <w:ind w:left="0" w:firstLine="480"/>
        <w:rPr>
          <w:rFonts w:hint="eastAsia" w:ascii="宋体" w:hAnsi="宋体" w:cs="Arial"/>
          <w:color w:val="auto"/>
          <w:szCs w:val="24"/>
        </w:rPr>
      </w:pPr>
      <w:r>
        <w:rPr>
          <w:rFonts w:hint="eastAsia" w:ascii="宋体" w:hAnsi="宋体" w:cs="Arial"/>
          <w:color w:val="auto"/>
          <w:szCs w:val="24"/>
        </w:rPr>
        <w:t>文档管理要求</w:t>
      </w:r>
    </w:p>
    <w:p>
      <w:pPr>
        <w:adjustRightInd w:val="0"/>
        <w:snapToGrid w:val="0"/>
        <w:ind w:firstLine="480"/>
        <w:rPr>
          <w:rFonts w:hint="eastAsia" w:ascii="宋体" w:hAnsi="宋体" w:cs="Arial"/>
          <w:color w:val="auto"/>
        </w:rPr>
      </w:pPr>
      <w:r>
        <w:rPr>
          <w:rFonts w:hint="eastAsia" w:ascii="宋体" w:hAnsi="宋体" w:cs="Arial"/>
          <w:color w:val="auto"/>
        </w:rPr>
        <w:t>本项目所有文档最终向采购人提供纸质和电子文档各一套。中标人需设置专人在项目建设期间对文档进行检查和管理，项目最终验收后全部移交采购人。</w:t>
      </w:r>
    </w:p>
    <w:p>
      <w:pPr>
        <w:pStyle w:val="3"/>
        <w:ind w:firstLine="161"/>
        <w:rPr>
          <w:rFonts w:hint="eastAsia" w:ascii="宋体" w:hAnsi="宋体"/>
          <w:color w:val="auto"/>
        </w:rPr>
      </w:pPr>
      <w:bookmarkStart w:id="43" w:name="_Toc69301531"/>
      <w:r>
        <w:rPr>
          <w:rFonts w:hint="eastAsia" w:ascii="宋体" w:hAnsi="宋体"/>
          <w:color w:val="auto"/>
        </w:rPr>
        <w:t>系统测试要求</w:t>
      </w:r>
      <w:bookmarkEnd w:id="43"/>
    </w:p>
    <w:p>
      <w:pPr>
        <w:pStyle w:val="30"/>
        <w:adjustRightInd w:val="0"/>
        <w:snapToGrid w:val="0"/>
        <w:ind w:firstLine="480"/>
        <w:rPr>
          <w:rFonts w:hint="eastAsia" w:ascii="宋体" w:hAnsi="宋体" w:cs="Arial"/>
          <w:color w:val="auto"/>
          <w:szCs w:val="24"/>
        </w:rPr>
      </w:pPr>
      <w:r>
        <w:rPr>
          <w:rFonts w:hint="eastAsia" w:ascii="宋体" w:hAnsi="宋体" w:cs="Arial"/>
          <w:color w:val="auto"/>
        </w:rPr>
        <w:t>投标人需对系统</w:t>
      </w:r>
      <w:r>
        <w:rPr>
          <w:rFonts w:hint="eastAsia" w:ascii="宋体" w:hAnsi="宋体" w:cs="Arial"/>
          <w:color w:val="auto"/>
          <w:szCs w:val="24"/>
        </w:rPr>
        <w:t>进行功能测试，并形成系统测试报告。</w:t>
      </w:r>
    </w:p>
    <w:p>
      <w:pPr>
        <w:pStyle w:val="3"/>
        <w:ind w:firstLine="161"/>
        <w:rPr>
          <w:rFonts w:hint="eastAsia" w:ascii="宋体" w:hAnsi="宋体"/>
          <w:color w:val="auto"/>
        </w:rPr>
      </w:pPr>
      <w:bookmarkStart w:id="44" w:name="_Toc69301532"/>
      <w:r>
        <w:rPr>
          <w:rFonts w:hint="eastAsia" w:ascii="宋体" w:hAnsi="宋体"/>
          <w:color w:val="auto"/>
        </w:rPr>
        <w:t>第三方软件测评要求</w:t>
      </w:r>
      <w:bookmarkEnd w:id="44"/>
    </w:p>
    <w:p>
      <w:pPr>
        <w:adjustRightInd w:val="0"/>
        <w:snapToGrid w:val="0"/>
        <w:ind w:firstLine="480"/>
        <w:rPr>
          <w:rFonts w:hint="eastAsia" w:ascii="宋体" w:hAnsi="宋体" w:cs="Arial"/>
          <w:color w:val="auto"/>
        </w:rPr>
      </w:pPr>
      <w:r>
        <w:rPr>
          <w:rFonts w:hint="eastAsia" w:ascii="宋体" w:hAnsi="宋体" w:cs="Arial"/>
          <w:color w:val="auto"/>
        </w:rPr>
        <w:t>在系统验收之前，成交方需完成采购人指定的第三方测评机构的软件测评、安全测评和密码测评（费用由采购人承担）。并根据测评结果优化系统，以确保系统安全性、稳定性。</w:t>
      </w:r>
    </w:p>
    <w:p>
      <w:pPr>
        <w:pStyle w:val="3"/>
        <w:ind w:firstLine="161"/>
        <w:rPr>
          <w:rFonts w:hint="eastAsia" w:ascii="宋体" w:hAnsi="宋体"/>
          <w:color w:val="auto"/>
        </w:rPr>
      </w:pPr>
      <w:bookmarkStart w:id="45" w:name="_Toc69301533"/>
      <w:r>
        <w:rPr>
          <w:rFonts w:ascii="宋体" w:hAnsi="宋体"/>
          <w:color w:val="auto"/>
        </w:rPr>
        <w:t>系统验收及交付要求</w:t>
      </w:r>
      <w:bookmarkEnd w:id="45"/>
    </w:p>
    <w:p>
      <w:pPr>
        <w:tabs>
          <w:tab w:val="left" w:pos="1095"/>
        </w:tabs>
        <w:adjustRightInd w:val="0"/>
        <w:snapToGrid w:val="0"/>
        <w:ind w:firstLine="480"/>
        <w:rPr>
          <w:rFonts w:hint="eastAsia" w:ascii="宋体" w:hAnsi="宋体" w:cs="Arial"/>
          <w:color w:val="auto"/>
        </w:rPr>
      </w:pPr>
      <w:r>
        <w:rPr>
          <w:rFonts w:hint="eastAsia" w:ascii="宋体" w:hAnsi="宋体" w:cs="Arial"/>
          <w:color w:val="auto"/>
        </w:rPr>
        <w:t>按照采购文件的要求，实施方需要配合业主进行系统的整体验收，完成本项目的验收和交付，并提交全部相关文档资料等。</w:t>
      </w:r>
    </w:p>
    <w:p>
      <w:pPr>
        <w:tabs>
          <w:tab w:val="left" w:pos="1095"/>
        </w:tabs>
        <w:adjustRightInd w:val="0"/>
        <w:snapToGrid w:val="0"/>
        <w:ind w:firstLine="480"/>
        <w:rPr>
          <w:rFonts w:hint="eastAsia" w:ascii="宋体" w:hAnsi="宋体" w:cs="Arial"/>
          <w:color w:val="auto"/>
        </w:rPr>
      </w:pPr>
      <w:r>
        <w:rPr>
          <w:rFonts w:hint="eastAsia" w:ascii="宋体" w:hAnsi="宋体" w:cs="Arial"/>
          <w:color w:val="auto"/>
        </w:rPr>
        <w:t>实施方需要根据本项目建设需求和系统设计方案，提供详细的系统验收材料（包含且不仅限于项目工作总结、合同及附件、需求分析说明书、概要设计说明书、数据库设计和详细设计说明书、系统功能测试报告、用户操作手册、系统维护手册、系统试运行报告、第三方出具的测评报告等文档、项目管理相关文档）和验收流程、验收通过标准，经业主方认可后，由双方共同组织人员进行系统验收。要求系统充分完全的实现项目的建设要求；采购的系统软件按要求配置、安装到位、集成后运行正常；系统功能实现上完全符合系统的设计文档要求；系统各模块性能和功能稳定、使用正常；操作规范符合用户的操作习惯；系统安全符合国家标准，能够充分保证数据安全、网络安全和应用安全。</w:t>
      </w:r>
    </w:p>
    <w:p>
      <w:pPr>
        <w:tabs>
          <w:tab w:val="left" w:pos="1095"/>
        </w:tabs>
        <w:adjustRightInd w:val="0"/>
        <w:snapToGrid w:val="0"/>
        <w:ind w:firstLine="480"/>
        <w:rPr>
          <w:rFonts w:hint="eastAsia" w:ascii="宋体" w:hAnsi="宋体" w:cs="Arial"/>
          <w:color w:val="auto"/>
        </w:rPr>
      </w:pPr>
      <w:r>
        <w:rPr>
          <w:rFonts w:hint="eastAsia" w:ascii="宋体" w:hAnsi="宋体" w:cs="Arial"/>
          <w:color w:val="auto"/>
        </w:rPr>
        <w:t>验收时间：系统试运行结束后，由实施方和业主协商，共同组织进行验收。</w:t>
      </w:r>
    </w:p>
    <w:p>
      <w:pPr>
        <w:pStyle w:val="3"/>
        <w:ind w:firstLine="161"/>
        <w:rPr>
          <w:rFonts w:hint="eastAsia" w:ascii="宋体" w:hAnsi="宋体"/>
          <w:color w:val="auto"/>
        </w:rPr>
      </w:pPr>
      <w:bookmarkStart w:id="46" w:name="_Toc69301534"/>
      <w:r>
        <w:rPr>
          <w:rFonts w:hint="eastAsia" w:ascii="宋体" w:hAnsi="宋体"/>
          <w:color w:val="auto"/>
        </w:rPr>
        <w:t>售后服务与技术支持要求</w:t>
      </w:r>
      <w:bookmarkEnd w:id="46"/>
    </w:p>
    <w:p>
      <w:pPr>
        <w:ind w:firstLine="480"/>
        <w:rPr>
          <w:color w:val="auto"/>
          <w:highlight w:val="yellow"/>
        </w:rPr>
      </w:pPr>
      <w:r>
        <w:rPr>
          <w:rFonts w:hint="eastAsia"/>
          <w:color w:val="auto"/>
        </w:rPr>
        <w:t>提供5*8小时本地响应服务，在售后服务期内报告故障后不长于30分钟到达项目地点（上海市徐汇区中山西路1525号）进行解决。</w:t>
      </w:r>
    </w:p>
    <w:p>
      <w:pPr>
        <w:pStyle w:val="3"/>
        <w:ind w:firstLine="161"/>
        <w:rPr>
          <w:rFonts w:hint="eastAsia" w:ascii="宋体" w:hAnsi="宋体"/>
          <w:color w:val="auto"/>
        </w:rPr>
      </w:pPr>
      <w:bookmarkStart w:id="47" w:name="_Toc69301535"/>
      <w:r>
        <w:rPr>
          <w:rFonts w:hint="eastAsia" w:ascii="宋体" w:hAnsi="宋体"/>
          <w:color w:val="auto"/>
        </w:rPr>
        <w:t>项目培训要求</w:t>
      </w:r>
      <w:bookmarkEnd w:id="47"/>
    </w:p>
    <w:p>
      <w:pPr>
        <w:ind w:firstLine="480"/>
        <w:rPr>
          <w:color w:val="auto"/>
        </w:rPr>
      </w:pPr>
      <w:bookmarkStart w:id="48" w:name="_Toc69301536"/>
      <w:r>
        <w:rPr>
          <w:rFonts w:hint="eastAsia"/>
          <w:color w:val="auto"/>
        </w:rPr>
        <w:t>中标人应该提供系统培训，且满足以下的要求：</w:t>
      </w:r>
      <w:r>
        <w:rPr>
          <w:color w:val="auto"/>
        </w:rPr>
        <w:t xml:space="preserve"> </w:t>
      </w:r>
    </w:p>
    <w:p>
      <w:pPr>
        <w:ind w:firstLine="480"/>
        <w:rPr>
          <w:color w:val="auto"/>
        </w:rPr>
      </w:pPr>
      <w:r>
        <w:rPr>
          <w:rFonts w:hint="eastAsia"/>
          <w:color w:val="auto"/>
        </w:rPr>
        <w:t>安排</w:t>
      </w:r>
      <w:r>
        <w:rPr>
          <w:color w:val="auto"/>
        </w:rPr>
        <w:t>1</w:t>
      </w:r>
      <w:r>
        <w:rPr>
          <w:rFonts w:hint="eastAsia"/>
          <w:color w:val="auto"/>
        </w:rPr>
        <w:t>至</w:t>
      </w:r>
      <w:r>
        <w:rPr>
          <w:color w:val="auto"/>
        </w:rPr>
        <w:t>2</w:t>
      </w:r>
      <w:r>
        <w:rPr>
          <w:rFonts w:hint="eastAsia"/>
          <w:color w:val="auto"/>
        </w:rPr>
        <w:t>名具有三年以上的授课经验，并具有相当的理论水平和实际工作经验的培训顾问协助进行最终用户的培训。</w:t>
      </w:r>
      <w:r>
        <w:rPr>
          <w:color w:val="auto"/>
        </w:rPr>
        <w:t xml:space="preserve"> </w:t>
      </w:r>
    </w:p>
    <w:p>
      <w:pPr>
        <w:pStyle w:val="3"/>
        <w:ind w:firstLine="161"/>
        <w:rPr>
          <w:rFonts w:hint="eastAsia" w:ascii="宋体" w:hAnsi="宋体"/>
          <w:color w:val="auto"/>
        </w:rPr>
      </w:pPr>
      <w:r>
        <w:rPr>
          <w:rFonts w:hint="eastAsia" w:ascii="宋体" w:hAnsi="宋体"/>
          <w:color w:val="auto"/>
        </w:rPr>
        <w:t>安全保密要求</w:t>
      </w:r>
      <w:bookmarkEnd w:id="48"/>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对于采购人提供给各响应方的采购文件和其他业务需求说明文件，响应方有为采购人保密的义务。</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中标人应在采购人指定的工作机房内对进行运维、部署和数据处理等工作，不得对用户的数据进行拷贝、备份并带出工作机房，同时不得对外泄露用户数据资料（包括自然人、法人和其他共享数据）的具体内容。否则由此引起的用户损失、相关社会和法律责任，由中标人负责承担。</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中标人需协助用户采取各种管理和技术的手段，确保用户的数据不外传和泄露。</w:t>
      </w:r>
    </w:p>
    <w:p>
      <w:pPr>
        <w:pStyle w:val="3"/>
        <w:ind w:firstLine="161"/>
        <w:rPr>
          <w:rFonts w:hint="eastAsia" w:ascii="宋体" w:hAnsi="宋体"/>
          <w:color w:val="auto"/>
        </w:rPr>
      </w:pPr>
      <w:bookmarkStart w:id="49" w:name="_Toc69301537"/>
      <w:r>
        <w:rPr>
          <w:rFonts w:hint="eastAsia" w:ascii="宋体" w:hAnsi="宋体"/>
          <w:color w:val="auto"/>
        </w:rPr>
        <w:t>项目管理要求</w:t>
      </w:r>
      <w:bookmarkEnd w:id="49"/>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成交方在合同签订后应向采购人补充提交响应文件的电子版。</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响应方需提供实施本项目的完整的项目管理方案，并在监理方的监督下严格执行。</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根据监理方的要求，定期和里程碑时汇报项目进展情况。</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高度重视对过程的管理控制，高度重视对各类文档的管理，建立中间环节和文档的内部测试审核制度。</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在项目管理方案中，应充分体现响应方在项目管理方面的经验和能力以及对该项目管理的设想和具体方法，</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成交方应按照项目建设进度依次向采购人提交项目的技术文件和管理文件。</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响应文件中应包括响应方用于本项目的项目管理机制、团队组成、主要管理和技术负责人员的资质与经验说明。在项目实施过程中，如果成交方要变更主要管理和技术负责人员，需给出充分理由并取得采购人的同意。</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成交方在项目建设中可以针对部分目标的实现或全部主要目标的实现提出部分试运行申请或系统试运行申请。提出试运行申请时成交方同时提交试运行方案。</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试运行期间系统对应部分如果无明显异常，则在试运行结束时，成交方可以申请部分验收或系统验收。</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中标人为本项目开发的应用程序需通过安全测评、软件测评。</w:t>
      </w:r>
    </w:p>
    <w:p>
      <w:pPr>
        <w:pStyle w:val="3"/>
        <w:ind w:firstLine="161"/>
        <w:rPr>
          <w:rFonts w:hint="eastAsia" w:ascii="宋体" w:hAnsi="宋体"/>
          <w:color w:val="auto"/>
        </w:rPr>
      </w:pPr>
      <w:bookmarkStart w:id="50" w:name="_Toc69301538"/>
      <w:r>
        <w:rPr>
          <w:rFonts w:hint="eastAsia" w:ascii="宋体" w:hAnsi="宋体"/>
          <w:color w:val="auto"/>
        </w:rPr>
        <w:t>项目建设团队要求</w:t>
      </w:r>
      <w:bookmarkEnd w:id="50"/>
    </w:p>
    <w:p>
      <w:pPr>
        <w:snapToGrid w:val="0"/>
        <w:ind w:firstLine="480"/>
        <w:rPr>
          <w:bCs/>
          <w:color w:val="auto"/>
        </w:rPr>
      </w:pPr>
      <w:r>
        <w:rPr>
          <w:rFonts w:hint="eastAsia" w:ascii="宋体" w:hAnsi="宋体"/>
          <w:color w:val="auto"/>
        </w:rPr>
        <w:t>项目团队具有丰富的软件开发经验，具有项目过程管理经验，</w:t>
      </w:r>
      <w:r>
        <w:rPr>
          <w:rFonts w:hint="eastAsia"/>
          <w:bCs/>
          <w:color w:val="auto"/>
        </w:rPr>
        <w:t>投标人需在提交的响应文件中明确项目组成员，成交后未经采购人同意项目组成员不得随意更换。</w:t>
      </w:r>
    </w:p>
    <w:p>
      <w:pPr>
        <w:snapToGrid w:val="0"/>
        <w:ind w:firstLine="480"/>
        <w:rPr>
          <w:color w:val="auto"/>
        </w:rPr>
      </w:pPr>
      <w:r>
        <w:rPr>
          <w:rFonts w:hint="eastAsia"/>
          <w:color w:val="auto"/>
        </w:rPr>
        <w:t>投标人拟投入本项目的项目经理和技术负责人均应具备高级工程师职称（计算机专业）和信息系统项目管理师（高级）证书、培训讲师应具备一级信用管理师证书。</w:t>
      </w:r>
    </w:p>
    <w:p>
      <w:pPr>
        <w:snapToGrid w:val="0"/>
        <w:ind w:firstLine="480"/>
        <w:rPr>
          <w:rFonts w:hint="eastAsia"/>
          <w:color w:val="auto"/>
        </w:rPr>
      </w:pPr>
      <w:r>
        <w:rPr>
          <w:rFonts w:hint="eastAsia"/>
          <w:color w:val="auto"/>
        </w:rPr>
        <w:t>除以上三人外，投标人拟投入本项目其他人员应满足，中级系统集成项目管理师不少于3位、达梦数据库认证管理员不少于1位、麒麟操作系统桌面高级工程师不少于</w:t>
      </w:r>
      <w:r>
        <w:rPr>
          <w:rFonts w:hint="eastAsia"/>
          <w:color w:val="auto"/>
          <w:lang w:val="en-US" w:eastAsia="zh-CN"/>
        </w:rPr>
        <w:t>3</w:t>
      </w:r>
      <w:r>
        <w:rPr>
          <w:rFonts w:hint="eastAsia"/>
          <w:color w:val="auto"/>
        </w:rPr>
        <w:t>位。以上均需提供人员名单、分工、相关证书复印件以及近一季度内任一月在投标单位缴纳社保证明材料，并承诺项目团队人员在开发和实施期间均常驻采购人指定项目现场。</w:t>
      </w:r>
      <w:bookmarkStart w:id="53" w:name="_GoBack"/>
      <w:bookmarkEnd w:id="53"/>
    </w:p>
    <w:p>
      <w:pPr>
        <w:pStyle w:val="3"/>
        <w:ind w:firstLine="161"/>
        <w:rPr>
          <w:rFonts w:hint="eastAsia" w:ascii="宋体" w:hAnsi="宋体"/>
          <w:color w:val="auto"/>
        </w:rPr>
      </w:pPr>
      <w:r>
        <w:rPr>
          <w:rFonts w:hint="eastAsia" w:ascii="宋体" w:hAnsi="宋体"/>
          <w:color w:val="auto"/>
        </w:rPr>
        <w:t>企业能力要求</w:t>
      </w:r>
    </w:p>
    <w:p>
      <w:pPr>
        <w:snapToGrid w:val="0"/>
        <w:ind w:firstLine="480"/>
        <w:rPr>
          <w:color w:val="auto"/>
        </w:rPr>
      </w:pPr>
      <w:r>
        <w:rPr>
          <w:rFonts w:hint="eastAsia"/>
          <w:color w:val="auto"/>
        </w:rPr>
        <w:t>投标人具有与本项目相关的软件著作权登记证书</w:t>
      </w:r>
      <w:r>
        <w:rPr>
          <w:rFonts w:hint="eastAsia"/>
          <w:color w:val="auto"/>
          <w:lang w:eastAsia="zh-CN"/>
        </w:rPr>
        <w:t>的优先</w:t>
      </w:r>
      <w:r>
        <w:rPr>
          <w:rFonts w:hint="eastAsia"/>
          <w:color w:val="auto"/>
        </w:rPr>
        <w:t>（包含统一用户认证类、项目管理类、区域一体化科创云平台类、即时通讯类、电子资料库管理类、知识产权管理软件类</w:t>
      </w:r>
      <w:r>
        <w:rPr>
          <w:rFonts w:hint="eastAsia"/>
          <w:color w:val="auto"/>
          <w:lang w:val="en-US" w:eastAsia="zh-CN"/>
        </w:rPr>
        <w:t>六</w:t>
      </w:r>
      <w:r>
        <w:rPr>
          <w:rFonts w:hint="eastAsia"/>
          <w:color w:val="auto"/>
        </w:rPr>
        <w:t>类）。</w:t>
      </w:r>
    </w:p>
    <w:p>
      <w:pPr>
        <w:pStyle w:val="3"/>
        <w:ind w:firstLine="161"/>
        <w:rPr>
          <w:rFonts w:hint="eastAsia" w:ascii="宋体" w:hAnsi="宋体"/>
          <w:color w:val="auto"/>
        </w:rPr>
      </w:pPr>
      <w:bookmarkStart w:id="51" w:name="_Toc69301539"/>
      <w:r>
        <w:rPr>
          <w:rFonts w:ascii="宋体" w:hAnsi="宋体"/>
          <w:color w:val="auto"/>
        </w:rPr>
        <w:t>版权、知识产权及其他权益</w:t>
      </w:r>
      <w:bookmarkEnd w:id="51"/>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在本项目建设过程中，成交方为本项目所产生的设计方案、编写的应用软件和管理文档、编制的管理制度，其版权归采购人所有。</w:t>
      </w:r>
    </w:p>
    <w:p>
      <w:pPr>
        <w:pStyle w:val="30"/>
        <w:numPr>
          <w:ilvl w:val="0"/>
          <w:numId w:val="3"/>
        </w:numPr>
        <w:ind w:left="0" w:firstLine="420" w:firstLineChars="0"/>
        <w:rPr>
          <w:rFonts w:hint="eastAsia" w:ascii="宋体" w:hAnsi="宋体" w:cs="Arial"/>
          <w:color w:val="auto"/>
          <w:szCs w:val="24"/>
        </w:rPr>
      </w:pPr>
      <w:r>
        <w:rPr>
          <w:rFonts w:hint="eastAsia" w:ascii="宋体" w:hAnsi="宋体" w:cs="Arial"/>
          <w:color w:val="auto"/>
          <w:szCs w:val="24"/>
        </w:rPr>
        <w:t>除了投标人在响应书中明确知识产权权属的产品外，所有应用软件开发，包括二次开发的成果和知识产权应归采购人所有。</w:t>
      </w:r>
    </w:p>
    <w:p>
      <w:pPr>
        <w:pStyle w:val="30"/>
        <w:numPr>
          <w:ilvl w:val="0"/>
          <w:numId w:val="3"/>
        </w:numPr>
        <w:ind w:left="0" w:firstLine="420" w:firstLineChars="0"/>
        <w:rPr>
          <w:rFonts w:hint="eastAsia" w:ascii="宋体" w:hAnsi="宋体" w:cs="Arial"/>
          <w:color w:val="auto"/>
          <w:szCs w:val="24"/>
        </w:rPr>
      </w:pPr>
      <w:bookmarkStart w:id="52" w:name="_Hlk61439583"/>
      <w:r>
        <w:rPr>
          <w:rFonts w:hint="eastAsia" w:ascii="宋体" w:hAnsi="宋体" w:cs="Arial"/>
          <w:color w:val="auto"/>
          <w:szCs w:val="24"/>
        </w:rPr>
        <w:t>成交方按照合同交付采购人的所有软件产品（包括有可能涉及的数字资源产品）不得侵犯任何第三方的知识产权和其他合法权益。成交方对采购人正常使用这些交付物的合法性负责。</w:t>
      </w:r>
      <w:bookmarkEnd w:id="52"/>
    </w:p>
    <w:p>
      <w:pPr>
        <w:ind w:firstLine="48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instrText xml:space="preserve">PAGE   \* MERGEFORMAT</w:instrText>
    </w:r>
    <w:r>
      <w:fldChar w:fldCharType="separate"/>
    </w:r>
    <w:r>
      <w:rPr>
        <w:lang w:val="zh-CN"/>
      </w:rPr>
      <w:t>2</w:t>
    </w:r>
    <w:r>
      <w:fldChar w:fldCharType="end"/>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w:fldChar w:fldCharType="begin"/>
    </w:r>
    <w:r>
      <w:instrText xml:space="preserve"> PAGE   \* MERGEFORMAT </w:instrText>
    </w:r>
    <w:r>
      <w:fldChar w:fldCharType="separate"/>
    </w:r>
    <w:r>
      <w:rPr>
        <w:lang w:val="zh-CN"/>
      </w:rPr>
      <w:t>1</w:t>
    </w:r>
    <w:r>
      <w:rPr>
        <w:lang w:val="zh-CN"/>
      </w:rPr>
      <w:fldChar w:fldCharType="end"/>
    </w:r>
  </w:p>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E2073"/>
    <w:multiLevelType w:val="multilevel"/>
    <w:tmpl w:val="041E2073"/>
    <w:lvl w:ilvl="0" w:tentative="0">
      <w:start w:val="1"/>
      <w:numFmt w:val="decimal"/>
      <w:lvlText w:val="%1)"/>
      <w:lvlJc w:val="left"/>
      <w:pPr>
        <w:ind w:left="840" w:hanging="420"/>
      </w:pPr>
      <w:rPr>
        <w:rFonts w:hint="eastAsia" w:ascii="Calibri" w:hAnsi="Calibri" w:eastAsia="宋体" w:cs="Times New Roman"/>
      </w:rPr>
    </w:lvl>
    <w:lvl w:ilvl="1" w:tentative="0">
      <w:start w:val="4"/>
      <w:numFmt w:val="japaneseCounting"/>
      <w:lvlText w:val="（%2）"/>
      <w:lvlJc w:val="left"/>
      <w:pPr>
        <w:tabs>
          <w:tab w:val="left" w:pos="1920"/>
        </w:tabs>
        <w:ind w:left="1920" w:hanging="108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4642154"/>
    <w:multiLevelType w:val="multilevel"/>
    <w:tmpl w:val="34642154"/>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2" w:hanging="1152"/>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2">
    <w:nsid w:val="3CF719AB"/>
    <w:multiLevelType w:val="multilevel"/>
    <w:tmpl w:val="3CF719A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4DAC0525"/>
    <w:multiLevelType w:val="multilevel"/>
    <w:tmpl w:val="4DAC052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D6"/>
    <w:rsid w:val="000372E7"/>
    <w:rsid w:val="00053EA3"/>
    <w:rsid w:val="000D399E"/>
    <w:rsid w:val="0010331E"/>
    <w:rsid w:val="0010340E"/>
    <w:rsid w:val="00186476"/>
    <w:rsid w:val="00190A76"/>
    <w:rsid w:val="001C7AAE"/>
    <w:rsid w:val="001D2236"/>
    <w:rsid w:val="001D314D"/>
    <w:rsid w:val="00287B4B"/>
    <w:rsid w:val="00287E5E"/>
    <w:rsid w:val="002E5AFC"/>
    <w:rsid w:val="0031226B"/>
    <w:rsid w:val="00313A62"/>
    <w:rsid w:val="00336F5C"/>
    <w:rsid w:val="00373A93"/>
    <w:rsid w:val="00377BA2"/>
    <w:rsid w:val="003A117F"/>
    <w:rsid w:val="003B6E9E"/>
    <w:rsid w:val="003C182E"/>
    <w:rsid w:val="003E49D6"/>
    <w:rsid w:val="003E7956"/>
    <w:rsid w:val="00464246"/>
    <w:rsid w:val="004C7A39"/>
    <w:rsid w:val="004E3F02"/>
    <w:rsid w:val="004F5255"/>
    <w:rsid w:val="00514C65"/>
    <w:rsid w:val="00536AC6"/>
    <w:rsid w:val="0057423A"/>
    <w:rsid w:val="005B5A25"/>
    <w:rsid w:val="005C4DCC"/>
    <w:rsid w:val="006078FB"/>
    <w:rsid w:val="00625BDD"/>
    <w:rsid w:val="006615BA"/>
    <w:rsid w:val="007106D1"/>
    <w:rsid w:val="00723E8B"/>
    <w:rsid w:val="00815A7F"/>
    <w:rsid w:val="008B11CF"/>
    <w:rsid w:val="008D5121"/>
    <w:rsid w:val="00917386"/>
    <w:rsid w:val="00921080"/>
    <w:rsid w:val="0092654D"/>
    <w:rsid w:val="00964339"/>
    <w:rsid w:val="009767D2"/>
    <w:rsid w:val="00A46C11"/>
    <w:rsid w:val="00A845AA"/>
    <w:rsid w:val="00A84DA7"/>
    <w:rsid w:val="00AB4701"/>
    <w:rsid w:val="00B44CDC"/>
    <w:rsid w:val="00BB1BDB"/>
    <w:rsid w:val="00BD4492"/>
    <w:rsid w:val="00C90B3F"/>
    <w:rsid w:val="00CA3942"/>
    <w:rsid w:val="00CA6790"/>
    <w:rsid w:val="00D1645F"/>
    <w:rsid w:val="00D341D8"/>
    <w:rsid w:val="00D36C85"/>
    <w:rsid w:val="00D567C9"/>
    <w:rsid w:val="00DD1D48"/>
    <w:rsid w:val="00E82BDA"/>
    <w:rsid w:val="00E95273"/>
    <w:rsid w:val="00EE1A55"/>
    <w:rsid w:val="00F03EBC"/>
    <w:rsid w:val="00F04E76"/>
    <w:rsid w:val="00F3383B"/>
    <w:rsid w:val="00F57BE3"/>
    <w:rsid w:val="00FD51A1"/>
    <w:rsid w:val="00FF3282"/>
    <w:rsid w:val="04507F39"/>
    <w:rsid w:val="07F615C4"/>
    <w:rsid w:val="0D9D1CCE"/>
    <w:rsid w:val="116327F5"/>
    <w:rsid w:val="13056079"/>
    <w:rsid w:val="149A59CD"/>
    <w:rsid w:val="159B7AE6"/>
    <w:rsid w:val="1774678B"/>
    <w:rsid w:val="192D24CD"/>
    <w:rsid w:val="1B423649"/>
    <w:rsid w:val="2CF175B0"/>
    <w:rsid w:val="32553B38"/>
    <w:rsid w:val="35CE2883"/>
    <w:rsid w:val="37512D0B"/>
    <w:rsid w:val="40141741"/>
    <w:rsid w:val="4668670B"/>
    <w:rsid w:val="5A962C8C"/>
    <w:rsid w:val="5EDFA42E"/>
    <w:rsid w:val="61442516"/>
    <w:rsid w:val="664A7D72"/>
    <w:rsid w:val="6ABD3EAD"/>
    <w:rsid w:val="6B955868"/>
    <w:rsid w:val="7457F3C3"/>
    <w:rsid w:val="EEF9D514"/>
    <w:rsid w:val="FB7FB20B"/>
    <w:rsid w:val="FF70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styleId="2">
    <w:name w:val="heading 1"/>
    <w:basedOn w:val="1"/>
    <w:next w:val="1"/>
    <w:link w:val="18"/>
    <w:qFormat/>
    <w:uiPriority w:val="9"/>
    <w:pPr>
      <w:keepNext/>
      <w:keepLines/>
      <w:numPr>
        <w:ilvl w:val="0"/>
        <w:numId w:val="1"/>
      </w:numPr>
      <w:spacing w:before="100" w:beforeAutospacing="1"/>
      <w:ind w:left="0" w:firstLine="0" w:firstLineChars="0"/>
      <w:outlineLvl w:val="0"/>
    </w:pPr>
    <w:rPr>
      <w:b/>
      <w:bCs/>
      <w:kern w:val="44"/>
      <w:sz w:val="36"/>
      <w:szCs w:val="44"/>
    </w:rPr>
  </w:style>
  <w:style w:type="paragraph" w:styleId="3">
    <w:name w:val="heading 2"/>
    <w:basedOn w:val="1"/>
    <w:next w:val="1"/>
    <w:link w:val="19"/>
    <w:qFormat/>
    <w:uiPriority w:val="9"/>
    <w:pPr>
      <w:keepNext/>
      <w:keepLines/>
      <w:numPr>
        <w:ilvl w:val="1"/>
        <w:numId w:val="1"/>
      </w:numPr>
      <w:ind w:left="0" w:firstLine="50" w:firstLineChars="50"/>
      <w:outlineLvl w:val="1"/>
    </w:pPr>
    <w:rPr>
      <w:b/>
      <w:bCs/>
      <w:kern w:val="0"/>
      <w:sz w:val="32"/>
      <w:szCs w:val="32"/>
    </w:rPr>
  </w:style>
  <w:style w:type="paragraph" w:styleId="4">
    <w:name w:val="heading 3"/>
    <w:basedOn w:val="1"/>
    <w:next w:val="1"/>
    <w:link w:val="20"/>
    <w:qFormat/>
    <w:uiPriority w:val="9"/>
    <w:pPr>
      <w:keepNext/>
      <w:keepLines/>
      <w:numPr>
        <w:ilvl w:val="2"/>
        <w:numId w:val="1"/>
      </w:numPr>
      <w:ind w:left="0" w:firstLine="100" w:firstLineChars="100"/>
      <w:outlineLvl w:val="2"/>
    </w:pPr>
    <w:rPr>
      <w:b/>
      <w:bCs/>
      <w:kern w:val="0"/>
      <w:sz w:val="30"/>
      <w:szCs w:val="32"/>
    </w:rPr>
  </w:style>
  <w:style w:type="paragraph" w:styleId="5">
    <w:name w:val="heading 4"/>
    <w:basedOn w:val="1"/>
    <w:next w:val="1"/>
    <w:link w:val="21"/>
    <w:qFormat/>
    <w:uiPriority w:val="9"/>
    <w:pPr>
      <w:keepNext/>
      <w:keepLines/>
      <w:numPr>
        <w:ilvl w:val="3"/>
        <w:numId w:val="1"/>
      </w:numPr>
      <w:spacing w:before="280" w:after="290" w:line="376" w:lineRule="auto"/>
      <w:outlineLvl w:val="3"/>
    </w:pPr>
    <w:rPr>
      <w:rFonts w:ascii="Calibri Light" w:hAnsi="Calibri Light"/>
      <w:b/>
      <w:bCs/>
      <w:kern w:val="0"/>
      <w:sz w:val="28"/>
      <w:szCs w:val="28"/>
    </w:rPr>
  </w:style>
  <w:style w:type="paragraph" w:styleId="6">
    <w:name w:val="heading 5"/>
    <w:basedOn w:val="1"/>
    <w:next w:val="1"/>
    <w:link w:val="22"/>
    <w:qFormat/>
    <w:uiPriority w:val="9"/>
    <w:pPr>
      <w:keepNext/>
      <w:keepLines/>
      <w:numPr>
        <w:ilvl w:val="4"/>
        <w:numId w:val="1"/>
      </w:numPr>
      <w:spacing w:before="280" w:after="290" w:line="376" w:lineRule="auto"/>
      <w:outlineLvl w:val="4"/>
    </w:pPr>
    <w:rPr>
      <w:b/>
      <w:bCs/>
      <w:kern w:val="0"/>
      <w:sz w:val="28"/>
      <w:szCs w:val="28"/>
    </w:rPr>
  </w:style>
  <w:style w:type="paragraph" w:styleId="7">
    <w:name w:val="heading 6"/>
    <w:basedOn w:val="1"/>
    <w:next w:val="1"/>
    <w:link w:val="23"/>
    <w:qFormat/>
    <w:uiPriority w:val="9"/>
    <w:pPr>
      <w:keepNext/>
      <w:keepLines/>
      <w:numPr>
        <w:ilvl w:val="5"/>
        <w:numId w:val="1"/>
      </w:numPr>
      <w:spacing w:before="240" w:after="64" w:line="320" w:lineRule="auto"/>
      <w:outlineLvl w:val="5"/>
    </w:pPr>
    <w:rPr>
      <w:rFonts w:ascii="Calibri Light" w:hAnsi="Calibri Light"/>
      <w:b/>
      <w:bCs/>
      <w:kern w:val="0"/>
    </w:rPr>
  </w:style>
  <w:style w:type="paragraph" w:styleId="8">
    <w:name w:val="heading 7"/>
    <w:basedOn w:val="1"/>
    <w:next w:val="1"/>
    <w:link w:val="24"/>
    <w:qFormat/>
    <w:uiPriority w:val="9"/>
    <w:pPr>
      <w:keepNext/>
      <w:keepLines/>
      <w:numPr>
        <w:ilvl w:val="6"/>
        <w:numId w:val="1"/>
      </w:numPr>
      <w:spacing w:before="240" w:after="64" w:line="320" w:lineRule="auto"/>
      <w:outlineLvl w:val="6"/>
    </w:pPr>
    <w:rPr>
      <w:b/>
      <w:bCs/>
      <w:kern w:val="0"/>
    </w:rPr>
  </w:style>
  <w:style w:type="paragraph" w:styleId="9">
    <w:name w:val="heading 8"/>
    <w:basedOn w:val="1"/>
    <w:next w:val="1"/>
    <w:link w:val="25"/>
    <w:qFormat/>
    <w:uiPriority w:val="9"/>
    <w:pPr>
      <w:keepNext/>
      <w:keepLines/>
      <w:numPr>
        <w:ilvl w:val="7"/>
        <w:numId w:val="1"/>
      </w:numPr>
      <w:spacing w:before="240" w:after="64" w:line="320" w:lineRule="auto"/>
      <w:outlineLvl w:val="7"/>
    </w:pPr>
    <w:rPr>
      <w:rFonts w:ascii="Calibri Light" w:hAnsi="Calibri Light"/>
      <w:kern w:val="0"/>
    </w:rPr>
  </w:style>
  <w:style w:type="paragraph" w:styleId="10">
    <w:name w:val="heading 9"/>
    <w:basedOn w:val="1"/>
    <w:next w:val="1"/>
    <w:link w:val="26"/>
    <w:qFormat/>
    <w:uiPriority w:val="9"/>
    <w:pPr>
      <w:keepNext/>
      <w:keepLines/>
      <w:numPr>
        <w:ilvl w:val="8"/>
        <w:numId w:val="1"/>
      </w:numPr>
      <w:spacing w:before="240" w:after="64" w:line="320" w:lineRule="auto"/>
      <w:outlineLvl w:val="8"/>
    </w:pPr>
    <w:rPr>
      <w:rFonts w:ascii="Calibri Light" w:hAnsi="Calibri Light"/>
      <w:kern w:val="0"/>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style>
  <w:style w:type="paragraph" w:styleId="12">
    <w:name w:val="Body Text"/>
    <w:basedOn w:val="1"/>
    <w:link w:val="27"/>
    <w:qFormat/>
    <w:uiPriority w:val="0"/>
    <w:pPr>
      <w:spacing w:after="120" w:line="240" w:lineRule="auto"/>
      <w:ind w:firstLine="0" w:firstLineChars="0"/>
      <w:jc w:val="both"/>
    </w:pPr>
    <w:rPr>
      <w:sz w:val="21"/>
    </w:rPr>
  </w:style>
  <w:style w:type="paragraph" w:styleId="13">
    <w:name w:val="footer"/>
    <w:basedOn w:val="1"/>
    <w:link w:val="28"/>
    <w:unhideWhenUsed/>
    <w:qFormat/>
    <w:uiPriority w:val="99"/>
    <w:pPr>
      <w:tabs>
        <w:tab w:val="center" w:pos="4153"/>
        <w:tab w:val="right" w:pos="8306"/>
      </w:tabs>
      <w:snapToGrid w:val="0"/>
    </w:pPr>
    <w:rPr>
      <w:kern w:val="0"/>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7">
    <w:name w:val="annotation reference"/>
    <w:basedOn w:val="16"/>
    <w:semiHidden/>
    <w:unhideWhenUsed/>
    <w:qFormat/>
    <w:uiPriority w:val="99"/>
    <w:rPr>
      <w:sz w:val="21"/>
      <w:szCs w:val="21"/>
    </w:rPr>
  </w:style>
  <w:style w:type="character" w:customStyle="1" w:styleId="18">
    <w:name w:val="标题 1 字符"/>
    <w:link w:val="2"/>
    <w:qFormat/>
    <w:uiPriority w:val="9"/>
    <w:rPr>
      <w:rFonts w:ascii="Times New Roman" w:hAnsi="Times New Roman" w:eastAsia="宋体" w:cs="Times New Roman"/>
      <w:b/>
      <w:bCs/>
      <w:kern w:val="44"/>
      <w:sz w:val="36"/>
      <w:szCs w:val="44"/>
    </w:rPr>
  </w:style>
  <w:style w:type="character" w:customStyle="1" w:styleId="19">
    <w:name w:val="标题 2 字符"/>
    <w:link w:val="3"/>
    <w:qFormat/>
    <w:uiPriority w:val="9"/>
    <w:rPr>
      <w:rFonts w:ascii="Times New Roman" w:hAnsi="Times New Roman" w:eastAsia="宋体" w:cs="Times New Roman"/>
      <w:b/>
      <w:bCs/>
      <w:sz w:val="32"/>
      <w:szCs w:val="32"/>
    </w:rPr>
  </w:style>
  <w:style w:type="character" w:customStyle="1" w:styleId="20">
    <w:name w:val="标题 3 字符"/>
    <w:link w:val="4"/>
    <w:qFormat/>
    <w:uiPriority w:val="9"/>
    <w:rPr>
      <w:rFonts w:ascii="Times New Roman" w:hAnsi="Times New Roman" w:eastAsia="宋体" w:cs="Times New Roman"/>
      <w:b/>
      <w:bCs/>
      <w:sz w:val="30"/>
      <w:szCs w:val="32"/>
    </w:rPr>
  </w:style>
  <w:style w:type="character" w:customStyle="1" w:styleId="21">
    <w:name w:val="标题 4 字符"/>
    <w:link w:val="5"/>
    <w:qFormat/>
    <w:uiPriority w:val="9"/>
    <w:rPr>
      <w:rFonts w:ascii="Calibri Light" w:hAnsi="Calibri Light" w:eastAsia="宋体" w:cs="Times New Roman"/>
      <w:b/>
      <w:bCs/>
      <w:sz w:val="28"/>
      <w:szCs w:val="28"/>
    </w:rPr>
  </w:style>
  <w:style w:type="character" w:customStyle="1" w:styleId="22">
    <w:name w:val="标题 5 字符"/>
    <w:link w:val="6"/>
    <w:qFormat/>
    <w:uiPriority w:val="9"/>
    <w:rPr>
      <w:rFonts w:ascii="Times New Roman" w:hAnsi="Times New Roman" w:eastAsia="宋体" w:cs="Times New Roman"/>
      <w:b/>
      <w:bCs/>
      <w:sz w:val="28"/>
      <w:szCs w:val="28"/>
    </w:rPr>
  </w:style>
  <w:style w:type="character" w:customStyle="1" w:styleId="23">
    <w:name w:val="标题 6 字符"/>
    <w:link w:val="7"/>
    <w:qFormat/>
    <w:uiPriority w:val="9"/>
    <w:rPr>
      <w:rFonts w:ascii="Calibri Light" w:hAnsi="Calibri Light" w:eastAsia="宋体" w:cs="Times New Roman"/>
      <w:b/>
      <w:bCs/>
      <w:sz w:val="24"/>
      <w:szCs w:val="24"/>
    </w:rPr>
  </w:style>
  <w:style w:type="character" w:customStyle="1" w:styleId="24">
    <w:name w:val="标题 7 字符"/>
    <w:link w:val="8"/>
    <w:qFormat/>
    <w:uiPriority w:val="9"/>
    <w:rPr>
      <w:rFonts w:ascii="Times New Roman" w:hAnsi="Times New Roman" w:eastAsia="宋体" w:cs="Times New Roman"/>
      <w:b/>
      <w:bCs/>
      <w:sz w:val="24"/>
      <w:szCs w:val="24"/>
    </w:rPr>
  </w:style>
  <w:style w:type="character" w:customStyle="1" w:styleId="25">
    <w:name w:val="标题 8 字符"/>
    <w:link w:val="9"/>
    <w:semiHidden/>
    <w:qFormat/>
    <w:uiPriority w:val="9"/>
    <w:rPr>
      <w:rFonts w:ascii="Calibri Light" w:hAnsi="Calibri Light" w:eastAsia="宋体" w:cs="Times New Roman"/>
      <w:sz w:val="24"/>
      <w:szCs w:val="24"/>
    </w:rPr>
  </w:style>
  <w:style w:type="character" w:customStyle="1" w:styleId="26">
    <w:name w:val="标题 9 字符"/>
    <w:link w:val="10"/>
    <w:semiHidden/>
    <w:qFormat/>
    <w:uiPriority w:val="9"/>
    <w:rPr>
      <w:rFonts w:ascii="Calibri Light" w:hAnsi="Calibri Light" w:eastAsia="宋体" w:cs="Times New Roman"/>
      <w:sz w:val="24"/>
      <w:szCs w:val="21"/>
    </w:rPr>
  </w:style>
  <w:style w:type="character" w:customStyle="1" w:styleId="27">
    <w:name w:val="正文文本 字符"/>
    <w:link w:val="12"/>
    <w:qFormat/>
    <w:uiPriority w:val="0"/>
    <w:rPr>
      <w:rFonts w:ascii="Times New Roman" w:hAnsi="Times New Roman"/>
      <w:kern w:val="2"/>
      <w:sz w:val="21"/>
      <w:szCs w:val="24"/>
    </w:rPr>
  </w:style>
  <w:style w:type="character" w:customStyle="1" w:styleId="28">
    <w:name w:val="页脚 字符"/>
    <w:link w:val="13"/>
    <w:qFormat/>
    <w:uiPriority w:val="99"/>
    <w:rPr>
      <w:rFonts w:ascii="Times New Roman" w:hAnsi="Times New Roman" w:eastAsia="宋体" w:cs="Times New Roman"/>
      <w:sz w:val="18"/>
      <w:szCs w:val="18"/>
    </w:rPr>
  </w:style>
  <w:style w:type="character" w:customStyle="1" w:styleId="29">
    <w:name w:val="页眉 字符"/>
    <w:link w:val="14"/>
    <w:qFormat/>
    <w:uiPriority w:val="99"/>
    <w:rPr>
      <w:rFonts w:ascii="Times New Roman" w:hAnsi="Times New Roman" w:eastAsia="宋体" w:cs="Times New Roman"/>
      <w:sz w:val="18"/>
      <w:szCs w:val="18"/>
    </w:rPr>
  </w:style>
  <w:style w:type="paragraph" w:customStyle="1" w:styleId="30">
    <w:name w:val="彩色列表 - 强调文字颜色 11"/>
    <w:basedOn w:val="1"/>
    <w:qFormat/>
    <w:uiPriority w:val="34"/>
    <w:pPr>
      <w:ind w:firstLine="420"/>
    </w:pPr>
    <w:rPr>
      <w:rFonts w:ascii="Calibri" w:hAnsi="Calibri"/>
      <w:szCs w:val="22"/>
    </w:rPr>
  </w:style>
  <w:style w:type="paragraph" w:styleId="31">
    <w:name w:val="List Paragraph"/>
    <w:basedOn w:val="1"/>
    <w:link w:val="32"/>
    <w:qFormat/>
    <w:uiPriority w:val="34"/>
    <w:pPr>
      <w:ind w:firstLine="420"/>
    </w:pPr>
    <w:rPr>
      <w:rFonts w:ascii="Calibri" w:hAnsi="Calibri"/>
      <w:kern w:val="0"/>
      <w:szCs w:val="20"/>
    </w:rPr>
  </w:style>
  <w:style w:type="character" w:customStyle="1" w:styleId="32">
    <w:name w:val="列表段落 字符"/>
    <w:link w:val="31"/>
    <w:qFormat/>
    <w:uiPriority w:val="34"/>
    <w:rPr>
      <w:sz w:val="24"/>
    </w:rPr>
  </w:style>
  <w:style w:type="paragraph" w:customStyle="1" w:styleId="33">
    <w:name w:val="_Style 31"/>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6394</Words>
  <Characters>6456</Characters>
  <Lines>145</Lines>
  <Paragraphs>134</Paragraphs>
  <TotalTime>40</TotalTime>
  <ScaleCrop>false</ScaleCrop>
  <LinksUpToDate>false</LinksUpToDate>
  <CharactersWithSpaces>6459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2022-03-03T21:35:00Z</dcterms:created>
  <dc:creator>user</dc:creator>
  <cp:lastModifiedBy>user</cp:lastModifiedBy>
  <dcterms:modified xsi:type="dcterms:W3CDTF">2025-05-15T14:12:34Z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0BF45F3B3DECC5FBC1372468CF9F5C9D_43</vt:lpwstr>
  </property>
  <property fmtid="{D5CDD505-2E9C-101B-9397-08002B2CF9AE}" pid="4" name="KSOTemplateDocerSaveRecord">
    <vt:lpwstr>eyJoZGlkIjoiYjljMzMxYzM1YTI1YTE1Y2YzNDFlMWE5YWQxYzg2MTUiLCJ1c2VySWQiOiI1NDM0MzM4MDIifQ==</vt:lpwstr>
  </property>
</Properties>
</file>