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CED19">
      <w:pPr>
        <w:ind w:firstLine="0" w:firstLineChars="0"/>
        <w:jc w:val="center"/>
        <w:rPr>
          <w:rFonts w:ascii="黑体" w:hAnsi="黑体" w:eastAsia="黑体"/>
          <w:sz w:val="48"/>
          <w:szCs w:val="48"/>
        </w:rPr>
      </w:pPr>
    </w:p>
    <w:p w14:paraId="5D10BD4F">
      <w:pPr>
        <w:ind w:firstLine="0" w:firstLineChars="0"/>
        <w:jc w:val="center"/>
        <w:rPr>
          <w:rFonts w:ascii="黑体" w:hAnsi="黑体" w:eastAsia="黑体"/>
          <w:sz w:val="48"/>
          <w:szCs w:val="48"/>
        </w:rPr>
      </w:pPr>
    </w:p>
    <w:p w14:paraId="663B68BF">
      <w:pPr>
        <w:ind w:firstLine="0" w:firstLineChars="0"/>
        <w:jc w:val="center"/>
        <w:rPr>
          <w:rFonts w:ascii="黑体" w:hAnsi="黑体" w:eastAsia="黑体"/>
          <w:sz w:val="52"/>
          <w:szCs w:val="52"/>
        </w:rPr>
      </w:pPr>
      <w:r>
        <w:rPr>
          <w:rFonts w:hint="eastAsia" w:ascii="黑体" w:hAnsi="黑体" w:eastAsia="黑体"/>
          <w:sz w:val="52"/>
          <w:szCs w:val="52"/>
        </w:rPr>
        <w:t>上海市省统筹传染病监测预警与应急指挥信息平台二期</w:t>
      </w:r>
    </w:p>
    <w:p w14:paraId="102E5A8E">
      <w:pPr>
        <w:ind w:firstLine="0" w:firstLineChars="0"/>
        <w:jc w:val="center"/>
        <w:rPr>
          <w:rFonts w:ascii="黑体" w:hAnsi="黑体" w:eastAsia="黑体"/>
          <w:sz w:val="52"/>
          <w:szCs w:val="52"/>
        </w:rPr>
      </w:pPr>
      <w:r>
        <w:rPr>
          <w:rFonts w:hint="eastAsia" w:ascii="黑体" w:hAnsi="黑体" w:eastAsia="黑体"/>
          <w:sz w:val="52"/>
          <w:szCs w:val="52"/>
        </w:rPr>
        <w:t>传染病病原监测信息系统升级项目</w:t>
      </w:r>
    </w:p>
    <w:p w14:paraId="5D54B407">
      <w:pPr>
        <w:ind w:firstLine="0" w:firstLineChars="0"/>
        <w:jc w:val="center"/>
        <w:rPr>
          <w:rFonts w:ascii="黑体" w:hAnsi="黑体" w:eastAsia="黑体"/>
          <w:sz w:val="52"/>
          <w:szCs w:val="52"/>
        </w:rPr>
      </w:pPr>
      <w:r>
        <w:rPr>
          <w:rFonts w:hint="eastAsia" w:ascii="黑体" w:hAnsi="黑体" w:eastAsia="黑体"/>
          <w:sz w:val="52"/>
          <w:szCs w:val="52"/>
        </w:rPr>
        <w:t>2025年度采购需求</w:t>
      </w:r>
    </w:p>
    <w:p w14:paraId="158B6476">
      <w:pPr>
        <w:ind w:firstLine="0" w:firstLineChars="0"/>
        <w:jc w:val="center"/>
        <w:rPr>
          <w:rFonts w:ascii="黑体" w:hAnsi="黑体" w:eastAsia="黑体"/>
          <w:sz w:val="72"/>
          <w:szCs w:val="72"/>
        </w:rPr>
      </w:pPr>
    </w:p>
    <w:p w14:paraId="1F99B645">
      <w:pPr>
        <w:ind w:firstLine="0" w:firstLineChars="0"/>
        <w:jc w:val="center"/>
        <w:rPr>
          <w:rFonts w:ascii="黑体" w:hAnsi="黑体" w:eastAsia="黑体"/>
          <w:sz w:val="48"/>
          <w:szCs w:val="48"/>
        </w:rPr>
      </w:pPr>
    </w:p>
    <w:p w14:paraId="66F23FC5">
      <w:pPr>
        <w:ind w:firstLine="0" w:firstLineChars="0"/>
        <w:jc w:val="center"/>
        <w:rPr>
          <w:rFonts w:ascii="黑体" w:hAnsi="黑体" w:eastAsia="黑体"/>
          <w:sz w:val="52"/>
          <w:szCs w:val="52"/>
        </w:rPr>
      </w:pPr>
    </w:p>
    <w:p w14:paraId="758EBD3F"/>
    <w:p w14:paraId="7FFF0182"/>
    <w:p w14:paraId="74E9E085"/>
    <w:p w14:paraId="4B5737BD"/>
    <w:p w14:paraId="6C023D60">
      <w:pPr>
        <w:ind w:firstLine="1040"/>
        <w:rPr>
          <w:rFonts w:ascii="黑体" w:hAnsi="黑体" w:eastAsia="黑体"/>
          <w:sz w:val="52"/>
          <w:szCs w:val="52"/>
        </w:rPr>
      </w:pPr>
    </w:p>
    <w:p w14:paraId="2CF98569">
      <w:pPr>
        <w:ind w:firstLine="0" w:firstLineChars="0"/>
        <w:jc w:val="center"/>
        <w:rPr>
          <w:rFonts w:ascii="黑体" w:hAnsi="黑体" w:eastAsia="黑体"/>
          <w:sz w:val="32"/>
          <w:szCs w:val="32"/>
        </w:rPr>
      </w:pPr>
      <w:r>
        <w:rPr>
          <w:rFonts w:hint="eastAsia" w:ascii="黑体" w:hAnsi="黑体" w:eastAsia="黑体"/>
          <w:sz w:val="32"/>
          <w:szCs w:val="32"/>
        </w:rPr>
        <w:t>上海市疾病预防控制中心</w:t>
      </w:r>
    </w:p>
    <w:p w14:paraId="2A45143A">
      <w:pPr>
        <w:ind w:firstLine="0" w:firstLineChars="0"/>
        <w:jc w:val="center"/>
        <w:rPr>
          <w:rFonts w:ascii="黑体" w:hAnsi="黑体" w:eastAsia="黑体"/>
          <w:b/>
          <w:bCs/>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2A53C0C">
      <w:pPr>
        <w:pStyle w:val="2"/>
      </w:pPr>
      <w:bookmarkStart w:id="0" w:name="_Toc63785461"/>
      <w:r>
        <w:rPr>
          <w:rFonts w:hint="eastAsia"/>
        </w:rPr>
        <w:t>项目概况</w:t>
      </w:r>
      <w:bookmarkEnd w:id="0"/>
    </w:p>
    <w:p w14:paraId="47FD89E0">
      <w:pPr>
        <w:ind w:firstLine="482"/>
      </w:pPr>
      <w:r>
        <w:rPr>
          <w:rFonts w:hint="eastAsia"/>
          <w:b/>
          <w:bCs/>
        </w:rPr>
        <w:t>项目背景&amp;现状：</w:t>
      </w:r>
      <w:r>
        <w:rPr>
          <w:rFonts w:hint="eastAsia"/>
        </w:rPr>
        <w:t>本项目为升级改造项目。国家疾控局下发《国家疾控局综合司关于印发&lt;加快建设完善省统筹区域传染病监测预警与应急指挥信息平台实施方案&gt;的通知》（国疾控综规财函〔2023〕18号）、《国家疾控局综合司关于印发监测预警与应急指挥能力提升项目工作清单的函》（国疾控综规财函〔2023〕244号）、《国家疾控局综合司关于加快实施中央对地方转移支付传染病监测预警与应急指挥能力提升项目的函》等文件，要求各地建立全国一网统管、平台两级建设，数据统一采集、业务分级应用的一体化省统筹区域平台，纵向集成各级监测预警信息平台，实现上下统一；横向联通相关部门监测信息，实现全国统一；打通“医防研”信息壁垒，实现内部统一，有效提升区域监测预警与应急指挥能力。</w:t>
      </w:r>
    </w:p>
    <w:p w14:paraId="649F3768">
      <w:r>
        <w:rPr>
          <w:rFonts w:hint="eastAsia"/>
        </w:rPr>
        <w:t>上海市疾控局在接到文件后成立相关专班组，带领上海市疾控中心结合本市监测预警与应急指挥信息化建设现况，对标国家任务内容及考核指标，以秉承超前布局、20年不落后的理念为引导，制订印发《关于下发上海市监测预警与应急指挥能力提升项目工作任务清单的通知》（沪疾控局监测〔2024〕1号），并依托国家疾控局分三年下拨的中央转移地方支付专项经费，分别以主要实现2024年国家省统筹阶段建设要求、实现2025年国家省统筹阶段建设总体要求、实现和国家指标体系的完全对接（对标国家后续拟定建设文件要求），明确一期、二期、三期建设内容基调。</w:t>
      </w:r>
    </w:p>
    <w:p w14:paraId="4B1D733D">
      <w:pPr>
        <w:rPr>
          <w:rFonts w:ascii="仿宋" w:hAnsi="仿宋" w:eastAsia="仿宋"/>
          <w:color w:val="000000" w:themeColor="text1"/>
          <w:sz w:val="28"/>
          <w:szCs w:val="28"/>
          <w14:textFill>
            <w14:solidFill>
              <w14:schemeClr w14:val="tx1"/>
            </w14:solidFill>
          </w14:textFill>
        </w:rPr>
      </w:pPr>
      <w:r>
        <w:rPr>
          <w:rFonts w:hint="eastAsia"/>
        </w:rPr>
        <w:t>本项目在一期建设内容基础上，结合2024年度中央转移地方支付专项经费额度，对标国家和本市工作任务清单，升级传染病病原监测信息系统，通过相关信息化完善提升上海市常态化、智慧化传染病多点触发监测预警能力。</w:t>
      </w:r>
    </w:p>
    <w:p w14:paraId="43DAB890">
      <w:pPr>
        <w:spacing w:line="560" w:lineRule="exact"/>
        <w:ind w:firstLine="482"/>
      </w:pPr>
      <w:r>
        <w:rPr>
          <w:rFonts w:hint="eastAsia"/>
          <w:b/>
          <w:bCs/>
        </w:rPr>
        <w:t>建设期限</w:t>
      </w:r>
      <w:r>
        <w:rPr>
          <w:rFonts w:hint="eastAsia"/>
        </w:rPr>
        <w:t>：2025年12月31日前完成项目建设并通过验收。</w:t>
      </w:r>
      <w:bookmarkStart w:id="42" w:name="_GoBack"/>
      <w:bookmarkEnd w:id="42"/>
    </w:p>
    <w:p w14:paraId="38E73824">
      <w:pPr>
        <w:spacing w:line="560" w:lineRule="exact"/>
        <w:ind w:firstLine="482"/>
      </w:pPr>
      <w:r>
        <w:rPr>
          <w:rFonts w:hint="eastAsia"/>
          <w:b/>
          <w:bCs/>
        </w:rPr>
        <w:t>建设地点</w:t>
      </w:r>
      <w:r>
        <w:rPr>
          <w:rFonts w:hint="eastAsia"/>
        </w:rPr>
        <w:t>：</w:t>
      </w:r>
      <w:bookmarkStart w:id="1" w:name="_Hlk520089719"/>
      <w:r>
        <w:rPr>
          <w:rFonts w:hint="eastAsia"/>
        </w:rPr>
        <w:t>上海市疾病预防控制中心</w:t>
      </w:r>
      <w:bookmarkEnd w:id="1"/>
      <w:r>
        <w:rPr>
          <w:rFonts w:hint="eastAsia"/>
        </w:rPr>
        <w:t>病原所</w:t>
      </w:r>
    </w:p>
    <w:p w14:paraId="19619007">
      <w:pPr>
        <w:spacing w:line="560" w:lineRule="exact"/>
        <w:ind w:firstLine="482"/>
      </w:pPr>
      <w:r>
        <w:rPr>
          <w:rFonts w:hint="eastAsia"/>
          <w:b/>
          <w:bCs/>
        </w:rPr>
        <w:t>预算金额</w:t>
      </w:r>
      <w:r>
        <w:rPr>
          <w:rFonts w:hint="eastAsia"/>
        </w:rPr>
        <w:t>：1150000元</w:t>
      </w:r>
    </w:p>
    <w:p w14:paraId="4EDF12F1">
      <w:pPr>
        <w:spacing w:line="560" w:lineRule="exact"/>
        <w:ind w:firstLine="482"/>
      </w:pPr>
      <w:r>
        <w:rPr>
          <w:rFonts w:hint="eastAsia"/>
          <w:b/>
          <w:bCs/>
        </w:rPr>
        <w:t>采购金额（最高限价）</w:t>
      </w:r>
      <w:r>
        <w:rPr>
          <w:rFonts w:hint="eastAsia"/>
        </w:rPr>
        <w:t>：115（万元）</w:t>
      </w:r>
    </w:p>
    <w:p w14:paraId="5EE67C71">
      <w:pPr>
        <w:ind w:firstLine="482"/>
      </w:pPr>
      <w:r>
        <w:rPr>
          <w:rFonts w:hint="eastAsia"/>
          <w:b/>
          <w:bCs/>
        </w:rPr>
        <w:t>组织形式</w:t>
      </w:r>
      <w:r>
        <w:rPr>
          <w:rFonts w:hint="eastAsia"/>
        </w:rPr>
        <w:t>：集中采购</w:t>
      </w:r>
    </w:p>
    <w:p w14:paraId="4B40F389">
      <w:pPr>
        <w:ind w:firstLine="482"/>
      </w:pPr>
      <w:r>
        <w:rPr>
          <w:rFonts w:hint="eastAsia"/>
          <w:b/>
          <w:bCs/>
        </w:rPr>
        <w:t>采购方式</w:t>
      </w:r>
      <w:r>
        <w:rPr>
          <w:rFonts w:hint="eastAsia"/>
        </w:rPr>
        <w:t>：公开招标</w:t>
      </w:r>
    </w:p>
    <w:p w14:paraId="15CBAB9C">
      <w:pPr>
        <w:ind w:firstLine="482"/>
      </w:pPr>
      <w:r>
        <w:rPr>
          <w:rFonts w:hint="eastAsia"/>
          <w:b/>
          <w:bCs/>
        </w:rPr>
        <w:t>是否接受联合体投标</w:t>
      </w:r>
      <w:r>
        <w:rPr>
          <w:rFonts w:hint="eastAsia"/>
        </w:rPr>
        <w:t>：否</w:t>
      </w:r>
    </w:p>
    <w:p w14:paraId="4183352C">
      <w:pPr>
        <w:ind w:firstLine="482"/>
      </w:pPr>
      <w:r>
        <w:rPr>
          <w:b/>
          <w:bCs/>
        </w:rPr>
        <w:t>是否按信创要求建设</w:t>
      </w:r>
      <w:r>
        <w:t>：</w:t>
      </w:r>
      <w:r>
        <w:rPr>
          <w:rFonts w:hint="eastAsia"/>
        </w:rPr>
        <w:t>是</w:t>
      </w:r>
    </w:p>
    <w:p w14:paraId="619BA6FC">
      <w:pPr>
        <w:ind w:firstLine="482"/>
      </w:pPr>
      <w:r>
        <w:rPr>
          <w:rFonts w:hint="eastAsia"/>
          <w:b/>
          <w:bCs/>
        </w:rPr>
        <w:t>运维后所属大系统</w:t>
      </w:r>
      <w:r>
        <w:rPr>
          <w:rFonts w:hint="eastAsia"/>
        </w:rPr>
        <w:t>：上海市省统筹传染病监测预警与应急指挥（二期）子系统</w:t>
      </w:r>
    </w:p>
    <w:p w14:paraId="2B61EEC2">
      <w:pPr>
        <w:pStyle w:val="2"/>
      </w:pPr>
      <w:bookmarkStart w:id="2" w:name="_Toc47531634"/>
      <w:bookmarkEnd w:id="2"/>
      <w:bookmarkStart w:id="3" w:name="_Toc47532891"/>
      <w:bookmarkEnd w:id="3"/>
      <w:bookmarkStart w:id="4" w:name="_Toc47539070"/>
      <w:bookmarkEnd w:id="4"/>
      <w:bookmarkStart w:id="5" w:name="_Toc47536644"/>
      <w:bookmarkEnd w:id="5"/>
      <w:bookmarkStart w:id="6" w:name="_Toc47536272"/>
      <w:bookmarkEnd w:id="6"/>
      <w:bookmarkStart w:id="7" w:name="_Toc47533256"/>
      <w:bookmarkEnd w:id="7"/>
      <w:bookmarkStart w:id="8" w:name="_Toc47537134"/>
      <w:bookmarkEnd w:id="8"/>
      <w:bookmarkStart w:id="9" w:name="_Toc47532255"/>
      <w:bookmarkEnd w:id="9"/>
      <w:bookmarkStart w:id="10" w:name="_Toc48223882"/>
      <w:bookmarkStart w:id="11" w:name="_Toc63785463"/>
      <w:r>
        <w:rPr>
          <w:rFonts w:hint="eastAsia"/>
        </w:rPr>
        <w:t>建设目标</w:t>
      </w:r>
      <w:bookmarkEnd w:id="10"/>
      <w:bookmarkEnd w:id="11"/>
    </w:p>
    <w:p w14:paraId="671160D1">
      <w:pPr>
        <w:rPr>
          <w:bCs/>
          <w:color w:val="000000"/>
        </w:rPr>
      </w:pPr>
      <w:r>
        <w:rPr>
          <w:rFonts w:hint="eastAsia"/>
          <w:bCs/>
          <w:color w:val="000000"/>
        </w:rPr>
        <w:t>在一期基础上进一步提升实验室病原全程监测预警能力。一是基于病原监测中产生的病原测序及相关数据，集成开发综合研判分析工具，强化对新发、突发、急性、高致病性、输入性等病原的监测与早期预警能力。二是按照国家基本数据集标准和一体化集成接口要求，实现本市疾病预防控制机构、各级各类医疗机构、科研院所和第三方检验检测机构病原监测结果数据上传国家，以及进一步优化与相关系统的数据对接，同时扩展病原测序大文件的传输能力，支撑国家与省市病原监测多类型数据的安全及时共享。三是结合可视化手段，进一步强化对样本采集、初筛、运送、确证、分析和反馈全程关键节点的全局掌控，实现病原分布热力图、病原谱等辅助决策信息更清晰地可视化展示，实现预警信息的实时大屏提醒跟踪及质控结果分析展示。</w:t>
      </w:r>
    </w:p>
    <w:p w14:paraId="20BC11B0">
      <w:pPr>
        <w:pStyle w:val="2"/>
      </w:pPr>
      <w:bookmarkStart w:id="12" w:name="_Toc47536676"/>
      <w:bookmarkEnd w:id="12"/>
      <w:bookmarkStart w:id="13" w:name="_Toc47532923"/>
      <w:bookmarkEnd w:id="13"/>
      <w:bookmarkStart w:id="14" w:name="_Toc47539102"/>
      <w:bookmarkEnd w:id="14"/>
      <w:bookmarkStart w:id="15" w:name="_Toc47536304"/>
      <w:bookmarkEnd w:id="15"/>
      <w:bookmarkStart w:id="16" w:name="_Toc47537166"/>
      <w:bookmarkEnd w:id="16"/>
      <w:bookmarkStart w:id="17" w:name="_Toc47533288"/>
      <w:bookmarkEnd w:id="17"/>
      <w:r>
        <w:rPr>
          <w:rFonts w:hint="eastAsia"/>
        </w:rPr>
        <w:t>项目建设内容</w:t>
      </w:r>
    </w:p>
    <w:p w14:paraId="43417AAE">
      <w:pPr>
        <w:rPr>
          <w:bCs/>
          <w:color w:val="000000"/>
        </w:rPr>
      </w:pPr>
      <w:r>
        <w:rPr>
          <w:rFonts w:hint="eastAsia"/>
          <w:bCs/>
          <w:color w:val="000000"/>
        </w:rPr>
        <w:t>本项目主要在一期系统建设基础上进行开发综合研判分析工具，按照国家基本数据集标准和一体化集成接口要求，实现本市疾病预防控制机构、各级各类医疗机构、科研院所和第三方检验检测机构病原监测结果数据上传国家、扩展病原测序大文件、展示大屏可视化。</w:t>
      </w:r>
    </w:p>
    <w:p w14:paraId="4F20C112">
      <w:pPr>
        <w:rPr>
          <w:bCs/>
          <w:color w:val="000000"/>
        </w:rPr>
      </w:pPr>
      <w:r>
        <w:rPr>
          <w:bCs/>
          <w:color w:val="000000"/>
        </w:rPr>
        <w:t>本系统将部署在上海市电子政务云</w:t>
      </w:r>
      <w:r>
        <w:rPr>
          <w:rFonts w:hint="eastAsia"/>
          <w:bCs/>
          <w:color w:val="000000"/>
        </w:rPr>
        <w:t>（</w:t>
      </w:r>
      <w:r>
        <w:rPr>
          <w:bCs/>
          <w:color w:val="000000"/>
        </w:rPr>
        <w:t>信创云</w:t>
      </w:r>
      <w:r>
        <w:rPr>
          <w:rFonts w:hint="eastAsia"/>
          <w:bCs/>
          <w:color w:val="000000"/>
        </w:rPr>
        <w:t>）</w:t>
      </w:r>
      <w:r>
        <w:rPr>
          <w:bCs/>
          <w:color w:val="000000"/>
        </w:rPr>
        <w:t>平台上，在上海市疾病预防控制中心本地通过网络实施系统的远程部署和运维管理。</w:t>
      </w:r>
    </w:p>
    <w:p w14:paraId="5301592E">
      <w:pPr>
        <w:rPr>
          <w:bCs/>
          <w:color w:val="000000"/>
        </w:rPr>
      </w:pPr>
      <w:r>
        <w:rPr>
          <w:rFonts w:hint="eastAsia"/>
          <w:bCs/>
          <w:color w:val="000000"/>
        </w:rPr>
        <w:t>应用系统核心生产环境主要部署在云平台政务外网区，涉及与互联网交互的应用则需部署在云平台中互联网区，云平台上政务外网区与互联网区之间提供网闸进行隔离，外部用户或应用系统可通过政务外网或互联网接入访问本信息系统。</w:t>
      </w:r>
    </w:p>
    <w:p w14:paraId="7D764EC1">
      <w:pPr>
        <w:rPr>
          <w:bCs/>
          <w:color w:val="000000"/>
        </w:rPr>
      </w:pPr>
      <w:r>
        <w:rPr>
          <w:rFonts w:hint="eastAsia"/>
          <w:bCs/>
          <w:color w:val="000000"/>
        </w:rPr>
        <w:t>系统应使用在政务云目录的国产操作系统、国产数据库软件和国产中间件。应按政务云上最终批复和下发的配额资源进行合理设计。本项目需通过验收前的第三方安全测评、软件测评、密码应用测评。</w:t>
      </w:r>
    </w:p>
    <w:p w14:paraId="12BECE58">
      <w:pPr>
        <w:numPr>
          <w:ilvl w:val="0"/>
          <w:numId w:val="4"/>
        </w:numPr>
        <w:ind w:firstLine="482"/>
        <w:rPr>
          <w:b/>
        </w:rPr>
      </w:pPr>
      <w:r>
        <w:rPr>
          <w:rFonts w:hint="eastAsia"/>
          <w:b/>
        </w:rPr>
        <w:t>软件开发清单：</w:t>
      </w:r>
    </w:p>
    <w:tbl>
      <w:tblPr>
        <w:tblStyle w:val="35"/>
        <w:tblW w:w="5000" w:type="pct"/>
        <w:jc w:val="center"/>
        <w:tblLayout w:type="autofit"/>
        <w:tblCellMar>
          <w:top w:w="0" w:type="dxa"/>
          <w:left w:w="108" w:type="dxa"/>
          <w:bottom w:w="0" w:type="dxa"/>
          <w:right w:w="108" w:type="dxa"/>
        </w:tblCellMar>
      </w:tblPr>
      <w:tblGrid>
        <w:gridCol w:w="675"/>
        <w:gridCol w:w="1585"/>
        <w:gridCol w:w="3131"/>
        <w:gridCol w:w="3137"/>
      </w:tblGrid>
      <w:tr w14:paraId="4FD4A037">
        <w:tblPrEx>
          <w:tblCellMar>
            <w:top w:w="0" w:type="dxa"/>
            <w:left w:w="108" w:type="dxa"/>
            <w:bottom w:w="0" w:type="dxa"/>
            <w:right w:w="108" w:type="dxa"/>
          </w:tblCellMar>
        </w:tblPrEx>
        <w:trPr>
          <w:trHeight w:val="270" w:hRule="atLeast"/>
          <w:jc w:val="center"/>
        </w:trPr>
        <w:tc>
          <w:tcPr>
            <w:tcW w:w="39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3CFED17F">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序号</w:t>
            </w:r>
          </w:p>
        </w:tc>
        <w:tc>
          <w:tcPr>
            <w:tcW w:w="929" w:type="pct"/>
            <w:tcBorders>
              <w:top w:val="single" w:color="auto" w:sz="4" w:space="0"/>
              <w:left w:val="nil"/>
              <w:bottom w:val="single" w:color="auto" w:sz="4" w:space="0"/>
              <w:right w:val="single" w:color="auto" w:sz="4" w:space="0"/>
            </w:tcBorders>
            <w:shd w:val="clear" w:color="000000" w:fill="F3F8FC"/>
            <w:noWrap/>
            <w:vAlign w:val="center"/>
          </w:tcPr>
          <w:p w14:paraId="16B7D293">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应用系统名称</w:t>
            </w:r>
          </w:p>
        </w:tc>
        <w:tc>
          <w:tcPr>
            <w:tcW w:w="1836" w:type="pct"/>
            <w:tcBorders>
              <w:top w:val="single" w:color="auto" w:sz="4" w:space="0"/>
              <w:left w:val="nil"/>
              <w:bottom w:val="single" w:color="auto" w:sz="4" w:space="0"/>
              <w:right w:val="single" w:color="auto" w:sz="4" w:space="0"/>
            </w:tcBorders>
            <w:shd w:val="clear" w:color="000000" w:fill="F3F8FC"/>
            <w:noWrap/>
            <w:vAlign w:val="center"/>
          </w:tcPr>
          <w:p w14:paraId="25161849">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模块名称</w:t>
            </w:r>
          </w:p>
        </w:tc>
        <w:tc>
          <w:tcPr>
            <w:tcW w:w="1839" w:type="pct"/>
            <w:tcBorders>
              <w:top w:val="single" w:color="auto" w:sz="4" w:space="0"/>
              <w:left w:val="nil"/>
              <w:bottom w:val="single" w:color="auto" w:sz="4" w:space="0"/>
              <w:right w:val="single" w:color="auto" w:sz="4" w:space="0"/>
            </w:tcBorders>
            <w:shd w:val="clear" w:color="000000" w:fill="F3F8FC"/>
          </w:tcPr>
          <w:p w14:paraId="5BAE7BEA">
            <w:pPr>
              <w:widowControl/>
              <w:spacing w:line="240" w:lineRule="auto"/>
              <w:ind w:firstLine="0" w:firstLineChars="0"/>
              <w:jc w:val="center"/>
              <w:rPr>
                <w:rFonts w:cs="宋体"/>
                <w:b/>
                <w:color w:val="000000"/>
                <w:kern w:val="0"/>
                <w:sz w:val="22"/>
                <w:szCs w:val="22"/>
              </w:rPr>
            </w:pPr>
            <w:r>
              <w:rPr>
                <w:rFonts w:hint="eastAsia" w:cs="宋体"/>
                <w:b/>
                <w:color w:val="000000"/>
                <w:kern w:val="0"/>
                <w:sz w:val="22"/>
                <w:szCs w:val="22"/>
              </w:rPr>
              <w:t>模块描述</w:t>
            </w:r>
          </w:p>
        </w:tc>
      </w:tr>
      <w:tr w14:paraId="1A9BF5F3">
        <w:tblPrEx>
          <w:tblCellMar>
            <w:top w:w="0" w:type="dxa"/>
            <w:left w:w="108" w:type="dxa"/>
            <w:bottom w:w="0" w:type="dxa"/>
            <w:right w:w="108" w:type="dxa"/>
          </w:tblCellMar>
        </w:tblPrEx>
        <w:trPr>
          <w:trHeight w:val="114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2B134083">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1</w:t>
            </w:r>
          </w:p>
        </w:tc>
        <w:tc>
          <w:tcPr>
            <w:tcW w:w="929" w:type="pct"/>
            <w:tcBorders>
              <w:top w:val="single" w:color="auto" w:sz="4" w:space="0"/>
              <w:left w:val="nil"/>
              <w:bottom w:val="single" w:color="auto" w:sz="4" w:space="0"/>
              <w:right w:val="single" w:color="auto" w:sz="4" w:space="0"/>
            </w:tcBorders>
            <w:shd w:val="clear" w:color="auto" w:fill="FFFFFF"/>
            <w:vAlign w:val="center"/>
          </w:tcPr>
          <w:p w14:paraId="1C9EB5F6">
            <w:pPr>
              <w:widowControl/>
              <w:spacing w:line="240" w:lineRule="auto"/>
              <w:ind w:firstLine="0" w:firstLineChars="0"/>
              <w:jc w:val="center"/>
              <w:rPr>
                <w:rFonts w:cs="宋体"/>
                <w:kern w:val="0"/>
                <w:sz w:val="21"/>
                <w:szCs w:val="21"/>
              </w:rPr>
            </w:pPr>
            <w:r>
              <w:rPr>
                <w:rFonts w:hint="eastAsia" w:cs="宋体"/>
                <w:kern w:val="0"/>
                <w:sz w:val="21"/>
                <w:szCs w:val="21"/>
              </w:rPr>
              <w:t>传染病病原监测信息系统升级</w:t>
            </w:r>
          </w:p>
        </w:tc>
        <w:tc>
          <w:tcPr>
            <w:tcW w:w="1836" w:type="pct"/>
            <w:tcBorders>
              <w:top w:val="single" w:color="auto" w:sz="4" w:space="0"/>
              <w:left w:val="nil"/>
              <w:bottom w:val="single" w:color="auto" w:sz="4" w:space="0"/>
              <w:right w:val="single" w:color="auto" w:sz="4" w:space="0"/>
            </w:tcBorders>
            <w:shd w:val="clear" w:color="auto" w:fill="FFFFFF"/>
            <w:vAlign w:val="center"/>
          </w:tcPr>
          <w:p w14:paraId="0FB76614">
            <w:pPr>
              <w:widowControl/>
              <w:spacing w:line="240" w:lineRule="auto"/>
              <w:ind w:firstLine="0" w:firstLineChars="0"/>
              <w:jc w:val="left"/>
              <w:rPr>
                <w:rFonts w:cs="宋体"/>
                <w:sz w:val="21"/>
                <w:szCs w:val="21"/>
              </w:rPr>
            </w:pPr>
            <w:r>
              <w:rPr>
                <w:rFonts w:hint="eastAsia" w:cs="宋体"/>
                <w:sz w:val="21"/>
                <w:szCs w:val="21"/>
              </w:rPr>
              <w:t>综合研判分析</w:t>
            </w:r>
          </w:p>
        </w:tc>
        <w:tc>
          <w:tcPr>
            <w:tcW w:w="1839" w:type="pct"/>
            <w:tcBorders>
              <w:top w:val="single" w:color="auto" w:sz="4" w:space="0"/>
              <w:left w:val="nil"/>
              <w:bottom w:val="single" w:color="auto" w:sz="4" w:space="0"/>
              <w:right w:val="single" w:color="auto" w:sz="4" w:space="0"/>
            </w:tcBorders>
            <w:shd w:val="clear" w:color="auto" w:fill="FFFFFF"/>
            <w:vAlign w:val="center"/>
          </w:tcPr>
          <w:p w14:paraId="49085D46">
            <w:pPr>
              <w:widowControl/>
              <w:ind w:firstLine="420"/>
              <w:jc w:val="left"/>
              <w:textAlignment w:val="center"/>
              <w:rPr>
                <w:rFonts w:cs="宋体"/>
                <w:color w:val="000000"/>
                <w:kern w:val="0"/>
                <w:sz w:val="21"/>
                <w:szCs w:val="21"/>
                <w:lang w:bidi="ar"/>
              </w:rPr>
            </w:pPr>
            <w:r>
              <w:rPr>
                <w:rFonts w:hint="eastAsia" w:cs="宋体"/>
                <w:color w:val="000000"/>
                <w:kern w:val="0"/>
                <w:sz w:val="21"/>
                <w:szCs w:val="21"/>
                <w:lang w:bidi="ar"/>
              </w:rPr>
              <w:t>基于病原监测中产生的病原测序及相关数据，开发综合研判分析工具，强化对新发、突发、急性、高致病性、输入性等病原的监测与早期预警能力，包括：</w:t>
            </w:r>
            <w:r>
              <w:rPr>
                <w:rFonts w:cs="宋体"/>
                <w:color w:val="000000"/>
                <w:kern w:val="0"/>
                <w:sz w:val="21"/>
                <w:szCs w:val="21"/>
                <w:lang w:bidi="ar"/>
              </w:rPr>
              <w:br w:type="textWrapping"/>
            </w:r>
            <w:r>
              <w:rPr>
                <w:rFonts w:hint="eastAsia" w:cs="宋体"/>
                <w:color w:val="000000"/>
                <w:kern w:val="0"/>
                <w:sz w:val="21"/>
                <w:szCs w:val="21"/>
                <w:lang w:bidi="ar"/>
              </w:rPr>
              <w:t>数据整合与标准化：整合梳理，实现数据格式的标准化，实现对模型的分析数据支撑；</w:t>
            </w:r>
            <w:r>
              <w:rPr>
                <w:rFonts w:cs="宋体"/>
                <w:color w:val="000000"/>
                <w:kern w:val="0"/>
                <w:sz w:val="21"/>
                <w:szCs w:val="21"/>
                <w:lang w:bidi="ar"/>
              </w:rPr>
              <w:br w:type="textWrapping"/>
            </w:r>
            <w:r>
              <w:rPr>
                <w:rFonts w:hint="eastAsia" w:cs="宋体"/>
                <w:color w:val="000000"/>
                <w:kern w:val="0"/>
                <w:sz w:val="21"/>
                <w:szCs w:val="21"/>
                <w:lang w:bidi="ar"/>
              </w:rPr>
              <w:t>风险预警指标设定：支持用户根据不同层次对病原体相关的风险预警指标进行设定；</w:t>
            </w:r>
            <w:r>
              <w:rPr>
                <w:rFonts w:cs="宋体"/>
                <w:color w:val="000000"/>
                <w:kern w:val="0"/>
                <w:sz w:val="21"/>
                <w:szCs w:val="21"/>
                <w:lang w:bidi="ar"/>
              </w:rPr>
              <w:br w:type="textWrapping"/>
            </w:r>
            <w:r>
              <w:rPr>
                <w:rFonts w:hint="eastAsia" w:cs="宋体"/>
                <w:color w:val="000000"/>
                <w:kern w:val="0"/>
                <w:sz w:val="21"/>
                <w:szCs w:val="21"/>
                <w:lang w:bidi="ar"/>
              </w:rPr>
              <w:t>风险预警模型：支持根据疾控业务所需选取重点疾病适配最佳预警模型开展疾病预测预警；</w:t>
            </w:r>
          </w:p>
          <w:p w14:paraId="2395EAB2">
            <w:pPr>
              <w:widowControl/>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风险预警信号生成：建立风险评估模型，从地区、传播趋势、感染人群特征等维度对疫情风险进行定量评估和分析，生成风险预警信号；</w:t>
            </w:r>
          </w:p>
          <w:p w14:paraId="09D3BA3A">
            <w:pPr>
              <w:widowControl/>
              <w:ind w:firstLine="0" w:firstLineChars="0"/>
              <w:jc w:val="left"/>
              <w:textAlignment w:val="center"/>
              <w:rPr>
                <w:rFonts w:cs="宋体"/>
                <w:kern w:val="0"/>
                <w:sz w:val="21"/>
                <w:szCs w:val="21"/>
              </w:rPr>
            </w:pPr>
            <w:r>
              <w:rPr>
                <w:rFonts w:hint="eastAsia" w:cs="宋体"/>
                <w:color w:val="000000"/>
                <w:kern w:val="0"/>
                <w:sz w:val="21"/>
                <w:szCs w:val="21"/>
                <w:lang w:bidi="ar"/>
              </w:rPr>
              <w:t>风险预警信号展示模块：对风险预警信号进行多维展示，并结合指数阈值实现颜色预警区分。</w:t>
            </w:r>
          </w:p>
        </w:tc>
      </w:tr>
      <w:tr w14:paraId="530A5741">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6C372B90">
            <w:pPr>
              <w:widowControl/>
              <w:spacing w:line="240" w:lineRule="auto"/>
              <w:ind w:firstLine="0" w:firstLineChars="0"/>
              <w:jc w:val="center"/>
              <w:rPr>
                <w:rFonts w:ascii="Tahoma" w:hAnsi="Tahoma" w:cs="Tahoma"/>
                <w:color w:val="000000"/>
                <w:kern w:val="0"/>
                <w:sz w:val="22"/>
                <w:szCs w:val="22"/>
              </w:rPr>
            </w:pPr>
            <w:r>
              <w:rPr>
                <w:rFonts w:ascii="Tahoma" w:hAnsi="Tahoma" w:cs="Tahoma"/>
                <w:color w:val="000000"/>
                <w:kern w:val="0"/>
                <w:sz w:val="22"/>
                <w:szCs w:val="22"/>
              </w:rPr>
              <w:t>2</w:t>
            </w:r>
          </w:p>
        </w:tc>
        <w:tc>
          <w:tcPr>
            <w:tcW w:w="929" w:type="pct"/>
            <w:tcBorders>
              <w:top w:val="single" w:color="auto" w:sz="4" w:space="0"/>
              <w:left w:val="nil"/>
              <w:bottom w:val="single" w:color="auto" w:sz="4" w:space="0"/>
              <w:right w:val="single" w:color="auto" w:sz="4" w:space="0"/>
            </w:tcBorders>
            <w:shd w:val="clear" w:color="auto" w:fill="FFFFFF"/>
            <w:vAlign w:val="center"/>
          </w:tcPr>
          <w:p w14:paraId="1B8F2DAC">
            <w:pPr>
              <w:widowControl/>
              <w:spacing w:line="240" w:lineRule="auto"/>
              <w:ind w:firstLine="420"/>
              <w:jc w:val="center"/>
              <w:rPr>
                <w:rFonts w:cs="宋体"/>
                <w:color w:val="000000"/>
                <w:kern w:val="0"/>
                <w:sz w:val="21"/>
                <w:szCs w:val="21"/>
              </w:rPr>
            </w:pPr>
            <w:r>
              <w:rPr>
                <w:rFonts w:hint="eastAsia" w:cs="宋体"/>
                <w:sz w:val="21"/>
                <w:szCs w:val="21"/>
              </w:rPr>
              <w:t>传染病病原监测信息系统升级</w:t>
            </w:r>
          </w:p>
        </w:tc>
        <w:tc>
          <w:tcPr>
            <w:tcW w:w="1836" w:type="pct"/>
            <w:tcBorders>
              <w:top w:val="single" w:color="auto" w:sz="4" w:space="0"/>
              <w:left w:val="nil"/>
              <w:bottom w:val="single" w:color="auto" w:sz="4" w:space="0"/>
              <w:right w:val="single" w:color="auto" w:sz="4" w:space="0"/>
            </w:tcBorders>
            <w:shd w:val="clear" w:color="auto" w:fill="FFFFFF"/>
            <w:vAlign w:val="center"/>
          </w:tcPr>
          <w:p w14:paraId="5ED7EAC9">
            <w:pPr>
              <w:widowControl/>
              <w:spacing w:line="240" w:lineRule="auto"/>
              <w:ind w:firstLine="0" w:firstLineChars="0"/>
              <w:jc w:val="left"/>
              <w:rPr>
                <w:rFonts w:cs="宋体"/>
                <w:sz w:val="21"/>
                <w:szCs w:val="21"/>
              </w:rPr>
            </w:pPr>
            <w:r>
              <w:rPr>
                <w:rFonts w:hint="eastAsia" w:cs="宋体"/>
                <w:sz w:val="21"/>
                <w:szCs w:val="21"/>
              </w:rPr>
              <w:t>国家数据上传</w:t>
            </w:r>
          </w:p>
        </w:tc>
        <w:tc>
          <w:tcPr>
            <w:tcW w:w="1839" w:type="pct"/>
            <w:tcBorders>
              <w:top w:val="single" w:color="auto" w:sz="4" w:space="0"/>
              <w:left w:val="nil"/>
              <w:bottom w:val="single" w:color="auto" w:sz="4" w:space="0"/>
              <w:right w:val="single" w:color="auto" w:sz="4" w:space="0"/>
            </w:tcBorders>
            <w:shd w:val="clear" w:color="auto" w:fill="FFFFFF"/>
            <w:vAlign w:val="center"/>
          </w:tcPr>
          <w:p w14:paraId="1C570FEA">
            <w:pPr>
              <w:widowControl/>
              <w:ind w:firstLine="420"/>
              <w:jc w:val="left"/>
              <w:textAlignment w:val="center"/>
              <w:rPr>
                <w:rFonts w:cs="宋体"/>
                <w:sz w:val="21"/>
                <w:szCs w:val="21"/>
              </w:rPr>
            </w:pPr>
            <w:r>
              <w:rPr>
                <w:rFonts w:hint="eastAsia" w:cs="宋体"/>
                <w:color w:val="000000"/>
                <w:kern w:val="0"/>
                <w:sz w:val="21"/>
                <w:szCs w:val="21"/>
                <w:lang w:bidi="ar"/>
              </w:rPr>
              <w:t>为实现垂直联通，按照国家平台标准规范要求，上传传染病病原各类监测数据，实现病原监测数据的省级平台与国家平台的互联互通和业务协同，通过统一的数据交换平台进行数据交换共享，避免基层重复报告，实现“一次采集，多次应用”，达到快捷高效、信息共享、完整无误的目的。需支持监测病例信息及样本信息、病原核酸检测信息、病原抗原抗体检测信息、病原分离培养检测信息、病原药敏检测信息推送至国家平台，支持上传情况浏览及统计。</w:t>
            </w:r>
          </w:p>
        </w:tc>
      </w:tr>
      <w:tr w14:paraId="5A373335">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4EC22AE2">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3</w:t>
            </w:r>
          </w:p>
        </w:tc>
        <w:tc>
          <w:tcPr>
            <w:tcW w:w="929" w:type="pct"/>
            <w:tcBorders>
              <w:top w:val="single" w:color="auto" w:sz="4" w:space="0"/>
              <w:left w:val="nil"/>
              <w:bottom w:val="single" w:color="auto" w:sz="4" w:space="0"/>
              <w:right w:val="single" w:color="auto" w:sz="4" w:space="0"/>
            </w:tcBorders>
            <w:shd w:val="clear" w:color="auto" w:fill="FFFFFF"/>
            <w:vAlign w:val="center"/>
          </w:tcPr>
          <w:p w14:paraId="09F40AE1">
            <w:pPr>
              <w:widowControl/>
              <w:spacing w:line="240" w:lineRule="auto"/>
              <w:ind w:firstLine="420"/>
              <w:jc w:val="center"/>
              <w:rPr>
                <w:rFonts w:cs="宋体"/>
                <w:color w:val="000000"/>
                <w:kern w:val="0"/>
                <w:sz w:val="21"/>
                <w:szCs w:val="21"/>
              </w:rPr>
            </w:pPr>
            <w:r>
              <w:rPr>
                <w:rFonts w:hint="eastAsia" w:cs="宋体"/>
                <w:sz w:val="21"/>
                <w:szCs w:val="21"/>
              </w:rPr>
              <w:t>传染病病原监测信息系统升级</w:t>
            </w:r>
          </w:p>
        </w:tc>
        <w:tc>
          <w:tcPr>
            <w:tcW w:w="1836" w:type="pct"/>
            <w:tcBorders>
              <w:top w:val="single" w:color="auto" w:sz="4" w:space="0"/>
              <w:left w:val="nil"/>
              <w:bottom w:val="single" w:color="auto" w:sz="4" w:space="0"/>
              <w:right w:val="single" w:color="auto" w:sz="4" w:space="0"/>
            </w:tcBorders>
            <w:shd w:val="clear" w:color="auto" w:fill="FFFFFF"/>
            <w:vAlign w:val="center"/>
          </w:tcPr>
          <w:p w14:paraId="725206FE">
            <w:pPr>
              <w:widowControl/>
              <w:spacing w:line="240" w:lineRule="auto"/>
              <w:ind w:firstLine="0" w:firstLineChars="0"/>
              <w:jc w:val="left"/>
              <w:rPr>
                <w:rFonts w:cs="宋体"/>
                <w:sz w:val="21"/>
                <w:szCs w:val="21"/>
              </w:rPr>
            </w:pPr>
            <w:r>
              <w:rPr>
                <w:rFonts w:hint="eastAsia" w:cs="宋体"/>
                <w:sz w:val="21"/>
                <w:szCs w:val="21"/>
              </w:rPr>
              <w:t>大文件传输</w:t>
            </w:r>
          </w:p>
        </w:tc>
        <w:tc>
          <w:tcPr>
            <w:tcW w:w="1839" w:type="pct"/>
            <w:tcBorders>
              <w:top w:val="single" w:color="auto" w:sz="4" w:space="0"/>
              <w:left w:val="nil"/>
              <w:bottom w:val="single" w:color="auto" w:sz="4" w:space="0"/>
              <w:right w:val="single" w:color="auto" w:sz="4" w:space="0"/>
            </w:tcBorders>
            <w:shd w:val="clear" w:color="auto" w:fill="FFFFFF"/>
            <w:vAlign w:val="center"/>
          </w:tcPr>
          <w:p w14:paraId="4FE33363">
            <w:pPr>
              <w:widowControl/>
              <w:ind w:firstLine="420"/>
              <w:jc w:val="left"/>
              <w:textAlignment w:val="center"/>
              <w:rPr>
                <w:rFonts w:cs="宋体"/>
                <w:sz w:val="21"/>
                <w:szCs w:val="21"/>
              </w:rPr>
            </w:pPr>
            <w:r>
              <w:rPr>
                <w:rFonts w:hint="eastAsia" w:cs="宋体"/>
                <w:color w:val="000000"/>
                <w:kern w:val="0"/>
                <w:sz w:val="21"/>
                <w:szCs w:val="21"/>
                <w:lang w:bidi="ar"/>
              </w:rPr>
              <w:t>对病原体进行分离培养的过程中，需要进行基因测序，会产生拼接序列、图谱、原始数据等非结构化数据，其中拼接序列和图谱通常为20M以内的文件；测序原始数据通常是以G为单位的大文件，一般不超过5G，极端情况会存在20-30G的数据；自然年产生的非结构化数据通常在2T左右。系统需支持通过接口等形式与外部系统进行这些非结构化数据的同步，包括支持批量导入、多格式（文档、图片等）、加密传输、传输日志和统计等操作。</w:t>
            </w:r>
          </w:p>
        </w:tc>
      </w:tr>
      <w:tr w14:paraId="69906E47">
        <w:tblPrEx>
          <w:tblCellMar>
            <w:top w:w="0" w:type="dxa"/>
            <w:left w:w="108" w:type="dxa"/>
            <w:bottom w:w="0" w:type="dxa"/>
            <w:right w:w="108" w:type="dxa"/>
          </w:tblCellMar>
        </w:tblPrEx>
        <w:trPr>
          <w:trHeight w:val="171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FFFFFF"/>
            <w:vAlign w:val="center"/>
          </w:tcPr>
          <w:p w14:paraId="12B454B8">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4</w:t>
            </w:r>
          </w:p>
        </w:tc>
        <w:tc>
          <w:tcPr>
            <w:tcW w:w="929" w:type="pct"/>
            <w:tcBorders>
              <w:top w:val="single" w:color="auto" w:sz="4" w:space="0"/>
              <w:left w:val="nil"/>
              <w:bottom w:val="single" w:color="auto" w:sz="4" w:space="0"/>
              <w:right w:val="single" w:color="auto" w:sz="4" w:space="0"/>
            </w:tcBorders>
            <w:shd w:val="clear" w:color="auto" w:fill="FFFFFF"/>
            <w:vAlign w:val="center"/>
          </w:tcPr>
          <w:p w14:paraId="2B22CFDE">
            <w:pPr>
              <w:widowControl/>
              <w:spacing w:line="240" w:lineRule="auto"/>
              <w:ind w:firstLine="420"/>
              <w:jc w:val="center"/>
              <w:rPr>
                <w:rFonts w:cs="宋体"/>
                <w:color w:val="000000"/>
                <w:kern w:val="0"/>
                <w:sz w:val="21"/>
                <w:szCs w:val="21"/>
              </w:rPr>
            </w:pPr>
            <w:r>
              <w:rPr>
                <w:rFonts w:hint="eastAsia" w:cs="宋体"/>
                <w:sz w:val="21"/>
                <w:szCs w:val="21"/>
              </w:rPr>
              <w:t>传染病病原监测信息系统升级</w:t>
            </w:r>
          </w:p>
        </w:tc>
        <w:tc>
          <w:tcPr>
            <w:tcW w:w="1836" w:type="pct"/>
            <w:tcBorders>
              <w:top w:val="single" w:color="auto" w:sz="4" w:space="0"/>
              <w:left w:val="nil"/>
              <w:bottom w:val="single" w:color="auto" w:sz="4" w:space="0"/>
              <w:right w:val="single" w:color="auto" w:sz="4" w:space="0"/>
            </w:tcBorders>
            <w:shd w:val="clear" w:color="auto" w:fill="FFFFFF"/>
            <w:vAlign w:val="center"/>
          </w:tcPr>
          <w:p w14:paraId="718D33E3">
            <w:pPr>
              <w:widowControl/>
              <w:spacing w:line="240" w:lineRule="auto"/>
              <w:ind w:firstLine="0" w:firstLineChars="0"/>
              <w:jc w:val="left"/>
              <w:rPr>
                <w:rFonts w:cs="宋体"/>
                <w:sz w:val="21"/>
                <w:szCs w:val="21"/>
              </w:rPr>
            </w:pPr>
            <w:r>
              <w:rPr>
                <w:rFonts w:hint="eastAsia" w:cs="宋体"/>
                <w:sz w:val="21"/>
                <w:szCs w:val="21"/>
              </w:rPr>
              <w:t>大屏可视化</w:t>
            </w:r>
          </w:p>
        </w:tc>
        <w:tc>
          <w:tcPr>
            <w:tcW w:w="1839" w:type="pct"/>
            <w:tcBorders>
              <w:top w:val="single" w:color="auto" w:sz="4" w:space="0"/>
              <w:left w:val="nil"/>
              <w:bottom w:val="single" w:color="auto" w:sz="4" w:space="0"/>
              <w:right w:val="single" w:color="auto" w:sz="4" w:space="0"/>
            </w:tcBorders>
            <w:shd w:val="clear" w:color="auto" w:fill="FFFFFF"/>
            <w:vAlign w:val="center"/>
          </w:tcPr>
          <w:p w14:paraId="334F3789">
            <w:pPr>
              <w:widowControl/>
              <w:ind w:firstLine="420"/>
              <w:jc w:val="left"/>
              <w:textAlignment w:val="center"/>
              <w:rPr>
                <w:rFonts w:cs="宋体"/>
                <w:color w:val="000000"/>
                <w:kern w:val="0"/>
                <w:sz w:val="21"/>
                <w:szCs w:val="21"/>
                <w:lang w:bidi="ar"/>
              </w:rPr>
            </w:pPr>
            <w:r>
              <w:rPr>
                <w:rFonts w:hint="eastAsia" w:cs="宋体"/>
                <w:color w:val="000000"/>
                <w:kern w:val="0"/>
                <w:sz w:val="21"/>
                <w:szCs w:val="21"/>
                <w:lang w:bidi="ar"/>
              </w:rPr>
              <w:t>系统支持在大屏终端上提供重要信息的综合展示，为管理人员提供日常监控与快速决策。以趋势图、实时数据、地图分布等多种样式展示传染病病原监测数据与风险预警数据。包括：</w:t>
            </w:r>
          </w:p>
          <w:p w14:paraId="720A98AA">
            <w:pPr>
              <w:widowControl/>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全程关键节点跟踪：支持对样本的运送、确证、分析进行关键节点跟踪；</w:t>
            </w:r>
          </w:p>
          <w:p w14:paraId="424D913A">
            <w:pPr>
              <w:widowControl/>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辅助决策分析展示：支持以地图、趋势图、排名图、监测数字等方式综合展示各类病原监测数据情况和发展趋势情况；</w:t>
            </w:r>
          </w:p>
          <w:p w14:paraId="70F901EA">
            <w:pPr>
              <w:widowControl/>
              <w:ind w:firstLine="0" w:firstLineChars="0"/>
              <w:jc w:val="left"/>
              <w:textAlignment w:val="center"/>
              <w:rPr>
                <w:rFonts w:cs="宋体"/>
                <w:color w:val="000000"/>
                <w:kern w:val="0"/>
                <w:sz w:val="21"/>
                <w:szCs w:val="21"/>
                <w:lang w:bidi="ar"/>
              </w:rPr>
            </w:pPr>
            <w:r>
              <w:rPr>
                <w:rFonts w:hint="eastAsia" w:cs="宋体"/>
                <w:color w:val="000000"/>
                <w:kern w:val="0"/>
                <w:sz w:val="21"/>
                <w:szCs w:val="21"/>
                <w:lang w:bidi="ar"/>
              </w:rPr>
              <w:t>预警跟踪：对预警消息的核实，验证消息的真伪，实现预警信息闭环响应；</w:t>
            </w:r>
          </w:p>
          <w:p w14:paraId="510C8D2A">
            <w:pPr>
              <w:widowControl/>
              <w:ind w:firstLine="0" w:firstLineChars="0"/>
              <w:jc w:val="left"/>
              <w:textAlignment w:val="center"/>
              <w:rPr>
                <w:rFonts w:cs="宋体"/>
                <w:sz w:val="21"/>
                <w:szCs w:val="21"/>
              </w:rPr>
            </w:pPr>
            <w:r>
              <w:rPr>
                <w:rFonts w:hint="eastAsia" w:cs="宋体"/>
                <w:color w:val="000000"/>
                <w:kern w:val="0"/>
                <w:sz w:val="21"/>
                <w:szCs w:val="21"/>
                <w:lang w:bidi="ar"/>
              </w:rPr>
              <w:t>质控结果展示：可视化展示反映数据及时性、完整性和准确性的指标。</w:t>
            </w:r>
          </w:p>
        </w:tc>
      </w:tr>
    </w:tbl>
    <w:p w14:paraId="2462E7D0">
      <w:pPr>
        <w:tabs>
          <w:tab w:val="left" w:pos="312"/>
        </w:tabs>
        <w:ind w:firstLine="0" w:firstLineChars="0"/>
        <w:rPr>
          <w:b/>
        </w:rPr>
      </w:pPr>
    </w:p>
    <w:p w14:paraId="6FDFAA0C">
      <w:pPr>
        <w:ind w:firstLine="0" w:firstLineChars="0"/>
      </w:pPr>
    </w:p>
    <w:p w14:paraId="728B83D8">
      <w:pPr>
        <w:pStyle w:val="2"/>
      </w:pPr>
      <w:bookmarkStart w:id="18" w:name="_Toc63785503"/>
      <w:r>
        <w:rPr>
          <w:rFonts w:hint="eastAsia"/>
        </w:rPr>
        <w:t>其他工作要求</w:t>
      </w:r>
      <w:bookmarkEnd w:id="18"/>
    </w:p>
    <w:p w14:paraId="6D4DFA04">
      <w:pPr>
        <w:ind w:firstLine="0" w:firstLineChars="0"/>
        <w:rPr>
          <w:rFonts w:ascii="仿宋" w:hAnsi="仿宋" w:eastAsia="仿宋"/>
          <w:b/>
          <w:vanish/>
          <w:color w:val="000000"/>
          <w:sz w:val="28"/>
          <w:szCs w:val="20"/>
        </w:rPr>
      </w:pPr>
      <w:bookmarkStart w:id="19" w:name="_Toc63585480"/>
      <w:bookmarkEnd w:id="19"/>
      <w:bookmarkStart w:id="20" w:name="_Toc61968111"/>
      <w:bookmarkEnd w:id="20"/>
      <w:bookmarkStart w:id="21" w:name="_Toc62209488"/>
      <w:bookmarkEnd w:id="21"/>
      <w:bookmarkStart w:id="22" w:name="_Toc62219358"/>
      <w:bookmarkEnd w:id="22"/>
      <w:bookmarkStart w:id="23" w:name="_Toc63151871"/>
      <w:bookmarkEnd w:id="23"/>
      <w:bookmarkStart w:id="24" w:name="_Toc63762370"/>
      <w:bookmarkEnd w:id="24"/>
      <w:bookmarkStart w:id="25" w:name="_Toc63785439"/>
      <w:bookmarkEnd w:id="25"/>
      <w:bookmarkStart w:id="26" w:name="_Toc63785504"/>
      <w:bookmarkEnd w:id="26"/>
    </w:p>
    <w:p w14:paraId="637D51BA">
      <w:pPr>
        <w:pStyle w:val="3"/>
      </w:pPr>
      <w:bookmarkStart w:id="27" w:name="_Toc63785505"/>
      <w:r>
        <w:rPr>
          <w:rFonts w:hint="eastAsia"/>
        </w:rPr>
        <w:t>售后服务要求</w:t>
      </w:r>
      <w:bookmarkEnd w:id="27"/>
    </w:p>
    <w:p w14:paraId="59B54A86">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w:t>
      </w:r>
      <w:r>
        <w:rPr>
          <w:rFonts w:hint="eastAsia" w:ascii="宋体" w:hAnsi="宋体"/>
          <w:sz w:val="24"/>
          <w:szCs w:val="24"/>
          <w:lang w:val="en-US" w:eastAsia="zh-CN"/>
        </w:rPr>
        <w:t>3</w:t>
      </w:r>
      <w:r>
        <w:rPr>
          <w:rFonts w:hint="eastAsia" w:ascii="宋体" w:hAnsi="宋体"/>
          <w:sz w:val="24"/>
          <w:szCs w:val="24"/>
        </w:rPr>
        <w:t>年内提供</w:t>
      </w:r>
      <w:r>
        <w:rPr>
          <w:rFonts w:ascii="宋体" w:hAnsi="宋体"/>
          <w:sz w:val="24"/>
          <w:szCs w:val="24"/>
        </w:rPr>
        <w:t>7*24小时免费技术支持</w:t>
      </w:r>
      <w:r>
        <w:rPr>
          <w:rFonts w:hint="eastAsia" w:ascii="宋体" w:hAnsi="宋体"/>
          <w:sz w:val="24"/>
          <w:szCs w:val="24"/>
        </w:rPr>
        <w:t>和售后服务，</w:t>
      </w:r>
      <w:r>
        <w:rPr>
          <w:rFonts w:hint="eastAsia" w:ascii="宋体" w:hAnsi="宋体"/>
          <w:sz w:val="24"/>
          <w:szCs w:val="24"/>
          <w:lang w:val="en-US" w:eastAsia="zh-CN"/>
        </w:rPr>
        <w:t>3</w:t>
      </w:r>
      <w:r>
        <w:rPr>
          <w:rFonts w:hint="eastAsia" w:ascii="宋体" w:hAnsi="宋体"/>
          <w:sz w:val="24"/>
          <w:szCs w:val="24"/>
        </w:rPr>
        <w:t>年后进入有偿维护期。</w:t>
      </w:r>
    </w:p>
    <w:p w14:paraId="1AF8DD7C">
      <w:pPr>
        <w:pStyle w:val="106"/>
        <w:snapToGrid w:val="0"/>
        <w:spacing w:line="360" w:lineRule="auto"/>
        <w:ind w:firstLine="480"/>
        <w:rPr>
          <w:rFonts w:ascii="宋体" w:hAnsi="宋体"/>
          <w:sz w:val="24"/>
          <w:szCs w:val="24"/>
        </w:rPr>
      </w:pPr>
      <w:bookmarkStart w:id="28" w:name="_Hlk192337105"/>
      <w:r>
        <w:rPr>
          <w:rFonts w:hint="eastAsia" w:ascii="宋体" w:hAnsi="宋体"/>
          <w:sz w:val="24"/>
          <w:szCs w:val="24"/>
        </w:rPr>
        <w:t>在质量保证期内，供应商将按照售后服务的承诺提供保修和运行维护服务。</w:t>
      </w:r>
    </w:p>
    <w:p w14:paraId="5855999D">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包括但不限于：远程技术支持、预防性维护、故障修复、重大活动现场保障、技术交流与培训、性能优化等。</w:t>
      </w:r>
      <w:bookmarkEnd w:id="28"/>
    </w:p>
    <w:p w14:paraId="66F30562">
      <w:pPr>
        <w:pStyle w:val="3"/>
      </w:pPr>
      <w:bookmarkStart w:id="29" w:name="_Toc63785506"/>
      <w:r>
        <w:rPr>
          <w:rFonts w:hint="eastAsia"/>
        </w:rPr>
        <w:t>应急响应要求</w:t>
      </w:r>
      <w:bookmarkEnd w:id="29"/>
    </w:p>
    <w:p w14:paraId="14226948">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072D991F">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7B57E2F2">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5AA4FF4">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21CA2F2A">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64802AE8">
      <w:pPr>
        <w:pStyle w:val="3"/>
      </w:pPr>
      <w:bookmarkStart w:id="30" w:name="_Toc63785507"/>
      <w:r>
        <w:rPr>
          <w:rFonts w:hint="eastAsia"/>
        </w:rPr>
        <w:t>培训要求</w:t>
      </w:r>
      <w:bookmarkEnd w:id="30"/>
    </w:p>
    <w:p w14:paraId="23FAFF84">
      <w:r>
        <w:rPr>
          <w:rFonts w:hint="eastAsia"/>
        </w:rPr>
        <w:t>对系统使用单位提供业务操作培训，应提供详细培训方案。</w:t>
      </w:r>
    </w:p>
    <w:p w14:paraId="6F2940BE">
      <w:r>
        <w:rPr>
          <w:rFonts w:hint="eastAsia"/>
        </w:rPr>
        <w:t>(1)在质量保证期内，提供2次与项目相关的必要培训。</w:t>
      </w:r>
    </w:p>
    <w:p w14:paraId="1CA5B867">
      <w:r>
        <w:rPr>
          <w:rFonts w:hint="eastAsia"/>
        </w:rPr>
        <w:t>(2)供应商需要开展分层次的人员培训工作，每次培训后应对参加培训人员进行测试，评估培训成果。培训应具有培训教材、培训环境和高水平的培训讲师。</w:t>
      </w:r>
    </w:p>
    <w:p w14:paraId="1CA0192B">
      <w:r>
        <w:rPr>
          <w:rFonts w:hint="eastAsia"/>
        </w:rPr>
        <w:t>(3)供应商应提供一般用户的基础操作培训和部门信息管理员的日常应用维护的培训，确保用户对象能够掌握对应的操作技能。</w:t>
      </w:r>
    </w:p>
    <w:p w14:paraId="44F2409E">
      <w:pPr>
        <w:pStyle w:val="3"/>
      </w:pPr>
      <w:bookmarkStart w:id="31" w:name="_Toc63785508"/>
      <w:r>
        <w:rPr>
          <w:rFonts w:hint="eastAsia"/>
        </w:rPr>
        <w:t>验收要求</w:t>
      </w:r>
      <w:bookmarkEnd w:id="31"/>
    </w:p>
    <w:p w14:paraId="1CA5B781">
      <w:pPr>
        <w:rPr>
          <w:szCs w:val="21"/>
        </w:rPr>
      </w:pPr>
      <w:r>
        <w:rPr>
          <w:rFonts w:hint="eastAsia"/>
          <w:szCs w:val="21"/>
        </w:rPr>
        <w:t>本项目按下述方式开展验收。</w:t>
      </w:r>
    </w:p>
    <w:p w14:paraId="1C7D9BFE">
      <w:pPr>
        <w:rPr>
          <w:szCs w:val="21"/>
        </w:rPr>
      </w:pPr>
      <w:r>
        <w:rPr>
          <w:rFonts w:hint="eastAsia"/>
          <w:szCs w:val="21"/>
        </w:rPr>
        <w:t>（</w:t>
      </w:r>
      <w:r>
        <w:rPr>
          <w:szCs w:val="21"/>
        </w:rPr>
        <w:t>1）验收分初验和终验。</w:t>
      </w:r>
    </w:p>
    <w:p w14:paraId="19D627BB">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47BEFD36">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0504D703">
      <w:pPr>
        <w:rPr>
          <w:szCs w:val="21"/>
        </w:rPr>
      </w:pPr>
      <w:r>
        <w:rPr>
          <w:rFonts w:hint="eastAsia"/>
          <w:szCs w:val="21"/>
        </w:rPr>
        <w:t>（</w:t>
      </w:r>
      <w:r>
        <w:rPr>
          <w:szCs w:val="21"/>
        </w:rPr>
        <w:t>4）自初验通过之日起，招标方享有供应商免费提供的</w:t>
      </w:r>
      <w:bookmarkStart w:id="32" w:name="_Hlk192337129"/>
      <w:r>
        <w:rPr>
          <w:rFonts w:hint="eastAsia"/>
          <w:szCs w:val="21"/>
        </w:rPr>
        <w:t>30</w:t>
      </w:r>
      <w:bookmarkEnd w:id="32"/>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25B95220">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w:t>
      </w:r>
      <w:r>
        <w:rPr>
          <w:rFonts w:hint="eastAsia"/>
          <w:szCs w:val="21"/>
        </w:rPr>
        <w:t>，及时进行源代码及项目技术文件的交付，并准备好所有项目验收所需文档</w:t>
      </w:r>
      <w:r>
        <w:rPr>
          <w:szCs w:val="21"/>
        </w:rPr>
        <w:t>等待终验。招标方</w:t>
      </w:r>
      <w:r>
        <w:rPr>
          <w:rFonts w:hint="eastAsia"/>
          <w:szCs w:val="21"/>
        </w:rPr>
        <w:t>按照上级主管部门要求进行验收工作。</w:t>
      </w:r>
    </w:p>
    <w:p w14:paraId="51906CC4">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2CA97E8F">
      <w:pPr>
        <w:rPr>
          <w:szCs w:val="21"/>
        </w:rPr>
      </w:pPr>
      <w:r>
        <w:rPr>
          <w:rFonts w:hint="eastAsia"/>
          <w:szCs w:val="21"/>
        </w:rPr>
        <w:t>（7</w:t>
      </w:r>
      <w:r>
        <w:rPr>
          <w:szCs w:val="21"/>
        </w:rPr>
        <w:t>）如果由于招标方原因导致本项目在终验通过前出现故障或问题，供应商应及时配合排除该方面的故障或问题。</w:t>
      </w:r>
    </w:p>
    <w:p w14:paraId="7D69083D">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416E19A0">
      <w:pPr>
        <w:pStyle w:val="3"/>
      </w:pPr>
      <w:bookmarkStart w:id="33" w:name="_Toc63785509"/>
      <w:r>
        <w:rPr>
          <w:rFonts w:hint="eastAsia"/>
        </w:rPr>
        <w:t>进度要求</w:t>
      </w:r>
      <w:bookmarkEnd w:id="33"/>
    </w:p>
    <w:p w14:paraId="37D9E691">
      <w:bookmarkStart w:id="34" w:name="_Hlk192337160"/>
      <w:r>
        <w:rPr>
          <w:rFonts w:hint="eastAsia"/>
        </w:rPr>
        <w:t>投标人应根据建设内容，分阶段制定合理的时间进度，并且应根据招标方要求进行调整和细化。</w:t>
      </w:r>
    </w:p>
    <w:p w14:paraId="0CF7E51C">
      <w:pPr>
        <w:rPr>
          <w:rFonts w:hint="eastAsia" w:eastAsia="宋体"/>
          <w:lang w:eastAsia="zh-CN"/>
        </w:rPr>
      </w:pPr>
      <w:r>
        <w:rPr>
          <w:rFonts w:hint="eastAsia"/>
        </w:rPr>
        <w:t>项目总体建设周期为2025年12月31日前完成项目建设并通过验收</w:t>
      </w:r>
      <w:r>
        <w:rPr>
          <w:rFonts w:hint="eastAsia"/>
          <w:lang w:eastAsia="zh-CN"/>
        </w:rPr>
        <w:t>。</w:t>
      </w:r>
    </w:p>
    <w:bookmarkEnd w:id="34"/>
    <w:p w14:paraId="271E736D">
      <w:pPr>
        <w:pStyle w:val="3"/>
      </w:pPr>
      <w:bookmarkStart w:id="35" w:name="_Toc63785510"/>
      <w:r>
        <w:rPr>
          <w:rFonts w:hint="eastAsia"/>
        </w:rPr>
        <w:t>项目团队及驻场人员要求</w:t>
      </w:r>
      <w:bookmarkEnd w:id="35"/>
    </w:p>
    <w:p w14:paraId="5A5E1FE4">
      <w:bookmarkStart w:id="36" w:name="_Toc63785511"/>
      <w:bookmarkStart w:id="37" w:name="_Hlk192328759"/>
      <w:r>
        <w:t>1）投标人须具有稳定的在职技术保障力量，能够提供及时的技术支援或服务，应针对本项目提供不少于</w:t>
      </w:r>
      <w:r>
        <w:rPr>
          <w:rFonts w:hint="eastAsia"/>
        </w:rPr>
        <w:t>10</w:t>
      </w:r>
      <w:r>
        <w:t>人的项目服务团队（包括项目经理、产品经理、技术负责人、研发</w:t>
      </w:r>
      <w:r>
        <w:rPr>
          <w:rFonts w:hint="eastAsia"/>
        </w:rPr>
        <w:t>、实施</w:t>
      </w:r>
      <w:r>
        <w:t>等），</w:t>
      </w:r>
      <w:r>
        <w:rPr>
          <w:rFonts w:hint="eastAsia"/>
        </w:rPr>
        <w:t>其中至少3人驻场，</w:t>
      </w:r>
      <w:r>
        <w:t>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36"/>
        <w:gridCol w:w="1180"/>
        <w:gridCol w:w="2316"/>
        <w:gridCol w:w="1180"/>
      </w:tblGrid>
      <w:tr w14:paraId="79D7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7FA52E7">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094B6966">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2D171CBD">
            <w:pPr>
              <w:widowControl/>
              <w:spacing w:line="240" w:lineRule="auto"/>
              <w:ind w:firstLine="0" w:firstLineChars="0"/>
              <w:jc w:val="center"/>
              <w:rPr>
                <w:b/>
              </w:rPr>
            </w:pPr>
            <w:r>
              <w:rPr>
                <w:rFonts w:hint="eastAsia"/>
                <w:b/>
              </w:rPr>
              <w:t>人员数量</w:t>
            </w:r>
          </w:p>
        </w:tc>
        <w:tc>
          <w:tcPr>
            <w:tcW w:w="0" w:type="auto"/>
            <w:vAlign w:val="center"/>
          </w:tcPr>
          <w:p w14:paraId="6AB6385A">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6B9CCFA6">
            <w:pPr>
              <w:widowControl/>
              <w:spacing w:line="240" w:lineRule="auto"/>
              <w:ind w:firstLine="0" w:firstLineChars="0"/>
              <w:jc w:val="center"/>
              <w:rPr>
                <w:b/>
              </w:rPr>
            </w:pPr>
            <w:r>
              <w:rPr>
                <w:rFonts w:hint="eastAsia"/>
                <w:b/>
              </w:rPr>
              <w:t>驻场要求</w:t>
            </w:r>
          </w:p>
        </w:tc>
      </w:tr>
      <w:tr w14:paraId="5CD8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B7E8F1D">
            <w:pPr>
              <w:widowControl/>
              <w:spacing w:line="240" w:lineRule="auto"/>
              <w:ind w:firstLine="0" w:firstLineChars="0"/>
              <w:jc w:val="center"/>
            </w:pPr>
            <w:r>
              <w:rPr>
                <w:rFonts w:hint="eastAsia"/>
              </w:rPr>
              <w:t>项目经理</w:t>
            </w:r>
          </w:p>
        </w:tc>
        <w:tc>
          <w:tcPr>
            <w:tcW w:w="0" w:type="auto"/>
            <w:shd w:val="clear" w:color="auto" w:fill="auto"/>
            <w:vAlign w:val="center"/>
          </w:tcPr>
          <w:p w14:paraId="514525F9">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64CEA483">
            <w:pPr>
              <w:widowControl/>
              <w:spacing w:line="240" w:lineRule="auto"/>
              <w:ind w:firstLine="0" w:firstLineChars="0"/>
              <w:jc w:val="center"/>
            </w:pPr>
            <w:r>
              <w:rPr>
                <w:rFonts w:hint="eastAsia"/>
              </w:rPr>
              <w:t>1人</w:t>
            </w:r>
          </w:p>
        </w:tc>
        <w:tc>
          <w:tcPr>
            <w:tcW w:w="0" w:type="auto"/>
            <w:vAlign w:val="center"/>
          </w:tcPr>
          <w:p w14:paraId="668A145F">
            <w:pPr>
              <w:widowControl/>
              <w:spacing w:line="240" w:lineRule="auto"/>
              <w:ind w:firstLine="0" w:firstLineChars="0"/>
              <w:jc w:val="center"/>
            </w:pPr>
            <w:r>
              <w:rPr>
                <w:rFonts w:hint="eastAsia"/>
              </w:rPr>
              <w:t>具备信息系统项目管理师（高级）资格证书优先考虑</w:t>
            </w:r>
          </w:p>
        </w:tc>
        <w:tc>
          <w:tcPr>
            <w:tcW w:w="0" w:type="auto"/>
            <w:shd w:val="clear" w:color="auto" w:fill="auto"/>
            <w:noWrap/>
            <w:vAlign w:val="center"/>
          </w:tcPr>
          <w:p w14:paraId="5A3C7819">
            <w:pPr>
              <w:widowControl/>
              <w:spacing w:line="240" w:lineRule="auto"/>
              <w:ind w:firstLine="0" w:firstLineChars="0"/>
              <w:jc w:val="center"/>
            </w:pPr>
            <w:r>
              <w:rPr>
                <w:rFonts w:hint="eastAsia"/>
              </w:rPr>
              <w:t>驻场</w:t>
            </w:r>
          </w:p>
        </w:tc>
      </w:tr>
      <w:tr w14:paraId="6260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tcPr>
          <w:p w14:paraId="6C442621">
            <w:pPr>
              <w:widowControl/>
              <w:spacing w:line="240" w:lineRule="auto"/>
              <w:ind w:firstLine="0" w:firstLineChars="0"/>
              <w:jc w:val="center"/>
            </w:pPr>
            <w:r>
              <w:rPr>
                <w:rFonts w:hint="eastAsia"/>
              </w:rPr>
              <w:t>产品经理</w:t>
            </w:r>
          </w:p>
        </w:tc>
        <w:tc>
          <w:tcPr>
            <w:tcW w:w="0" w:type="auto"/>
            <w:shd w:val="clear" w:color="auto" w:fill="auto"/>
          </w:tcPr>
          <w:p w14:paraId="0D77AFDC">
            <w:pPr>
              <w:widowControl/>
              <w:spacing w:line="240" w:lineRule="auto"/>
              <w:ind w:firstLine="0" w:firstLineChars="0"/>
              <w:jc w:val="center"/>
            </w:pPr>
            <w:r>
              <w:rPr>
                <w:rFonts w:hint="eastAsia"/>
              </w:rPr>
              <w:t>负责项目需求评估与产品设计</w:t>
            </w:r>
          </w:p>
        </w:tc>
        <w:tc>
          <w:tcPr>
            <w:tcW w:w="0" w:type="auto"/>
            <w:shd w:val="clear" w:color="auto" w:fill="auto"/>
            <w:noWrap/>
            <w:vAlign w:val="center"/>
          </w:tcPr>
          <w:p w14:paraId="43A245BE">
            <w:pPr>
              <w:widowControl/>
              <w:spacing w:line="240" w:lineRule="auto"/>
              <w:ind w:firstLine="0" w:firstLineChars="0"/>
              <w:jc w:val="center"/>
            </w:pPr>
            <w:r>
              <w:rPr>
                <w:rFonts w:hint="eastAsia"/>
              </w:rPr>
              <w:t>2人</w:t>
            </w:r>
          </w:p>
        </w:tc>
        <w:tc>
          <w:tcPr>
            <w:tcW w:w="0" w:type="auto"/>
            <w:vAlign w:val="center"/>
          </w:tcPr>
          <w:p w14:paraId="435A540D">
            <w:pPr>
              <w:widowControl/>
              <w:spacing w:line="240" w:lineRule="auto"/>
              <w:ind w:firstLine="0" w:firstLineChars="0"/>
              <w:jc w:val="center"/>
            </w:pPr>
            <w:r>
              <w:rPr>
                <w:rFonts w:hint="eastAsia"/>
              </w:rPr>
              <w:t>具有系统分析师（高级）或软件设计师（中级）资格证书优先考虑</w:t>
            </w:r>
          </w:p>
        </w:tc>
        <w:tc>
          <w:tcPr>
            <w:tcW w:w="0" w:type="auto"/>
            <w:shd w:val="clear" w:color="auto" w:fill="auto"/>
            <w:noWrap/>
            <w:vAlign w:val="center"/>
          </w:tcPr>
          <w:p w14:paraId="7B57623E">
            <w:pPr>
              <w:widowControl/>
              <w:spacing w:line="240" w:lineRule="auto"/>
              <w:ind w:firstLine="0" w:firstLineChars="0"/>
              <w:jc w:val="center"/>
            </w:pPr>
            <w:r>
              <w:rPr>
                <w:rFonts w:hint="eastAsia"/>
              </w:rPr>
              <w:t>不驻场</w:t>
            </w:r>
          </w:p>
        </w:tc>
      </w:tr>
      <w:tr w14:paraId="0536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tcPr>
          <w:p w14:paraId="3836BC49">
            <w:pPr>
              <w:widowControl/>
              <w:spacing w:line="240" w:lineRule="auto"/>
              <w:ind w:firstLine="0" w:firstLineChars="0"/>
              <w:jc w:val="center"/>
            </w:pPr>
            <w:r>
              <w:rPr>
                <w:rFonts w:hint="eastAsia"/>
              </w:rPr>
              <w:t>技术负责人</w:t>
            </w:r>
          </w:p>
        </w:tc>
        <w:tc>
          <w:tcPr>
            <w:tcW w:w="0" w:type="auto"/>
            <w:shd w:val="clear" w:color="auto" w:fill="auto"/>
          </w:tcPr>
          <w:p w14:paraId="26E1FE02">
            <w:pPr>
              <w:widowControl/>
              <w:spacing w:line="240" w:lineRule="auto"/>
              <w:ind w:firstLine="0" w:firstLineChars="0"/>
              <w:jc w:val="center"/>
            </w:pPr>
            <w:r>
              <w:rPr>
                <w:rFonts w:hint="eastAsia"/>
              </w:rPr>
              <w:t>负责技术实现</w:t>
            </w:r>
          </w:p>
        </w:tc>
        <w:tc>
          <w:tcPr>
            <w:tcW w:w="0" w:type="auto"/>
            <w:shd w:val="clear" w:color="auto" w:fill="auto"/>
            <w:noWrap/>
            <w:vAlign w:val="center"/>
          </w:tcPr>
          <w:p w14:paraId="46DA6320">
            <w:pPr>
              <w:widowControl/>
              <w:spacing w:line="240" w:lineRule="auto"/>
              <w:ind w:firstLine="0" w:firstLineChars="0"/>
              <w:jc w:val="center"/>
            </w:pPr>
            <w:r>
              <w:rPr>
                <w:rFonts w:hint="eastAsia"/>
              </w:rPr>
              <w:t>1人</w:t>
            </w:r>
          </w:p>
        </w:tc>
        <w:tc>
          <w:tcPr>
            <w:tcW w:w="0" w:type="auto"/>
            <w:vAlign w:val="center"/>
          </w:tcPr>
          <w:p w14:paraId="431998A5">
            <w:pPr>
              <w:widowControl/>
              <w:spacing w:line="240" w:lineRule="auto"/>
              <w:ind w:firstLine="0" w:firstLineChars="0"/>
              <w:jc w:val="center"/>
            </w:pPr>
            <w:r>
              <w:t>具有计算机技术与软件专业相关证书</w:t>
            </w:r>
            <w:r>
              <w:rPr>
                <w:rFonts w:hint="eastAsia"/>
              </w:rPr>
              <w:t>优先考虑</w:t>
            </w:r>
          </w:p>
        </w:tc>
        <w:tc>
          <w:tcPr>
            <w:tcW w:w="0" w:type="auto"/>
            <w:shd w:val="clear" w:color="auto" w:fill="auto"/>
            <w:noWrap/>
            <w:vAlign w:val="center"/>
          </w:tcPr>
          <w:p w14:paraId="4801B97F">
            <w:pPr>
              <w:widowControl/>
              <w:spacing w:line="240" w:lineRule="auto"/>
              <w:ind w:firstLine="0" w:firstLineChars="0"/>
              <w:jc w:val="center"/>
            </w:pPr>
            <w:r>
              <w:rPr>
                <w:rFonts w:hint="eastAsia"/>
              </w:rPr>
              <w:t>不驻场</w:t>
            </w:r>
          </w:p>
        </w:tc>
      </w:tr>
      <w:tr w14:paraId="310D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9CB4796">
            <w:pPr>
              <w:widowControl/>
              <w:spacing w:line="240" w:lineRule="auto"/>
              <w:ind w:firstLine="0" w:firstLineChars="0"/>
              <w:jc w:val="center"/>
            </w:pPr>
            <w:r>
              <w:rPr>
                <w:rFonts w:hint="eastAsia"/>
              </w:rPr>
              <w:t>研发</w:t>
            </w:r>
          </w:p>
        </w:tc>
        <w:tc>
          <w:tcPr>
            <w:tcW w:w="0" w:type="auto"/>
            <w:shd w:val="clear" w:color="auto" w:fill="auto"/>
            <w:noWrap/>
            <w:vAlign w:val="center"/>
          </w:tcPr>
          <w:p w14:paraId="56860508">
            <w:pPr>
              <w:widowControl/>
              <w:spacing w:line="240" w:lineRule="auto"/>
              <w:ind w:firstLine="0" w:firstLineChars="0"/>
              <w:jc w:val="center"/>
            </w:pPr>
            <w:r>
              <w:rPr>
                <w:rFonts w:hint="eastAsia"/>
              </w:rPr>
              <w:t>负责项目具体开发</w:t>
            </w:r>
          </w:p>
        </w:tc>
        <w:tc>
          <w:tcPr>
            <w:tcW w:w="0" w:type="auto"/>
            <w:shd w:val="clear" w:color="auto" w:fill="auto"/>
            <w:noWrap/>
            <w:vAlign w:val="center"/>
          </w:tcPr>
          <w:p w14:paraId="6E7BDEF1">
            <w:pPr>
              <w:widowControl/>
              <w:spacing w:line="240" w:lineRule="auto"/>
              <w:ind w:firstLine="0" w:firstLineChars="0"/>
              <w:jc w:val="center"/>
            </w:pPr>
            <w:r>
              <w:rPr>
                <w:rFonts w:hint="eastAsia"/>
              </w:rPr>
              <w:t>4人</w:t>
            </w:r>
          </w:p>
        </w:tc>
        <w:tc>
          <w:tcPr>
            <w:tcW w:w="0" w:type="auto"/>
            <w:vAlign w:val="center"/>
          </w:tcPr>
          <w:p w14:paraId="2124B7FE">
            <w:pPr>
              <w:widowControl/>
              <w:spacing w:line="240" w:lineRule="auto"/>
              <w:ind w:firstLine="0" w:firstLineChars="0"/>
              <w:jc w:val="center"/>
            </w:pPr>
            <w:r>
              <w:rPr>
                <w:rFonts w:hint="eastAsia"/>
              </w:rPr>
              <w:t>具有相关工作经验优先考虑</w:t>
            </w:r>
          </w:p>
        </w:tc>
        <w:tc>
          <w:tcPr>
            <w:tcW w:w="0" w:type="auto"/>
            <w:shd w:val="clear" w:color="auto" w:fill="auto"/>
            <w:noWrap/>
            <w:vAlign w:val="center"/>
          </w:tcPr>
          <w:p w14:paraId="18B3493E">
            <w:pPr>
              <w:widowControl/>
              <w:spacing w:line="240" w:lineRule="auto"/>
              <w:ind w:firstLine="0" w:firstLineChars="0"/>
              <w:jc w:val="center"/>
            </w:pPr>
            <w:r>
              <w:rPr>
                <w:rFonts w:hint="eastAsia"/>
              </w:rPr>
              <w:t>不驻场</w:t>
            </w:r>
          </w:p>
        </w:tc>
      </w:tr>
      <w:tr w14:paraId="5D94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FA67A50">
            <w:pPr>
              <w:widowControl/>
              <w:spacing w:line="240" w:lineRule="auto"/>
              <w:ind w:firstLine="0" w:firstLineChars="0"/>
              <w:jc w:val="center"/>
            </w:pPr>
            <w:r>
              <w:rPr>
                <w:rFonts w:hint="eastAsia"/>
              </w:rPr>
              <w:t>实施</w:t>
            </w:r>
          </w:p>
        </w:tc>
        <w:tc>
          <w:tcPr>
            <w:tcW w:w="0" w:type="auto"/>
            <w:shd w:val="clear" w:color="auto" w:fill="auto"/>
            <w:noWrap/>
            <w:vAlign w:val="center"/>
          </w:tcPr>
          <w:p w14:paraId="60AF51BC">
            <w:pPr>
              <w:widowControl/>
              <w:spacing w:line="240" w:lineRule="auto"/>
              <w:ind w:firstLine="0" w:firstLineChars="0"/>
              <w:jc w:val="center"/>
            </w:pPr>
            <w:r>
              <w:rPr>
                <w:rFonts w:hint="eastAsia"/>
              </w:rPr>
              <w:t>负责项目具体实施</w:t>
            </w:r>
          </w:p>
        </w:tc>
        <w:tc>
          <w:tcPr>
            <w:tcW w:w="0" w:type="auto"/>
            <w:shd w:val="clear" w:color="auto" w:fill="auto"/>
            <w:noWrap/>
            <w:vAlign w:val="center"/>
          </w:tcPr>
          <w:p w14:paraId="40DF911C">
            <w:pPr>
              <w:widowControl/>
              <w:spacing w:line="240" w:lineRule="auto"/>
              <w:ind w:firstLine="0" w:firstLineChars="0"/>
              <w:jc w:val="center"/>
            </w:pPr>
            <w:r>
              <w:rPr>
                <w:rFonts w:hint="eastAsia"/>
              </w:rPr>
              <w:t>2人</w:t>
            </w:r>
          </w:p>
        </w:tc>
        <w:tc>
          <w:tcPr>
            <w:tcW w:w="0" w:type="auto"/>
            <w:vAlign w:val="center"/>
          </w:tcPr>
          <w:p w14:paraId="5BCEA3A8">
            <w:pPr>
              <w:widowControl/>
              <w:spacing w:line="240" w:lineRule="auto"/>
              <w:ind w:firstLine="0" w:firstLineChars="0"/>
              <w:jc w:val="center"/>
            </w:pPr>
            <w:r>
              <w:rPr>
                <w:rFonts w:hint="eastAsia"/>
              </w:rPr>
              <w:t>具有相关工作经验优先考虑</w:t>
            </w:r>
          </w:p>
        </w:tc>
        <w:tc>
          <w:tcPr>
            <w:tcW w:w="0" w:type="auto"/>
            <w:shd w:val="clear" w:color="auto" w:fill="auto"/>
            <w:noWrap/>
            <w:vAlign w:val="center"/>
          </w:tcPr>
          <w:p w14:paraId="21693E9F">
            <w:pPr>
              <w:widowControl/>
              <w:spacing w:line="240" w:lineRule="auto"/>
              <w:ind w:firstLine="0" w:firstLineChars="0"/>
              <w:jc w:val="center"/>
            </w:pPr>
            <w:r>
              <w:rPr>
                <w:rFonts w:hint="eastAsia"/>
              </w:rPr>
              <w:t>驻场</w:t>
            </w:r>
          </w:p>
        </w:tc>
      </w:tr>
    </w:tbl>
    <w:p w14:paraId="1744E6E0">
      <w:r>
        <w:t>2）投标人应针对本项目提供不少于2人的质保期间支撑团队（其中技术经理1人，技术工程师不少于1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362"/>
        <w:gridCol w:w="1180"/>
        <w:gridCol w:w="1434"/>
        <w:gridCol w:w="2136"/>
      </w:tblGrid>
      <w:tr w14:paraId="349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959CAFC">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14CCF473">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15CA9D85">
            <w:pPr>
              <w:widowControl/>
              <w:spacing w:line="240" w:lineRule="auto"/>
              <w:ind w:firstLine="0" w:firstLineChars="0"/>
              <w:jc w:val="center"/>
              <w:rPr>
                <w:b/>
              </w:rPr>
            </w:pPr>
            <w:r>
              <w:rPr>
                <w:rFonts w:hint="eastAsia"/>
                <w:b/>
              </w:rPr>
              <w:t>人员数量</w:t>
            </w:r>
          </w:p>
        </w:tc>
        <w:tc>
          <w:tcPr>
            <w:tcW w:w="0" w:type="auto"/>
            <w:vAlign w:val="center"/>
          </w:tcPr>
          <w:p w14:paraId="1909C492">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26C6D2EF">
            <w:pPr>
              <w:widowControl/>
              <w:spacing w:line="240" w:lineRule="auto"/>
              <w:ind w:firstLine="0" w:firstLineChars="0"/>
              <w:jc w:val="center"/>
              <w:rPr>
                <w:b/>
              </w:rPr>
            </w:pPr>
            <w:r>
              <w:rPr>
                <w:rFonts w:hint="eastAsia"/>
                <w:b/>
              </w:rPr>
              <w:t>驻场要求</w:t>
            </w:r>
          </w:p>
        </w:tc>
      </w:tr>
      <w:tr w14:paraId="07A2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18A8EF52">
            <w:pPr>
              <w:widowControl/>
              <w:spacing w:line="240" w:lineRule="auto"/>
              <w:ind w:firstLine="0" w:firstLineChars="0"/>
              <w:jc w:val="center"/>
            </w:pPr>
            <w:r>
              <w:rPr>
                <w:rFonts w:hint="eastAsia"/>
              </w:rPr>
              <w:t>技术经理</w:t>
            </w:r>
          </w:p>
        </w:tc>
        <w:tc>
          <w:tcPr>
            <w:tcW w:w="0" w:type="auto"/>
            <w:shd w:val="clear" w:color="auto" w:fill="auto"/>
            <w:vAlign w:val="center"/>
          </w:tcPr>
          <w:p w14:paraId="23F1D25D">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0F200EC2">
            <w:pPr>
              <w:widowControl/>
              <w:spacing w:line="240" w:lineRule="auto"/>
              <w:ind w:firstLine="0" w:firstLineChars="0"/>
              <w:jc w:val="center"/>
            </w:pPr>
            <w:r>
              <w:rPr>
                <w:rFonts w:hint="eastAsia"/>
              </w:rPr>
              <w:t>1人</w:t>
            </w:r>
          </w:p>
        </w:tc>
        <w:tc>
          <w:tcPr>
            <w:tcW w:w="0" w:type="auto"/>
            <w:vAlign w:val="center"/>
          </w:tcPr>
          <w:p w14:paraId="5BE2DB34">
            <w:pPr>
              <w:widowControl/>
              <w:spacing w:line="240" w:lineRule="auto"/>
              <w:ind w:firstLine="0" w:firstLineChars="0"/>
              <w:jc w:val="center"/>
            </w:pPr>
            <w:r>
              <w:rPr>
                <w:rFonts w:hint="eastAsia"/>
              </w:rPr>
              <w:t>具备相关项目管理资质优先考虑</w:t>
            </w:r>
          </w:p>
        </w:tc>
        <w:tc>
          <w:tcPr>
            <w:tcW w:w="0" w:type="auto"/>
            <w:shd w:val="clear" w:color="auto" w:fill="auto"/>
            <w:noWrap/>
            <w:vAlign w:val="center"/>
          </w:tcPr>
          <w:p w14:paraId="2900329C">
            <w:pPr>
              <w:widowControl/>
              <w:spacing w:line="240" w:lineRule="auto"/>
              <w:ind w:firstLine="0" w:firstLineChars="0"/>
              <w:jc w:val="center"/>
            </w:pPr>
            <w:r>
              <w:rPr>
                <w:rFonts w:hint="eastAsia"/>
              </w:rPr>
              <w:t>不驻场</w:t>
            </w:r>
          </w:p>
        </w:tc>
      </w:tr>
      <w:tr w14:paraId="3685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6930556">
            <w:pPr>
              <w:widowControl/>
              <w:spacing w:line="240" w:lineRule="auto"/>
              <w:ind w:firstLine="0" w:firstLineChars="0"/>
              <w:jc w:val="center"/>
            </w:pPr>
            <w:r>
              <w:rPr>
                <w:rFonts w:hint="eastAsia"/>
              </w:rPr>
              <w:t>技术工程师</w:t>
            </w:r>
          </w:p>
        </w:tc>
        <w:tc>
          <w:tcPr>
            <w:tcW w:w="0" w:type="auto"/>
            <w:shd w:val="clear" w:color="auto" w:fill="auto"/>
            <w:noWrap/>
            <w:vAlign w:val="center"/>
          </w:tcPr>
          <w:p w14:paraId="0140A337">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14:paraId="27C228E8">
            <w:pPr>
              <w:widowControl/>
              <w:spacing w:line="240" w:lineRule="auto"/>
              <w:ind w:firstLine="0" w:firstLineChars="0"/>
              <w:jc w:val="center"/>
            </w:pPr>
            <w:r>
              <w:rPr>
                <w:rFonts w:hint="eastAsia"/>
              </w:rPr>
              <w:t>1人</w:t>
            </w:r>
          </w:p>
        </w:tc>
        <w:tc>
          <w:tcPr>
            <w:tcW w:w="0" w:type="auto"/>
            <w:vAlign w:val="center"/>
          </w:tcPr>
          <w:p w14:paraId="5EA82166">
            <w:pPr>
              <w:widowControl/>
              <w:spacing w:line="240" w:lineRule="auto"/>
              <w:ind w:firstLine="0" w:firstLineChars="0"/>
              <w:jc w:val="center"/>
            </w:pPr>
          </w:p>
        </w:tc>
        <w:tc>
          <w:tcPr>
            <w:tcW w:w="0" w:type="auto"/>
            <w:shd w:val="clear" w:color="auto" w:fill="auto"/>
            <w:noWrap/>
            <w:vAlign w:val="center"/>
          </w:tcPr>
          <w:p w14:paraId="73163894">
            <w:pPr>
              <w:widowControl/>
              <w:spacing w:line="240" w:lineRule="auto"/>
              <w:ind w:firstLine="0" w:firstLineChars="0"/>
              <w:jc w:val="center"/>
            </w:pPr>
            <w:r>
              <w:rPr>
                <w:rFonts w:hint="eastAsia"/>
                <w:lang w:eastAsia="zh-CN"/>
              </w:rPr>
              <w:t>质保期</w:t>
            </w:r>
            <w:r>
              <w:rPr>
                <w:rFonts w:hint="eastAsia"/>
                <w:lang w:val="en-US" w:eastAsia="zh-CN"/>
              </w:rPr>
              <w:t>1年内</w:t>
            </w:r>
            <w:r>
              <w:rPr>
                <w:rFonts w:hint="eastAsia"/>
              </w:rPr>
              <w:t>驻场</w:t>
            </w:r>
          </w:p>
        </w:tc>
      </w:tr>
      <w:bookmarkEnd w:id="36"/>
      <w:bookmarkEnd w:id="37"/>
    </w:tbl>
    <w:p w14:paraId="1E2C574F">
      <w:pPr>
        <w:pStyle w:val="3"/>
      </w:pPr>
      <w:bookmarkStart w:id="38" w:name="_Hlk192334082"/>
      <w:r>
        <w:rPr>
          <w:rFonts w:hint="eastAsia"/>
        </w:rPr>
        <w:t>网络安全</w:t>
      </w:r>
      <w:r>
        <w:t>要求</w:t>
      </w:r>
    </w:p>
    <w:p w14:paraId="261E3716">
      <w:bookmarkStart w:id="39" w:name="_Hlk192328770"/>
      <w:r>
        <w:rPr>
          <w:rFonts w:hint="eastAsia"/>
        </w:rPr>
        <w:t>本项目按照信息系统网络安全等级保护三级建设。整体安全管控要求需依据国家相关法律规定标准、国家医疗卫生机构网络安全管理办法、中心网络安全管理制度、个案数据使用管理制度、中心安全稳定工作须知和密评方案落实实施。</w:t>
      </w:r>
    </w:p>
    <w:bookmarkEnd w:id="39"/>
    <w:p w14:paraId="7034021C">
      <w:pPr>
        <w:keepNext/>
        <w:keepLines/>
        <w:numPr>
          <w:ilvl w:val="1"/>
          <w:numId w:val="1"/>
        </w:numPr>
        <w:spacing w:before="120" w:after="120"/>
        <w:ind w:firstLineChars="0"/>
        <w:outlineLvl w:val="1"/>
        <w:rPr>
          <w:b/>
          <w:bCs/>
          <w:sz w:val="30"/>
          <w:szCs w:val="32"/>
        </w:rPr>
      </w:pPr>
      <w:bookmarkStart w:id="40" w:name="_Hlk192328788"/>
      <w:r>
        <w:rPr>
          <w:rFonts w:hint="eastAsia"/>
          <w:b/>
          <w:bCs/>
          <w:sz w:val="30"/>
          <w:szCs w:val="32"/>
        </w:rPr>
        <w:t>商业密码应用需求</w:t>
      </w:r>
    </w:p>
    <w:p w14:paraId="1641D214">
      <w:r>
        <w:rPr>
          <w:rFonts w:hint="eastAsia"/>
        </w:rPr>
        <w:t>本项目应按照国家商用密码第三级的相关要求进行建设</w:t>
      </w:r>
      <w:r>
        <w:rPr>
          <w:rFonts w:hint="eastAsia" w:ascii="仿宋_GB2312" w:eastAsia="仿宋_GB2312" w:cs="仿宋_GB2312"/>
          <w:kern w:val="0"/>
          <w:sz w:val="28"/>
          <w:szCs w:val="28"/>
        </w:rPr>
        <w:t>。</w:t>
      </w:r>
    </w:p>
    <w:bookmarkEnd w:id="38"/>
    <w:bookmarkEnd w:id="40"/>
    <w:p w14:paraId="17BE64BD">
      <w:pPr>
        <w:pStyle w:val="3"/>
      </w:pPr>
      <w:bookmarkStart w:id="41" w:name="_Toc63785512"/>
      <w:r>
        <w:rPr>
          <w:rFonts w:hint="eastAsia"/>
        </w:rPr>
        <w:t>技术文件要求</w:t>
      </w:r>
    </w:p>
    <w:p w14:paraId="7E2B7149">
      <w:r>
        <w:rPr>
          <w:rFonts w:hint="eastAsia"/>
        </w:rPr>
        <w:t>投标人提供的书面技术资料应能确保系统正常运行所需的管理、运营及维护有关的全套文件。技术文件应该全面、完整、详细。投标人提供的技术文件至少应包括：</w:t>
      </w:r>
    </w:p>
    <w:p w14:paraId="63A5FA6C">
      <w:r>
        <w:rPr>
          <w:rFonts w:hint="eastAsia"/>
        </w:rPr>
        <w:t>－</w:t>
      </w:r>
      <w:r>
        <w:t xml:space="preserve"> 系统说明文件； </w:t>
      </w:r>
    </w:p>
    <w:p w14:paraId="7184F9A4">
      <w:r>
        <w:rPr>
          <w:rFonts w:hint="eastAsia"/>
        </w:rPr>
        <w:t>－</w:t>
      </w:r>
      <w:r>
        <w:t xml:space="preserve"> 技术手册(安装、测试、操作、维护、故障排除等)； </w:t>
      </w:r>
    </w:p>
    <w:p w14:paraId="156A04D0">
      <w:r>
        <w:rPr>
          <w:rFonts w:hint="eastAsia"/>
        </w:rPr>
        <w:t>－</w:t>
      </w:r>
      <w:r>
        <w:t xml:space="preserve"> 项目文档，应该包括：</w:t>
      </w:r>
    </w:p>
    <w:p w14:paraId="1F475956">
      <w:pPr>
        <w:ind w:left="360"/>
      </w:pPr>
      <w:r>
        <w:t>(1)软件需求说明书</w:t>
      </w:r>
    </w:p>
    <w:p w14:paraId="0F3AED72">
      <w:pPr>
        <w:ind w:left="360"/>
      </w:pPr>
      <w:r>
        <w:t>(2)</w:t>
      </w:r>
      <w:r>
        <w:tab/>
      </w:r>
      <w:r>
        <w:t>系统总体设计说明书</w:t>
      </w:r>
    </w:p>
    <w:p w14:paraId="62B3E08A">
      <w:pPr>
        <w:ind w:left="360"/>
      </w:pPr>
      <w:r>
        <w:t>(3)</w:t>
      </w:r>
      <w:r>
        <w:tab/>
      </w:r>
      <w:r>
        <w:t>应用软件功能清单</w:t>
      </w:r>
    </w:p>
    <w:p w14:paraId="75BFA2A5">
      <w:r>
        <w:rPr>
          <w:rFonts w:hint="eastAsia"/>
        </w:rPr>
        <w:t>－招标人提出的其他项目验收文档。</w:t>
      </w:r>
    </w:p>
    <w:p w14:paraId="29B9FBD4">
      <w:r>
        <w:rPr>
          <w:rFonts w:hint="eastAsia"/>
        </w:rPr>
        <w:t>根据招标人项目验收要求，提供项目验收册纸质5套以上，项目全过程材料1套以及电子文件2套，源代码光盘等。</w:t>
      </w:r>
    </w:p>
    <w:p w14:paraId="68AFA99A">
      <w:r>
        <w:rPr>
          <w:rFonts w:hint="eastAsia"/>
        </w:rPr>
        <w:t>承诺知识产权归采购人所有的优先考虑。</w:t>
      </w:r>
    </w:p>
    <w:p w14:paraId="5EFECADB">
      <w:pPr>
        <w:pStyle w:val="2"/>
      </w:pPr>
      <w:r>
        <w:rPr>
          <w:rFonts w:hint="eastAsia"/>
        </w:rPr>
        <w:t>供应商能力要求</w:t>
      </w:r>
    </w:p>
    <w:p w14:paraId="12935263">
      <w:r>
        <w:rPr>
          <w:rFonts w:hint="eastAsia"/>
        </w:rPr>
        <w:t>供应商具有软件企业证书、ISO9001质量管理体系认证证书、ISO20000信息服务管理体系认证证书、ISO27001信息安全管理体系认证证书、DCMM数据管理能力成熟度等级证书、CCRC信息安全服务资质认证证书优先考虑</w:t>
      </w:r>
      <w:r>
        <w:t>。</w:t>
      </w:r>
    </w:p>
    <w:p w14:paraId="38CC5CA8">
      <w:pPr>
        <w:pStyle w:val="2"/>
      </w:pPr>
      <w:r>
        <w:rPr>
          <w:rFonts w:hint="eastAsia"/>
        </w:rPr>
        <w:t>供应商管理要求</w:t>
      </w:r>
      <w:bookmarkEnd w:id="41"/>
    </w:p>
    <w:p w14:paraId="130B77D2">
      <w:pPr>
        <w:pStyle w:val="80"/>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3A005E26">
      <w:pPr>
        <w:pStyle w:val="80"/>
        <w:ind w:firstLine="480"/>
        <w:rPr>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3B28ADC0">
      <w:pPr>
        <w:pStyle w:val="80"/>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229E5F57">
      <w:pPr>
        <w:pStyle w:val="80"/>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30BC561D">
      <w:pPr>
        <w:pStyle w:val="80"/>
        <w:ind w:firstLine="480"/>
        <w:rPr>
          <w:sz w:val="24"/>
          <w:szCs w:val="24"/>
        </w:rPr>
      </w:pPr>
      <w:r>
        <w:rPr>
          <w:rFonts w:hint="eastAsia"/>
          <w:sz w:val="24"/>
          <w:szCs w:val="24"/>
        </w:rPr>
        <w:t>5.中标人在项目实施期间必须遵守采购人的规章制度并提供实施人员名单。</w:t>
      </w:r>
    </w:p>
    <w:p w14:paraId="44405147">
      <w:pPr>
        <w:pStyle w:val="80"/>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727AFA37">
      <w:pPr>
        <w:pStyle w:val="80"/>
        <w:ind w:firstLine="480"/>
        <w:rPr>
          <w:sz w:val="24"/>
          <w:szCs w:val="24"/>
        </w:rPr>
      </w:pPr>
      <w:r>
        <w:rPr>
          <w:rFonts w:hint="eastAsia"/>
          <w:sz w:val="24"/>
          <w:szCs w:val="24"/>
        </w:rPr>
        <w:t>7.本项目软件开发及调试将纳入采购人的管理范围，中标人在此过程中须服从上述单位的管理协调。</w:t>
      </w:r>
    </w:p>
    <w:p w14:paraId="1B485A8B">
      <w:pPr>
        <w:rPr>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A088">
    <w:pPr>
      <w:ind w:firstLine="0" w:firstLineChars="0"/>
      <w:jc w:val="center"/>
    </w:pPr>
    <w:r>
      <w:fldChar w:fldCharType="begin"/>
    </w:r>
    <w:r>
      <w:instrText xml:space="preserve">PAGE   \* MERGEFORMAT</w:instrText>
    </w:r>
    <w:r>
      <w:fldChar w:fldCharType="separate"/>
    </w:r>
    <w:r>
      <w:rPr>
        <w:lang w:val="zh-CN"/>
      </w:rPr>
      <w:t>6</w:t>
    </w:r>
    <w:r>
      <w:rPr>
        <w:lang w:val="zh-CN"/>
      </w:rPr>
      <w:fldChar w:fldCharType="end"/>
    </w:r>
  </w:p>
  <w:p w14:paraId="05245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16A4"/>
  <w:p w14:paraId="49D573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567F">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91A5">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C553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E56B">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3E57"/>
  <w:p w14:paraId="110274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837E">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01455"/>
    <w:multiLevelType w:val="multilevel"/>
    <w:tmpl w:val="04001455"/>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1287" w:hanging="720"/>
      </w:pPr>
      <w:rPr>
        <w:rFonts w:hint="eastAsia"/>
      </w:rPr>
    </w:lvl>
    <w:lvl w:ilvl="3" w:tentative="0">
      <w:start w:val="1"/>
      <w:numFmt w:val="decimal"/>
      <w:isLgl/>
      <w:lvlText w:val="%1.%2.%3.%4"/>
      <w:lvlJc w:val="left"/>
      <w:pPr>
        <w:ind w:left="1572" w:hanging="864"/>
      </w:pPr>
      <w:rPr>
        <w:rFonts w:hint="eastAsia"/>
      </w:rPr>
    </w:lvl>
    <w:lvl w:ilvl="4" w:tentative="0">
      <w:start w:val="1"/>
      <w:numFmt w:val="decimal"/>
      <w:pStyle w:val="136"/>
      <w:isLgl/>
      <w:lvlText w:val="%1.%2.%3.%4.%5"/>
      <w:lvlJc w:val="left"/>
      <w:pPr>
        <w:ind w:left="1008" w:hanging="1008"/>
      </w:pPr>
      <w:rPr>
        <w:rFonts w:hint="eastAsia"/>
      </w:rPr>
    </w:lvl>
    <w:lvl w:ilvl="5" w:tentative="0">
      <w:start w:val="1"/>
      <w:numFmt w:val="decimal"/>
      <w:isLgl/>
      <w:lvlText w:val="%1.%2.%3.%4.%5.%6"/>
      <w:lvlJc w:val="left"/>
      <w:pPr>
        <w:ind w:left="4554" w:hanging="1152"/>
      </w:pPr>
      <w:rPr>
        <w:rFonts w:hint="eastAsia"/>
      </w:rPr>
    </w:lvl>
    <w:lvl w:ilvl="6" w:tentative="0">
      <w:start w:val="1"/>
      <w:numFmt w:val="decimal"/>
      <w:isLgl/>
      <w:lvlText w:val="%1.%2.%3.%4.%5.%6.%7"/>
      <w:lvlJc w:val="left"/>
      <w:pPr>
        <w:ind w:left="2004"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6F15F57C"/>
    <w:multiLevelType w:val="singleLevel"/>
    <w:tmpl w:val="6F15F57C"/>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MTcyOTAwYTViNTYwMjdjZjIwZGJjMjgwNTJmOGUifQ=="/>
  </w:docVars>
  <w:rsids>
    <w:rsidRoot w:val="006910C0"/>
    <w:rsid w:val="0000005A"/>
    <w:rsid w:val="00000AED"/>
    <w:rsid w:val="00003516"/>
    <w:rsid w:val="0000380E"/>
    <w:rsid w:val="00005649"/>
    <w:rsid w:val="00005AFD"/>
    <w:rsid w:val="00006563"/>
    <w:rsid w:val="000074F1"/>
    <w:rsid w:val="00007A41"/>
    <w:rsid w:val="00007DA7"/>
    <w:rsid w:val="00010660"/>
    <w:rsid w:val="000123E3"/>
    <w:rsid w:val="00012EF0"/>
    <w:rsid w:val="000156DE"/>
    <w:rsid w:val="000165AD"/>
    <w:rsid w:val="000165BA"/>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587"/>
    <w:rsid w:val="000B2E1C"/>
    <w:rsid w:val="000B4459"/>
    <w:rsid w:val="000B4B46"/>
    <w:rsid w:val="000B5363"/>
    <w:rsid w:val="000B53BA"/>
    <w:rsid w:val="000B642F"/>
    <w:rsid w:val="000B6C99"/>
    <w:rsid w:val="000C2EA0"/>
    <w:rsid w:val="000C3F3C"/>
    <w:rsid w:val="000C5A75"/>
    <w:rsid w:val="000C75F7"/>
    <w:rsid w:val="000D0AB2"/>
    <w:rsid w:val="000D225C"/>
    <w:rsid w:val="000D36F2"/>
    <w:rsid w:val="000D4B26"/>
    <w:rsid w:val="000D74DB"/>
    <w:rsid w:val="000E24D6"/>
    <w:rsid w:val="000E6072"/>
    <w:rsid w:val="000E68F5"/>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3C3A"/>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48E"/>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0D7"/>
    <w:rsid w:val="00280490"/>
    <w:rsid w:val="0028436A"/>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59F"/>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6AC"/>
    <w:rsid w:val="00326A7A"/>
    <w:rsid w:val="00326FEE"/>
    <w:rsid w:val="003315D7"/>
    <w:rsid w:val="00334DE6"/>
    <w:rsid w:val="0033536D"/>
    <w:rsid w:val="003353FF"/>
    <w:rsid w:val="0033600F"/>
    <w:rsid w:val="003366D2"/>
    <w:rsid w:val="00337C79"/>
    <w:rsid w:val="00337FEF"/>
    <w:rsid w:val="0034084C"/>
    <w:rsid w:val="00340D5E"/>
    <w:rsid w:val="003420B5"/>
    <w:rsid w:val="00343646"/>
    <w:rsid w:val="00344CCB"/>
    <w:rsid w:val="00345897"/>
    <w:rsid w:val="00351BFC"/>
    <w:rsid w:val="0035575E"/>
    <w:rsid w:val="003565B4"/>
    <w:rsid w:val="0035703F"/>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3D18"/>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089D"/>
    <w:rsid w:val="0052369D"/>
    <w:rsid w:val="005271DB"/>
    <w:rsid w:val="00530D2F"/>
    <w:rsid w:val="0053487C"/>
    <w:rsid w:val="005356E1"/>
    <w:rsid w:val="00536A8B"/>
    <w:rsid w:val="00540418"/>
    <w:rsid w:val="00541897"/>
    <w:rsid w:val="00541A96"/>
    <w:rsid w:val="00541C6A"/>
    <w:rsid w:val="00542C54"/>
    <w:rsid w:val="00546A43"/>
    <w:rsid w:val="00546C70"/>
    <w:rsid w:val="00547258"/>
    <w:rsid w:val="00550CF0"/>
    <w:rsid w:val="005559FE"/>
    <w:rsid w:val="005560D6"/>
    <w:rsid w:val="00556D07"/>
    <w:rsid w:val="005611F2"/>
    <w:rsid w:val="00561734"/>
    <w:rsid w:val="00561952"/>
    <w:rsid w:val="005633D7"/>
    <w:rsid w:val="00564B9A"/>
    <w:rsid w:val="00565694"/>
    <w:rsid w:val="00566DD6"/>
    <w:rsid w:val="005714EF"/>
    <w:rsid w:val="00571CEC"/>
    <w:rsid w:val="00572FCE"/>
    <w:rsid w:val="005743EB"/>
    <w:rsid w:val="005750DB"/>
    <w:rsid w:val="005759FC"/>
    <w:rsid w:val="00575B85"/>
    <w:rsid w:val="00576DB9"/>
    <w:rsid w:val="0057738F"/>
    <w:rsid w:val="005805E4"/>
    <w:rsid w:val="0058202F"/>
    <w:rsid w:val="00584221"/>
    <w:rsid w:val="00584EB6"/>
    <w:rsid w:val="00586B68"/>
    <w:rsid w:val="0058774E"/>
    <w:rsid w:val="005878CF"/>
    <w:rsid w:val="0059085B"/>
    <w:rsid w:val="00590CA0"/>
    <w:rsid w:val="00595B01"/>
    <w:rsid w:val="00596D98"/>
    <w:rsid w:val="005979A5"/>
    <w:rsid w:val="005A0021"/>
    <w:rsid w:val="005A017B"/>
    <w:rsid w:val="005A2AEC"/>
    <w:rsid w:val="005A412D"/>
    <w:rsid w:val="005A5212"/>
    <w:rsid w:val="005A7590"/>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37F52"/>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66B5B"/>
    <w:rsid w:val="00670295"/>
    <w:rsid w:val="006704F5"/>
    <w:rsid w:val="00671490"/>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B7F22"/>
    <w:rsid w:val="006C1C57"/>
    <w:rsid w:val="006C28B1"/>
    <w:rsid w:val="006C5760"/>
    <w:rsid w:val="006C6D6F"/>
    <w:rsid w:val="006D0D78"/>
    <w:rsid w:val="006D1128"/>
    <w:rsid w:val="006D2848"/>
    <w:rsid w:val="006D30E0"/>
    <w:rsid w:val="006D5521"/>
    <w:rsid w:val="006D5FE9"/>
    <w:rsid w:val="006D6CBB"/>
    <w:rsid w:val="006D76A9"/>
    <w:rsid w:val="006D77F4"/>
    <w:rsid w:val="006D7D3C"/>
    <w:rsid w:val="006E0898"/>
    <w:rsid w:val="006E41CD"/>
    <w:rsid w:val="006F3BEC"/>
    <w:rsid w:val="006F6D0C"/>
    <w:rsid w:val="00703C00"/>
    <w:rsid w:val="007057CC"/>
    <w:rsid w:val="007066F2"/>
    <w:rsid w:val="00706869"/>
    <w:rsid w:val="00706AE5"/>
    <w:rsid w:val="0070740A"/>
    <w:rsid w:val="007113C1"/>
    <w:rsid w:val="00711F93"/>
    <w:rsid w:val="00712940"/>
    <w:rsid w:val="0071428C"/>
    <w:rsid w:val="00715A16"/>
    <w:rsid w:val="007164B0"/>
    <w:rsid w:val="007166FF"/>
    <w:rsid w:val="007260CC"/>
    <w:rsid w:val="00726543"/>
    <w:rsid w:val="0073353E"/>
    <w:rsid w:val="00736633"/>
    <w:rsid w:val="007367F6"/>
    <w:rsid w:val="00741EE7"/>
    <w:rsid w:val="00743A79"/>
    <w:rsid w:val="007444D4"/>
    <w:rsid w:val="00744FDE"/>
    <w:rsid w:val="0074594D"/>
    <w:rsid w:val="007459F3"/>
    <w:rsid w:val="00746E35"/>
    <w:rsid w:val="007470E2"/>
    <w:rsid w:val="0075232F"/>
    <w:rsid w:val="00753132"/>
    <w:rsid w:val="007550B3"/>
    <w:rsid w:val="00760451"/>
    <w:rsid w:val="007614AF"/>
    <w:rsid w:val="0077182A"/>
    <w:rsid w:val="00771913"/>
    <w:rsid w:val="00772718"/>
    <w:rsid w:val="00775967"/>
    <w:rsid w:val="00775BCF"/>
    <w:rsid w:val="007818AA"/>
    <w:rsid w:val="00783140"/>
    <w:rsid w:val="007838B6"/>
    <w:rsid w:val="00783E77"/>
    <w:rsid w:val="007904E0"/>
    <w:rsid w:val="007906F1"/>
    <w:rsid w:val="0079243D"/>
    <w:rsid w:val="00794A9B"/>
    <w:rsid w:val="0079583B"/>
    <w:rsid w:val="00796602"/>
    <w:rsid w:val="00797185"/>
    <w:rsid w:val="007976B7"/>
    <w:rsid w:val="00797A7E"/>
    <w:rsid w:val="00797D6F"/>
    <w:rsid w:val="007B014B"/>
    <w:rsid w:val="007B0D88"/>
    <w:rsid w:val="007B306F"/>
    <w:rsid w:val="007B3604"/>
    <w:rsid w:val="007B4714"/>
    <w:rsid w:val="007B4E82"/>
    <w:rsid w:val="007B5AF9"/>
    <w:rsid w:val="007C1996"/>
    <w:rsid w:val="007C3773"/>
    <w:rsid w:val="007C3F1F"/>
    <w:rsid w:val="007D2D0D"/>
    <w:rsid w:val="007D3325"/>
    <w:rsid w:val="007D3818"/>
    <w:rsid w:val="007D6DC5"/>
    <w:rsid w:val="007D7425"/>
    <w:rsid w:val="007E1840"/>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586"/>
    <w:rsid w:val="008167C1"/>
    <w:rsid w:val="008167C6"/>
    <w:rsid w:val="00816B8F"/>
    <w:rsid w:val="0081761B"/>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2B67"/>
    <w:rsid w:val="008435BA"/>
    <w:rsid w:val="0084558B"/>
    <w:rsid w:val="00845900"/>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259"/>
    <w:rsid w:val="008C7AB7"/>
    <w:rsid w:val="008C7FB4"/>
    <w:rsid w:val="008D2C8C"/>
    <w:rsid w:val="008D3040"/>
    <w:rsid w:val="008D3ECD"/>
    <w:rsid w:val="008D5C03"/>
    <w:rsid w:val="008D7580"/>
    <w:rsid w:val="008D7C35"/>
    <w:rsid w:val="008E5698"/>
    <w:rsid w:val="008E5733"/>
    <w:rsid w:val="008E77D2"/>
    <w:rsid w:val="008E78FD"/>
    <w:rsid w:val="008F199D"/>
    <w:rsid w:val="008F2E36"/>
    <w:rsid w:val="008F38A0"/>
    <w:rsid w:val="008F39C9"/>
    <w:rsid w:val="008F52B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2A86"/>
    <w:rsid w:val="00963FB0"/>
    <w:rsid w:val="00964C86"/>
    <w:rsid w:val="00965E82"/>
    <w:rsid w:val="009664BB"/>
    <w:rsid w:val="009669F8"/>
    <w:rsid w:val="00966F89"/>
    <w:rsid w:val="00973B5D"/>
    <w:rsid w:val="0097755E"/>
    <w:rsid w:val="009807EC"/>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17B92"/>
    <w:rsid w:val="00A21293"/>
    <w:rsid w:val="00A2134B"/>
    <w:rsid w:val="00A21623"/>
    <w:rsid w:val="00A220EB"/>
    <w:rsid w:val="00A22302"/>
    <w:rsid w:val="00A25F1B"/>
    <w:rsid w:val="00A325F3"/>
    <w:rsid w:val="00A33103"/>
    <w:rsid w:val="00A33294"/>
    <w:rsid w:val="00A35C74"/>
    <w:rsid w:val="00A35DCB"/>
    <w:rsid w:val="00A3690E"/>
    <w:rsid w:val="00A37751"/>
    <w:rsid w:val="00A406B1"/>
    <w:rsid w:val="00A4113E"/>
    <w:rsid w:val="00A42435"/>
    <w:rsid w:val="00A438BA"/>
    <w:rsid w:val="00A446FD"/>
    <w:rsid w:val="00A46DA3"/>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2F46"/>
    <w:rsid w:val="00AB6327"/>
    <w:rsid w:val="00AB6B8F"/>
    <w:rsid w:val="00AC02F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24A"/>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0E4"/>
    <w:rsid w:val="00B814C2"/>
    <w:rsid w:val="00B900FE"/>
    <w:rsid w:val="00B9064C"/>
    <w:rsid w:val="00BA0A14"/>
    <w:rsid w:val="00BA228D"/>
    <w:rsid w:val="00BA398D"/>
    <w:rsid w:val="00BA39D3"/>
    <w:rsid w:val="00BA5C56"/>
    <w:rsid w:val="00BA776F"/>
    <w:rsid w:val="00BB0C0D"/>
    <w:rsid w:val="00BB0D69"/>
    <w:rsid w:val="00BB3400"/>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17B9"/>
    <w:rsid w:val="00BE24B9"/>
    <w:rsid w:val="00BE2AE8"/>
    <w:rsid w:val="00BE2D55"/>
    <w:rsid w:val="00BE38DD"/>
    <w:rsid w:val="00BE4AB1"/>
    <w:rsid w:val="00BF16C3"/>
    <w:rsid w:val="00BF2749"/>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6B2"/>
    <w:rsid w:val="00C50E1F"/>
    <w:rsid w:val="00C51C09"/>
    <w:rsid w:val="00C52BB6"/>
    <w:rsid w:val="00C53471"/>
    <w:rsid w:val="00C54FD4"/>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96B8C"/>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1383"/>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0F8F"/>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5A40"/>
    <w:rsid w:val="00E2608F"/>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97418"/>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1E4"/>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15BD"/>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76945"/>
    <w:rsid w:val="00F802D3"/>
    <w:rsid w:val="00F80F94"/>
    <w:rsid w:val="00F81BA2"/>
    <w:rsid w:val="00F823A4"/>
    <w:rsid w:val="00F8412F"/>
    <w:rsid w:val="00F84791"/>
    <w:rsid w:val="00F85995"/>
    <w:rsid w:val="00F85FC5"/>
    <w:rsid w:val="00F86C22"/>
    <w:rsid w:val="00F90CB3"/>
    <w:rsid w:val="00F912A2"/>
    <w:rsid w:val="00F913A3"/>
    <w:rsid w:val="00F925C3"/>
    <w:rsid w:val="00F93831"/>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D3AB0"/>
    <w:rsid w:val="00FE064A"/>
    <w:rsid w:val="00FE0B55"/>
    <w:rsid w:val="00FE1E98"/>
    <w:rsid w:val="00FE2452"/>
    <w:rsid w:val="00FE5469"/>
    <w:rsid w:val="00FE66C2"/>
    <w:rsid w:val="00FE684A"/>
    <w:rsid w:val="00FE6F23"/>
    <w:rsid w:val="00FF0F8C"/>
    <w:rsid w:val="00FF408B"/>
    <w:rsid w:val="00FF43E1"/>
    <w:rsid w:val="017B3FF0"/>
    <w:rsid w:val="01AC3A93"/>
    <w:rsid w:val="020E2058"/>
    <w:rsid w:val="02775E4F"/>
    <w:rsid w:val="030D297A"/>
    <w:rsid w:val="03430854"/>
    <w:rsid w:val="039F5FA6"/>
    <w:rsid w:val="05DE1A14"/>
    <w:rsid w:val="06386D73"/>
    <w:rsid w:val="07F9606D"/>
    <w:rsid w:val="080623A4"/>
    <w:rsid w:val="08376C95"/>
    <w:rsid w:val="09305ADA"/>
    <w:rsid w:val="098929AD"/>
    <w:rsid w:val="0AF26D2D"/>
    <w:rsid w:val="0B4E1717"/>
    <w:rsid w:val="0BD00287"/>
    <w:rsid w:val="0C7C37E1"/>
    <w:rsid w:val="0CBF3A4F"/>
    <w:rsid w:val="0E8013B7"/>
    <w:rsid w:val="10D604C6"/>
    <w:rsid w:val="11B515E0"/>
    <w:rsid w:val="12AF091F"/>
    <w:rsid w:val="12C35BA0"/>
    <w:rsid w:val="130F4A91"/>
    <w:rsid w:val="13A53267"/>
    <w:rsid w:val="13F970D2"/>
    <w:rsid w:val="14AA4136"/>
    <w:rsid w:val="163A420B"/>
    <w:rsid w:val="17936E30"/>
    <w:rsid w:val="19413B26"/>
    <w:rsid w:val="1C6D3688"/>
    <w:rsid w:val="1CC63D0A"/>
    <w:rsid w:val="1DC2081A"/>
    <w:rsid w:val="1DD94266"/>
    <w:rsid w:val="1E780B2E"/>
    <w:rsid w:val="1F9D0947"/>
    <w:rsid w:val="1FFB29C6"/>
    <w:rsid w:val="21EF66E7"/>
    <w:rsid w:val="22AF3620"/>
    <w:rsid w:val="22E70AD4"/>
    <w:rsid w:val="24F1508D"/>
    <w:rsid w:val="266F634F"/>
    <w:rsid w:val="26FF6E06"/>
    <w:rsid w:val="27A26C1B"/>
    <w:rsid w:val="28927185"/>
    <w:rsid w:val="291059EA"/>
    <w:rsid w:val="2ACD1576"/>
    <w:rsid w:val="2BBF12EC"/>
    <w:rsid w:val="2BC649D9"/>
    <w:rsid w:val="2C596FCF"/>
    <w:rsid w:val="2C8C39F6"/>
    <w:rsid w:val="2D465B1D"/>
    <w:rsid w:val="30264F9C"/>
    <w:rsid w:val="308D6AF5"/>
    <w:rsid w:val="30BA1A60"/>
    <w:rsid w:val="31291D49"/>
    <w:rsid w:val="31321BF6"/>
    <w:rsid w:val="31517FA2"/>
    <w:rsid w:val="32B944F9"/>
    <w:rsid w:val="32EC2577"/>
    <w:rsid w:val="33194D3D"/>
    <w:rsid w:val="3515160D"/>
    <w:rsid w:val="35696FCA"/>
    <w:rsid w:val="384A4E91"/>
    <w:rsid w:val="387D60DC"/>
    <w:rsid w:val="38F6684A"/>
    <w:rsid w:val="3C7D00D8"/>
    <w:rsid w:val="3CA06C0C"/>
    <w:rsid w:val="3D0C0513"/>
    <w:rsid w:val="3D98669F"/>
    <w:rsid w:val="3EA25851"/>
    <w:rsid w:val="3F6C3757"/>
    <w:rsid w:val="405D6A10"/>
    <w:rsid w:val="411F0144"/>
    <w:rsid w:val="4199190B"/>
    <w:rsid w:val="41DA6594"/>
    <w:rsid w:val="43100A85"/>
    <w:rsid w:val="43F735BB"/>
    <w:rsid w:val="444C1A75"/>
    <w:rsid w:val="44A3526F"/>
    <w:rsid w:val="44B032F4"/>
    <w:rsid w:val="44FF07DF"/>
    <w:rsid w:val="455B7A11"/>
    <w:rsid w:val="457D25F7"/>
    <w:rsid w:val="46165550"/>
    <w:rsid w:val="465515D1"/>
    <w:rsid w:val="468341CD"/>
    <w:rsid w:val="470B67E5"/>
    <w:rsid w:val="472C2589"/>
    <w:rsid w:val="48E37D1B"/>
    <w:rsid w:val="4A760AEB"/>
    <w:rsid w:val="4D1E7C86"/>
    <w:rsid w:val="4F3162CA"/>
    <w:rsid w:val="4F586DEA"/>
    <w:rsid w:val="4FC82E13"/>
    <w:rsid w:val="4FDA66A3"/>
    <w:rsid w:val="4FF627A6"/>
    <w:rsid w:val="50D95873"/>
    <w:rsid w:val="51D503D5"/>
    <w:rsid w:val="52213CDE"/>
    <w:rsid w:val="526102AF"/>
    <w:rsid w:val="528444DA"/>
    <w:rsid w:val="52AC6580"/>
    <w:rsid w:val="537745D5"/>
    <w:rsid w:val="53E84E1B"/>
    <w:rsid w:val="54530EF2"/>
    <w:rsid w:val="54CE3606"/>
    <w:rsid w:val="552306F6"/>
    <w:rsid w:val="55635CE5"/>
    <w:rsid w:val="56690780"/>
    <w:rsid w:val="56E352D5"/>
    <w:rsid w:val="56FA587C"/>
    <w:rsid w:val="57855A59"/>
    <w:rsid w:val="57E435FE"/>
    <w:rsid w:val="582D0655"/>
    <w:rsid w:val="5951205C"/>
    <w:rsid w:val="59D079E8"/>
    <w:rsid w:val="59D40847"/>
    <w:rsid w:val="5AE37F25"/>
    <w:rsid w:val="5B8A3673"/>
    <w:rsid w:val="5CB23D47"/>
    <w:rsid w:val="5CC22998"/>
    <w:rsid w:val="5FAF09C4"/>
    <w:rsid w:val="5FB82473"/>
    <w:rsid w:val="60785451"/>
    <w:rsid w:val="608C4642"/>
    <w:rsid w:val="60D235C8"/>
    <w:rsid w:val="62161700"/>
    <w:rsid w:val="62795572"/>
    <w:rsid w:val="63971B3E"/>
    <w:rsid w:val="64342D5D"/>
    <w:rsid w:val="64DD6417"/>
    <w:rsid w:val="64E21E2A"/>
    <w:rsid w:val="65183F52"/>
    <w:rsid w:val="66004745"/>
    <w:rsid w:val="6A567F20"/>
    <w:rsid w:val="6B500D32"/>
    <w:rsid w:val="6CD97953"/>
    <w:rsid w:val="6ED30FD7"/>
    <w:rsid w:val="6F477AF3"/>
    <w:rsid w:val="6F616041"/>
    <w:rsid w:val="6FDD66CE"/>
    <w:rsid w:val="7028329E"/>
    <w:rsid w:val="71D21478"/>
    <w:rsid w:val="727D78FD"/>
    <w:rsid w:val="734B4327"/>
    <w:rsid w:val="73CC655F"/>
    <w:rsid w:val="73DC4C67"/>
    <w:rsid w:val="75957445"/>
    <w:rsid w:val="75C8390F"/>
    <w:rsid w:val="75D01AE1"/>
    <w:rsid w:val="76164029"/>
    <w:rsid w:val="76F2314F"/>
    <w:rsid w:val="77312257"/>
    <w:rsid w:val="77524363"/>
    <w:rsid w:val="77A4062A"/>
    <w:rsid w:val="77B917B5"/>
    <w:rsid w:val="783D6867"/>
    <w:rsid w:val="78703975"/>
    <w:rsid w:val="78BF79C0"/>
    <w:rsid w:val="795E2969"/>
    <w:rsid w:val="7A993117"/>
    <w:rsid w:val="7BE420FD"/>
    <w:rsid w:val="7BFEC44C"/>
    <w:rsid w:val="7CC50D2F"/>
    <w:rsid w:val="7D0D296B"/>
    <w:rsid w:val="7D4E0B54"/>
    <w:rsid w:val="7D503E78"/>
    <w:rsid w:val="7E0160D4"/>
    <w:rsid w:val="7EEF71C5"/>
    <w:rsid w:val="7FAED32C"/>
    <w:rsid w:val="959FEF93"/>
    <w:rsid w:val="BAD3181D"/>
    <w:rsid w:val="BDEF1E4D"/>
    <w:rsid w:val="D6374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4"/>
    <w:next w:val="1"/>
    <w:link w:val="58"/>
    <w:qFormat/>
    <w:uiPriority w:val="9"/>
    <w:pPr>
      <w:numPr>
        <w:ilvl w:val="3"/>
      </w:numPr>
      <w:ind w:left="851" w:firstLine="0"/>
      <w:outlineLvl w:val="3"/>
    </w:pPr>
    <w:rPr>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ind w:firstLine="420"/>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出段落 字符"/>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9"/>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修订2"/>
    <w:hidden/>
    <w:unhideWhenUsed/>
    <w:qFormat/>
    <w:uiPriority w:val="99"/>
    <w:rPr>
      <w:rFonts w:ascii="宋体" w:hAnsi="宋体" w:eastAsia="宋体" w:cs="Times New Roman"/>
      <w:kern w:val="2"/>
      <w:sz w:val="24"/>
      <w:szCs w:val="24"/>
      <w:lang w:val="en-US" w:eastAsia="zh-CN" w:bidi="ar-SA"/>
    </w:rPr>
  </w:style>
  <w:style w:type="paragraph" w:customStyle="1" w:styleId="135">
    <w:name w:val="!BECC正文"/>
    <w:basedOn w:val="1"/>
    <w:qFormat/>
    <w:uiPriority w:val="0"/>
    <w:pPr>
      <w:tabs>
        <w:tab w:val="left" w:pos="0"/>
      </w:tabs>
      <w:spacing w:beforeLines="50" w:afterLines="50"/>
      <w:ind w:firstLine="200"/>
    </w:pPr>
    <w:rPr>
      <w:rFonts w:asciiTheme="minorHAnsi" w:hAnsiTheme="minorHAnsi" w:eastAsiaTheme="minorEastAsia" w:cstheme="minorBidi"/>
    </w:rPr>
  </w:style>
  <w:style w:type="paragraph" w:customStyle="1" w:styleId="136">
    <w:name w:val="5级标题"/>
    <w:basedOn w:val="6"/>
    <w:qFormat/>
    <w:uiPriority w:val="0"/>
    <w:pPr>
      <w:keepNext w:val="0"/>
      <w:numPr>
        <w:numId w:val="3"/>
      </w:numPr>
      <w:tabs>
        <w:tab w:val="left" w:pos="312"/>
      </w:tabs>
      <w:spacing w:line="372" w:lineRule="auto"/>
    </w:pPr>
    <w:rPr>
      <w:rFonts w:ascii="Times New Roman" w:hAnsi="Times New Roman"/>
      <w:b w:val="0"/>
      <w:szCs w:val="21"/>
    </w:rPr>
  </w:style>
  <w:style w:type="paragraph" w:customStyle="1" w:styleId="137">
    <w:name w:val="可研正文"/>
    <w:basedOn w:val="1"/>
    <w:qFormat/>
    <w:uiPriority w:val="0"/>
    <w:pPr>
      <w:ind w:firstLine="200"/>
    </w:pPr>
    <w:rPr>
      <w:rFonts w:ascii="仿宋" w:hAnsi="仿宋" w:eastAsia="仿宋"/>
      <w:sz w:val="28"/>
      <w:szCs w:val="28"/>
    </w:rPr>
  </w:style>
  <w:style w:type="paragraph" w:customStyle="1" w:styleId="138">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A648149-0F43-4908-ADAF-909498128D8F}">
  <ds:schemaRefs/>
</ds:datastoreItem>
</file>

<file path=docProps/app.xml><?xml version="1.0" encoding="utf-8"?>
<Properties xmlns="http://schemas.openxmlformats.org/officeDocument/2006/extended-properties" xmlns:vt="http://schemas.openxmlformats.org/officeDocument/2006/docPropsVTypes">
  <Template>Normal</Template>
  <Pages>13</Pages>
  <Words>1495</Words>
  <Characters>8527</Characters>
  <Lines>71</Lines>
  <Paragraphs>20</Paragraphs>
  <TotalTime>3</TotalTime>
  <ScaleCrop>false</ScaleCrop>
  <LinksUpToDate>false</LinksUpToDate>
  <CharactersWithSpaces>10002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2025-03-13T06:26:00Z</dcterms:created>
  <dc:creator>gtig_tzb</dc:creator>
  <cp:lastModifiedBy>user</cp:lastModifiedBy>
  <cp:lastPrinted>2020-08-08T12:08:00Z</cp:lastPrinted>
  <dcterms:modified xsi:type="dcterms:W3CDTF">2025-05-08T10:16:38Z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F9F7A26FB4364EA39133D1F99C57A349_13</vt:lpwstr>
  </property>
  <property fmtid="{D5CDD505-2E9C-101B-9397-08002B2CF9AE}" pid="4" name="KSOTemplateDocerSaveRecord">
    <vt:lpwstr>eyJoZGlkIjoiYWRlMTcyOTAwYTViNTYwMjdjZjIwZGJjMjgwNTJmOGUiLCJ1c2VySWQiOiIyOTk2NTM5MzkifQ==</vt:lpwstr>
  </property>
</Properties>
</file>