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color w:val="auto"/>
          <w:sz w:val="36"/>
          <w:szCs w:val="36"/>
          <w:highlight w:val="none"/>
        </w:rPr>
      </w:pPr>
      <w:bookmarkStart w:id="1" w:name="_GoBack"/>
      <w:r>
        <w:rPr>
          <w:rFonts w:hint="eastAsia"/>
          <w:b/>
          <w:bCs/>
          <w:color w:val="auto"/>
          <w:sz w:val="36"/>
          <w:szCs w:val="36"/>
          <w:highlight w:val="none"/>
        </w:rPr>
        <w:t>上海交通大学医学院附属瑞金医院北部院区二期扩建项目门诊大厅LED显示屏项目</w:t>
      </w:r>
    </w:p>
    <w:p>
      <w:pPr>
        <w:pStyle w:val="2"/>
        <w:spacing w:before="156" w:after="156"/>
        <w:rPr>
          <w:color w:val="auto"/>
          <w:highlight w:val="none"/>
        </w:rPr>
      </w:pPr>
      <w:r>
        <w:rPr>
          <w:rFonts w:hint="eastAsia"/>
          <w:color w:val="auto"/>
          <w:highlight w:val="none"/>
        </w:rPr>
        <w:t>概况（设备用途和主要功能简介）</w:t>
      </w:r>
    </w:p>
    <w:p>
      <w:pPr>
        <w:pStyle w:val="3"/>
        <w:spacing w:before="156" w:after="156"/>
        <w:rPr>
          <w:color w:val="auto"/>
          <w:highlight w:val="none"/>
        </w:rPr>
      </w:pPr>
      <w:r>
        <w:rPr>
          <w:rFonts w:hint="eastAsia"/>
          <w:color w:val="auto"/>
          <w:highlight w:val="none"/>
        </w:rPr>
        <w:t>项目名称</w:t>
      </w:r>
    </w:p>
    <w:p>
      <w:pPr>
        <w:pStyle w:val="37"/>
        <w:ind w:firstLine="420"/>
        <w:rPr>
          <w:color w:val="auto"/>
          <w:highlight w:val="none"/>
        </w:rPr>
      </w:pPr>
      <w:r>
        <w:rPr>
          <w:rFonts w:hint="eastAsia"/>
          <w:color w:val="auto"/>
          <w:highlight w:val="none"/>
          <w:lang w:eastAsia="zh-CN"/>
        </w:rPr>
        <w:t>上海交通大学医学院附属瑞金医院北部院区二期扩建项目门诊大厅LED显示屏项目</w:t>
      </w:r>
    </w:p>
    <w:p>
      <w:pPr>
        <w:pStyle w:val="3"/>
        <w:spacing w:before="156" w:after="156"/>
        <w:rPr>
          <w:color w:val="auto"/>
          <w:highlight w:val="none"/>
        </w:rPr>
      </w:pPr>
      <w:r>
        <w:rPr>
          <w:rFonts w:hint="eastAsia"/>
          <w:color w:val="auto"/>
          <w:highlight w:val="none"/>
        </w:rPr>
        <w:t>项目地点</w:t>
      </w:r>
    </w:p>
    <w:p>
      <w:pPr>
        <w:pStyle w:val="37"/>
        <w:ind w:firstLine="420"/>
        <w:rPr>
          <w:color w:val="auto"/>
          <w:highlight w:val="none"/>
        </w:rPr>
      </w:pPr>
      <w:r>
        <w:rPr>
          <w:rFonts w:hint="eastAsia"/>
          <w:color w:val="auto"/>
          <w:highlight w:val="none"/>
          <w:lang w:eastAsia="zh-CN"/>
        </w:rPr>
        <w:t>上海交通大学医学院附属瑞金医院北部院区</w:t>
      </w:r>
      <w:r>
        <w:rPr>
          <w:rFonts w:hint="eastAsia"/>
          <w:color w:val="auto"/>
          <w:highlight w:val="none"/>
        </w:rPr>
        <w:t>（地址：</w:t>
      </w:r>
      <w:bookmarkStart w:id="0" w:name="cgrdz"/>
      <w:r>
        <w:rPr>
          <w:rFonts w:hint="eastAsia"/>
          <w:color w:val="auto"/>
          <w:highlight w:val="none"/>
        </w:rPr>
        <w:t>上海市</w:t>
      </w:r>
      <w:bookmarkEnd w:id="0"/>
      <w:r>
        <w:rPr>
          <w:rFonts w:hint="eastAsia"/>
          <w:color w:val="auto"/>
          <w:highlight w:val="none"/>
        </w:rPr>
        <w:t>嘉定区希望路9</w:t>
      </w:r>
      <w:r>
        <w:rPr>
          <w:color w:val="auto"/>
          <w:highlight w:val="none"/>
        </w:rPr>
        <w:t>99</w:t>
      </w:r>
      <w:r>
        <w:rPr>
          <w:rFonts w:hint="eastAsia"/>
          <w:color w:val="auto"/>
          <w:highlight w:val="none"/>
        </w:rPr>
        <w:t>号）。</w:t>
      </w:r>
    </w:p>
    <w:p>
      <w:pPr>
        <w:pStyle w:val="3"/>
        <w:spacing w:before="156" w:after="156"/>
        <w:rPr>
          <w:color w:val="auto"/>
          <w:highlight w:val="none"/>
        </w:rPr>
      </w:pPr>
      <w:r>
        <w:rPr>
          <w:rFonts w:hint="eastAsia"/>
          <w:color w:val="auto"/>
          <w:highlight w:val="none"/>
        </w:rPr>
        <w:t>总体背景</w:t>
      </w:r>
    </w:p>
    <w:p>
      <w:pPr>
        <w:pStyle w:val="3"/>
        <w:spacing w:before="156" w:after="156"/>
        <w:rPr>
          <w:color w:val="auto"/>
          <w:highlight w:val="none"/>
        </w:rPr>
      </w:pPr>
      <w:r>
        <w:rPr>
          <w:rFonts w:hint="eastAsia"/>
          <w:color w:val="auto"/>
          <w:highlight w:val="none"/>
        </w:rPr>
        <w:t>本次采购内容</w:t>
      </w:r>
    </w:p>
    <w:p>
      <w:pPr>
        <w:ind w:firstLine="480"/>
        <w:rPr>
          <w:color w:val="auto"/>
          <w:highlight w:val="none"/>
        </w:rPr>
      </w:pPr>
      <w:r>
        <w:rPr>
          <w:color w:val="auto"/>
          <w:highlight w:val="none"/>
        </w:rPr>
        <w:t>P1.8 LED</w:t>
      </w:r>
      <w:r>
        <w:rPr>
          <w:rFonts w:hint="eastAsia"/>
          <w:color w:val="auto"/>
          <w:highlight w:val="none"/>
        </w:rPr>
        <w:t>显示屏、拼接控制器、</w:t>
      </w:r>
      <w:r>
        <w:rPr>
          <w:color w:val="auto"/>
          <w:highlight w:val="none"/>
        </w:rPr>
        <w:t>LED</w:t>
      </w:r>
      <w:r>
        <w:rPr>
          <w:rFonts w:hint="eastAsia"/>
          <w:color w:val="auto"/>
          <w:highlight w:val="none"/>
        </w:rPr>
        <w:t>室内支架、布线系统、供配电系统、超高分服务器、视频综合平台软件。</w:t>
      </w:r>
    </w:p>
    <w:p>
      <w:pPr>
        <w:pStyle w:val="2"/>
        <w:spacing w:before="156" w:after="156"/>
        <w:rPr>
          <w:color w:val="auto"/>
          <w:highlight w:val="none"/>
        </w:rPr>
      </w:pPr>
      <w:r>
        <w:rPr>
          <w:rFonts w:hint="eastAsia"/>
          <w:color w:val="auto"/>
          <w:highlight w:val="none"/>
        </w:rPr>
        <w:t>设备要求和技术规格</w:t>
      </w:r>
    </w:p>
    <w:p>
      <w:pPr>
        <w:pStyle w:val="3"/>
        <w:spacing w:before="156" w:after="156"/>
        <w:rPr>
          <w:color w:val="auto"/>
          <w:highlight w:val="none"/>
        </w:rPr>
      </w:pPr>
      <w:r>
        <w:rPr>
          <w:rFonts w:hint="eastAsia"/>
          <w:color w:val="auto"/>
          <w:highlight w:val="none"/>
        </w:rPr>
        <w:t>总体要求</w:t>
      </w:r>
    </w:p>
    <w:p>
      <w:pPr>
        <w:widowControl/>
        <w:ind w:firstLine="482"/>
        <w:jc w:val="left"/>
        <w:rPr>
          <w:b/>
          <w:bCs/>
          <w:color w:val="auto"/>
          <w:kern w:val="0"/>
          <w:highlight w:val="none"/>
        </w:rPr>
      </w:pPr>
      <w:r>
        <w:rPr>
          <w:rFonts w:hint="eastAsia"/>
          <w:b/>
          <w:bCs/>
          <w:color w:val="auto"/>
          <w:kern w:val="0"/>
          <w:highlight w:val="none"/>
        </w:rPr>
        <w:t>完整性要求：</w:t>
      </w:r>
      <w:r>
        <w:rPr>
          <w:rFonts w:hint="eastAsia" w:ascii="Arial" w:hAnsi="Arial" w:cs="Arial"/>
          <w:color w:val="auto"/>
          <w:highlight w:val="none"/>
          <w:lang w:val="zh-TW" w:eastAsia="zh-TW"/>
        </w:rPr>
        <w:t>本项目为交钥匙项目。中标人的工作范围不仅应包括“本技术规格”及所附的货物需求清单、技术条款和图纸上标明的要求，还应包括任何未明确标出的，但为保证全套设备安装后能够正常安全运行所不可缺少的配件及附件，投标时应自行计算和补充相应内容。</w:t>
      </w:r>
    </w:p>
    <w:p>
      <w:pPr>
        <w:widowControl/>
        <w:ind w:firstLine="482"/>
        <w:jc w:val="left"/>
        <w:rPr>
          <w:b/>
          <w:bCs/>
          <w:color w:val="auto"/>
          <w:kern w:val="0"/>
          <w:highlight w:val="none"/>
        </w:rPr>
      </w:pPr>
      <w:r>
        <w:rPr>
          <w:rFonts w:hint="eastAsia"/>
          <w:b/>
          <w:bCs/>
          <w:color w:val="auto"/>
          <w:kern w:val="0"/>
          <w:highlight w:val="none"/>
        </w:rPr>
        <w:t>报价要求：</w:t>
      </w:r>
      <w:r>
        <w:rPr>
          <w:rFonts w:hint="eastAsia" w:ascii="Arial" w:hAnsi="Arial" w:cs="Arial"/>
          <w:color w:val="auto"/>
          <w:highlight w:val="none"/>
          <w:lang w:val="zh-TW" w:eastAsia="zh-TW"/>
        </w:rPr>
        <w:t>投标人的报价不仅应包含招标文件提供的技术条款的要求，还应包括任何未明确标出的保证正常安全运行所不可缺少的配件及附件的全部费用。报价须包括但不限于货物费、材料费、设计和安装调试费、税金、运输和运输保险费、售后服务费以及其他的风险、责任等各项应有的费用。</w:t>
      </w:r>
    </w:p>
    <w:p>
      <w:pPr>
        <w:pStyle w:val="3"/>
        <w:spacing w:before="156" w:after="156"/>
        <w:rPr>
          <w:color w:val="auto"/>
          <w:highlight w:val="none"/>
        </w:rPr>
      </w:pPr>
      <w:r>
        <w:rPr>
          <w:rFonts w:hint="eastAsia"/>
          <w:color w:val="auto"/>
          <w:highlight w:val="none"/>
        </w:rPr>
        <w:t>设备配置清单</w:t>
      </w:r>
    </w:p>
    <w:tbl>
      <w:tblPr>
        <w:tblStyle w:val="21"/>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53"/>
        <w:gridCol w:w="3170"/>
        <w:gridCol w:w="1725"/>
        <w:gridCol w:w="20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11" w:type="pct"/>
            <w:tcBorders>
              <w:tl2br w:val="nil"/>
              <w:tr2bl w:val="nil"/>
            </w:tcBorders>
            <w:shd w:val="clear" w:color="auto" w:fill="A6A6A6"/>
            <w:vAlign w:val="center"/>
          </w:tcPr>
          <w:p>
            <w:pPr>
              <w:widowControl/>
              <w:ind w:firstLine="0" w:firstLineChars="0"/>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序号</w:t>
            </w:r>
          </w:p>
        </w:tc>
        <w:tc>
          <w:tcPr>
            <w:tcW w:w="1860" w:type="pct"/>
            <w:tcBorders>
              <w:tl2br w:val="nil"/>
              <w:tr2bl w:val="nil"/>
            </w:tcBorders>
            <w:shd w:val="clear" w:color="auto" w:fill="A6A6A6"/>
            <w:vAlign w:val="center"/>
          </w:tcPr>
          <w:p>
            <w:pPr>
              <w:widowControl/>
              <w:ind w:firstLine="0" w:firstLineChars="0"/>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货物名称</w:t>
            </w:r>
          </w:p>
        </w:tc>
        <w:tc>
          <w:tcPr>
            <w:tcW w:w="1012" w:type="pct"/>
            <w:tcBorders>
              <w:tl2br w:val="nil"/>
              <w:tr2bl w:val="nil"/>
            </w:tcBorders>
            <w:shd w:val="clear" w:color="auto" w:fill="A6A6A6"/>
            <w:vAlign w:val="center"/>
          </w:tcPr>
          <w:p>
            <w:pPr>
              <w:widowControl/>
              <w:ind w:firstLine="0" w:firstLineChars="0"/>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单位</w:t>
            </w:r>
          </w:p>
        </w:tc>
        <w:tc>
          <w:tcPr>
            <w:tcW w:w="1215" w:type="pct"/>
            <w:tcBorders>
              <w:tl2br w:val="nil"/>
              <w:tr2bl w:val="nil"/>
            </w:tcBorders>
            <w:shd w:val="clear" w:color="auto" w:fill="A6A6A6"/>
            <w:vAlign w:val="center"/>
          </w:tcPr>
          <w:p>
            <w:pPr>
              <w:widowControl/>
              <w:ind w:firstLine="0" w:firstLineChars="0"/>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P1.8 LED显示单元</w:t>
            </w:r>
            <w:r>
              <w:rPr>
                <w:rFonts w:hint="eastAsia" w:ascii="宋体" w:hAnsi="宋体" w:cs="宋体"/>
                <w:color w:val="auto"/>
                <w:kern w:val="0"/>
                <w:sz w:val="20"/>
                <w:szCs w:val="20"/>
                <w:highlight w:val="none"/>
                <w:lang w:bidi="ar"/>
              </w:rPr>
              <w:t>（核心产品）</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78.97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LED室内支架</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78.97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拼接控制器（包含机箱、HDMI输入板、DP输入板、控器功能板卡等，须投标单位进行设计，在设计方案内提供具体各类板卡的配置设计。）</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套</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超高分服务器</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台</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视频综合平台</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套</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6</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信息发布平台对接</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套</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7</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HDMI光纤视频线</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套</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8</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DP光纤视频线</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套</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9</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LED网线组件包</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套</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10</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LED电源线组件包</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套</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11</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LED配电柜</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套</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12</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设备机柜</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台</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11"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13</w:t>
            </w:r>
          </w:p>
        </w:tc>
        <w:tc>
          <w:tcPr>
            <w:tcW w:w="1860" w:type="pct"/>
            <w:tcBorders>
              <w:tl2br w:val="nil"/>
              <w:tr2bl w:val="nil"/>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附件</w:t>
            </w:r>
          </w:p>
        </w:tc>
        <w:tc>
          <w:tcPr>
            <w:tcW w:w="1012"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套</w:t>
            </w:r>
          </w:p>
        </w:tc>
        <w:tc>
          <w:tcPr>
            <w:tcW w:w="1215" w:type="pct"/>
            <w:tcBorders>
              <w:tl2br w:val="nil"/>
              <w:tr2bl w:val="nil"/>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w:t>
            </w:r>
          </w:p>
        </w:tc>
      </w:tr>
    </w:tbl>
    <w:p>
      <w:pPr>
        <w:ind w:firstLine="480"/>
        <w:rPr>
          <w:color w:val="auto"/>
          <w:highlight w:val="none"/>
        </w:rPr>
      </w:pPr>
    </w:p>
    <w:p>
      <w:pPr>
        <w:pStyle w:val="3"/>
        <w:spacing w:before="156" w:after="156"/>
        <w:rPr>
          <w:color w:val="auto"/>
          <w:highlight w:val="none"/>
        </w:rPr>
      </w:pPr>
      <w:r>
        <w:rPr>
          <w:rFonts w:hint="eastAsia"/>
          <w:color w:val="auto"/>
          <w:highlight w:val="none"/>
        </w:rPr>
        <w:t>技术参数</w:t>
      </w:r>
    </w:p>
    <w:p>
      <w:pPr>
        <w:pStyle w:val="20"/>
        <w:ind w:firstLine="420" w:firstLineChars="200"/>
        <w:jc w:val="left"/>
        <w:rPr>
          <w:rFonts w:hint="eastAsia" w:eastAsia="宋体"/>
          <w:color w:val="auto"/>
          <w:sz w:val="21"/>
          <w:szCs w:val="21"/>
          <w:highlight w:val="none"/>
          <w:lang w:eastAsia="zh-CN"/>
        </w:rPr>
      </w:pPr>
      <w:r>
        <w:rPr>
          <w:rFonts w:hint="eastAsia"/>
          <w:color w:val="auto"/>
          <w:sz w:val="21"/>
          <w:szCs w:val="21"/>
          <w:highlight w:val="none"/>
          <w:lang w:eastAsia="zh-CN"/>
        </w:rPr>
        <w:t>证明材料要求：</w:t>
      </w:r>
    </w:p>
    <w:p>
      <w:pPr>
        <w:pStyle w:val="20"/>
        <w:ind w:firstLine="420" w:firstLineChars="200"/>
        <w:jc w:val="left"/>
        <w:rPr>
          <w:color w:val="auto"/>
          <w:sz w:val="21"/>
          <w:szCs w:val="21"/>
          <w:highlight w:val="none"/>
        </w:rPr>
      </w:pPr>
      <w:r>
        <w:rPr>
          <w:rFonts w:hint="eastAsia"/>
          <w:color w:val="auto"/>
          <w:sz w:val="21"/>
          <w:szCs w:val="21"/>
          <w:highlight w:val="none"/>
        </w:rPr>
        <w:t>1）带“★”号标记的为核心技术指标，应该完全满足，投标人需在投标文件中按照要求提供相关证明材料，无响应或不满足，其投标将会被否决。</w:t>
      </w:r>
    </w:p>
    <w:p>
      <w:pPr>
        <w:pStyle w:val="20"/>
        <w:numPr>
          <w:ilvl w:val="0"/>
          <w:numId w:val="2"/>
        </w:numPr>
        <w:ind w:firstLine="420" w:firstLineChars="200"/>
        <w:jc w:val="left"/>
        <w:rPr>
          <w:color w:val="auto"/>
          <w:sz w:val="21"/>
          <w:szCs w:val="21"/>
          <w:highlight w:val="none"/>
        </w:rPr>
      </w:pPr>
      <w:r>
        <w:rPr>
          <w:rFonts w:hint="eastAsia"/>
          <w:color w:val="auto"/>
          <w:sz w:val="21"/>
          <w:szCs w:val="21"/>
          <w:highlight w:val="none"/>
        </w:rPr>
        <w:t>带“▲”号标记的技术指标，投标人需在投标文件中提供按照要求提供相关证明材料，作为评分依据。</w:t>
      </w:r>
    </w:p>
    <w:p>
      <w:pPr>
        <w:pStyle w:val="20"/>
        <w:numPr>
          <w:ilvl w:val="0"/>
          <w:numId w:val="2"/>
        </w:numPr>
        <w:ind w:firstLine="420" w:firstLineChars="200"/>
        <w:jc w:val="left"/>
        <w:rPr>
          <w:color w:val="auto"/>
          <w:sz w:val="21"/>
          <w:szCs w:val="21"/>
          <w:highlight w:val="none"/>
        </w:rPr>
      </w:pPr>
      <w:r>
        <w:rPr>
          <w:rFonts w:hint="eastAsia"/>
          <w:color w:val="auto"/>
          <w:sz w:val="21"/>
          <w:szCs w:val="21"/>
          <w:highlight w:val="none"/>
        </w:rPr>
        <w:t>其他技术指标，投标人需在投标文件中提供技术资料</w:t>
      </w:r>
      <w:r>
        <w:rPr>
          <w:rFonts w:hint="eastAsia"/>
          <w:color w:val="auto"/>
          <w:sz w:val="21"/>
          <w:szCs w:val="21"/>
          <w:highlight w:val="none"/>
          <w:lang w:eastAsia="zh-CN"/>
        </w:rPr>
        <w:t>作为评分依据，</w:t>
      </w:r>
      <w:r>
        <w:rPr>
          <w:rFonts w:hint="eastAsia"/>
          <w:color w:val="auto"/>
          <w:sz w:val="21"/>
          <w:szCs w:val="21"/>
          <w:highlight w:val="none"/>
        </w:rPr>
        <w:t>指生产厂家的彩页或白皮书或检测机构出具的检测报告或者下面技术规格表中要求提供的其它证明材料的复印件扫描件等</w:t>
      </w:r>
      <w:r>
        <w:rPr>
          <w:rFonts w:hint="eastAsia"/>
          <w:color w:val="auto"/>
          <w:sz w:val="21"/>
          <w:szCs w:val="21"/>
          <w:highlight w:val="none"/>
          <w:lang w:eastAsia="zh-CN"/>
        </w:rPr>
        <w:t>，</w:t>
      </w:r>
      <w:r>
        <w:rPr>
          <w:rFonts w:hint="eastAsia"/>
          <w:color w:val="auto"/>
          <w:sz w:val="21"/>
          <w:szCs w:val="21"/>
          <w:highlight w:val="none"/>
        </w:rPr>
        <w:t>技术资料中能体现该产品满足采购需求中该项指标要求</w:t>
      </w:r>
      <w:r>
        <w:rPr>
          <w:rFonts w:hint="eastAsia"/>
          <w:color w:val="auto"/>
          <w:sz w:val="21"/>
          <w:szCs w:val="21"/>
          <w:highlight w:val="none"/>
          <w:lang w:eastAsia="zh-CN"/>
        </w:rPr>
        <w:t>。</w:t>
      </w:r>
    </w:p>
    <w:p>
      <w:pPr>
        <w:pStyle w:val="4"/>
        <w:rPr>
          <w:color w:val="auto"/>
          <w:highlight w:val="none"/>
        </w:rPr>
      </w:pPr>
      <w:r>
        <w:rPr>
          <w:rFonts w:hint="eastAsia"/>
          <w:color w:val="auto"/>
          <w:highlight w:val="none"/>
        </w:rPr>
        <w:t xml:space="preserve"> 设备参数要求</w:t>
      </w:r>
    </w:p>
    <w:tbl>
      <w:tblPr>
        <w:tblStyle w:val="21"/>
        <w:tblW w:w="8925" w:type="dxa"/>
        <w:tblInd w:w="93" w:type="dxa"/>
        <w:tblLayout w:type="autofit"/>
        <w:tblCellMar>
          <w:top w:w="0" w:type="dxa"/>
          <w:left w:w="108" w:type="dxa"/>
          <w:bottom w:w="0" w:type="dxa"/>
          <w:right w:w="108" w:type="dxa"/>
        </w:tblCellMar>
      </w:tblPr>
      <w:tblGrid>
        <w:gridCol w:w="1080"/>
        <w:gridCol w:w="1929"/>
        <w:gridCol w:w="1967"/>
        <w:gridCol w:w="3949"/>
      </w:tblGrid>
      <w:tr>
        <w:tblPrEx>
          <w:tblCellMar>
            <w:top w:w="0" w:type="dxa"/>
            <w:left w:w="108" w:type="dxa"/>
            <w:bottom w:w="0" w:type="dxa"/>
            <w:right w:w="108" w:type="dxa"/>
          </w:tblCellMar>
        </w:tblPrEx>
        <w:trPr>
          <w:trHeight w:val="2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序号</w:t>
            </w:r>
          </w:p>
        </w:tc>
        <w:tc>
          <w:tcPr>
            <w:tcW w:w="19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设备</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指标项</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b/>
                <w:bCs/>
                <w:color w:val="auto"/>
                <w:sz w:val="20"/>
                <w:szCs w:val="20"/>
                <w:highlight w:val="none"/>
              </w:rPr>
            </w:pPr>
            <w:r>
              <w:rPr>
                <w:rFonts w:hint="eastAsia" w:ascii="宋体" w:hAnsi="宋体" w:cs="宋体"/>
                <w:b/>
                <w:bCs/>
                <w:color w:val="auto"/>
                <w:kern w:val="0"/>
                <w:sz w:val="20"/>
                <w:szCs w:val="20"/>
                <w:highlight w:val="none"/>
                <w:lang w:bidi="ar"/>
              </w:rPr>
              <w:t>指标要求</w:t>
            </w:r>
          </w:p>
        </w:tc>
      </w:tr>
      <w:tr>
        <w:tblPrEx>
          <w:tblCellMar>
            <w:top w:w="0" w:type="dxa"/>
            <w:left w:w="108" w:type="dxa"/>
            <w:bottom w:w="0" w:type="dxa"/>
            <w:right w:w="108" w:type="dxa"/>
          </w:tblCellMar>
        </w:tblPrEx>
        <w:trPr>
          <w:trHeight w:val="9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总体要求</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设备生产商综合实力</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所投产品制造商在显示方面具备较强的研发、制造能力，参与显示相关国家标准或行业标准的制定的优先考虑。</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为便于售后维护，本次项目中的拼控器、发送卡、大屏为同一品牌产品的优先考虑。</w:t>
            </w:r>
          </w:p>
        </w:tc>
      </w:tr>
      <w:tr>
        <w:tblPrEx>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为保障良好的制造水平，LED制造商提供智能制造能力成熟度标准二级或以上证书的优先考虑。</w:t>
            </w:r>
          </w:p>
        </w:tc>
      </w:tr>
      <w:tr>
        <w:tblPrEx>
          <w:tblCellMar>
            <w:top w:w="0" w:type="dxa"/>
            <w:left w:w="108" w:type="dxa"/>
            <w:bottom w:w="0" w:type="dxa"/>
            <w:right w:w="108" w:type="dxa"/>
          </w:tblCellMar>
        </w:tblPrEx>
        <w:trPr>
          <w:trHeight w:val="12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P1.8 LED显示单元</w:t>
            </w:r>
            <w:r>
              <w:rPr>
                <w:rFonts w:hint="eastAsia" w:ascii="宋体" w:hAnsi="宋体" w:cs="宋体"/>
                <w:b/>
                <w:bCs/>
                <w:color w:val="auto"/>
                <w:kern w:val="0"/>
                <w:sz w:val="20"/>
                <w:szCs w:val="20"/>
                <w:highlight w:val="none"/>
                <w:lang w:bidi="ar"/>
              </w:rPr>
              <w:t>（核心产品）</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总体要求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★LED像素点间距≤1.875mm;像素密度≥284444点/㎡，SMD封装1R1G1B， 三合一封装（提供首页具有CNAS及CMA标识的第三方检测报告复印件）</w:t>
            </w:r>
          </w:p>
        </w:tc>
      </w:tr>
      <w:tr>
        <w:tblPrEx>
          <w:tblCellMar>
            <w:top w:w="0" w:type="dxa"/>
            <w:left w:w="108" w:type="dxa"/>
            <w:bottom w:w="0" w:type="dxa"/>
            <w:right w:w="108"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为确保节能环保，显示屏幕峰值亮度≥600nits,峰值功耗＜390W/㎡ （600nits亮度），平均功耗＜130W/㎡(600nits亮度)</w:t>
            </w:r>
          </w:p>
        </w:tc>
      </w:tr>
      <w:tr>
        <w:tblPrEx>
          <w:tblCellMar>
            <w:top w:w="0" w:type="dxa"/>
            <w:left w:w="108" w:type="dxa"/>
            <w:bottom w:w="0" w:type="dxa"/>
            <w:right w:w="108" w:type="dxa"/>
          </w:tblCellMar>
        </w:tblPrEx>
        <w:trPr>
          <w:trHeight w:val="12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6</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为提高网线利用率，LED单元箱体间连接网线具备L型等非矩形框架走线方式，网线利用率＞95%。</w:t>
            </w:r>
          </w:p>
        </w:tc>
      </w:tr>
      <w:tr>
        <w:tblPrEx>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7</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尺寸结构</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为确保屏幕拼接效果，LED采用支架组装式设计，支架采用组装式设计，支持拆装。</w:t>
            </w:r>
          </w:p>
        </w:tc>
      </w:tr>
      <w:tr>
        <w:tblPrEx>
          <w:tblCellMar>
            <w:top w:w="0" w:type="dxa"/>
            <w:left w:w="108" w:type="dxa"/>
            <w:bottom w:w="0" w:type="dxa"/>
            <w:right w:w="108" w:type="dxa"/>
          </w:tblCellMar>
        </w:tblPrEx>
        <w:trPr>
          <w:trHeight w:val="9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8</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有效显示尺寸为15.6m*5.0625m，投标方也可根据自身产品尺寸进行拼接，但是显示尺寸长和宽均不得小于规定长宽，误差范围不超过2％</w:t>
            </w:r>
          </w:p>
        </w:tc>
      </w:tr>
      <w:tr>
        <w:tblPrEx>
          <w:tblCellMar>
            <w:top w:w="0" w:type="dxa"/>
            <w:left w:w="108" w:type="dxa"/>
            <w:bottom w:w="0" w:type="dxa"/>
            <w:right w:w="108" w:type="dxa"/>
          </w:tblCellMar>
        </w:tblPrEx>
        <w:trPr>
          <w:trHeight w:val="9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9</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单元尺寸≤600x337.5x29.5（mm），重量＜3.5kg</w:t>
            </w:r>
          </w:p>
        </w:tc>
      </w:tr>
      <w:tr>
        <w:tblPrEx>
          <w:tblCellMar>
            <w:top w:w="0" w:type="dxa"/>
            <w:left w:w="108" w:type="dxa"/>
            <w:bottom w:w="0" w:type="dxa"/>
            <w:right w:w="108" w:type="dxa"/>
          </w:tblCellMar>
        </w:tblPrEx>
        <w:trPr>
          <w:trHeight w:val="19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10</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稳定性性能</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大屏长时间工作稳定性，LED应通过高低温测试：样品放置40℃环境试验箱，通电工作8h后恢复常温1h，试验中、试验后样品外观结构和功能无异常，功能应正常；样品放置-10℃环境试验箱，通电工作8h后恢复常温1h，试验中、试验后样品外观结构和功能无异常，功能应正常。</w:t>
            </w:r>
          </w:p>
        </w:tc>
      </w:tr>
      <w:tr>
        <w:tblPrEx>
          <w:tblCellMar>
            <w:top w:w="0" w:type="dxa"/>
            <w:left w:w="108" w:type="dxa"/>
            <w:bottom w:w="0" w:type="dxa"/>
            <w:right w:w="108" w:type="dxa"/>
          </w:tblCellMar>
        </w:tblPrEx>
        <w:trPr>
          <w:trHeight w:val="19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11</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大屏长时间工作稳定性，LED应通过高低温存储测试：，样品放入试验箱中，试验箱内温度60℃，存放4h，试验后室温恢复4h后，试验后样品外观结构和功能应正常；样品不包装、不通电，放入试验箱中，试验箱内温度-20℃，存放4h，试验后室温恢复4h后，试验后样品外观结构和功能应正常。</w:t>
            </w:r>
          </w:p>
        </w:tc>
      </w:tr>
      <w:tr>
        <w:tblPrEx>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12</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为确保大屏稳定性，LED箱体应采用灯板硬连接，箱体内部灯板部分功率和信号传输采用一体式浮动触点接触连接器。</w:t>
            </w:r>
          </w:p>
        </w:tc>
      </w:tr>
      <w:tr>
        <w:tblPrEx>
          <w:tblCellMar>
            <w:top w:w="0" w:type="dxa"/>
            <w:left w:w="108" w:type="dxa"/>
            <w:bottom w:w="0" w:type="dxa"/>
            <w:right w:w="108" w:type="dxa"/>
          </w:tblCellMar>
        </w:tblPrEx>
        <w:trPr>
          <w:trHeight w:val="19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13</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显示性能</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▲为确保大屏显示效果，LED应满足SJ/T11590-2016 LED 显示屏图像质量主观评价方法：从显示屏正面分别观察高速行驶中的汽车车牌，奔跑中的运动员面容，图像清晰无拖影、能轻松识 别车牌号及运动员面部特征，</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（提供首页具有CNAS及CMA标识的第三方检测报告复印件）</w:t>
            </w:r>
          </w:p>
        </w:tc>
      </w:tr>
      <w:tr>
        <w:tblPrEx>
          <w:tblCellMar>
            <w:top w:w="0" w:type="dxa"/>
            <w:left w:w="108" w:type="dxa"/>
            <w:bottom w:w="0" w:type="dxa"/>
            <w:right w:w="108" w:type="dxa"/>
          </w:tblCellMar>
        </w:tblPrEx>
        <w:trPr>
          <w:trHeight w:val="16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14</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▲为确保大屏显示效果，LED应满足SJ/T11590-2016 LED 显示屏图像质量主观评价方法：观察显示屏正面及侧面人的肤色是否逼真、蓝天、白云、红旗，绿草地是否存在偏色现象。</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（提供首页具有CNAS及CMA标识的第三方检测报告复印件）</w:t>
            </w:r>
          </w:p>
        </w:tc>
      </w:tr>
      <w:tr>
        <w:tblPrEx>
          <w:tblCellMar>
            <w:top w:w="0" w:type="dxa"/>
            <w:left w:w="108" w:type="dxa"/>
            <w:bottom w:w="0" w:type="dxa"/>
            <w:right w:w="108" w:type="dxa"/>
          </w:tblCellMar>
        </w:tblPrEx>
        <w:trPr>
          <w:trHeight w:val="16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15</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▲为确保大屏显示效果，LED应满足SJ/T11590-2016 LED 显示屏图像质量主观评价方法：从正面及侧面分别观察亮度及色度是否均匀，是否有马赛克现象及灰尘效应。</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（提供首页具有CNAS及CMA标识的第三方检测报告复印件）</w:t>
            </w:r>
          </w:p>
        </w:tc>
      </w:tr>
      <w:tr>
        <w:tblPrEx>
          <w:tblCellMar>
            <w:top w:w="0" w:type="dxa"/>
            <w:left w:w="108" w:type="dxa"/>
            <w:bottom w:w="0" w:type="dxa"/>
            <w:right w:w="108" w:type="dxa"/>
          </w:tblCellMar>
        </w:tblPrEx>
        <w:trPr>
          <w:trHeight w:val="19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16</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▲为确保大屏显示效果，LED应满足SJ/T11590-2016 LED 显示屏图像质量主观评价方法：从正面及侧面分别观察模块及箱体的拼缝处，是否存在高于正常亮度的亮线条或低于正常亮度的暗线条。</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（提供首页具有CNAS及CMA标识的第三方检测报告复印件）</w:t>
            </w:r>
          </w:p>
        </w:tc>
      </w:tr>
      <w:tr>
        <w:tblPrEx>
          <w:tblCellMar>
            <w:top w:w="0" w:type="dxa"/>
            <w:left w:w="108" w:type="dxa"/>
            <w:bottom w:w="0" w:type="dxa"/>
            <w:right w:w="108" w:type="dxa"/>
          </w:tblCellMar>
        </w:tblPrEx>
        <w:trPr>
          <w:trHeight w:val="16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17</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▲为了保护视力，LED需要满足GB/T 20145-2006 标准要求，LED显示屏辐亮度≤100 W·m^-2·sr^-1 ，判定级别为RG0无危害级，LED屏幕蓝光辐射符合国标无危害级要求。</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（提供首页具有CNAS及CMA标识的第三方检测报告复印件）</w:t>
            </w:r>
          </w:p>
        </w:tc>
      </w:tr>
      <w:tr>
        <w:tblPrEx>
          <w:tblCellMar>
            <w:top w:w="0" w:type="dxa"/>
            <w:left w:w="108" w:type="dxa"/>
            <w:bottom w:w="0" w:type="dxa"/>
            <w:right w:w="108"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18</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控制系统</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为方便大屏调试，LED屏幕应可以通过局域网客户端，局域网WEB端，红外遥控器，射频遥控器，物理按键五种种方式实现亮度调节。</w:t>
            </w:r>
          </w:p>
        </w:tc>
      </w:tr>
      <w:tr>
        <w:tblPrEx>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19</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节能环保</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b/>
                <w:bCs/>
                <w:color w:val="auto"/>
                <w:kern w:val="0"/>
                <w:sz w:val="20"/>
                <w:szCs w:val="20"/>
                <w:highlight w:val="none"/>
                <w:lang w:bidi="ar"/>
              </w:rPr>
            </w:pPr>
            <w:r>
              <w:rPr>
                <w:rFonts w:hint="eastAsia" w:ascii="宋体" w:hAnsi="宋体" w:cs="宋体"/>
                <w:b/>
                <w:bCs/>
                <w:color w:val="auto"/>
                <w:kern w:val="0"/>
                <w:sz w:val="20"/>
                <w:szCs w:val="20"/>
                <w:highlight w:val="none"/>
                <w:lang w:bidi="ar"/>
              </w:rPr>
              <w:t>投标产品需</w:t>
            </w:r>
            <w:r>
              <w:rPr>
                <w:rFonts w:hint="eastAsia"/>
                <w:b/>
                <w:bCs/>
                <w:color w:val="auto"/>
                <w:sz w:val="20"/>
                <w:szCs w:val="20"/>
                <w:highlight w:val="none"/>
              </w:rPr>
              <w:t>符合3C认证</w:t>
            </w:r>
            <w:r>
              <w:rPr>
                <w:rFonts w:hint="eastAsia" w:ascii="宋体" w:hAnsi="宋体" w:cs="宋体"/>
                <w:b/>
                <w:bCs/>
                <w:color w:val="auto"/>
                <w:kern w:val="0"/>
                <w:sz w:val="20"/>
                <w:szCs w:val="20"/>
                <w:highlight w:val="none"/>
                <w:lang w:bidi="ar"/>
              </w:rPr>
              <w:t>。</w:t>
            </w:r>
          </w:p>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b/>
                <w:bCs/>
                <w:color w:val="auto"/>
                <w:kern w:val="0"/>
                <w:sz w:val="20"/>
                <w:szCs w:val="20"/>
                <w:highlight w:val="none"/>
                <w:lang w:bidi="ar"/>
              </w:rPr>
              <w:t>投标产品提供中国环境标志产品认证证书、中国环保产品（II型）认证证书的优先考虑。</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20</w:t>
            </w:r>
          </w:p>
        </w:tc>
        <w:tc>
          <w:tcPr>
            <w:tcW w:w="19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LED室内支架</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技术要求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10#槽钢、一体化室内支架；</w:t>
            </w:r>
          </w:p>
        </w:tc>
      </w:tr>
      <w:tr>
        <w:tblPrEx>
          <w:tblCellMar>
            <w:top w:w="0" w:type="dxa"/>
            <w:left w:w="108" w:type="dxa"/>
            <w:bottom w:w="0" w:type="dxa"/>
            <w:right w:w="108" w:type="dxa"/>
          </w:tblCellMar>
        </w:tblPrEx>
        <w:trPr>
          <w:trHeight w:val="19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21</w:t>
            </w:r>
          </w:p>
        </w:tc>
        <w:tc>
          <w:tcPr>
            <w:tcW w:w="19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拼接控制器输入板HDMI</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技术要求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设备输入板单张输入卡支持4路分辨率为1920×1080图像或2 路分辨率为 4096×2160 图像输入（数字接口）， 支持全彩 RGB， 支 持 YUV444；支持自定义分辨率： 宽 288～8192， 高 288～4320 可设（提供封面具有CNAS、CMA盖章的检测报告证明或其他第三方检测报告证明）</w:t>
            </w:r>
          </w:p>
        </w:tc>
      </w:tr>
      <w:tr>
        <w:tblPrEx>
          <w:tblCellMar>
            <w:top w:w="0" w:type="dxa"/>
            <w:left w:w="108" w:type="dxa"/>
            <w:bottom w:w="0" w:type="dxa"/>
            <w:right w:w="108" w:type="dxa"/>
          </w:tblCellMar>
        </w:tblPrEx>
        <w:trPr>
          <w:trHeight w:val="19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22</w:t>
            </w:r>
          </w:p>
        </w:tc>
        <w:tc>
          <w:tcPr>
            <w:tcW w:w="19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拼接控制器输入板DP</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技术要求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设备输入板单张输入卡支持4路分辨率为1920×1080图像或2 路分辨率为 4096×2160 图像输入（数字接口）， 支持全彩 RGB， 支 持 YUV444；支持自定义分辨率： 宽 288～8192， 高 288～4320 可设</w:t>
            </w:r>
          </w:p>
        </w:tc>
      </w:tr>
      <w:tr>
        <w:tblPrEx>
          <w:tblCellMar>
            <w:top w:w="0" w:type="dxa"/>
            <w:left w:w="108" w:type="dxa"/>
            <w:bottom w:w="0" w:type="dxa"/>
            <w:right w:w="108" w:type="dxa"/>
          </w:tblCellMar>
        </w:tblPrEx>
        <w:trPr>
          <w:trHeight w:val="9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23</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集中式拼控器功能板卡</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总体要求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设备支持多种信号接入能力，支持VGA、DVI、HDMI、HDMI 4K、DP 4K信号输入，支持网络IPC、NVR等设备类型作为网络信号源输入；</w:t>
            </w:r>
          </w:p>
        </w:tc>
      </w:tr>
      <w:tr>
        <w:tblPrEx>
          <w:tblCellMar>
            <w:top w:w="0" w:type="dxa"/>
            <w:left w:w="108" w:type="dxa"/>
            <w:bottom w:w="0" w:type="dxa"/>
            <w:right w:w="108" w:type="dxa"/>
          </w:tblCellMar>
        </w:tblPrEx>
        <w:trPr>
          <w:trHeight w:val="31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24</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设备输出板卡单张输出板卡支持4路分辨率为1920×1080图像或2 路分辨率为 4096×2160 图像输出， 支 持 YUV444；支持自定义分辨率： 宽 288～8192， 高 288～4320 可 设； 可根据 LED 显示屏相应的点数及显示面积制定输 出分辨率， 通过软件内部界面设置及相应的点数划分 制定功能实现自适应； 可将自定义分辨率添加到系统 默认列表中</w:t>
            </w:r>
          </w:p>
        </w:tc>
      </w:tr>
      <w:tr>
        <w:tblPrEx>
          <w:tblCellMar>
            <w:top w:w="0" w:type="dxa"/>
            <w:left w:w="108" w:type="dxa"/>
            <w:bottom w:w="0" w:type="dxa"/>
            <w:right w:w="108"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25</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设备应支持对16路信号源输入的视频融合拼接，支持分辨率为15360×8640的信号源同步上墙显示，同步延时≤2ms</w:t>
            </w:r>
          </w:p>
        </w:tc>
      </w:tr>
      <w:tr>
        <w:tblPrEx>
          <w:tblCellMar>
            <w:top w:w="0" w:type="dxa"/>
            <w:left w:w="108" w:type="dxa"/>
            <w:bottom w:w="0" w:type="dxa"/>
            <w:right w:w="108" w:type="dxa"/>
          </w:tblCellMar>
        </w:tblPrEx>
        <w:trPr>
          <w:trHeight w:val="16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26</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设备支持≥40个输入音频通道、≥64个输出音频通道，支持模拟音频与HDMI内嵌音频的选择输入，支特模拟音频与HDMI内嵌音频同时输出</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27</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为确保显示效果，设备应支持将输入的视频图像以60fps的帧率显示输出；</w:t>
            </w:r>
          </w:p>
        </w:tc>
      </w:tr>
      <w:tr>
        <w:tblPrEx>
          <w:tblCellMar>
            <w:top w:w="0" w:type="dxa"/>
            <w:left w:w="108" w:type="dxa"/>
            <w:bottom w:w="0" w:type="dxa"/>
            <w:right w:w="108"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28</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软件功能</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为提高信号与大屏的适配能力，可通过客户端软件对信号源边缘进行裁剪，裁剪位置上、下、左、右可调整</w:t>
            </w:r>
          </w:p>
        </w:tc>
      </w:tr>
      <w:tr>
        <w:tblPrEx>
          <w:tblCellMar>
            <w:top w:w="0" w:type="dxa"/>
            <w:left w:w="108" w:type="dxa"/>
            <w:bottom w:w="0" w:type="dxa"/>
            <w:right w:w="108" w:type="dxa"/>
          </w:tblCellMar>
        </w:tblPrEx>
        <w:trPr>
          <w:trHeight w:val="12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29</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设备支持在客户端软件中进行用户添加、删除、修改、密码设置等操作，可为不同用户设置不同管理权限（资源权限、配置权限、操作权限），最多可设置64个用户</w:t>
            </w:r>
          </w:p>
        </w:tc>
      </w:tr>
      <w:tr>
        <w:tblPrEx>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30</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为确保使用便利，可自动保存断电前的运行参数，重新加电后可恢复到断电前的状态</w:t>
            </w:r>
          </w:p>
        </w:tc>
      </w:tr>
      <w:tr>
        <w:tblPrEx>
          <w:tblCellMar>
            <w:top w:w="0" w:type="dxa"/>
            <w:left w:w="108" w:type="dxa"/>
            <w:bottom w:w="0" w:type="dxa"/>
            <w:right w:w="108" w:type="dxa"/>
          </w:tblCellMar>
        </w:tblPrEx>
        <w:trPr>
          <w:trHeight w:val="28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31</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支持字幕功能，单电视墙支持3字幕，单输出接口支持2个字幕，样机总计支持12个字幕；支持横向及竖向字幕，支持数字时钟显示;支持对字体透明度、背景颜色、大小、对齐方式、移动速度、间距、位置、运动特效进行设置；支持字体库上传、删除，样机支持不少于3个字体库；字幕最大尺寸支持19400x4320</w:t>
            </w:r>
          </w:p>
        </w:tc>
      </w:tr>
      <w:tr>
        <w:tblPrEx>
          <w:tblCellMar>
            <w:top w:w="0" w:type="dxa"/>
            <w:left w:w="108" w:type="dxa"/>
            <w:bottom w:w="0" w:type="dxa"/>
            <w:right w:w="108" w:type="dxa"/>
          </w:tblCellMar>
        </w:tblPrEx>
        <w:trPr>
          <w:trHeight w:val="19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32</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设备支持条屏功能，可设置条屏并显示，条屏支持文字、图片、天气、时间、表格、可视化web页面、视频等；支持对上述元素的布局进行编辑，单条字幕支持多种字体、颜色</w:t>
            </w:r>
          </w:p>
        </w:tc>
      </w:tr>
      <w:tr>
        <w:tblPrEx>
          <w:tblCellMar>
            <w:top w:w="0" w:type="dxa"/>
            <w:left w:w="108" w:type="dxa"/>
            <w:bottom w:w="0" w:type="dxa"/>
            <w:right w:w="108" w:type="dxa"/>
          </w:tblCellMar>
        </w:tblPrEx>
        <w:trPr>
          <w:trHeight w:val="2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33</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支持通过抓屏软件，将远程笔记本桌面实时解码上墙显示，实时画面帧率≥30fps；可同时抓取8个4K信号上墙显示，且上墙前后CPU占用率无明显变化；支持在电视墙进行8画面分割显示；可对远程笔记本桌面进行整屏、单窗口、自定义区域抓屏上墙</w:t>
            </w:r>
          </w:p>
        </w:tc>
      </w:tr>
      <w:tr>
        <w:tblPrEx>
          <w:tblCellMar>
            <w:top w:w="0" w:type="dxa"/>
            <w:left w:w="108" w:type="dxa"/>
            <w:bottom w:w="0" w:type="dxa"/>
            <w:right w:w="108"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34</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中断恢复与告警</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为确保使用使用稳定性，信号源中断且再次上线时，可自动与设备恢复连接；网络直连环境下，连接恢复时间≤3 s</w:t>
            </w:r>
          </w:p>
        </w:tc>
      </w:tr>
      <w:tr>
        <w:tblPrEx>
          <w:tblCellMar>
            <w:top w:w="0" w:type="dxa"/>
            <w:left w:w="108" w:type="dxa"/>
            <w:bottom w:w="0" w:type="dxa"/>
            <w:right w:w="108" w:type="dxa"/>
          </w:tblCellMar>
        </w:tblPrEx>
        <w:trPr>
          <w:trHeight w:val="26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35</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方便运维，设备支持警功能，当发生IP冲突、断网、温度异常、风扇异常、非法访问时，可联动报警及报警信息上墙，支持事件触发后联动网络设备主码流/子码流上墙报警、网络设备录像、电视墙场景报警上墙，关联的报警信息上墙持续时间为15s;支持对30日内报警事件进行检索</w:t>
            </w:r>
          </w:p>
        </w:tc>
      </w:tr>
      <w:tr>
        <w:tblPrEx>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36</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拼接控制器机箱</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总体要求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1、设备应采用模块化设计，根据需求灵活扩展，业务板卡可热插拔，方便设备维护；槽位支持混插，总槽位数≥11；</w:t>
            </w:r>
          </w:p>
        </w:tc>
      </w:tr>
      <w:tr>
        <w:tblPrEx>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37</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2、为确保系统稳定可靠，设备需采用双电源冗余设计、可拓展双主控，智能风扇自动调温；</w:t>
            </w:r>
          </w:p>
        </w:tc>
      </w:tr>
      <w:tr>
        <w:tblPrEx>
          <w:tblCellMar>
            <w:top w:w="0" w:type="dxa"/>
            <w:left w:w="108" w:type="dxa"/>
            <w:bottom w:w="0" w:type="dxa"/>
            <w:right w:w="108" w:type="dxa"/>
          </w:tblCellMar>
        </w:tblPrEx>
        <w:trPr>
          <w:trHeight w:val="2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38</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超高分服务器</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性能要求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设备采用服务器架构专用处理器，性能不低于英特尔@ 至强W-2155 处理器（主频3.3GHz，睿频4.5GHz，10 核心20 线程），32G DDR4服务器RECC纠错专用内存条，2TB nvme 固态硬盘，1*独立显卡+2*16GB（GPU）专业显卡+同步卡</w:t>
            </w:r>
          </w:p>
        </w:tc>
      </w:tr>
      <w:tr>
        <w:tblPrEx>
          <w:tblCellMar>
            <w:top w:w="0" w:type="dxa"/>
            <w:left w:w="108" w:type="dxa"/>
            <w:bottom w:w="0" w:type="dxa"/>
            <w:right w:w="108"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39</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设备支持无人值守功能，设置定时开关机，指定每天的指定时间定时开关机。支持定时开关机并在准确时间运行一套或多套可执行程序</w:t>
            </w:r>
          </w:p>
        </w:tc>
      </w:tr>
      <w:tr>
        <w:tblPrEx>
          <w:tblCellMar>
            <w:top w:w="0" w:type="dxa"/>
            <w:left w:w="108" w:type="dxa"/>
            <w:bottom w:w="0" w:type="dxa"/>
            <w:right w:w="108" w:type="dxa"/>
          </w:tblCellMar>
        </w:tblPrEx>
        <w:trPr>
          <w:trHeight w:val="12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40</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超高分要求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▲支持超高分KVM控制模式：支持16K超高分辨率融合大屏以复制模式在4K或2K分辨率显示屏上无极缩放并同步操作；（提供首页具有CNAS及CMA标识的第三方检测报告复印件）</w:t>
            </w:r>
          </w:p>
        </w:tc>
      </w:tr>
      <w:tr>
        <w:tblPrEx>
          <w:tblCellMar>
            <w:top w:w="0" w:type="dxa"/>
            <w:left w:w="108" w:type="dxa"/>
            <w:bottom w:w="0" w:type="dxa"/>
            <w:right w:w="108" w:type="dxa"/>
          </w:tblCellMar>
        </w:tblPrEx>
        <w:trPr>
          <w:trHeight w:val="2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41</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CCC认证</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需</w:t>
            </w:r>
            <w:r>
              <w:rPr>
                <w:rFonts w:hint="eastAsia"/>
                <w:color w:val="auto"/>
                <w:sz w:val="20"/>
                <w:szCs w:val="20"/>
                <w:highlight w:val="none"/>
              </w:rPr>
              <w:t>符合3C认证</w:t>
            </w:r>
          </w:p>
        </w:tc>
      </w:tr>
      <w:tr>
        <w:tblPrEx>
          <w:tblCellMar>
            <w:top w:w="0" w:type="dxa"/>
            <w:left w:w="108" w:type="dxa"/>
            <w:bottom w:w="0" w:type="dxa"/>
            <w:right w:w="108" w:type="dxa"/>
          </w:tblCellMar>
        </w:tblPrEx>
        <w:trPr>
          <w:trHeight w:val="21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42</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视频综合平台</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基础软件功能要求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具备C/S和B/S架构，支持通过浏览器对系统进行设备统一管理，支持同时管理不同分辨率、不同类型的显示屏系统、中央控制系统、拼控系统；实现对显示屏、拼控设备、播控主机、PC主机、LED控制卡、PLC配电柜的统一管控；</w:t>
            </w:r>
          </w:p>
        </w:tc>
      </w:tr>
      <w:tr>
        <w:tblPrEx>
          <w:tblCellMar>
            <w:top w:w="0" w:type="dxa"/>
            <w:left w:w="108" w:type="dxa"/>
            <w:bottom w:w="0" w:type="dxa"/>
            <w:right w:w="108" w:type="dxa"/>
          </w:tblCellMar>
        </w:tblPrEx>
        <w:trPr>
          <w:trHeight w:val="19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43</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系统支持支持控制大屏开机、关机、除湿、设置高性能/常规/节能/HDR等模式、设置标准/冷色/暖色/自定义色温、设置亮度、设置广告模式、护眼模式、监控模式、会议模式等智能控制功能。</w:t>
            </w:r>
          </w:p>
        </w:tc>
      </w:tr>
      <w:tr>
        <w:tblPrEx>
          <w:tblCellMar>
            <w:top w:w="0" w:type="dxa"/>
            <w:left w:w="108" w:type="dxa"/>
            <w:bottom w:w="0" w:type="dxa"/>
            <w:right w:w="108" w:type="dxa"/>
          </w:tblCellMar>
        </w:tblPrEx>
        <w:trPr>
          <w:trHeight w:val="2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44</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支持多用户登录，多用户操作同步实现多人协同办公，操作同步显示；支持权限管理设置，可以创建多种用户角色，针对不同的用户角色可分配不同的组织权限、屏幕墙操控管理权限，支持角色分组，实现系统的多级分组管理。</w:t>
            </w:r>
          </w:p>
        </w:tc>
      </w:tr>
      <w:tr>
        <w:tblPrEx>
          <w:tblCellMar>
            <w:top w:w="0" w:type="dxa"/>
            <w:left w:w="108" w:type="dxa"/>
            <w:bottom w:w="0" w:type="dxa"/>
            <w:right w:w="108"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45</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系统支持对拼控大屏同时上传多张底图，根据展示需要，可设置某张底图的启用与隐藏，或者重新上传底图。</w:t>
            </w:r>
          </w:p>
        </w:tc>
      </w:tr>
      <w:tr>
        <w:tblPrEx>
          <w:tblCellMar>
            <w:top w:w="0" w:type="dxa"/>
            <w:left w:w="108" w:type="dxa"/>
            <w:bottom w:w="0" w:type="dxa"/>
            <w:right w:w="108" w:type="dxa"/>
          </w:tblCellMar>
        </w:tblPrEx>
        <w:trPr>
          <w:trHeight w:val="28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46</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支持对拼控大屏创建场景、修改、删除、重命名、复制、关联中控模式、移动场景分组、调整场景顺序、锁定场景布局、播放场景、搜索场景等，并且场景数量无限制；场景列表中可显示场景播放状态、锁定状态。支持对拼控大屏添加、删除、重命名场景分组，场景分组数量无限制，可在场景分组下创建指定的场景。</w:t>
            </w:r>
          </w:p>
        </w:tc>
      </w:tr>
      <w:tr>
        <w:tblPrEx>
          <w:tblCellMar>
            <w:top w:w="0" w:type="dxa"/>
            <w:left w:w="108" w:type="dxa"/>
            <w:bottom w:w="0" w:type="dxa"/>
            <w:right w:w="108" w:type="dxa"/>
          </w:tblCellMar>
        </w:tblPrEx>
        <w:trPr>
          <w:trHeight w:val="26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47</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支持将网页、程序包、图片、视频、PPT、Word、Excel、PDF、文本等内容窗口，以及监控信号、抓屏信号、坐席信号等实时视频信号，拖动到播控图层中进行设置，可设置多种类型窗口的拼接布局，每种类型窗口可添加多个文件，可设置内容文件播放时长、内容播放顺序等；</w:t>
            </w:r>
          </w:p>
        </w:tc>
      </w:tr>
      <w:tr>
        <w:tblPrEx>
          <w:tblCellMar>
            <w:top w:w="0" w:type="dxa"/>
            <w:left w:w="108" w:type="dxa"/>
            <w:bottom w:w="0" w:type="dxa"/>
            <w:right w:w="108" w:type="dxa"/>
          </w:tblCellMar>
        </w:tblPrEx>
        <w:trPr>
          <w:trHeight w:val="12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48</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系统支持实时修改在大屏显示内容，在不影响大屏播放画面的前提下，可以离线编辑场景，进行后台布局，编辑完成后，一键推送到大屏，更新大屏画面显示</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49</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系统支持对输入信号源进行预监视，实现在播放前预先查看的功能</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jc w:val="center"/>
              <w:rPr>
                <w:rFonts w:ascii="宋体" w:hAnsi="宋体" w:cs="宋体"/>
                <w:color w:val="auto"/>
                <w:sz w:val="20"/>
                <w:szCs w:val="20"/>
                <w:highlight w:val="none"/>
              </w:rPr>
            </w:pPr>
            <w:r>
              <w:rPr>
                <w:rFonts w:hint="eastAsia" w:ascii="宋体" w:hAnsi="宋体" w:cs="宋体"/>
                <w:color w:val="auto"/>
                <w:sz w:val="20"/>
                <w:szCs w:val="20"/>
                <w:highlight w:val="none"/>
              </w:rPr>
              <w:t>50</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系统支持对大屏进行结果回显，实时查看大屏正在播放内容；</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jc w:val="center"/>
              <w:rPr>
                <w:rFonts w:ascii="宋体" w:hAnsi="宋体" w:cs="宋体"/>
                <w:color w:val="auto"/>
                <w:sz w:val="20"/>
                <w:szCs w:val="20"/>
                <w:highlight w:val="none"/>
              </w:rPr>
            </w:pPr>
            <w:r>
              <w:rPr>
                <w:rFonts w:hint="eastAsia" w:ascii="宋体" w:hAnsi="宋体" w:cs="宋体"/>
                <w:color w:val="auto"/>
                <w:sz w:val="20"/>
                <w:szCs w:val="20"/>
                <w:highlight w:val="none"/>
              </w:rPr>
              <w:t>51</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▲提供视频综合平台操作软件截图</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52</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▲可实现本地视频源播放、可通过信息中心瑞金医院信息发布平台联动协同播放。（须投标单位提供功能实现的设计说明。）</w:t>
            </w:r>
          </w:p>
        </w:tc>
      </w:tr>
      <w:tr>
        <w:tblPrEx>
          <w:tblCellMar>
            <w:top w:w="0" w:type="dxa"/>
            <w:left w:w="108" w:type="dxa"/>
            <w:bottom w:w="0" w:type="dxa"/>
            <w:right w:w="108" w:type="dxa"/>
          </w:tblCellMar>
        </w:tblPrEx>
        <w:trPr>
          <w:trHeight w:val="21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53</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紧急控制管理</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确保紧急控制管理，支持设置清空屏幕，对于当前正在播放的场景，点击清空屏幕后，大屏上的所有窗口将一键下墙；对于离线场景，点击清空屏幕后，场景中的窗口将全部删除。清空屏幕支持WEB端、平板操作。</w:t>
            </w:r>
          </w:p>
        </w:tc>
      </w:tr>
      <w:tr>
        <w:tblPrEx>
          <w:tblCellMar>
            <w:top w:w="0" w:type="dxa"/>
            <w:left w:w="108" w:type="dxa"/>
            <w:bottom w:w="0" w:type="dxa"/>
            <w:right w:w="108" w:type="dxa"/>
          </w:tblCellMar>
        </w:tblPrEx>
        <w:trPr>
          <w:trHeight w:val="28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54</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时钟显示</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支持支持文字和时钟两种形式的横幅字幕，支持设置字幕显示的宽高位置、文字内容、颜色、背景颜色、字体大小、显示模式（透明、半透明、不透明）、文字滚动速度；支持设置时钟的显示时制（12小时、24小时）、日期显示形式（年月日、月日年、日月年等）、文字颜色、背景颜色、文字大小、显示模式（透明、半透明、不透明）</w:t>
            </w:r>
          </w:p>
        </w:tc>
      </w:tr>
      <w:tr>
        <w:tblPrEx>
          <w:tblCellMar>
            <w:top w:w="0" w:type="dxa"/>
            <w:left w:w="108" w:type="dxa"/>
            <w:bottom w:w="0" w:type="dxa"/>
            <w:right w:w="108" w:type="dxa"/>
          </w:tblCellMar>
        </w:tblPrEx>
        <w:trPr>
          <w:trHeight w:val="2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55</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系统联动</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支持信息中心时钟系统时钟信号对接</w:t>
            </w:r>
          </w:p>
        </w:tc>
      </w:tr>
      <w:tr>
        <w:tblPrEx>
          <w:tblCellMar>
            <w:top w:w="0" w:type="dxa"/>
            <w:left w:w="108" w:type="dxa"/>
            <w:bottom w:w="0" w:type="dxa"/>
            <w:right w:w="108" w:type="dxa"/>
          </w:tblCellMar>
        </w:tblPrEx>
        <w:trPr>
          <w:trHeight w:val="9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56</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Arial" w:hAnsi="Arial" w:cs="Arial"/>
                <w:color w:val="auto"/>
                <w:sz w:val="21"/>
                <w:szCs w:val="21"/>
                <w:highlight w:val="none"/>
              </w:rPr>
            </w:pPr>
            <w:r>
              <w:rPr>
                <w:rFonts w:hint="eastAsia" w:ascii="Arial" w:hAnsi="Arial" w:cs="Arial"/>
                <w:color w:val="auto"/>
                <w:sz w:val="21"/>
                <w:szCs w:val="21"/>
                <w:highlight w:val="none"/>
              </w:rPr>
              <w:t>为保证系统稳定性、兼容性，需投标单位出具与</w:t>
            </w:r>
            <w:r>
              <w:rPr>
                <w:rFonts w:hint="eastAsia" w:ascii="宋体" w:hAnsi="宋体" w:cs="宋体"/>
                <w:color w:val="auto"/>
                <w:kern w:val="0"/>
                <w:sz w:val="20"/>
                <w:szCs w:val="20"/>
                <w:highlight w:val="none"/>
                <w:lang w:bidi="ar"/>
              </w:rPr>
              <w:t>信息中心瑞金医院信息发布平台</w:t>
            </w:r>
            <w:r>
              <w:rPr>
                <w:rFonts w:hint="eastAsia" w:ascii="Arial" w:hAnsi="Arial" w:cs="Arial"/>
                <w:color w:val="auto"/>
                <w:sz w:val="21"/>
                <w:szCs w:val="21"/>
                <w:highlight w:val="none"/>
              </w:rPr>
              <w:t>系统无缝衔接证明文件或承诺书。</w:t>
            </w:r>
          </w:p>
          <w:p>
            <w:pPr>
              <w:widowControl/>
              <w:ind w:firstLine="0" w:firstLineChars="0"/>
              <w:jc w:val="left"/>
              <w:textAlignment w:val="center"/>
              <w:rPr>
                <w:rFonts w:ascii="Arial" w:hAnsi="Arial" w:cs="Arial"/>
                <w:color w:val="auto"/>
                <w:sz w:val="21"/>
                <w:szCs w:val="21"/>
                <w:highlight w:val="none"/>
              </w:rPr>
            </w:pPr>
            <w:r>
              <w:rPr>
                <w:rFonts w:hint="eastAsia" w:ascii="Arial" w:hAnsi="Arial" w:cs="Arial"/>
                <w:color w:val="auto"/>
                <w:sz w:val="21"/>
                <w:szCs w:val="21"/>
                <w:highlight w:val="none"/>
              </w:rPr>
              <w:t>详细对接内容：</w:t>
            </w:r>
          </w:p>
          <w:p>
            <w:pPr>
              <w:widowControl/>
              <w:ind w:firstLine="0" w:firstLineChars="0"/>
              <w:jc w:val="left"/>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1、投标单位所投产品要求与现有信息发布系统进行无缝对接，进行数据传递。并入系统平台统一管理。</w:t>
            </w:r>
          </w:p>
          <w:p>
            <w:pPr>
              <w:widowControl/>
              <w:ind w:firstLine="0" w:firstLineChars="0"/>
              <w:jc w:val="left"/>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2、管理端实时监测各个播放端的系统运行情况和任务播放情况，可以对各个播放端进行接管控制，抓屏查看播放端播放内容；可以根据区域进行设备分组，通过分组进行查看组别内全部设备当时播放画面。</w:t>
            </w:r>
          </w:p>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3、设备具有紧急信息和临时信息的插入播放功能，紧急信息或临时播放完毕能够自动切换到原播放节目。</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57</w:t>
            </w:r>
          </w:p>
        </w:tc>
        <w:tc>
          <w:tcPr>
            <w:tcW w:w="19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HDMI光纤视频线</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技术要求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光纤HDMI视频线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长度大于20米</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58</w:t>
            </w:r>
          </w:p>
        </w:tc>
        <w:tc>
          <w:tcPr>
            <w:tcW w:w="19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DP光纤视频线</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技术要求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DP光纤视频线</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长度大于20米</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59</w:t>
            </w:r>
          </w:p>
        </w:tc>
        <w:tc>
          <w:tcPr>
            <w:tcW w:w="19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LED网线组件包</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技术要求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原厂LED网线组件包</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网线组件包长度不大于70米。</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60</w:t>
            </w:r>
          </w:p>
        </w:tc>
        <w:tc>
          <w:tcPr>
            <w:tcW w:w="19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LED电源线组件包</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技术要求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原厂LED电源线组件包</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电源线组件包长度大于15米。</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61</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ascii="宋体" w:hAnsi="宋体" w:cs="宋体"/>
                <w:color w:val="auto"/>
                <w:kern w:val="0"/>
                <w:sz w:val="20"/>
                <w:szCs w:val="20"/>
                <w:highlight w:val="none"/>
                <w:lang w:bidi="ar"/>
              </w:rPr>
              <w:t>LED配电柜</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电气规格要求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配电柜一次回路电缆符合标准 GB/T19666-2019 、JB/T8734.2-2016标准，一次回路铜电缆线规格： ZC-BVR2.5、6mm²；</w:t>
            </w:r>
          </w:p>
        </w:tc>
      </w:tr>
      <w:tr>
        <w:tblPrEx>
          <w:tblCellMar>
            <w:top w:w="0" w:type="dxa"/>
            <w:left w:w="108" w:type="dxa"/>
            <w:bottom w:w="0" w:type="dxa"/>
            <w:right w:w="108" w:type="dxa"/>
          </w:tblCellMar>
        </w:tblPrEx>
        <w:trPr>
          <w:trHeight w:val="14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62</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配电柜二次回路电缆符合标准 GB/T5023.3-2008、IEC60227-3:1997标准，二次回路铜电缆线规格： RV-0.75mm²；</w:t>
            </w:r>
          </w:p>
        </w:tc>
      </w:tr>
      <w:tr>
        <w:tblPrEx>
          <w:tblCellMar>
            <w:top w:w="0" w:type="dxa"/>
            <w:left w:w="108" w:type="dxa"/>
            <w:bottom w:w="0" w:type="dxa"/>
            <w:right w:w="108" w:type="dxa"/>
          </w:tblCellMar>
        </w:tblPrEx>
        <w:trPr>
          <w:trHeight w:val="2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63</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配电柜输入保护： 塑壳断路器保护， 输出保护： 微型断路器保护， 两级均有断路器保护措施；</w:t>
            </w:r>
          </w:p>
        </w:tc>
      </w:tr>
      <w:tr>
        <w:tblPrEx>
          <w:tblCellMar>
            <w:top w:w="0" w:type="dxa"/>
            <w:left w:w="108" w:type="dxa"/>
            <w:bottom w:w="0" w:type="dxa"/>
            <w:right w:w="108" w:type="dxa"/>
          </w:tblCellMar>
        </w:tblPrEx>
        <w:trPr>
          <w:trHeight w:val="2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64</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restart"/>
            <w:tcBorders>
              <w:top w:val="single" w:color="000000" w:sz="4" w:space="0"/>
              <w:left w:val="single" w:color="000000" w:sz="4" w:space="0"/>
              <w:right w:val="single" w:color="000000" w:sz="4" w:space="0"/>
            </w:tcBorders>
            <w:shd w:val="clear" w:color="auto" w:fill="auto"/>
            <w:vAlign w:val="center"/>
          </w:tcPr>
          <w:p>
            <w:pPr>
              <w:ind w:firstLine="0" w:firstLineChars="0"/>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控制功能</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配电柜具备环境联动功能，配备温度传感器， 烟雾传感器， 环境检测， 可设置阈值与配电柜进行联动， 实现环境变量和配电柜联动；温度超出阈值后软件立即报警提示， 3 秒后断开配电柜输出；触发烟雾阈值可根据设定执行 3 秒后断开配电柜输出或者只报警不断开配电柜输出。</w:t>
            </w:r>
          </w:p>
        </w:tc>
      </w:tr>
      <w:tr>
        <w:tblPrEx>
          <w:tblCellMar>
            <w:top w:w="0" w:type="dxa"/>
            <w:left w:w="108" w:type="dxa"/>
            <w:bottom w:w="0" w:type="dxa"/>
            <w:right w:w="108" w:type="dxa"/>
          </w:tblCellMar>
        </w:tblPrEx>
        <w:trPr>
          <w:trHeight w:val="2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65</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left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配电柜每个通道均可独立控制： 通过面板可手动开、 停止； 远程控制： 开、 停止， 单个或分组设置定时自动开关；</w:t>
            </w:r>
          </w:p>
        </w:tc>
      </w:tr>
      <w:tr>
        <w:tblPrEx>
          <w:tblCellMar>
            <w:top w:w="0" w:type="dxa"/>
            <w:left w:w="108" w:type="dxa"/>
            <w:bottom w:w="0" w:type="dxa"/>
            <w:right w:w="108" w:type="dxa"/>
          </w:tblCellMar>
        </w:tblPrEx>
        <w:trPr>
          <w:trHeight w:val="2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66</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▲配电柜控制器采用PLC；网络通讯端口： TCP/IP 网络；串口通讯端口： RS232；（提供首页具有CNAS和CMA标识的第三方检测报告复印件）</w:t>
            </w:r>
          </w:p>
        </w:tc>
      </w:tr>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67</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导体要求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配电柜接线端子连接方式： 紫铜端子压接； 线径余量： 较标称值余量 20%；</w:t>
            </w:r>
          </w:p>
        </w:tc>
      </w:tr>
      <w:tr>
        <w:tblPrEx>
          <w:tblCellMar>
            <w:top w:w="0" w:type="dxa"/>
            <w:left w:w="108" w:type="dxa"/>
            <w:bottom w:w="0" w:type="dxa"/>
            <w:right w:w="108" w:type="dxa"/>
          </w:tblCellMar>
        </w:tblPrEx>
        <w:trPr>
          <w:trHeight w:val="9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68</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auto"/>
                <w:sz w:val="20"/>
                <w:szCs w:val="20"/>
                <w:highlight w:val="none"/>
              </w:rPr>
            </w:pP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要求N线截面应与相线相同。选用的铜母线载流量不得小于额定电流要求。PE、N线及连接排上均开有充足的模数孔用于电缆的连接。</w:t>
            </w:r>
          </w:p>
        </w:tc>
      </w:tr>
      <w:tr>
        <w:tblPrEx>
          <w:tblCellMar>
            <w:top w:w="0" w:type="dxa"/>
            <w:left w:w="108" w:type="dxa"/>
            <w:bottom w:w="0" w:type="dxa"/>
            <w:right w:w="108" w:type="dxa"/>
          </w:tblCellMar>
        </w:tblPrEx>
        <w:trPr>
          <w:trHeight w:val="28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69</w:t>
            </w:r>
          </w:p>
        </w:tc>
        <w:tc>
          <w:tcPr>
            <w:tcW w:w="19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设备机柜</w:t>
            </w:r>
          </w:p>
        </w:tc>
        <w:tc>
          <w:tcPr>
            <w:tcW w:w="1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技术要求</w:t>
            </w:r>
          </w:p>
        </w:tc>
        <w:tc>
          <w:tcPr>
            <w:tcW w:w="39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型材焊接框架，结构稳固，静载承重≥1000KG；</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生产指标：通过ISO9001质量体系认证兼容19标准等；</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厚度：设备安装立柱不小于2.0mm，其它2.0mm-1.2mm不等；</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机柜静载不小于500Kg，移载不小于400Kg；</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机柜脚轮：承重不小于200KG，前轮采用轮刹擎，后轮为万向转定向装置；</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机柜可调整脚：优质镀锌调整脚；</w:t>
            </w:r>
            <w:r>
              <w:rPr>
                <w:rFonts w:hint="eastAsia" w:ascii="宋体" w:hAnsi="宋体" w:cs="宋体"/>
                <w:color w:val="auto"/>
                <w:kern w:val="0"/>
                <w:sz w:val="20"/>
                <w:szCs w:val="20"/>
                <w:highlight w:val="none"/>
                <w:lang w:bidi="ar"/>
              </w:rPr>
              <w:br w:type="textWrapping"/>
            </w:r>
            <w:r>
              <w:rPr>
                <w:rFonts w:hint="eastAsia" w:ascii="宋体" w:hAnsi="宋体" w:cs="宋体"/>
                <w:color w:val="auto"/>
                <w:kern w:val="0"/>
                <w:sz w:val="20"/>
                <w:szCs w:val="20"/>
                <w:highlight w:val="none"/>
                <w:lang w:bidi="ar"/>
              </w:rPr>
              <w:t>尺寸：600mm*800mm*2000mm。</w:t>
            </w:r>
          </w:p>
        </w:tc>
      </w:tr>
    </w:tbl>
    <w:p>
      <w:pPr>
        <w:ind w:firstLine="0" w:firstLineChars="0"/>
        <w:rPr>
          <w:color w:val="auto"/>
          <w:highlight w:val="none"/>
        </w:rPr>
      </w:pPr>
    </w:p>
    <w:p>
      <w:pPr>
        <w:ind w:firstLine="480"/>
        <w:rPr>
          <w:color w:val="auto"/>
          <w:highlight w:val="none"/>
        </w:rPr>
      </w:pPr>
    </w:p>
    <w:p>
      <w:pPr>
        <w:pStyle w:val="4"/>
        <w:rPr>
          <w:color w:val="auto"/>
          <w:highlight w:val="none"/>
        </w:rPr>
      </w:pPr>
      <w:r>
        <w:rPr>
          <w:rFonts w:hint="eastAsia"/>
          <w:color w:val="auto"/>
          <w:highlight w:val="none"/>
        </w:rPr>
        <w:t xml:space="preserve"> 安装调试</w:t>
      </w:r>
    </w:p>
    <w:tbl>
      <w:tblPr>
        <w:tblStyle w:val="21"/>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114"/>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序号</w:t>
            </w:r>
          </w:p>
        </w:tc>
        <w:tc>
          <w:tcPr>
            <w:tcW w:w="2114"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指标项</w:t>
            </w:r>
          </w:p>
        </w:tc>
        <w:tc>
          <w:tcPr>
            <w:tcW w:w="5538"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1</w:t>
            </w:r>
          </w:p>
        </w:tc>
        <w:tc>
          <w:tcPr>
            <w:tcW w:w="2114" w:type="dxa"/>
            <w:vMerge w:val="restart"/>
            <w:tcBorders>
              <w:top w:val="single" w:color="auto" w:sz="4" w:space="0"/>
              <w:left w:val="single" w:color="auto" w:sz="4" w:space="0"/>
              <w:right w:val="single" w:color="auto" w:sz="4" w:space="0"/>
            </w:tcBorders>
            <w:vAlign w:val="center"/>
          </w:tcPr>
          <w:p>
            <w:pPr>
              <w:widowControl/>
              <w:ind w:firstLine="0" w:firstLineChars="0"/>
              <w:jc w:val="center"/>
              <w:rPr>
                <w:color w:val="auto"/>
                <w:sz w:val="20"/>
                <w:szCs w:val="20"/>
                <w:highlight w:val="none"/>
              </w:rPr>
            </w:pPr>
            <w:r>
              <w:rPr>
                <w:rFonts w:hint="eastAsia"/>
                <w:color w:val="auto"/>
                <w:sz w:val="20"/>
                <w:szCs w:val="20"/>
                <w:highlight w:val="none"/>
              </w:rPr>
              <w:t>包装和运输要求</w:t>
            </w:r>
          </w:p>
        </w:tc>
        <w:tc>
          <w:tcPr>
            <w:tcW w:w="5538"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0"/>
                <w:szCs w:val="20"/>
                <w:highlight w:val="none"/>
              </w:rPr>
            </w:pPr>
            <w:r>
              <w:rPr>
                <w:rFonts w:hint="eastAsia"/>
                <w:color w:val="auto"/>
                <w:sz w:val="20"/>
                <w:szCs w:val="20"/>
                <w:highlight w:val="none"/>
              </w:rPr>
              <w:t>1、中标人所供货物的制造商原装出厂包装箱号与设备出厂批号一致。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2</w:t>
            </w:r>
          </w:p>
        </w:tc>
        <w:tc>
          <w:tcPr>
            <w:tcW w:w="2114" w:type="dxa"/>
            <w:vMerge w:val="continue"/>
            <w:tcBorders>
              <w:left w:val="single" w:color="auto" w:sz="4" w:space="0"/>
              <w:right w:val="single" w:color="auto" w:sz="4" w:space="0"/>
            </w:tcBorders>
            <w:vAlign w:val="center"/>
          </w:tcPr>
          <w:p>
            <w:pPr>
              <w:widowControl/>
              <w:ind w:firstLine="0" w:firstLineChars="0"/>
              <w:jc w:val="left"/>
              <w:rPr>
                <w:color w:val="auto"/>
                <w:sz w:val="20"/>
                <w:szCs w:val="20"/>
                <w:highlight w:val="none"/>
              </w:rPr>
            </w:pPr>
          </w:p>
        </w:tc>
        <w:tc>
          <w:tcPr>
            <w:tcW w:w="5538"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0"/>
                <w:szCs w:val="20"/>
                <w:highlight w:val="none"/>
              </w:rPr>
            </w:pPr>
            <w:r>
              <w:rPr>
                <w:rFonts w:hint="eastAsia"/>
                <w:color w:val="auto"/>
                <w:sz w:val="20"/>
                <w:szCs w:val="20"/>
                <w:highlight w:val="none"/>
              </w:rPr>
              <w:t>2、采购中如涉及商品包装和快递包装的，其包装需求标准应不低于《关于印发&lt;商品包装政府采购需求标准(试行)&gt;、&lt;快递包装政府采购需求标准(试行)&gt;的通知》(财办库〔2020〕123号)规定的包装要求。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3</w:t>
            </w:r>
          </w:p>
        </w:tc>
        <w:tc>
          <w:tcPr>
            <w:tcW w:w="2114" w:type="dxa"/>
            <w:vMerge w:val="continue"/>
            <w:tcBorders>
              <w:left w:val="single" w:color="auto" w:sz="4" w:space="0"/>
              <w:bottom w:val="single" w:color="auto" w:sz="4" w:space="0"/>
              <w:right w:val="single" w:color="auto" w:sz="4" w:space="0"/>
            </w:tcBorders>
            <w:vAlign w:val="center"/>
          </w:tcPr>
          <w:p>
            <w:pPr>
              <w:widowControl/>
              <w:ind w:firstLine="0" w:firstLineChars="0"/>
              <w:jc w:val="left"/>
              <w:rPr>
                <w:color w:val="auto"/>
                <w:sz w:val="20"/>
                <w:szCs w:val="20"/>
                <w:highlight w:val="none"/>
              </w:rPr>
            </w:pPr>
          </w:p>
        </w:tc>
        <w:tc>
          <w:tcPr>
            <w:tcW w:w="5538"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0"/>
                <w:szCs w:val="20"/>
                <w:highlight w:val="none"/>
              </w:rPr>
            </w:pPr>
            <w:r>
              <w:rPr>
                <w:rFonts w:hint="eastAsia"/>
                <w:color w:val="auto"/>
                <w:sz w:val="20"/>
                <w:szCs w:val="20"/>
                <w:highlight w:val="none"/>
              </w:rPr>
              <w:t>3、货物在验收合格前的保险由中标人负责，并负责其派出的现场服务人员人身意外保险。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4</w:t>
            </w:r>
          </w:p>
        </w:tc>
        <w:tc>
          <w:tcPr>
            <w:tcW w:w="2114" w:type="dxa"/>
            <w:vMerge w:val="restart"/>
            <w:tcBorders>
              <w:top w:val="single" w:color="auto" w:sz="4" w:space="0"/>
              <w:left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安装调试</w:t>
            </w:r>
          </w:p>
        </w:tc>
        <w:tc>
          <w:tcPr>
            <w:tcW w:w="5538"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0"/>
                <w:szCs w:val="20"/>
                <w:highlight w:val="none"/>
              </w:rPr>
            </w:pPr>
            <w:r>
              <w:rPr>
                <w:rFonts w:hint="eastAsia"/>
                <w:color w:val="auto"/>
                <w:sz w:val="20"/>
                <w:szCs w:val="20"/>
                <w:highlight w:val="none"/>
              </w:rPr>
              <w:t>1、所有软硬件的安装、调试、集成、测试等都已经包括在本次招标中，不再另行说明。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5</w:t>
            </w:r>
          </w:p>
        </w:tc>
        <w:tc>
          <w:tcPr>
            <w:tcW w:w="2114" w:type="dxa"/>
            <w:vMerge w:val="continue"/>
            <w:tcBorders>
              <w:left w:val="single" w:color="auto" w:sz="4" w:space="0"/>
              <w:right w:val="single" w:color="auto" w:sz="4" w:space="0"/>
            </w:tcBorders>
            <w:vAlign w:val="center"/>
          </w:tcPr>
          <w:p>
            <w:pPr>
              <w:pStyle w:val="30"/>
              <w:rPr>
                <w:color w:val="auto"/>
                <w:sz w:val="20"/>
                <w:szCs w:val="20"/>
                <w:highlight w:val="none"/>
              </w:rPr>
            </w:pPr>
          </w:p>
        </w:tc>
        <w:tc>
          <w:tcPr>
            <w:tcW w:w="5538"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0"/>
                <w:szCs w:val="20"/>
                <w:highlight w:val="none"/>
              </w:rPr>
            </w:pPr>
            <w:r>
              <w:rPr>
                <w:rFonts w:hint="eastAsia"/>
                <w:color w:val="auto"/>
                <w:sz w:val="20"/>
                <w:szCs w:val="20"/>
                <w:highlight w:val="none"/>
              </w:rPr>
              <w:t>2、所有设备安装调试所需要的人工、材料（耗材）、工具、相关接口模块包括在招标价格范围内。安装所需的所有配件材料均由中标人提供，所需费用包含在投标总报价内。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6</w:t>
            </w:r>
          </w:p>
        </w:tc>
        <w:tc>
          <w:tcPr>
            <w:tcW w:w="2114" w:type="dxa"/>
            <w:vMerge w:val="continue"/>
            <w:tcBorders>
              <w:left w:val="single" w:color="auto" w:sz="4" w:space="0"/>
              <w:right w:val="single" w:color="auto" w:sz="4" w:space="0"/>
            </w:tcBorders>
            <w:vAlign w:val="center"/>
          </w:tcPr>
          <w:p>
            <w:pPr>
              <w:pStyle w:val="30"/>
              <w:rPr>
                <w:color w:val="auto"/>
                <w:sz w:val="20"/>
                <w:szCs w:val="20"/>
                <w:highlight w:val="none"/>
              </w:rPr>
            </w:pPr>
          </w:p>
        </w:tc>
        <w:tc>
          <w:tcPr>
            <w:tcW w:w="5538"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0"/>
                <w:szCs w:val="20"/>
                <w:highlight w:val="none"/>
              </w:rPr>
            </w:pPr>
            <w:r>
              <w:rPr>
                <w:rFonts w:hint="eastAsia"/>
                <w:color w:val="auto"/>
                <w:sz w:val="20"/>
                <w:szCs w:val="20"/>
                <w:highlight w:val="none"/>
              </w:rPr>
              <w:t>3、货物到达招标人指定交货地点后，根据招标人的时间安排，中标人在接到招标人通知后2个工作日内安排充足的安装专业技术人员现场进行安装调试，直至满足机房现场需求。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7</w:t>
            </w:r>
          </w:p>
        </w:tc>
        <w:tc>
          <w:tcPr>
            <w:tcW w:w="2114" w:type="dxa"/>
            <w:vMerge w:val="continue"/>
            <w:tcBorders>
              <w:left w:val="single" w:color="auto" w:sz="4" w:space="0"/>
              <w:right w:val="single" w:color="auto" w:sz="4" w:space="0"/>
            </w:tcBorders>
            <w:vAlign w:val="center"/>
          </w:tcPr>
          <w:p>
            <w:pPr>
              <w:pStyle w:val="30"/>
              <w:rPr>
                <w:color w:val="auto"/>
                <w:sz w:val="20"/>
                <w:szCs w:val="20"/>
                <w:highlight w:val="none"/>
              </w:rPr>
            </w:pPr>
          </w:p>
        </w:tc>
        <w:tc>
          <w:tcPr>
            <w:tcW w:w="5538"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0"/>
                <w:szCs w:val="20"/>
                <w:highlight w:val="none"/>
              </w:rPr>
            </w:pPr>
            <w:r>
              <w:rPr>
                <w:rFonts w:hint="eastAsia"/>
                <w:color w:val="auto"/>
                <w:sz w:val="20"/>
                <w:szCs w:val="20"/>
                <w:highlight w:val="none"/>
              </w:rPr>
              <w:t>4、投标人应提供本项目实施进度计划。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8</w:t>
            </w:r>
          </w:p>
        </w:tc>
        <w:tc>
          <w:tcPr>
            <w:tcW w:w="2114" w:type="dxa"/>
            <w:vMerge w:val="continue"/>
            <w:tcBorders>
              <w:left w:val="single" w:color="auto" w:sz="4" w:space="0"/>
              <w:right w:val="single" w:color="auto" w:sz="4" w:space="0"/>
            </w:tcBorders>
            <w:vAlign w:val="center"/>
          </w:tcPr>
          <w:p>
            <w:pPr>
              <w:pStyle w:val="30"/>
              <w:rPr>
                <w:color w:val="auto"/>
                <w:sz w:val="20"/>
                <w:szCs w:val="20"/>
                <w:highlight w:val="none"/>
              </w:rPr>
            </w:pPr>
          </w:p>
        </w:tc>
        <w:tc>
          <w:tcPr>
            <w:tcW w:w="5538"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5、投标人应充分了解本项目需求和项目安装环境，在此基础上提供LED大屏的布局和规划设计方案，在此基础上进行适应于投标人产品特色的细节设计和结构优化，</w:t>
            </w:r>
            <w:r>
              <w:rPr>
                <w:rFonts w:hint="eastAsia"/>
                <w:b/>
                <w:bCs/>
                <w:color w:val="auto"/>
                <w:sz w:val="21"/>
                <w:highlight w:val="none"/>
              </w:rPr>
              <w:t>提供图形和文字说明方案，对系统结构做出清晰的描述</w:t>
            </w:r>
            <w:r>
              <w:rPr>
                <w:rFonts w:hint="eastAsia"/>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9</w:t>
            </w:r>
          </w:p>
        </w:tc>
        <w:tc>
          <w:tcPr>
            <w:tcW w:w="2114" w:type="dxa"/>
            <w:vMerge w:val="restart"/>
            <w:tcBorders>
              <w:top w:val="single" w:color="auto" w:sz="4" w:space="0"/>
              <w:left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安装调试实施要求</w:t>
            </w:r>
          </w:p>
        </w:tc>
        <w:tc>
          <w:tcPr>
            <w:tcW w:w="5538"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1、LED大屏：</w:t>
            </w:r>
          </w:p>
          <w:p>
            <w:pPr>
              <w:pStyle w:val="30"/>
              <w:jc w:val="left"/>
              <w:rPr>
                <w:color w:val="auto"/>
                <w:sz w:val="21"/>
                <w:highlight w:val="none"/>
              </w:rPr>
            </w:pPr>
            <w:r>
              <w:rPr>
                <w:rFonts w:hint="eastAsia"/>
                <w:color w:val="auto"/>
                <w:sz w:val="21"/>
                <w:highlight w:val="none"/>
              </w:rPr>
              <w:t>投标人根据现场实际需求，完成 P1.8 LED显示屏、拼接控制器、LED室内支架、布线系统、超高分服务器、视频综合平台软件的安装、调试、一体化交付。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10</w:t>
            </w:r>
          </w:p>
        </w:tc>
        <w:tc>
          <w:tcPr>
            <w:tcW w:w="2114" w:type="dxa"/>
            <w:vMerge w:val="continue"/>
            <w:tcBorders>
              <w:left w:val="single" w:color="auto" w:sz="4" w:space="0"/>
              <w:right w:val="single" w:color="auto" w:sz="4" w:space="0"/>
            </w:tcBorders>
            <w:vAlign w:val="center"/>
          </w:tcPr>
          <w:p>
            <w:pPr>
              <w:pStyle w:val="30"/>
              <w:rPr>
                <w:color w:val="auto"/>
                <w:sz w:val="20"/>
                <w:szCs w:val="20"/>
                <w:highlight w:val="none"/>
              </w:rPr>
            </w:pPr>
          </w:p>
        </w:tc>
        <w:tc>
          <w:tcPr>
            <w:tcW w:w="5538"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2、供配电系统：</w:t>
            </w:r>
          </w:p>
          <w:p>
            <w:pPr>
              <w:pStyle w:val="30"/>
              <w:jc w:val="left"/>
              <w:rPr>
                <w:color w:val="auto"/>
                <w:sz w:val="21"/>
                <w:highlight w:val="none"/>
              </w:rPr>
            </w:pPr>
            <w:r>
              <w:rPr>
                <w:rFonts w:hint="eastAsia"/>
                <w:color w:val="auto"/>
                <w:sz w:val="21"/>
                <w:highlight w:val="none"/>
              </w:rPr>
              <w:t>投标人根据现场实际需求，完成 LED显示屏配套配电系统的设备安装、调试、一体化交付，满足LED显示屏供电需求。</w:t>
            </w:r>
          </w:p>
        </w:tc>
      </w:tr>
    </w:tbl>
    <w:p>
      <w:pPr>
        <w:ind w:firstLine="0" w:firstLineChars="0"/>
        <w:rPr>
          <w:color w:val="auto"/>
          <w:highlight w:val="none"/>
        </w:rPr>
      </w:pPr>
    </w:p>
    <w:p>
      <w:pPr>
        <w:pStyle w:val="3"/>
        <w:spacing w:before="156" w:after="156"/>
        <w:rPr>
          <w:color w:val="auto"/>
          <w:highlight w:val="none"/>
        </w:rPr>
      </w:pPr>
      <w:r>
        <w:rPr>
          <w:rFonts w:hint="eastAsia"/>
          <w:color w:val="auto"/>
          <w:highlight w:val="none"/>
        </w:rPr>
        <w:t>特殊标准和要求</w:t>
      </w:r>
    </w:p>
    <w:p>
      <w:pPr>
        <w:ind w:firstLine="480"/>
        <w:rPr>
          <w:color w:val="auto"/>
          <w:highlight w:val="none"/>
        </w:rPr>
      </w:pPr>
      <w:r>
        <w:rPr>
          <w:rFonts w:hint="eastAsia"/>
          <w:color w:val="auto"/>
          <w:highlight w:val="none"/>
        </w:rPr>
        <w:t>本次项目为上海交通大学医学院附属瑞金医院北部院区二期扩建项目的配套内容，项目中的LED显示屏位于门诊大厅位置，是整个二期扩建院区的亮点，将面向社会大众、患者发布各类医院信息、专家信息、科室介绍、医疗宣教咨询等，是项目的重点。</w:t>
      </w:r>
    </w:p>
    <w:p>
      <w:pPr>
        <w:widowControl/>
        <w:tabs>
          <w:tab w:val="left" w:pos="360"/>
        </w:tabs>
        <w:ind w:firstLine="480"/>
        <w:jc w:val="left"/>
        <w:rPr>
          <w:rFonts w:ascii="Arial" w:hAnsi="Arial" w:cs="Arial"/>
          <w:color w:val="auto"/>
          <w:kern w:val="0"/>
          <w:highlight w:val="none"/>
          <w:lang w:bidi="ar"/>
        </w:rPr>
      </w:pPr>
      <w:r>
        <w:rPr>
          <w:rFonts w:hint="eastAsia" w:ascii="Arial" w:hAnsi="Arial" w:cs="Arial"/>
          <w:color w:val="auto"/>
          <w:kern w:val="0"/>
          <w:highlight w:val="none"/>
          <w:lang w:bidi="ar"/>
        </w:rPr>
        <w:t>具体要求如下：</w:t>
      </w:r>
    </w:p>
    <w:p>
      <w:pPr>
        <w:numPr>
          <w:ilvl w:val="0"/>
          <w:numId w:val="3"/>
        </w:numPr>
        <w:ind w:firstLine="480"/>
        <w:rPr>
          <w:color w:val="auto"/>
          <w:highlight w:val="none"/>
        </w:rPr>
      </w:pPr>
      <w:r>
        <w:rPr>
          <w:rFonts w:hint="eastAsia"/>
          <w:color w:val="auto"/>
          <w:highlight w:val="none"/>
        </w:rPr>
        <w:t>LED显示屏具备本地发布与协同发布多种功能，本地发布即为发布瑞金医院北部院区二期本地视频源的内容，协同发布为联动瑞金医院信息发布平台，协同发布上级平台的内容功能。须投标人在设计方案中对本地发布与协同发布进行具体设计。</w:t>
      </w:r>
    </w:p>
    <w:p>
      <w:pPr>
        <w:numPr>
          <w:ilvl w:val="0"/>
          <w:numId w:val="3"/>
        </w:numPr>
        <w:ind w:firstLine="480"/>
        <w:rPr>
          <w:color w:val="auto"/>
          <w:highlight w:val="none"/>
        </w:rPr>
      </w:pPr>
      <w:r>
        <w:rPr>
          <w:rFonts w:hint="eastAsia"/>
          <w:color w:val="auto"/>
          <w:highlight w:val="none"/>
        </w:rPr>
        <w:t>投标单位所投产品要求与现有信息发布系统进行无缝对接，进行数据传递，协议为http协议、编码格式为utf-8，涉及的post请求需采用x-www-form-urlencoded方式提交并入系统平台统一管理。</w:t>
      </w:r>
    </w:p>
    <w:p>
      <w:pPr>
        <w:numPr>
          <w:ilvl w:val="0"/>
          <w:numId w:val="3"/>
        </w:numPr>
        <w:ind w:firstLine="480" w:firstLineChars="0"/>
        <w:rPr>
          <w:color w:val="auto"/>
          <w:highlight w:val="none"/>
        </w:rPr>
      </w:pPr>
      <w:r>
        <w:rPr>
          <w:rFonts w:hint="eastAsia"/>
          <w:color w:val="auto"/>
          <w:highlight w:val="none"/>
        </w:rPr>
        <w:t>须投标人提供LED显示屏供配电系统设计，须体现系统架构与功耗计算。</w:t>
      </w:r>
    </w:p>
    <w:p>
      <w:pPr>
        <w:pStyle w:val="3"/>
        <w:spacing w:before="156" w:after="156"/>
        <w:rPr>
          <w:color w:val="auto"/>
          <w:highlight w:val="none"/>
        </w:rPr>
      </w:pPr>
      <w:r>
        <w:rPr>
          <w:rFonts w:hint="eastAsia"/>
          <w:color w:val="auto"/>
          <w:highlight w:val="none"/>
        </w:rPr>
        <w:t>项目实施</w:t>
      </w:r>
    </w:p>
    <w:p>
      <w:pPr>
        <w:ind w:firstLine="480"/>
        <w:rPr>
          <w:color w:val="auto"/>
          <w:highlight w:val="none"/>
        </w:rPr>
      </w:pPr>
      <w:r>
        <w:rPr>
          <w:color w:val="auto"/>
          <w:highlight w:val="none"/>
        </w:rPr>
        <w:t>本项目建设周期为</w:t>
      </w:r>
      <w:r>
        <w:rPr>
          <w:rFonts w:hint="eastAsia"/>
          <w:color w:val="auto"/>
          <w:highlight w:val="none"/>
        </w:rPr>
        <w:t>4</w:t>
      </w:r>
      <w:r>
        <w:rPr>
          <w:color w:val="auto"/>
          <w:highlight w:val="none"/>
        </w:rPr>
        <w:t>5</w:t>
      </w:r>
      <w:r>
        <w:rPr>
          <w:rFonts w:hint="eastAsia"/>
          <w:color w:val="auto"/>
          <w:highlight w:val="none"/>
        </w:rPr>
        <w:t>天</w:t>
      </w:r>
    </w:p>
    <w:p>
      <w:pPr>
        <w:pStyle w:val="3"/>
        <w:spacing w:before="156" w:after="156"/>
        <w:rPr>
          <w:color w:val="auto"/>
          <w:highlight w:val="none"/>
        </w:rPr>
      </w:pPr>
      <w:r>
        <w:rPr>
          <w:rFonts w:hint="eastAsia"/>
          <w:color w:val="auto"/>
          <w:highlight w:val="none"/>
        </w:rPr>
        <w:t>验收标准</w:t>
      </w:r>
    </w:p>
    <w:p>
      <w:pPr>
        <w:ind w:firstLine="480"/>
        <w:rPr>
          <w:color w:val="auto"/>
          <w:highlight w:val="none"/>
        </w:rPr>
      </w:pPr>
      <w:r>
        <w:rPr>
          <w:rFonts w:hint="eastAsia"/>
          <w:color w:val="auto"/>
          <w:highlight w:val="none"/>
        </w:rPr>
        <w:t>1、设备运抵招标人指定场所后，招标人将与中标人共同开箱验收，如中标人届时不指派人员参与，则验收结果应以招标人的验收报告为最终验收结果。验收时发现短缺、破损，招标人有权要求中标人负责更换。</w:t>
      </w:r>
    </w:p>
    <w:p>
      <w:pPr>
        <w:ind w:firstLine="480"/>
        <w:rPr>
          <w:color w:val="auto"/>
          <w:highlight w:val="none"/>
        </w:rPr>
      </w:pPr>
      <w:r>
        <w:rPr>
          <w:rFonts w:hint="eastAsia"/>
          <w:color w:val="auto"/>
          <w:highlight w:val="none"/>
        </w:rPr>
        <w:t>2、货物安装完成LED显示屏完全正常运行15天之后，对项目进行验收。</w:t>
      </w:r>
    </w:p>
    <w:p>
      <w:pPr>
        <w:ind w:firstLine="480"/>
        <w:rPr>
          <w:color w:val="auto"/>
          <w:highlight w:val="none"/>
        </w:rPr>
      </w:pPr>
      <w:r>
        <w:rPr>
          <w:rFonts w:hint="eastAsia"/>
          <w:color w:val="auto"/>
          <w:highlight w:val="none"/>
        </w:rPr>
        <w:t>3、验收指标：按照双方签订的合同、技术协议等资料完成验收。</w:t>
      </w:r>
    </w:p>
    <w:p>
      <w:pPr>
        <w:pStyle w:val="3"/>
        <w:spacing w:before="156" w:after="156"/>
        <w:rPr>
          <w:color w:val="auto"/>
          <w:highlight w:val="none"/>
        </w:rPr>
      </w:pPr>
      <w:r>
        <w:rPr>
          <w:rFonts w:hint="eastAsia"/>
          <w:color w:val="auto"/>
          <w:highlight w:val="none"/>
        </w:rPr>
        <w:t>售后服务</w:t>
      </w:r>
    </w:p>
    <w:tbl>
      <w:tblPr>
        <w:tblStyle w:val="21"/>
        <w:tblW w:w="7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序号</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1</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rFonts w:hint="eastAsia" w:eastAsia="宋体"/>
                <w:color w:val="auto"/>
                <w:sz w:val="21"/>
                <w:highlight w:val="none"/>
                <w:lang w:eastAsia="zh-CN"/>
              </w:rPr>
            </w:pPr>
            <w:r>
              <w:rPr>
                <w:color w:val="auto"/>
                <w:sz w:val="21"/>
                <w:highlight w:val="none"/>
              </w:rPr>
              <w:t xml:space="preserve">本项目免费质量保证期要求不低于 </w:t>
            </w:r>
            <w:r>
              <w:rPr>
                <w:rFonts w:hint="eastAsia"/>
                <w:color w:val="auto"/>
                <w:sz w:val="21"/>
                <w:highlight w:val="none"/>
              </w:rPr>
              <w:t>2</w:t>
            </w:r>
            <w:r>
              <w:rPr>
                <w:color w:val="auto"/>
                <w:sz w:val="21"/>
                <w:highlight w:val="none"/>
              </w:rPr>
              <w:t xml:space="preserve"> 年。从验收合格日期起开始计算。</w:t>
            </w:r>
            <w:r>
              <w:rPr>
                <w:rFonts w:hint="eastAsia"/>
                <w:color w:val="auto"/>
                <w:sz w:val="21"/>
                <w:highlight w:val="none"/>
                <w:lang w:eastAsia="zh-CN"/>
              </w:rPr>
              <w:t>投标人也可以提供更为优惠的售后增值服务。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2</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投标人根据实际需求，提供详细质保售后服务计划方案。方案内因说明投标人提供的售后服务内容与主要设备厂家提供的售后服务内容。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3</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中标人供货时提供设备操作说明书、产品检验合格证书、原厂产品保修单等，根据招标人要求提供设备安装、调试、验收、培训等服务。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4</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投标人应提供故障应急响应和维护服务，按需提供的常规配件和消耗品，仪器设备故障报修在</w:t>
            </w:r>
            <w:r>
              <w:rPr>
                <w:color w:val="auto"/>
                <w:sz w:val="21"/>
                <w:highlight w:val="none"/>
              </w:rPr>
              <w:t>30</w:t>
            </w:r>
            <w:r>
              <w:rPr>
                <w:rFonts w:hint="eastAsia"/>
                <w:color w:val="auto"/>
                <w:sz w:val="21"/>
                <w:highlight w:val="none"/>
              </w:rPr>
              <w:t>分钟内响应，</w:t>
            </w:r>
            <w:r>
              <w:rPr>
                <w:color w:val="auto"/>
                <w:sz w:val="21"/>
                <w:highlight w:val="none"/>
              </w:rPr>
              <w:t>2</w:t>
            </w:r>
            <w:r>
              <w:rPr>
                <w:rFonts w:hint="eastAsia"/>
                <w:color w:val="auto"/>
                <w:sz w:val="21"/>
                <w:highlight w:val="none"/>
              </w:rPr>
              <w:t>小时内提出解决方案，不能远程解决的，报修当天维修人员到达现场；</w:t>
            </w:r>
          </w:p>
          <w:p>
            <w:pPr>
              <w:pStyle w:val="30"/>
              <w:jc w:val="left"/>
              <w:rPr>
                <w:color w:val="auto"/>
                <w:sz w:val="21"/>
                <w:highlight w:val="none"/>
              </w:rPr>
            </w:pPr>
            <w:r>
              <w:rPr>
                <w:rFonts w:hint="eastAsia"/>
                <w:color w:val="auto"/>
                <w:sz w:val="21"/>
                <w:highlight w:val="none"/>
              </w:rPr>
              <w:t>质保期内全年提供技术支持，所需零部件及配件全年供应，软件终身免费维护及升级。</w:t>
            </w:r>
          </w:p>
          <w:p>
            <w:pPr>
              <w:pStyle w:val="30"/>
              <w:jc w:val="left"/>
              <w:rPr>
                <w:color w:val="auto"/>
                <w:sz w:val="21"/>
                <w:highlight w:val="none"/>
              </w:rPr>
            </w:pPr>
            <w:r>
              <w:rPr>
                <w:rFonts w:hint="eastAsia"/>
                <w:color w:val="auto"/>
                <w:sz w:val="21"/>
                <w:highlight w:val="none"/>
              </w:rPr>
              <w:t>投标人应提供主要设备内元器件的备件清单（包含数量、使用年限等必要信息）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5</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质保期内投标人提供全包维保服务，包括维修保养设备、预防性维护服务、更换所有故障部件。参加每月一次对所有设备的健康检查、开机测试、对整个设备各部件进行清洁、除尘，对设备各性能进行检查和调整，对隐患部件进行更换等；每年完成一次年度的全面检修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6</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投标人要根据招标人维保设备实际情况，制定规范化的检修操作流程，安排资深工程师团队到现场对维保设备进行每年一度的全面深层次检修，对维保设备的运行情况进行综合性评估，并出具评估报告。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7</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质保期外，中标人对设备非消耗品提供备件服务，投标人应在</w:t>
            </w:r>
            <w:r>
              <w:rPr>
                <w:rFonts w:hint="eastAsia"/>
                <w:b/>
                <w:bCs/>
                <w:color w:val="auto"/>
                <w:sz w:val="21"/>
                <w:highlight w:val="none"/>
              </w:rPr>
              <w:t>投标文件中承诺备品备件的具体折扣。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8</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招标人作为所提供产品及系统的最终用户，是维保服务的直接服务对象，并对产品及系统、维保服务等进行综合评价。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9</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投标人应为本项目提供足够的售后服务技术配备，确保发包人能够得到及时优质的售后服务，自安装初验完成后，提供1位技术人员6个月驻场服务。如投标人委托设备制造商负责售后服务也应在质保期起始阶段正式提供售后服务方案供招标人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10</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电话支持要求：投标人为招标人提供7×24小时服务热线电话支持，当项目采购设备出现故障时，能电话指导招标人现场人员对设备故障进行紧急处理。若遇投标人通讯不畅，造成招标人无法报修，招标人有权请第三方修理发生故障设备，所需费用由投标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11</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投标人</w:t>
            </w:r>
            <w:r>
              <w:rPr>
                <w:rFonts w:hint="eastAsia"/>
                <w:color w:val="auto"/>
                <w:sz w:val="21"/>
                <w:highlight w:val="none"/>
                <w:lang w:eastAsia="zh-CN"/>
              </w:rPr>
              <w:t>中标后</w:t>
            </w:r>
            <w:r>
              <w:rPr>
                <w:rFonts w:hint="eastAsia"/>
                <w:color w:val="auto"/>
                <w:sz w:val="21"/>
                <w:highlight w:val="none"/>
              </w:rPr>
              <w:t>应在项目现场设置备件库，提供易损件的配件。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30"/>
              <w:rPr>
                <w:color w:val="auto"/>
                <w:sz w:val="20"/>
                <w:szCs w:val="20"/>
                <w:highlight w:val="none"/>
              </w:rPr>
            </w:pPr>
            <w:r>
              <w:rPr>
                <w:rFonts w:hint="eastAsia"/>
                <w:color w:val="auto"/>
                <w:sz w:val="20"/>
                <w:szCs w:val="20"/>
                <w:highlight w:val="none"/>
              </w:rPr>
              <w:t>12</w:t>
            </w:r>
          </w:p>
        </w:tc>
        <w:tc>
          <w:tcPr>
            <w:tcW w:w="6602" w:type="dxa"/>
            <w:tcBorders>
              <w:top w:val="single" w:color="auto" w:sz="4" w:space="0"/>
              <w:left w:val="single" w:color="auto" w:sz="4" w:space="0"/>
              <w:bottom w:val="single" w:color="auto" w:sz="4" w:space="0"/>
              <w:right w:val="single" w:color="auto" w:sz="4" w:space="0"/>
            </w:tcBorders>
            <w:vAlign w:val="center"/>
          </w:tcPr>
          <w:p>
            <w:pPr>
              <w:pStyle w:val="30"/>
              <w:jc w:val="left"/>
              <w:rPr>
                <w:color w:val="auto"/>
                <w:sz w:val="21"/>
                <w:highlight w:val="none"/>
              </w:rPr>
            </w:pPr>
            <w:r>
              <w:rPr>
                <w:rFonts w:hint="eastAsia"/>
                <w:color w:val="auto"/>
                <w:sz w:val="21"/>
                <w:highlight w:val="none"/>
              </w:rPr>
              <w:t>招标人作为所提供产品及系统的最终用户，是维保服务的直接服务对象，并对产品及系统、维保服务等进行综合评价。</w:t>
            </w:r>
          </w:p>
        </w:tc>
      </w:tr>
    </w:tbl>
    <w:p>
      <w:pPr>
        <w:ind w:firstLine="480"/>
        <w:rPr>
          <w:color w:val="auto"/>
          <w:highlight w:val="none"/>
        </w:rPr>
      </w:pPr>
    </w:p>
    <w:p>
      <w:pPr>
        <w:pStyle w:val="3"/>
        <w:spacing w:before="156" w:after="156"/>
        <w:rPr>
          <w:color w:val="auto"/>
          <w:highlight w:val="none"/>
        </w:rPr>
      </w:pPr>
      <w:r>
        <w:rPr>
          <w:rFonts w:hint="eastAsia"/>
          <w:color w:val="auto"/>
          <w:highlight w:val="none"/>
        </w:rPr>
        <w:t>培训服务要求</w:t>
      </w:r>
    </w:p>
    <w:p>
      <w:pPr>
        <w:ind w:firstLine="480"/>
        <w:rPr>
          <w:color w:val="auto"/>
          <w:highlight w:val="none"/>
        </w:rPr>
      </w:pPr>
      <w:r>
        <w:rPr>
          <w:rFonts w:hint="eastAsia"/>
          <w:color w:val="auto"/>
          <w:highlight w:val="none"/>
        </w:rPr>
        <w:t>为保证设备正常工作，投标人应负责培训招标人的维护操作人员，使维护操作人员能完全熟悉并掌握软硬件维护技能，及时排除一般的设备故障。</w:t>
      </w:r>
    </w:p>
    <w:p>
      <w:pPr>
        <w:ind w:firstLine="480"/>
        <w:rPr>
          <w:color w:val="auto"/>
          <w:highlight w:val="none"/>
        </w:rPr>
      </w:pPr>
      <w:r>
        <w:rPr>
          <w:rFonts w:hint="eastAsia"/>
          <w:color w:val="auto"/>
          <w:highlight w:val="none"/>
          <w:lang w:eastAsia="zh-CN"/>
        </w:rPr>
        <w:t>中</w:t>
      </w:r>
      <w:r>
        <w:rPr>
          <w:rFonts w:hint="eastAsia"/>
          <w:color w:val="auto"/>
          <w:highlight w:val="none"/>
        </w:rPr>
        <w:t>标人须建立和记录完成的培训内容。交付系统之前，应确保维护操作人员接受过培训，并熟悉相关内容。对全新或不常见的系统应重点培训以免误操作，并在培训前呈交培训手册供招标人审批。</w:t>
      </w:r>
    </w:p>
    <w:p>
      <w:pPr>
        <w:ind w:firstLine="480"/>
        <w:rPr>
          <w:color w:val="auto"/>
          <w:highlight w:val="none"/>
        </w:rPr>
      </w:pPr>
      <w:r>
        <w:rPr>
          <w:rFonts w:hint="eastAsia"/>
          <w:color w:val="auto"/>
          <w:highlight w:val="none"/>
          <w:lang w:eastAsia="zh-CN"/>
        </w:rPr>
        <w:t>中</w:t>
      </w:r>
      <w:r>
        <w:rPr>
          <w:rFonts w:hint="eastAsia"/>
          <w:color w:val="auto"/>
          <w:highlight w:val="none"/>
        </w:rPr>
        <w:t>标人须提供所需的培训设施和课程，以确保招标人的维护操作人员能对投标人所提供的系统和设备/装置的设计、日常的运作、例行维护、故障/事故的处理和解决等方面有全面性的认识和了解。</w:t>
      </w:r>
    </w:p>
    <w:p>
      <w:pPr>
        <w:ind w:firstLine="480"/>
        <w:rPr>
          <w:color w:val="auto"/>
          <w:highlight w:val="none"/>
        </w:rPr>
      </w:pPr>
      <w:r>
        <w:rPr>
          <w:rFonts w:hint="eastAsia"/>
          <w:color w:val="auto"/>
          <w:highlight w:val="none"/>
        </w:rPr>
        <w:t>上述培训所需的所有费用应包括在投标人的合同价内。</w:t>
      </w:r>
    </w:p>
    <w:p>
      <w:pPr>
        <w:ind w:firstLine="422"/>
        <w:rPr>
          <w:b/>
          <w:color w:val="auto"/>
          <w:highlight w:val="none"/>
        </w:rPr>
      </w:pPr>
      <w:r>
        <w:rPr>
          <w:rFonts w:hint="eastAsia"/>
          <w:b/>
          <w:color w:val="auto"/>
          <w:highlight w:val="none"/>
        </w:rPr>
        <w:t>投标人在投标文件中须提供详细培训服务计划方案。</w:t>
      </w:r>
    </w:p>
    <w:p>
      <w:pPr>
        <w:pStyle w:val="3"/>
        <w:spacing w:before="156" w:after="156"/>
        <w:rPr>
          <w:color w:val="auto"/>
          <w:highlight w:val="none"/>
        </w:rPr>
      </w:pPr>
      <w:r>
        <w:rPr>
          <w:rFonts w:hint="eastAsia"/>
          <w:color w:val="auto"/>
          <w:highlight w:val="none"/>
        </w:rPr>
        <w:t>其他要求</w:t>
      </w:r>
    </w:p>
    <w:p>
      <w:pPr>
        <w:pStyle w:val="51"/>
        <w:numPr>
          <w:ilvl w:val="0"/>
          <w:numId w:val="4"/>
        </w:numPr>
        <w:ind w:firstLineChars="0"/>
        <w:rPr>
          <w:color w:val="auto"/>
          <w:highlight w:val="none"/>
        </w:rPr>
      </w:pPr>
      <w:r>
        <w:rPr>
          <w:rFonts w:hint="eastAsia"/>
          <w:color w:val="auto"/>
          <w:highlight w:val="none"/>
        </w:rPr>
        <w:t>投标人具备质量管理体系认证（</w:t>
      </w:r>
      <w:r>
        <w:rPr>
          <w:color w:val="auto"/>
          <w:highlight w:val="none"/>
        </w:rPr>
        <w:t xml:space="preserve">GB/T 19001-2016/ISO </w:t>
      </w:r>
      <w:r>
        <w:rPr>
          <w:rFonts w:hint="eastAsia"/>
          <w:color w:val="auto"/>
          <w:highlight w:val="none"/>
        </w:rPr>
        <w:t>9001:2015认证）的优先考虑。</w:t>
      </w:r>
    </w:p>
    <w:p>
      <w:pPr>
        <w:ind w:firstLine="480"/>
        <w:rPr>
          <w:color w:val="auto"/>
          <w:highlight w:val="none"/>
        </w:rPr>
      </w:pPr>
      <w:r>
        <w:rPr>
          <w:rFonts w:hint="eastAsia"/>
          <w:color w:val="auto"/>
          <w:highlight w:val="none"/>
        </w:rPr>
        <w:t>2、在满足招标文件及合同条款各项违约责任要求的前提下，投标人可在投标文件中出具更加有竞争力的违约责任承诺（承诺函均应加盖投标人公章）</w:t>
      </w:r>
    </w:p>
    <w:p>
      <w:pPr>
        <w:ind w:firstLine="480"/>
        <w:rPr>
          <w:color w:val="auto"/>
          <w:highlight w:val="none"/>
        </w:rPr>
      </w:pPr>
      <w:r>
        <w:rPr>
          <w:rFonts w:hint="eastAsia"/>
          <w:color w:val="auto"/>
          <w:highlight w:val="none"/>
        </w:rPr>
        <w:t>（</w:t>
      </w:r>
      <w:r>
        <w:rPr>
          <w:color w:val="auto"/>
          <w:highlight w:val="none"/>
        </w:rPr>
        <w:t>1</w:t>
      </w:r>
      <w:r>
        <w:rPr>
          <w:rFonts w:hint="eastAsia"/>
          <w:color w:val="auto"/>
          <w:highlight w:val="none"/>
        </w:rPr>
        <w:t>）供货期承诺及违反承诺后的处罚措施；</w:t>
      </w:r>
    </w:p>
    <w:p>
      <w:pPr>
        <w:ind w:firstLine="480"/>
        <w:rPr>
          <w:color w:val="auto"/>
          <w:highlight w:val="none"/>
        </w:rPr>
      </w:pPr>
      <w:r>
        <w:rPr>
          <w:rFonts w:hint="eastAsia"/>
          <w:color w:val="auto"/>
          <w:highlight w:val="none"/>
        </w:rPr>
        <w:t>（</w:t>
      </w:r>
      <w:r>
        <w:rPr>
          <w:color w:val="auto"/>
          <w:highlight w:val="none"/>
        </w:rPr>
        <w:t>2</w:t>
      </w:r>
      <w:r>
        <w:rPr>
          <w:rFonts w:hint="eastAsia"/>
          <w:color w:val="auto"/>
          <w:highlight w:val="none"/>
        </w:rPr>
        <w:t>）售后服务承诺及违反承诺后的处罚措施；</w:t>
      </w:r>
    </w:p>
    <w:p>
      <w:pPr>
        <w:ind w:firstLine="480"/>
        <w:rPr>
          <w:color w:val="auto"/>
          <w:highlight w:val="none"/>
        </w:rPr>
      </w:pPr>
      <w:r>
        <w:rPr>
          <w:rFonts w:hint="eastAsia"/>
          <w:color w:val="auto"/>
          <w:highlight w:val="none"/>
        </w:rPr>
        <w:t>（</w:t>
      </w:r>
      <w:r>
        <w:rPr>
          <w:color w:val="auto"/>
          <w:highlight w:val="none"/>
        </w:rPr>
        <w:t>3</w:t>
      </w:r>
      <w:r>
        <w:rPr>
          <w:rFonts w:hint="eastAsia"/>
          <w:color w:val="auto"/>
          <w:highlight w:val="none"/>
        </w:rPr>
        <w:t>）质量承诺及违反承诺后的处罚措施。</w:t>
      </w:r>
    </w:p>
    <w:bookmarkEnd w:id="1"/>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Light">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华文中宋"/>
    <w:panose1 w:val="02010600030101010101"/>
    <w:charset w:val="86"/>
    <w:family w:val="auto"/>
    <w:pitch w:val="default"/>
    <w:sig w:usb0="00000000" w:usb1="00000000" w:usb2="00000016" w:usb3="00000000" w:csb0="0004000F" w:csb1="00000000"/>
  </w:font>
  <w:font w:name="文泉驿微米黑">
    <w:panose1 w:val="020B0606030804020204"/>
    <w:charset w:val="86"/>
    <w:family w:val="auto"/>
    <w:pitch w:val="default"/>
    <w:sig w:usb0="E10002EF" w:usb1="6BDFFCFB" w:usb2="00800036" w:usb3="00000000" w:csb0="603E019F" w:csb1="DFD7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A638E6"/>
    <w:multiLevelType w:val="multilevel"/>
    <w:tmpl w:val="45A638E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
    <w:nsid w:val="48FB59F7"/>
    <w:multiLevelType w:val="singleLevel"/>
    <w:tmpl w:val="48FB59F7"/>
    <w:lvl w:ilvl="0" w:tentative="0">
      <w:start w:val="1"/>
      <w:numFmt w:val="decimal"/>
      <w:suff w:val="nothing"/>
      <w:lvlText w:val="%1、"/>
      <w:lvlJc w:val="left"/>
    </w:lvl>
  </w:abstractNum>
  <w:abstractNum w:abstractNumId="2">
    <w:nsid w:val="4AE0C5CD"/>
    <w:multiLevelType w:val="singleLevel"/>
    <w:tmpl w:val="4AE0C5CD"/>
    <w:lvl w:ilvl="0" w:tentative="0">
      <w:start w:val="2"/>
      <w:numFmt w:val="decimal"/>
      <w:suff w:val="nothing"/>
      <w:lvlText w:val="%1）"/>
      <w:lvlJc w:val="left"/>
    </w:lvl>
  </w:abstractNum>
  <w:abstractNum w:abstractNumId="3">
    <w:nsid w:val="71406681"/>
    <w:multiLevelType w:val="multilevel"/>
    <w:tmpl w:val="7140668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2OTY4YTE4NjQ5N2MwZTM0ZDgzZmUxZmU3MDVlNzIifQ=="/>
  </w:docVars>
  <w:rsids>
    <w:rsidRoot w:val="00452118"/>
    <w:rsid w:val="0001752E"/>
    <w:rsid w:val="00043064"/>
    <w:rsid w:val="00045927"/>
    <w:rsid w:val="00105D99"/>
    <w:rsid w:val="00105F5C"/>
    <w:rsid w:val="00134BE9"/>
    <w:rsid w:val="001967BF"/>
    <w:rsid w:val="001B2986"/>
    <w:rsid w:val="001D6124"/>
    <w:rsid w:val="001E1958"/>
    <w:rsid w:val="00205504"/>
    <w:rsid w:val="00240128"/>
    <w:rsid w:val="00257413"/>
    <w:rsid w:val="00452118"/>
    <w:rsid w:val="00484466"/>
    <w:rsid w:val="004B4926"/>
    <w:rsid w:val="00514542"/>
    <w:rsid w:val="00582A3F"/>
    <w:rsid w:val="00682036"/>
    <w:rsid w:val="00685A4F"/>
    <w:rsid w:val="006862B9"/>
    <w:rsid w:val="006D1F27"/>
    <w:rsid w:val="006E3F4F"/>
    <w:rsid w:val="006F74DB"/>
    <w:rsid w:val="007270F9"/>
    <w:rsid w:val="007454D9"/>
    <w:rsid w:val="007D1DBA"/>
    <w:rsid w:val="008260FD"/>
    <w:rsid w:val="008E6A53"/>
    <w:rsid w:val="00993AA6"/>
    <w:rsid w:val="009A27D9"/>
    <w:rsid w:val="009B332C"/>
    <w:rsid w:val="009C6C68"/>
    <w:rsid w:val="00A526F2"/>
    <w:rsid w:val="00AA4F93"/>
    <w:rsid w:val="00B60603"/>
    <w:rsid w:val="00B934EA"/>
    <w:rsid w:val="00BB07B2"/>
    <w:rsid w:val="00C32C1C"/>
    <w:rsid w:val="00C90E57"/>
    <w:rsid w:val="00CC155E"/>
    <w:rsid w:val="00D01F8F"/>
    <w:rsid w:val="00D24895"/>
    <w:rsid w:val="00D577E2"/>
    <w:rsid w:val="00D623DD"/>
    <w:rsid w:val="00DA5457"/>
    <w:rsid w:val="00DE0515"/>
    <w:rsid w:val="00DE2D14"/>
    <w:rsid w:val="00DE59BF"/>
    <w:rsid w:val="00E107A3"/>
    <w:rsid w:val="00E1124E"/>
    <w:rsid w:val="00ED378A"/>
    <w:rsid w:val="00F07957"/>
    <w:rsid w:val="00F24EFC"/>
    <w:rsid w:val="00F51C74"/>
    <w:rsid w:val="00F94CD4"/>
    <w:rsid w:val="00FD70B5"/>
    <w:rsid w:val="012F4095"/>
    <w:rsid w:val="01E42EC9"/>
    <w:rsid w:val="02522030"/>
    <w:rsid w:val="02B97306"/>
    <w:rsid w:val="03052FA1"/>
    <w:rsid w:val="03A22307"/>
    <w:rsid w:val="041E03B9"/>
    <w:rsid w:val="04D064F3"/>
    <w:rsid w:val="072C590F"/>
    <w:rsid w:val="07F00941"/>
    <w:rsid w:val="07FD21F1"/>
    <w:rsid w:val="0BA069DB"/>
    <w:rsid w:val="0F277D6F"/>
    <w:rsid w:val="11CC6097"/>
    <w:rsid w:val="11E80A4C"/>
    <w:rsid w:val="12E6139C"/>
    <w:rsid w:val="146F5938"/>
    <w:rsid w:val="1584445E"/>
    <w:rsid w:val="192937B0"/>
    <w:rsid w:val="1C6336EF"/>
    <w:rsid w:val="1CC96E50"/>
    <w:rsid w:val="1E9877E3"/>
    <w:rsid w:val="1F34517D"/>
    <w:rsid w:val="1FB788CB"/>
    <w:rsid w:val="20327AB0"/>
    <w:rsid w:val="21262550"/>
    <w:rsid w:val="22DE4CC3"/>
    <w:rsid w:val="26B00E41"/>
    <w:rsid w:val="27C10EC1"/>
    <w:rsid w:val="27CB4F27"/>
    <w:rsid w:val="281C4C20"/>
    <w:rsid w:val="2832788D"/>
    <w:rsid w:val="28F332F8"/>
    <w:rsid w:val="2AC765E6"/>
    <w:rsid w:val="2D0F6EF6"/>
    <w:rsid w:val="2D5E7113"/>
    <w:rsid w:val="2EC87EE8"/>
    <w:rsid w:val="308249B7"/>
    <w:rsid w:val="326B4178"/>
    <w:rsid w:val="34B36F74"/>
    <w:rsid w:val="36FC15F0"/>
    <w:rsid w:val="37AD7BBC"/>
    <w:rsid w:val="38E069CE"/>
    <w:rsid w:val="399F26F3"/>
    <w:rsid w:val="3B7EE06D"/>
    <w:rsid w:val="3D540FF8"/>
    <w:rsid w:val="3E954C18"/>
    <w:rsid w:val="3EBD4A6F"/>
    <w:rsid w:val="3ECF5B38"/>
    <w:rsid w:val="3F066999"/>
    <w:rsid w:val="40F150FB"/>
    <w:rsid w:val="41E57DDF"/>
    <w:rsid w:val="432D7CD8"/>
    <w:rsid w:val="47105BDC"/>
    <w:rsid w:val="488F075E"/>
    <w:rsid w:val="49065552"/>
    <w:rsid w:val="495F2241"/>
    <w:rsid w:val="49FC4FA8"/>
    <w:rsid w:val="4AA67334"/>
    <w:rsid w:val="4CCD396C"/>
    <w:rsid w:val="4FFC35A4"/>
    <w:rsid w:val="4FFC7AF6"/>
    <w:rsid w:val="515406D7"/>
    <w:rsid w:val="529C3054"/>
    <w:rsid w:val="537FB4FE"/>
    <w:rsid w:val="543162F7"/>
    <w:rsid w:val="54CB6CF6"/>
    <w:rsid w:val="559317E9"/>
    <w:rsid w:val="55B81234"/>
    <w:rsid w:val="5BCE7B3A"/>
    <w:rsid w:val="5C761E49"/>
    <w:rsid w:val="5CE605AA"/>
    <w:rsid w:val="5E253A50"/>
    <w:rsid w:val="5EFE0EAB"/>
    <w:rsid w:val="5FBF062F"/>
    <w:rsid w:val="62183C7F"/>
    <w:rsid w:val="631154C7"/>
    <w:rsid w:val="633FC8F7"/>
    <w:rsid w:val="6453440C"/>
    <w:rsid w:val="646568B9"/>
    <w:rsid w:val="66E22AEF"/>
    <w:rsid w:val="67050051"/>
    <w:rsid w:val="674C4745"/>
    <w:rsid w:val="69481A6C"/>
    <w:rsid w:val="6A222D8C"/>
    <w:rsid w:val="6A386DCC"/>
    <w:rsid w:val="6ADF90E0"/>
    <w:rsid w:val="6B5F1EC6"/>
    <w:rsid w:val="6BD3A1A7"/>
    <w:rsid w:val="6BF20A79"/>
    <w:rsid w:val="6BFD60CF"/>
    <w:rsid w:val="6D5B6C1D"/>
    <w:rsid w:val="6DF7452C"/>
    <w:rsid w:val="6E867381"/>
    <w:rsid w:val="7086631E"/>
    <w:rsid w:val="70E92809"/>
    <w:rsid w:val="715B6715"/>
    <w:rsid w:val="72EA32A0"/>
    <w:rsid w:val="739527AF"/>
    <w:rsid w:val="739D8BE8"/>
    <w:rsid w:val="753C098C"/>
    <w:rsid w:val="753D50D2"/>
    <w:rsid w:val="75D73507"/>
    <w:rsid w:val="760B7B5F"/>
    <w:rsid w:val="76FE95C8"/>
    <w:rsid w:val="7737C254"/>
    <w:rsid w:val="77DDFAFA"/>
    <w:rsid w:val="77F5F3B2"/>
    <w:rsid w:val="784050C9"/>
    <w:rsid w:val="7885416D"/>
    <w:rsid w:val="79B75241"/>
    <w:rsid w:val="7BA619AB"/>
    <w:rsid w:val="7C9C0A60"/>
    <w:rsid w:val="7D6F0600"/>
    <w:rsid w:val="7DDF3B06"/>
    <w:rsid w:val="7DFF64E8"/>
    <w:rsid w:val="7DFF7E09"/>
    <w:rsid w:val="7F505D7D"/>
    <w:rsid w:val="7FDDDC63"/>
    <w:rsid w:val="A46F032E"/>
    <w:rsid w:val="ADF29B8B"/>
    <w:rsid w:val="BFF291CF"/>
    <w:rsid w:val="BFFB3A90"/>
    <w:rsid w:val="BFFDCA31"/>
    <w:rsid w:val="CF7F69DD"/>
    <w:rsid w:val="CFCAC2F6"/>
    <w:rsid w:val="D3FF8B94"/>
    <w:rsid w:val="DFFF1877"/>
    <w:rsid w:val="E9DF732C"/>
    <w:rsid w:val="F77FDBBF"/>
    <w:rsid w:val="F7FB4304"/>
    <w:rsid w:val="F9FEEF8E"/>
    <w:rsid w:val="FB6B9551"/>
    <w:rsid w:val="FB7A2458"/>
    <w:rsid w:val="FF5E652B"/>
    <w:rsid w:val="FF67812F"/>
    <w:rsid w:val="FF7FDE70"/>
    <w:rsid w:val="FFD685AE"/>
    <w:rsid w:val="FFEFD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next w:val="1"/>
    <w:link w:val="24"/>
    <w:qFormat/>
    <w:uiPriority w:val="0"/>
    <w:pPr>
      <w:keepNext/>
      <w:keepLines/>
      <w:numPr>
        <w:ilvl w:val="0"/>
        <w:numId w:val="1"/>
      </w:numPr>
      <w:spacing w:beforeLines="50" w:afterLines="50" w:line="360" w:lineRule="auto"/>
      <w:outlineLvl w:val="0"/>
    </w:pPr>
    <w:rPr>
      <w:rFonts w:ascii="Times New Roman" w:hAnsi="Times New Roman" w:eastAsia="黑体" w:cs="Times New Roman"/>
      <w:b/>
      <w:bCs/>
      <w:kern w:val="44"/>
      <w:sz w:val="36"/>
      <w:lang w:val="en-US" w:eastAsia="zh-CN" w:bidi="ar-SA"/>
    </w:rPr>
  </w:style>
  <w:style w:type="paragraph" w:styleId="3">
    <w:name w:val="heading 2"/>
    <w:next w:val="1"/>
    <w:link w:val="25"/>
    <w:qFormat/>
    <w:uiPriority w:val="0"/>
    <w:pPr>
      <w:keepNext/>
      <w:keepLines/>
      <w:numPr>
        <w:ilvl w:val="1"/>
        <w:numId w:val="1"/>
      </w:numPr>
      <w:spacing w:beforeLines="50" w:afterLines="50" w:line="360" w:lineRule="auto"/>
      <w:outlineLvl w:val="1"/>
    </w:pPr>
    <w:rPr>
      <w:rFonts w:ascii="Times New Roman" w:hAnsi="Times New Roman" w:eastAsia="黑体" w:cs="Times New Roman"/>
      <w:b/>
      <w:bCs/>
      <w:kern w:val="2"/>
      <w:sz w:val="32"/>
      <w:szCs w:val="32"/>
      <w:lang w:val="en-US" w:eastAsia="zh-CN" w:bidi="ar-SA"/>
    </w:rPr>
  </w:style>
  <w:style w:type="paragraph" w:styleId="4">
    <w:name w:val="heading 3"/>
    <w:next w:val="1"/>
    <w:link w:val="26"/>
    <w:qFormat/>
    <w:uiPriority w:val="0"/>
    <w:pPr>
      <w:keepNext/>
      <w:keepLines/>
      <w:numPr>
        <w:ilvl w:val="2"/>
        <w:numId w:val="1"/>
      </w:numPr>
      <w:spacing w:line="360" w:lineRule="auto"/>
      <w:outlineLvl w:val="2"/>
    </w:pPr>
    <w:rPr>
      <w:rFonts w:ascii="黑体" w:hAnsi="黑体" w:eastAsia="黑体" w:cs="Times New Roman"/>
      <w:b/>
      <w:bCs/>
      <w:kern w:val="2"/>
      <w:sz w:val="32"/>
      <w:szCs w:val="32"/>
      <w:lang w:val="en-US" w:eastAsia="zh-CN" w:bidi="ar-SA"/>
    </w:rPr>
  </w:style>
  <w:style w:type="paragraph" w:styleId="5">
    <w:name w:val="heading 4"/>
    <w:next w:val="1"/>
    <w:link w:val="27"/>
    <w:qFormat/>
    <w:uiPriority w:val="0"/>
    <w:pPr>
      <w:keepNext/>
      <w:keepLines/>
      <w:numPr>
        <w:ilvl w:val="3"/>
        <w:numId w:val="1"/>
      </w:numPr>
      <w:tabs>
        <w:tab w:val="left" w:pos="240"/>
        <w:tab w:val="left" w:pos="289"/>
      </w:tabs>
      <w:spacing w:line="360" w:lineRule="auto"/>
      <w:outlineLvl w:val="3"/>
    </w:pPr>
    <w:rPr>
      <w:rFonts w:ascii="Times New Roman" w:hAnsi="Times New Roman" w:eastAsia="黑体" w:cs="Times New Roman"/>
      <w:b/>
      <w:bCs/>
      <w:kern w:val="2"/>
      <w:sz w:val="30"/>
      <w:szCs w:val="30"/>
      <w:lang w:val="en-US" w:eastAsia="zh-CN" w:bidi="ar-SA"/>
    </w:rPr>
  </w:style>
  <w:style w:type="paragraph" w:styleId="6">
    <w:name w:val="heading 5"/>
    <w:next w:val="1"/>
    <w:link w:val="28"/>
    <w:qFormat/>
    <w:uiPriority w:val="0"/>
    <w:pPr>
      <w:keepNext/>
      <w:keepLines/>
      <w:numPr>
        <w:ilvl w:val="4"/>
        <w:numId w:val="1"/>
      </w:numPr>
      <w:spacing w:beforeLines="50" w:afterLines="50" w:line="360" w:lineRule="auto"/>
      <w:outlineLvl w:val="4"/>
    </w:pPr>
    <w:rPr>
      <w:rFonts w:ascii="Times New Roman" w:hAnsi="Times New Roman" w:eastAsia="黑体" w:cs="Times New Roman"/>
      <w:b/>
      <w:bCs/>
      <w:kern w:val="2"/>
      <w:sz w:val="28"/>
      <w:szCs w:val="28"/>
      <w:lang w:val="en-US" w:eastAsia="zh-CN" w:bidi="ar-SA"/>
    </w:rPr>
  </w:style>
  <w:style w:type="paragraph" w:styleId="7">
    <w:name w:val="heading 6"/>
    <w:basedOn w:val="1"/>
    <w:next w:val="1"/>
    <w:link w:val="29"/>
    <w:qFormat/>
    <w:uiPriority w:val="0"/>
    <w:pPr>
      <w:keepNext/>
      <w:keepLines/>
      <w:numPr>
        <w:ilvl w:val="5"/>
        <w:numId w:val="1"/>
      </w:numPr>
      <w:spacing w:beforeLines="50" w:afterLines="50"/>
      <w:ind w:firstLine="0" w:firstLineChars="0"/>
      <w:jc w:val="left"/>
      <w:outlineLvl w:val="5"/>
    </w:pPr>
    <w:rPr>
      <w:rFonts w:eastAsia="黑体"/>
      <w:b/>
      <w:bCs/>
    </w:rPr>
  </w:style>
  <w:style w:type="paragraph" w:styleId="8">
    <w:name w:val="heading 7"/>
    <w:basedOn w:val="1"/>
    <w:next w:val="1"/>
    <w:link w:val="34"/>
    <w:semiHidden/>
    <w:unhideWhenUsed/>
    <w:qFormat/>
    <w:uiPriority w:val="9"/>
    <w:pPr>
      <w:keepNext/>
      <w:keepLines/>
      <w:numPr>
        <w:ilvl w:val="6"/>
        <w:numId w:val="1"/>
      </w:numPr>
      <w:spacing w:before="240" w:after="64" w:line="320" w:lineRule="auto"/>
      <w:outlineLvl w:val="6"/>
    </w:pPr>
    <w:rPr>
      <w:b/>
      <w:bCs/>
    </w:rPr>
  </w:style>
  <w:style w:type="paragraph" w:styleId="9">
    <w:name w:val="heading 8"/>
    <w:basedOn w:val="1"/>
    <w:next w:val="1"/>
    <w:link w:val="35"/>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rPr>
  </w:style>
  <w:style w:type="paragraph" w:styleId="10">
    <w:name w:val="heading 9"/>
    <w:basedOn w:val="1"/>
    <w:next w:val="1"/>
    <w:link w:val="36"/>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33"/>
    <w:semiHidden/>
    <w:unhideWhenUsed/>
    <w:qFormat/>
    <w:uiPriority w:val="0"/>
    <w:pPr>
      <w:spacing w:line="240" w:lineRule="auto"/>
      <w:ind w:firstLine="420"/>
    </w:pPr>
    <w:rPr>
      <w:sz w:val="21"/>
      <w:szCs w:val="20"/>
    </w:rPr>
  </w:style>
  <w:style w:type="paragraph" w:styleId="12">
    <w:name w:val="caption"/>
    <w:basedOn w:val="1"/>
    <w:next w:val="1"/>
    <w:unhideWhenUsed/>
    <w:qFormat/>
    <w:uiPriority w:val="0"/>
    <w:rPr>
      <w:rFonts w:eastAsia="黑体" w:asciiTheme="majorHAnsi" w:hAnsiTheme="majorHAnsi" w:cstheme="majorBidi"/>
      <w:sz w:val="20"/>
      <w:szCs w:val="20"/>
    </w:rPr>
  </w:style>
  <w:style w:type="paragraph" w:styleId="13">
    <w:name w:val="annotation text"/>
    <w:basedOn w:val="1"/>
    <w:link w:val="49"/>
    <w:semiHidden/>
    <w:unhideWhenUsed/>
    <w:qFormat/>
    <w:uiPriority w:val="99"/>
    <w:pPr>
      <w:jc w:val="left"/>
    </w:pPr>
  </w:style>
  <w:style w:type="paragraph" w:styleId="14">
    <w:name w:val="Body Text Indent"/>
    <w:basedOn w:val="1"/>
    <w:link w:val="39"/>
    <w:semiHidden/>
    <w:unhideWhenUsed/>
    <w:qFormat/>
    <w:uiPriority w:val="99"/>
    <w:pPr>
      <w:spacing w:after="120"/>
      <w:ind w:left="420" w:leftChars="200"/>
    </w:pPr>
  </w:style>
  <w:style w:type="paragraph" w:styleId="15">
    <w:name w:val="Plain Text"/>
    <w:basedOn w:val="1"/>
    <w:link w:val="38"/>
    <w:semiHidden/>
    <w:unhideWhenUsed/>
    <w:qFormat/>
    <w:uiPriority w:val="99"/>
    <w:rPr>
      <w:rFonts w:hAnsi="Courier New" w:cs="Courier New" w:asciiTheme="minorEastAsia" w:eastAsiaTheme="minorEastAsia"/>
    </w:rPr>
  </w:style>
  <w:style w:type="paragraph" w:styleId="16">
    <w:name w:val="Balloon Text"/>
    <w:basedOn w:val="1"/>
    <w:link w:val="48"/>
    <w:semiHidden/>
    <w:unhideWhenUsed/>
    <w:qFormat/>
    <w:uiPriority w:val="99"/>
    <w:pPr>
      <w:spacing w:line="240" w:lineRule="auto"/>
    </w:pPr>
    <w:rPr>
      <w:sz w:val="18"/>
      <w:szCs w:val="18"/>
    </w:rPr>
  </w:style>
  <w:style w:type="paragraph" w:styleId="17">
    <w:name w:val="footer"/>
    <w:basedOn w:val="1"/>
    <w:link w:val="42"/>
    <w:unhideWhenUsed/>
    <w:qFormat/>
    <w:uiPriority w:val="99"/>
    <w:pPr>
      <w:tabs>
        <w:tab w:val="center" w:pos="4153"/>
        <w:tab w:val="right" w:pos="8306"/>
      </w:tabs>
      <w:snapToGrid w:val="0"/>
      <w:spacing w:line="240" w:lineRule="auto"/>
      <w:jc w:val="left"/>
    </w:pPr>
    <w:rPr>
      <w:sz w:val="18"/>
      <w:szCs w:val="18"/>
    </w:rPr>
  </w:style>
  <w:style w:type="paragraph" w:styleId="18">
    <w:name w:val="header"/>
    <w:basedOn w:val="1"/>
    <w:link w:val="41"/>
    <w:unhideWhenUsed/>
    <w:qFormat/>
    <w:uiPriority w:val="99"/>
    <w:pPr>
      <w:tabs>
        <w:tab w:val="center" w:pos="4153"/>
        <w:tab w:val="right" w:pos="8306"/>
      </w:tabs>
      <w:snapToGrid w:val="0"/>
      <w:spacing w:line="240" w:lineRule="auto"/>
      <w:jc w:val="center"/>
    </w:pPr>
    <w:rPr>
      <w:sz w:val="18"/>
      <w:szCs w:val="18"/>
    </w:rPr>
  </w:style>
  <w:style w:type="paragraph" w:styleId="19">
    <w:name w:val="annotation subject"/>
    <w:basedOn w:val="13"/>
    <w:next w:val="13"/>
    <w:link w:val="50"/>
    <w:semiHidden/>
    <w:unhideWhenUsed/>
    <w:qFormat/>
    <w:uiPriority w:val="99"/>
    <w:rPr>
      <w:b/>
      <w:bCs/>
    </w:rPr>
  </w:style>
  <w:style w:type="paragraph" w:styleId="20">
    <w:name w:val="Body Text First Indent 2"/>
    <w:basedOn w:val="14"/>
    <w:link w:val="40"/>
    <w:unhideWhenUsed/>
    <w:qFormat/>
    <w:uiPriority w:val="99"/>
    <w:pPr>
      <w:spacing w:after="0" w:line="240" w:lineRule="auto"/>
      <w:ind w:left="0" w:leftChars="0" w:firstLine="0" w:firstLineChars="0"/>
      <w:jc w:val="center"/>
    </w:pPr>
    <w:rPr>
      <w:rFonts w:ascii="宋体"/>
      <w:kern w:val="0"/>
      <w:sz w:val="30"/>
      <w:szCs w:val="30"/>
    </w:rPr>
  </w:style>
  <w:style w:type="character" w:styleId="23">
    <w:name w:val="annotation reference"/>
    <w:basedOn w:val="22"/>
    <w:semiHidden/>
    <w:unhideWhenUsed/>
    <w:qFormat/>
    <w:uiPriority w:val="99"/>
    <w:rPr>
      <w:sz w:val="21"/>
      <w:szCs w:val="21"/>
    </w:rPr>
  </w:style>
  <w:style w:type="character" w:customStyle="1" w:styleId="24">
    <w:name w:val="标题 1 字符"/>
    <w:link w:val="2"/>
    <w:qFormat/>
    <w:uiPriority w:val="0"/>
    <w:rPr>
      <w:rFonts w:eastAsia="黑体"/>
      <w:b/>
      <w:bCs/>
      <w:kern w:val="44"/>
      <w:sz w:val="36"/>
      <w14:ligatures w14:val="none"/>
    </w:rPr>
  </w:style>
  <w:style w:type="character" w:customStyle="1" w:styleId="25">
    <w:name w:val="标题 2 字符"/>
    <w:link w:val="3"/>
    <w:qFormat/>
    <w:uiPriority w:val="0"/>
    <w:rPr>
      <w:rFonts w:eastAsia="黑体"/>
      <w:b/>
      <w:bCs/>
      <w:sz w:val="32"/>
      <w:szCs w:val="32"/>
      <w14:ligatures w14:val="none"/>
    </w:rPr>
  </w:style>
  <w:style w:type="character" w:customStyle="1" w:styleId="26">
    <w:name w:val="标题 3 字符"/>
    <w:link w:val="4"/>
    <w:qFormat/>
    <w:uiPriority w:val="0"/>
    <w:rPr>
      <w:rFonts w:ascii="黑体" w:hAnsi="黑体" w:eastAsia="黑体"/>
      <w:b/>
      <w:bCs/>
      <w:sz w:val="32"/>
      <w:szCs w:val="32"/>
      <w14:ligatures w14:val="none"/>
    </w:rPr>
  </w:style>
  <w:style w:type="character" w:customStyle="1" w:styleId="27">
    <w:name w:val="标题 4 字符"/>
    <w:link w:val="5"/>
    <w:qFormat/>
    <w:uiPriority w:val="0"/>
    <w:rPr>
      <w:rFonts w:eastAsia="黑体"/>
      <w:b/>
      <w:bCs/>
      <w:sz w:val="30"/>
      <w:szCs w:val="30"/>
      <w14:ligatures w14:val="none"/>
    </w:rPr>
  </w:style>
  <w:style w:type="character" w:customStyle="1" w:styleId="28">
    <w:name w:val="标题 5 字符"/>
    <w:link w:val="6"/>
    <w:qFormat/>
    <w:uiPriority w:val="0"/>
    <w:rPr>
      <w:rFonts w:eastAsia="黑体"/>
      <w:b/>
      <w:bCs/>
      <w:sz w:val="28"/>
      <w:szCs w:val="28"/>
      <w14:ligatures w14:val="none"/>
    </w:rPr>
  </w:style>
  <w:style w:type="character" w:customStyle="1" w:styleId="29">
    <w:name w:val="标题 6 字符"/>
    <w:link w:val="7"/>
    <w:qFormat/>
    <w:uiPriority w:val="0"/>
    <w:rPr>
      <w:rFonts w:eastAsia="黑体"/>
      <w:b/>
      <w:bCs/>
      <w:sz w:val="24"/>
      <w:szCs w:val="24"/>
      <w14:ligatures w14:val="none"/>
    </w:rPr>
  </w:style>
  <w:style w:type="paragraph" w:customStyle="1" w:styleId="30">
    <w:name w:val="表内正文"/>
    <w:basedOn w:val="1"/>
    <w:qFormat/>
    <w:uiPriority w:val="0"/>
    <w:pPr>
      <w:spacing w:line="240" w:lineRule="auto"/>
      <w:ind w:firstLine="0" w:firstLineChars="0"/>
      <w:jc w:val="center"/>
    </w:pPr>
    <w:rPr>
      <w:szCs w:val="21"/>
    </w:rPr>
  </w:style>
  <w:style w:type="paragraph" w:customStyle="1" w:styleId="31">
    <w:name w:val="图片"/>
    <w:basedOn w:val="1"/>
    <w:link w:val="32"/>
    <w:qFormat/>
    <w:uiPriority w:val="0"/>
    <w:pPr>
      <w:spacing w:line="240" w:lineRule="auto"/>
      <w:ind w:firstLine="0" w:firstLineChars="0"/>
      <w:jc w:val="center"/>
    </w:pPr>
  </w:style>
  <w:style w:type="character" w:customStyle="1" w:styleId="32">
    <w:name w:val="图片 字符"/>
    <w:basedOn w:val="22"/>
    <w:link w:val="31"/>
    <w:qFormat/>
    <w:uiPriority w:val="0"/>
    <w:rPr>
      <w:sz w:val="24"/>
      <w:szCs w:val="24"/>
      <w14:ligatures w14:val="none"/>
    </w:rPr>
  </w:style>
  <w:style w:type="character" w:customStyle="1" w:styleId="33">
    <w:name w:val="正文缩进 字符"/>
    <w:link w:val="11"/>
    <w:semiHidden/>
    <w:qFormat/>
    <w:uiPriority w:val="0"/>
    <w:rPr>
      <w:sz w:val="21"/>
      <w14:ligatures w14:val="none"/>
    </w:rPr>
  </w:style>
  <w:style w:type="character" w:customStyle="1" w:styleId="34">
    <w:name w:val="标题 7 字符"/>
    <w:basedOn w:val="22"/>
    <w:link w:val="8"/>
    <w:semiHidden/>
    <w:qFormat/>
    <w:uiPriority w:val="9"/>
    <w:rPr>
      <w:b/>
      <w:bCs/>
      <w:sz w:val="24"/>
      <w:szCs w:val="24"/>
      <w14:ligatures w14:val="none"/>
    </w:rPr>
  </w:style>
  <w:style w:type="character" w:customStyle="1" w:styleId="35">
    <w:name w:val="标题 8 字符"/>
    <w:basedOn w:val="22"/>
    <w:link w:val="9"/>
    <w:semiHidden/>
    <w:qFormat/>
    <w:uiPriority w:val="9"/>
    <w:rPr>
      <w:rFonts w:asciiTheme="majorHAnsi" w:hAnsiTheme="majorHAnsi" w:eastAsiaTheme="majorEastAsia" w:cstheme="majorBidi"/>
      <w:sz w:val="24"/>
      <w:szCs w:val="24"/>
      <w14:ligatures w14:val="none"/>
    </w:rPr>
  </w:style>
  <w:style w:type="character" w:customStyle="1" w:styleId="36">
    <w:name w:val="标题 9 字符"/>
    <w:basedOn w:val="22"/>
    <w:link w:val="10"/>
    <w:semiHidden/>
    <w:qFormat/>
    <w:uiPriority w:val="9"/>
    <w:rPr>
      <w:rFonts w:asciiTheme="majorHAnsi" w:hAnsiTheme="majorHAnsi" w:eastAsiaTheme="majorEastAsia" w:cstheme="majorBidi"/>
      <w:sz w:val="21"/>
      <w:szCs w:val="21"/>
      <w14:ligatures w14:val="none"/>
    </w:rPr>
  </w:style>
  <w:style w:type="paragraph" w:customStyle="1" w:styleId="37">
    <w:name w:val="正文-SM"/>
    <w:basedOn w:val="15"/>
    <w:autoRedefine/>
    <w:qFormat/>
    <w:uiPriority w:val="0"/>
    <w:pPr>
      <w:spacing w:line="240" w:lineRule="auto"/>
      <w:ind w:firstLine="480"/>
    </w:pPr>
    <w:rPr>
      <w:rFonts w:ascii="Times New Roman" w:hAnsi="Times New Roman" w:eastAsia="宋体" w:cs="宋体"/>
      <w:kern w:val="0"/>
      <w:sz w:val="21"/>
      <w:lang w:eastAsia="zh-Hans"/>
    </w:rPr>
  </w:style>
  <w:style w:type="character" w:customStyle="1" w:styleId="38">
    <w:name w:val="纯文本 字符"/>
    <w:basedOn w:val="22"/>
    <w:link w:val="15"/>
    <w:semiHidden/>
    <w:qFormat/>
    <w:uiPriority w:val="99"/>
    <w:rPr>
      <w:rFonts w:hAnsi="Courier New" w:cs="Courier New" w:asciiTheme="minorEastAsia" w:eastAsiaTheme="minorEastAsia"/>
      <w:sz w:val="24"/>
      <w:szCs w:val="24"/>
      <w14:ligatures w14:val="none"/>
    </w:rPr>
  </w:style>
  <w:style w:type="character" w:customStyle="1" w:styleId="39">
    <w:name w:val="正文文本缩进 字符"/>
    <w:basedOn w:val="22"/>
    <w:link w:val="14"/>
    <w:semiHidden/>
    <w:qFormat/>
    <w:uiPriority w:val="99"/>
    <w:rPr>
      <w:sz w:val="24"/>
      <w:szCs w:val="24"/>
      <w14:ligatures w14:val="none"/>
    </w:rPr>
  </w:style>
  <w:style w:type="character" w:customStyle="1" w:styleId="40">
    <w:name w:val="正文首行缩进 2 字符"/>
    <w:basedOn w:val="39"/>
    <w:link w:val="20"/>
    <w:qFormat/>
    <w:uiPriority w:val="99"/>
    <w:rPr>
      <w:rFonts w:ascii="宋体"/>
      <w:kern w:val="0"/>
      <w:sz w:val="30"/>
      <w:szCs w:val="30"/>
      <w14:ligatures w14:val="none"/>
    </w:rPr>
  </w:style>
  <w:style w:type="character" w:customStyle="1" w:styleId="41">
    <w:name w:val="页眉 字符"/>
    <w:basedOn w:val="22"/>
    <w:link w:val="18"/>
    <w:qFormat/>
    <w:uiPriority w:val="99"/>
    <w:rPr>
      <w:sz w:val="18"/>
      <w:szCs w:val="18"/>
      <w14:ligatures w14:val="none"/>
    </w:rPr>
  </w:style>
  <w:style w:type="character" w:customStyle="1" w:styleId="42">
    <w:name w:val="页脚 字符"/>
    <w:basedOn w:val="22"/>
    <w:link w:val="17"/>
    <w:qFormat/>
    <w:uiPriority w:val="99"/>
    <w:rPr>
      <w:sz w:val="18"/>
      <w:szCs w:val="18"/>
      <w14:ligatures w14:val="none"/>
    </w:rPr>
  </w:style>
  <w:style w:type="character" w:customStyle="1" w:styleId="43">
    <w:name w:val="font71"/>
    <w:basedOn w:val="22"/>
    <w:qFormat/>
    <w:uiPriority w:val="0"/>
    <w:rPr>
      <w:rFonts w:hint="default" w:ascii="Times New Roman" w:hAnsi="Times New Roman" w:cs="Times New Roman"/>
      <w:color w:val="auto"/>
      <w:sz w:val="20"/>
      <w:szCs w:val="20"/>
      <w:u w:val="none"/>
    </w:rPr>
  </w:style>
  <w:style w:type="character" w:customStyle="1" w:styleId="44">
    <w:name w:val="font51"/>
    <w:basedOn w:val="22"/>
    <w:qFormat/>
    <w:uiPriority w:val="0"/>
    <w:rPr>
      <w:rFonts w:hint="eastAsia" w:ascii="宋体" w:hAnsi="宋体" w:eastAsia="宋体" w:cs="宋体"/>
      <w:color w:val="auto"/>
      <w:sz w:val="20"/>
      <w:szCs w:val="20"/>
      <w:u w:val="none"/>
    </w:rPr>
  </w:style>
  <w:style w:type="character" w:customStyle="1" w:styleId="45">
    <w:name w:val="font81"/>
    <w:basedOn w:val="22"/>
    <w:qFormat/>
    <w:uiPriority w:val="0"/>
    <w:rPr>
      <w:rFonts w:ascii="Arial" w:hAnsi="Arial" w:cs="Arial"/>
      <w:b/>
      <w:bCs/>
      <w:color w:val="auto"/>
      <w:sz w:val="20"/>
      <w:szCs w:val="20"/>
      <w:u w:val="none"/>
    </w:rPr>
  </w:style>
  <w:style w:type="character" w:customStyle="1" w:styleId="46">
    <w:name w:val="font61"/>
    <w:basedOn w:val="22"/>
    <w:qFormat/>
    <w:uiPriority w:val="0"/>
    <w:rPr>
      <w:rFonts w:hint="eastAsia" w:ascii="宋体" w:hAnsi="宋体" w:eastAsia="宋体" w:cs="宋体"/>
      <w:b/>
      <w:bCs/>
      <w:color w:val="auto"/>
      <w:sz w:val="20"/>
      <w:szCs w:val="20"/>
      <w:u w:val="none"/>
    </w:rPr>
  </w:style>
  <w:style w:type="character" w:customStyle="1" w:styleId="47">
    <w:name w:val="font21"/>
    <w:basedOn w:val="22"/>
    <w:qFormat/>
    <w:uiPriority w:val="0"/>
    <w:rPr>
      <w:rFonts w:hint="eastAsia" w:ascii="宋体" w:hAnsi="宋体" w:eastAsia="宋体" w:cs="宋体"/>
      <w:color w:val="000000"/>
      <w:sz w:val="24"/>
      <w:szCs w:val="24"/>
      <w:u w:val="none"/>
    </w:rPr>
  </w:style>
  <w:style w:type="character" w:customStyle="1" w:styleId="48">
    <w:name w:val="批注框文本 字符"/>
    <w:basedOn w:val="22"/>
    <w:link w:val="16"/>
    <w:semiHidden/>
    <w:qFormat/>
    <w:uiPriority w:val="99"/>
    <w:rPr>
      <w:kern w:val="2"/>
      <w:sz w:val="18"/>
      <w:szCs w:val="18"/>
    </w:rPr>
  </w:style>
  <w:style w:type="character" w:customStyle="1" w:styleId="49">
    <w:name w:val="批注文字 字符"/>
    <w:basedOn w:val="22"/>
    <w:link w:val="13"/>
    <w:semiHidden/>
    <w:qFormat/>
    <w:uiPriority w:val="99"/>
    <w:rPr>
      <w:kern w:val="2"/>
      <w:sz w:val="24"/>
      <w:szCs w:val="24"/>
    </w:rPr>
  </w:style>
  <w:style w:type="character" w:customStyle="1" w:styleId="50">
    <w:name w:val="批注主题 字符"/>
    <w:basedOn w:val="49"/>
    <w:link w:val="19"/>
    <w:semiHidden/>
    <w:qFormat/>
    <w:uiPriority w:val="99"/>
    <w:rPr>
      <w:b/>
      <w:bCs/>
      <w:kern w:val="2"/>
      <w:sz w:val="24"/>
      <w:szCs w:val="24"/>
    </w:rPr>
  </w:style>
  <w:style w:type="paragraph" w:styleId="51">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1954</Words>
  <Characters>11143</Characters>
  <Lines>92</Lines>
  <Paragraphs>26</Paragraphs>
  <TotalTime>6</TotalTime>
  <ScaleCrop>false</ScaleCrop>
  <LinksUpToDate>false</LinksUpToDate>
  <CharactersWithSpaces>13071</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2024-11-30T02:23:00Z</dcterms:created>
  <dc:creator>徐立 倪</dc:creator>
  <cp:lastModifiedBy>顾文林</cp:lastModifiedBy>
  <dcterms:modified xsi:type="dcterms:W3CDTF">2024-12-16T14:46:42Z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2681FEFB4C5BD0B246CB5F677A6AD744_43</vt:lpwstr>
  </property>
</Properties>
</file>