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04B28">
      <w:pPr>
        <w:spacing w:line="299" w:lineRule="auto"/>
        <w:rPr>
          <w:color w:val="auto"/>
        </w:rPr>
      </w:pPr>
    </w:p>
    <w:p w14:paraId="604FDE6C">
      <w:pPr>
        <w:spacing w:before="98" w:line="219" w:lineRule="auto"/>
        <w:ind w:firstLine="3518" w:firstLineChars="1200"/>
        <w:jc w:val="both"/>
        <w:outlineLvl w:val="0"/>
        <w:rPr>
          <w:rFonts w:hint="eastAsia" w:ascii="黑体" w:hAnsi="黑体" w:eastAsia="黑体" w:cs="黑体"/>
          <w:color w:val="auto"/>
          <w:sz w:val="30"/>
          <w:szCs w:val="30"/>
          <w:lang w:eastAsia="zh-CN"/>
        </w:rPr>
      </w:pPr>
      <w:r>
        <w:rPr>
          <w:rFonts w:ascii="黑体" w:hAnsi="黑体" w:eastAsia="黑体" w:cs="黑体"/>
          <w:b/>
          <w:bCs/>
          <w:color w:val="auto"/>
          <w:spacing w:val="-4"/>
          <w:sz w:val="30"/>
          <w:szCs w:val="30"/>
          <w:lang w:eastAsia="zh-CN"/>
        </w:rPr>
        <w:t>项目采购需求</w:t>
      </w:r>
    </w:p>
    <w:p w14:paraId="7314CB79">
      <w:pPr>
        <w:spacing w:before="131" w:line="218" w:lineRule="auto"/>
        <w:ind w:left="3657"/>
        <w:rPr>
          <w:rFonts w:hint="eastAsia" w:ascii="黑体" w:hAnsi="黑体" w:eastAsia="黑体" w:cs="黑体"/>
          <w:color w:val="auto"/>
          <w:sz w:val="30"/>
          <w:szCs w:val="30"/>
          <w:lang w:eastAsia="zh-CN"/>
        </w:rPr>
      </w:pPr>
      <w:r>
        <w:rPr>
          <w:rFonts w:ascii="黑体" w:hAnsi="黑体" w:eastAsia="黑体" w:cs="黑体"/>
          <w:color w:val="auto"/>
          <w:spacing w:val="-9"/>
          <w:sz w:val="30"/>
          <w:szCs w:val="30"/>
          <w:lang w:eastAsia="zh-CN"/>
        </w:rPr>
        <w:t>一、说明</w:t>
      </w:r>
    </w:p>
    <w:p w14:paraId="7FCEC38F">
      <w:pPr>
        <w:pStyle w:val="6"/>
        <w:spacing w:before="119" w:line="221" w:lineRule="auto"/>
        <w:ind w:left="468"/>
        <w:rPr>
          <w:rFonts w:hint="eastAsia"/>
          <w:color w:val="auto"/>
          <w:lang w:eastAsia="zh-CN"/>
        </w:rPr>
      </w:pPr>
      <w:r>
        <w:rPr>
          <w:rFonts w:ascii="Times New Roman" w:hAnsi="Times New Roman" w:eastAsia="Times New Roman" w:cs="Times New Roman"/>
          <w:b/>
          <w:bCs/>
          <w:color w:val="auto"/>
          <w:spacing w:val="-8"/>
          <w:lang w:eastAsia="zh-CN"/>
        </w:rPr>
        <w:t>1</w:t>
      </w:r>
      <w:r>
        <w:rPr>
          <w:rFonts w:ascii="Times New Roman" w:hAnsi="Times New Roman" w:eastAsia="Times New Roman" w:cs="Times New Roman"/>
          <w:b/>
          <w:bCs/>
          <w:color w:val="auto"/>
          <w:spacing w:val="5"/>
          <w:lang w:eastAsia="zh-CN"/>
        </w:rPr>
        <w:t xml:space="preserve">  </w:t>
      </w:r>
      <w:r>
        <w:rPr>
          <w:b/>
          <w:bCs/>
          <w:color w:val="auto"/>
          <w:spacing w:val="-8"/>
          <w:lang w:eastAsia="zh-CN"/>
        </w:rPr>
        <w:t>总则</w:t>
      </w:r>
    </w:p>
    <w:p w14:paraId="3A3146A7">
      <w:pPr>
        <w:pStyle w:val="6"/>
        <w:spacing w:before="94" w:line="259" w:lineRule="auto"/>
        <w:ind w:left="21" w:right="103" w:firstLine="455"/>
        <w:rPr>
          <w:rFonts w:hint="eastAsia"/>
          <w:color w:val="auto"/>
          <w:lang w:eastAsia="zh-CN"/>
        </w:rPr>
      </w:pPr>
      <w:r>
        <w:rPr>
          <w:rFonts w:ascii="Times New Roman" w:hAnsi="Times New Roman" w:eastAsia="Times New Roman" w:cs="Times New Roman"/>
          <w:color w:val="auto"/>
          <w:spacing w:val="-3"/>
          <w:lang w:eastAsia="zh-CN"/>
        </w:rPr>
        <w:t xml:space="preserve">1.1  </w:t>
      </w:r>
      <w:r>
        <w:rPr>
          <w:color w:val="auto"/>
          <w:spacing w:val="-3"/>
          <w:lang w:eastAsia="zh-CN"/>
        </w:rPr>
        <w:t>投标人应具备国家或行业管理部门规定</w:t>
      </w:r>
      <w:r>
        <w:rPr>
          <w:color w:val="auto"/>
          <w:spacing w:val="-4"/>
          <w:lang w:eastAsia="zh-CN"/>
        </w:rPr>
        <w:t>的，在本市实施本项目所需的资格（资</w:t>
      </w:r>
      <w:r>
        <w:rPr>
          <w:color w:val="auto"/>
          <w:lang w:eastAsia="zh-CN"/>
        </w:rPr>
        <w:t xml:space="preserve"> 质）和相关手续（如果有</w:t>
      </w:r>
      <w:r>
        <w:rPr>
          <w:color w:val="auto"/>
          <w:spacing w:val="-55"/>
          <w:w w:val="95"/>
          <w:lang w:eastAsia="zh-CN"/>
        </w:rPr>
        <w:t>），</w:t>
      </w:r>
      <w:r>
        <w:rPr>
          <w:color w:val="auto"/>
          <w:lang w:eastAsia="zh-CN"/>
        </w:rPr>
        <w:t>由此引起的所有有关事宜及费用</w:t>
      </w:r>
      <w:r>
        <w:rPr>
          <w:color w:val="auto"/>
          <w:spacing w:val="-1"/>
          <w:lang w:eastAsia="zh-CN"/>
        </w:rPr>
        <w:t>由投标人自行负责。</w:t>
      </w:r>
    </w:p>
    <w:p w14:paraId="0F703855">
      <w:pPr>
        <w:pStyle w:val="6"/>
        <w:spacing w:before="96" w:line="260" w:lineRule="auto"/>
        <w:ind w:left="24" w:right="135" w:firstLine="452"/>
        <w:rPr>
          <w:rFonts w:hint="eastAsia"/>
          <w:color w:val="auto"/>
          <w:lang w:eastAsia="zh-CN"/>
        </w:rPr>
      </w:pPr>
      <w:r>
        <w:rPr>
          <w:rFonts w:ascii="Times New Roman" w:hAnsi="Times New Roman" w:eastAsia="Times New Roman" w:cs="Times New Roman"/>
          <w:color w:val="auto"/>
          <w:spacing w:val="-2"/>
          <w:lang w:eastAsia="zh-CN"/>
        </w:rPr>
        <w:t xml:space="preserve">1.2  </w:t>
      </w:r>
      <w:r>
        <w:rPr>
          <w:color w:val="auto"/>
          <w:spacing w:val="-2"/>
          <w:lang w:eastAsia="zh-CN"/>
        </w:rPr>
        <w:t>投标人提供的服务应当符合招标文件的要求，并且其质量完全符合国家标准、</w:t>
      </w:r>
      <w:r>
        <w:rPr>
          <w:color w:val="auto"/>
          <w:spacing w:val="18"/>
          <w:lang w:eastAsia="zh-CN"/>
        </w:rPr>
        <w:t xml:space="preserve"> </w:t>
      </w:r>
      <w:r>
        <w:rPr>
          <w:color w:val="auto"/>
          <w:spacing w:val="-4"/>
          <w:lang w:eastAsia="zh-CN"/>
        </w:rPr>
        <w:t>行业标准或地方标准。</w:t>
      </w:r>
    </w:p>
    <w:p w14:paraId="5F2DC92D">
      <w:pPr>
        <w:pStyle w:val="6"/>
        <w:spacing w:before="91" w:line="260" w:lineRule="auto"/>
        <w:ind w:left="20" w:right="145" w:firstLine="456"/>
        <w:rPr>
          <w:rFonts w:hint="eastAsia"/>
          <w:color w:val="auto"/>
          <w:lang w:eastAsia="zh-CN"/>
        </w:rPr>
      </w:pPr>
      <w:r>
        <w:rPr>
          <w:rFonts w:ascii="Times New Roman" w:hAnsi="Times New Roman" w:eastAsia="Times New Roman" w:cs="Times New Roman"/>
          <w:color w:val="auto"/>
          <w:spacing w:val="-2"/>
          <w:lang w:eastAsia="zh-CN"/>
        </w:rPr>
        <w:t xml:space="preserve">1.3  </w:t>
      </w:r>
      <w:r>
        <w:rPr>
          <w:color w:val="auto"/>
          <w:spacing w:val="-2"/>
          <w:lang w:eastAsia="zh-CN"/>
        </w:rPr>
        <w:t>投标人在投标前应认真了解项目的实施背景、应提供的服务内容和质量、项目</w:t>
      </w:r>
      <w:r>
        <w:rPr>
          <w:color w:val="auto"/>
          <w:spacing w:val="8"/>
          <w:lang w:eastAsia="zh-CN"/>
        </w:rPr>
        <w:t xml:space="preserve"> </w:t>
      </w:r>
      <w:r>
        <w:rPr>
          <w:color w:val="auto"/>
          <w:spacing w:val="-1"/>
          <w:lang w:eastAsia="zh-CN"/>
        </w:rPr>
        <w:t>考核管理要求等，一旦中标，应按照招标文件和合同规定的要求提供相关服务。</w:t>
      </w:r>
    </w:p>
    <w:p w14:paraId="7A8BBB4E">
      <w:pPr>
        <w:pStyle w:val="6"/>
        <w:spacing w:before="94" w:line="260" w:lineRule="auto"/>
        <w:ind w:left="26" w:right="103" w:firstLine="450"/>
        <w:rPr>
          <w:rFonts w:hint="eastAsia"/>
          <w:color w:val="auto"/>
          <w:lang w:eastAsia="zh-CN"/>
        </w:rPr>
      </w:pPr>
      <w:r>
        <w:rPr>
          <w:rFonts w:ascii="Times New Roman" w:hAnsi="Times New Roman" w:eastAsia="Times New Roman" w:cs="Times New Roman"/>
          <w:color w:val="auto"/>
          <w:spacing w:val="-3"/>
          <w:lang w:eastAsia="zh-CN"/>
        </w:rPr>
        <w:t xml:space="preserve">1.4  </w:t>
      </w:r>
      <w:r>
        <w:rPr>
          <w:color w:val="auto"/>
          <w:spacing w:val="-3"/>
          <w:lang w:eastAsia="zh-CN"/>
        </w:rPr>
        <w:t>投标人认为招标文件（包括招标补充文件）存在排他性或歧视性条款，可在收</w:t>
      </w:r>
      <w:r>
        <w:rPr>
          <w:color w:val="auto"/>
          <w:lang w:eastAsia="zh-CN"/>
        </w:rPr>
        <w:t xml:space="preserve"> </w:t>
      </w:r>
      <w:r>
        <w:rPr>
          <w:color w:val="auto"/>
          <w:spacing w:val="-1"/>
          <w:lang w:eastAsia="zh-CN"/>
        </w:rPr>
        <w:t>到或下载招标文件之日起七个工作日内提出，并附相关证据。</w:t>
      </w:r>
    </w:p>
    <w:p w14:paraId="5D9D981E">
      <w:pPr>
        <w:pStyle w:val="6"/>
        <w:spacing w:before="93" w:line="261" w:lineRule="auto"/>
        <w:ind w:left="26" w:right="151" w:firstLine="451"/>
        <w:rPr>
          <w:rFonts w:hint="eastAsia"/>
          <w:color w:val="auto"/>
          <w:lang w:eastAsia="zh-CN"/>
        </w:rPr>
      </w:pPr>
      <w:r>
        <w:rPr>
          <w:rFonts w:ascii="Times New Roman" w:hAnsi="Times New Roman" w:eastAsia="Times New Roman" w:cs="Times New Roman"/>
          <w:color w:val="auto"/>
          <w:spacing w:val="-5"/>
          <w:lang w:eastAsia="zh-CN"/>
        </w:rPr>
        <w:t>1.</w:t>
      </w:r>
      <w:r>
        <w:rPr>
          <w:rFonts w:hint="eastAsia" w:ascii="Times New Roman" w:hAnsi="Times New Roman" w:eastAsia="Times New Roman" w:cs="Times New Roman"/>
          <w:color w:val="auto"/>
          <w:spacing w:val="-5"/>
          <w:lang w:eastAsia="zh-CN"/>
        </w:rPr>
        <w:t>5</w:t>
      </w:r>
      <w:r>
        <w:rPr>
          <w:rFonts w:ascii="Times New Roman" w:hAnsi="Times New Roman" w:eastAsia="Times New Roman" w:cs="Times New Roman"/>
          <w:color w:val="auto"/>
          <w:spacing w:val="-5"/>
          <w:lang w:eastAsia="zh-CN"/>
        </w:rPr>
        <w:t xml:space="preserve">  </w:t>
      </w:r>
      <w:r>
        <w:rPr>
          <w:color w:val="auto"/>
          <w:spacing w:val="-5"/>
          <w:lang w:eastAsia="zh-CN"/>
        </w:rPr>
        <w:t>投标人需在投标文件中承诺， 如之前在岗的工作人员经考评符合上岗要求的，</w:t>
      </w:r>
      <w:r>
        <w:rPr>
          <w:color w:val="auto"/>
          <w:spacing w:val="14"/>
          <w:lang w:eastAsia="zh-CN"/>
        </w:rPr>
        <w:t xml:space="preserve"> </w:t>
      </w:r>
      <w:r>
        <w:rPr>
          <w:color w:val="auto"/>
          <w:spacing w:val="-3"/>
          <w:lang w:eastAsia="zh-CN"/>
        </w:rPr>
        <w:t>原则上应继续留用。</w:t>
      </w:r>
    </w:p>
    <w:p w14:paraId="01E1AF9D">
      <w:pPr>
        <w:pStyle w:val="6"/>
        <w:spacing w:before="95" w:line="219" w:lineRule="auto"/>
        <w:ind w:left="463"/>
        <w:rPr>
          <w:rFonts w:hint="eastAsia"/>
          <w:color w:val="auto"/>
          <w:lang w:eastAsia="zh-CN"/>
        </w:rPr>
      </w:pPr>
      <w:r>
        <w:rPr>
          <w:rFonts w:ascii="Times New Roman" w:hAnsi="Times New Roman" w:eastAsia="Times New Roman" w:cs="Times New Roman"/>
          <w:color w:val="auto"/>
          <w:spacing w:val="-1"/>
          <w:lang w:eastAsia="zh-CN"/>
        </w:rPr>
        <w:t>1.</w:t>
      </w:r>
      <w:r>
        <w:rPr>
          <w:rFonts w:hint="eastAsia" w:ascii="Times New Roman" w:hAnsi="Times New Roman" w:eastAsia="Times New Roman" w:cs="Times New Roman"/>
          <w:color w:val="auto"/>
          <w:spacing w:val="-1"/>
          <w:lang w:eastAsia="zh-CN"/>
        </w:rPr>
        <w:t>6</w:t>
      </w:r>
      <w:r>
        <w:rPr>
          <w:color w:val="auto"/>
          <w:spacing w:val="-1"/>
          <w:lang w:eastAsia="zh-CN"/>
        </w:rPr>
        <w:t>投标人提供的服务必须符合国家强制性标准。</w:t>
      </w:r>
    </w:p>
    <w:p w14:paraId="4A1ABF0D">
      <w:pPr>
        <w:spacing w:line="322" w:lineRule="auto"/>
        <w:rPr>
          <w:color w:val="auto"/>
          <w:lang w:eastAsia="zh-CN"/>
        </w:rPr>
      </w:pPr>
    </w:p>
    <w:p w14:paraId="7F202538">
      <w:pPr>
        <w:spacing w:before="98" w:line="218" w:lineRule="auto"/>
        <w:ind w:left="3283"/>
        <w:rPr>
          <w:rFonts w:hint="eastAsia" w:ascii="黑体" w:hAnsi="黑体" w:eastAsia="黑体" w:cs="黑体"/>
          <w:color w:val="auto"/>
          <w:sz w:val="30"/>
          <w:szCs w:val="30"/>
          <w:lang w:eastAsia="zh-CN"/>
        </w:rPr>
      </w:pPr>
      <w:r>
        <w:rPr>
          <w:rFonts w:ascii="黑体" w:hAnsi="黑体" w:eastAsia="黑体" w:cs="黑体"/>
          <w:color w:val="auto"/>
          <w:spacing w:val="-3"/>
          <w:sz w:val="30"/>
          <w:szCs w:val="30"/>
          <w:lang w:eastAsia="zh-CN"/>
        </w:rPr>
        <w:t>二、项目概况</w:t>
      </w:r>
    </w:p>
    <w:p w14:paraId="0F40E1D6">
      <w:pPr>
        <w:pStyle w:val="6"/>
        <w:spacing w:before="121" w:line="221" w:lineRule="auto"/>
        <w:ind w:left="458"/>
        <w:rPr>
          <w:rFonts w:hint="eastAsia"/>
          <w:color w:val="auto"/>
          <w:lang w:eastAsia="zh-CN"/>
        </w:rPr>
      </w:pPr>
      <w:r>
        <w:rPr>
          <w:rFonts w:ascii="Times New Roman" w:hAnsi="Times New Roman" w:eastAsia="Times New Roman" w:cs="Times New Roman"/>
          <w:b/>
          <w:bCs/>
          <w:color w:val="auto"/>
          <w:spacing w:val="-5"/>
          <w:lang w:eastAsia="zh-CN"/>
        </w:rPr>
        <w:t>2</w:t>
      </w:r>
      <w:r>
        <w:rPr>
          <w:rFonts w:ascii="Times New Roman" w:hAnsi="Times New Roman" w:eastAsia="Times New Roman" w:cs="Times New Roman"/>
          <w:b/>
          <w:bCs/>
          <w:color w:val="auto"/>
          <w:spacing w:val="7"/>
          <w:lang w:eastAsia="zh-CN"/>
        </w:rPr>
        <w:t xml:space="preserve">  </w:t>
      </w:r>
      <w:r>
        <w:rPr>
          <w:b/>
          <w:bCs/>
          <w:color w:val="auto"/>
          <w:spacing w:val="-5"/>
          <w:lang w:eastAsia="zh-CN"/>
        </w:rPr>
        <w:t>项目名称</w:t>
      </w:r>
    </w:p>
    <w:p w14:paraId="47249866">
      <w:pPr>
        <w:pStyle w:val="6"/>
        <w:spacing w:before="92" w:line="220" w:lineRule="auto"/>
        <w:ind w:left="463"/>
        <w:rPr>
          <w:rFonts w:hint="eastAsia"/>
          <w:color w:val="auto"/>
          <w:spacing w:val="-1"/>
          <w:lang w:eastAsia="zh-CN"/>
        </w:rPr>
      </w:pPr>
      <w:r>
        <w:rPr>
          <w:color w:val="auto"/>
          <w:spacing w:val="-1"/>
          <w:lang w:eastAsia="zh-CN"/>
        </w:rPr>
        <w:t>项目名称：</w:t>
      </w:r>
      <w:r>
        <w:rPr>
          <w:rFonts w:hint="eastAsia"/>
          <w:color w:val="auto"/>
          <w:spacing w:val="-1"/>
          <w:lang w:eastAsia="zh-CN"/>
        </w:rPr>
        <w:t>临港新片区青年中心物业管理项目</w:t>
      </w:r>
    </w:p>
    <w:p w14:paraId="61F749BC">
      <w:pPr>
        <w:pStyle w:val="6"/>
        <w:spacing w:before="96" w:line="219" w:lineRule="auto"/>
        <w:ind w:left="457"/>
        <w:rPr>
          <w:rFonts w:hint="eastAsia"/>
          <w:color w:val="auto"/>
          <w:lang w:eastAsia="zh-CN"/>
        </w:rPr>
      </w:pPr>
      <w:r>
        <w:rPr>
          <w:rFonts w:ascii="Times New Roman" w:hAnsi="Times New Roman" w:eastAsia="Times New Roman" w:cs="Times New Roman"/>
          <w:b/>
          <w:bCs/>
          <w:color w:val="auto"/>
          <w:spacing w:val="-2"/>
          <w:lang w:eastAsia="zh-CN"/>
        </w:rPr>
        <w:t xml:space="preserve">3 </w:t>
      </w:r>
      <w:r>
        <w:rPr>
          <w:b/>
          <w:bCs/>
          <w:color w:val="auto"/>
          <w:spacing w:val="-2"/>
          <w:lang w:eastAsia="zh-CN"/>
        </w:rPr>
        <w:t>物业基本情况</w:t>
      </w:r>
    </w:p>
    <w:p w14:paraId="66D4927A">
      <w:pPr>
        <w:pStyle w:val="6"/>
        <w:spacing w:before="94" w:line="219" w:lineRule="auto"/>
        <w:ind w:left="459"/>
        <w:rPr>
          <w:rFonts w:hint="eastAsia"/>
          <w:color w:val="auto"/>
          <w:lang w:eastAsia="zh-CN"/>
        </w:rPr>
      </w:pPr>
      <w:r>
        <w:rPr>
          <w:color w:val="auto"/>
          <w:spacing w:val="-1"/>
          <w:lang w:eastAsia="zh-CN"/>
        </w:rPr>
        <w:t>物业类型：</w:t>
      </w:r>
      <w:r>
        <w:rPr>
          <w:rFonts w:hint="eastAsia"/>
          <w:color w:val="auto"/>
          <w:spacing w:val="-1"/>
          <w:lang w:eastAsia="zh-CN"/>
        </w:rPr>
        <w:t>公共服务</w:t>
      </w:r>
    </w:p>
    <w:p w14:paraId="040442B7">
      <w:pPr>
        <w:spacing w:line="360" w:lineRule="auto"/>
        <w:ind w:firstLine="404" w:firstLineChars="200"/>
        <w:rPr>
          <w:rFonts w:ascii="宋体"/>
          <w:color w:val="auto"/>
          <w:lang w:eastAsia="zh-CN"/>
        </w:rPr>
      </w:pPr>
      <w:r>
        <w:rPr>
          <w:color w:val="auto"/>
          <w:spacing w:val="-4"/>
          <w:lang w:eastAsia="zh-CN"/>
        </w:rPr>
        <w:t>坐落位置：</w:t>
      </w:r>
      <w:r>
        <w:rPr>
          <w:rFonts w:hint="eastAsia" w:ascii="宋体" w:hAnsi="宋体"/>
          <w:color w:val="auto"/>
          <w:u w:val="single"/>
          <w:lang w:eastAsia="zh-CN"/>
        </w:rPr>
        <w:t>上海</w:t>
      </w:r>
      <w:r>
        <w:rPr>
          <w:rFonts w:hint="eastAsia" w:ascii="宋体" w:hAnsi="宋体"/>
          <w:color w:val="auto"/>
          <w:lang w:eastAsia="zh-CN"/>
        </w:rPr>
        <w:t>市</w:t>
      </w:r>
      <w:r>
        <w:rPr>
          <w:rFonts w:hint="eastAsia" w:ascii="宋体" w:hAnsi="宋体"/>
          <w:color w:val="auto"/>
          <w:u w:val="single"/>
          <w:lang w:eastAsia="zh-CN"/>
        </w:rPr>
        <w:t>浦东新区南汇新城镇方竹路</w:t>
      </w:r>
      <w:r>
        <w:rPr>
          <w:rFonts w:hint="eastAsia" w:ascii="宋体" w:hAnsi="宋体"/>
          <w:color w:val="auto"/>
          <w:lang w:eastAsia="zh-CN"/>
        </w:rPr>
        <w:t>（街道）</w:t>
      </w:r>
      <w:r>
        <w:rPr>
          <w:rFonts w:hint="eastAsia" w:ascii="宋体" w:hAnsi="宋体"/>
          <w:color w:val="auto"/>
          <w:u w:val="single"/>
          <w:lang w:eastAsia="zh-CN"/>
        </w:rPr>
        <w:t>199</w:t>
      </w:r>
      <w:r>
        <w:rPr>
          <w:rFonts w:hint="eastAsia" w:ascii="宋体" w:hAnsi="宋体"/>
          <w:color w:val="auto"/>
          <w:lang w:eastAsia="zh-CN"/>
        </w:rPr>
        <w:t>号</w:t>
      </w:r>
    </w:p>
    <w:p w14:paraId="32802BA4">
      <w:pPr>
        <w:pStyle w:val="6"/>
        <w:spacing w:before="97" w:line="220" w:lineRule="auto"/>
        <w:ind w:left="460"/>
        <w:rPr>
          <w:rFonts w:hint="eastAsia"/>
          <w:color w:val="auto"/>
          <w:lang w:eastAsia="zh-CN"/>
        </w:rPr>
      </w:pPr>
      <w:r>
        <w:rPr>
          <w:color w:val="auto"/>
          <w:spacing w:val="-4"/>
          <w:lang w:eastAsia="zh-CN"/>
        </w:rPr>
        <w:t>建筑面积：</w:t>
      </w:r>
      <w:r>
        <w:rPr>
          <w:rFonts w:hint="eastAsia"/>
          <w:color w:val="auto"/>
          <w:u w:val="single"/>
          <w:lang w:eastAsia="zh-CN"/>
        </w:rPr>
        <w:t>2276</w:t>
      </w:r>
      <w:r>
        <w:rPr>
          <w:rFonts w:hint="eastAsia"/>
          <w:color w:val="auto"/>
          <w:lang w:eastAsia="zh-CN"/>
        </w:rPr>
        <w:t>平方米</w:t>
      </w:r>
    </w:p>
    <w:p w14:paraId="7A16FF27">
      <w:pPr>
        <w:pStyle w:val="6"/>
        <w:spacing w:before="95" w:line="220" w:lineRule="auto"/>
        <w:ind w:left="459"/>
        <w:rPr>
          <w:rFonts w:hint="eastAsia"/>
          <w:color w:val="auto"/>
          <w:lang w:eastAsia="zh-CN"/>
        </w:rPr>
      </w:pPr>
      <w:r>
        <w:rPr>
          <w:color w:val="auto"/>
          <w:spacing w:val="-1"/>
          <w:lang w:eastAsia="zh-CN"/>
        </w:rPr>
        <w:t>物业管理服务区域四至：</w:t>
      </w:r>
      <w:r>
        <w:rPr>
          <w:rFonts w:hint="eastAsia"/>
          <w:color w:val="auto"/>
          <w:spacing w:val="-1"/>
          <w:lang w:eastAsia="zh-CN"/>
        </w:rPr>
        <w:t>北至方竹路，南至内部路，西至港城悦领营销中心，东临南汇新城镇健康主题公园</w:t>
      </w:r>
      <w:r>
        <w:rPr>
          <w:color w:val="auto"/>
          <w:spacing w:val="-1"/>
          <w:lang w:eastAsia="zh-CN"/>
        </w:rPr>
        <w:t>。</w:t>
      </w:r>
    </w:p>
    <w:p w14:paraId="5F476D6F">
      <w:pPr>
        <w:pStyle w:val="6"/>
        <w:spacing w:before="94" w:line="220" w:lineRule="auto"/>
        <w:ind w:left="459"/>
        <w:rPr>
          <w:rFonts w:hint="eastAsia"/>
          <w:color w:val="auto"/>
          <w:lang w:eastAsia="zh-CN"/>
        </w:rPr>
      </w:pPr>
      <w:r>
        <w:rPr>
          <w:rFonts w:ascii="Times New Roman" w:hAnsi="Times New Roman" w:eastAsia="Times New Roman" w:cs="Times New Roman"/>
          <w:b/>
          <w:bCs/>
          <w:color w:val="auto"/>
          <w:spacing w:val="-2"/>
          <w:lang w:eastAsia="zh-CN"/>
        </w:rPr>
        <w:t xml:space="preserve">4  </w:t>
      </w:r>
      <w:r>
        <w:rPr>
          <w:b/>
          <w:bCs/>
          <w:color w:val="auto"/>
          <w:spacing w:val="-2"/>
          <w:lang w:eastAsia="zh-CN"/>
        </w:rPr>
        <w:t>招标范围与内容</w:t>
      </w:r>
    </w:p>
    <w:p w14:paraId="523E1550">
      <w:pPr>
        <w:pStyle w:val="6"/>
        <w:spacing w:before="95" w:line="220" w:lineRule="auto"/>
        <w:ind w:left="454"/>
        <w:rPr>
          <w:rFonts w:hint="eastAsia"/>
          <w:color w:val="auto"/>
          <w:lang w:eastAsia="zh-CN"/>
        </w:rPr>
      </w:pPr>
      <w:r>
        <w:rPr>
          <w:rFonts w:ascii="Times New Roman" w:hAnsi="Times New Roman" w:eastAsia="Times New Roman" w:cs="Times New Roman"/>
          <w:color w:val="auto"/>
          <w:spacing w:val="-1"/>
          <w:lang w:eastAsia="zh-CN"/>
        </w:rPr>
        <w:t xml:space="preserve">4.1  </w:t>
      </w:r>
      <w:r>
        <w:rPr>
          <w:color w:val="auto"/>
          <w:spacing w:val="-1"/>
          <w:lang w:eastAsia="zh-CN"/>
        </w:rPr>
        <w:t>项目背景及现状</w:t>
      </w:r>
    </w:p>
    <w:p w14:paraId="32C47DAC">
      <w:pPr>
        <w:spacing w:line="360" w:lineRule="auto"/>
        <w:ind w:firstLine="420" w:firstLineChars="200"/>
        <w:rPr>
          <w:rFonts w:ascii="宋体"/>
          <w:color w:val="auto"/>
          <w:lang w:eastAsia="zh-CN"/>
        </w:rPr>
      </w:pPr>
      <w:r>
        <w:rPr>
          <w:rFonts w:hint="eastAsia" w:ascii="宋体" w:eastAsia="宋体"/>
          <w:color w:val="auto"/>
          <w:lang w:eastAsia="zh-CN"/>
        </w:rPr>
        <w:t>临港新片区青年中心为一幢四</w:t>
      </w:r>
      <w:r>
        <w:rPr>
          <w:rFonts w:hint="eastAsia" w:ascii="宋体"/>
          <w:color w:val="auto"/>
          <w:lang w:eastAsia="zh-CN"/>
        </w:rPr>
        <w:t>层</w:t>
      </w:r>
      <w:r>
        <w:rPr>
          <w:rFonts w:hint="eastAsia" w:ascii="宋体" w:eastAsia="宋体"/>
          <w:color w:val="auto"/>
          <w:lang w:eastAsia="zh-CN"/>
        </w:rPr>
        <w:t>楼的建筑，总建筑面积</w:t>
      </w:r>
      <w:r>
        <w:rPr>
          <w:rFonts w:hint="eastAsia" w:ascii="宋体"/>
          <w:color w:val="auto"/>
          <w:lang w:eastAsia="zh-CN"/>
        </w:rPr>
        <w:t>2276平方米，</w:t>
      </w:r>
    </w:p>
    <w:p w14:paraId="371600A2">
      <w:pPr>
        <w:spacing w:line="360" w:lineRule="auto"/>
        <w:ind w:firstLine="420" w:firstLineChars="200"/>
        <w:rPr>
          <w:rFonts w:ascii="宋体"/>
          <w:color w:val="auto"/>
          <w:lang w:eastAsia="zh-CN"/>
        </w:rPr>
      </w:pPr>
      <w:r>
        <w:rPr>
          <w:rFonts w:ascii="宋体"/>
          <w:color w:val="auto"/>
          <w:lang w:eastAsia="zh-CN"/>
        </w:rPr>
        <w:t>1F</w:t>
      </w:r>
      <w:r>
        <w:rPr>
          <w:rFonts w:hint="eastAsia" w:ascii="宋体"/>
          <w:color w:val="auto"/>
          <w:lang w:eastAsia="zh-CN"/>
        </w:rPr>
        <w:t>：为青年中心对外接待窗口、咖啡吧台、儿童阅览室、休息室、东北侧为消防监控值班室。</w:t>
      </w:r>
    </w:p>
    <w:p w14:paraId="622315D3">
      <w:pPr>
        <w:spacing w:line="360" w:lineRule="auto"/>
        <w:ind w:firstLine="420" w:firstLineChars="200"/>
        <w:rPr>
          <w:rFonts w:ascii="宋体"/>
          <w:color w:val="auto"/>
          <w:lang w:eastAsia="zh-CN"/>
        </w:rPr>
      </w:pPr>
      <w:r>
        <w:rPr>
          <w:rFonts w:ascii="宋体"/>
          <w:color w:val="auto"/>
          <w:lang w:eastAsia="zh-CN"/>
        </w:rPr>
        <w:t>2F</w:t>
      </w:r>
      <w:r>
        <w:rPr>
          <w:rFonts w:hint="eastAsia" w:ascii="宋体"/>
          <w:color w:val="auto"/>
          <w:lang w:eastAsia="zh-CN"/>
        </w:rPr>
        <w:t>：儿童娱乐大厅、运营办公室（2间）、多功能会议室（2间）</w:t>
      </w:r>
    </w:p>
    <w:p w14:paraId="77092AB9">
      <w:pPr>
        <w:spacing w:line="360" w:lineRule="auto"/>
        <w:ind w:firstLine="420" w:firstLineChars="200"/>
        <w:rPr>
          <w:rFonts w:ascii="宋体"/>
          <w:color w:val="auto"/>
          <w:lang w:eastAsia="zh-CN"/>
        </w:rPr>
      </w:pPr>
      <w:r>
        <w:rPr>
          <w:rFonts w:ascii="宋体"/>
          <w:color w:val="auto"/>
          <w:lang w:eastAsia="zh-CN"/>
        </w:rPr>
        <w:t>3F</w:t>
      </w:r>
      <w:r>
        <w:rPr>
          <w:rFonts w:hint="eastAsia" w:ascii="宋体"/>
          <w:color w:val="auto"/>
          <w:lang w:eastAsia="zh-CN"/>
        </w:rPr>
        <w:t>：多功能大厅、弱电机房、化妆休息间、演播室、多功能会议室</w:t>
      </w:r>
    </w:p>
    <w:p w14:paraId="35B8EAB4">
      <w:pPr>
        <w:spacing w:line="360" w:lineRule="auto"/>
        <w:ind w:firstLine="420" w:firstLineChars="200"/>
        <w:rPr>
          <w:rFonts w:ascii="宋体" w:eastAsia="宋体"/>
          <w:color w:val="auto"/>
          <w:lang w:eastAsia="zh-CN"/>
        </w:rPr>
      </w:pPr>
      <w:r>
        <w:rPr>
          <w:rFonts w:ascii="宋体"/>
          <w:color w:val="auto"/>
          <w:lang w:eastAsia="zh-CN"/>
        </w:rPr>
        <w:t>4F</w:t>
      </w:r>
      <w:r>
        <w:rPr>
          <w:rFonts w:hint="eastAsia" w:ascii="宋体"/>
          <w:color w:val="auto"/>
          <w:lang w:eastAsia="zh-CN"/>
        </w:rPr>
        <w:t>：贵宾休息厅、小剧场、男、女化妆间、录音室</w:t>
      </w:r>
    </w:p>
    <w:p w14:paraId="1210B9A9">
      <w:pPr>
        <w:pStyle w:val="6"/>
        <w:spacing w:line="220" w:lineRule="auto"/>
        <w:ind w:left="454"/>
        <w:rPr>
          <w:rFonts w:hint="eastAsia"/>
          <w:color w:val="auto"/>
          <w:lang w:eastAsia="zh-CN"/>
        </w:rPr>
      </w:pPr>
      <w:r>
        <w:rPr>
          <w:rFonts w:ascii="Times New Roman" w:hAnsi="Times New Roman" w:eastAsia="Times New Roman" w:cs="Times New Roman"/>
          <w:color w:val="auto"/>
          <w:spacing w:val="-1"/>
          <w:lang w:eastAsia="zh-CN"/>
        </w:rPr>
        <w:t xml:space="preserve">4.2  </w:t>
      </w:r>
      <w:r>
        <w:rPr>
          <w:color w:val="auto"/>
          <w:spacing w:val="-1"/>
          <w:lang w:eastAsia="zh-CN"/>
        </w:rPr>
        <w:t>项目招标范围及内容</w:t>
      </w:r>
    </w:p>
    <w:p w14:paraId="26AF39B3">
      <w:pPr>
        <w:pStyle w:val="6"/>
        <w:spacing w:before="93" w:line="273" w:lineRule="auto"/>
        <w:ind w:left="21" w:right="67" w:firstLine="438"/>
        <w:rPr>
          <w:rFonts w:hint="eastAsia"/>
          <w:color w:val="auto"/>
          <w:spacing w:val="-1"/>
          <w:lang w:eastAsia="zh-CN"/>
        </w:rPr>
      </w:pPr>
      <w:r>
        <w:rPr>
          <w:color w:val="auto"/>
          <w:spacing w:val="-1"/>
          <w:lang w:eastAsia="zh-CN"/>
        </w:rPr>
        <w:t>物业管理服务范围是物业建筑产权标注及周边</w:t>
      </w:r>
      <w:r>
        <w:rPr>
          <w:rFonts w:hint="eastAsia"/>
          <w:color w:val="auto"/>
          <w:spacing w:val="-1"/>
          <w:lang w:eastAsia="zh-CN"/>
        </w:rPr>
        <w:t>管辖</w:t>
      </w:r>
      <w:r>
        <w:rPr>
          <w:color w:val="auto"/>
          <w:spacing w:val="-1"/>
          <w:lang w:eastAsia="zh-CN"/>
        </w:rPr>
        <w:t>区域</w:t>
      </w:r>
      <w:r>
        <w:rPr>
          <w:color w:val="auto"/>
          <w:spacing w:val="-2"/>
          <w:lang w:eastAsia="zh-CN"/>
        </w:rPr>
        <w:t>的</w:t>
      </w:r>
      <w:r>
        <w:rPr>
          <w:color w:val="auto"/>
          <w:spacing w:val="-3"/>
          <w:lang w:eastAsia="zh-CN"/>
        </w:rPr>
        <w:t>保洁、保安及设备零星维修管理</w:t>
      </w:r>
      <w:r>
        <w:rPr>
          <w:rFonts w:hint="eastAsia"/>
          <w:color w:val="auto"/>
          <w:spacing w:val="-3"/>
          <w:lang w:eastAsia="zh-CN"/>
        </w:rPr>
        <w:t>等综合</w:t>
      </w:r>
      <w:r>
        <w:rPr>
          <w:color w:val="auto"/>
          <w:spacing w:val="-3"/>
          <w:lang w:eastAsia="zh-CN"/>
        </w:rPr>
        <w:t>服务，不涉及资产的</w:t>
      </w:r>
      <w:r>
        <w:rPr>
          <w:color w:val="auto"/>
          <w:spacing w:val="-4"/>
          <w:lang w:eastAsia="zh-CN"/>
        </w:rPr>
        <w:t>所有权。</w:t>
      </w:r>
      <w:r>
        <w:rPr>
          <w:rFonts w:hint="eastAsia"/>
          <w:color w:val="auto"/>
          <w:spacing w:val="-4"/>
          <w:lang w:eastAsia="zh-CN"/>
        </w:rPr>
        <w:t>临港新片区青年</w:t>
      </w:r>
      <w:r>
        <w:rPr>
          <w:color w:val="auto"/>
          <w:spacing w:val="-4"/>
          <w:lang w:eastAsia="zh-CN"/>
        </w:rPr>
        <w:t>中心招标范围主</w:t>
      </w:r>
      <w:r>
        <w:rPr>
          <w:color w:val="auto"/>
          <w:spacing w:val="-1"/>
          <w:lang w:eastAsia="zh-CN"/>
        </w:rPr>
        <w:t>要包括保安服务</w:t>
      </w:r>
      <w:r>
        <w:rPr>
          <w:rFonts w:hint="eastAsia"/>
          <w:color w:val="auto"/>
          <w:spacing w:val="-1"/>
          <w:lang w:eastAsia="zh-CN"/>
        </w:rPr>
        <w:t>、</w:t>
      </w:r>
      <w:r>
        <w:rPr>
          <w:color w:val="auto"/>
          <w:spacing w:val="-1"/>
          <w:lang w:eastAsia="zh-CN"/>
        </w:rPr>
        <w:t>保洁服务</w:t>
      </w:r>
      <w:r>
        <w:rPr>
          <w:rFonts w:hint="eastAsia"/>
          <w:color w:val="auto"/>
          <w:spacing w:val="-1"/>
          <w:lang w:eastAsia="zh-CN"/>
        </w:rPr>
        <w:t>和相关综合服务</w:t>
      </w:r>
      <w:r>
        <w:rPr>
          <w:color w:val="auto"/>
          <w:spacing w:val="-1"/>
          <w:lang w:eastAsia="zh-CN"/>
        </w:rPr>
        <w:t>。</w:t>
      </w:r>
      <w:r>
        <w:rPr>
          <w:rFonts w:hint="eastAsia"/>
          <w:color w:val="auto"/>
          <w:spacing w:val="-1"/>
          <w:lang w:eastAsia="zh-CN"/>
        </w:rPr>
        <w:t>具体内容：</w:t>
      </w:r>
    </w:p>
    <w:p w14:paraId="2B454F70">
      <w:pPr>
        <w:spacing w:line="360" w:lineRule="auto"/>
        <w:ind w:left="-2" w:leftChars="-1" w:firstLine="420" w:firstLineChars="200"/>
        <w:rPr>
          <w:color w:val="auto"/>
          <w:lang w:eastAsia="zh-CN"/>
        </w:rPr>
      </w:pPr>
      <w:r>
        <w:rPr>
          <w:rFonts w:hint="eastAsia"/>
          <w:color w:val="auto"/>
          <w:lang w:eastAsia="zh-CN"/>
        </w:rPr>
        <w:t>1、项目经理受业主方委托，代表业主方，依据服务合同和约定，对内管理整个物业，组织专业化的服务；对外先行承担与物业管理相关的责任，履行相关义务，代表业主方与物业管理所涉及的各有关方面交涉，维护业主方的合法权益，并提醒业主方遵守与物业管理有关的法规政策，履行应尽的责任和义务。</w:t>
      </w:r>
    </w:p>
    <w:p w14:paraId="1D053323">
      <w:pPr>
        <w:spacing w:line="360" w:lineRule="auto"/>
        <w:ind w:left="-2" w:leftChars="-1" w:firstLine="420" w:firstLineChars="200"/>
        <w:rPr>
          <w:color w:val="auto"/>
          <w:lang w:eastAsia="zh-CN"/>
        </w:rPr>
      </w:pPr>
      <w:r>
        <w:rPr>
          <w:rFonts w:hint="eastAsia"/>
          <w:color w:val="auto"/>
          <w:lang w:eastAsia="zh-CN"/>
        </w:rPr>
        <w:t>2、项目经理应加强与业主方沟通，如协商同意，可决定为业主方提供力所能及的附加服务，费用另结。</w:t>
      </w:r>
    </w:p>
    <w:p w14:paraId="6B878913">
      <w:pPr>
        <w:spacing w:line="360" w:lineRule="auto"/>
        <w:ind w:left="-2" w:leftChars="-1" w:firstLine="420" w:firstLineChars="200"/>
        <w:rPr>
          <w:color w:val="auto"/>
          <w:lang w:eastAsia="zh-CN"/>
        </w:rPr>
      </w:pPr>
      <w:r>
        <w:rPr>
          <w:rFonts w:hint="eastAsia"/>
          <w:color w:val="auto"/>
          <w:lang w:eastAsia="zh-CN"/>
        </w:rPr>
        <w:t>3、物业管理服务人员应经过培训并按国家行政主管部门规定持证上岗，遵纪守法，严禁违章作业，项目参与者应遵守业主方的规章制度，不可泄露业主方的秘密，其工作同时接受业主方的监督考核。</w:t>
      </w:r>
    </w:p>
    <w:p w14:paraId="49A2830E">
      <w:pPr>
        <w:spacing w:line="360" w:lineRule="auto"/>
        <w:ind w:left="-2" w:leftChars="-1" w:firstLine="420" w:firstLineChars="200"/>
        <w:rPr>
          <w:color w:val="auto"/>
          <w:lang w:eastAsia="zh-CN"/>
        </w:rPr>
      </w:pPr>
      <w:r>
        <w:rPr>
          <w:rFonts w:hint="eastAsia"/>
          <w:color w:val="auto"/>
          <w:lang w:eastAsia="zh-CN"/>
        </w:rPr>
        <w:t>4、各类服务相互协调；人员调派和作业时间安排不得违反劳动法和行政部门的资质规定。在一视同仁，不予歧视和排斥的前提下，兼顾岗位对人员的特殊要求。</w:t>
      </w:r>
    </w:p>
    <w:p w14:paraId="7A8A9250">
      <w:pPr>
        <w:spacing w:line="360" w:lineRule="auto"/>
        <w:ind w:left="-2" w:leftChars="-1" w:firstLine="420" w:firstLineChars="200"/>
        <w:rPr>
          <w:color w:val="auto"/>
          <w:lang w:eastAsia="zh-CN"/>
        </w:rPr>
      </w:pPr>
      <w:r>
        <w:rPr>
          <w:rFonts w:hint="eastAsia"/>
          <w:color w:val="auto"/>
          <w:lang w:eastAsia="zh-CN"/>
        </w:rPr>
        <w:t>5、对业主方日常业务所需资源和相关设备设施、包括施工和服务安排专人巡视、检查，发现问题，及时处理，将一切可能发生的故障隐患消灭在萌芽中。</w:t>
      </w:r>
    </w:p>
    <w:p w14:paraId="311C0C49">
      <w:pPr>
        <w:spacing w:line="360" w:lineRule="auto"/>
        <w:ind w:left="-2" w:leftChars="-1" w:firstLine="420" w:firstLineChars="200"/>
        <w:rPr>
          <w:color w:val="auto"/>
          <w:lang w:eastAsia="zh-CN"/>
        </w:rPr>
      </w:pPr>
      <w:r>
        <w:rPr>
          <w:rFonts w:hint="eastAsia"/>
          <w:color w:val="auto"/>
          <w:lang w:eastAsia="zh-CN"/>
        </w:rPr>
        <w:t>6、执行重大事项报告制度，遇到险情和重大事故，或对违规行为劝阻无效时，立即向上级和当地行政主管部门报告，并及时通知业主方。</w:t>
      </w:r>
    </w:p>
    <w:p w14:paraId="1C1024DD">
      <w:pPr>
        <w:spacing w:line="360" w:lineRule="auto"/>
        <w:ind w:left="-2" w:leftChars="-1" w:firstLine="420" w:firstLineChars="200"/>
        <w:rPr>
          <w:color w:val="auto"/>
          <w:lang w:eastAsia="zh-CN"/>
        </w:rPr>
      </w:pPr>
      <w:r>
        <w:rPr>
          <w:rFonts w:hint="eastAsia"/>
          <w:color w:val="auto"/>
          <w:lang w:eastAsia="zh-CN"/>
        </w:rPr>
        <w:t>7、对外包服务和外来施工的监管：</w:t>
      </w:r>
    </w:p>
    <w:p w14:paraId="3262EBAE">
      <w:pPr>
        <w:spacing w:line="360" w:lineRule="auto"/>
        <w:ind w:left="-2" w:leftChars="-1" w:firstLine="420" w:firstLineChars="200"/>
        <w:rPr>
          <w:color w:val="auto"/>
          <w:lang w:eastAsia="zh-CN"/>
        </w:rPr>
      </w:pPr>
      <w:r>
        <w:rPr>
          <w:rFonts w:hint="eastAsia"/>
          <w:color w:val="auto"/>
          <w:lang w:eastAsia="zh-CN"/>
        </w:rPr>
        <w:t>（1）查验登记相关资质和证明或批准文件；</w:t>
      </w:r>
    </w:p>
    <w:p w14:paraId="17F8514C">
      <w:pPr>
        <w:spacing w:line="360" w:lineRule="auto"/>
        <w:ind w:left="-2" w:leftChars="-1" w:firstLine="420" w:firstLineChars="200"/>
        <w:rPr>
          <w:color w:val="auto"/>
          <w:lang w:eastAsia="zh-CN"/>
        </w:rPr>
      </w:pPr>
      <w:r>
        <w:rPr>
          <w:rFonts w:hint="eastAsia"/>
          <w:color w:val="auto"/>
          <w:lang w:eastAsia="zh-CN"/>
        </w:rPr>
        <w:t>（2）有关作业计划、方案和图纸等存档备案；</w:t>
      </w:r>
    </w:p>
    <w:p w14:paraId="2C539758">
      <w:pPr>
        <w:spacing w:line="360" w:lineRule="auto"/>
        <w:ind w:left="-2" w:leftChars="-1" w:firstLine="420" w:firstLineChars="200"/>
        <w:rPr>
          <w:color w:val="auto"/>
          <w:lang w:eastAsia="zh-CN"/>
        </w:rPr>
      </w:pPr>
      <w:r>
        <w:rPr>
          <w:rFonts w:hint="eastAsia"/>
          <w:color w:val="auto"/>
          <w:lang w:eastAsia="zh-CN"/>
        </w:rPr>
        <w:t>（3）告知相关注意事项；</w:t>
      </w:r>
    </w:p>
    <w:p w14:paraId="1DE1D06E">
      <w:pPr>
        <w:spacing w:line="360" w:lineRule="auto"/>
        <w:ind w:left="-2" w:leftChars="-1" w:firstLine="420" w:firstLineChars="200"/>
        <w:rPr>
          <w:color w:val="auto"/>
          <w:lang w:eastAsia="zh-CN"/>
        </w:rPr>
      </w:pPr>
      <w:r>
        <w:rPr>
          <w:rFonts w:hint="eastAsia"/>
          <w:color w:val="auto"/>
          <w:lang w:eastAsia="zh-CN"/>
        </w:rPr>
        <w:t>（4）巡视或监督及配合作业过程，维修作业留下作业前后影像资料、在隐蔽工程结束前留下影像资料存档；</w:t>
      </w:r>
    </w:p>
    <w:p w14:paraId="7B05CE0B">
      <w:pPr>
        <w:spacing w:line="360" w:lineRule="auto"/>
        <w:ind w:left="-2" w:leftChars="-1" w:firstLine="420" w:firstLineChars="200"/>
        <w:rPr>
          <w:color w:val="auto"/>
          <w:lang w:eastAsia="zh-CN"/>
        </w:rPr>
      </w:pPr>
      <w:r>
        <w:rPr>
          <w:rFonts w:hint="eastAsia"/>
          <w:color w:val="auto"/>
          <w:lang w:eastAsia="zh-CN"/>
        </w:rPr>
        <w:t>（5）及时向业主方和有关部门报告异常情况、劝阻违规作业并取证、发生事故时保护现场；</w:t>
      </w:r>
    </w:p>
    <w:p w14:paraId="28BE8424">
      <w:pPr>
        <w:spacing w:line="360" w:lineRule="auto"/>
        <w:ind w:left="-2" w:leftChars="-1" w:firstLine="420" w:firstLineChars="200"/>
        <w:rPr>
          <w:color w:val="auto"/>
          <w:lang w:eastAsia="zh-CN"/>
        </w:rPr>
      </w:pPr>
      <w:r>
        <w:rPr>
          <w:rFonts w:hint="eastAsia"/>
          <w:color w:val="auto"/>
          <w:lang w:eastAsia="zh-CN"/>
        </w:rPr>
        <w:t>（6）作业结束参与验收，并做好记录。</w:t>
      </w:r>
    </w:p>
    <w:p w14:paraId="2FE03491">
      <w:pPr>
        <w:pStyle w:val="6"/>
        <w:spacing w:before="92" w:line="274" w:lineRule="auto"/>
        <w:ind w:left="16" w:right="79" w:firstLine="438"/>
        <w:rPr>
          <w:rFonts w:hint="eastAsia"/>
          <w:color w:val="auto"/>
          <w:highlight w:val="none"/>
          <w:lang w:eastAsia="zh-CN"/>
        </w:rPr>
      </w:pPr>
      <w:r>
        <w:rPr>
          <w:rFonts w:ascii="Times New Roman" w:hAnsi="Times New Roman" w:eastAsia="Times New Roman" w:cs="Times New Roman"/>
          <w:color w:val="auto"/>
          <w:spacing w:val="-5"/>
          <w:highlight w:val="none"/>
          <w:lang w:eastAsia="zh-CN"/>
        </w:rPr>
        <w:t xml:space="preserve">4.3  </w:t>
      </w:r>
      <w:r>
        <w:rPr>
          <w:color w:val="auto"/>
          <w:spacing w:val="-5"/>
          <w:highlight w:val="none"/>
          <w:lang w:eastAsia="zh-CN"/>
        </w:rPr>
        <w:t xml:space="preserve">本项目服务期限： </w:t>
      </w:r>
      <w:r>
        <w:rPr>
          <w:rFonts w:hint="eastAsia"/>
          <w:color w:val="auto"/>
          <w:spacing w:val="-5"/>
          <w:highlight w:val="none"/>
          <w:lang w:eastAsia="zh-CN"/>
        </w:rPr>
        <w:t>本项目物业服务期限为自合同签订之日起三年。采取一次招标三年沿用、分三个年度分别签订合同的方式实施。</w:t>
      </w:r>
    </w:p>
    <w:p w14:paraId="474D7033">
      <w:pPr>
        <w:pStyle w:val="6"/>
        <w:spacing w:before="92" w:line="220" w:lineRule="auto"/>
        <w:ind w:left="461"/>
        <w:rPr>
          <w:rFonts w:hint="eastAsia"/>
          <w:color w:val="auto"/>
          <w:highlight w:val="none"/>
          <w:lang w:eastAsia="zh-CN"/>
        </w:rPr>
      </w:pPr>
      <w:r>
        <w:rPr>
          <w:rFonts w:ascii="Times New Roman" w:hAnsi="Times New Roman" w:eastAsia="Times New Roman" w:cs="Times New Roman"/>
          <w:b/>
          <w:bCs/>
          <w:color w:val="auto"/>
          <w:spacing w:val="-5"/>
          <w:highlight w:val="none"/>
          <w:lang w:eastAsia="zh-CN"/>
        </w:rPr>
        <w:t>5</w:t>
      </w:r>
      <w:r>
        <w:rPr>
          <w:rFonts w:ascii="Times New Roman" w:hAnsi="Times New Roman" w:eastAsia="Times New Roman" w:cs="Times New Roman"/>
          <w:b/>
          <w:bCs/>
          <w:color w:val="auto"/>
          <w:spacing w:val="6"/>
          <w:highlight w:val="none"/>
          <w:lang w:eastAsia="zh-CN"/>
        </w:rPr>
        <w:t xml:space="preserve">  </w:t>
      </w:r>
      <w:r>
        <w:rPr>
          <w:b/>
          <w:bCs/>
          <w:color w:val="auto"/>
          <w:spacing w:val="-5"/>
          <w:highlight w:val="none"/>
          <w:lang w:eastAsia="zh-CN"/>
        </w:rPr>
        <w:t>承包方式</w:t>
      </w:r>
    </w:p>
    <w:p w14:paraId="00D61FFC">
      <w:pPr>
        <w:pStyle w:val="6"/>
        <w:spacing w:before="93" w:line="273" w:lineRule="auto"/>
        <w:ind w:left="20" w:right="27" w:firstLine="441"/>
        <w:rPr>
          <w:rFonts w:hint="eastAsia"/>
          <w:color w:val="auto"/>
          <w:lang w:eastAsia="zh-CN"/>
        </w:rPr>
      </w:pPr>
      <w:r>
        <w:rPr>
          <w:rFonts w:ascii="Times New Roman" w:hAnsi="Times New Roman" w:eastAsia="Times New Roman" w:cs="Times New Roman"/>
          <w:color w:val="auto"/>
          <w:spacing w:val="-2"/>
          <w:lang w:eastAsia="zh-CN"/>
        </w:rPr>
        <w:t xml:space="preserve">5.1 </w:t>
      </w:r>
      <w:r>
        <w:rPr>
          <w:color w:val="auto"/>
          <w:spacing w:val="-2"/>
          <w:lang w:eastAsia="zh-CN"/>
        </w:rPr>
        <w:t>依照本项目的招标范围和内容，</w:t>
      </w:r>
      <w:r>
        <w:rPr>
          <w:rFonts w:hint="eastAsia"/>
          <w:color w:val="auto"/>
          <w:spacing w:val="-2"/>
          <w:lang w:eastAsia="zh-CN"/>
        </w:rPr>
        <w:t>服务内容</w:t>
      </w:r>
      <w:r>
        <w:rPr>
          <w:color w:val="auto"/>
          <w:spacing w:val="-7"/>
          <w:lang w:eastAsia="zh-CN"/>
        </w:rPr>
        <w:t>： 采购人按双方约定的服务人数， 每</w:t>
      </w:r>
      <w:r>
        <w:rPr>
          <w:rFonts w:hint="eastAsia"/>
          <w:color w:val="auto"/>
          <w:spacing w:val="-7"/>
          <w:lang w:eastAsia="zh-CN"/>
        </w:rPr>
        <w:t>季度</w:t>
      </w:r>
      <w:r>
        <w:rPr>
          <w:color w:val="auto"/>
          <w:spacing w:val="-7"/>
          <w:lang w:eastAsia="zh-CN"/>
        </w:rPr>
        <w:t>向中标人支付管理服务费</w:t>
      </w:r>
      <w:r>
        <w:rPr>
          <w:rFonts w:hint="eastAsia"/>
          <w:color w:val="auto"/>
          <w:spacing w:val="-7"/>
          <w:lang w:eastAsia="zh-CN"/>
        </w:rPr>
        <w:t>；其中服务费中包含日常零星维修费、维修工具、保洁耗材和保洁工具的费用</w:t>
      </w:r>
      <w:r>
        <w:rPr>
          <w:color w:val="auto"/>
          <w:spacing w:val="-7"/>
          <w:lang w:eastAsia="zh-CN"/>
        </w:rPr>
        <w:t>。项目过程中</w:t>
      </w:r>
      <w:r>
        <w:rPr>
          <w:color w:val="auto"/>
          <w:spacing w:val="-1"/>
          <w:lang w:eastAsia="zh-CN"/>
        </w:rPr>
        <w:t>所发生的水电气等能耗，设备添置、维修、保养等费用均由采购人承担。</w:t>
      </w:r>
    </w:p>
    <w:p w14:paraId="3195B6A7">
      <w:pPr>
        <w:pStyle w:val="6"/>
        <w:spacing w:before="93" w:line="273" w:lineRule="auto"/>
        <w:ind w:left="20" w:right="27" w:firstLine="441"/>
        <w:rPr>
          <w:rFonts w:ascii="Times New Roman" w:hAnsi="Times New Roman" w:eastAsia="Times New Roman" w:cs="Times New Roman"/>
          <w:color w:val="auto"/>
          <w:spacing w:val="-2"/>
          <w:lang w:eastAsia="zh-CN"/>
        </w:rPr>
      </w:pPr>
      <w:r>
        <w:rPr>
          <w:rFonts w:ascii="Times New Roman" w:hAnsi="Times New Roman" w:eastAsia="Times New Roman" w:cs="Times New Roman"/>
          <w:color w:val="auto"/>
          <w:spacing w:val="-2"/>
          <w:lang w:eastAsia="zh-CN"/>
        </w:rPr>
        <w:t>5.2 本项目不允许</w:t>
      </w:r>
      <w:r>
        <w:rPr>
          <w:rFonts w:hint="eastAsia" w:ascii="Times New Roman" w:hAnsi="Times New Roman" w:cs="Times New Roman" w:eastAsiaTheme="minorEastAsia"/>
          <w:color w:val="auto"/>
          <w:spacing w:val="-2"/>
          <w:lang w:eastAsia="zh-CN"/>
        </w:rPr>
        <w:t>转让和</w:t>
      </w:r>
      <w:r>
        <w:rPr>
          <w:rFonts w:ascii="Times New Roman" w:hAnsi="Times New Roman" w:eastAsia="Times New Roman" w:cs="Times New Roman"/>
          <w:color w:val="auto"/>
          <w:spacing w:val="-2"/>
          <w:lang w:eastAsia="zh-CN"/>
        </w:rPr>
        <w:t>分包。</w:t>
      </w:r>
    </w:p>
    <w:p w14:paraId="578CEFAC">
      <w:pPr>
        <w:pStyle w:val="6"/>
        <w:spacing w:before="92" w:line="220" w:lineRule="auto"/>
        <w:ind w:left="461"/>
        <w:rPr>
          <w:rFonts w:ascii="Times New Roman" w:hAnsi="Times New Roman" w:eastAsia="Times New Roman" w:cs="Times New Roman"/>
          <w:b/>
          <w:bCs/>
          <w:color w:val="auto"/>
          <w:spacing w:val="-5"/>
          <w:lang w:eastAsia="zh-CN"/>
        </w:rPr>
      </w:pPr>
      <w:r>
        <w:rPr>
          <w:rFonts w:ascii="Times New Roman" w:hAnsi="Times New Roman" w:eastAsia="Times New Roman" w:cs="Times New Roman"/>
          <w:b/>
          <w:bCs/>
          <w:color w:val="auto"/>
          <w:spacing w:val="-5"/>
          <w:lang w:eastAsia="zh-CN"/>
        </w:rPr>
        <w:t>6  合同的签订</w:t>
      </w:r>
    </w:p>
    <w:p w14:paraId="54D37801">
      <w:pPr>
        <w:pStyle w:val="6"/>
        <w:spacing w:before="93" w:line="273" w:lineRule="auto"/>
        <w:ind w:left="20" w:right="27" w:firstLine="441"/>
        <w:rPr>
          <w:rFonts w:ascii="Times New Roman" w:hAnsi="Times New Roman" w:eastAsia="Times New Roman" w:cs="Times New Roman"/>
          <w:color w:val="auto"/>
          <w:spacing w:val="-2"/>
          <w:lang w:eastAsia="zh-CN"/>
        </w:rPr>
      </w:pPr>
      <w:r>
        <w:rPr>
          <w:rFonts w:ascii="Times New Roman" w:hAnsi="Times New Roman" w:eastAsia="Times New Roman" w:cs="Times New Roman"/>
          <w:color w:val="auto"/>
          <w:spacing w:val="-2"/>
          <w:lang w:eastAsia="zh-CN"/>
        </w:rPr>
        <w:t>6.1本项目合同的标的、价格、质量及验收标准、考核管理、履约期限等主要条款应当与招标文件和中标人投标文件的内容一致，并互相补充和解释。</w:t>
      </w:r>
    </w:p>
    <w:p w14:paraId="4FAFB0B4">
      <w:pPr>
        <w:pStyle w:val="6"/>
        <w:spacing w:before="93" w:line="273" w:lineRule="auto"/>
        <w:ind w:left="20" w:right="27" w:firstLine="441"/>
        <w:rPr>
          <w:rFonts w:ascii="Times New Roman" w:hAnsi="Times New Roman" w:eastAsia="Times New Roman" w:cs="Times New Roman"/>
          <w:color w:val="auto"/>
          <w:spacing w:val="-2"/>
          <w:lang w:eastAsia="zh-CN"/>
        </w:rPr>
      </w:pPr>
      <w:r>
        <w:rPr>
          <w:rFonts w:ascii="Times New Roman" w:hAnsi="Times New Roman" w:eastAsia="Times New Roman" w:cs="Times New Roman"/>
          <w:color w:val="auto"/>
          <w:spacing w:val="-2"/>
          <w:lang w:eastAsia="zh-CN"/>
        </w:rPr>
        <w:t>6.2合同履约过程中，如遇不可抗力或政策性调价（以招标文件和合同约定为准），经双方商定可以调整合同金额（调整原则以招标文件约定为准），并签订补充协议。</w:t>
      </w:r>
    </w:p>
    <w:p w14:paraId="221ACA46">
      <w:pPr>
        <w:pStyle w:val="6"/>
        <w:spacing w:before="93" w:line="273" w:lineRule="auto"/>
        <w:ind w:left="20" w:right="27" w:firstLine="441"/>
        <w:rPr>
          <w:rFonts w:ascii="Times New Roman" w:hAnsi="Times New Roman" w:eastAsia="Times New Roman" w:cs="Times New Roman"/>
          <w:color w:val="auto"/>
          <w:spacing w:val="-2"/>
          <w:lang w:eastAsia="zh-CN"/>
        </w:rPr>
      </w:pPr>
      <w:r>
        <w:rPr>
          <w:rFonts w:ascii="Times New Roman" w:hAnsi="Times New Roman" w:eastAsia="Times New Roman" w:cs="Times New Roman"/>
          <w:color w:val="auto"/>
          <w:spacing w:val="-2"/>
          <w:lang w:eastAsia="zh-CN"/>
        </w:rPr>
        <w:t>7.1  结算原则</w:t>
      </w:r>
    </w:p>
    <w:p w14:paraId="78CEB3F2">
      <w:pPr>
        <w:pStyle w:val="6"/>
        <w:spacing w:before="93" w:line="273" w:lineRule="auto"/>
        <w:ind w:left="20" w:right="27" w:firstLine="441"/>
        <w:rPr>
          <w:rFonts w:ascii="Times New Roman" w:hAnsi="Times New Roman" w:eastAsia="Times New Roman" w:cs="Times New Roman"/>
          <w:color w:val="auto"/>
          <w:spacing w:val="-2"/>
          <w:lang w:eastAsia="zh-CN"/>
        </w:rPr>
      </w:pPr>
      <w:r>
        <w:rPr>
          <w:rFonts w:ascii="Times New Roman" w:hAnsi="Times New Roman" w:eastAsia="Times New Roman" w:cs="Times New Roman"/>
          <w:color w:val="auto"/>
          <w:spacing w:val="-2"/>
          <w:lang w:eastAsia="zh-CN"/>
        </w:rPr>
        <w:t>7.1.1 根据考核管理要求，依照考核结果按</w:t>
      </w:r>
      <w:r>
        <w:rPr>
          <w:rFonts w:hint="eastAsia" w:ascii="Times New Roman" w:hAnsi="Times New Roman" w:eastAsia="Times New Roman" w:cs="Times New Roman"/>
          <w:color w:val="auto"/>
          <w:spacing w:val="-2"/>
          <w:lang w:eastAsia="zh-CN"/>
        </w:rPr>
        <w:t>季度</w:t>
      </w:r>
      <w:r>
        <w:rPr>
          <w:rFonts w:ascii="Times New Roman" w:hAnsi="Times New Roman" w:eastAsia="Times New Roman" w:cs="Times New Roman"/>
          <w:color w:val="auto"/>
          <w:spacing w:val="-2"/>
          <w:lang w:eastAsia="zh-CN"/>
        </w:rPr>
        <w:t>结算。</w:t>
      </w:r>
    </w:p>
    <w:p w14:paraId="2CDA46EC">
      <w:pPr>
        <w:pStyle w:val="6"/>
        <w:spacing w:before="93" w:line="273" w:lineRule="auto"/>
        <w:ind w:left="20" w:right="27" w:firstLine="441"/>
        <w:rPr>
          <w:rFonts w:ascii="Times New Roman" w:hAnsi="Times New Roman" w:eastAsia="Times New Roman" w:cs="Times New Roman"/>
          <w:color w:val="auto"/>
          <w:spacing w:val="-2"/>
          <w:lang w:eastAsia="zh-CN"/>
        </w:rPr>
      </w:pPr>
      <w:r>
        <w:rPr>
          <w:rFonts w:ascii="Times New Roman" w:hAnsi="Times New Roman" w:eastAsia="Times New Roman" w:cs="Times New Roman"/>
          <w:color w:val="auto"/>
          <w:spacing w:val="-2"/>
          <w:lang w:eastAsia="zh-CN"/>
        </w:rPr>
        <w:t>7.1.</w:t>
      </w:r>
      <w:r>
        <w:rPr>
          <w:rFonts w:hint="eastAsia" w:ascii="Times New Roman" w:hAnsi="Times New Roman" w:eastAsia="Times New Roman" w:cs="Times New Roman"/>
          <w:color w:val="auto"/>
          <w:spacing w:val="-2"/>
          <w:lang w:eastAsia="zh-CN"/>
        </w:rPr>
        <w:t>2</w:t>
      </w:r>
      <w:r>
        <w:rPr>
          <w:rFonts w:ascii="Times New Roman" w:hAnsi="Times New Roman" w:eastAsia="Times New Roman" w:cs="Times New Roman"/>
          <w:color w:val="auto"/>
          <w:spacing w:val="-2"/>
          <w:lang w:eastAsia="zh-CN"/>
        </w:rPr>
        <w:t xml:space="preserve">  合同履约期间，如发生设备中修、大修和应急维修的，则费用按实结算。</w:t>
      </w:r>
    </w:p>
    <w:p w14:paraId="4CDF96E3">
      <w:pPr>
        <w:pStyle w:val="6"/>
        <w:spacing w:before="93" w:line="273" w:lineRule="auto"/>
        <w:ind w:left="20" w:right="27" w:firstLine="441"/>
        <w:rPr>
          <w:rFonts w:ascii="Times New Roman" w:hAnsi="Times New Roman" w:eastAsia="Times New Roman" w:cs="Times New Roman"/>
          <w:color w:val="auto"/>
          <w:spacing w:val="-2"/>
          <w:lang w:eastAsia="zh-CN"/>
        </w:rPr>
      </w:pPr>
      <w:r>
        <w:rPr>
          <w:rFonts w:ascii="Times New Roman" w:hAnsi="Times New Roman" w:eastAsia="Times New Roman" w:cs="Times New Roman"/>
          <w:color w:val="auto"/>
          <w:spacing w:val="-2"/>
          <w:lang w:eastAsia="zh-CN"/>
        </w:rPr>
        <w:t>7.1.</w:t>
      </w:r>
      <w:r>
        <w:rPr>
          <w:rFonts w:hint="eastAsia" w:ascii="Times New Roman" w:hAnsi="Times New Roman" w:eastAsia="Times New Roman" w:cs="Times New Roman"/>
          <w:color w:val="auto"/>
          <w:spacing w:val="-2"/>
          <w:lang w:eastAsia="zh-CN"/>
        </w:rPr>
        <w:t>3</w:t>
      </w:r>
      <w:r>
        <w:rPr>
          <w:rFonts w:ascii="Times New Roman" w:hAnsi="Times New Roman" w:eastAsia="Times New Roman" w:cs="Times New Roman"/>
          <w:color w:val="auto"/>
          <w:spacing w:val="-2"/>
          <w:lang w:eastAsia="zh-CN"/>
        </w:rPr>
        <w:t>合同履约期间，因重大型活动保障而产生的临时加班，费用按实结算。</w:t>
      </w:r>
    </w:p>
    <w:p w14:paraId="38AC636C">
      <w:pPr>
        <w:spacing w:line="328" w:lineRule="auto"/>
        <w:rPr>
          <w:color w:val="auto"/>
          <w:lang w:eastAsia="zh-CN"/>
        </w:rPr>
      </w:pPr>
    </w:p>
    <w:p w14:paraId="486F01B9">
      <w:pPr>
        <w:spacing w:line="329" w:lineRule="auto"/>
        <w:rPr>
          <w:color w:val="auto"/>
          <w:lang w:eastAsia="zh-CN"/>
        </w:rPr>
      </w:pPr>
    </w:p>
    <w:p w14:paraId="65A1E7BA">
      <w:pPr>
        <w:spacing w:before="97" w:line="220" w:lineRule="auto"/>
        <w:ind w:left="3553"/>
        <w:rPr>
          <w:rFonts w:hint="eastAsia" w:ascii="黑体" w:hAnsi="黑体" w:eastAsia="黑体" w:cs="黑体"/>
          <w:color w:val="auto"/>
          <w:sz w:val="30"/>
          <w:szCs w:val="30"/>
          <w:lang w:eastAsia="zh-CN"/>
        </w:rPr>
      </w:pPr>
      <w:r>
        <w:rPr>
          <w:rFonts w:ascii="黑体" w:hAnsi="黑体" w:eastAsia="黑体" w:cs="黑体"/>
          <w:color w:val="auto"/>
          <w:spacing w:val="-2"/>
          <w:sz w:val="30"/>
          <w:szCs w:val="30"/>
          <w:lang w:eastAsia="zh-CN"/>
        </w:rPr>
        <w:t>三、技术质量要求</w:t>
      </w:r>
    </w:p>
    <w:p w14:paraId="0F43BC64">
      <w:pPr>
        <w:pStyle w:val="6"/>
        <w:spacing w:before="92" w:line="220" w:lineRule="auto"/>
        <w:ind w:left="461"/>
        <w:rPr>
          <w:rFonts w:ascii="Times New Roman" w:hAnsi="Times New Roman" w:eastAsia="Times New Roman" w:cs="Times New Roman"/>
          <w:b/>
          <w:bCs/>
          <w:color w:val="auto"/>
          <w:spacing w:val="-5"/>
          <w:lang w:eastAsia="zh-CN"/>
        </w:rPr>
      </w:pPr>
      <w:r>
        <w:rPr>
          <w:rFonts w:ascii="Times New Roman" w:hAnsi="Times New Roman" w:eastAsia="Times New Roman" w:cs="Times New Roman"/>
          <w:b/>
          <w:bCs/>
          <w:color w:val="auto"/>
          <w:spacing w:val="-5"/>
          <w:lang w:eastAsia="zh-CN"/>
        </w:rPr>
        <w:t>8  适用技术规范和规范性文件</w:t>
      </w:r>
    </w:p>
    <w:p w14:paraId="349EF86F">
      <w:pPr>
        <w:pStyle w:val="6"/>
        <w:spacing w:before="93" w:line="273" w:lineRule="auto"/>
        <w:ind w:left="20" w:right="27" w:firstLine="441"/>
        <w:rPr>
          <w:rFonts w:ascii="Times New Roman" w:hAnsi="Times New Roman" w:eastAsia="Times New Roman" w:cs="Times New Roman"/>
          <w:color w:val="auto"/>
          <w:spacing w:val="-2"/>
          <w:lang w:eastAsia="zh-CN"/>
        </w:rPr>
      </w:pPr>
      <w:r>
        <w:rPr>
          <w:rFonts w:ascii="Times New Roman" w:hAnsi="Times New Roman" w:eastAsia="Times New Roman" w:cs="Times New Roman"/>
          <w:color w:val="auto"/>
          <w:spacing w:val="-2"/>
          <w:lang w:eastAsia="zh-CN"/>
        </w:rPr>
        <w:t>各投标人应充分注意，凡涉及国家或行业管理部门颁发的相关规范、规程和标准，无论其是否在本招标文件中列明，中标人应无条件执行。标准、规范等不一致的，以要求高者为准。</w:t>
      </w:r>
    </w:p>
    <w:p w14:paraId="51AD8554">
      <w:pPr>
        <w:pStyle w:val="6"/>
        <w:spacing w:before="92" w:line="220" w:lineRule="auto"/>
        <w:ind w:left="461"/>
        <w:rPr>
          <w:rFonts w:ascii="Times New Roman" w:hAnsi="Times New Roman" w:eastAsia="Times New Roman" w:cs="Times New Roman"/>
          <w:b/>
          <w:bCs/>
          <w:color w:val="auto"/>
          <w:spacing w:val="-5"/>
          <w:lang w:eastAsia="zh-CN"/>
        </w:rPr>
      </w:pPr>
      <w:r>
        <w:rPr>
          <w:rFonts w:ascii="Times New Roman" w:hAnsi="Times New Roman" w:eastAsia="Times New Roman" w:cs="Times New Roman"/>
          <w:b/>
          <w:bCs/>
          <w:color w:val="auto"/>
          <w:spacing w:val="-5"/>
          <w:lang w:eastAsia="zh-CN"/>
        </w:rPr>
        <w:t>9  招标内容与质量要求</w:t>
      </w:r>
    </w:p>
    <w:p w14:paraId="08E0BA8A">
      <w:pPr>
        <w:pStyle w:val="6"/>
        <w:spacing w:before="93" w:line="221" w:lineRule="auto"/>
        <w:ind w:left="1029"/>
        <w:rPr>
          <w:rFonts w:eastAsia="Times New Roman"/>
          <w:color w:val="auto"/>
          <w:spacing w:val="-4"/>
          <w:lang w:eastAsia="zh-CN"/>
        </w:rPr>
      </w:pPr>
      <w:r>
        <w:rPr>
          <w:rFonts w:ascii="Times New Roman" w:hAnsi="Times New Roman" w:eastAsia="Times New Roman" w:cs="Times New Roman"/>
          <w:color w:val="auto"/>
          <w:spacing w:val="-4"/>
          <w:lang w:eastAsia="zh-CN"/>
        </w:rPr>
        <w:t>9.1</w:t>
      </w:r>
      <w:r>
        <w:rPr>
          <w:rFonts w:ascii="Times New Roman" w:hAnsi="Times New Roman" w:eastAsia="Times New Roman" w:cs="Times New Roman"/>
          <w:color w:val="auto"/>
          <w:spacing w:val="16"/>
          <w:lang w:eastAsia="zh-CN"/>
        </w:rPr>
        <w:t xml:space="preserve">  </w:t>
      </w:r>
      <w:r>
        <w:rPr>
          <w:rFonts w:hint="eastAsia" w:eastAsia="Times New Roman"/>
          <w:color w:val="auto"/>
          <w:spacing w:val="-4"/>
          <w:lang w:eastAsia="zh-CN"/>
        </w:rPr>
        <w:t>组织架构</w:t>
      </w:r>
    </w:p>
    <w:p w14:paraId="3060FD80">
      <w:pPr>
        <w:pStyle w:val="6"/>
        <w:spacing w:before="93" w:line="221" w:lineRule="auto"/>
        <w:rPr>
          <w:rFonts w:ascii="Times New Roman" w:hAnsi="Times New Roman" w:eastAsia="Times New Roman" w:cs="Times New Roman"/>
          <w:color w:val="auto"/>
          <w:spacing w:val="-4"/>
          <w:lang w:eastAsia="zh-CN"/>
        </w:rPr>
      </w:pPr>
    </w:p>
    <w:p w14:paraId="13E9E847">
      <w:pPr>
        <w:pStyle w:val="6"/>
        <w:spacing w:before="93" w:line="221" w:lineRule="auto"/>
        <w:ind w:left="1029"/>
        <w:rPr>
          <w:rFonts w:ascii="Times New Roman" w:hAnsi="Times New Roman" w:eastAsia="Times New Roman" w:cs="Times New Roman"/>
          <w:color w:val="auto"/>
          <w:spacing w:val="-4"/>
          <w:lang w:eastAsia="zh-CN"/>
        </w:rPr>
      </w:pPr>
    </w:p>
    <w:p w14:paraId="0F8097EE">
      <w:pPr>
        <w:pStyle w:val="6"/>
        <w:spacing w:before="93" w:line="221" w:lineRule="auto"/>
        <w:ind w:left="1029"/>
        <w:rPr>
          <w:rFonts w:ascii="Times New Roman" w:hAnsi="Times New Roman" w:eastAsia="Times New Roman" w:cs="Times New Roman"/>
          <w:color w:val="auto"/>
          <w:spacing w:val="-4"/>
          <w:lang w:eastAsia="zh-CN"/>
        </w:rPr>
      </w:pPr>
    </w:p>
    <w:p w14:paraId="53513869">
      <w:pPr>
        <w:pStyle w:val="6"/>
        <w:spacing w:before="93" w:line="221" w:lineRule="auto"/>
        <w:ind w:left="1029"/>
        <w:rPr>
          <w:rFonts w:ascii="Times New Roman" w:hAnsi="Times New Roman" w:eastAsia="Times New Roman" w:cs="Times New Roman"/>
          <w:color w:val="auto"/>
          <w:spacing w:val="-4"/>
          <w:lang w:eastAsia="zh-CN"/>
        </w:rPr>
      </w:pPr>
      <w:r>
        <w:rPr>
          <w:color w:val="auto"/>
          <w:lang w:eastAsia="zh-CN"/>
        </w:rPr>
        <w:drawing>
          <wp:anchor distT="0" distB="0" distL="0" distR="0" simplePos="0" relativeHeight="251660288" behindDoc="0" locked="0" layoutInCell="1" allowOverlap="1">
            <wp:simplePos x="0" y="0"/>
            <wp:positionH relativeFrom="column">
              <wp:posOffset>1212215</wp:posOffset>
            </wp:positionH>
            <wp:positionV relativeFrom="paragraph">
              <wp:posOffset>48895</wp:posOffset>
            </wp:positionV>
            <wp:extent cx="2877820" cy="1018540"/>
            <wp:effectExtent l="0" t="0" r="5080" b="10160"/>
            <wp:wrapSquare wrapText="bothSides"/>
            <wp:docPr id="5297122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1223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77820" cy="1018540"/>
                    </a:xfrm>
                    <a:prstGeom prst="rect">
                      <a:avLst/>
                    </a:prstGeom>
                    <a:noFill/>
                  </pic:spPr>
                </pic:pic>
              </a:graphicData>
            </a:graphic>
          </wp:anchor>
        </w:drawing>
      </w:r>
    </w:p>
    <w:p w14:paraId="6DEE01C3">
      <w:pPr>
        <w:pStyle w:val="6"/>
        <w:spacing w:before="93" w:line="221" w:lineRule="auto"/>
        <w:ind w:left="1029"/>
        <w:rPr>
          <w:rFonts w:ascii="Times New Roman" w:hAnsi="Times New Roman" w:eastAsia="Times New Roman" w:cs="Times New Roman"/>
          <w:color w:val="auto"/>
          <w:spacing w:val="-4"/>
          <w:lang w:eastAsia="zh-CN"/>
        </w:rPr>
      </w:pPr>
    </w:p>
    <w:p w14:paraId="5EC68C13">
      <w:pPr>
        <w:pStyle w:val="6"/>
        <w:spacing w:before="93" w:line="221" w:lineRule="auto"/>
        <w:ind w:left="1029"/>
        <w:rPr>
          <w:rFonts w:ascii="Times New Roman" w:hAnsi="Times New Roman" w:eastAsia="Times New Roman" w:cs="Times New Roman"/>
          <w:color w:val="auto"/>
          <w:spacing w:val="-4"/>
          <w:lang w:eastAsia="zh-CN"/>
        </w:rPr>
      </w:pPr>
    </w:p>
    <w:p w14:paraId="01F8A706">
      <w:pPr>
        <w:pStyle w:val="6"/>
        <w:spacing w:before="93" w:line="221" w:lineRule="auto"/>
        <w:ind w:left="1029"/>
        <w:rPr>
          <w:rFonts w:ascii="Times New Roman" w:hAnsi="Times New Roman" w:eastAsia="Times New Roman" w:cs="Times New Roman"/>
          <w:color w:val="auto"/>
          <w:spacing w:val="-4"/>
          <w:lang w:eastAsia="zh-CN"/>
        </w:rPr>
      </w:pPr>
    </w:p>
    <w:p w14:paraId="3B2C36CB">
      <w:pPr>
        <w:pStyle w:val="6"/>
        <w:spacing w:before="93" w:line="221" w:lineRule="auto"/>
        <w:ind w:left="1029"/>
        <w:rPr>
          <w:rFonts w:ascii="Times New Roman" w:hAnsi="Times New Roman" w:eastAsia="Times New Roman" w:cs="Times New Roman"/>
          <w:color w:val="auto"/>
          <w:spacing w:val="-4"/>
          <w:lang w:eastAsia="zh-CN"/>
        </w:rPr>
      </w:pPr>
    </w:p>
    <w:p w14:paraId="2A3EEAA2">
      <w:pPr>
        <w:pStyle w:val="6"/>
        <w:spacing w:before="93" w:line="221" w:lineRule="auto"/>
        <w:ind w:left="1029"/>
        <w:rPr>
          <w:rFonts w:ascii="Times New Roman" w:hAnsi="Times New Roman" w:eastAsia="Times New Roman" w:cs="Times New Roman"/>
          <w:color w:val="auto"/>
          <w:spacing w:val="-4"/>
          <w:lang w:eastAsia="zh-CN"/>
        </w:rPr>
      </w:pPr>
    </w:p>
    <w:p w14:paraId="4ABC0E03">
      <w:pPr>
        <w:pStyle w:val="6"/>
        <w:spacing w:before="93" w:line="221" w:lineRule="auto"/>
        <w:ind w:firstLine="424" w:firstLineChars="200"/>
        <w:rPr>
          <w:rFonts w:ascii="Times New Roman" w:hAnsi="Times New Roman" w:eastAsia="Times New Roman" w:cs="Times New Roman"/>
          <w:color w:val="auto"/>
          <w:spacing w:val="-4"/>
          <w:lang w:eastAsia="zh-CN"/>
        </w:rPr>
      </w:pPr>
      <w:r>
        <w:rPr>
          <w:rFonts w:hint="eastAsia" w:ascii="Times New Roman" w:hAnsi="Times New Roman" w:eastAsia="Times New Roman" w:cs="Times New Roman"/>
          <w:color w:val="auto"/>
          <w:spacing w:val="-4"/>
          <w:lang w:eastAsia="zh-CN"/>
        </w:rPr>
        <w:t>9.2 管理制度</w:t>
      </w:r>
    </w:p>
    <w:p w14:paraId="2B7255AB">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秉承服务无距离管理无缺陷，做到全方位保障持续改进、快速反应、人性化管理；不断建设品质工程、形象工程；持续提高专业素质、政治素质；培养全方位保障能力、应急处理能力、综合管理服务能力。明晰管理操作层次，保证组织架构的管理服务实效。以“客户服务”为管理服务核心，实现需求服务的主导地位。建立统一协调的职能分工架构，兼顾组织的有效和有序，按需定岗，一专多能，精简设置，紧密配合，以团队整体保障管理服务品质。明确职责规范，做到“事事有人管、样样有人问”。整合企业优势资源， 建立临港新片区青年中心后勤支援支持体系。</w:t>
      </w:r>
    </w:p>
    <w:p w14:paraId="5C4D4D06">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各投标供应商根据本项目人员要求，工作涵盖范围及现场踏勘情况，自拟服务方案，明确服务总人数，各服务区域、岗点人数、班次安排及岗位职责。提供应急预案及服务承诺。</w:t>
      </w:r>
    </w:p>
    <w:p w14:paraId="1C90B919">
      <w:pPr>
        <w:pStyle w:val="6"/>
        <w:spacing w:before="93" w:line="221" w:lineRule="auto"/>
        <w:rPr>
          <w:rFonts w:ascii="Times New Roman" w:hAnsi="Times New Roman" w:eastAsia="Times New Roman" w:cs="Times New Roman"/>
          <w:color w:val="auto"/>
          <w:spacing w:val="-4"/>
          <w:lang w:eastAsia="zh-CN"/>
        </w:rPr>
      </w:pPr>
      <w:r>
        <w:rPr>
          <w:rFonts w:hint="eastAsia" w:ascii="Times New Roman" w:hAnsi="Times New Roman" w:eastAsia="Times New Roman" w:cs="Times New Roman"/>
          <w:color w:val="auto"/>
          <w:spacing w:val="-4"/>
          <w:lang w:eastAsia="zh-CN"/>
        </w:rPr>
        <w:t>9</w:t>
      </w:r>
      <w:r>
        <w:rPr>
          <w:rFonts w:ascii="Times New Roman" w:hAnsi="Times New Roman" w:eastAsia="Times New Roman" w:cs="Times New Roman"/>
          <w:color w:val="auto"/>
          <w:spacing w:val="-4"/>
          <w:lang w:eastAsia="zh-CN"/>
        </w:rPr>
        <w:t>.</w:t>
      </w:r>
      <w:r>
        <w:rPr>
          <w:rFonts w:hint="eastAsia" w:ascii="Times New Roman" w:hAnsi="Times New Roman" w:eastAsia="Times New Roman" w:cs="Times New Roman"/>
          <w:color w:val="auto"/>
          <w:spacing w:val="-4"/>
          <w:lang w:eastAsia="zh-CN"/>
        </w:rPr>
        <w:t>3  管理团队要求</w:t>
      </w:r>
    </w:p>
    <w:p w14:paraId="7719A65B">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（1）树立正确的物业管理观念，以“服务至上，客户第一”为管理宗旨，不断提高良好信誉、不断加强科学管理，做好服务工作。</w:t>
      </w:r>
    </w:p>
    <w:p w14:paraId="2E0FECB1">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（2）无等级安全事故，无工伤伤亡事故，无因工作不当造成建筑和设备设施严重损坏事故。</w:t>
      </w:r>
    </w:p>
    <w:p w14:paraId="33F8110D">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（3）无脏乱现象和卫生不洁死角，无严重责任疏漏事故。</w:t>
      </w:r>
    </w:p>
    <w:p w14:paraId="4EB2F5E4">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（4）优质服务，规范服务，提供方便、及时和舒适的人性化服务，让业主满意，机关工作人员满意。</w:t>
      </w:r>
    </w:p>
    <w:p w14:paraId="42900152">
      <w:pPr>
        <w:pStyle w:val="6"/>
        <w:spacing w:before="93" w:line="221" w:lineRule="auto"/>
        <w:ind w:left="1029"/>
        <w:rPr>
          <w:rFonts w:ascii="Times New Roman" w:hAnsi="Times New Roman" w:eastAsia="Times New Roman" w:cs="Times New Roman"/>
          <w:color w:val="auto"/>
          <w:spacing w:val="-4"/>
          <w:lang w:eastAsia="zh-CN"/>
        </w:rPr>
      </w:pPr>
    </w:p>
    <w:p w14:paraId="298F8A4C">
      <w:pPr>
        <w:pStyle w:val="6"/>
        <w:spacing w:before="93" w:line="221" w:lineRule="auto"/>
        <w:rPr>
          <w:rFonts w:hint="eastAsia"/>
          <w:color w:val="auto"/>
          <w:lang w:eastAsia="zh-CN"/>
        </w:rPr>
      </w:pPr>
      <w:r>
        <w:rPr>
          <w:rFonts w:ascii="Times New Roman" w:hAnsi="Times New Roman" w:eastAsia="Times New Roman" w:cs="Times New Roman"/>
          <w:color w:val="auto"/>
          <w:spacing w:val="-4"/>
          <w:lang w:eastAsia="zh-CN"/>
        </w:rPr>
        <w:t>9.</w:t>
      </w:r>
      <w:r>
        <w:rPr>
          <w:rFonts w:hint="eastAsia" w:ascii="Times New Roman" w:hAnsi="Times New Roman" w:eastAsia="Times New Roman" w:cs="Times New Roman"/>
          <w:color w:val="auto"/>
          <w:spacing w:val="-4"/>
          <w:lang w:eastAsia="zh-CN"/>
        </w:rPr>
        <w:t>4</w:t>
      </w:r>
      <w:r>
        <w:rPr>
          <w:rFonts w:ascii="Times New Roman" w:hAnsi="Times New Roman" w:eastAsia="Times New Roman" w:cs="Times New Roman"/>
          <w:color w:val="auto"/>
          <w:spacing w:val="16"/>
          <w:lang w:eastAsia="zh-CN"/>
        </w:rPr>
        <w:t xml:space="preserve"> </w:t>
      </w:r>
      <w:r>
        <w:rPr>
          <w:color w:val="auto"/>
          <w:spacing w:val="-4"/>
          <w:lang w:eastAsia="zh-CN"/>
        </w:rPr>
        <w:t>岗位设置一览表</w:t>
      </w:r>
    </w:p>
    <w:p w14:paraId="02B9417B">
      <w:pPr>
        <w:pStyle w:val="12"/>
        <w:spacing w:line="360" w:lineRule="auto"/>
        <w:ind w:left="422" w:hanging="422"/>
        <w:jc w:val="center"/>
        <w:rPr>
          <w:b/>
          <w:color w:val="auto"/>
          <w:lang w:eastAsia="zh-CN"/>
        </w:rPr>
      </w:pPr>
    </w:p>
    <w:p w14:paraId="1811C42F">
      <w:pPr>
        <w:pStyle w:val="12"/>
        <w:spacing w:line="360" w:lineRule="auto"/>
        <w:ind w:left="422" w:hanging="422"/>
        <w:jc w:val="center"/>
        <w:rPr>
          <w:b/>
          <w:color w:val="auto"/>
          <w:lang w:eastAsia="zh-CN"/>
        </w:rPr>
      </w:pPr>
      <w:r>
        <w:rPr>
          <w:rFonts w:hint="eastAsia"/>
          <w:b/>
          <w:color w:val="auto"/>
          <w:lang w:eastAsia="zh-CN"/>
        </w:rPr>
        <w:t>物业管理服务人员设置需求表</w:t>
      </w:r>
    </w:p>
    <w:p w14:paraId="7C9FF0E7">
      <w:pPr>
        <w:pStyle w:val="12"/>
        <w:ind w:left="482" w:hanging="482"/>
        <w:rPr>
          <w:b/>
          <w:color w:val="auto"/>
          <w:lang w:eastAsia="zh-CN"/>
        </w:rPr>
      </w:pPr>
      <w:r>
        <w:rPr>
          <w:rFonts w:hint="eastAsia" w:ascii="宋体" w:hAnsi="宋体" w:cs="宋体"/>
          <w:b/>
          <w:color w:val="auto"/>
          <w:sz w:val="24"/>
          <w:lang w:eastAsia="zh-CN"/>
        </w:rPr>
        <w:t>★本项目物业管理及服务人员数量不得少于11人</w:t>
      </w:r>
      <w:r>
        <w:rPr>
          <w:rFonts w:eastAsia="黑体"/>
          <w:b/>
          <w:color w:val="auto"/>
          <w:sz w:val="24"/>
          <w:lang w:eastAsia="zh-CN"/>
        </w:rPr>
        <w:t>。</w:t>
      </w:r>
    </w:p>
    <w:p w14:paraId="1EE9B6BF">
      <w:pPr>
        <w:pStyle w:val="12"/>
        <w:spacing w:line="360" w:lineRule="auto"/>
        <w:ind w:left="422" w:hanging="422"/>
        <w:jc w:val="center"/>
        <w:rPr>
          <w:b/>
          <w:color w:val="auto"/>
          <w:lang w:eastAsia="zh-CN"/>
        </w:rPr>
      </w:pPr>
    </w:p>
    <w:tbl>
      <w:tblPr>
        <w:tblStyle w:val="14"/>
        <w:tblpPr w:leftFromText="180" w:rightFromText="180" w:vertAnchor="text" w:horzAnchor="page" w:tblpX="1743" w:tblpY="97"/>
        <w:tblOverlap w:val="never"/>
        <w:tblW w:w="8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13"/>
        <w:gridCol w:w="1453"/>
        <w:gridCol w:w="1130"/>
        <w:gridCol w:w="969"/>
        <w:gridCol w:w="1938"/>
        <w:gridCol w:w="1329"/>
      </w:tblGrid>
      <w:tr w14:paraId="28A3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50" w:type="dxa"/>
            <w:tcBorders>
              <w:top w:val="single" w:color="auto" w:sz="4" w:space="0"/>
              <w:left w:val="single" w:color="auto" w:sz="4" w:space="0"/>
              <w:bottom w:val="single" w:color="auto" w:sz="4" w:space="0"/>
              <w:right w:val="single" w:color="auto" w:sz="4" w:space="0"/>
            </w:tcBorders>
            <w:noWrap/>
          </w:tcPr>
          <w:p w14:paraId="0714755D">
            <w:pPr>
              <w:jc w:val="center"/>
              <w:rPr>
                <w:color w:val="auto"/>
                <w:lang w:eastAsia="zh-CN"/>
              </w:rPr>
            </w:pPr>
            <w:r>
              <w:rPr>
                <w:rFonts w:hint="eastAsia" w:ascii="宋体" w:hAnsi="宋体" w:eastAsia="宋体" w:cs="宋体"/>
                <w:color w:val="auto"/>
                <w:lang w:eastAsia="zh-CN"/>
              </w:rPr>
              <w:t>序号</w:t>
            </w:r>
          </w:p>
        </w:tc>
        <w:tc>
          <w:tcPr>
            <w:tcW w:w="1113" w:type="dxa"/>
            <w:tcBorders>
              <w:top w:val="single" w:color="auto" w:sz="4" w:space="0"/>
              <w:left w:val="single" w:color="auto" w:sz="4" w:space="0"/>
              <w:bottom w:val="single" w:color="auto" w:sz="4" w:space="0"/>
              <w:right w:val="single" w:color="auto" w:sz="4" w:space="0"/>
            </w:tcBorders>
            <w:noWrap/>
          </w:tcPr>
          <w:p w14:paraId="36E71833">
            <w:pPr>
              <w:jc w:val="center"/>
              <w:rPr>
                <w:color w:val="auto"/>
              </w:rPr>
            </w:pPr>
            <w:r>
              <w:rPr>
                <w:rFonts w:hint="eastAsia" w:ascii="宋体" w:hAnsi="宋体" w:eastAsia="宋体" w:cs="宋体"/>
                <w:color w:val="auto"/>
              </w:rPr>
              <w:t>服务岗位</w:t>
            </w:r>
          </w:p>
        </w:tc>
        <w:tc>
          <w:tcPr>
            <w:tcW w:w="1453" w:type="dxa"/>
            <w:tcBorders>
              <w:top w:val="single" w:color="auto" w:sz="4" w:space="0"/>
              <w:left w:val="single" w:color="auto" w:sz="4" w:space="0"/>
              <w:bottom w:val="single" w:color="auto" w:sz="4" w:space="0"/>
              <w:right w:val="single" w:color="auto" w:sz="4" w:space="0"/>
            </w:tcBorders>
            <w:noWrap/>
          </w:tcPr>
          <w:p w14:paraId="5A9824D5">
            <w:pPr>
              <w:jc w:val="center"/>
              <w:rPr>
                <w:color w:val="auto"/>
              </w:rPr>
            </w:pPr>
            <w:r>
              <w:rPr>
                <w:rFonts w:hint="eastAsia" w:ascii="宋体" w:hAnsi="宋体" w:eastAsia="宋体" w:cs="宋体"/>
                <w:color w:val="auto"/>
              </w:rPr>
              <w:t>班次</w:t>
            </w:r>
          </w:p>
        </w:tc>
        <w:tc>
          <w:tcPr>
            <w:tcW w:w="1130" w:type="dxa"/>
            <w:tcBorders>
              <w:top w:val="single" w:color="auto" w:sz="4" w:space="0"/>
              <w:left w:val="single" w:color="auto" w:sz="4" w:space="0"/>
              <w:bottom w:val="single" w:color="auto" w:sz="4" w:space="0"/>
              <w:right w:val="single" w:color="auto" w:sz="4" w:space="0"/>
            </w:tcBorders>
            <w:noWrap/>
          </w:tcPr>
          <w:p w14:paraId="19C9E416">
            <w:pPr>
              <w:jc w:val="center"/>
              <w:rPr>
                <w:color w:val="auto"/>
              </w:rPr>
            </w:pPr>
            <w:r>
              <w:rPr>
                <w:rFonts w:hint="eastAsia" w:ascii="宋体" w:hAnsi="宋体" w:eastAsia="宋体" w:cs="宋体"/>
                <w:color w:val="auto"/>
                <w:lang w:eastAsia="zh-CN"/>
              </w:rPr>
              <w:t>岗位数</w:t>
            </w:r>
          </w:p>
        </w:tc>
        <w:tc>
          <w:tcPr>
            <w:tcW w:w="969" w:type="dxa"/>
            <w:tcBorders>
              <w:top w:val="single" w:color="auto" w:sz="4" w:space="0"/>
              <w:left w:val="single" w:color="auto" w:sz="4" w:space="0"/>
              <w:bottom w:val="single" w:color="auto" w:sz="4" w:space="0"/>
              <w:right w:val="single" w:color="auto" w:sz="4" w:space="0"/>
            </w:tcBorders>
            <w:noWrap/>
          </w:tcPr>
          <w:p w14:paraId="713FD843">
            <w:pPr>
              <w:jc w:val="center"/>
              <w:rPr>
                <w:color w:val="auto"/>
              </w:rPr>
            </w:pPr>
            <w:r>
              <w:rPr>
                <w:rFonts w:hint="eastAsia" w:ascii="宋体" w:hAnsi="宋体" w:eastAsia="宋体" w:cs="宋体"/>
                <w:color w:val="auto"/>
              </w:rPr>
              <w:t>人</w:t>
            </w:r>
            <w:r>
              <w:rPr>
                <w:rFonts w:hint="eastAsia" w:ascii="宋体" w:hAnsi="宋体" w:eastAsia="宋体" w:cs="宋体"/>
                <w:color w:val="auto"/>
                <w:lang w:eastAsia="zh-CN"/>
              </w:rPr>
              <w:t>工</w:t>
            </w:r>
            <w:r>
              <w:rPr>
                <w:rFonts w:hint="eastAsia" w:ascii="宋体" w:hAnsi="宋体" w:eastAsia="宋体" w:cs="宋体"/>
                <w:color w:val="auto"/>
              </w:rPr>
              <w:t>数</w:t>
            </w:r>
          </w:p>
        </w:tc>
        <w:tc>
          <w:tcPr>
            <w:tcW w:w="1938" w:type="dxa"/>
            <w:tcBorders>
              <w:top w:val="single" w:color="auto" w:sz="4" w:space="0"/>
              <w:left w:val="single" w:color="auto" w:sz="4" w:space="0"/>
              <w:bottom w:val="single" w:color="auto" w:sz="4" w:space="0"/>
              <w:right w:val="single" w:color="auto" w:sz="4" w:space="0"/>
            </w:tcBorders>
            <w:noWrap/>
          </w:tcPr>
          <w:p w14:paraId="39586BFD">
            <w:pPr>
              <w:jc w:val="center"/>
              <w:rPr>
                <w:color w:val="auto"/>
              </w:rPr>
            </w:pPr>
            <w:r>
              <w:rPr>
                <w:rFonts w:hint="eastAsia" w:ascii="宋体" w:hAnsi="宋体" w:eastAsia="宋体" w:cs="宋体"/>
                <w:color w:val="auto"/>
              </w:rPr>
              <w:t>主要工作</w:t>
            </w:r>
          </w:p>
        </w:tc>
        <w:tc>
          <w:tcPr>
            <w:tcW w:w="1329" w:type="dxa"/>
            <w:tcBorders>
              <w:top w:val="single" w:color="auto" w:sz="4" w:space="0"/>
              <w:left w:val="single" w:color="auto" w:sz="4" w:space="0"/>
              <w:bottom w:val="single" w:color="auto" w:sz="4" w:space="0"/>
              <w:right w:val="single" w:color="auto" w:sz="4" w:space="0"/>
            </w:tcBorders>
          </w:tcPr>
          <w:p w14:paraId="1033A740">
            <w:pPr>
              <w:jc w:val="center"/>
              <w:rPr>
                <w:color w:val="auto"/>
              </w:rPr>
            </w:pPr>
            <w:r>
              <w:rPr>
                <w:rFonts w:hint="eastAsia" w:ascii="宋体" w:hAnsi="宋体" w:eastAsia="宋体" w:cs="宋体"/>
                <w:color w:val="auto"/>
              </w:rPr>
              <w:t>备注</w:t>
            </w:r>
          </w:p>
        </w:tc>
      </w:tr>
      <w:tr w14:paraId="1756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50" w:type="dxa"/>
            <w:tcBorders>
              <w:top w:val="single" w:color="auto" w:sz="4" w:space="0"/>
              <w:left w:val="single" w:color="auto" w:sz="4" w:space="0"/>
              <w:bottom w:val="single" w:color="auto" w:sz="4" w:space="0"/>
              <w:right w:val="single" w:color="auto" w:sz="4" w:space="0"/>
            </w:tcBorders>
            <w:noWrap/>
          </w:tcPr>
          <w:p w14:paraId="3347E711">
            <w:pPr>
              <w:jc w:val="center"/>
              <w:rPr>
                <w:color w:val="auto"/>
                <w:lang w:eastAsia="zh-CN"/>
              </w:rPr>
            </w:pPr>
            <w:r>
              <w:rPr>
                <w:rFonts w:hint="eastAsia"/>
                <w:color w:val="auto"/>
                <w:lang w:eastAsia="zh-CN"/>
              </w:rPr>
              <w:t>1</w:t>
            </w:r>
          </w:p>
        </w:tc>
        <w:tc>
          <w:tcPr>
            <w:tcW w:w="1113" w:type="dxa"/>
            <w:tcBorders>
              <w:top w:val="single" w:color="auto" w:sz="4" w:space="0"/>
              <w:left w:val="single" w:color="auto" w:sz="4" w:space="0"/>
              <w:bottom w:val="single" w:color="auto" w:sz="4" w:space="0"/>
              <w:right w:val="single" w:color="auto" w:sz="4" w:space="0"/>
            </w:tcBorders>
            <w:noWrap/>
          </w:tcPr>
          <w:p w14:paraId="68783584">
            <w:pPr>
              <w:jc w:val="center"/>
              <w:rPr>
                <w:color w:val="auto"/>
              </w:rPr>
            </w:pPr>
            <w:r>
              <w:rPr>
                <w:rFonts w:hint="eastAsia" w:ascii="宋体" w:hAnsi="宋体" w:eastAsia="宋体" w:cs="宋体"/>
                <w:color w:val="auto"/>
              </w:rPr>
              <w:t>保洁员</w:t>
            </w:r>
          </w:p>
        </w:tc>
        <w:tc>
          <w:tcPr>
            <w:tcW w:w="1453" w:type="dxa"/>
            <w:tcBorders>
              <w:top w:val="single" w:color="auto" w:sz="4" w:space="0"/>
              <w:left w:val="single" w:color="auto" w:sz="4" w:space="0"/>
              <w:bottom w:val="single" w:color="auto" w:sz="4" w:space="0"/>
              <w:right w:val="single" w:color="auto" w:sz="4" w:space="0"/>
            </w:tcBorders>
            <w:noWrap/>
          </w:tcPr>
          <w:p w14:paraId="66A9E796">
            <w:pPr>
              <w:jc w:val="center"/>
              <w:rPr>
                <w:rFonts w:hint="eastAsia" w:ascii="宋体" w:hAnsi="宋体" w:eastAsia="宋体" w:cs="宋体"/>
                <w:color w:val="auto"/>
                <w:lang w:eastAsia="zh-CN"/>
              </w:rPr>
            </w:pPr>
            <w:r>
              <w:rPr>
                <w:rFonts w:hint="eastAsia" w:ascii="宋体" w:hAnsi="宋体" w:eastAsia="宋体" w:cs="宋体"/>
                <w:color w:val="auto"/>
                <w:lang w:eastAsia="zh-CN"/>
              </w:rPr>
              <w:t>做五休二</w:t>
            </w:r>
          </w:p>
          <w:p w14:paraId="1F264F25">
            <w:pPr>
              <w:jc w:val="center"/>
              <w:rPr>
                <w:color w:val="auto"/>
                <w:lang w:eastAsia="zh-CN"/>
              </w:rPr>
            </w:pPr>
            <w:r>
              <w:rPr>
                <w:rFonts w:hint="eastAsia" w:ascii="宋体" w:hAnsi="宋体" w:eastAsia="宋体" w:cs="宋体"/>
                <w:color w:val="auto"/>
                <w:lang w:eastAsia="zh-CN"/>
              </w:rPr>
              <w:t>10小时/班</w:t>
            </w:r>
          </w:p>
        </w:tc>
        <w:tc>
          <w:tcPr>
            <w:tcW w:w="1130" w:type="dxa"/>
            <w:tcBorders>
              <w:top w:val="single" w:color="auto" w:sz="4" w:space="0"/>
              <w:left w:val="single" w:color="auto" w:sz="4" w:space="0"/>
              <w:bottom w:val="single" w:color="auto" w:sz="4" w:space="0"/>
              <w:right w:val="single" w:color="auto" w:sz="4" w:space="0"/>
            </w:tcBorders>
            <w:noWrap/>
          </w:tcPr>
          <w:p w14:paraId="1BB6F644">
            <w:pPr>
              <w:jc w:val="center"/>
              <w:rPr>
                <w:rFonts w:eastAsiaTheme="minorEastAsia"/>
                <w:color w:val="auto"/>
                <w:lang w:eastAsia="zh-CN"/>
              </w:rPr>
            </w:pPr>
            <w:r>
              <w:rPr>
                <w:rFonts w:hint="eastAsia" w:eastAsiaTheme="minorEastAsia"/>
                <w:color w:val="auto"/>
                <w:lang w:eastAsia="zh-CN"/>
              </w:rPr>
              <w:t>3</w:t>
            </w:r>
          </w:p>
        </w:tc>
        <w:tc>
          <w:tcPr>
            <w:tcW w:w="969" w:type="dxa"/>
            <w:tcBorders>
              <w:top w:val="single" w:color="auto" w:sz="4" w:space="0"/>
              <w:left w:val="single" w:color="auto" w:sz="4" w:space="0"/>
              <w:bottom w:val="single" w:color="auto" w:sz="4" w:space="0"/>
              <w:right w:val="single" w:color="auto" w:sz="4" w:space="0"/>
            </w:tcBorders>
            <w:noWrap/>
          </w:tcPr>
          <w:p w14:paraId="55124E8B">
            <w:pPr>
              <w:jc w:val="center"/>
              <w:rPr>
                <w:rFonts w:eastAsiaTheme="minorEastAsia"/>
                <w:color w:val="auto"/>
                <w:lang w:eastAsia="zh-CN"/>
              </w:rPr>
            </w:pPr>
            <w:r>
              <w:rPr>
                <w:rFonts w:hint="eastAsia" w:eastAsiaTheme="minorEastAsia"/>
                <w:color w:val="auto"/>
                <w:lang w:eastAsia="zh-CN"/>
              </w:rPr>
              <w:t>5</w:t>
            </w:r>
          </w:p>
        </w:tc>
        <w:tc>
          <w:tcPr>
            <w:tcW w:w="1938" w:type="dxa"/>
            <w:tcBorders>
              <w:top w:val="single" w:color="auto" w:sz="4" w:space="0"/>
              <w:left w:val="single" w:color="auto" w:sz="4" w:space="0"/>
              <w:bottom w:val="single" w:color="auto" w:sz="4" w:space="0"/>
              <w:right w:val="single" w:color="auto" w:sz="4" w:space="0"/>
            </w:tcBorders>
            <w:noWrap/>
          </w:tcPr>
          <w:p w14:paraId="3A5BFB0B">
            <w:pPr>
              <w:rPr>
                <w:color w:val="auto"/>
                <w:lang w:eastAsia="zh-CN"/>
              </w:rPr>
            </w:pPr>
            <w:r>
              <w:rPr>
                <w:rFonts w:hint="eastAsia" w:ascii="宋体" w:hAnsi="宋体" w:eastAsia="宋体" w:cs="宋体"/>
                <w:color w:val="auto"/>
                <w:lang w:eastAsia="zh-CN"/>
              </w:rPr>
              <w:t>楼层环境保洁，室内保洁</w:t>
            </w:r>
          </w:p>
        </w:tc>
        <w:tc>
          <w:tcPr>
            <w:tcW w:w="1329" w:type="dxa"/>
            <w:tcBorders>
              <w:top w:val="single" w:color="auto" w:sz="4" w:space="0"/>
              <w:left w:val="single" w:color="auto" w:sz="4" w:space="0"/>
              <w:bottom w:val="single" w:color="auto" w:sz="4" w:space="0"/>
              <w:right w:val="single" w:color="auto" w:sz="4" w:space="0"/>
            </w:tcBorders>
          </w:tcPr>
          <w:p w14:paraId="75BAB8F3">
            <w:pPr>
              <w:rPr>
                <w:color w:val="auto"/>
                <w:lang w:eastAsia="zh-CN"/>
              </w:rPr>
            </w:pPr>
            <w:r>
              <w:rPr>
                <w:rFonts w:hint="eastAsia" w:ascii="宋体" w:hAnsi="宋体" w:eastAsia="宋体" w:cs="宋体"/>
                <w:color w:val="auto"/>
                <w:lang w:eastAsia="zh-CN"/>
              </w:rPr>
              <w:t>每周七天运行，7：00-17：30在岗</w:t>
            </w:r>
          </w:p>
        </w:tc>
      </w:tr>
      <w:tr w14:paraId="67AA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50" w:type="dxa"/>
            <w:tcBorders>
              <w:top w:val="single" w:color="auto" w:sz="4" w:space="0"/>
              <w:left w:val="single" w:color="auto" w:sz="4" w:space="0"/>
              <w:bottom w:val="single" w:color="auto" w:sz="4" w:space="0"/>
              <w:right w:val="single" w:color="auto" w:sz="4" w:space="0"/>
            </w:tcBorders>
            <w:noWrap/>
          </w:tcPr>
          <w:p w14:paraId="5F47A836">
            <w:pPr>
              <w:jc w:val="center"/>
              <w:rPr>
                <w:rFonts w:eastAsiaTheme="minorEastAsia"/>
                <w:color w:val="auto"/>
                <w:lang w:eastAsia="zh-CN"/>
              </w:rPr>
            </w:pPr>
            <w:r>
              <w:rPr>
                <w:rFonts w:hint="eastAsia" w:eastAsiaTheme="minorEastAsia"/>
                <w:color w:val="auto"/>
                <w:lang w:eastAsia="zh-CN"/>
              </w:rPr>
              <w:t>2</w:t>
            </w:r>
          </w:p>
        </w:tc>
        <w:tc>
          <w:tcPr>
            <w:tcW w:w="1113" w:type="dxa"/>
            <w:tcBorders>
              <w:top w:val="single" w:color="auto" w:sz="4" w:space="0"/>
              <w:left w:val="single" w:color="auto" w:sz="4" w:space="0"/>
              <w:bottom w:val="single" w:color="auto" w:sz="4" w:space="0"/>
              <w:right w:val="single" w:color="auto" w:sz="4" w:space="0"/>
            </w:tcBorders>
            <w:noWrap/>
          </w:tcPr>
          <w:p w14:paraId="5B0D0106">
            <w:pPr>
              <w:jc w:val="center"/>
              <w:rPr>
                <w:rFonts w:hint="eastAsia" w:ascii="宋体" w:hAnsi="宋体" w:eastAsia="宋体" w:cs="宋体"/>
                <w:color w:val="auto"/>
              </w:rPr>
            </w:pPr>
            <w:r>
              <w:rPr>
                <w:rFonts w:hint="eastAsia" w:ascii="宋体" w:hAnsi="宋体" w:eastAsia="宋体" w:cs="宋体"/>
                <w:color w:val="auto"/>
              </w:rPr>
              <w:t>保安</w:t>
            </w:r>
            <w:r>
              <w:rPr>
                <w:rFonts w:hint="eastAsia" w:ascii="宋体" w:hAnsi="宋体" w:eastAsia="宋体" w:cs="宋体"/>
                <w:color w:val="auto"/>
                <w:lang w:eastAsia="zh-CN"/>
              </w:rPr>
              <w:t>员</w:t>
            </w:r>
          </w:p>
        </w:tc>
        <w:tc>
          <w:tcPr>
            <w:tcW w:w="1453" w:type="dxa"/>
            <w:tcBorders>
              <w:top w:val="single" w:color="auto" w:sz="4" w:space="0"/>
              <w:left w:val="single" w:color="auto" w:sz="4" w:space="0"/>
              <w:bottom w:val="single" w:color="auto" w:sz="4" w:space="0"/>
              <w:right w:val="single" w:color="auto" w:sz="4" w:space="0"/>
            </w:tcBorders>
            <w:noWrap/>
          </w:tcPr>
          <w:p w14:paraId="1CED221E">
            <w:pPr>
              <w:jc w:val="center"/>
              <w:rPr>
                <w:rFonts w:hint="eastAsia" w:ascii="宋体" w:hAnsi="宋体" w:eastAsia="宋体" w:cs="宋体"/>
                <w:color w:val="auto"/>
                <w:lang w:eastAsia="zh-CN"/>
              </w:rPr>
            </w:pPr>
            <w:r>
              <w:rPr>
                <w:rFonts w:hint="eastAsia" w:ascii="宋体" w:hAnsi="宋体" w:eastAsia="宋体" w:cs="宋体"/>
                <w:color w:val="auto"/>
              </w:rPr>
              <w:t>做</w:t>
            </w:r>
            <w:r>
              <w:rPr>
                <w:rFonts w:hint="eastAsia" w:ascii="宋体" w:hAnsi="宋体" w:eastAsia="宋体" w:cs="宋体"/>
                <w:color w:val="auto"/>
                <w:lang w:eastAsia="zh-CN"/>
              </w:rPr>
              <w:t>一</w:t>
            </w:r>
            <w:r>
              <w:rPr>
                <w:rFonts w:hint="eastAsia" w:ascii="宋体" w:hAnsi="宋体" w:eastAsia="宋体" w:cs="宋体"/>
                <w:color w:val="auto"/>
              </w:rPr>
              <w:t>休一</w:t>
            </w:r>
          </w:p>
          <w:p w14:paraId="504291B2">
            <w:pPr>
              <w:jc w:val="center"/>
              <w:rPr>
                <w:rFonts w:hint="eastAsia" w:ascii="宋体" w:hAnsi="宋体" w:eastAsia="宋体" w:cs="宋体"/>
                <w:color w:val="auto"/>
              </w:rPr>
            </w:pPr>
            <w:r>
              <w:rPr>
                <w:rFonts w:hint="eastAsia" w:ascii="宋体" w:hAnsi="宋体" w:eastAsia="宋体" w:cs="宋体"/>
                <w:color w:val="auto"/>
                <w:lang w:eastAsia="zh-CN"/>
              </w:rPr>
              <w:t>12小时/班</w:t>
            </w:r>
          </w:p>
        </w:tc>
        <w:tc>
          <w:tcPr>
            <w:tcW w:w="1130" w:type="dxa"/>
            <w:tcBorders>
              <w:top w:val="single" w:color="auto" w:sz="4" w:space="0"/>
              <w:left w:val="single" w:color="auto" w:sz="4" w:space="0"/>
              <w:bottom w:val="single" w:color="auto" w:sz="4" w:space="0"/>
              <w:right w:val="single" w:color="auto" w:sz="4" w:space="0"/>
            </w:tcBorders>
            <w:noWrap/>
          </w:tcPr>
          <w:p w14:paraId="24DC275E">
            <w:pPr>
              <w:jc w:val="center"/>
              <w:rPr>
                <w:rFonts w:eastAsiaTheme="minorEastAsia"/>
                <w:color w:val="auto"/>
                <w:lang w:eastAsia="zh-CN"/>
              </w:rPr>
            </w:pPr>
            <w:r>
              <w:rPr>
                <w:rFonts w:hint="eastAsia" w:eastAsiaTheme="minorEastAsia"/>
                <w:color w:val="auto"/>
                <w:lang w:eastAsia="zh-CN"/>
              </w:rPr>
              <w:t>2</w:t>
            </w:r>
          </w:p>
        </w:tc>
        <w:tc>
          <w:tcPr>
            <w:tcW w:w="969" w:type="dxa"/>
            <w:tcBorders>
              <w:top w:val="single" w:color="auto" w:sz="4" w:space="0"/>
              <w:left w:val="single" w:color="auto" w:sz="4" w:space="0"/>
              <w:bottom w:val="single" w:color="auto" w:sz="4" w:space="0"/>
              <w:right w:val="single" w:color="auto" w:sz="4" w:space="0"/>
            </w:tcBorders>
            <w:noWrap/>
          </w:tcPr>
          <w:p w14:paraId="2CDF027D">
            <w:pPr>
              <w:jc w:val="center"/>
              <w:rPr>
                <w:rFonts w:eastAsiaTheme="minorEastAsia"/>
                <w:color w:val="auto"/>
                <w:lang w:eastAsia="zh-CN"/>
              </w:rPr>
            </w:pPr>
            <w:r>
              <w:rPr>
                <w:rFonts w:hint="eastAsia" w:eastAsiaTheme="minorEastAsia"/>
                <w:color w:val="auto"/>
                <w:lang w:eastAsia="zh-CN"/>
              </w:rPr>
              <w:t>4</w:t>
            </w:r>
          </w:p>
        </w:tc>
        <w:tc>
          <w:tcPr>
            <w:tcW w:w="1938" w:type="dxa"/>
            <w:tcBorders>
              <w:top w:val="single" w:color="auto" w:sz="4" w:space="0"/>
              <w:left w:val="single" w:color="auto" w:sz="4" w:space="0"/>
              <w:bottom w:val="single" w:color="auto" w:sz="4" w:space="0"/>
              <w:right w:val="single" w:color="auto" w:sz="4" w:space="0"/>
            </w:tcBorders>
            <w:noWrap/>
          </w:tcPr>
          <w:p w14:paraId="026F37E0">
            <w:pPr>
              <w:rPr>
                <w:rFonts w:hint="eastAsia" w:ascii="宋体" w:hAnsi="宋体" w:eastAsia="宋体" w:cs="宋体"/>
                <w:color w:val="auto"/>
                <w:lang w:eastAsia="zh-CN"/>
              </w:rPr>
            </w:pPr>
            <w:r>
              <w:rPr>
                <w:rFonts w:hint="eastAsia" w:ascii="宋体" w:hAnsi="宋体" w:eastAsia="宋体" w:cs="宋体"/>
                <w:color w:val="auto"/>
                <w:lang w:eastAsia="zh-CN"/>
              </w:rPr>
              <w:t>楼宇安全巡视、消防安全、门岗进出口管理、车辆管理</w:t>
            </w:r>
          </w:p>
        </w:tc>
        <w:tc>
          <w:tcPr>
            <w:tcW w:w="1329" w:type="dxa"/>
            <w:tcBorders>
              <w:top w:val="single" w:color="auto" w:sz="4" w:space="0"/>
              <w:left w:val="single" w:color="auto" w:sz="4" w:space="0"/>
              <w:bottom w:val="single" w:color="auto" w:sz="4" w:space="0"/>
              <w:right w:val="single" w:color="auto" w:sz="4" w:space="0"/>
            </w:tcBorders>
          </w:tcPr>
          <w:p w14:paraId="7FBF4445">
            <w:pPr>
              <w:rPr>
                <w:rFonts w:hint="eastAsia" w:ascii="宋体" w:hAnsi="宋体" w:eastAsia="宋体" w:cs="宋体"/>
                <w:color w:val="auto"/>
                <w:lang w:eastAsia="zh-CN"/>
              </w:rPr>
            </w:pPr>
            <w:r>
              <w:rPr>
                <w:rFonts w:hint="eastAsia" w:ascii="宋体" w:hAnsi="宋体" w:eastAsia="宋体" w:cs="宋体"/>
                <w:color w:val="auto"/>
                <w:lang w:eastAsia="zh-CN"/>
              </w:rPr>
              <w:t>持有保安员证</w:t>
            </w:r>
          </w:p>
        </w:tc>
      </w:tr>
      <w:tr w14:paraId="1988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50" w:type="dxa"/>
            <w:tcBorders>
              <w:top w:val="single" w:color="auto" w:sz="4" w:space="0"/>
              <w:left w:val="single" w:color="auto" w:sz="4" w:space="0"/>
              <w:bottom w:val="single" w:color="auto" w:sz="4" w:space="0"/>
              <w:right w:val="single" w:color="auto" w:sz="4" w:space="0"/>
            </w:tcBorders>
            <w:noWrap/>
          </w:tcPr>
          <w:p w14:paraId="529AC6DA">
            <w:pPr>
              <w:jc w:val="center"/>
              <w:rPr>
                <w:rFonts w:eastAsiaTheme="minorEastAsia"/>
                <w:color w:val="auto"/>
                <w:lang w:eastAsia="zh-CN"/>
              </w:rPr>
            </w:pPr>
            <w:r>
              <w:rPr>
                <w:rFonts w:hint="eastAsia" w:eastAsiaTheme="minorEastAsia"/>
                <w:color w:val="auto"/>
                <w:lang w:eastAsia="zh-CN"/>
              </w:rPr>
              <w:t>3</w:t>
            </w:r>
          </w:p>
        </w:tc>
        <w:tc>
          <w:tcPr>
            <w:tcW w:w="1113" w:type="dxa"/>
            <w:tcBorders>
              <w:top w:val="single" w:color="auto" w:sz="4" w:space="0"/>
              <w:left w:val="single" w:color="auto" w:sz="4" w:space="0"/>
              <w:bottom w:val="single" w:color="auto" w:sz="4" w:space="0"/>
              <w:right w:val="single" w:color="auto" w:sz="4" w:space="0"/>
            </w:tcBorders>
            <w:noWrap/>
          </w:tcPr>
          <w:p w14:paraId="16CB7CED">
            <w:pPr>
              <w:jc w:val="center"/>
              <w:rPr>
                <w:rFonts w:hint="eastAsia" w:ascii="宋体" w:hAnsi="宋体" w:eastAsia="宋体" w:cs="宋体"/>
                <w:color w:val="auto"/>
              </w:rPr>
            </w:pPr>
            <w:r>
              <w:rPr>
                <w:rFonts w:hint="eastAsia" w:ascii="宋体" w:hAnsi="宋体" w:eastAsia="宋体" w:cs="宋体"/>
                <w:color w:val="auto"/>
                <w:lang w:eastAsia="zh-CN"/>
              </w:rPr>
              <w:t>综合服务</w:t>
            </w:r>
          </w:p>
        </w:tc>
        <w:tc>
          <w:tcPr>
            <w:tcW w:w="1453" w:type="dxa"/>
            <w:tcBorders>
              <w:top w:val="single" w:color="auto" w:sz="4" w:space="0"/>
              <w:left w:val="single" w:color="auto" w:sz="4" w:space="0"/>
              <w:bottom w:val="single" w:color="auto" w:sz="4" w:space="0"/>
              <w:right w:val="single" w:color="auto" w:sz="4" w:space="0"/>
            </w:tcBorders>
            <w:noWrap/>
          </w:tcPr>
          <w:p w14:paraId="55A6B67F">
            <w:pPr>
              <w:jc w:val="center"/>
              <w:rPr>
                <w:rFonts w:hint="eastAsia" w:ascii="宋体" w:hAnsi="宋体" w:eastAsia="宋体" w:cs="宋体"/>
                <w:color w:val="auto"/>
                <w:lang w:eastAsia="zh-CN"/>
              </w:rPr>
            </w:pPr>
            <w:r>
              <w:rPr>
                <w:rFonts w:hint="eastAsia" w:ascii="宋体" w:hAnsi="宋体" w:eastAsia="宋体" w:cs="宋体"/>
                <w:color w:val="auto"/>
              </w:rPr>
              <w:t>做五休二</w:t>
            </w:r>
          </w:p>
          <w:p w14:paraId="178460E0">
            <w:pPr>
              <w:jc w:val="center"/>
              <w:rPr>
                <w:rFonts w:hint="eastAsia" w:ascii="宋体" w:hAnsi="宋体" w:eastAsia="宋体" w:cs="宋体"/>
                <w:color w:val="auto"/>
              </w:rPr>
            </w:pPr>
            <w:r>
              <w:rPr>
                <w:rFonts w:hint="eastAsia" w:ascii="宋体" w:hAnsi="宋体" w:eastAsia="宋体" w:cs="宋体"/>
                <w:color w:val="auto"/>
                <w:lang w:eastAsia="zh-CN"/>
              </w:rPr>
              <w:t>8小时/班</w:t>
            </w:r>
          </w:p>
        </w:tc>
        <w:tc>
          <w:tcPr>
            <w:tcW w:w="1130" w:type="dxa"/>
            <w:tcBorders>
              <w:top w:val="single" w:color="auto" w:sz="4" w:space="0"/>
              <w:left w:val="single" w:color="auto" w:sz="4" w:space="0"/>
              <w:bottom w:val="single" w:color="auto" w:sz="4" w:space="0"/>
              <w:right w:val="single" w:color="auto" w:sz="4" w:space="0"/>
            </w:tcBorders>
            <w:noWrap/>
          </w:tcPr>
          <w:p w14:paraId="4C851D82">
            <w:pPr>
              <w:jc w:val="center"/>
              <w:rPr>
                <w:rFonts w:eastAsiaTheme="minorEastAsia"/>
                <w:color w:val="auto"/>
                <w:lang w:eastAsia="zh-CN"/>
              </w:rPr>
            </w:pPr>
            <w:r>
              <w:rPr>
                <w:rFonts w:hint="eastAsia"/>
                <w:color w:val="auto"/>
              </w:rPr>
              <w:t>1</w:t>
            </w:r>
          </w:p>
        </w:tc>
        <w:tc>
          <w:tcPr>
            <w:tcW w:w="969" w:type="dxa"/>
            <w:tcBorders>
              <w:top w:val="single" w:color="auto" w:sz="4" w:space="0"/>
              <w:left w:val="single" w:color="auto" w:sz="4" w:space="0"/>
              <w:bottom w:val="single" w:color="auto" w:sz="4" w:space="0"/>
              <w:right w:val="single" w:color="auto" w:sz="4" w:space="0"/>
            </w:tcBorders>
            <w:noWrap/>
          </w:tcPr>
          <w:p w14:paraId="29C9DD8B">
            <w:pPr>
              <w:jc w:val="center"/>
              <w:rPr>
                <w:rFonts w:eastAsiaTheme="minorEastAsia"/>
                <w:color w:val="auto"/>
                <w:lang w:eastAsia="zh-CN"/>
              </w:rPr>
            </w:pPr>
            <w:r>
              <w:rPr>
                <w:rFonts w:hint="eastAsia"/>
                <w:color w:val="auto"/>
              </w:rPr>
              <w:t>1</w:t>
            </w:r>
          </w:p>
        </w:tc>
        <w:tc>
          <w:tcPr>
            <w:tcW w:w="1938" w:type="dxa"/>
            <w:tcBorders>
              <w:top w:val="single" w:color="auto" w:sz="4" w:space="0"/>
              <w:left w:val="single" w:color="auto" w:sz="4" w:space="0"/>
              <w:bottom w:val="single" w:color="auto" w:sz="4" w:space="0"/>
              <w:right w:val="single" w:color="auto" w:sz="4" w:space="0"/>
            </w:tcBorders>
            <w:noWrap/>
          </w:tcPr>
          <w:p w14:paraId="4044E4C1">
            <w:pPr>
              <w:rPr>
                <w:rFonts w:hint="eastAsia" w:ascii="宋体" w:hAnsi="宋体" w:eastAsia="宋体" w:cs="宋体"/>
                <w:color w:val="auto"/>
                <w:lang w:eastAsia="zh-CN"/>
              </w:rPr>
            </w:pPr>
            <w:r>
              <w:rPr>
                <w:rFonts w:hint="eastAsia" w:ascii="宋体" w:hAnsi="宋体" w:eastAsia="宋体" w:cs="宋体"/>
                <w:color w:val="auto"/>
                <w:lang w:eastAsia="zh-CN"/>
              </w:rPr>
              <w:t>负责零星维修、协助施工监管及绿化租摆服务</w:t>
            </w:r>
          </w:p>
        </w:tc>
        <w:tc>
          <w:tcPr>
            <w:tcW w:w="1329" w:type="dxa"/>
            <w:tcBorders>
              <w:top w:val="single" w:color="auto" w:sz="4" w:space="0"/>
              <w:left w:val="single" w:color="auto" w:sz="4" w:space="0"/>
              <w:bottom w:val="single" w:color="auto" w:sz="4" w:space="0"/>
              <w:right w:val="single" w:color="auto" w:sz="4" w:space="0"/>
            </w:tcBorders>
          </w:tcPr>
          <w:p w14:paraId="2E088FFD">
            <w:pPr>
              <w:rPr>
                <w:rFonts w:hint="eastAsia" w:ascii="宋体" w:hAnsi="宋体" w:eastAsia="宋体" w:cs="宋体"/>
                <w:color w:val="auto"/>
                <w:lang w:eastAsia="zh-CN"/>
              </w:rPr>
            </w:pPr>
            <w:r>
              <w:rPr>
                <w:rFonts w:hint="eastAsia" w:ascii="宋体" w:hAnsi="宋体" w:eastAsia="宋体" w:cs="宋体"/>
                <w:color w:val="auto"/>
                <w:lang w:eastAsia="zh-CN"/>
              </w:rPr>
              <w:t>持有电工证</w:t>
            </w:r>
          </w:p>
        </w:tc>
      </w:tr>
      <w:tr w14:paraId="4EA9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50" w:type="dxa"/>
            <w:tcBorders>
              <w:top w:val="single" w:color="auto" w:sz="4" w:space="0"/>
              <w:left w:val="single" w:color="auto" w:sz="4" w:space="0"/>
              <w:bottom w:val="single" w:color="auto" w:sz="4" w:space="0"/>
              <w:right w:val="single" w:color="auto" w:sz="4" w:space="0"/>
            </w:tcBorders>
            <w:noWrap/>
          </w:tcPr>
          <w:p w14:paraId="25021F98">
            <w:pPr>
              <w:jc w:val="center"/>
              <w:rPr>
                <w:rFonts w:eastAsiaTheme="minorEastAsia"/>
                <w:color w:val="auto"/>
                <w:lang w:eastAsia="zh-CN"/>
              </w:rPr>
            </w:pPr>
            <w:r>
              <w:rPr>
                <w:rFonts w:hint="eastAsia" w:eastAsiaTheme="minorEastAsia"/>
                <w:color w:val="auto"/>
                <w:lang w:eastAsia="zh-CN"/>
              </w:rPr>
              <w:t>4</w:t>
            </w:r>
          </w:p>
        </w:tc>
        <w:tc>
          <w:tcPr>
            <w:tcW w:w="1113" w:type="dxa"/>
            <w:tcBorders>
              <w:top w:val="single" w:color="auto" w:sz="4" w:space="0"/>
              <w:left w:val="single" w:color="auto" w:sz="4" w:space="0"/>
              <w:bottom w:val="single" w:color="auto" w:sz="4" w:space="0"/>
              <w:right w:val="single" w:color="auto" w:sz="4" w:space="0"/>
            </w:tcBorders>
            <w:noWrap/>
          </w:tcPr>
          <w:p w14:paraId="5D82BF1E">
            <w:pPr>
              <w:jc w:val="center"/>
              <w:rPr>
                <w:color w:val="auto"/>
              </w:rPr>
            </w:pPr>
            <w:r>
              <w:rPr>
                <w:rFonts w:hint="eastAsia" w:ascii="宋体" w:hAnsi="宋体" w:eastAsia="宋体" w:cs="宋体"/>
                <w:color w:val="auto"/>
                <w:lang w:eastAsia="zh-CN"/>
              </w:rPr>
              <w:t>项目</w:t>
            </w:r>
            <w:r>
              <w:rPr>
                <w:rFonts w:hint="eastAsia" w:ascii="宋体" w:hAnsi="宋体" w:eastAsia="宋体" w:cs="宋体"/>
                <w:color w:val="auto"/>
              </w:rPr>
              <w:t>经理</w:t>
            </w:r>
          </w:p>
        </w:tc>
        <w:tc>
          <w:tcPr>
            <w:tcW w:w="1453" w:type="dxa"/>
            <w:tcBorders>
              <w:top w:val="single" w:color="auto" w:sz="4" w:space="0"/>
              <w:left w:val="single" w:color="auto" w:sz="4" w:space="0"/>
              <w:bottom w:val="single" w:color="auto" w:sz="4" w:space="0"/>
              <w:right w:val="single" w:color="auto" w:sz="4" w:space="0"/>
            </w:tcBorders>
            <w:noWrap/>
          </w:tcPr>
          <w:p w14:paraId="7BEAC4E0">
            <w:pPr>
              <w:jc w:val="center"/>
              <w:rPr>
                <w:rFonts w:hint="eastAsia" w:ascii="宋体" w:hAnsi="宋体" w:eastAsia="宋体" w:cs="宋体"/>
                <w:color w:val="auto"/>
                <w:lang w:eastAsia="zh-CN"/>
              </w:rPr>
            </w:pPr>
            <w:r>
              <w:rPr>
                <w:rFonts w:hint="eastAsia" w:ascii="宋体" w:hAnsi="宋体" w:eastAsia="宋体" w:cs="宋体"/>
                <w:color w:val="auto"/>
              </w:rPr>
              <w:t>做五休二</w:t>
            </w:r>
          </w:p>
          <w:p w14:paraId="788FC38D">
            <w:pPr>
              <w:jc w:val="center"/>
              <w:rPr>
                <w:color w:val="auto"/>
                <w:lang w:eastAsia="zh-CN"/>
              </w:rPr>
            </w:pPr>
            <w:r>
              <w:rPr>
                <w:rFonts w:hint="eastAsia" w:ascii="宋体" w:hAnsi="宋体" w:eastAsia="宋体" w:cs="宋体"/>
                <w:color w:val="auto"/>
                <w:lang w:eastAsia="zh-CN"/>
              </w:rPr>
              <w:t>8小时/班</w:t>
            </w:r>
          </w:p>
        </w:tc>
        <w:tc>
          <w:tcPr>
            <w:tcW w:w="1130" w:type="dxa"/>
            <w:tcBorders>
              <w:top w:val="single" w:color="auto" w:sz="4" w:space="0"/>
              <w:left w:val="single" w:color="auto" w:sz="4" w:space="0"/>
              <w:bottom w:val="single" w:color="auto" w:sz="4" w:space="0"/>
              <w:right w:val="single" w:color="auto" w:sz="4" w:space="0"/>
            </w:tcBorders>
            <w:noWrap/>
          </w:tcPr>
          <w:p w14:paraId="3E4DF3EE">
            <w:pPr>
              <w:jc w:val="center"/>
              <w:rPr>
                <w:color w:val="auto"/>
              </w:rPr>
            </w:pPr>
            <w:r>
              <w:rPr>
                <w:rFonts w:hint="eastAsia"/>
                <w:color w:val="auto"/>
              </w:rPr>
              <w:t>1</w:t>
            </w:r>
          </w:p>
        </w:tc>
        <w:tc>
          <w:tcPr>
            <w:tcW w:w="969" w:type="dxa"/>
            <w:tcBorders>
              <w:top w:val="single" w:color="auto" w:sz="4" w:space="0"/>
              <w:left w:val="single" w:color="auto" w:sz="4" w:space="0"/>
              <w:bottom w:val="single" w:color="auto" w:sz="4" w:space="0"/>
              <w:right w:val="single" w:color="auto" w:sz="4" w:space="0"/>
            </w:tcBorders>
            <w:noWrap/>
          </w:tcPr>
          <w:p w14:paraId="4F93C71A">
            <w:pPr>
              <w:jc w:val="center"/>
              <w:rPr>
                <w:color w:val="auto"/>
              </w:rPr>
            </w:pPr>
            <w:r>
              <w:rPr>
                <w:rFonts w:hint="eastAsia"/>
                <w:color w:val="auto"/>
              </w:rPr>
              <w:t>1</w:t>
            </w:r>
          </w:p>
        </w:tc>
        <w:tc>
          <w:tcPr>
            <w:tcW w:w="1938" w:type="dxa"/>
            <w:tcBorders>
              <w:top w:val="single" w:color="auto" w:sz="4" w:space="0"/>
              <w:left w:val="single" w:color="auto" w:sz="4" w:space="0"/>
              <w:bottom w:val="single" w:color="auto" w:sz="4" w:space="0"/>
              <w:right w:val="single" w:color="auto" w:sz="4" w:space="0"/>
            </w:tcBorders>
            <w:noWrap/>
          </w:tcPr>
          <w:p w14:paraId="734A21E2">
            <w:pPr>
              <w:rPr>
                <w:color w:val="auto"/>
                <w:lang w:eastAsia="zh-CN"/>
              </w:rPr>
            </w:pPr>
            <w:r>
              <w:rPr>
                <w:rFonts w:hint="eastAsia" w:ascii="宋体" w:hAnsi="宋体" w:eastAsia="宋体" w:cs="宋体"/>
                <w:color w:val="auto"/>
                <w:lang w:eastAsia="zh-CN"/>
              </w:rPr>
              <w:t>物业整体工作协调管理</w:t>
            </w:r>
          </w:p>
        </w:tc>
        <w:tc>
          <w:tcPr>
            <w:tcW w:w="1329" w:type="dxa"/>
            <w:tcBorders>
              <w:top w:val="single" w:color="auto" w:sz="4" w:space="0"/>
              <w:left w:val="single" w:color="auto" w:sz="4" w:space="0"/>
              <w:bottom w:val="single" w:color="auto" w:sz="4" w:space="0"/>
              <w:right w:val="single" w:color="auto" w:sz="4" w:space="0"/>
            </w:tcBorders>
          </w:tcPr>
          <w:p w14:paraId="7E02DB73">
            <w:pPr>
              <w:rPr>
                <w:color w:val="auto"/>
                <w:spacing w:val="20"/>
                <w:lang w:eastAsia="zh-CN"/>
              </w:rPr>
            </w:pPr>
          </w:p>
        </w:tc>
      </w:tr>
      <w:tr w14:paraId="3DDC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63" w:type="dxa"/>
            <w:gridSpan w:val="2"/>
            <w:tcBorders>
              <w:top w:val="single" w:color="auto" w:sz="4" w:space="0"/>
              <w:left w:val="single" w:color="auto" w:sz="4" w:space="0"/>
              <w:bottom w:val="single" w:color="auto" w:sz="4" w:space="0"/>
              <w:right w:val="single" w:color="auto" w:sz="4" w:space="0"/>
            </w:tcBorders>
            <w:noWrap/>
          </w:tcPr>
          <w:p w14:paraId="63BD06D7">
            <w:pPr>
              <w:jc w:val="center"/>
              <w:rPr>
                <w:color w:val="auto"/>
              </w:rPr>
            </w:pPr>
            <w:r>
              <w:rPr>
                <w:rFonts w:hint="eastAsia" w:ascii="宋体" w:hAnsi="宋体" w:eastAsia="宋体" w:cs="宋体"/>
                <w:color w:val="auto"/>
                <w:lang w:eastAsia="zh-CN"/>
              </w:rPr>
              <w:t>合计</w:t>
            </w:r>
          </w:p>
        </w:tc>
        <w:tc>
          <w:tcPr>
            <w:tcW w:w="1453" w:type="dxa"/>
            <w:tcBorders>
              <w:top w:val="single" w:color="auto" w:sz="4" w:space="0"/>
              <w:left w:val="single" w:color="auto" w:sz="4" w:space="0"/>
              <w:bottom w:val="single" w:color="auto" w:sz="4" w:space="0"/>
              <w:right w:val="single" w:color="auto" w:sz="4" w:space="0"/>
            </w:tcBorders>
            <w:noWrap/>
          </w:tcPr>
          <w:p w14:paraId="65BC5E4A">
            <w:pPr>
              <w:jc w:val="center"/>
              <w:rPr>
                <w:color w:val="auto"/>
              </w:rPr>
            </w:pPr>
          </w:p>
        </w:tc>
        <w:tc>
          <w:tcPr>
            <w:tcW w:w="1130" w:type="dxa"/>
            <w:tcBorders>
              <w:top w:val="single" w:color="auto" w:sz="4" w:space="0"/>
              <w:left w:val="single" w:color="auto" w:sz="4" w:space="0"/>
              <w:bottom w:val="single" w:color="auto" w:sz="4" w:space="0"/>
              <w:right w:val="single" w:color="auto" w:sz="4" w:space="0"/>
            </w:tcBorders>
            <w:noWrap/>
          </w:tcPr>
          <w:p w14:paraId="067A2436">
            <w:pPr>
              <w:jc w:val="center"/>
              <w:rPr>
                <w:rFonts w:eastAsia="宋体"/>
                <w:color w:val="auto"/>
                <w:lang w:eastAsia="zh-CN"/>
              </w:rPr>
            </w:pPr>
          </w:p>
        </w:tc>
        <w:tc>
          <w:tcPr>
            <w:tcW w:w="969" w:type="dxa"/>
            <w:tcBorders>
              <w:top w:val="single" w:color="auto" w:sz="4" w:space="0"/>
              <w:left w:val="single" w:color="auto" w:sz="4" w:space="0"/>
              <w:bottom w:val="single" w:color="auto" w:sz="4" w:space="0"/>
              <w:right w:val="single" w:color="auto" w:sz="4" w:space="0"/>
            </w:tcBorders>
            <w:noWrap/>
          </w:tcPr>
          <w:p w14:paraId="16CBF19A">
            <w:pPr>
              <w:jc w:val="center"/>
              <w:rPr>
                <w:rFonts w:eastAsiaTheme="minorEastAsia"/>
                <w:color w:val="auto"/>
                <w:lang w:eastAsia="zh-CN"/>
              </w:rPr>
            </w:pPr>
            <w:r>
              <w:rPr>
                <w:rFonts w:hint="eastAsia" w:eastAsiaTheme="minorEastAsia"/>
                <w:color w:val="auto"/>
                <w:lang w:eastAsia="zh-CN"/>
              </w:rPr>
              <w:t>11</w:t>
            </w:r>
          </w:p>
        </w:tc>
        <w:tc>
          <w:tcPr>
            <w:tcW w:w="1938" w:type="dxa"/>
            <w:tcBorders>
              <w:top w:val="single" w:color="auto" w:sz="4" w:space="0"/>
              <w:left w:val="single" w:color="auto" w:sz="4" w:space="0"/>
              <w:bottom w:val="single" w:color="auto" w:sz="4" w:space="0"/>
              <w:right w:val="single" w:color="auto" w:sz="4" w:space="0"/>
            </w:tcBorders>
            <w:noWrap/>
          </w:tcPr>
          <w:p w14:paraId="29006D73">
            <w:pPr>
              <w:jc w:val="center"/>
              <w:rPr>
                <w:color w:val="auto"/>
              </w:rPr>
            </w:pPr>
          </w:p>
        </w:tc>
        <w:tc>
          <w:tcPr>
            <w:tcW w:w="1329" w:type="dxa"/>
            <w:tcBorders>
              <w:top w:val="single" w:color="auto" w:sz="4" w:space="0"/>
              <w:left w:val="single" w:color="auto" w:sz="4" w:space="0"/>
              <w:bottom w:val="single" w:color="auto" w:sz="4" w:space="0"/>
              <w:right w:val="single" w:color="auto" w:sz="4" w:space="0"/>
            </w:tcBorders>
          </w:tcPr>
          <w:p w14:paraId="107399B7">
            <w:pPr>
              <w:jc w:val="center"/>
              <w:rPr>
                <w:color w:val="auto"/>
              </w:rPr>
            </w:pPr>
          </w:p>
        </w:tc>
      </w:tr>
    </w:tbl>
    <w:p w14:paraId="57B7E56F">
      <w:pPr>
        <w:pStyle w:val="6"/>
        <w:spacing w:before="93" w:line="221" w:lineRule="auto"/>
        <w:ind w:left="1029"/>
        <w:rPr>
          <w:rFonts w:ascii="Times New Roman" w:hAnsi="Times New Roman" w:eastAsia="Times New Roman" w:cs="Times New Roman"/>
          <w:color w:val="auto"/>
          <w:spacing w:val="-4"/>
          <w:lang w:eastAsia="zh-CN"/>
        </w:rPr>
      </w:pPr>
    </w:p>
    <w:p w14:paraId="44E9AC1D">
      <w:pPr>
        <w:pStyle w:val="6"/>
        <w:spacing w:before="93" w:line="221" w:lineRule="auto"/>
        <w:rPr>
          <w:rFonts w:ascii="Times New Roman" w:hAnsi="Times New Roman" w:eastAsia="Times New Roman" w:cs="Times New Roman"/>
          <w:color w:val="auto"/>
          <w:spacing w:val="-4"/>
          <w:lang w:eastAsia="zh-CN"/>
        </w:rPr>
      </w:pPr>
      <w:r>
        <w:rPr>
          <w:rFonts w:hint="eastAsia" w:ascii="Times New Roman" w:hAnsi="Times New Roman" w:eastAsia="Times New Roman" w:cs="Times New Roman"/>
          <w:color w:val="auto"/>
          <w:spacing w:val="-4"/>
          <w:lang w:eastAsia="zh-CN"/>
        </w:rPr>
        <w:t>其中，各岗位人员要求分别如下：</w:t>
      </w:r>
    </w:p>
    <w:p w14:paraId="537CB7BD">
      <w:pPr>
        <w:pStyle w:val="6"/>
        <w:spacing w:before="93" w:line="221" w:lineRule="auto"/>
        <w:ind w:left="1029"/>
        <w:rPr>
          <w:rFonts w:ascii="Times New Roman" w:hAnsi="Times New Roman" w:eastAsia="Times New Roman" w:cs="Times New Roman"/>
          <w:color w:val="auto"/>
          <w:spacing w:val="-4"/>
          <w:lang w:eastAsia="zh-CN"/>
        </w:rPr>
      </w:pPr>
    </w:p>
    <w:tbl>
      <w:tblPr>
        <w:tblStyle w:val="17"/>
        <w:tblW w:w="86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1230"/>
        <w:gridCol w:w="6741"/>
      </w:tblGrid>
      <w:tr w14:paraId="2BD63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blHeader/>
          <w:jc w:val="center"/>
        </w:trPr>
        <w:tc>
          <w:tcPr>
            <w:tcW w:w="701" w:type="dxa"/>
          </w:tcPr>
          <w:p w14:paraId="72A1BA61">
            <w:pPr>
              <w:jc w:val="center"/>
              <w:rPr>
                <w:color w:val="auto"/>
              </w:rPr>
            </w:pPr>
            <w:r>
              <w:rPr>
                <w:rFonts w:hint="eastAsia" w:ascii="宋体" w:hAnsi="宋体" w:eastAsia="宋体" w:cs="宋体"/>
                <w:color w:val="auto"/>
              </w:rPr>
              <w:t>序号</w:t>
            </w:r>
          </w:p>
        </w:tc>
        <w:tc>
          <w:tcPr>
            <w:tcW w:w="1230" w:type="dxa"/>
          </w:tcPr>
          <w:p w14:paraId="41780A95">
            <w:pPr>
              <w:jc w:val="center"/>
              <w:rPr>
                <w:color w:val="auto"/>
              </w:rPr>
            </w:pPr>
            <w:r>
              <w:rPr>
                <w:rFonts w:hint="eastAsia" w:ascii="宋体" w:hAnsi="宋体" w:eastAsia="宋体" w:cs="宋体"/>
                <w:color w:val="auto"/>
              </w:rPr>
              <w:t>岗位名称</w:t>
            </w:r>
          </w:p>
        </w:tc>
        <w:tc>
          <w:tcPr>
            <w:tcW w:w="6741" w:type="dxa"/>
          </w:tcPr>
          <w:p w14:paraId="353ACCF9">
            <w:pPr>
              <w:jc w:val="center"/>
              <w:rPr>
                <w:color w:val="auto"/>
              </w:rPr>
            </w:pPr>
            <w:r>
              <w:rPr>
                <w:rFonts w:hint="eastAsia" w:ascii="宋体" w:hAnsi="宋体" w:eastAsia="宋体" w:cs="宋体"/>
                <w:color w:val="auto"/>
                <w:lang w:eastAsia="zh-CN"/>
              </w:rPr>
              <w:t>岗位要求</w:t>
            </w:r>
          </w:p>
        </w:tc>
      </w:tr>
      <w:tr w14:paraId="581E2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blHeader/>
          <w:jc w:val="center"/>
        </w:trPr>
        <w:tc>
          <w:tcPr>
            <w:tcW w:w="701" w:type="dxa"/>
          </w:tcPr>
          <w:p w14:paraId="539362F7">
            <w:pPr>
              <w:jc w:val="center"/>
              <w:rPr>
                <w:color w:val="auto"/>
              </w:rPr>
            </w:pPr>
            <w:r>
              <w:rPr>
                <w:color w:val="auto"/>
              </w:rPr>
              <w:t>1</w:t>
            </w:r>
          </w:p>
        </w:tc>
        <w:tc>
          <w:tcPr>
            <w:tcW w:w="1230" w:type="dxa"/>
          </w:tcPr>
          <w:p w14:paraId="58488355">
            <w:pPr>
              <w:jc w:val="center"/>
              <w:rPr>
                <w:color w:val="auto"/>
              </w:rPr>
            </w:pPr>
            <w:r>
              <w:rPr>
                <w:rFonts w:hint="eastAsia" w:ascii="宋体" w:hAnsi="宋体" w:eastAsia="宋体" w:cs="宋体"/>
                <w:color w:val="auto"/>
              </w:rPr>
              <w:t>项目经理</w:t>
            </w:r>
          </w:p>
        </w:tc>
        <w:tc>
          <w:tcPr>
            <w:tcW w:w="6741" w:type="dxa"/>
          </w:tcPr>
          <w:p w14:paraId="70E33967">
            <w:pPr>
              <w:rPr>
                <w:color w:val="auto"/>
                <w:lang w:eastAsia="zh-CN"/>
              </w:rPr>
            </w:pPr>
            <w:r>
              <w:rPr>
                <w:rFonts w:hint="eastAsia" w:ascii="宋体" w:hAnsi="宋体" w:eastAsia="宋体" w:cs="宋体"/>
                <w:color w:val="auto"/>
                <w:lang w:eastAsia="zh-CN"/>
              </w:rPr>
              <w:t>身心健康；无违法犯罪记录；具备组织协调能力；具备较强的服务意识与责任感；具备</w:t>
            </w:r>
            <w:r>
              <w:rPr>
                <w:rFonts w:ascii="宋体" w:hAnsi="宋体" w:eastAsia="宋体" w:cs="宋体"/>
                <w:color w:val="auto"/>
                <w:lang w:eastAsia="zh-CN"/>
              </w:rPr>
              <w:t xml:space="preserve"> 5 </w:t>
            </w:r>
            <w:r>
              <w:rPr>
                <w:rFonts w:hint="eastAsia" w:ascii="宋体" w:hAnsi="宋体" w:eastAsia="宋体" w:cs="宋体"/>
                <w:color w:val="auto"/>
                <w:lang w:eastAsia="zh-CN"/>
              </w:rPr>
              <w:t>年以上相关岗位管理经验，持有岗位工作相关的证书。</w:t>
            </w:r>
          </w:p>
        </w:tc>
      </w:tr>
      <w:tr w14:paraId="76E77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blHeader/>
          <w:jc w:val="center"/>
        </w:trPr>
        <w:tc>
          <w:tcPr>
            <w:tcW w:w="701" w:type="dxa"/>
          </w:tcPr>
          <w:p w14:paraId="0CD39915">
            <w:pPr>
              <w:jc w:val="center"/>
              <w:rPr>
                <w:rFonts w:eastAsiaTheme="minorEastAsia"/>
                <w:color w:val="auto"/>
                <w:lang w:eastAsia="zh-CN"/>
              </w:rPr>
            </w:pPr>
            <w:r>
              <w:rPr>
                <w:rFonts w:hint="eastAsia" w:eastAsiaTheme="minorEastAsia"/>
                <w:color w:val="auto"/>
                <w:lang w:eastAsia="zh-CN"/>
              </w:rPr>
              <w:t>2</w:t>
            </w:r>
          </w:p>
        </w:tc>
        <w:tc>
          <w:tcPr>
            <w:tcW w:w="1230" w:type="dxa"/>
          </w:tcPr>
          <w:p w14:paraId="2CA47F6A">
            <w:pPr>
              <w:jc w:val="center"/>
              <w:rPr>
                <w:rFonts w:hint="eastAsia" w:ascii="宋体" w:hAnsi="宋体" w:eastAsia="宋体" w:cs="宋体"/>
                <w:color w:val="auto"/>
                <w:lang w:eastAsia="zh-CN"/>
              </w:rPr>
            </w:pPr>
            <w:r>
              <w:rPr>
                <w:rFonts w:hint="eastAsia" w:ascii="宋体" w:hAnsi="宋体" w:eastAsia="宋体" w:cs="宋体"/>
                <w:color w:val="auto"/>
                <w:lang w:eastAsia="zh-CN"/>
              </w:rPr>
              <w:t>综合服务</w:t>
            </w:r>
          </w:p>
        </w:tc>
        <w:tc>
          <w:tcPr>
            <w:tcW w:w="6741" w:type="dxa"/>
          </w:tcPr>
          <w:p w14:paraId="3DB8D59B">
            <w:pPr>
              <w:rPr>
                <w:rFonts w:hint="eastAsia" w:ascii="宋体" w:hAnsi="宋体" w:eastAsia="宋体" w:cs="宋体"/>
                <w:color w:val="auto"/>
                <w:lang w:eastAsia="zh-CN"/>
              </w:rPr>
            </w:pPr>
            <w:r>
              <w:rPr>
                <w:rFonts w:hint="eastAsia" w:ascii="宋体" w:hAnsi="宋体" w:eastAsia="宋体" w:cs="宋体"/>
                <w:color w:val="auto"/>
                <w:lang w:eastAsia="zh-CN"/>
              </w:rPr>
              <w:t>身心健康，具备水电维修工作经验，具备一定的沟通协调能力，持有电工上岗证。</w:t>
            </w:r>
          </w:p>
        </w:tc>
      </w:tr>
      <w:tr w14:paraId="2539C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blHeader/>
          <w:jc w:val="center"/>
        </w:trPr>
        <w:tc>
          <w:tcPr>
            <w:tcW w:w="701" w:type="dxa"/>
          </w:tcPr>
          <w:p w14:paraId="1824D170">
            <w:pPr>
              <w:jc w:val="center"/>
              <w:rPr>
                <w:color w:val="auto"/>
              </w:rPr>
            </w:pPr>
            <w:r>
              <w:rPr>
                <w:color w:val="auto"/>
              </w:rPr>
              <w:t>3</w:t>
            </w:r>
          </w:p>
        </w:tc>
        <w:tc>
          <w:tcPr>
            <w:tcW w:w="1230" w:type="dxa"/>
          </w:tcPr>
          <w:p w14:paraId="57837F91">
            <w:pPr>
              <w:pStyle w:val="18"/>
              <w:jc w:val="center"/>
              <w:rPr>
                <w:rFonts w:hint="eastAsia"/>
                <w:color w:val="auto"/>
                <w:spacing w:val="-3"/>
              </w:rPr>
            </w:pPr>
            <w:r>
              <w:rPr>
                <w:rFonts w:hint="eastAsia"/>
                <w:color w:val="auto"/>
              </w:rPr>
              <w:t>保洁员</w:t>
            </w:r>
          </w:p>
        </w:tc>
        <w:tc>
          <w:tcPr>
            <w:tcW w:w="6741" w:type="dxa"/>
          </w:tcPr>
          <w:p w14:paraId="6AC1BB42">
            <w:pPr>
              <w:rPr>
                <w:color w:val="auto"/>
                <w:spacing w:val="-1"/>
                <w:lang w:eastAsia="zh-CN"/>
              </w:rPr>
            </w:pPr>
            <w:r>
              <w:rPr>
                <w:rFonts w:hint="eastAsia" w:ascii="宋体" w:hAnsi="宋体" w:eastAsia="宋体" w:cs="宋体"/>
                <w:color w:val="auto"/>
                <w:lang w:eastAsia="zh-CN"/>
              </w:rPr>
              <w:t>不超过国家法定退休年龄；身心健康；具备相关工作经验。</w:t>
            </w:r>
          </w:p>
        </w:tc>
      </w:tr>
      <w:tr w14:paraId="5928D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blHeader/>
          <w:jc w:val="center"/>
        </w:trPr>
        <w:tc>
          <w:tcPr>
            <w:tcW w:w="701" w:type="dxa"/>
          </w:tcPr>
          <w:p w14:paraId="35A6C60C">
            <w:pPr>
              <w:jc w:val="center"/>
              <w:rPr>
                <w:color w:val="auto"/>
              </w:rPr>
            </w:pPr>
            <w:r>
              <w:rPr>
                <w:color w:val="auto"/>
              </w:rPr>
              <w:t>4</w:t>
            </w:r>
          </w:p>
        </w:tc>
        <w:tc>
          <w:tcPr>
            <w:tcW w:w="1230" w:type="dxa"/>
          </w:tcPr>
          <w:p w14:paraId="5A089B51">
            <w:pPr>
              <w:pStyle w:val="18"/>
              <w:jc w:val="center"/>
              <w:rPr>
                <w:rFonts w:hint="eastAsia"/>
                <w:color w:val="auto"/>
                <w:spacing w:val="-3"/>
              </w:rPr>
            </w:pPr>
            <w:r>
              <w:rPr>
                <w:rFonts w:hint="eastAsia"/>
                <w:color w:val="auto"/>
              </w:rPr>
              <w:t>保安</w:t>
            </w:r>
            <w:r>
              <w:rPr>
                <w:rFonts w:hint="eastAsia"/>
                <w:color w:val="auto"/>
                <w:lang w:eastAsia="zh-CN"/>
              </w:rPr>
              <w:t>员</w:t>
            </w:r>
          </w:p>
        </w:tc>
        <w:tc>
          <w:tcPr>
            <w:tcW w:w="6741" w:type="dxa"/>
          </w:tcPr>
          <w:p w14:paraId="173B4DEB">
            <w:pPr>
              <w:rPr>
                <w:color w:val="auto"/>
                <w:spacing w:val="-1"/>
                <w:lang w:eastAsia="zh-CN"/>
              </w:rPr>
            </w:pPr>
            <w:r>
              <w:rPr>
                <w:rFonts w:hint="eastAsia" w:ascii="宋体" w:hAnsi="宋体" w:eastAsia="宋体" w:cs="宋体"/>
                <w:color w:val="auto"/>
                <w:lang w:eastAsia="zh-CN"/>
              </w:rPr>
              <w:t>不超过国家法定退休年龄，且整体年龄结构较为合理；身心健康，身强力壮；具备相关工作经验；具有不少于3人持有公安部门颁发的保安员证书。</w:t>
            </w:r>
          </w:p>
        </w:tc>
      </w:tr>
    </w:tbl>
    <w:p w14:paraId="0F7ABBDD">
      <w:pPr>
        <w:pStyle w:val="6"/>
        <w:spacing w:before="93" w:line="221" w:lineRule="auto"/>
        <w:rPr>
          <w:rFonts w:ascii="Times New Roman" w:hAnsi="Times New Roman" w:eastAsia="Times New Roman" w:cs="Times New Roman"/>
          <w:b/>
          <w:bCs/>
          <w:color w:val="auto"/>
          <w:spacing w:val="-4"/>
          <w:lang w:eastAsia="zh-CN"/>
        </w:rPr>
      </w:pPr>
      <w:r>
        <w:rPr>
          <w:rFonts w:hint="eastAsia" w:ascii="Times New Roman" w:hAnsi="Times New Roman" w:eastAsia="Times New Roman" w:cs="Times New Roman"/>
          <w:b/>
          <w:bCs/>
          <w:color w:val="auto"/>
          <w:spacing w:val="-4"/>
          <w:lang w:eastAsia="zh-CN"/>
        </w:rPr>
        <w:t>9.</w:t>
      </w:r>
      <w:r>
        <w:rPr>
          <w:rFonts w:ascii="Times New Roman" w:hAnsi="Times New Roman" w:eastAsia="Times New Roman" w:cs="Times New Roman"/>
          <w:b/>
          <w:bCs/>
          <w:color w:val="auto"/>
          <w:spacing w:val="-4"/>
          <w:lang w:eastAsia="zh-CN"/>
        </w:rPr>
        <w:t>4</w:t>
      </w:r>
      <w:r>
        <w:rPr>
          <w:rFonts w:hint="eastAsia" w:ascii="Times New Roman" w:hAnsi="Times New Roman" w:eastAsia="Times New Roman" w:cs="Times New Roman"/>
          <w:b/>
          <w:bCs/>
          <w:color w:val="auto"/>
          <w:spacing w:val="-4"/>
          <w:lang w:eastAsia="zh-CN"/>
        </w:rPr>
        <w:t xml:space="preserve"> .1 项目经理</w:t>
      </w:r>
    </w:p>
    <w:p w14:paraId="7285BD63">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(1)工作职责： 统管本服务项目相关事宜，做好内部管理工作。</w:t>
      </w:r>
    </w:p>
    <w:p w14:paraId="0FBF7056">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(2)总体要求：全面负责本项目相关工作，组织实施各项管理工作；履行服务合同的约定及采购人的决定，完成管理工作目标；负责各部门岗位及工作的调配，以及各项规章制度的修订和定岗、定责、定员工作；拟制各项服务工作的应急预案（包括但不限于防台防汛、传染病防控、断水、断电、火灾等），方案需实用具有可操作性，及时处理每一项紧急状态与紧急事故，并做好善后与防范工作；对工作执行情况进行巡视检查，并给予指导和帮助；检查、督导各岗位人员工作情况，包括到岗情况、仪表仪容、风纪风貌、岗位职责履行情况等，并合理安排、协调各项工作的开展；协调并解决工作中出现的问题、矛盾；负责员工的思想政治工作，组织各项工种人员进行技术培训，文化学习等活动，定期对各项人员进行业务考核以及安全生产教育工作；负责安排新进员工的岗位培训和带教，增强凝聚力，加强班组培训和精神文明建设；负责接听电话，及时分配报修等任务；负责物料库存管理，制定每月物料采购计划；制定并落实节假日值班人员名单；负责员工资料、必要物耗、办公用品等数据的汇总、统计；负责起草工作报告等书面材料；完成采购人交办的各项工作；定期向采购人汇报工作近况， 及时反馈重大事件等。</w:t>
      </w:r>
    </w:p>
    <w:p w14:paraId="3E453FFA">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(3)工作时间要求：做五休二</w:t>
      </w:r>
    </w:p>
    <w:p w14:paraId="01B41E29">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(4)人员自身要求：</w:t>
      </w:r>
      <w:r>
        <w:rPr>
          <w:rFonts w:hint="eastAsia" w:ascii="Times New Roman" w:hAnsi="Times New Roman" w:eastAsia="Times New Roman" w:cs="Times New Roman"/>
          <w:b/>
          <w:bCs/>
          <w:color w:val="auto"/>
          <w:spacing w:val="-2"/>
          <w:lang w:eastAsia="zh-CN"/>
        </w:rPr>
        <w:t>项目经理需具有类似项目管理经验，</w:t>
      </w:r>
      <w:r>
        <w:rPr>
          <w:rFonts w:hint="eastAsia"/>
          <w:b/>
          <w:bCs/>
          <w:color w:val="auto"/>
          <w:spacing w:val="-2"/>
          <w:lang w:eastAsia="zh-CN"/>
        </w:rPr>
        <w:t>大专</w:t>
      </w:r>
      <w:r>
        <w:rPr>
          <w:rFonts w:hint="eastAsia" w:ascii="Times New Roman" w:hAnsi="Times New Roman" w:eastAsia="Times New Roman" w:cs="Times New Roman"/>
          <w:b/>
          <w:bCs/>
          <w:color w:val="auto"/>
          <w:spacing w:val="-2"/>
          <w:lang w:eastAsia="zh-CN"/>
        </w:rPr>
        <w:t>及以上学历，年龄 45 周岁以下。具有不少于5年相关项目管理经验。</w:t>
      </w:r>
    </w:p>
    <w:p w14:paraId="75F5B12E">
      <w:pPr>
        <w:spacing w:line="264" w:lineRule="auto"/>
        <w:rPr>
          <w:color w:val="auto"/>
          <w:lang w:eastAsia="zh-CN"/>
        </w:rPr>
      </w:pPr>
    </w:p>
    <w:p w14:paraId="6D9B2AF2">
      <w:pPr>
        <w:pStyle w:val="6"/>
        <w:spacing w:before="93" w:line="221" w:lineRule="auto"/>
        <w:rPr>
          <w:rFonts w:ascii="Times New Roman" w:hAnsi="Times New Roman" w:eastAsia="Times New Roman" w:cs="Times New Roman"/>
          <w:b/>
          <w:bCs/>
          <w:color w:val="auto"/>
          <w:spacing w:val="-4"/>
          <w:lang w:eastAsia="zh-CN"/>
        </w:rPr>
      </w:pPr>
      <w:r>
        <w:rPr>
          <w:rFonts w:hint="eastAsia" w:ascii="Times New Roman" w:hAnsi="Times New Roman" w:eastAsia="Times New Roman" w:cs="Times New Roman"/>
          <w:b/>
          <w:bCs/>
          <w:color w:val="auto"/>
          <w:spacing w:val="-4"/>
          <w:lang w:eastAsia="zh-CN"/>
        </w:rPr>
        <w:t>9.4.2 保洁</w:t>
      </w:r>
    </w:p>
    <w:p w14:paraId="74CB72C8">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(1)  服务范围：</w:t>
      </w:r>
    </w:p>
    <w:p w14:paraId="3BFF6003">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color w:val="auto"/>
          <w:lang w:eastAsia="zh-CN"/>
        </w:rPr>
        <w:t>保洁区域为室内地上四层区域，总面积约2276平方米。</w:t>
      </w:r>
    </w:p>
    <w:p w14:paraId="4F132895">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(2)工作职责：做好服务区域内环境保洁工作。</w:t>
      </w:r>
    </w:p>
    <w:p w14:paraId="2D08BFA3">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(3)总体要求：</w:t>
      </w:r>
    </w:p>
    <w:p w14:paraId="43AC8C15">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保持大堂整洁光亮，地面无污渍，无烟蒂，无痰迹，无垃圾；柱面、墙面等无灰尘；玻璃大门无手印，无灰尘。</w:t>
      </w:r>
    </w:p>
    <w:p w14:paraId="4D86E07D">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保持走廊、通道、电梯和楼道等部位整洁，无污迹，无脚印，无污渍，无浮灰。地毯定期清洗、吸尘， 保持干净， 无污渍。</w:t>
      </w:r>
    </w:p>
    <w:p w14:paraId="4A5EF39A">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茶水间整洁、饮用水清澈。</w:t>
      </w:r>
    </w:p>
    <w:p w14:paraId="37B42CC5">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公共卫生部位和卫生洁具清洁，无水迹，无头发，无异味。墙面四角保持干燥，无蛛网，地面无脚印，无杂物。卫生器具保持光亮，无浮灰，无水迹，无锈斑。卫生用品齐全，卫生间空气清新。保持地下室无堆积垃圾和杂物。地面无灰尘， 无垃圾。库内空 气清新， 无异味，定期喷洒药水； 做好大楼垃圾分类。</w:t>
      </w:r>
    </w:p>
    <w:p w14:paraId="16264288">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外墙玻璃、铝合金每季度清洗，保持清洁明亮。广场、阶梯、车道、停车场、指示牌、废物箱定期保洁，无垃圾。无纸屑， 无烟蒂，无浮灰， 无污物。围廊立柱、墙面 四角无灰尘，无蛛网， 保持干净。</w:t>
      </w:r>
    </w:p>
    <w:p w14:paraId="54D32163">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(4)工作时间要求：可轮班，保证每日 7:00 至 17:30 岗上有人。</w:t>
      </w:r>
    </w:p>
    <w:p w14:paraId="42B4C5D4">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(5)人员自身要求：男性，60 周岁以下； 女性 55 周岁以下，身心健康。</w:t>
      </w:r>
    </w:p>
    <w:p w14:paraId="2C164151">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(6)各工作点具体工作要求：</w:t>
      </w:r>
    </w:p>
    <w:p w14:paraId="6CD47818">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保持大楼首层大厅整洁光亮，地面无污渍，无烟蒂，无痰迹，无垃圾；柱面、墙面等无灰尘；玻璃大门无手印，无灰尘；保持走廊、茶水间、通道、电梯和楼道等部位清洁、光亮，无污迹，无脚印，无污渍，无浮灰；地毯定期清洗、吸尘，保持干净，无污渍，无垃圾；保持茶水间整洁，保证饮用水供应；卫生间无水迹，无杂物，无异味；墙面四角保持干燥，卫生器具保持光亮，无浮灰，无水迹，无锈斑；卫生用品齐全，卫生间内空气清新；保持地下室无堆积垃圾和杂物，地面无灰尘，无垃圾，库内空气清新，无异味，定期喷洒药水；屋顶、广场、阶梯、车道、停车场、指示牌、废物箱定期保洁，无杂物，无垃圾，无纸屑，无烟蒂，无浮灰，无污物；围廊立柱、墙面四角无灰尘，无蛛网，保持干净；如遇雨、雪天气，在大堂进出口铺设防湿防滑地毯并竖“小心防滑”告示牌，雨后、雪后两小时内保持地面无杂物、无积水；配合做好环境卫生宣传教育，做好卫生设施维护管理；接到投诉后，立即调查核实，提出处理意见，并解决投诉问题；根据处理情况，汇报结果，及时进行整改，特殊情况实行回访制度。</w:t>
      </w:r>
    </w:p>
    <w:p w14:paraId="2E102F59">
      <w:pPr>
        <w:pStyle w:val="6"/>
        <w:spacing w:before="93" w:line="221" w:lineRule="auto"/>
        <w:rPr>
          <w:rFonts w:ascii="Times New Roman" w:hAnsi="Times New Roman" w:eastAsia="Times New Roman" w:cs="Times New Roman"/>
          <w:b/>
          <w:bCs/>
          <w:color w:val="auto"/>
          <w:spacing w:val="-4"/>
          <w:lang w:eastAsia="zh-CN"/>
        </w:rPr>
      </w:pPr>
      <w:r>
        <w:rPr>
          <w:rFonts w:hint="eastAsia" w:ascii="Times New Roman" w:hAnsi="Times New Roman" w:eastAsia="Times New Roman" w:cs="Times New Roman"/>
          <w:b/>
          <w:bCs/>
          <w:color w:val="auto"/>
          <w:spacing w:val="-4"/>
          <w:lang w:eastAsia="zh-CN"/>
        </w:rPr>
        <w:t>9.4.3 保安</w:t>
      </w:r>
    </w:p>
    <w:p w14:paraId="3DF54246">
      <w:pPr>
        <w:pStyle w:val="6"/>
        <w:spacing w:before="93" w:line="273" w:lineRule="auto"/>
        <w:ind w:left="20" w:right="27" w:firstLine="441"/>
        <w:rPr>
          <w:rFonts w:hint="eastAsia"/>
          <w:color w:val="auto"/>
          <w:lang w:eastAsia="zh-CN"/>
        </w:rPr>
      </w:pPr>
      <w:r>
        <w:rPr>
          <w:rFonts w:hint="eastAsia" w:ascii="Times New Roman" w:hAnsi="Times New Roman" w:eastAsia="Times New Roman" w:cs="Times New Roman"/>
          <w:color w:val="auto"/>
          <w:spacing w:val="-2"/>
          <w:lang w:eastAsia="zh-CN"/>
        </w:rPr>
        <w:t>(1)  保安服务设施设备配备情况</w:t>
      </w:r>
    </w:p>
    <w:tbl>
      <w:tblPr>
        <w:tblStyle w:val="17"/>
        <w:tblW w:w="87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9"/>
        <w:gridCol w:w="2785"/>
        <w:gridCol w:w="1771"/>
        <w:gridCol w:w="2056"/>
        <w:gridCol w:w="1533"/>
      </w:tblGrid>
      <w:tr w14:paraId="2A539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599" w:type="dxa"/>
            <w:vMerge w:val="restart"/>
            <w:tcBorders>
              <w:bottom w:val="nil"/>
            </w:tcBorders>
            <w:textDirection w:val="tbRlV"/>
          </w:tcPr>
          <w:p w14:paraId="04FC4236">
            <w:pPr>
              <w:pStyle w:val="18"/>
              <w:spacing w:before="185" w:line="211" w:lineRule="auto"/>
              <w:ind w:left="390"/>
              <w:rPr>
                <w:rFonts w:hint="eastAsia"/>
                <w:color w:val="auto"/>
                <w:sz w:val="22"/>
                <w:szCs w:val="22"/>
              </w:rPr>
            </w:pPr>
            <w:r>
              <w:rPr>
                <w:color w:val="auto"/>
                <w:sz w:val="22"/>
                <w:szCs w:val="22"/>
              </w:rPr>
              <w:t>序</w:t>
            </w:r>
            <w:r>
              <w:rPr>
                <w:color w:val="auto"/>
                <w:spacing w:val="24"/>
                <w:sz w:val="22"/>
                <w:szCs w:val="22"/>
              </w:rPr>
              <w:t xml:space="preserve"> </w:t>
            </w:r>
            <w:r>
              <w:rPr>
                <w:color w:val="auto"/>
                <w:sz w:val="22"/>
                <w:szCs w:val="22"/>
              </w:rPr>
              <w:t>号</w:t>
            </w:r>
          </w:p>
        </w:tc>
        <w:tc>
          <w:tcPr>
            <w:tcW w:w="2785" w:type="dxa"/>
            <w:vMerge w:val="restart"/>
            <w:tcBorders>
              <w:bottom w:val="nil"/>
            </w:tcBorders>
          </w:tcPr>
          <w:p w14:paraId="5C84CFBB">
            <w:pPr>
              <w:spacing w:line="317" w:lineRule="auto"/>
              <w:rPr>
                <w:color w:val="auto"/>
              </w:rPr>
            </w:pPr>
          </w:p>
          <w:p w14:paraId="6E222906">
            <w:pPr>
              <w:pStyle w:val="18"/>
              <w:spacing w:before="71" w:line="222" w:lineRule="auto"/>
              <w:ind w:left="742"/>
              <w:rPr>
                <w:rFonts w:hint="eastAsia"/>
                <w:color w:val="auto"/>
                <w:sz w:val="22"/>
                <w:szCs w:val="22"/>
              </w:rPr>
            </w:pPr>
            <w:r>
              <w:rPr>
                <w:color w:val="auto"/>
                <w:spacing w:val="-2"/>
                <w:sz w:val="22"/>
                <w:szCs w:val="22"/>
              </w:rPr>
              <w:t>设施设备名称</w:t>
            </w:r>
          </w:p>
        </w:tc>
        <w:tc>
          <w:tcPr>
            <w:tcW w:w="3827" w:type="dxa"/>
            <w:gridSpan w:val="2"/>
          </w:tcPr>
          <w:p w14:paraId="2F8CC131">
            <w:pPr>
              <w:pStyle w:val="18"/>
              <w:spacing w:before="66" w:line="222" w:lineRule="auto"/>
              <w:ind w:left="1480"/>
              <w:rPr>
                <w:rFonts w:hint="eastAsia"/>
                <w:color w:val="auto"/>
                <w:sz w:val="22"/>
                <w:szCs w:val="22"/>
              </w:rPr>
            </w:pPr>
            <w:r>
              <w:rPr>
                <w:color w:val="auto"/>
                <w:spacing w:val="-2"/>
                <w:sz w:val="22"/>
                <w:szCs w:val="22"/>
              </w:rPr>
              <w:t>配备要求</w:t>
            </w:r>
          </w:p>
        </w:tc>
        <w:tc>
          <w:tcPr>
            <w:tcW w:w="1533" w:type="dxa"/>
            <w:vMerge w:val="restart"/>
            <w:tcBorders>
              <w:bottom w:val="nil"/>
            </w:tcBorders>
          </w:tcPr>
          <w:p w14:paraId="45DC51F0">
            <w:pPr>
              <w:spacing w:line="317" w:lineRule="auto"/>
              <w:rPr>
                <w:color w:val="auto"/>
              </w:rPr>
            </w:pPr>
          </w:p>
          <w:p w14:paraId="30403590">
            <w:pPr>
              <w:pStyle w:val="18"/>
              <w:spacing w:before="71" w:line="222" w:lineRule="auto"/>
              <w:ind w:left="555"/>
              <w:rPr>
                <w:rFonts w:hint="eastAsia"/>
                <w:color w:val="auto"/>
                <w:sz w:val="22"/>
                <w:szCs w:val="22"/>
              </w:rPr>
            </w:pPr>
            <w:r>
              <w:rPr>
                <w:color w:val="auto"/>
                <w:spacing w:val="-3"/>
                <w:sz w:val="22"/>
                <w:szCs w:val="22"/>
              </w:rPr>
              <w:t>备注</w:t>
            </w:r>
          </w:p>
        </w:tc>
      </w:tr>
      <w:tr w14:paraId="7F7AE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599" w:type="dxa"/>
            <w:vMerge w:val="continue"/>
            <w:tcBorders>
              <w:top w:val="nil"/>
            </w:tcBorders>
            <w:textDirection w:val="tbRlV"/>
          </w:tcPr>
          <w:p w14:paraId="6334ADB9">
            <w:pPr>
              <w:rPr>
                <w:color w:val="auto"/>
              </w:rPr>
            </w:pPr>
          </w:p>
        </w:tc>
        <w:tc>
          <w:tcPr>
            <w:tcW w:w="2785" w:type="dxa"/>
            <w:vMerge w:val="continue"/>
            <w:tcBorders>
              <w:top w:val="nil"/>
            </w:tcBorders>
          </w:tcPr>
          <w:p w14:paraId="76F982D2">
            <w:pPr>
              <w:rPr>
                <w:color w:val="auto"/>
              </w:rPr>
            </w:pPr>
          </w:p>
        </w:tc>
        <w:tc>
          <w:tcPr>
            <w:tcW w:w="1771" w:type="dxa"/>
          </w:tcPr>
          <w:p w14:paraId="5D1CB2B7">
            <w:pPr>
              <w:pStyle w:val="18"/>
              <w:spacing w:before="169" w:line="219" w:lineRule="auto"/>
              <w:ind w:left="258"/>
              <w:rPr>
                <w:rFonts w:hint="eastAsia"/>
                <w:color w:val="auto"/>
                <w:sz w:val="22"/>
                <w:szCs w:val="22"/>
              </w:rPr>
            </w:pPr>
            <w:r>
              <w:rPr>
                <w:color w:val="auto"/>
                <w:spacing w:val="-6"/>
                <w:sz w:val="22"/>
                <w:szCs w:val="22"/>
              </w:rPr>
              <w:t>由采购人提供</w:t>
            </w:r>
          </w:p>
        </w:tc>
        <w:tc>
          <w:tcPr>
            <w:tcW w:w="2056" w:type="dxa"/>
          </w:tcPr>
          <w:p w14:paraId="3100FD35">
            <w:pPr>
              <w:pStyle w:val="18"/>
              <w:spacing w:before="169" w:line="219" w:lineRule="auto"/>
              <w:ind w:left="401"/>
              <w:rPr>
                <w:rFonts w:hint="eastAsia"/>
                <w:color w:val="auto"/>
                <w:sz w:val="22"/>
                <w:szCs w:val="22"/>
              </w:rPr>
            </w:pPr>
            <w:r>
              <w:rPr>
                <w:color w:val="auto"/>
                <w:spacing w:val="-6"/>
                <w:sz w:val="22"/>
                <w:szCs w:val="22"/>
              </w:rPr>
              <w:t>由投标人提供</w:t>
            </w:r>
          </w:p>
        </w:tc>
        <w:tc>
          <w:tcPr>
            <w:tcW w:w="1533" w:type="dxa"/>
            <w:vMerge w:val="continue"/>
            <w:tcBorders>
              <w:top w:val="nil"/>
            </w:tcBorders>
          </w:tcPr>
          <w:p w14:paraId="0DFEB538">
            <w:pPr>
              <w:rPr>
                <w:color w:val="auto"/>
              </w:rPr>
            </w:pPr>
          </w:p>
        </w:tc>
      </w:tr>
      <w:tr w14:paraId="63537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599" w:type="dxa"/>
          </w:tcPr>
          <w:p w14:paraId="29CDE014">
            <w:pPr>
              <w:spacing w:before="106" w:line="187" w:lineRule="auto"/>
              <w:ind w:left="268"/>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1</w:t>
            </w:r>
          </w:p>
        </w:tc>
        <w:tc>
          <w:tcPr>
            <w:tcW w:w="2785" w:type="dxa"/>
          </w:tcPr>
          <w:p w14:paraId="5A1A331C">
            <w:pPr>
              <w:pStyle w:val="18"/>
              <w:spacing w:before="63" w:line="221" w:lineRule="auto"/>
              <w:ind w:left="958"/>
              <w:rPr>
                <w:rFonts w:hint="eastAsia"/>
                <w:color w:val="auto"/>
                <w:sz w:val="22"/>
                <w:szCs w:val="22"/>
              </w:rPr>
            </w:pPr>
            <w:r>
              <w:rPr>
                <w:color w:val="auto"/>
                <w:spacing w:val="-2"/>
                <w:sz w:val="22"/>
                <w:szCs w:val="22"/>
              </w:rPr>
              <w:t>保安用房</w:t>
            </w:r>
          </w:p>
        </w:tc>
        <w:tc>
          <w:tcPr>
            <w:tcW w:w="1771" w:type="dxa"/>
          </w:tcPr>
          <w:p w14:paraId="3A279CD4">
            <w:pPr>
              <w:spacing w:before="56" w:line="238" w:lineRule="auto"/>
              <w:ind w:left="832"/>
              <w:rPr>
                <w:color w:val="auto"/>
                <w:sz w:val="22"/>
                <w:szCs w:val="22"/>
              </w:rPr>
            </w:pPr>
            <w:r>
              <w:rPr>
                <w:color w:val="auto"/>
                <w:sz w:val="22"/>
                <w:szCs w:val="22"/>
              </w:rPr>
              <w:t>√</w:t>
            </w:r>
          </w:p>
        </w:tc>
        <w:tc>
          <w:tcPr>
            <w:tcW w:w="2056" w:type="dxa"/>
          </w:tcPr>
          <w:p w14:paraId="1CB83AD3">
            <w:pPr>
              <w:rPr>
                <w:color w:val="auto"/>
              </w:rPr>
            </w:pPr>
          </w:p>
        </w:tc>
        <w:tc>
          <w:tcPr>
            <w:tcW w:w="1533" w:type="dxa"/>
          </w:tcPr>
          <w:p w14:paraId="62B560E8">
            <w:pPr>
              <w:rPr>
                <w:color w:val="auto"/>
              </w:rPr>
            </w:pPr>
          </w:p>
        </w:tc>
      </w:tr>
      <w:tr w14:paraId="2A958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599" w:type="dxa"/>
          </w:tcPr>
          <w:p w14:paraId="14F7BE7D">
            <w:pPr>
              <w:spacing w:before="106" w:line="187" w:lineRule="auto"/>
              <w:ind w:left="246"/>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2</w:t>
            </w:r>
          </w:p>
        </w:tc>
        <w:tc>
          <w:tcPr>
            <w:tcW w:w="2785" w:type="dxa"/>
          </w:tcPr>
          <w:p w14:paraId="7F537F86">
            <w:pPr>
              <w:pStyle w:val="18"/>
              <w:spacing w:before="66" w:line="220" w:lineRule="auto"/>
              <w:ind w:left="743"/>
              <w:rPr>
                <w:rFonts w:hint="eastAsia"/>
                <w:color w:val="auto"/>
                <w:sz w:val="22"/>
                <w:szCs w:val="22"/>
              </w:rPr>
            </w:pPr>
            <w:r>
              <w:rPr>
                <w:color w:val="auto"/>
                <w:spacing w:val="-2"/>
                <w:sz w:val="22"/>
                <w:szCs w:val="22"/>
              </w:rPr>
              <w:t>办公设施设备</w:t>
            </w:r>
          </w:p>
        </w:tc>
        <w:tc>
          <w:tcPr>
            <w:tcW w:w="1771" w:type="dxa"/>
          </w:tcPr>
          <w:p w14:paraId="415027C6">
            <w:pPr>
              <w:spacing w:before="56" w:line="238" w:lineRule="auto"/>
              <w:ind w:left="832"/>
              <w:rPr>
                <w:color w:val="auto"/>
                <w:sz w:val="22"/>
                <w:szCs w:val="22"/>
              </w:rPr>
            </w:pPr>
            <w:r>
              <w:rPr>
                <w:color w:val="auto"/>
                <w:sz w:val="22"/>
                <w:szCs w:val="22"/>
              </w:rPr>
              <w:t>√</w:t>
            </w:r>
          </w:p>
        </w:tc>
        <w:tc>
          <w:tcPr>
            <w:tcW w:w="2056" w:type="dxa"/>
          </w:tcPr>
          <w:p w14:paraId="3B12A694">
            <w:pPr>
              <w:rPr>
                <w:color w:val="auto"/>
              </w:rPr>
            </w:pPr>
          </w:p>
        </w:tc>
        <w:tc>
          <w:tcPr>
            <w:tcW w:w="1533" w:type="dxa"/>
          </w:tcPr>
          <w:p w14:paraId="558D58D3">
            <w:pPr>
              <w:rPr>
                <w:color w:val="auto"/>
              </w:rPr>
            </w:pPr>
          </w:p>
        </w:tc>
      </w:tr>
      <w:tr w14:paraId="3817F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599" w:type="dxa"/>
          </w:tcPr>
          <w:p w14:paraId="4578FBDF">
            <w:pPr>
              <w:spacing w:before="107" w:line="187" w:lineRule="auto"/>
              <w:ind w:left="251"/>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3</w:t>
            </w:r>
          </w:p>
        </w:tc>
        <w:tc>
          <w:tcPr>
            <w:tcW w:w="2785" w:type="dxa"/>
          </w:tcPr>
          <w:p w14:paraId="4D637859">
            <w:pPr>
              <w:pStyle w:val="18"/>
              <w:spacing w:before="67" w:line="221" w:lineRule="auto"/>
              <w:ind w:left="958"/>
              <w:rPr>
                <w:rFonts w:hint="eastAsia"/>
                <w:color w:val="auto"/>
                <w:sz w:val="22"/>
                <w:szCs w:val="22"/>
              </w:rPr>
            </w:pPr>
            <w:r>
              <w:rPr>
                <w:color w:val="auto"/>
                <w:spacing w:val="-2"/>
                <w:sz w:val="22"/>
                <w:szCs w:val="22"/>
              </w:rPr>
              <w:t>技防设备</w:t>
            </w:r>
          </w:p>
        </w:tc>
        <w:tc>
          <w:tcPr>
            <w:tcW w:w="1771" w:type="dxa"/>
          </w:tcPr>
          <w:p w14:paraId="7C0CBC1B">
            <w:pPr>
              <w:spacing w:before="57" w:line="238" w:lineRule="auto"/>
              <w:ind w:left="832"/>
              <w:rPr>
                <w:color w:val="auto"/>
                <w:sz w:val="22"/>
                <w:szCs w:val="22"/>
              </w:rPr>
            </w:pPr>
            <w:r>
              <w:rPr>
                <w:color w:val="auto"/>
                <w:sz w:val="22"/>
                <w:szCs w:val="22"/>
              </w:rPr>
              <w:t>√</w:t>
            </w:r>
          </w:p>
        </w:tc>
        <w:tc>
          <w:tcPr>
            <w:tcW w:w="2056" w:type="dxa"/>
          </w:tcPr>
          <w:p w14:paraId="0F99467B">
            <w:pPr>
              <w:rPr>
                <w:color w:val="auto"/>
              </w:rPr>
            </w:pPr>
          </w:p>
        </w:tc>
        <w:tc>
          <w:tcPr>
            <w:tcW w:w="1533" w:type="dxa"/>
          </w:tcPr>
          <w:p w14:paraId="06319B1A">
            <w:pPr>
              <w:rPr>
                <w:color w:val="auto"/>
              </w:rPr>
            </w:pPr>
          </w:p>
        </w:tc>
      </w:tr>
      <w:tr w14:paraId="1BEE4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599" w:type="dxa"/>
          </w:tcPr>
          <w:p w14:paraId="09EC661B">
            <w:pPr>
              <w:spacing w:before="105" w:line="187" w:lineRule="auto"/>
              <w:ind w:left="245"/>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4</w:t>
            </w:r>
          </w:p>
        </w:tc>
        <w:tc>
          <w:tcPr>
            <w:tcW w:w="2785" w:type="dxa"/>
          </w:tcPr>
          <w:p w14:paraId="4D15D201">
            <w:pPr>
              <w:pStyle w:val="18"/>
              <w:spacing w:before="65" w:line="220" w:lineRule="auto"/>
              <w:ind w:left="408"/>
              <w:rPr>
                <w:rFonts w:hint="eastAsia"/>
                <w:color w:val="auto"/>
                <w:sz w:val="22"/>
                <w:szCs w:val="22"/>
              </w:rPr>
            </w:pPr>
            <w:r>
              <w:rPr>
                <w:color w:val="auto"/>
                <w:spacing w:val="-1"/>
                <w:sz w:val="22"/>
                <w:szCs w:val="22"/>
              </w:rPr>
              <w:t>保安员个人安防用品</w:t>
            </w:r>
          </w:p>
        </w:tc>
        <w:tc>
          <w:tcPr>
            <w:tcW w:w="1771" w:type="dxa"/>
          </w:tcPr>
          <w:p w14:paraId="5926530B">
            <w:pPr>
              <w:spacing w:before="55" w:line="238" w:lineRule="auto"/>
              <w:ind w:left="832"/>
              <w:rPr>
                <w:color w:val="auto"/>
                <w:sz w:val="22"/>
                <w:szCs w:val="22"/>
              </w:rPr>
            </w:pPr>
            <w:r>
              <w:rPr>
                <w:color w:val="auto"/>
                <w:sz w:val="22"/>
                <w:szCs w:val="22"/>
              </w:rPr>
              <w:t>√</w:t>
            </w:r>
          </w:p>
        </w:tc>
        <w:tc>
          <w:tcPr>
            <w:tcW w:w="2056" w:type="dxa"/>
          </w:tcPr>
          <w:p w14:paraId="2E4CAF4E">
            <w:pPr>
              <w:spacing w:before="55" w:line="238" w:lineRule="auto"/>
              <w:ind w:left="832"/>
              <w:rPr>
                <w:color w:val="auto"/>
              </w:rPr>
            </w:pPr>
          </w:p>
        </w:tc>
        <w:tc>
          <w:tcPr>
            <w:tcW w:w="1533" w:type="dxa"/>
          </w:tcPr>
          <w:p w14:paraId="4EEE02CD">
            <w:pPr>
              <w:rPr>
                <w:color w:val="auto"/>
              </w:rPr>
            </w:pPr>
          </w:p>
        </w:tc>
      </w:tr>
      <w:tr w14:paraId="646BB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599" w:type="dxa"/>
          </w:tcPr>
          <w:p w14:paraId="1F1514B2">
            <w:pPr>
              <w:spacing w:before="112" w:line="184" w:lineRule="auto"/>
              <w:ind w:left="252"/>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5</w:t>
            </w:r>
          </w:p>
        </w:tc>
        <w:tc>
          <w:tcPr>
            <w:tcW w:w="2785" w:type="dxa"/>
          </w:tcPr>
          <w:p w14:paraId="06C7AE1C">
            <w:pPr>
              <w:pStyle w:val="18"/>
              <w:spacing w:before="67" w:line="219" w:lineRule="auto"/>
              <w:ind w:left="958"/>
              <w:rPr>
                <w:rFonts w:hint="eastAsia"/>
                <w:color w:val="auto"/>
                <w:sz w:val="22"/>
                <w:szCs w:val="22"/>
              </w:rPr>
            </w:pPr>
            <w:r>
              <w:rPr>
                <w:color w:val="auto"/>
                <w:spacing w:val="-2"/>
                <w:sz w:val="22"/>
                <w:szCs w:val="22"/>
              </w:rPr>
              <w:t>保安耗材</w:t>
            </w:r>
          </w:p>
        </w:tc>
        <w:tc>
          <w:tcPr>
            <w:tcW w:w="1771" w:type="dxa"/>
          </w:tcPr>
          <w:p w14:paraId="356F198D">
            <w:pPr>
              <w:spacing w:before="58" w:line="238" w:lineRule="auto"/>
              <w:ind w:left="832"/>
              <w:rPr>
                <w:color w:val="auto"/>
                <w:sz w:val="22"/>
                <w:szCs w:val="22"/>
              </w:rPr>
            </w:pPr>
            <w:r>
              <w:rPr>
                <w:color w:val="auto"/>
                <w:sz w:val="22"/>
                <w:szCs w:val="22"/>
              </w:rPr>
              <w:t>√</w:t>
            </w:r>
          </w:p>
        </w:tc>
        <w:tc>
          <w:tcPr>
            <w:tcW w:w="2056" w:type="dxa"/>
          </w:tcPr>
          <w:p w14:paraId="0234049A">
            <w:pPr>
              <w:spacing w:before="58" w:line="238" w:lineRule="auto"/>
              <w:ind w:left="832"/>
              <w:rPr>
                <w:color w:val="auto"/>
              </w:rPr>
            </w:pPr>
          </w:p>
        </w:tc>
        <w:tc>
          <w:tcPr>
            <w:tcW w:w="1533" w:type="dxa"/>
          </w:tcPr>
          <w:p w14:paraId="20A13B46">
            <w:pPr>
              <w:rPr>
                <w:color w:val="auto"/>
              </w:rPr>
            </w:pPr>
          </w:p>
        </w:tc>
      </w:tr>
      <w:tr w14:paraId="47AE5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3384" w:type="dxa"/>
            <w:gridSpan w:val="2"/>
          </w:tcPr>
          <w:p w14:paraId="125233E5">
            <w:pPr>
              <w:pStyle w:val="18"/>
              <w:spacing w:before="68" w:line="222" w:lineRule="auto"/>
              <w:ind w:left="1480"/>
              <w:rPr>
                <w:rFonts w:hint="eastAsia"/>
                <w:color w:val="auto"/>
                <w:sz w:val="22"/>
                <w:szCs w:val="22"/>
              </w:rPr>
            </w:pPr>
            <w:r>
              <w:rPr>
                <w:color w:val="auto"/>
                <w:spacing w:val="-2"/>
                <w:sz w:val="22"/>
                <w:szCs w:val="22"/>
              </w:rPr>
              <w:t>合计</w:t>
            </w:r>
          </w:p>
        </w:tc>
        <w:tc>
          <w:tcPr>
            <w:tcW w:w="1771" w:type="dxa"/>
          </w:tcPr>
          <w:p w14:paraId="769D9C99">
            <w:pPr>
              <w:rPr>
                <w:color w:val="auto"/>
              </w:rPr>
            </w:pPr>
          </w:p>
        </w:tc>
        <w:tc>
          <w:tcPr>
            <w:tcW w:w="2056" w:type="dxa"/>
          </w:tcPr>
          <w:p w14:paraId="178D9391">
            <w:pPr>
              <w:rPr>
                <w:color w:val="auto"/>
              </w:rPr>
            </w:pPr>
          </w:p>
        </w:tc>
        <w:tc>
          <w:tcPr>
            <w:tcW w:w="1533" w:type="dxa"/>
          </w:tcPr>
          <w:p w14:paraId="2D62F06D">
            <w:pPr>
              <w:rPr>
                <w:color w:val="auto"/>
              </w:rPr>
            </w:pPr>
          </w:p>
        </w:tc>
      </w:tr>
    </w:tbl>
    <w:p w14:paraId="070343B3">
      <w:pPr>
        <w:spacing w:line="270" w:lineRule="auto"/>
        <w:rPr>
          <w:color w:val="auto"/>
        </w:rPr>
      </w:pPr>
    </w:p>
    <w:p w14:paraId="2348E72C">
      <w:pPr>
        <w:pStyle w:val="6"/>
        <w:spacing w:before="93" w:line="273" w:lineRule="auto"/>
        <w:ind w:left="20" w:right="27" w:firstLine="441"/>
        <w:rPr>
          <w:rFonts w:ascii="Times New Roman" w:hAnsi="Times New Roman" w:eastAsia="Times New Roman" w:cs="Times New Roman"/>
          <w:color w:val="auto"/>
          <w:spacing w:val="-2"/>
        </w:rPr>
      </w:pPr>
      <w:r>
        <w:rPr>
          <w:rFonts w:hint="eastAsia" w:ascii="Times New Roman" w:hAnsi="Times New Roman" w:eastAsia="Times New Roman" w:cs="Times New Roman"/>
          <w:color w:val="auto"/>
          <w:spacing w:val="-2"/>
        </w:rPr>
        <w:t>(2)工作内容</w:t>
      </w:r>
    </w:p>
    <w:p w14:paraId="3ED93EDA">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①服务范围：</w:t>
      </w:r>
      <w:r>
        <w:rPr>
          <w:color w:val="auto"/>
          <w:spacing w:val="-6"/>
          <w:lang w:eastAsia="zh-CN"/>
        </w:rPr>
        <w:t>临港</w:t>
      </w:r>
      <w:r>
        <w:rPr>
          <w:rFonts w:hint="eastAsia"/>
          <w:color w:val="auto"/>
          <w:spacing w:val="-6"/>
          <w:lang w:eastAsia="zh-CN"/>
        </w:rPr>
        <w:t>新片区</w:t>
      </w:r>
      <w:r>
        <w:rPr>
          <w:color w:val="auto"/>
          <w:spacing w:val="-6"/>
          <w:lang w:eastAsia="zh-CN"/>
        </w:rPr>
        <w:t>青年中心</w:t>
      </w:r>
      <w:r>
        <w:rPr>
          <w:rFonts w:hint="eastAsia" w:ascii="Times New Roman" w:hAnsi="Times New Roman" w:eastAsia="Times New Roman" w:cs="Times New Roman"/>
          <w:color w:val="auto"/>
          <w:spacing w:val="-2"/>
          <w:lang w:eastAsia="zh-CN"/>
        </w:rPr>
        <w:t>全区域</w:t>
      </w:r>
    </w:p>
    <w:p w14:paraId="2F4D100E">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②工作职责</w:t>
      </w:r>
    </w:p>
    <w:p w14:paraId="3A6DC147">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A.加强安全保卫，认真值守，规范服务，做到内紧外松，严密执勤，热忱服务，确保无等级爆炸、火灾、破坏、盗窃事故和无责任疏漏事故。</w:t>
      </w:r>
    </w:p>
    <w:p w14:paraId="1F9C929E">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B.保安队员必须严格组织政审，身体健康、无不良记录。加强思想政治工作，教育员工严格遵纪守法，优质服务。保安队员必须申领保安员证。</w:t>
      </w:r>
    </w:p>
    <w:p w14:paraId="54B1785C">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color w:val="auto"/>
          <w:lang w:eastAsia="zh-CN"/>
        </w:rPr>
        <w:t>C.负责大楼首层大厅白天12小时值守及楼层区域巡视保安工作，采取固定值守和流动巡视相结合的方式，加强安全防范。</w:t>
      </w:r>
    </w:p>
    <w:p w14:paraId="37634DC5">
      <w:pPr>
        <w:pStyle w:val="6"/>
        <w:spacing w:before="93" w:line="273" w:lineRule="auto"/>
        <w:ind w:left="20" w:right="27" w:firstLine="441"/>
        <w:rPr>
          <w:rFonts w:ascii="Times New Roman" w:hAnsi="Times New Roman" w:eastAsia="Times New Roman" w:cs="Times New Roman"/>
          <w:color w:val="auto"/>
          <w:spacing w:val="-2"/>
          <w:lang w:eastAsia="zh-CN"/>
        </w:rPr>
      </w:pPr>
      <w:r>
        <w:rPr>
          <w:rFonts w:hint="eastAsia" w:ascii="Times New Roman" w:hAnsi="Times New Roman" w:eastAsia="Times New Roman" w:cs="Times New Roman"/>
          <w:color w:val="auto"/>
          <w:spacing w:val="-2"/>
          <w:lang w:eastAsia="zh-CN"/>
        </w:rPr>
        <w:t>D.对前来办事、咨询人员须进行询问、引导、解答。确保正常秩序，严防闲杂人员进入。工作态度热情，举止文明。对大件物品出门须进行登记和检查。遇群众上.访， 及时、积极主动地配合有关部门， 做好劝说、劝阻和疏导工作。</w:t>
      </w:r>
    </w:p>
    <w:p w14:paraId="77AB4B11">
      <w:pPr>
        <w:pStyle w:val="6"/>
        <w:spacing w:before="93" w:line="273" w:lineRule="auto"/>
        <w:ind w:left="20" w:right="27" w:firstLine="441"/>
        <w:rPr>
          <w:rFonts w:ascii="Times New Roman" w:hAnsi="Times New Roman" w:eastAsia="Times New Roman" w:cs="Times New Roman"/>
          <w:color w:val="auto"/>
          <w:spacing w:val="-2"/>
          <w:lang w:eastAsia="zh-CN"/>
        </w:rPr>
      </w:pPr>
      <w:r>
        <w:rPr>
          <w:rFonts w:ascii="Times New Roman" w:hAnsi="Times New Roman" w:eastAsia="Times New Roman" w:cs="Times New Roman"/>
          <w:color w:val="auto"/>
          <w:spacing w:val="-2"/>
          <w:lang w:eastAsia="zh-CN"/>
        </w:rPr>
        <w:t>E.对甲方的安全利益负全责。乙方队员在值勤中，认真履行防火、防盗、防窃等职责，不脱岗、不离岗。如因责任心不强或工作疏忽或违章操作致使甲方造成爆炸、火灾、盗窃等事故，应承担经济责任或法律责任。</w:t>
      </w:r>
    </w:p>
    <w:p w14:paraId="016BB67A">
      <w:pPr>
        <w:pStyle w:val="6"/>
        <w:spacing w:before="93" w:line="273" w:lineRule="auto"/>
        <w:ind w:left="20" w:right="27" w:firstLine="441"/>
        <w:rPr>
          <w:rFonts w:ascii="Times New Roman" w:hAnsi="Times New Roman" w:eastAsia="Times New Roman" w:cs="Times New Roman"/>
          <w:color w:val="auto"/>
          <w:spacing w:val="-2"/>
          <w:lang w:eastAsia="zh-CN"/>
        </w:rPr>
      </w:pPr>
      <w:r>
        <w:rPr>
          <w:rFonts w:ascii="Times New Roman" w:hAnsi="Times New Roman" w:eastAsia="Times New Roman" w:cs="Times New Roman"/>
          <w:color w:val="auto"/>
          <w:spacing w:val="-2"/>
          <w:lang w:eastAsia="zh-CN"/>
        </w:rPr>
        <w:t xml:space="preserve">F. </w:t>
      </w:r>
      <w:r>
        <w:rPr>
          <w:rFonts w:hint="eastAsia" w:ascii="Times New Roman" w:hAnsi="Times New Roman" w:eastAsia="Times New Roman" w:cs="Times New Roman"/>
          <w:color w:val="auto"/>
          <w:spacing w:val="-2"/>
          <w:lang w:eastAsia="zh-CN"/>
        </w:rPr>
        <w:t>爱护甲方配置的设备和安保工具，</w:t>
      </w:r>
      <w:r>
        <w:rPr>
          <w:rFonts w:ascii="Times New Roman" w:hAnsi="Times New Roman" w:eastAsia="Times New Roman" w:cs="Times New Roman"/>
          <w:color w:val="auto"/>
          <w:spacing w:val="-2"/>
          <w:lang w:eastAsia="zh-CN"/>
        </w:rPr>
        <w:t xml:space="preserve"> </w:t>
      </w:r>
      <w:r>
        <w:rPr>
          <w:rFonts w:hint="eastAsia" w:ascii="Times New Roman" w:hAnsi="Times New Roman" w:eastAsia="Times New Roman" w:cs="Times New Roman"/>
          <w:color w:val="auto"/>
          <w:spacing w:val="-2"/>
          <w:lang w:eastAsia="zh-CN"/>
        </w:rPr>
        <w:t>如人为损坏，</w:t>
      </w:r>
      <w:r>
        <w:rPr>
          <w:rFonts w:ascii="Times New Roman" w:hAnsi="Times New Roman" w:eastAsia="Times New Roman" w:cs="Times New Roman"/>
          <w:color w:val="auto"/>
          <w:spacing w:val="-2"/>
          <w:lang w:eastAsia="zh-CN"/>
        </w:rPr>
        <w:t xml:space="preserve"> </w:t>
      </w:r>
      <w:r>
        <w:rPr>
          <w:rFonts w:hint="eastAsia" w:ascii="Times New Roman" w:hAnsi="Times New Roman" w:eastAsia="Times New Roman" w:cs="Times New Roman"/>
          <w:color w:val="auto"/>
          <w:spacing w:val="-2"/>
          <w:lang w:eastAsia="zh-CN"/>
        </w:rPr>
        <w:t>须照价赔偿。</w:t>
      </w:r>
    </w:p>
    <w:p w14:paraId="1C441DFF">
      <w:pPr>
        <w:pStyle w:val="6"/>
        <w:spacing w:before="93" w:line="273" w:lineRule="auto"/>
        <w:ind w:left="20" w:right="27" w:firstLine="441"/>
        <w:rPr>
          <w:rFonts w:ascii="Times New Roman" w:hAnsi="Times New Roman" w:eastAsia="Times New Roman" w:cs="Times New Roman"/>
          <w:color w:val="auto"/>
          <w:spacing w:val="-2"/>
          <w:lang w:eastAsia="zh-CN"/>
        </w:rPr>
      </w:pPr>
      <w:r>
        <w:rPr>
          <w:rFonts w:ascii="Times New Roman" w:hAnsi="Times New Roman" w:eastAsia="Times New Roman" w:cs="Times New Roman"/>
          <w:color w:val="auto"/>
          <w:spacing w:val="-2"/>
          <w:lang w:eastAsia="zh-CN"/>
        </w:rPr>
        <w:t xml:space="preserve">G. </w:t>
      </w:r>
      <w:r>
        <w:rPr>
          <w:rFonts w:hint="eastAsia" w:ascii="Times New Roman" w:hAnsi="Times New Roman" w:eastAsia="Times New Roman" w:cs="Times New Roman"/>
          <w:color w:val="auto"/>
          <w:spacing w:val="-2"/>
          <w:lang w:eastAsia="zh-CN"/>
        </w:rPr>
        <w:t>保安队员上岗执勤时须穿着统一的保安制服，佩戴上岗执勤证。</w:t>
      </w:r>
    </w:p>
    <w:p w14:paraId="7C3F7189">
      <w:pPr>
        <w:pStyle w:val="6"/>
        <w:spacing w:before="93" w:line="273" w:lineRule="auto"/>
        <w:ind w:left="20" w:right="27" w:firstLine="441"/>
        <w:rPr>
          <w:rFonts w:hint="eastAsia"/>
          <w:lang w:eastAsia="zh-CN"/>
        </w:rPr>
      </w:pPr>
      <w:r>
        <w:rPr>
          <w:rFonts w:ascii="Times New Roman" w:hAnsi="Times New Roman" w:eastAsia="Times New Roman" w:cs="Times New Roman"/>
          <w:color w:val="auto"/>
          <w:spacing w:val="-2"/>
          <w:lang w:eastAsia="zh-CN"/>
        </w:rPr>
        <w:t>H.接到投诉，24小时内以电话或书面或回访等方式给予答复。同时认真调查、处理违规违纪的人和事，并做好处理书面记录。及时将处理结果反馈给投诉方。</w:t>
      </w:r>
    </w:p>
    <w:p w14:paraId="28F39F6D">
      <w:pPr>
        <w:pStyle w:val="6"/>
        <w:ind w:firstLine="440" w:firstLineChars="200"/>
        <w:rPr>
          <w:rFonts w:hint="eastAsia"/>
          <w:lang w:eastAsia="zh-CN"/>
        </w:rPr>
      </w:pPr>
      <w:r>
        <w:rPr>
          <w:rFonts w:hint="eastAsia"/>
          <w:lang w:eastAsia="zh-CN"/>
        </w:rPr>
        <w:t>③总体要求：全体保安人员在工作时着装统一、仪表整齐、操作规范、文明用语、礼貌服务。</w:t>
      </w:r>
    </w:p>
    <w:p w14:paraId="2537E434">
      <w:pPr>
        <w:pStyle w:val="6"/>
        <w:ind w:firstLine="440" w:firstLineChars="200"/>
        <w:rPr>
          <w:rFonts w:hint="eastAsia"/>
          <w:lang w:eastAsia="zh-CN"/>
        </w:rPr>
      </w:pPr>
      <w:r>
        <w:rPr>
          <w:rFonts w:hint="eastAsia"/>
          <w:lang w:eastAsia="zh-CN"/>
        </w:rPr>
        <w:t>④工作时间要求：全年白天12小时值班。</w:t>
      </w:r>
    </w:p>
    <w:p w14:paraId="6C3A5CEE">
      <w:pPr>
        <w:pStyle w:val="6"/>
        <w:ind w:firstLine="440" w:firstLineChars="200"/>
        <w:rPr>
          <w:rFonts w:hint="eastAsia"/>
          <w:lang w:eastAsia="zh-CN"/>
        </w:rPr>
      </w:pPr>
      <w:r>
        <w:rPr>
          <w:rFonts w:hint="eastAsia"/>
          <w:lang w:eastAsia="zh-CN"/>
        </w:rPr>
        <w:t>⑤人员自身要求：所有人员持保安证上岗，男性身高不低于172CM，女性身高不低于160CM，符合法定用工年龄，男性队员占所有队员人数 75%以上，身心健康。</w:t>
      </w:r>
    </w:p>
    <w:p w14:paraId="160BFF97">
      <w:pPr>
        <w:pStyle w:val="6"/>
        <w:rPr>
          <w:rFonts w:hint="eastAsia"/>
          <w:b/>
          <w:bCs/>
          <w:color w:val="auto"/>
          <w:lang w:eastAsia="zh-CN"/>
        </w:rPr>
      </w:pPr>
    </w:p>
    <w:p w14:paraId="6558F156">
      <w:pPr>
        <w:pStyle w:val="6"/>
        <w:rPr>
          <w:rFonts w:hint="eastAsia"/>
          <w:b/>
          <w:bCs/>
          <w:color w:val="auto"/>
          <w:lang w:eastAsia="zh-CN"/>
        </w:rPr>
      </w:pPr>
      <w:r>
        <w:rPr>
          <w:rFonts w:hint="eastAsia"/>
          <w:b/>
          <w:bCs/>
          <w:color w:val="auto"/>
          <w:lang w:eastAsia="zh-CN"/>
        </w:rPr>
        <w:t>9.4.4综合服务</w:t>
      </w:r>
    </w:p>
    <w:p w14:paraId="202F53E6">
      <w:pPr>
        <w:pStyle w:val="6"/>
        <w:ind w:firstLine="440" w:firstLineChars="200"/>
        <w:rPr>
          <w:rFonts w:hint="eastAsia"/>
          <w:color w:val="auto"/>
          <w:lang w:eastAsia="zh-CN"/>
        </w:rPr>
      </w:pPr>
      <w:r>
        <w:rPr>
          <w:rFonts w:hint="eastAsia"/>
          <w:color w:val="auto"/>
          <w:lang w:eastAsia="zh-CN"/>
        </w:rPr>
        <w:t>(1)服务范围：临港新片区青年中心区域内</w:t>
      </w:r>
    </w:p>
    <w:p w14:paraId="52B2685C">
      <w:pPr>
        <w:pStyle w:val="6"/>
        <w:ind w:firstLine="440" w:firstLineChars="200"/>
        <w:rPr>
          <w:rFonts w:hint="eastAsia"/>
          <w:color w:val="auto"/>
          <w:lang w:eastAsia="zh-CN"/>
        </w:rPr>
      </w:pPr>
      <w:r>
        <w:rPr>
          <w:rFonts w:hint="eastAsia"/>
          <w:color w:val="auto"/>
          <w:lang w:eastAsia="zh-CN"/>
        </w:rPr>
        <w:t>(2)工作职责：</w:t>
      </w:r>
      <w:r>
        <w:rPr>
          <w:color w:val="auto"/>
          <w:spacing w:val="-3"/>
          <w:lang w:eastAsia="zh-CN"/>
        </w:rPr>
        <w:t>设备零星维修</w:t>
      </w:r>
      <w:r>
        <w:rPr>
          <w:rFonts w:hint="eastAsia"/>
          <w:color w:val="auto"/>
          <w:spacing w:val="-3"/>
          <w:lang w:eastAsia="zh-CN"/>
        </w:rPr>
        <w:t>、绿化租摆</w:t>
      </w:r>
      <w:r>
        <w:rPr>
          <w:rFonts w:hint="eastAsia"/>
          <w:color w:val="auto"/>
          <w:lang w:eastAsia="zh-CN"/>
        </w:rPr>
        <w:t>。</w:t>
      </w:r>
    </w:p>
    <w:p w14:paraId="24562093">
      <w:pPr>
        <w:pStyle w:val="6"/>
        <w:ind w:firstLine="440" w:firstLineChars="200"/>
        <w:rPr>
          <w:rFonts w:hint="eastAsia"/>
          <w:color w:val="auto"/>
          <w:lang w:eastAsia="zh-CN"/>
        </w:rPr>
      </w:pPr>
      <w:r>
        <w:rPr>
          <w:rFonts w:hint="eastAsia"/>
          <w:color w:val="auto"/>
          <w:lang w:eastAsia="zh-CN"/>
        </w:rPr>
        <w:t>(3)总体要求：保障项目的设备零星小额维修服务需求和绿化租摆服务需要。</w:t>
      </w:r>
    </w:p>
    <w:p w14:paraId="172C722F">
      <w:pPr>
        <w:pStyle w:val="6"/>
        <w:ind w:firstLine="440" w:firstLineChars="200"/>
        <w:rPr>
          <w:rFonts w:hint="eastAsia"/>
          <w:color w:val="auto"/>
          <w:lang w:eastAsia="zh-CN"/>
        </w:rPr>
      </w:pPr>
      <w:r>
        <w:rPr>
          <w:rFonts w:hint="eastAsia"/>
          <w:color w:val="auto"/>
          <w:lang w:eastAsia="zh-CN"/>
        </w:rPr>
        <w:t>(4)具体工作要求：</w:t>
      </w:r>
    </w:p>
    <w:p w14:paraId="1F253331">
      <w:pPr>
        <w:pStyle w:val="6"/>
        <w:ind w:firstLine="440" w:firstLineChars="200"/>
        <w:rPr>
          <w:rFonts w:hint="eastAsia"/>
          <w:color w:val="auto"/>
          <w:lang w:eastAsia="zh-CN"/>
        </w:rPr>
      </w:pPr>
      <w:r>
        <w:rPr>
          <w:rFonts w:hint="eastAsia"/>
          <w:color w:val="auto"/>
          <w:lang w:eastAsia="zh-CN"/>
        </w:rPr>
        <w:t>A.零星小额维修及时率达100%，合格率达100%。</w:t>
      </w:r>
    </w:p>
    <w:p w14:paraId="7129A887">
      <w:pPr>
        <w:pStyle w:val="6"/>
        <w:ind w:left="657" w:leftChars="208" w:hanging="220" w:hangingChars="100"/>
        <w:rPr>
          <w:rFonts w:hint="eastAsia"/>
          <w:color w:val="auto"/>
          <w:lang w:eastAsia="zh-CN"/>
        </w:rPr>
      </w:pPr>
      <w:r>
        <w:rPr>
          <w:rFonts w:hint="eastAsia"/>
          <w:color w:val="auto"/>
          <w:lang w:eastAsia="zh-CN"/>
        </w:rPr>
        <w:t>B.在项目内重要会场、接待大厅等关键区域租摆布置绿化植物，及时更换长势不良的植物，定期进行浇水及修剪养护，保持植物长势良好，无枯枝枯叶。</w:t>
      </w:r>
    </w:p>
    <w:p w14:paraId="6633390E">
      <w:pPr>
        <w:pStyle w:val="6"/>
        <w:ind w:firstLine="440" w:firstLineChars="200"/>
        <w:rPr>
          <w:rFonts w:hint="eastAsia"/>
          <w:color w:val="auto"/>
          <w:lang w:eastAsia="zh-CN"/>
        </w:rPr>
      </w:pPr>
      <w:r>
        <w:rPr>
          <w:rFonts w:hint="eastAsia"/>
          <w:color w:val="auto"/>
          <w:lang w:eastAsia="zh-CN"/>
        </w:rPr>
        <w:t>C.相关工作内容可由安保、保洁结合实际一并承担，但须具备专业资质。</w:t>
      </w:r>
    </w:p>
    <w:p w14:paraId="5620AB39">
      <w:pPr>
        <w:pStyle w:val="6"/>
        <w:spacing w:before="93" w:line="273" w:lineRule="auto"/>
        <w:ind w:left="20" w:right="27" w:firstLine="441"/>
        <w:rPr>
          <w:rFonts w:ascii="Times New Roman" w:hAnsi="Times New Roman" w:eastAsia="Times New Roman" w:cs="Times New Roman"/>
          <w:color w:val="auto"/>
          <w:spacing w:val="-2"/>
          <w:lang w:eastAsia="zh-CN"/>
        </w:rPr>
      </w:pPr>
    </w:p>
    <w:p w14:paraId="3E557B14">
      <w:pPr>
        <w:spacing w:line="264" w:lineRule="auto"/>
        <w:rPr>
          <w:color w:val="auto"/>
          <w:lang w:eastAsia="zh-CN"/>
        </w:rPr>
      </w:pPr>
    </w:p>
    <w:p w14:paraId="705F9224">
      <w:pPr>
        <w:pStyle w:val="6"/>
        <w:spacing w:before="93" w:line="220" w:lineRule="auto"/>
        <w:ind w:left="568"/>
        <w:rPr>
          <w:rFonts w:hint="eastAsia"/>
          <w:color w:val="auto"/>
          <w:lang w:eastAsia="zh-CN"/>
        </w:rPr>
      </w:pPr>
      <w:r>
        <w:rPr>
          <w:rFonts w:ascii="Times New Roman" w:hAnsi="Times New Roman" w:eastAsia="Times New Roman" w:cs="Times New Roman"/>
          <w:b/>
          <w:bCs/>
          <w:color w:val="auto"/>
          <w:spacing w:val="-2"/>
          <w:lang w:eastAsia="zh-CN"/>
        </w:rPr>
        <w:t xml:space="preserve">10  </w:t>
      </w:r>
      <w:r>
        <w:rPr>
          <w:b/>
          <w:bCs/>
          <w:color w:val="auto"/>
          <w:spacing w:val="-2"/>
          <w:lang w:eastAsia="zh-CN"/>
        </w:rPr>
        <w:t>安全文明作业要求和应急处置要求</w:t>
      </w:r>
    </w:p>
    <w:p w14:paraId="1D767427">
      <w:pPr>
        <w:pStyle w:val="6"/>
        <w:spacing w:before="93" w:line="273" w:lineRule="auto"/>
        <w:ind w:left="20" w:right="27" w:firstLine="441"/>
        <w:rPr>
          <w:rFonts w:ascii="Times New Roman" w:hAnsi="Times New Roman" w:eastAsia="Times New Roman" w:cs="Times New Roman"/>
          <w:color w:val="auto"/>
          <w:spacing w:val="-2"/>
          <w:lang w:eastAsia="zh-CN"/>
        </w:rPr>
      </w:pPr>
      <w:r>
        <w:rPr>
          <w:rFonts w:ascii="Times New Roman" w:hAnsi="Times New Roman" w:eastAsia="Times New Roman" w:cs="Times New Roman"/>
          <w:color w:val="auto"/>
          <w:spacing w:val="-2"/>
          <w:lang w:eastAsia="zh-CN"/>
        </w:rPr>
        <w:t>（1）在提供服务期间为确保服务区域及周围环境的整洁和不影响其他活动正常进行，中标人应严格执行国家与上海市有关安全文明施工管理的</w:t>
      </w:r>
      <w:r>
        <w:rPr>
          <w:rFonts w:hint="eastAsia" w:ascii="Times New Roman" w:hAnsi="Times New Roman" w:eastAsia="Times New Roman" w:cs="Times New Roman"/>
          <w:color w:val="auto"/>
          <w:spacing w:val="-2"/>
          <w:lang w:eastAsia="zh-CN"/>
        </w:rPr>
        <w:t>法律法规</w:t>
      </w:r>
      <w:r>
        <w:rPr>
          <w:rFonts w:ascii="Times New Roman" w:hAnsi="Times New Roman" w:eastAsia="Times New Roman" w:cs="Times New Roman"/>
          <w:color w:val="auto"/>
          <w:spacing w:val="-2"/>
          <w:lang w:eastAsia="zh-CN"/>
        </w:rPr>
        <w:t>和政策，积极主动加强和落实安全文明施工及环境保护等有关管理工作，并按</w:t>
      </w:r>
      <w:r>
        <w:rPr>
          <w:rFonts w:hint="eastAsia" w:ascii="Times New Roman" w:hAnsi="Times New Roman" w:cs="Times New Roman" w:eastAsiaTheme="minorEastAsia"/>
          <w:color w:val="auto"/>
          <w:spacing w:val="-2"/>
          <w:lang w:eastAsia="zh-CN"/>
        </w:rPr>
        <w:t xml:space="preserve"> </w:t>
      </w:r>
      <w:r>
        <w:rPr>
          <w:rFonts w:ascii="Times New Roman" w:hAnsi="Times New Roman" w:eastAsia="Times New Roman" w:cs="Times New Roman"/>
          <w:color w:val="auto"/>
          <w:spacing w:val="-2"/>
          <w:lang w:eastAsia="zh-CN"/>
        </w:rPr>
        <w:t>规定承担相应的费用。中标人若违反规定而造成的一切损失和责任由中标人承担。</w:t>
      </w:r>
    </w:p>
    <w:p w14:paraId="6452C66C">
      <w:pPr>
        <w:pStyle w:val="6"/>
        <w:spacing w:before="93" w:line="273" w:lineRule="auto"/>
        <w:ind w:left="20" w:right="27" w:firstLine="441"/>
        <w:rPr>
          <w:rFonts w:ascii="Times New Roman" w:hAnsi="Times New Roman" w:eastAsia="Times New Roman" w:cs="Times New Roman"/>
          <w:color w:val="auto"/>
          <w:spacing w:val="-2"/>
          <w:lang w:eastAsia="zh-CN"/>
        </w:rPr>
      </w:pPr>
      <w:r>
        <w:rPr>
          <w:rFonts w:ascii="Times New Roman" w:hAnsi="Times New Roman" w:eastAsia="Times New Roman" w:cs="Times New Roman"/>
          <w:color w:val="auto"/>
          <w:spacing w:val="-2"/>
          <w:lang w:eastAsia="zh-CN"/>
        </w:rPr>
        <w:t>（2）中标人在项目实施期间，必须遵守国家与上海市各项有关安全作业规章、规范与制度，建立动用明火申请批准制度， 安全用电等制度，确保杜绝各类事故的发生。</w:t>
      </w:r>
    </w:p>
    <w:p w14:paraId="5692F74C">
      <w:pPr>
        <w:pStyle w:val="6"/>
        <w:spacing w:before="93" w:line="273" w:lineRule="auto"/>
        <w:ind w:left="20" w:right="27" w:firstLine="441"/>
        <w:rPr>
          <w:rFonts w:ascii="Times New Roman" w:hAnsi="Times New Roman" w:eastAsia="Times New Roman" w:cs="Times New Roman"/>
          <w:color w:val="auto"/>
          <w:spacing w:val="-2"/>
          <w:lang w:eastAsia="zh-CN"/>
        </w:rPr>
      </w:pPr>
      <w:r>
        <w:rPr>
          <w:rFonts w:ascii="Times New Roman" w:hAnsi="Times New Roman" w:eastAsia="Times New Roman" w:cs="Times New Roman"/>
          <w:color w:val="auto"/>
          <w:spacing w:val="-2"/>
          <w:lang w:eastAsia="zh-CN"/>
        </w:rPr>
        <w:t>（3）中标人在提供物业服务时，如岗位涉及</w:t>
      </w:r>
      <w:r>
        <w:rPr>
          <w:rFonts w:hint="eastAsia" w:ascii="Times New Roman" w:hAnsi="Times New Roman" w:eastAsia="Times New Roman" w:cs="Times New Roman"/>
          <w:color w:val="auto"/>
          <w:spacing w:val="-2"/>
          <w:lang w:eastAsia="zh-CN"/>
        </w:rPr>
        <w:t>设备零星</w:t>
      </w:r>
      <w:r>
        <w:rPr>
          <w:rFonts w:ascii="Times New Roman" w:hAnsi="Times New Roman" w:eastAsia="Times New Roman" w:cs="Times New Roman"/>
          <w:color w:val="auto"/>
          <w:spacing w:val="-2"/>
          <w:lang w:eastAsia="zh-CN"/>
        </w:rPr>
        <w:t>维修等工作，其负责人应具有专业证书，服务人员必须持证上岗。中标人对其提供服务的人员的人身安全负责，对采购方、第三方的人身安全和财产安全负责。</w:t>
      </w:r>
    </w:p>
    <w:p w14:paraId="5F26052F">
      <w:pPr>
        <w:pStyle w:val="6"/>
        <w:spacing w:before="93" w:line="273" w:lineRule="auto"/>
        <w:ind w:left="20" w:right="27" w:firstLine="441"/>
        <w:rPr>
          <w:rFonts w:ascii="Times New Roman" w:hAnsi="Times New Roman" w:eastAsia="Times New Roman" w:cs="Times New Roman"/>
          <w:color w:val="auto"/>
          <w:spacing w:val="-2"/>
          <w:lang w:eastAsia="zh-CN"/>
        </w:rPr>
      </w:pPr>
      <w:r>
        <w:rPr>
          <w:rFonts w:ascii="Times New Roman" w:hAnsi="Times New Roman" w:eastAsia="Times New Roman" w:cs="Times New Roman"/>
          <w:color w:val="auto"/>
          <w:spacing w:val="-2"/>
          <w:lang w:eastAsia="zh-CN"/>
        </w:rPr>
        <w:t>（4）中标人在提供物业服务时必须保护好服务区域内的环境和原有建筑、装饰与设施，保证环境和原有建筑、装饰与设施完好。</w:t>
      </w:r>
    </w:p>
    <w:p w14:paraId="50A1CF77">
      <w:pPr>
        <w:pStyle w:val="6"/>
        <w:spacing w:before="93" w:line="273" w:lineRule="auto"/>
        <w:ind w:left="20" w:right="27" w:firstLine="441"/>
        <w:rPr>
          <w:rFonts w:ascii="Times New Roman" w:hAnsi="Times New Roman" w:eastAsia="Times New Roman" w:cs="Times New Roman"/>
          <w:color w:val="auto"/>
          <w:spacing w:val="-2"/>
          <w:lang w:eastAsia="zh-CN"/>
        </w:rPr>
      </w:pPr>
      <w:r>
        <w:rPr>
          <w:rFonts w:ascii="Times New Roman" w:hAnsi="Times New Roman" w:eastAsia="Times New Roman" w:cs="Times New Roman"/>
          <w:color w:val="auto"/>
          <w:spacing w:val="-2"/>
          <w:lang w:eastAsia="zh-CN"/>
        </w:rPr>
        <w:t>（5）各投标人在投标文件中要结合本项目的特点和采购人上述的具体要求制定相应的安全文明施工措施。</w:t>
      </w:r>
    </w:p>
    <w:p w14:paraId="6AA0D794">
      <w:pPr>
        <w:pStyle w:val="6"/>
        <w:spacing w:before="93" w:line="273" w:lineRule="auto"/>
        <w:ind w:left="20" w:right="27" w:firstLine="441"/>
        <w:rPr>
          <w:rFonts w:ascii="Times New Roman" w:hAnsi="Times New Roman" w:eastAsia="Times New Roman" w:cs="Times New Roman"/>
          <w:color w:val="auto"/>
          <w:spacing w:val="-2"/>
          <w:lang w:eastAsia="zh-CN"/>
        </w:rPr>
      </w:pPr>
      <w:r>
        <w:rPr>
          <w:rFonts w:ascii="Times New Roman" w:hAnsi="Times New Roman" w:eastAsia="Times New Roman" w:cs="Times New Roman"/>
          <w:color w:val="auto"/>
          <w:spacing w:val="-2"/>
          <w:lang w:eastAsia="zh-CN"/>
        </w:rPr>
        <w:t>（6）各投标人结合</w:t>
      </w:r>
      <w:r>
        <w:rPr>
          <w:rFonts w:hint="eastAsia" w:ascii="Times New Roman" w:hAnsi="Times New Roman" w:eastAsia="Times New Roman" w:cs="Times New Roman"/>
          <w:color w:val="auto"/>
          <w:spacing w:val="-2"/>
          <w:lang w:eastAsia="zh-CN"/>
        </w:rPr>
        <w:t>项目</w:t>
      </w:r>
      <w:r>
        <w:rPr>
          <w:rFonts w:ascii="Times New Roman" w:hAnsi="Times New Roman" w:eastAsia="Times New Roman" w:cs="Times New Roman"/>
          <w:color w:val="auto"/>
          <w:spacing w:val="-2"/>
          <w:lang w:eastAsia="zh-CN"/>
        </w:rPr>
        <w:t>实际情况，提供突然断水、断电、通信故障的应急措施，电梯突然停运或机电故障的应急措施，发生火警时的应急措施，智能化设施的管理和维修方案，突发群访事件的应急处置方案，定期开展防灾防火应急疏散演练， 并做好演练计划。</w:t>
      </w:r>
    </w:p>
    <w:p w14:paraId="377B3051">
      <w:pPr>
        <w:spacing w:line="336" w:lineRule="auto"/>
        <w:rPr>
          <w:color w:val="auto"/>
          <w:lang w:eastAsia="zh-CN"/>
        </w:rPr>
      </w:pPr>
    </w:p>
    <w:p w14:paraId="0BF96E51">
      <w:pPr>
        <w:pStyle w:val="6"/>
        <w:spacing w:before="93" w:line="220" w:lineRule="auto"/>
        <w:ind w:left="568"/>
        <w:rPr>
          <w:rFonts w:ascii="Times New Roman" w:hAnsi="Times New Roman" w:eastAsia="Times New Roman" w:cs="Times New Roman"/>
          <w:b/>
          <w:bCs/>
          <w:color w:val="auto"/>
          <w:spacing w:val="-2"/>
          <w:lang w:eastAsia="zh-CN"/>
        </w:rPr>
      </w:pPr>
      <w:r>
        <w:rPr>
          <w:rFonts w:ascii="Times New Roman" w:hAnsi="Times New Roman" w:eastAsia="Times New Roman" w:cs="Times New Roman"/>
          <w:b/>
          <w:bCs/>
          <w:color w:val="auto"/>
          <w:spacing w:val="-2"/>
          <w:lang w:eastAsia="zh-CN"/>
        </w:rPr>
        <w:t>11供应商要求</w:t>
      </w:r>
    </w:p>
    <w:p w14:paraId="7B09D990">
      <w:pPr>
        <w:pStyle w:val="7"/>
        <w:numPr>
          <w:ilvl w:val="255"/>
          <w:numId w:val="0"/>
        </w:numPr>
        <w:tabs>
          <w:tab w:val="left" w:pos="851"/>
        </w:tabs>
        <w:spacing w:line="360" w:lineRule="auto"/>
        <w:ind w:firstLine="432" w:firstLineChars="200"/>
        <w:rPr>
          <w:rFonts w:ascii="Times New Roman" w:hAnsi="Times New Roman" w:eastAsia="Times New Roman" w:cs="Times New Roman"/>
          <w:color w:val="auto"/>
          <w:spacing w:val="-2"/>
          <w:sz w:val="22"/>
          <w:szCs w:val="22"/>
          <w:lang w:eastAsia="zh-CN"/>
        </w:rPr>
      </w:pPr>
      <w:r>
        <w:rPr>
          <w:rFonts w:ascii="Times New Roman" w:hAnsi="Times New Roman" w:eastAsia="Times New Roman" w:cs="Times New Roman"/>
          <w:color w:val="auto"/>
          <w:spacing w:val="-2"/>
          <w:sz w:val="22"/>
          <w:szCs w:val="22"/>
          <w:lang w:eastAsia="zh-CN"/>
        </w:rPr>
        <w:t>（1）供应商</w:t>
      </w:r>
      <w:r>
        <w:rPr>
          <w:rFonts w:hint="eastAsia" w:ascii="Times New Roman" w:hAnsi="Times New Roman" w:eastAsia="Times New Roman" w:cs="Times New Roman"/>
          <w:color w:val="auto"/>
          <w:spacing w:val="-2"/>
          <w:sz w:val="22"/>
          <w:szCs w:val="22"/>
          <w:lang w:eastAsia="zh-CN"/>
        </w:rPr>
        <w:t>应当具有完善的组织架构和支撑物业服务开展的管理制度，根据本项目制定专门的整体响应与服务实施方案，针对项目实际并结合自身服务特色，提供详实、周全并有一定突破与创新的服务方案；需</w:t>
      </w:r>
      <w:r>
        <w:rPr>
          <w:rFonts w:ascii="Times New Roman" w:hAnsi="Times New Roman" w:eastAsia="Times New Roman" w:cs="Times New Roman"/>
          <w:color w:val="auto"/>
          <w:spacing w:val="-2"/>
          <w:sz w:val="22"/>
          <w:szCs w:val="22"/>
          <w:lang w:eastAsia="zh-CN"/>
        </w:rPr>
        <w:t>响应与</w:t>
      </w:r>
      <w:r>
        <w:rPr>
          <w:rFonts w:hint="eastAsia" w:ascii="Times New Roman" w:hAnsi="Times New Roman" w:eastAsia="Times New Roman" w:cs="Times New Roman"/>
          <w:color w:val="auto"/>
          <w:spacing w:val="-2"/>
          <w:sz w:val="22"/>
          <w:szCs w:val="22"/>
          <w:lang w:eastAsia="zh-CN"/>
        </w:rPr>
        <w:t>落实政府关于节能、环保及健康管理有关要求，有关方案</w:t>
      </w:r>
      <w:r>
        <w:rPr>
          <w:rFonts w:ascii="Times New Roman" w:hAnsi="Times New Roman" w:eastAsia="Times New Roman" w:cs="Times New Roman"/>
          <w:color w:val="auto"/>
          <w:spacing w:val="-2"/>
          <w:sz w:val="22"/>
          <w:szCs w:val="22"/>
          <w:lang w:eastAsia="zh-CN"/>
        </w:rPr>
        <w:t>应当</w:t>
      </w:r>
      <w:r>
        <w:rPr>
          <w:rFonts w:hint="eastAsia" w:ascii="Times New Roman" w:hAnsi="Times New Roman" w:eastAsia="Times New Roman" w:cs="Times New Roman"/>
          <w:color w:val="auto"/>
          <w:spacing w:val="-2"/>
          <w:sz w:val="22"/>
          <w:szCs w:val="22"/>
          <w:lang w:eastAsia="zh-CN"/>
        </w:rPr>
        <w:t>包含</w:t>
      </w:r>
      <w:r>
        <w:rPr>
          <w:rFonts w:ascii="Times New Roman" w:hAnsi="Times New Roman" w:eastAsia="Times New Roman" w:cs="Times New Roman"/>
          <w:color w:val="auto"/>
          <w:spacing w:val="-2"/>
          <w:sz w:val="22"/>
          <w:szCs w:val="22"/>
          <w:lang w:eastAsia="zh-CN"/>
        </w:rPr>
        <w:t>和响应</w:t>
      </w:r>
      <w:r>
        <w:rPr>
          <w:rFonts w:hint="eastAsia" w:ascii="Times New Roman" w:hAnsi="Times New Roman" w:eastAsia="Times New Roman" w:cs="Times New Roman"/>
          <w:color w:val="auto"/>
          <w:spacing w:val="-2"/>
          <w:sz w:val="22"/>
          <w:szCs w:val="22"/>
          <w:lang w:eastAsia="zh-CN"/>
        </w:rPr>
        <w:t>关于节能降耗、垃圾分类管理和回收、危废管理、员工职业健康管理等</w:t>
      </w:r>
      <w:r>
        <w:rPr>
          <w:rFonts w:ascii="Times New Roman" w:hAnsi="Times New Roman" w:eastAsia="Times New Roman" w:cs="Times New Roman"/>
          <w:color w:val="auto"/>
          <w:spacing w:val="-2"/>
          <w:sz w:val="22"/>
          <w:szCs w:val="22"/>
          <w:lang w:eastAsia="zh-CN"/>
        </w:rPr>
        <w:t>要求</w:t>
      </w:r>
      <w:r>
        <w:rPr>
          <w:rFonts w:hint="eastAsia" w:ascii="Times New Roman" w:hAnsi="Times New Roman" w:eastAsia="Times New Roman" w:cs="Times New Roman"/>
          <w:color w:val="auto"/>
          <w:spacing w:val="-2"/>
          <w:sz w:val="22"/>
          <w:szCs w:val="22"/>
          <w:lang w:eastAsia="zh-CN"/>
        </w:rPr>
        <w:t>。</w:t>
      </w:r>
      <w:r>
        <w:rPr>
          <w:rFonts w:ascii="Times New Roman" w:hAnsi="Times New Roman" w:eastAsia="Times New Roman" w:cs="Times New Roman"/>
          <w:color w:val="auto"/>
          <w:spacing w:val="-2"/>
          <w:sz w:val="22"/>
          <w:szCs w:val="22"/>
          <w:lang w:eastAsia="zh-CN"/>
        </w:rPr>
        <w:t>；</w:t>
      </w:r>
    </w:p>
    <w:p w14:paraId="5CA1E0D7">
      <w:pPr>
        <w:pStyle w:val="7"/>
        <w:numPr>
          <w:ilvl w:val="255"/>
          <w:numId w:val="0"/>
        </w:numPr>
        <w:tabs>
          <w:tab w:val="left" w:pos="851"/>
        </w:tabs>
        <w:spacing w:line="360" w:lineRule="auto"/>
        <w:rPr>
          <w:rFonts w:ascii="Times New Roman" w:hAnsi="Times New Roman" w:eastAsia="Times New Roman" w:cs="Times New Roman"/>
          <w:color w:val="auto"/>
          <w:spacing w:val="-2"/>
          <w:sz w:val="22"/>
          <w:szCs w:val="22"/>
          <w:lang w:eastAsia="zh-CN"/>
        </w:rPr>
      </w:pPr>
      <w:r>
        <w:rPr>
          <w:rFonts w:hint="eastAsia" w:ascii="Times New Roman" w:hAnsi="Times New Roman" w:eastAsia="Times New Roman" w:cs="Times New Roman"/>
          <w:color w:val="auto"/>
          <w:spacing w:val="-2"/>
          <w:sz w:val="22"/>
          <w:szCs w:val="22"/>
          <w:lang w:eastAsia="zh-CN"/>
        </w:rPr>
        <w:t>（2）</w:t>
      </w:r>
      <w:r>
        <w:rPr>
          <w:rFonts w:ascii="Times New Roman" w:hAnsi="Times New Roman" w:eastAsia="Times New Roman" w:cs="Times New Roman"/>
          <w:b/>
          <w:bCs/>
          <w:color w:val="auto"/>
          <w:spacing w:val="-2"/>
          <w:sz w:val="22"/>
          <w:szCs w:val="22"/>
          <w:lang w:eastAsia="zh-CN"/>
        </w:rPr>
        <w:t>供应商具备近三年类似</w:t>
      </w:r>
      <w:r>
        <w:rPr>
          <w:rFonts w:hint="eastAsia" w:ascii="Times New Roman" w:hAnsi="Times New Roman" w:eastAsia="Times New Roman" w:cs="Times New Roman"/>
          <w:b/>
          <w:bCs/>
          <w:color w:val="auto"/>
          <w:spacing w:val="-2"/>
          <w:sz w:val="22"/>
          <w:szCs w:val="22"/>
          <w:lang w:eastAsia="zh-CN"/>
        </w:rPr>
        <w:t>公共服务</w:t>
      </w:r>
      <w:bookmarkStart w:id="0" w:name="_GoBack"/>
      <w:bookmarkEnd w:id="0"/>
      <w:r>
        <w:rPr>
          <w:rFonts w:hint="eastAsia" w:ascii="Times New Roman" w:hAnsi="Times New Roman" w:eastAsia="Times New Roman" w:cs="Times New Roman"/>
          <w:b/>
          <w:bCs/>
          <w:color w:val="auto"/>
          <w:spacing w:val="-2"/>
          <w:sz w:val="22"/>
          <w:szCs w:val="22"/>
          <w:lang w:eastAsia="zh-CN"/>
        </w:rPr>
        <w:t>场所物业管理</w:t>
      </w:r>
      <w:r>
        <w:rPr>
          <w:rFonts w:ascii="Times New Roman" w:hAnsi="Times New Roman" w:eastAsia="Times New Roman" w:cs="Times New Roman"/>
          <w:b/>
          <w:bCs/>
          <w:color w:val="auto"/>
          <w:spacing w:val="-2"/>
          <w:sz w:val="22"/>
          <w:szCs w:val="22"/>
          <w:lang w:eastAsia="zh-CN"/>
        </w:rPr>
        <w:t>项目业绩，</w:t>
      </w:r>
      <w:r>
        <w:rPr>
          <w:rFonts w:hint="eastAsia" w:ascii="Times New Roman" w:hAnsi="Times New Roman" w:eastAsia="Times New Roman" w:cs="Times New Roman"/>
          <w:b/>
          <w:bCs/>
          <w:color w:val="auto"/>
          <w:spacing w:val="-2"/>
          <w:sz w:val="22"/>
          <w:szCs w:val="22"/>
          <w:lang w:eastAsia="zh-CN"/>
        </w:rPr>
        <w:t>受到类似</w:t>
      </w:r>
      <w:r>
        <w:rPr>
          <w:rFonts w:ascii="Times New Roman" w:hAnsi="Times New Roman" w:eastAsia="Times New Roman" w:cs="Times New Roman"/>
          <w:b/>
          <w:bCs/>
          <w:color w:val="auto"/>
          <w:spacing w:val="-2"/>
          <w:sz w:val="22"/>
          <w:szCs w:val="22"/>
          <w:lang w:eastAsia="zh-CN"/>
        </w:rPr>
        <w:t>项目业主好评的优先；</w:t>
      </w:r>
    </w:p>
    <w:p w14:paraId="493B8640">
      <w:pPr>
        <w:pStyle w:val="7"/>
        <w:numPr>
          <w:ilvl w:val="255"/>
          <w:numId w:val="0"/>
        </w:numPr>
        <w:tabs>
          <w:tab w:val="left" w:pos="851"/>
        </w:tabs>
        <w:spacing w:line="360" w:lineRule="auto"/>
        <w:rPr>
          <w:rFonts w:hint="eastAsia" w:ascii="Times New Roman" w:hAnsi="Times New Roman" w:eastAsia="Times New Roman" w:cs="Times New Roman"/>
          <w:color w:val="auto"/>
          <w:spacing w:val="-2"/>
          <w:sz w:val="22"/>
          <w:szCs w:val="22"/>
          <w:lang w:eastAsia="zh-CN"/>
        </w:rPr>
      </w:pPr>
      <w:r>
        <w:rPr>
          <w:rFonts w:hint="eastAsia" w:ascii="Times New Roman" w:hAnsi="Times New Roman" w:eastAsia="Times New Roman" w:cs="Times New Roman"/>
          <w:color w:val="auto"/>
          <w:spacing w:val="-2"/>
          <w:sz w:val="22"/>
          <w:szCs w:val="22"/>
          <w:lang w:eastAsia="zh-CN"/>
        </w:rPr>
        <w:t>（3）</w:t>
      </w:r>
      <w:r>
        <w:rPr>
          <w:rFonts w:ascii="Times New Roman" w:hAnsi="Times New Roman" w:eastAsia="Times New Roman" w:cs="Times New Roman"/>
          <w:color w:val="auto"/>
          <w:spacing w:val="-2"/>
          <w:sz w:val="22"/>
          <w:szCs w:val="22"/>
          <w:lang w:eastAsia="zh-CN"/>
        </w:rPr>
        <w:t>供应商不得将服务内容转包第三方，用工符合劳动法规定与员工签订劳动合同，必须缴纳用工当地的社会保险</w:t>
      </w:r>
      <w:r>
        <w:rPr>
          <w:rFonts w:hint="eastAsia" w:ascii="Times New Roman" w:hAnsi="Times New Roman" w:eastAsia="Times New Roman" w:cs="Times New Roman"/>
          <w:color w:val="auto"/>
          <w:spacing w:val="-2"/>
          <w:sz w:val="22"/>
          <w:szCs w:val="22"/>
          <w:lang w:eastAsia="zh-CN"/>
        </w:rPr>
        <w:t>；</w:t>
      </w:r>
      <w:r>
        <w:rPr>
          <w:rFonts w:ascii="Times New Roman" w:hAnsi="Times New Roman" w:eastAsia="Times New Roman" w:cs="Times New Roman"/>
          <w:color w:val="auto"/>
          <w:spacing w:val="-2"/>
          <w:sz w:val="22"/>
          <w:szCs w:val="22"/>
          <w:lang w:eastAsia="zh-CN"/>
        </w:rPr>
        <w:t>需有完善的员工奖励、福利等制度</w:t>
      </w:r>
      <w:r>
        <w:rPr>
          <w:rFonts w:hint="eastAsia" w:ascii="Times New Roman" w:hAnsi="Times New Roman" w:eastAsia="Times New Roman" w:cs="Times New Roman"/>
          <w:color w:val="auto"/>
          <w:spacing w:val="-2"/>
          <w:sz w:val="22"/>
          <w:szCs w:val="22"/>
          <w:lang w:eastAsia="zh-CN"/>
        </w:rPr>
        <w:t>；需</w:t>
      </w:r>
      <w:r>
        <w:rPr>
          <w:rFonts w:ascii="Times New Roman" w:hAnsi="Times New Roman" w:eastAsia="Times New Roman" w:cs="Times New Roman"/>
          <w:color w:val="auto"/>
          <w:spacing w:val="-2"/>
          <w:sz w:val="22"/>
          <w:szCs w:val="22"/>
          <w:lang w:eastAsia="zh-CN"/>
        </w:rPr>
        <w:t>购买</w:t>
      </w:r>
      <w:r>
        <w:rPr>
          <w:rFonts w:hint="eastAsia" w:ascii="Times New Roman" w:hAnsi="Times New Roman" w:eastAsia="Times New Roman" w:cs="Times New Roman"/>
          <w:color w:val="auto"/>
          <w:spacing w:val="-2"/>
          <w:sz w:val="22"/>
          <w:szCs w:val="22"/>
          <w:lang w:eastAsia="zh-CN"/>
        </w:rPr>
        <w:t>足额的雇主责任险和公众责任险。</w:t>
      </w:r>
    </w:p>
    <w:p w14:paraId="6C1764F6">
      <w:pPr>
        <w:pStyle w:val="7"/>
        <w:numPr>
          <w:ilvl w:val="255"/>
          <w:numId w:val="0"/>
        </w:numPr>
        <w:tabs>
          <w:tab w:val="left" w:pos="851"/>
        </w:tabs>
        <w:spacing w:line="360" w:lineRule="auto"/>
        <w:rPr>
          <w:rFonts w:hint="default" w:ascii="Times New Roman" w:hAnsi="Times New Roman" w:eastAsia="Times New Roman" w:cs="Times New Roman"/>
          <w:b/>
          <w:bCs/>
          <w:color w:val="auto"/>
          <w:spacing w:val="-2"/>
          <w:sz w:val="22"/>
          <w:szCs w:val="22"/>
          <w:lang w:val="en-US" w:eastAsia="zh-CN"/>
        </w:rPr>
      </w:pPr>
      <w:r>
        <w:rPr>
          <w:rFonts w:hint="eastAsia" w:ascii="Times New Roman" w:hAnsi="Times New Roman" w:eastAsia="Times New Roman" w:cs="Times New Roman"/>
          <w:b/>
          <w:bCs/>
          <w:color w:val="auto"/>
          <w:spacing w:val="-2"/>
          <w:sz w:val="22"/>
          <w:szCs w:val="22"/>
          <w:lang w:eastAsia="zh-CN"/>
        </w:rPr>
        <w:t>（</w:t>
      </w:r>
      <w:r>
        <w:rPr>
          <w:rFonts w:hint="eastAsia" w:ascii="Times New Roman" w:hAnsi="Times New Roman" w:eastAsia="Times New Roman" w:cs="Times New Roman"/>
          <w:b/>
          <w:bCs/>
          <w:color w:val="auto"/>
          <w:spacing w:val="-2"/>
          <w:sz w:val="22"/>
          <w:szCs w:val="22"/>
          <w:lang w:val="en-US" w:eastAsia="zh-CN"/>
        </w:rPr>
        <w:t>4）通过质量管理体系认证（GB/T19001认证）、职业健康安全管理体系认证（GB/T45001认证）、环境管理体系认证（GB/T24001认证）并在认证有效期内</w:t>
      </w:r>
    </w:p>
    <w:p w14:paraId="0B9A1F8B">
      <w:pPr>
        <w:pStyle w:val="6"/>
        <w:spacing w:before="71" w:line="220" w:lineRule="auto"/>
        <w:ind w:left="568"/>
        <w:rPr>
          <w:rFonts w:hint="eastAsia"/>
          <w:color w:val="auto"/>
          <w:lang w:eastAsia="zh-CN"/>
        </w:rPr>
      </w:pPr>
      <w:r>
        <w:rPr>
          <w:rFonts w:ascii="Times New Roman" w:hAnsi="Times New Roman" w:eastAsia="Times New Roman" w:cs="Times New Roman"/>
          <w:b/>
          <w:bCs/>
          <w:color w:val="auto"/>
          <w:spacing w:val="-4"/>
          <w:lang w:eastAsia="zh-CN"/>
        </w:rPr>
        <w:t>1</w:t>
      </w:r>
      <w:r>
        <w:rPr>
          <w:rFonts w:hint="eastAsia" w:ascii="Times New Roman" w:hAnsi="Times New Roman" w:eastAsia="Times New Roman" w:cs="Times New Roman"/>
          <w:b/>
          <w:bCs/>
          <w:color w:val="auto"/>
          <w:spacing w:val="-4"/>
          <w:lang w:eastAsia="zh-CN"/>
        </w:rPr>
        <w:t>2</w:t>
      </w:r>
      <w:r>
        <w:rPr>
          <w:rFonts w:ascii="Times New Roman" w:hAnsi="Times New Roman" w:eastAsia="Times New Roman" w:cs="Times New Roman"/>
          <w:b/>
          <w:bCs/>
          <w:color w:val="auto"/>
          <w:spacing w:val="-4"/>
          <w:lang w:eastAsia="zh-CN"/>
        </w:rPr>
        <w:t xml:space="preserve"> </w:t>
      </w:r>
      <w:r>
        <w:rPr>
          <w:b/>
          <w:bCs/>
          <w:color w:val="auto"/>
          <w:spacing w:val="-4"/>
          <w:lang w:eastAsia="zh-CN"/>
        </w:rPr>
        <w:t>考核管理办法和要求</w:t>
      </w:r>
    </w:p>
    <w:p w14:paraId="32B8C641">
      <w:pPr>
        <w:pStyle w:val="6"/>
        <w:spacing w:before="96" w:line="355" w:lineRule="exact"/>
        <w:ind w:firstLine="416" w:firstLineChars="200"/>
        <w:rPr>
          <w:rFonts w:hint="eastAsia"/>
          <w:color w:val="auto"/>
          <w:lang w:eastAsia="zh-CN"/>
        </w:rPr>
      </w:pPr>
      <w:r>
        <w:rPr>
          <w:color w:val="auto"/>
          <w:spacing w:val="-6"/>
          <w:position w:val="9"/>
          <w:lang w:eastAsia="zh-CN"/>
        </w:rPr>
        <w:t>（1）考核形式：由采购人</w:t>
      </w:r>
      <w:r>
        <w:rPr>
          <w:rFonts w:hint="eastAsia"/>
          <w:color w:val="auto"/>
          <w:spacing w:val="-6"/>
          <w:position w:val="9"/>
          <w:lang w:eastAsia="zh-CN"/>
        </w:rPr>
        <w:t>（或委托项目运营管理方）开展日常</w:t>
      </w:r>
      <w:r>
        <w:rPr>
          <w:color w:val="auto"/>
          <w:spacing w:val="-6"/>
          <w:position w:val="9"/>
          <w:lang w:eastAsia="zh-CN"/>
        </w:rPr>
        <w:t>考核。</w:t>
      </w:r>
    </w:p>
    <w:p w14:paraId="759A6C46">
      <w:pPr>
        <w:pStyle w:val="6"/>
        <w:spacing w:before="72" w:line="280" w:lineRule="auto"/>
        <w:ind w:right="80" w:firstLine="412" w:firstLineChars="200"/>
        <w:rPr>
          <w:rFonts w:hint="eastAsia"/>
          <w:color w:val="auto"/>
          <w:spacing w:val="-7"/>
          <w:lang w:eastAsia="zh-CN"/>
        </w:rPr>
      </w:pPr>
      <w:r>
        <w:rPr>
          <w:color w:val="auto"/>
          <w:spacing w:val="-7"/>
          <w:lang w:eastAsia="zh-CN"/>
        </w:rPr>
        <w:t>（2）考核标准：</w:t>
      </w:r>
    </w:p>
    <w:p w14:paraId="4038B044">
      <w:pPr>
        <w:jc w:val="center"/>
        <w:rPr>
          <w:rFonts w:hint="eastAsia" w:ascii="宋体" w:hAnsi="宋体" w:eastAsia="宋体" w:cs="宋体"/>
          <w:b/>
          <w:bCs/>
          <w:color w:val="auto"/>
          <w:lang w:eastAsia="zh-CN"/>
        </w:rPr>
      </w:pPr>
    </w:p>
    <w:p w14:paraId="59CEFDD6">
      <w:pPr>
        <w:jc w:val="center"/>
        <w:rPr>
          <w:rFonts w:hint="eastAsia" w:ascii="宋体" w:hAnsi="宋体" w:eastAsia="宋体" w:cs="宋体"/>
          <w:b/>
          <w:bCs/>
          <w:color w:val="auto"/>
          <w:lang w:eastAsia="zh-CN"/>
        </w:rPr>
      </w:pPr>
      <w:r>
        <w:rPr>
          <w:rFonts w:hint="eastAsia" w:ascii="宋体" w:hAnsi="宋体" w:eastAsia="宋体" w:cs="宋体"/>
          <w:b/>
          <w:bCs/>
          <w:color w:val="auto"/>
          <w:lang w:eastAsia="zh-CN"/>
        </w:rPr>
        <w:t>物业服务考核标准</w:t>
      </w:r>
    </w:p>
    <w:p w14:paraId="74ECF27A">
      <w:pPr>
        <w:jc w:val="center"/>
        <w:rPr>
          <w:rFonts w:hint="eastAsia" w:ascii="宋体" w:hAnsi="宋体" w:eastAsia="宋体" w:cs="宋体"/>
          <w:b/>
          <w:bCs/>
          <w:color w:val="auto"/>
          <w:lang w:eastAsia="zh-CN"/>
        </w:rPr>
      </w:pPr>
      <w:r>
        <w:rPr>
          <w:rFonts w:hint="eastAsia" w:ascii="宋体" w:hAnsi="宋体" w:eastAsia="宋体" w:cs="宋体"/>
          <w:b/>
          <w:bCs/>
          <w:color w:val="auto"/>
          <w:lang w:eastAsia="zh-CN"/>
        </w:rPr>
        <w:t>（按季度）</w:t>
      </w:r>
    </w:p>
    <w:tbl>
      <w:tblPr>
        <w:tblStyle w:val="14"/>
        <w:tblW w:w="8609" w:type="dxa"/>
        <w:jc w:val="center"/>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0" w:type="dxa"/>
          <w:bottom w:w="0" w:type="dxa"/>
          <w:right w:w="0" w:type="dxa"/>
        </w:tblCellMar>
      </w:tblPr>
      <w:tblGrid>
        <w:gridCol w:w="411"/>
        <w:gridCol w:w="779"/>
        <w:gridCol w:w="463"/>
        <w:gridCol w:w="513"/>
        <w:gridCol w:w="5036"/>
        <w:gridCol w:w="720"/>
        <w:gridCol w:w="687"/>
      </w:tblGrid>
      <w:tr w14:paraId="5BB21F9D">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345" w:hRule="atLeast"/>
          <w:tblHeader/>
          <w:jc w:val="center"/>
        </w:trPr>
        <w:tc>
          <w:tcPr>
            <w:tcW w:w="411" w:type="dxa"/>
            <w:tcBorders>
              <w:bottom w:val="single" w:color="000000" w:sz="4" w:space="0"/>
              <w:right w:val="single" w:color="000000" w:sz="4" w:space="0"/>
            </w:tcBorders>
            <w:tcMar>
              <w:top w:w="12" w:type="dxa"/>
              <w:left w:w="12" w:type="dxa"/>
              <w:right w:w="12" w:type="dxa"/>
            </w:tcMar>
            <w:vAlign w:val="center"/>
          </w:tcPr>
          <w:p w14:paraId="411F1633">
            <w:pPr>
              <w:pStyle w:val="19"/>
              <w:jc w:val="center"/>
              <w:rPr>
                <w:rFonts w:hint="eastAsia" w:ascii="宋体" w:hAnsi="宋体" w:cs="宋体"/>
                <w:b/>
                <w:bCs/>
                <w:sz w:val="18"/>
                <w:szCs w:val="18"/>
              </w:rPr>
            </w:pPr>
            <w:r>
              <w:rPr>
                <w:rFonts w:hint="eastAsia" w:ascii="宋体" w:hAnsi="宋体" w:cs="宋体"/>
                <w:b/>
                <w:bCs/>
                <w:sz w:val="18"/>
                <w:szCs w:val="18"/>
              </w:rPr>
              <w:t>序号</w:t>
            </w:r>
          </w:p>
        </w:tc>
        <w:tc>
          <w:tcPr>
            <w:tcW w:w="779" w:type="dxa"/>
            <w:tcBorders>
              <w:left w:val="single" w:color="000000" w:sz="4" w:space="0"/>
              <w:bottom w:val="single" w:color="000000" w:sz="4" w:space="0"/>
              <w:right w:val="single" w:color="000000" w:sz="4" w:space="0"/>
            </w:tcBorders>
            <w:tcMar>
              <w:top w:w="12" w:type="dxa"/>
              <w:left w:w="12" w:type="dxa"/>
              <w:right w:w="12" w:type="dxa"/>
            </w:tcMar>
            <w:vAlign w:val="center"/>
          </w:tcPr>
          <w:p w14:paraId="60A3814F">
            <w:pPr>
              <w:pStyle w:val="19"/>
              <w:jc w:val="center"/>
              <w:rPr>
                <w:rFonts w:hint="eastAsia" w:ascii="宋体" w:hAnsi="宋体" w:cs="宋体"/>
                <w:b/>
                <w:bCs/>
                <w:sz w:val="18"/>
                <w:szCs w:val="18"/>
              </w:rPr>
            </w:pPr>
            <w:r>
              <w:rPr>
                <w:rFonts w:hint="eastAsia" w:ascii="宋体" w:hAnsi="宋体" w:cs="宋体"/>
                <w:b/>
                <w:bCs/>
                <w:sz w:val="18"/>
                <w:szCs w:val="18"/>
              </w:rPr>
              <w:t>类别</w:t>
            </w:r>
          </w:p>
        </w:tc>
        <w:tc>
          <w:tcPr>
            <w:tcW w:w="463" w:type="dxa"/>
            <w:tcBorders>
              <w:left w:val="single" w:color="000000" w:sz="4" w:space="0"/>
              <w:bottom w:val="single" w:color="000000" w:sz="4" w:space="0"/>
              <w:right w:val="single" w:color="000000" w:sz="4" w:space="0"/>
            </w:tcBorders>
            <w:tcMar>
              <w:top w:w="12" w:type="dxa"/>
              <w:left w:w="12" w:type="dxa"/>
              <w:right w:w="12" w:type="dxa"/>
            </w:tcMar>
            <w:vAlign w:val="center"/>
          </w:tcPr>
          <w:p w14:paraId="7BA4AB48">
            <w:pPr>
              <w:pStyle w:val="19"/>
              <w:jc w:val="center"/>
              <w:rPr>
                <w:rFonts w:hint="eastAsia" w:ascii="宋体" w:hAnsi="宋体" w:cs="宋体"/>
                <w:b/>
                <w:bCs/>
                <w:sz w:val="18"/>
                <w:szCs w:val="18"/>
              </w:rPr>
            </w:pPr>
            <w:r>
              <w:rPr>
                <w:rFonts w:hint="eastAsia" w:ascii="宋体" w:hAnsi="宋体" w:cs="宋体"/>
                <w:b/>
                <w:bCs/>
                <w:sz w:val="18"/>
                <w:szCs w:val="18"/>
              </w:rPr>
              <w:t>评价指标</w:t>
            </w:r>
          </w:p>
        </w:tc>
        <w:tc>
          <w:tcPr>
            <w:tcW w:w="513" w:type="dxa"/>
            <w:tcBorders>
              <w:left w:val="single" w:color="000000" w:sz="4" w:space="0"/>
              <w:bottom w:val="single" w:color="000000" w:sz="4" w:space="0"/>
              <w:right w:val="single" w:color="000000" w:sz="4" w:space="0"/>
            </w:tcBorders>
            <w:tcMar>
              <w:top w:w="12" w:type="dxa"/>
              <w:left w:w="12" w:type="dxa"/>
              <w:right w:w="12" w:type="dxa"/>
            </w:tcMar>
            <w:vAlign w:val="center"/>
          </w:tcPr>
          <w:p w14:paraId="774BE576">
            <w:pPr>
              <w:pStyle w:val="19"/>
              <w:jc w:val="center"/>
              <w:rPr>
                <w:rFonts w:hint="eastAsia" w:ascii="宋体" w:hAnsi="宋体" w:cs="宋体"/>
                <w:b/>
                <w:bCs/>
                <w:sz w:val="18"/>
                <w:szCs w:val="18"/>
              </w:rPr>
            </w:pPr>
            <w:r>
              <w:rPr>
                <w:rFonts w:hint="eastAsia" w:ascii="宋体" w:hAnsi="宋体" w:cs="宋体"/>
                <w:b/>
                <w:bCs/>
                <w:sz w:val="18"/>
                <w:szCs w:val="18"/>
              </w:rPr>
              <w:t>考核分值</w:t>
            </w:r>
          </w:p>
        </w:tc>
        <w:tc>
          <w:tcPr>
            <w:tcW w:w="5036" w:type="dxa"/>
            <w:tcBorders>
              <w:left w:val="single" w:color="000000" w:sz="4" w:space="0"/>
              <w:bottom w:val="single" w:color="000000" w:sz="4" w:space="0"/>
              <w:right w:val="single" w:color="000000" w:sz="4" w:space="0"/>
            </w:tcBorders>
            <w:tcMar>
              <w:top w:w="12" w:type="dxa"/>
              <w:left w:w="12" w:type="dxa"/>
              <w:right w:w="12" w:type="dxa"/>
            </w:tcMar>
            <w:vAlign w:val="center"/>
          </w:tcPr>
          <w:p w14:paraId="35AEC6E5">
            <w:pPr>
              <w:pStyle w:val="19"/>
              <w:jc w:val="center"/>
              <w:rPr>
                <w:rFonts w:hint="eastAsia" w:ascii="宋体" w:hAnsi="宋体" w:cs="宋体"/>
                <w:b/>
                <w:bCs/>
                <w:sz w:val="18"/>
                <w:szCs w:val="18"/>
              </w:rPr>
            </w:pPr>
            <w:r>
              <w:rPr>
                <w:rFonts w:hint="eastAsia" w:ascii="宋体" w:hAnsi="宋体" w:cs="宋体"/>
                <w:b/>
                <w:bCs/>
                <w:sz w:val="18"/>
                <w:szCs w:val="18"/>
              </w:rPr>
              <w:t>评价内容</w:t>
            </w:r>
          </w:p>
        </w:tc>
        <w:tc>
          <w:tcPr>
            <w:tcW w:w="720" w:type="dxa"/>
            <w:tcBorders>
              <w:left w:val="single" w:color="000000" w:sz="4" w:space="0"/>
              <w:bottom w:val="single" w:color="000000" w:sz="4" w:space="0"/>
              <w:right w:val="single" w:color="000000" w:sz="4" w:space="0"/>
            </w:tcBorders>
            <w:tcMar>
              <w:top w:w="12" w:type="dxa"/>
              <w:left w:w="12" w:type="dxa"/>
              <w:right w:w="12" w:type="dxa"/>
            </w:tcMar>
            <w:vAlign w:val="center"/>
          </w:tcPr>
          <w:p w14:paraId="0D110FBE">
            <w:pPr>
              <w:pStyle w:val="19"/>
              <w:jc w:val="center"/>
              <w:rPr>
                <w:rFonts w:hint="eastAsia" w:ascii="宋体" w:hAnsi="宋体" w:cs="宋体"/>
                <w:b/>
                <w:bCs/>
                <w:sz w:val="18"/>
                <w:szCs w:val="18"/>
              </w:rPr>
            </w:pPr>
            <w:r>
              <w:rPr>
                <w:rFonts w:hint="eastAsia" w:ascii="宋体" w:hAnsi="宋体" w:cs="宋体"/>
                <w:b/>
                <w:bCs/>
                <w:sz w:val="18"/>
                <w:szCs w:val="18"/>
              </w:rPr>
              <w:t>考评</w:t>
            </w:r>
          </w:p>
          <w:p w14:paraId="6295A99D">
            <w:pPr>
              <w:pStyle w:val="19"/>
              <w:jc w:val="center"/>
              <w:rPr>
                <w:rFonts w:hint="eastAsia" w:ascii="宋体" w:hAnsi="宋体" w:cs="宋体"/>
                <w:b/>
                <w:bCs/>
                <w:sz w:val="18"/>
                <w:szCs w:val="18"/>
              </w:rPr>
            </w:pPr>
            <w:r>
              <w:rPr>
                <w:rFonts w:hint="eastAsia" w:ascii="宋体" w:hAnsi="宋体" w:cs="宋体"/>
                <w:b/>
                <w:bCs/>
                <w:sz w:val="18"/>
                <w:szCs w:val="18"/>
              </w:rPr>
              <w:t>得分</w:t>
            </w:r>
          </w:p>
        </w:tc>
        <w:tc>
          <w:tcPr>
            <w:tcW w:w="687" w:type="dxa"/>
            <w:tcBorders>
              <w:left w:val="single" w:color="000000" w:sz="4" w:space="0"/>
              <w:bottom w:val="single" w:color="000000" w:sz="4" w:space="0"/>
            </w:tcBorders>
            <w:tcMar>
              <w:top w:w="12" w:type="dxa"/>
              <w:left w:w="12" w:type="dxa"/>
              <w:right w:w="12" w:type="dxa"/>
            </w:tcMar>
            <w:vAlign w:val="center"/>
          </w:tcPr>
          <w:p w14:paraId="2298D1B7">
            <w:pPr>
              <w:pStyle w:val="19"/>
              <w:jc w:val="center"/>
              <w:rPr>
                <w:rFonts w:hint="eastAsia" w:ascii="宋体" w:hAnsi="宋体" w:cs="宋体"/>
                <w:b/>
                <w:bCs/>
                <w:sz w:val="18"/>
                <w:szCs w:val="18"/>
              </w:rPr>
            </w:pPr>
            <w:r>
              <w:rPr>
                <w:rFonts w:hint="eastAsia" w:ascii="宋体" w:hAnsi="宋体" w:cs="宋体"/>
                <w:b/>
                <w:bCs/>
                <w:sz w:val="18"/>
                <w:szCs w:val="18"/>
              </w:rPr>
              <w:t>备注</w:t>
            </w:r>
          </w:p>
        </w:tc>
      </w:tr>
      <w:tr w14:paraId="4B7054A0">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699" w:hRule="atLeast"/>
          <w:jc w:val="center"/>
        </w:trPr>
        <w:tc>
          <w:tcPr>
            <w:tcW w:w="411" w:type="dxa"/>
            <w:vMerge w:val="restart"/>
            <w:tcBorders>
              <w:top w:val="single" w:color="000000" w:sz="4" w:space="0"/>
              <w:bottom w:val="single" w:color="000000" w:sz="4" w:space="0"/>
              <w:right w:val="single" w:color="000000" w:sz="4" w:space="0"/>
            </w:tcBorders>
            <w:tcMar>
              <w:top w:w="12" w:type="dxa"/>
              <w:left w:w="12" w:type="dxa"/>
              <w:right w:w="12" w:type="dxa"/>
            </w:tcMar>
            <w:vAlign w:val="center"/>
          </w:tcPr>
          <w:p w14:paraId="5B73A479">
            <w:pPr>
              <w:pStyle w:val="19"/>
              <w:ind w:left="-630" w:leftChars="-300"/>
              <w:jc w:val="center"/>
              <w:rPr>
                <w:rFonts w:hint="eastAsia" w:ascii="宋体" w:hAnsi="宋体" w:cs="宋体"/>
                <w:sz w:val="18"/>
                <w:szCs w:val="18"/>
              </w:rPr>
            </w:pPr>
            <w:r>
              <w:rPr>
                <w:rFonts w:hint="eastAsia" w:ascii="宋体" w:hAnsi="宋体" w:cs="宋体"/>
                <w:sz w:val="18"/>
                <w:szCs w:val="18"/>
              </w:rPr>
              <w:t>一</w:t>
            </w:r>
          </w:p>
        </w:tc>
        <w:tc>
          <w:tcPr>
            <w:tcW w:w="77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799902">
            <w:pPr>
              <w:pStyle w:val="19"/>
              <w:jc w:val="center"/>
              <w:rPr>
                <w:rFonts w:hint="eastAsia" w:ascii="宋体" w:hAnsi="宋体" w:cs="宋体"/>
                <w:sz w:val="18"/>
                <w:szCs w:val="18"/>
              </w:rPr>
            </w:pPr>
            <w:r>
              <w:rPr>
                <w:rFonts w:hint="eastAsia" w:ascii="宋体" w:hAnsi="宋体" w:cs="宋体"/>
                <w:sz w:val="18"/>
                <w:szCs w:val="18"/>
              </w:rPr>
              <w:t>管理类指标（100分，占比80%）</w:t>
            </w:r>
          </w:p>
        </w:tc>
        <w:tc>
          <w:tcPr>
            <w:tcW w:w="4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EFE6E0">
            <w:pPr>
              <w:pStyle w:val="19"/>
              <w:jc w:val="center"/>
              <w:rPr>
                <w:rFonts w:hint="eastAsia" w:ascii="宋体" w:hAnsi="宋体" w:cs="宋体"/>
                <w:sz w:val="18"/>
                <w:szCs w:val="18"/>
              </w:rPr>
            </w:pPr>
            <w:r>
              <w:rPr>
                <w:rFonts w:hint="eastAsia" w:ascii="宋体" w:hAnsi="宋体" w:cs="宋体"/>
                <w:sz w:val="18"/>
                <w:szCs w:val="18"/>
              </w:rPr>
              <w:t>清洁</w:t>
            </w:r>
          </w:p>
          <w:p w14:paraId="2378F0AD">
            <w:pPr>
              <w:pStyle w:val="19"/>
              <w:jc w:val="center"/>
              <w:rPr>
                <w:rFonts w:hint="eastAsia" w:ascii="宋体" w:hAnsi="宋体" w:cs="宋体"/>
                <w:sz w:val="18"/>
                <w:szCs w:val="18"/>
              </w:rPr>
            </w:pPr>
            <w:r>
              <w:rPr>
                <w:rFonts w:hint="eastAsia" w:ascii="宋体" w:hAnsi="宋体" w:cs="宋体"/>
                <w:sz w:val="18"/>
                <w:szCs w:val="18"/>
              </w:rPr>
              <w:t>保洁</w:t>
            </w:r>
          </w:p>
        </w:tc>
        <w:tc>
          <w:tcPr>
            <w:tcW w:w="5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B5D365">
            <w:pPr>
              <w:pStyle w:val="19"/>
              <w:jc w:val="center"/>
              <w:rPr>
                <w:rFonts w:hint="eastAsia" w:ascii="宋体" w:hAnsi="宋体" w:cs="宋体"/>
                <w:sz w:val="18"/>
                <w:szCs w:val="18"/>
              </w:rPr>
            </w:pPr>
            <w:r>
              <w:rPr>
                <w:rFonts w:hint="eastAsia" w:ascii="宋体" w:hAnsi="宋体" w:cs="宋体"/>
                <w:sz w:val="18"/>
                <w:szCs w:val="18"/>
              </w:rPr>
              <w:t>40</w:t>
            </w:r>
          </w:p>
        </w:tc>
        <w:tc>
          <w:tcPr>
            <w:tcW w:w="50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7BAC85">
            <w:pPr>
              <w:pStyle w:val="19"/>
              <w:jc w:val="left"/>
              <w:rPr>
                <w:rFonts w:hint="eastAsia" w:ascii="宋体" w:hAnsi="宋体" w:cs="宋体"/>
                <w:sz w:val="18"/>
                <w:szCs w:val="18"/>
              </w:rPr>
            </w:pPr>
            <w:r>
              <w:rPr>
                <w:rFonts w:hint="eastAsia" w:ascii="宋体" w:hAnsi="宋体" w:cs="宋体"/>
                <w:sz w:val="18"/>
                <w:szCs w:val="18"/>
              </w:rPr>
              <w:t>地面无瓜果皮壳、大片纸屑等杂物，无积水、无大面积污渍、口香糖胶，烟头及相应大小的杂物。每发现一处不符合要求，扣0.1分。</w:t>
            </w:r>
          </w:p>
          <w:p w14:paraId="0E965AA3">
            <w:pPr>
              <w:pStyle w:val="19"/>
              <w:jc w:val="left"/>
              <w:rPr>
                <w:rFonts w:hint="eastAsia" w:ascii="宋体" w:hAnsi="宋体" w:cs="宋体"/>
                <w:sz w:val="18"/>
                <w:szCs w:val="18"/>
              </w:rPr>
            </w:pPr>
            <w:r>
              <w:rPr>
                <w:rFonts w:hint="eastAsia" w:ascii="宋体" w:hAnsi="宋体" w:cs="宋体"/>
                <w:sz w:val="18"/>
                <w:szCs w:val="18"/>
              </w:rPr>
              <w:t>桶内垃圾及时清理，外表无污迹、无锈迹、粘附物。每发现一处，扣0.1分。</w:t>
            </w:r>
          </w:p>
          <w:p w14:paraId="391FDD68">
            <w:pPr>
              <w:pStyle w:val="19"/>
              <w:jc w:val="left"/>
              <w:rPr>
                <w:rFonts w:hint="eastAsia" w:ascii="宋体" w:hAnsi="宋体" w:cs="宋体"/>
                <w:sz w:val="18"/>
                <w:szCs w:val="18"/>
              </w:rPr>
            </w:pPr>
            <w:r>
              <w:rPr>
                <w:rFonts w:hint="eastAsia" w:ascii="宋体" w:hAnsi="宋体" w:cs="宋体"/>
                <w:sz w:val="18"/>
                <w:szCs w:val="18"/>
              </w:rPr>
              <w:t>标识牌无乱张贴，目视表面无明显灰尘，无污迹、无粘附物、无破损标识。每发现一处不符合要求，扣0.1分。</w:t>
            </w:r>
          </w:p>
          <w:p w14:paraId="167DAF7B">
            <w:pPr>
              <w:pStyle w:val="19"/>
              <w:jc w:val="left"/>
              <w:rPr>
                <w:rFonts w:hint="eastAsia" w:ascii="宋体" w:hAnsi="宋体" w:cs="宋体"/>
                <w:sz w:val="18"/>
                <w:szCs w:val="18"/>
              </w:rPr>
            </w:pPr>
            <w:r>
              <w:rPr>
                <w:rFonts w:hint="eastAsia" w:ascii="宋体" w:hAnsi="宋体" w:cs="宋体"/>
                <w:sz w:val="18"/>
                <w:szCs w:val="18"/>
              </w:rPr>
              <w:t>休闲座椅保持干净。每发现一处不符合要求，扣0.1分。</w:t>
            </w:r>
          </w:p>
          <w:p w14:paraId="6EC1CD35">
            <w:pPr>
              <w:pStyle w:val="19"/>
              <w:jc w:val="left"/>
              <w:rPr>
                <w:rFonts w:hint="eastAsia" w:ascii="宋体" w:hAnsi="宋体" w:cs="宋体"/>
                <w:sz w:val="18"/>
                <w:szCs w:val="18"/>
              </w:rPr>
            </w:pPr>
            <w:r>
              <w:rPr>
                <w:rFonts w:hint="eastAsia" w:ascii="宋体" w:hAnsi="宋体" w:cs="宋体"/>
                <w:sz w:val="18"/>
                <w:szCs w:val="18"/>
              </w:rPr>
              <w:t>玻璃上无粘附物、无积尘、无手指印、保持干净。每发现一处不符合要求，扣0.1分。</w:t>
            </w:r>
          </w:p>
          <w:p w14:paraId="1BEA6E0E">
            <w:pPr>
              <w:pStyle w:val="19"/>
              <w:jc w:val="left"/>
              <w:rPr>
                <w:rFonts w:hint="eastAsia" w:ascii="宋体" w:hAnsi="宋体" w:cs="宋体"/>
                <w:sz w:val="18"/>
                <w:szCs w:val="18"/>
              </w:rPr>
            </w:pPr>
            <w:r>
              <w:rPr>
                <w:rFonts w:hint="eastAsia" w:ascii="宋体" w:hAnsi="宋体" w:cs="宋体"/>
                <w:sz w:val="18"/>
                <w:szCs w:val="18"/>
              </w:rPr>
              <w:t>玻璃门、门把手无污渍、光亮透明，门把手光亮、无污渍。每发现一处不符合要求，扣0.1分。</w:t>
            </w:r>
          </w:p>
          <w:p w14:paraId="0B8CD60C">
            <w:pPr>
              <w:pStyle w:val="19"/>
              <w:jc w:val="left"/>
              <w:rPr>
                <w:rFonts w:hint="eastAsia" w:ascii="宋体" w:hAnsi="宋体" w:cs="宋体"/>
                <w:sz w:val="18"/>
                <w:szCs w:val="18"/>
              </w:rPr>
            </w:pPr>
            <w:r>
              <w:rPr>
                <w:rFonts w:hint="eastAsia" w:ascii="宋体" w:hAnsi="宋体" w:cs="宋体"/>
                <w:sz w:val="18"/>
                <w:szCs w:val="18"/>
              </w:rPr>
              <w:t>墙面无乱张贴物、无污渍、无胶迹、无蜘蛛网，铝单板结合处无积灰。每发现一处不符合要求，扣0.1分。</w:t>
            </w:r>
          </w:p>
          <w:p w14:paraId="34FC3E5C">
            <w:pPr>
              <w:pStyle w:val="19"/>
              <w:jc w:val="left"/>
              <w:rPr>
                <w:rFonts w:hint="eastAsia" w:ascii="宋体" w:hAnsi="宋体" w:cs="宋体"/>
                <w:sz w:val="18"/>
                <w:szCs w:val="18"/>
              </w:rPr>
            </w:pPr>
            <w:r>
              <w:rPr>
                <w:rFonts w:hint="eastAsia" w:ascii="宋体" w:hAnsi="宋体" w:cs="宋体"/>
                <w:sz w:val="18"/>
                <w:szCs w:val="18"/>
              </w:rPr>
              <w:t>大小便池内干净，无干便尿垢、无异味；污物及手纸无外溢，纸篓内外要保持干净，纸篓内垃圾不超过2/3。每发现一处不符合要求，扣0.1分。</w:t>
            </w:r>
          </w:p>
          <w:p w14:paraId="4BF12B82">
            <w:pPr>
              <w:pStyle w:val="19"/>
              <w:jc w:val="left"/>
              <w:rPr>
                <w:rFonts w:hint="eastAsia" w:ascii="宋体" w:hAnsi="宋体" w:cs="宋体"/>
                <w:sz w:val="18"/>
                <w:szCs w:val="18"/>
              </w:rPr>
            </w:pPr>
            <w:r>
              <w:rPr>
                <w:rFonts w:hint="eastAsia" w:ascii="宋体" w:hAnsi="宋体" w:cs="宋体"/>
                <w:sz w:val="18"/>
                <w:szCs w:val="18"/>
              </w:rPr>
              <w:t>水龙头无水渍、光亮；洗手池无污渍、釉面光亮；台面无杂物。每发现一处不符合要求，扣0.1分。</w:t>
            </w:r>
          </w:p>
          <w:p w14:paraId="7E1EFD21">
            <w:pPr>
              <w:pStyle w:val="19"/>
              <w:jc w:val="left"/>
              <w:rPr>
                <w:rFonts w:hint="eastAsia" w:ascii="宋体" w:hAnsi="宋体" w:cs="宋体"/>
                <w:sz w:val="18"/>
                <w:szCs w:val="18"/>
              </w:rPr>
            </w:pPr>
            <w:r>
              <w:rPr>
                <w:rFonts w:hint="eastAsia" w:ascii="宋体" w:hAnsi="宋体" w:cs="宋体"/>
                <w:sz w:val="18"/>
                <w:szCs w:val="18"/>
              </w:rPr>
              <w:t>电梯门、轿厢墙面、按键面板无污迹、保持光洁度。每发现一处不符合要求，扣0.1分。</w:t>
            </w:r>
          </w:p>
          <w:p w14:paraId="05E1D234">
            <w:pPr>
              <w:pStyle w:val="19"/>
              <w:jc w:val="left"/>
              <w:rPr>
                <w:rFonts w:hint="eastAsia" w:ascii="宋体" w:hAnsi="宋体" w:cs="宋体"/>
                <w:sz w:val="18"/>
                <w:szCs w:val="18"/>
              </w:rPr>
            </w:pPr>
            <w:r>
              <w:rPr>
                <w:rFonts w:hint="eastAsia" w:ascii="宋体" w:hAnsi="宋体" w:cs="宋体"/>
                <w:sz w:val="18"/>
                <w:szCs w:val="18"/>
              </w:rPr>
              <w:t>扶手无污渍痰迹；无胶剂、光亮透明；白沿无杂物、无保洁死角。每发现一处不符合要求，扣0.1分。</w:t>
            </w:r>
          </w:p>
          <w:p w14:paraId="4349C811">
            <w:pPr>
              <w:pStyle w:val="19"/>
              <w:jc w:val="left"/>
              <w:rPr>
                <w:rFonts w:hint="eastAsia" w:ascii="宋体" w:hAnsi="宋体" w:cs="宋体"/>
                <w:sz w:val="18"/>
                <w:szCs w:val="18"/>
              </w:rPr>
            </w:pPr>
            <w:r>
              <w:rPr>
                <w:rFonts w:hint="eastAsia" w:ascii="宋体" w:hAnsi="宋体" w:cs="宋体"/>
                <w:sz w:val="18"/>
                <w:szCs w:val="18"/>
              </w:rPr>
              <w:t>按规范流程和质量标准打扫公共区域时发现设施设备的故障和损坏及时报修。每发现一处不符合要求，扣0.1分。</w:t>
            </w:r>
          </w:p>
        </w:tc>
        <w:tc>
          <w:tcPr>
            <w:tcW w:w="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8D1057">
            <w:pPr>
              <w:pStyle w:val="19"/>
              <w:jc w:val="center"/>
              <w:rPr>
                <w:rFonts w:hint="eastAsia" w:ascii="宋体" w:hAnsi="宋体" w:cs="宋体"/>
                <w:sz w:val="18"/>
                <w:szCs w:val="18"/>
              </w:rPr>
            </w:pPr>
          </w:p>
        </w:tc>
        <w:tc>
          <w:tcPr>
            <w:tcW w:w="687" w:type="dxa"/>
            <w:tcBorders>
              <w:top w:val="single" w:color="000000" w:sz="4" w:space="0"/>
              <w:left w:val="single" w:color="000000" w:sz="4" w:space="0"/>
              <w:bottom w:val="single" w:color="000000" w:sz="4" w:space="0"/>
            </w:tcBorders>
            <w:tcMar>
              <w:top w:w="12" w:type="dxa"/>
              <w:left w:w="12" w:type="dxa"/>
              <w:right w:w="12" w:type="dxa"/>
            </w:tcMar>
            <w:vAlign w:val="center"/>
          </w:tcPr>
          <w:p w14:paraId="3EB89D1E">
            <w:pPr>
              <w:pStyle w:val="19"/>
              <w:jc w:val="center"/>
              <w:rPr>
                <w:rFonts w:hint="eastAsia" w:ascii="宋体" w:hAnsi="宋体" w:cs="宋体"/>
                <w:sz w:val="18"/>
                <w:szCs w:val="18"/>
              </w:rPr>
            </w:pPr>
          </w:p>
        </w:tc>
      </w:tr>
      <w:tr w14:paraId="1CBBB23D">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517" w:hRule="atLeast"/>
          <w:jc w:val="center"/>
        </w:trPr>
        <w:tc>
          <w:tcPr>
            <w:tcW w:w="411" w:type="dxa"/>
            <w:vMerge w:val="continue"/>
            <w:tcBorders>
              <w:top w:val="single" w:color="000000" w:sz="4" w:space="0"/>
              <w:bottom w:val="single" w:color="000000" w:sz="4" w:space="0"/>
              <w:right w:val="single" w:color="000000" w:sz="4" w:space="0"/>
            </w:tcBorders>
            <w:tcMar>
              <w:top w:w="12" w:type="dxa"/>
              <w:left w:w="12" w:type="dxa"/>
              <w:right w:w="12" w:type="dxa"/>
            </w:tcMar>
            <w:vAlign w:val="center"/>
          </w:tcPr>
          <w:p w14:paraId="2F6B636E">
            <w:pPr>
              <w:pStyle w:val="19"/>
              <w:jc w:val="center"/>
              <w:rPr>
                <w:rFonts w:hint="eastAsia" w:ascii="宋体" w:hAnsi="宋体" w:cs="宋体"/>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D23C9E">
            <w:pPr>
              <w:pStyle w:val="19"/>
              <w:jc w:val="center"/>
              <w:rPr>
                <w:rFonts w:hint="eastAsia" w:ascii="宋体" w:hAnsi="宋体" w:cs="宋体"/>
                <w:sz w:val="18"/>
                <w:szCs w:val="18"/>
              </w:rPr>
            </w:pPr>
          </w:p>
        </w:tc>
        <w:tc>
          <w:tcPr>
            <w:tcW w:w="4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6C4215">
            <w:pPr>
              <w:pStyle w:val="19"/>
              <w:jc w:val="center"/>
              <w:rPr>
                <w:rFonts w:hint="eastAsia" w:ascii="宋体" w:hAnsi="宋体" w:cs="宋体"/>
                <w:sz w:val="18"/>
                <w:szCs w:val="18"/>
              </w:rPr>
            </w:pPr>
            <w:r>
              <w:rPr>
                <w:rFonts w:hint="eastAsia" w:ascii="宋体" w:hAnsi="宋体" w:cs="宋体"/>
                <w:sz w:val="18"/>
                <w:szCs w:val="18"/>
              </w:rPr>
              <w:t>门卫巡逻安全保卫</w:t>
            </w:r>
          </w:p>
        </w:tc>
        <w:tc>
          <w:tcPr>
            <w:tcW w:w="5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2FDA73">
            <w:pPr>
              <w:pStyle w:val="19"/>
              <w:jc w:val="center"/>
              <w:rPr>
                <w:rFonts w:hint="eastAsia" w:ascii="宋体" w:hAnsi="宋体" w:cs="宋体"/>
                <w:sz w:val="18"/>
                <w:szCs w:val="18"/>
              </w:rPr>
            </w:pPr>
            <w:r>
              <w:rPr>
                <w:rFonts w:hint="eastAsia" w:ascii="宋体" w:hAnsi="宋体" w:cs="宋体"/>
                <w:sz w:val="18"/>
                <w:szCs w:val="18"/>
              </w:rPr>
              <w:t>40</w:t>
            </w:r>
          </w:p>
        </w:tc>
        <w:tc>
          <w:tcPr>
            <w:tcW w:w="5036" w:type="dxa"/>
            <w:tcBorders>
              <w:top w:val="single" w:color="000000" w:sz="4" w:space="0"/>
              <w:left w:val="single" w:color="000000" w:sz="4" w:space="0"/>
              <w:right w:val="single" w:color="000000" w:sz="4" w:space="0"/>
            </w:tcBorders>
            <w:tcMar>
              <w:top w:w="12" w:type="dxa"/>
              <w:left w:w="12" w:type="dxa"/>
              <w:right w:w="12" w:type="dxa"/>
            </w:tcMar>
            <w:vAlign w:val="center"/>
          </w:tcPr>
          <w:p w14:paraId="1FDC37CF">
            <w:pPr>
              <w:pStyle w:val="19"/>
              <w:jc w:val="left"/>
              <w:rPr>
                <w:rFonts w:hint="eastAsia" w:ascii="宋体" w:hAnsi="宋体" w:cs="宋体"/>
                <w:sz w:val="18"/>
                <w:szCs w:val="18"/>
              </w:rPr>
            </w:pPr>
            <w:r>
              <w:rPr>
                <w:rFonts w:hint="eastAsia" w:ascii="宋体" w:hAnsi="宋体" w:cs="宋体"/>
                <w:sz w:val="18"/>
                <w:szCs w:val="18"/>
              </w:rPr>
              <w:t>保安仪表：仪表仪容、着装符合公司要求，必须佩戴工作标牌。每发现一起不符合要求，扣0.1分。</w:t>
            </w:r>
          </w:p>
          <w:p w14:paraId="5E55C55B">
            <w:pPr>
              <w:pStyle w:val="19"/>
              <w:jc w:val="left"/>
              <w:rPr>
                <w:rFonts w:hint="eastAsia" w:ascii="宋体" w:hAnsi="宋体" w:cs="宋体"/>
                <w:sz w:val="18"/>
                <w:szCs w:val="18"/>
              </w:rPr>
            </w:pPr>
            <w:r>
              <w:rPr>
                <w:rFonts w:hint="eastAsia" w:ascii="宋体" w:hAnsi="宋体" w:cs="宋体"/>
                <w:sz w:val="18"/>
                <w:szCs w:val="18"/>
              </w:rPr>
              <w:t>巡视管道井房、风机房，电梯机房等门是否关闭等，防止人为损坏设备、藏匿物品。每发现一起未关闭的，扣0.1分。</w:t>
            </w:r>
          </w:p>
          <w:p w14:paraId="1B812700">
            <w:pPr>
              <w:pStyle w:val="19"/>
              <w:jc w:val="left"/>
              <w:rPr>
                <w:rFonts w:hint="eastAsia" w:ascii="宋体" w:hAnsi="宋体" w:cs="宋体"/>
                <w:sz w:val="18"/>
                <w:szCs w:val="18"/>
              </w:rPr>
            </w:pPr>
            <w:r>
              <w:rPr>
                <w:rFonts w:hint="eastAsia" w:ascii="宋体" w:hAnsi="宋体" w:cs="宋体"/>
                <w:sz w:val="18"/>
                <w:szCs w:val="18"/>
              </w:rPr>
              <w:t>阻止未经许可人员进行推销、派发传单广告或从事其他骚扰性活动。每发现一起不符合要求，扣0.1分。</w:t>
            </w:r>
          </w:p>
          <w:p w14:paraId="44C1F6E7">
            <w:pPr>
              <w:pStyle w:val="19"/>
              <w:jc w:val="left"/>
              <w:rPr>
                <w:rFonts w:hint="eastAsia" w:ascii="宋体" w:hAnsi="宋体" w:cs="宋体"/>
                <w:sz w:val="18"/>
                <w:szCs w:val="18"/>
              </w:rPr>
            </w:pPr>
            <w:r>
              <w:rPr>
                <w:rFonts w:hint="eastAsia" w:ascii="宋体" w:hAnsi="宋体" w:cs="宋体"/>
                <w:sz w:val="18"/>
                <w:szCs w:val="18"/>
              </w:rPr>
              <w:t>巡逻中发现可疑人员时应予以询问并记录及时报告监控中心跟进，必要时报警。每发现一起不符合要求，扣0.1分。</w:t>
            </w:r>
          </w:p>
          <w:p w14:paraId="6029D5D5">
            <w:pPr>
              <w:pStyle w:val="19"/>
              <w:jc w:val="left"/>
              <w:rPr>
                <w:rFonts w:hint="eastAsia" w:ascii="宋体" w:hAnsi="宋体" w:cs="宋体"/>
                <w:sz w:val="18"/>
                <w:szCs w:val="18"/>
              </w:rPr>
            </w:pPr>
            <w:r>
              <w:rPr>
                <w:rFonts w:hint="eastAsia" w:ascii="宋体" w:hAnsi="宋体" w:cs="宋体"/>
                <w:sz w:val="18"/>
                <w:szCs w:val="18"/>
              </w:rPr>
              <w:t>巡逻时，如接获投诉，应引领至人员较少处仔细倾听，并做好记录，可以解决的当场解决，不能立即答复的立即汇报领班处理，要给投诉人回应确切答复的时间。每发现一起不符合要求，扣0.1分。</w:t>
            </w:r>
          </w:p>
          <w:p w14:paraId="3FFD2505">
            <w:pPr>
              <w:pStyle w:val="19"/>
              <w:jc w:val="left"/>
              <w:rPr>
                <w:rFonts w:hint="eastAsia" w:ascii="宋体" w:hAnsi="宋体" w:cs="宋体"/>
                <w:sz w:val="18"/>
                <w:szCs w:val="18"/>
              </w:rPr>
            </w:pPr>
            <w:r>
              <w:rPr>
                <w:rFonts w:hint="eastAsia" w:ascii="宋体" w:hAnsi="宋体" w:cs="宋体"/>
                <w:sz w:val="18"/>
                <w:szCs w:val="18"/>
              </w:rPr>
              <w:t>留意设施设备运行情况，如发现设施设备损坏，应及时记录视情况报修。未按维保手册及时报修的，每发生一起扣0.1分。</w:t>
            </w:r>
          </w:p>
          <w:p w14:paraId="6D820615">
            <w:pPr>
              <w:pStyle w:val="19"/>
              <w:jc w:val="left"/>
              <w:rPr>
                <w:rFonts w:hint="eastAsia" w:ascii="宋体" w:hAnsi="宋体" w:cs="宋体"/>
                <w:sz w:val="18"/>
                <w:szCs w:val="18"/>
              </w:rPr>
            </w:pPr>
            <w:r>
              <w:rPr>
                <w:rFonts w:hint="eastAsia" w:ascii="宋体" w:hAnsi="宋体" w:cs="宋体"/>
                <w:sz w:val="18"/>
                <w:szCs w:val="18"/>
              </w:rPr>
              <w:t>巡视各通道、区域的灯光是否开启正常，并做好记录。每发现一起不符合要求，扣0.1分。</w:t>
            </w:r>
          </w:p>
          <w:p w14:paraId="30304898">
            <w:pPr>
              <w:pStyle w:val="19"/>
              <w:jc w:val="left"/>
              <w:rPr>
                <w:rFonts w:hint="eastAsia" w:ascii="宋体" w:hAnsi="宋体" w:cs="宋体"/>
                <w:sz w:val="18"/>
                <w:szCs w:val="18"/>
              </w:rPr>
            </w:pPr>
            <w:r>
              <w:rPr>
                <w:rFonts w:hint="eastAsia" w:ascii="宋体" w:hAnsi="宋体" w:cs="宋体"/>
                <w:sz w:val="18"/>
                <w:szCs w:val="18"/>
              </w:rPr>
              <w:t>在遇到异常情况和紧急求助时，第一时间到达现场，并采取必要措施。未按应急预案要求执行，每次扣0.3分。</w:t>
            </w:r>
          </w:p>
        </w:tc>
        <w:tc>
          <w:tcPr>
            <w:tcW w:w="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5DB786">
            <w:pPr>
              <w:pStyle w:val="19"/>
              <w:jc w:val="center"/>
              <w:rPr>
                <w:rFonts w:hint="eastAsia" w:ascii="宋体" w:hAnsi="宋体" w:cs="宋体"/>
                <w:sz w:val="18"/>
                <w:szCs w:val="18"/>
              </w:rPr>
            </w:pPr>
          </w:p>
        </w:tc>
        <w:tc>
          <w:tcPr>
            <w:tcW w:w="687" w:type="dxa"/>
            <w:tcBorders>
              <w:top w:val="single" w:color="000000" w:sz="4" w:space="0"/>
              <w:left w:val="single" w:color="000000" w:sz="4" w:space="0"/>
              <w:bottom w:val="single" w:color="000000" w:sz="4" w:space="0"/>
            </w:tcBorders>
            <w:tcMar>
              <w:top w:w="12" w:type="dxa"/>
              <w:left w:w="12" w:type="dxa"/>
              <w:right w:w="12" w:type="dxa"/>
            </w:tcMar>
            <w:vAlign w:val="center"/>
          </w:tcPr>
          <w:p w14:paraId="71567461">
            <w:pPr>
              <w:pStyle w:val="19"/>
              <w:jc w:val="center"/>
              <w:rPr>
                <w:rFonts w:hint="eastAsia" w:ascii="宋体" w:hAnsi="宋体" w:cs="宋体"/>
                <w:sz w:val="18"/>
                <w:szCs w:val="18"/>
              </w:rPr>
            </w:pPr>
          </w:p>
        </w:tc>
      </w:tr>
      <w:tr w14:paraId="640E93BB">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67" w:hRule="atLeast"/>
          <w:jc w:val="center"/>
        </w:trPr>
        <w:tc>
          <w:tcPr>
            <w:tcW w:w="411" w:type="dxa"/>
            <w:vMerge w:val="continue"/>
            <w:tcBorders>
              <w:top w:val="single" w:color="000000" w:sz="4" w:space="0"/>
              <w:bottom w:val="single" w:color="000000" w:sz="4" w:space="0"/>
              <w:right w:val="single" w:color="000000" w:sz="4" w:space="0"/>
            </w:tcBorders>
            <w:tcMar>
              <w:top w:w="12" w:type="dxa"/>
              <w:left w:w="12" w:type="dxa"/>
              <w:right w:w="12" w:type="dxa"/>
            </w:tcMar>
            <w:vAlign w:val="center"/>
          </w:tcPr>
          <w:p w14:paraId="67B19185">
            <w:pPr>
              <w:pStyle w:val="19"/>
              <w:jc w:val="center"/>
              <w:rPr>
                <w:rFonts w:hint="eastAsia" w:ascii="宋体" w:hAnsi="宋体" w:cs="宋体"/>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288079">
            <w:pPr>
              <w:pStyle w:val="19"/>
              <w:jc w:val="center"/>
              <w:rPr>
                <w:rFonts w:hint="eastAsia" w:ascii="宋体" w:hAnsi="宋体" w:cs="宋体"/>
                <w:sz w:val="18"/>
                <w:szCs w:val="18"/>
              </w:rPr>
            </w:pPr>
          </w:p>
        </w:tc>
        <w:tc>
          <w:tcPr>
            <w:tcW w:w="463" w:type="dxa"/>
            <w:tcBorders>
              <w:top w:val="single" w:color="000000" w:sz="4" w:space="0"/>
              <w:left w:val="single" w:color="000000" w:sz="4" w:space="0"/>
              <w:right w:val="single" w:color="000000" w:sz="4" w:space="0"/>
            </w:tcBorders>
            <w:tcMar>
              <w:top w:w="12" w:type="dxa"/>
              <w:left w:w="12" w:type="dxa"/>
              <w:right w:w="12" w:type="dxa"/>
            </w:tcMar>
            <w:vAlign w:val="center"/>
          </w:tcPr>
          <w:p w14:paraId="06D55DAE">
            <w:pPr>
              <w:pStyle w:val="19"/>
              <w:jc w:val="center"/>
              <w:rPr>
                <w:rFonts w:hint="eastAsia" w:ascii="宋体" w:hAnsi="宋体" w:cs="宋体"/>
                <w:sz w:val="18"/>
                <w:szCs w:val="18"/>
              </w:rPr>
            </w:pPr>
            <w:r>
              <w:rPr>
                <w:rFonts w:hint="eastAsia" w:ascii="宋体" w:hAnsi="宋体" w:cs="宋体"/>
                <w:sz w:val="18"/>
                <w:szCs w:val="18"/>
              </w:rPr>
              <w:t>综合服务</w:t>
            </w:r>
          </w:p>
        </w:tc>
        <w:tc>
          <w:tcPr>
            <w:tcW w:w="513" w:type="dxa"/>
            <w:tcBorders>
              <w:top w:val="single" w:color="000000" w:sz="4" w:space="0"/>
              <w:left w:val="single" w:color="000000" w:sz="4" w:space="0"/>
              <w:right w:val="single" w:color="000000" w:sz="4" w:space="0"/>
            </w:tcBorders>
            <w:tcMar>
              <w:top w:w="12" w:type="dxa"/>
              <w:left w:w="12" w:type="dxa"/>
              <w:right w:w="12" w:type="dxa"/>
            </w:tcMar>
            <w:vAlign w:val="center"/>
          </w:tcPr>
          <w:p w14:paraId="427786C5">
            <w:pPr>
              <w:pStyle w:val="19"/>
              <w:jc w:val="center"/>
              <w:rPr>
                <w:rFonts w:hint="eastAsia" w:ascii="宋体" w:hAnsi="宋体" w:cs="宋体"/>
                <w:sz w:val="18"/>
                <w:szCs w:val="18"/>
              </w:rPr>
            </w:pPr>
            <w:r>
              <w:rPr>
                <w:rFonts w:hint="eastAsia" w:ascii="宋体" w:hAnsi="宋体" w:cs="宋体"/>
                <w:sz w:val="18"/>
                <w:szCs w:val="18"/>
              </w:rPr>
              <w:t>20</w:t>
            </w:r>
          </w:p>
        </w:tc>
        <w:tc>
          <w:tcPr>
            <w:tcW w:w="5036" w:type="dxa"/>
            <w:tcBorders>
              <w:top w:val="single" w:color="000000" w:sz="4" w:space="0"/>
              <w:left w:val="single" w:color="000000" w:sz="4" w:space="0"/>
              <w:right w:val="single" w:color="000000" w:sz="4" w:space="0"/>
            </w:tcBorders>
            <w:tcMar>
              <w:top w:w="12" w:type="dxa"/>
              <w:left w:w="12" w:type="dxa"/>
              <w:right w:w="12" w:type="dxa"/>
            </w:tcMar>
            <w:vAlign w:val="center"/>
          </w:tcPr>
          <w:p w14:paraId="7E7A13FF">
            <w:pPr>
              <w:pStyle w:val="19"/>
              <w:rPr>
                <w:rFonts w:hint="eastAsia" w:ascii="宋体" w:hAnsi="宋体" w:cs="宋体"/>
                <w:sz w:val="18"/>
                <w:szCs w:val="18"/>
              </w:rPr>
            </w:pPr>
            <w:r>
              <w:rPr>
                <w:rFonts w:hint="eastAsia" w:ascii="宋体" w:hAnsi="宋体" w:cs="宋体"/>
                <w:sz w:val="18"/>
                <w:szCs w:val="18"/>
              </w:rPr>
              <w:t>零星小额维修及时率达100%，接报修后30分钟到现场处理；水、电急修项目当日处理完毕，一般维修任务</w:t>
            </w:r>
            <w:r>
              <w:rPr>
                <w:rFonts w:ascii="宋体" w:hAnsi="宋体" w:cs="宋体"/>
                <w:sz w:val="18"/>
                <w:szCs w:val="18"/>
              </w:rPr>
              <w:t xml:space="preserve"> 3 </w:t>
            </w:r>
            <w:r>
              <w:rPr>
                <w:rFonts w:hint="eastAsia" w:ascii="宋体" w:hAnsi="宋体" w:cs="宋体"/>
                <w:sz w:val="18"/>
                <w:szCs w:val="18"/>
              </w:rPr>
              <w:t>日内处理完毕，未按要求及时维修，每次扣0.2分。</w:t>
            </w:r>
          </w:p>
          <w:p w14:paraId="2C5E1513">
            <w:pPr>
              <w:pStyle w:val="19"/>
              <w:rPr>
                <w:rFonts w:hint="eastAsia" w:ascii="宋体" w:hAnsi="宋体" w:cs="宋体"/>
                <w:sz w:val="18"/>
                <w:szCs w:val="18"/>
              </w:rPr>
            </w:pPr>
            <w:r>
              <w:rPr>
                <w:rFonts w:hint="eastAsia" w:ascii="宋体" w:hAnsi="宋体" w:cs="宋体"/>
                <w:sz w:val="18"/>
                <w:szCs w:val="18"/>
              </w:rPr>
              <w:t>零星小额维修</w:t>
            </w:r>
            <w:r>
              <w:rPr>
                <w:rFonts w:ascii="宋体" w:hAnsi="宋体" w:cs="宋体"/>
                <w:sz w:val="18"/>
                <w:szCs w:val="18"/>
              </w:rPr>
              <w:t>24</w:t>
            </w:r>
            <w:r>
              <w:rPr>
                <w:rFonts w:hint="eastAsia" w:ascii="宋体" w:hAnsi="宋体" w:cs="宋体"/>
                <w:sz w:val="18"/>
                <w:szCs w:val="18"/>
              </w:rPr>
              <w:t>小时内回访，零星小额维修合格率达100%，出现不合格维修，每次扣0.2分。</w:t>
            </w:r>
          </w:p>
          <w:p w14:paraId="305B420F">
            <w:pPr>
              <w:pStyle w:val="19"/>
              <w:rPr>
                <w:rFonts w:hint="eastAsia" w:ascii="宋体" w:hAnsi="宋体" w:cs="宋体"/>
                <w:sz w:val="18"/>
                <w:szCs w:val="18"/>
              </w:rPr>
            </w:pPr>
            <w:r>
              <w:rPr>
                <w:rFonts w:hint="eastAsia" w:ascii="宋体" w:hAnsi="宋体" w:cs="宋体"/>
                <w:sz w:val="18"/>
                <w:szCs w:val="18"/>
              </w:rPr>
              <w:t>在项目内重要会场、接待大厅等关键区域租摆布置绿化植物，未按沟通要求租摆布置，每处扣0.2分。</w:t>
            </w:r>
          </w:p>
          <w:p w14:paraId="38021038">
            <w:pPr>
              <w:pStyle w:val="19"/>
              <w:rPr>
                <w:rFonts w:hint="eastAsia" w:ascii="宋体" w:hAnsi="宋体" w:cs="宋体"/>
                <w:sz w:val="18"/>
                <w:szCs w:val="18"/>
              </w:rPr>
            </w:pPr>
            <w:r>
              <w:rPr>
                <w:rFonts w:hint="eastAsia" w:ascii="宋体" w:hAnsi="宋体" w:cs="宋体"/>
                <w:sz w:val="18"/>
                <w:szCs w:val="18"/>
              </w:rPr>
              <w:t>及时更换长势不良的植物，定期进行浇水及修剪养护，保持植物长势良好，无枯枝枯叶，发现问题植物，每处扣0.2分。</w:t>
            </w:r>
          </w:p>
        </w:tc>
        <w:tc>
          <w:tcPr>
            <w:tcW w:w="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34F4DB">
            <w:pPr>
              <w:pStyle w:val="19"/>
              <w:jc w:val="center"/>
              <w:rPr>
                <w:rFonts w:hint="eastAsia" w:ascii="宋体" w:hAnsi="宋体" w:cs="宋体"/>
                <w:sz w:val="18"/>
                <w:szCs w:val="18"/>
              </w:rPr>
            </w:pPr>
          </w:p>
        </w:tc>
        <w:tc>
          <w:tcPr>
            <w:tcW w:w="687" w:type="dxa"/>
            <w:tcBorders>
              <w:top w:val="single" w:color="000000" w:sz="4" w:space="0"/>
              <w:left w:val="single" w:color="000000" w:sz="4" w:space="0"/>
              <w:bottom w:val="single" w:color="000000" w:sz="4" w:space="0"/>
            </w:tcBorders>
            <w:tcMar>
              <w:top w:w="12" w:type="dxa"/>
              <w:left w:w="12" w:type="dxa"/>
              <w:right w:w="12" w:type="dxa"/>
            </w:tcMar>
            <w:vAlign w:val="center"/>
          </w:tcPr>
          <w:p w14:paraId="04A25E76">
            <w:pPr>
              <w:pStyle w:val="19"/>
              <w:jc w:val="center"/>
              <w:rPr>
                <w:rFonts w:hint="eastAsia" w:ascii="宋体" w:hAnsi="宋体" w:cs="宋体"/>
                <w:sz w:val="18"/>
                <w:szCs w:val="18"/>
              </w:rPr>
            </w:pPr>
          </w:p>
        </w:tc>
      </w:tr>
      <w:tr w14:paraId="0B5D715A">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436" w:hRule="atLeast"/>
          <w:jc w:val="center"/>
        </w:trPr>
        <w:tc>
          <w:tcPr>
            <w:tcW w:w="8609" w:type="dxa"/>
            <w:gridSpan w:val="7"/>
            <w:tcBorders>
              <w:top w:val="single" w:color="000000" w:sz="4" w:space="0"/>
              <w:bottom w:val="single" w:color="000000" w:sz="4" w:space="0"/>
            </w:tcBorders>
            <w:noWrap/>
            <w:tcMar>
              <w:top w:w="12" w:type="dxa"/>
              <w:left w:w="12" w:type="dxa"/>
              <w:right w:w="12" w:type="dxa"/>
            </w:tcMar>
            <w:vAlign w:val="center"/>
          </w:tcPr>
          <w:p w14:paraId="1E4655FC">
            <w:pPr>
              <w:rPr>
                <w:color w:val="auto"/>
                <w:lang w:eastAsia="zh-CN"/>
              </w:rPr>
            </w:pPr>
            <w:r>
              <w:rPr>
                <w:rFonts w:hint="eastAsia" w:ascii="宋体" w:hAnsi="宋体" w:eastAsia="宋体" w:cs="宋体"/>
                <w:snapToGrid/>
                <w:color w:val="auto"/>
                <w:kern w:val="2"/>
                <w:sz w:val="18"/>
                <w:szCs w:val="18"/>
                <w:lang w:eastAsia="zh-CN"/>
              </w:rPr>
              <w:t>中标人根据采购人提供的政府方绩效考核要求制定本物业的“管理分项标准”，作为本合同的附件。若政府方绩效考核要求调整的，采购人有权即时调整，中标人必须无条件响应。</w:t>
            </w:r>
          </w:p>
        </w:tc>
      </w:tr>
    </w:tbl>
    <w:p w14:paraId="1AD24424">
      <w:pPr>
        <w:jc w:val="center"/>
        <w:rPr>
          <w:rFonts w:hint="eastAsia" w:ascii="宋体" w:hAnsi="宋体" w:eastAsia="宋体" w:cs="宋体"/>
          <w:b/>
          <w:bCs/>
          <w:color w:val="auto"/>
          <w:lang w:eastAsia="zh-CN"/>
        </w:rPr>
      </w:pPr>
    </w:p>
    <w:p w14:paraId="0F8CE6A2">
      <w:pPr>
        <w:pStyle w:val="6"/>
        <w:spacing w:before="96" w:line="259" w:lineRule="auto"/>
        <w:ind w:right="83"/>
        <w:rPr>
          <w:rFonts w:hint="eastAsia"/>
          <w:color w:val="auto"/>
          <w:spacing w:val="-3"/>
          <w:lang w:eastAsia="zh-CN"/>
        </w:rPr>
      </w:pPr>
    </w:p>
    <w:p w14:paraId="2B788841">
      <w:pPr>
        <w:pStyle w:val="6"/>
        <w:spacing w:before="96" w:line="259" w:lineRule="auto"/>
        <w:ind w:left="21" w:right="83" w:firstLine="455"/>
        <w:rPr>
          <w:rFonts w:hint="eastAsia"/>
          <w:color w:val="auto"/>
          <w:spacing w:val="-3"/>
          <w:lang w:eastAsia="zh-CN"/>
        </w:rPr>
      </w:pPr>
      <w:r>
        <w:rPr>
          <w:rFonts w:hint="eastAsia"/>
          <w:color w:val="auto"/>
          <w:spacing w:val="-3"/>
          <w:lang w:eastAsia="zh-CN"/>
        </w:rPr>
        <w:t>考核标准： 每</w:t>
      </w:r>
      <w:r>
        <w:rPr>
          <w:rFonts w:hint="eastAsia"/>
          <w:color w:val="auto"/>
          <w:spacing w:val="-3"/>
          <w:lang w:val="en-US" w:eastAsia="zh-CN"/>
        </w:rPr>
        <w:t>季度</w:t>
      </w:r>
      <w:r>
        <w:rPr>
          <w:rFonts w:hint="eastAsia"/>
          <w:color w:val="auto"/>
          <w:spacing w:val="-3"/>
          <w:lang w:eastAsia="zh-CN"/>
        </w:rPr>
        <w:t>考核一次，服务期最后一次考核完成后，年度绩效考核得分为全部</w:t>
      </w:r>
      <w:r>
        <w:rPr>
          <w:rFonts w:hint="eastAsia"/>
          <w:color w:val="auto"/>
          <w:spacing w:val="-3"/>
          <w:lang w:val="en-US" w:eastAsia="zh-CN"/>
        </w:rPr>
        <w:t>季度</w:t>
      </w:r>
      <w:r>
        <w:rPr>
          <w:rFonts w:hint="eastAsia"/>
          <w:color w:val="auto"/>
          <w:spacing w:val="-3"/>
          <w:lang w:eastAsia="zh-CN"/>
        </w:rPr>
        <w:t>考核结果的算数平均数。依据考核结果，按得分高低分为优秀、合格、不合格</w:t>
      </w:r>
      <w:r>
        <w:rPr>
          <w:color w:val="auto"/>
          <w:spacing w:val="-3"/>
          <w:lang w:eastAsia="zh-CN"/>
        </w:rPr>
        <w:t>3</w:t>
      </w:r>
      <w:r>
        <w:rPr>
          <w:rFonts w:hint="eastAsia"/>
          <w:color w:val="auto"/>
          <w:spacing w:val="-3"/>
          <w:lang w:eastAsia="zh-CN"/>
        </w:rPr>
        <w:t>个等级。经满意度调查结果当年一次“不合格”的物业管理单位， 自行终止服务合同， 不再续签下一年度物业合同， 由此产生的一切法律后果及所有相关费用由物业管理单位承担。</w:t>
      </w:r>
    </w:p>
    <w:p w14:paraId="4A0FF051">
      <w:pPr>
        <w:pStyle w:val="6"/>
        <w:spacing w:before="96" w:line="259" w:lineRule="auto"/>
        <w:ind w:left="21" w:right="83" w:firstLine="455"/>
        <w:rPr>
          <w:rFonts w:hint="eastAsia"/>
          <w:color w:val="auto"/>
          <w:spacing w:val="-3"/>
          <w:lang w:eastAsia="zh-CN"/>
        </w:rPr>
      </w:pPr>
    </w:p>
    <w:tbl>
      <w:tblPr>
        <w:tblStyle w:val="1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1740"/>
        <w:gridCol w:w="4755"/>
      </w:tblGrid>
      <w:tr w14:paraId="54C1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572" w:type="dxa"/>
            <w:shd w:val="clear" w:color="auto" w:fill="D9D9D9"/>
            <w:vAlign w:val="center"/>
          </w:tcPr>
          <w:p w14:paraId="608330EF">
            <w:pPr>
              <w:pStyle w:val="6"/>
              <w:jc w:val="center"/>
              <w:rPr>
                <w:rFonts w:hint="eastAsia"/>
                <w:color w:val="auto"/>
                <w:spacing w:val="-3"/>
              </w:rPr>
            </w:pPr>
            <w:r>
              <w:rPr>
                <w:rFonts w:hint="eastAsia"/>
                <w:color w:val="auto"/>
                <w:spacing w:val="-3"/>
                <w:lang w:val="en-US" w:eastAsia="zh-CN"/>
              </w:rPr>
              <w:t>季度</w:t>
            </w:r>
            <w:r>
              <w:rPr>
                <w:rFonts w:hint="eastAsia"/>
                <w:color w:val="auto"/>
                <w:spacing w:val="-3"/>
              </w:rPr>
              <w:t>绩效考核得分</w:t>
            </w:r>
          </w:p>
        </w:tc>
        <w:tc>
          <w:tcPr>
            <w:tcW w:w="1740" w:type="dxa"/>
            <w:shd w:val="clear" w:color="auto" w:fill="D9D9D9"/>
            <w:vAlign w:val="center"/>
          </w:tcPr>
          <w:p w14:paraId="23F9350A">
            <w:pPr>
              <w:pStyle w:val="6"/>
              <w:jc w:val="center"/>
              <w:rPr>
                <w:rFonts w:hint="eastAsia"/>
                <w:color w:val="auto"/>
                <w:spacing w:val="-3"/>
                <w:lang w:eastAsia="zh-CN"/>
              </w:rPr>
            </w:pPr>
            <w:r>
              <w:rPr>
                <w:rFonts w:hint="eastAsia"/>
                <w:color w:val="auto"/>
                <w:spacing w:val="-3"/>
                <w:lang w:eastAsia="zh-CN"/>
              </w:rPr>
              <w:t>认定等级</w:t>
            </w:r>
          </w:p>
        </w:tc>
        <w:tc>
          <w:tcPr>
            <w:tcW w:w="4755" w:type="dxa"/>
            <w:shd w:val="clear" w:color="auto" w:fill="D9D9D9"/>
            <w:vAlign w:val="center"/>
          </w:tcPr>
          <w:p w14:paraId="2A748FE9">
            <w:pPr>
              <w:pStyle w:val="6"/>
              <w:jc w:val="center"/>
              <w:rPr>
                <w:rFonts w:hint="eastAsia"/>
                <w:color w:val="auto"/>
                <w:spacing w:val="-3"/>
                <w:lang w:eastAsia="zh-CN"/>
              </w:rPr>
            </w:pPr>
            <w:r>
              <w:rPr>
                <w:rFonts w:hint="eastAsia"/>
                <w:color w:val="auto"/>
                <w:spacing w:val="-3"/>
                <w:lang w:eastAsia="zh-CN"/>
              </w:rPr>
              <w:t>考核应用</w:t>
            </w:r>
          </w:p>
        </w:tc>
      </w:tr>
      <w:tr w14:paraId="23AA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572" w:type="dxa"/>
            <w:vAlign w:val="center"/>
          </w:tcPr>
          <w:p w14:paraId="21EBD84C">
            <w:pPr>
              <w:spacing w:before="96" w:line="259" w:lineRule="auto"/>
              <w:ind w:left="21" w:right="83" w:firstLine="455"/>
              <w:rPr>
                <w:color w:val="auto"/>
                <w:spacing w:val="-3"/>
                <w:lang w:eastAsia="zh-CN"/>
              </w:rPr>
            </w:pPr>
            <w:r>
              <w:rPr>
                <w:rFonts w:ascii="宋体" w:hAnsi="宋体" w:eastAsia="宋体" w:cs="宋体"/>
                <w:color w:val="auto"/>
                <w:spacing w:val="-3"/>
                <w:lang w:eastAsia="zh-CN"/>
              </w:rPr>
              <w:t>F≥85</w:t>
            </w:r>
          </w:p>
        </w:tc>
        <w:tc>
          <w:tcPr>
            <w:tcW w:w="1740" w:type="dxa"/>
            <w:vAlign w:val="center"/>
          </w:tcPr>
          <w:p w14:paraId="6FD59B5F">
            <w:pPr>
              <w:spacing w:before="96" w:line="259" w:lineRule="auto"/>
              <w:ind w:left="21" w:right="83" w:firstLine="455"/>
              <w:rPr>
                <w:color w:val="auto"/>
                <w:spacing w:val="-3"/>
                <w:lang w:eastAsia="zh-CN"/>
              </w:rPr>
            </w:pPr>
            <w:r>
              <w:rPr>
                <w:rFonts w:ascii="宋体" w:hAnsi="宋体" w:eastAsia="宋体" w:cs="宋体"/>
                <w:color w:val="auto"/>
                <w:spacing w:val="-3"/>
                <w:lang w:eastAsia="zh-CN"/>
              </w:rPr>
              <w:t xml:space="preserve"> 优秀</w:t>
            </w:r>
          </w:p>
        </w:tc>
        <w:tc>
          <w:tcPr>
            <w:tcW w:w="4755" w:type="dxa"/>
            <w:vAlign w:val="center"/>
          </w:tcPr>
          <w:p w14:paraId="70B67B74">
            <w:pPr>
              <w:spacing w:before="96" w:line="259" w:lineRule="auto"/>
              <w:ind w:left="21" w:right="83" w:firstLine="455"/>
              <w:rPr>
                <w:color w:val="auto"/>
                <w:spacing w:val="-3"/>
                <w:lang w:eastAsia="zh-CN"/>
              </w:rPr>
            </w:pPr>
            <w:r>
              <w:rPr>
                <w:rFonts w:hint="eastAsia" w:ascii="宋体" w:hAnsi="宋体" w:eastAsia="宋体" w:cs="宋体"/>
                <w:color w:val="auto"/>
                <w:spacing w:val="-3"/>
                <w:lang w:eastAsia="zh-CN"/>
              </w:rPr>
              <w:t>当季度的服务费用全额支付</w:t>
            </w:r>
          </w:p>
        </w:tc>
      </w:tr>
      <w:tr w14:paraId="643C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572" w:type="dxa"/>
            <w:vAlign w:val="center"/>
          </w:tcPr>
          <w:p w14:paraId="712D5819">
            <w:pPr>
              <w:spacing w:before="96" w:line="259" w:lineRule="auto"/>
              <w:ind w:left="21" w:right="83" w:firstLine="455"/>
              <w:rPr>
                <w:color w:val="auto"/>
                <w:spacing w:val="-3"/>
                <w:lang w:eastAsia="zh-CN"/>
              </w:rPr>
            </w:pPr>
            <w:r>
              <w:rPr>
                <w:rFonts w:ascii="宋体" w:hAnsi="宋体" w:eastAsia="宋体" w:cs="宋体"/>
                <w:color w:val="auto"/>
                <w:spacing w:val="-3"/>
                <w:lang w:eastAsia="zh-CN"/>
              </w:rPr>
              <w:t>85</w:t>
            </w:r>
            <w:r>
              <w:rPr>
                <w:rFonts w:hint="eastAsia" w:ascii="宋体" w:hAnsi="宋体" w:eastAsia="宋体" w:cs="宋体"/>
                <w:color w:val="auto"/>
                <w:spacing w:val="-3"/>
                <w:lang w:eastAsia="zh-CN"/>
              </w:rPr>
              <w:t>＞</w:t>
            </w:r>
            <w:r>
              <w:rPr>
                <w:rFonts w:ascii="宋体" w:hAnsi="宋体" w:eastAsia="宋体" w:cs="宋体"/>
                <w:color w:val="auto"/>
                <w:spacing w:val="-3"/>
                <w:lang w:eastAsia="zh-CN"/>
              </w:rPr>
              <w:t>F≥60</w:t>
            </w:r>
          </w:p>
        </w:tc>
        <w:tc>
          <w:tcPr>
            <w:tcW w:w="1740" w:type="dxa"/>
            <w:vAlign w:val="center"/>
          </w:tcPr>
          <w:p w14:paraId="7399A5D3">
            <w:pPr>
              <w:spacing w:before="96" w:line="259" w:lineRule="auto"/>
              <w:ind w:left="21" w:right="83" w:firstLine="455"/>
              <w:rPr>
                <w:color w:val="auto"/>
                <w:spacing w:val="-3"/>
                <w:lang w:eastAsia="zh-CN"/>
              </w:rPr>
            </w:pPr>
            <w:r>
              <w:rPr>
                <w:rFonts w:ascii="宋体" w:hAnsi="宋体" w:eastAsia="宋体" w:cs="宋体"/>
                <w:color w:val="auto"/>
                <w:spacing w:val="-3"/>
                <w:lang w:eastAsia="zh-CN"/>
              </w:rPr>
              <w:t xml:space="preserve"> </w:t>
            </w:r>
            <w:r>
              <w:rPr>
                <w:rFonts w:hint="eastAsia" w:ascii="宋体" w:hAnsi="宋体" w:eastAsia="宋体" w:cs="宋体"/>
                <w:color w:val="auto"/>
                <w:spacing w:val="-3"/>
                <w:lang w:eastAsia="zh-CN"/>
              </w:rPr>
              <w:t>合格</w:t>
            </w:r>
          </w:p>
        </w:tc>
        <w:tc>
          <w:tcPr>
            <w:tcW w:w="4755" w:type="dxa"/>
            <w:vAlign w:val="center"/>
          </w:tcPr>
          <w:p w14:paraId="687B7B79">
            <w:pPr>
              <w:spacing w:before="96" w:line="259" w:lineRule="auto"/>
              <w:ind w:left="21" w:right="83" w:firstLine="455"/>
              <w:rPr>
                <w:color w:val="auto"/>
                <w:spacing w:val="-3"/>
                <w:lang w:eastAsia="zh-CN"/>
              </w:rPr>
            </w:pPr>
            <w:r>
              <w:rPr>
                <w:rFonts w:hint="eastAsia" w:ascii="宋体" w:hAnsi="宋体" w:eastAsia="宋体" w:cs="宋体"/>
                <w:color w:val="auto"/>
                <w:spacing w:val="-3"/>
                <w:lang w:eastAsia="zh-CN"/>
              </w:rPr>
              <w:t>当季度的服务费用扣除20%</w:t>
            </w:r>
          </w:p>
        </w:tc>
      </w:tr>
      <w:tr w14:paraId="5138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572" w:type="dxa"/>
            <w:vAlign w:val="center"/>
          </w:tcPr>
          <w:p w14:paraId="08A48C70">
            <w:pPr>
              <w:ind w:firstLine="525" w:firstLineChars="250"/>
              <w:rPr>
                <w:rFonts w:hint="eastAsia" w:ascii="宋体" w:hAnsi="宋体" w:eastAsia="宋体" w:cs="宋体"/>
                <w:color w:val="auto"/>
                <w:lang w:eastAsia="zh-CN"/>
              </w:rPr>
            </w:pPr>
            <w:r>
              <w:rPr>
                <w:rFonts w:hint="eastAsia" w:ascii="宋体" w:hAnsi="宋体" w:eastAsia="宋体" w:cs="宋体"/>
                <w:color w:val="auto"/>
                <w:lang w:eastAsia="zh-CN"/>
              </w:rPr>
              <w:t>F＜</w:t>
            </w:r>
            <w:r>
              <w:rPr>
                <w:rFonts w:ascii="宋体" w:hAnsi="宋体" w:eastAsia="宋体" w:cs="宋体"/>
                <w:color w:val="auto"/>
                <w:lang w:eastAsia="zh-CN"/>
              </w:rPr>
              <w:t>60</w:t>
            </w:r>
          </w:p>
        </w:tc>
        <w:tc>
          <w:tcPr>
            <w:tcW w:w="1740" w:type="dxa"/>
            <w:vAlign w:val="center"/>
          </w:tcPr>
          <w:p w14:paraId="2BAC559E">
            <w:pPr>
              <w:rPr>
                <w:rFonts w:hint="eastAsia" w:ascii="宋体" w:hAnsi="宋体" w:eastAsia="宋体" w:cs="宋体"/>
                <w:color w:val="auto"/>
                <w:lang w:eastAsia="zh-CN"/>
              </w:rPr>
            </w:pPr>
            <w:r>
              <w:rPr>
                <w:rFonts w:hint="eastAsia" w:ascii="宋体" w:hAnsi="宋体" w:eastAsia="宋体" w:cs="宋体"/>
                <w:color w:val="auto"/>
                <w:lang w:eastAsia="zh-CN"/>
              </w:rPr>
              <w:t xml:space="preserve">     不合格</w:t>
            </w:r>
          </w:p>
        </w:tc>
        <w:tc>
          <w:tcPr>
            <w:tcW w:w="4755" w:type="dxa"/>
            <w:vAlign w:val="center"/>
          </w:tcPr>
          <w:p w14:paraId="0D5D5955">
            <w:pPr>
              <w:ind w:firstLine="408" w:firstLineChars="200"/>
              <w:rPr>
                <w:rFonts w:hint="eastAsia" w:ascii="宋体" w:hAnsi="宋体" w:eastAsia="宋体" w:cs="宋体"/>
                <w:color w:val="auto"/>
                <w:lang w:eastAsia="zh-CN"/>
              </w:rPr>
            </w:pPr>
            <w:r>
              <w:rPr>
                <w:rFonts w:hint="eastAsia" w:ascii="宋体" w:hAnsi="宋体" w:eastAsia="宋体" w:cs="宋体"/>
                <w:color w:val="auto"/>
                <w:spacing w:val="-3"/>
                <w:lang w:eastAsia="zh-CN"/>
              </w:rPr>
              <w:t>当季度的服务费用扣除50%</w:t>
            </w:r>
          </w:p>
        </w:tc>
      </w:tr>
    </w:tbl>
    <w:p w14:paraId="07E71D88">
      <w:pPr>
        <w:pStyle w:val="6"/>
        <w:spacing w:before="93" w:line="273" w:lineRule="auto"/>
        <w:ind w:left="20" w:right="27" w:firstLine="441"/>
        <w:rPr>
          <w:rFonts w:ascii="Times New Roman" w:hAnsi="Times New Roman" w:eastAsia="Times New Roman" w:cs="Times New Roman"/>
          <w:color w:val="auto"/>
          <w:spacing w:val="-2"/>
          <w:lang w:eastAsia="zh-CN"/>
        </w:rPr>
      </w:pPr>
    </w:p>
    <w:p w14:paraId="48649471">
      <w:pPr>
        <w:spacing w:before="104" w:line="218" w:lineRule="auto"/>
        <w:ind w:left="2996"/>
        <w:rPr>
          <w:rFonts w:hint="eastAsia" w:ascii="黑体" w:hAnsi="黑体" w:eastAsia="黑体" w:cs="黑体"/>
          <w:color w:val="auto"/>
          <w:spacing w:val="-4"/>
          <w:sz w:val="30"/>
          <w:szCs w:val="30"/>
          <w:lang w:eastAsia="zh-CN"/>
        </w:rPr>
      </w:pPr>
    </w:p>
    <w:p w14:paraId="559F8911">
      <w:pPr>
        <w:ind w:firstLine="420" w:firstLineChars="200"/>
        <w:rPr>
          <w:rFonts w:hint="eastAsia" w:ascii="宋体" w:hAnsi="宋体" w:eastAsia="宋体" w:cs="宋体"/>
          <w:color w:val="auto"/>
          <w:lang w:eastAsia="zh-CN"/>
        </w:rPr>
      </w:pPr>
    </w:p>
    <w:sectPr>
      <w:footerReference r:id="rId3" w:type="default"/>
      <w:pgSz w:w="11907" w:h="16839"/>
      <w:pgMar w:top="1431" w:right="1714" w:bottom="1234" w:left="1785" w:header="0" w:footer="10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ECC7D">
    <w:pPr>
      <w:pStyle w:val="10"/>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6" name="文本框 5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BAB9F">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Zwf8uAgAAW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p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UK/WRa2emd5&#10;hI7iebs6BgjY6hpF6ZTotULHtZXppyO29J/7Nurpj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5WcH/LgIAAFkEAAAOAAAAAAAAAAEAIAAAAB8BAABkcnMvZTJvRG9jLnhtbFBLBQYAAAAA&#10;BgAGAFkBAAC/BQAAAAA=&#10;">
              <v:fill on="f" focussize="0,0"/>
              <v:stroke on="f" weight="0.5pt"/>
              <v:imagedata o:title=""/>
              <o:lock v:ext="edit" aspectratio="f"/>
              <v:textbox inset="0mm,0mm,0mm,0mm" style="mso-fit-shape-to-text:t;">
                <w:txbxContent>
                  <w:p w14:paraId="488BAB9F">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iNDk3Y2MwMDRjYmEyYmQwMmQ5NTI1N2M1MDljNDcifQ=="/>
  </w:docVars>
  <w:rsids>
    <w:rsidRoot w:val="007B1943"/>
    <w:rsid w:val="00033BF0"/>
    <w:rsid w:val="00044BB8"/>
    <w:rsid w:val="000524E9"/>
    <w:rsid w:val="000A3E60"/>
    <w:rsid w:val="000B5C6D"/>
    <w:rsid w:val="00101D2B"/>
    <w:rsid w:val="00106CD4"/>
    <w:rsid w:val="0011397F"/>
    <w:rsid w:val="00132684"/>
    <w:rsid w:val="00183760"/>
    <w:rsid w:val="00195783"/>
    <w:rsid w:val="001D1B85"/>
    <w:rsid w:val="001E0EDB"/>
    <w:rsid w:val="002113B8"/>
    <w:rsid w:val="002A2C05"/>
    <w:rsid w:val="00300518"/>
    <w:rsid w:val="003042E9"/>
    <w:rsid w:val="003A6991"/>
    <w:rsid w:val="003E5EF6"/>
    <w:rsid w:val="00412A99"/>
    <w:rsid w:val="00456A6B"/>
    <w:rsid w:val="004A0A22"/>
    <w:rsid w:val="004F54C8"/>
    <w:rsid w:val="005400CA"/>
    <w:rsid w:val="00595290"/>
    <w:rsid w:val="005A0518"/>
    <w:rsid w:val="005A2001"/>
    <w:rsid w:val="005D2432"/>
    <w:rsid w:val="005F5DA4"/>
    <w:rsid w:val="006168EB"/>
    <w:rsid w:val="00666BE2"/>
    <w:rsid w:val="006810D1"/>
    <w:rsid w:val="00683599"/>
    <w:rsid w:val="00697C2C"/>
    <w:rsid w:val="006A7110"/>
    <w:rsid w:val="007155DE"/>
    <w:rsid w:val="0072114B"/>
    <w:rsid w:val="00725F8D"/>
    <w:rsid w:val="00737A0C"/>
    <w:rsid w:val="00753750"/>
    <w:rsid w:val="007571B6"/>
    <w:rsid w:val="007823D8"/>
    <w:rsid w:val="007870B9"/>
    <w:rsid w:val="007953E0"/>
    <w:rsid w:val="00795BE8"/>
    <w:rsid w:val="007A4E3F"/>
    <w:rsid w:val="007B1943"/>
    <w:rsid w:val="00854A9C"/>
    <w:rsid w:val="008C71B6"/>
    <w:rsid w:val="008E12A2"/>
    <w:rsid w:val="008E66DE"/>
    <w:rsid w:val="00942474"/>
    <w:rsid w:val="009A3720"/>
    <w:rsid w:val="009E33F6"/>
    <w:rsid w:val="00A06E93"/>
    <w:rsid w:val="00A165BC"/>
    <w:rsid w:val="00B66B8B"/>
    <w:rsid w:val="00B8140A"/>
    <w:rsid w:val="00B96796"/>
    <w:rsid w:val="00BA19C9"/>
    <w:rsid w:val="00C45DBB"/>
    <w:rsid w:val="00D0602D"/>
    <w:rsid w:val="00D82FEC"/>
    <w:rsid w:val="00DB46F0"/>
    <w:rsid w:val="00DD5B9A"/>
    <w:rsid w:val="00DF1BC2"/>
    <w:rsid w:val="00E5060E"/>
    <w:rsid w:val="00E665D5"/>
    <w:rsid w:val="00E6704A"/>
    <w:rsid w:val="00E74A7B"/>
    <w:rsid w:val="00E85BDA"/>
    <w:rsid w:val="00E86284"/>
    <w:rsid w:val="00EA15F8"/>
    <w:rsid w:val="00EB3879"/>
    <w:rsid w:val="00EC567E"/>
    <w:rsid w:val="00F6580B"/>
    <w:rsid w:val="00F94FA6"/>
    <w:rsid w:val="00FA5530"/>
    <w:rsid w:val="00FD0C7C"/>
    <w:rsid w:val="00FE4F8A"/>
    <w:rsid w:val="00FF6AB7"/>
    <w:rsid w:val="043C3707"/>
    <w:rsid w:val="08BB2A16"/>
    <w:rsid w:val="0E707A18"/>
    <w:rsid w:val="0ED962B7"/>
    <w:rsid w:val="102D0587"/>
    <w:rsid w:val="11A778F1"/>
    <w:rsid w:val="13450517"/>
    <w:rsid w:val="187D71DB"/>
    <w:rsid w:val="1B7C337A"/>
    <w:rsid w:val="20FD4E05"/>
    <w:rsid w:val="218A39B8"/>
    <w:rsid w:val="22765996"/>
    <w:rsid w:val="23863CED"/>
    <w:rsid w:val="2747517D"/>
    <w:rsid w:val="2F1634B0"/>
    <w:rsid w:val="31197F4E"/>
    <w:rsid w:val="323D5BFB"/>
    <w:rsid w:val="361E035F"/>
    <w:rsid w:val="371E028D"/>
    <w:rsid w:val="3D38629A"/>
    <w:rsid w:val="42817701"/>
    <w:rsid w:val="4659094D"/>
    <w:rsid w:val="4926552B"/>
    <w:rsid w:val="4ACA5F89"/>
    <w:rsid w:val="4BDC19DD"/>
    <w:rsid w:val="4CAA13A5"/>
    <w:rsid w:val="4E1476FC"/>
    <w:rsid w:val="532211ED"/>
    <w:rsid w:val="539F3450"/>
    <w:rsid w:val="592E4355"/>
    <w:rsid w:val="5BCE470B"/>
    <w:rsid w:val="5F6755EC"/>
    <w:rsid w:val="61697453"/>
    <w:rsid w:val="626C5880"/>
    <w:rsid w:val="631C1F4F"/>
    <w:rsid w:val="64B90B25"/>
    <w:rsid w:val="658376AB"/>
    <w:rsid w:val="66AC2EC8"/>
    <w:rsid w:val="68621ACF"/>
    <w:rsid w:val="6FD07A58"/>
    <w:rsid w:val="72C021BE"/>
    <w:rsid w:val="73EFFCC2"/>
    <w:rsid w:val="79A712A5"/>
    <w:rsid w:val="79BB7254"/>
    <w:rsid w:val="79E41D86"/>
    <w:rsid w:val="7FF6009D"/>
    <w:rsid w:val="C8DFA1E9"/>
    <w:rsid w:val="CBFEA7F5"/>
    <w:rsid w:val="FEFFD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9"/>
    <w:pPr>
      <w:spacing w:line="511" w:lineRule="exact"/>
      <w:ind w:right="419"/>
      <w:jc w:val="center"/>
      <w:outlineLvl w:val="0"/>
    </w:pPr>
    <w:rPr>
      <w:rFonts w:ascii="Microsoft JhengHei" w:hAnsi="Microsoft JhengHei" w:eastAsia="Microsoft JhengHei" w:cs="Microsoft JhengHei"/>
      <w:b/>
      <w:bCs/>
      <w:sz w:val="30"/>
      <w:szCs w:val="30"/>
    </w:rPr>
  </w:style>
  <w:style w:type="paragraph" w:styleId="3">
    <w:name w:val="heading 2"/>
    <w:basedOn w:val="1"/>
    <w:next w:val="1"/>
    <w:autoRedefine/>
    <w:qFormat/>
    <w:uiPriority w:val="0"/>
    <w:pPr>
      <w:spacing w:before="200" w:after="200"/>
      <w:outlineLvl w:val="1"/>
    </w:pPr>
  </w:style>
  <w:style w:type="paragraph" w:styleId="4">
    <w:name w:val="heading 3"/>
    <w:basedOn w:val="1"/>
    <w:next w:val="1"/>
    <w:semiHidden/>
    <w:unhideWhenUsed/>
    <w:qFormat/>
    <w:uiPriority w:val="0"/>
    <w:pPr>
      <w:spacing w:beforeAutospacing="1" w:afterAutospacing="1"/>
      <w:outlineLvl w:val="2"/>
    </w:pPr>
    <w:rPr>
      <w:rFonts w:hint="eastAsia" w:ascii="宋体" w:hAnsi="宋体" w:eastAsia="宋体" w:cs="Times New Roman"/>
      <w:b/>
      <w:bCs/>
      <w:sz w:val="27"/>
      <w:szCs w:val="27"/>
      <w:lang w:eastAsia="zh-CN"/>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autoRedefine/>
    <w:qFormat/>
    <w:uiPriority w:val="0"/>
  </w:style>
  <w:style w:type="paragraph" w:styleId="6">
    <w:name w:val="Body Text"/>
    <w:basedOn w:val="1"/>
    <w:autoRedefine/>
    <w:semiHidden/>
    <w:qFormat/>
    <w:uiPriority w:val="0"/>
    <w:rPr>
      <w:rFonts w:ascii="宋体" w:hAnsi="宋体" w:eastAsia="宋体" w:cs="宋体"/>
      <w:sz w:val="22"/>
      <w:szCs w:val="22"/>
    </w:rPr>
  </w:style>
  <w:style w:type="paragraph" w:styleId="7">
    <w:name w:val="Plain Text"/>
    <w:basedOn w:val="1"/>
    <w:qFormat/>
    <w:uiPriority w:val="0"/>
    <w:rPr>
      <w:rFonts w:ascii="宋体" w:hAnsi="Courier New"/>
      <w:szCs w:val="20"/>
    </w:rPr>
  </w:style>
  <w:style w:type="paragraph" w:styleId="8">
    <w:name w:val="Date"/>
    <w:basedOn w:val="1"/>
    <w:next w:val="1"/>
    <w:link w:val="30"/>
    <w:autoRedefine/>
    <w:qFormat/>
    <w:uiPriority w:val="0"/>
    <w:pPr>
      <w:ind w:left="100" w:leftChars="2500"/>
    </w:pPr>
  </w:style>
  <w:style w:type="paragraph" w:styleId="9">
    <w:name w:val="Balloon Text"/>
    <w:basedOn w:val="1"/>
    <w:link w:val="26"/>
    <w:autoRedefine/>
    <w:qFormat/>
    <w:uiPriority w:val="0"/>
    <w:rPr>
      <w:sz w:val="18"/>
      <w:szCs w:val="18"/>
    </w:rPr>
  </w:style>
  <w:style w:type="paragraph" w:styleId="10">
    <w:name w:val="footer"/>
    <w:basedOn w:val="1"/>
    <w:link w:val="25"/>
    <w:autoRedefine/>
    <w:qFormat/>
    <w:uiPriority w:val="0"/>
    <w:pPr>
      <w:tabs>
        <w:tab w:val="center" w:pos="4153"/>
        <w:tab w:val="right" w:pos="8306"/>
      </w:tabs>
    </w:pPr>
    <w:rPr>
      <w:sz w:val="18"/>
      <w:szCs w:val="18"/>
    </w:rPr>
  </w:style>
  <w:style w:type="paragraph" w:styleId="11">
    <w:name w:val="header"/>
    <w:basedOn w:val="1"/>
    <w:link w:val="24"/>
    <w:autoRedefine/>
    <w:qFormat/>
    <w:uiPriority w:val="0"/>
    <w:pPr>
      <w:pBdr>
        <w:bottom w:val="single" w:color="auto" w:sz="6" w:space="1"/>
      </w:pBdr>
      <w:tabs>
        <w:tab w:val="center" w:pos="4153"/>
        <w:tab w:val="right" w:pos="8306"/>
      </w:tabs>
      <w:jc w:val="center"/>
    </w:pPr>
    <w:rPr>
      <w:sz w:val="18"/>
      <w:szCs w:val="18"/>
    </w:rPr>
  </w:style>
  <w:style w:type="paragraph" w:styleId="12">
    <w:name w:val="List"/>
    <w:basedOn w:val="1"/>
    <w:autoRedefine/>
    <w:qFormat/>
    <w:uiPriority w:val="0"/>
    <w:pPr>
      <w:ind w:left="200" w:hanging="200" w:hangingChars="200"/>
    </w:pPr>
    <w:rPr>
      <w:rFonts w:ascii="Times New Roman" w:hAnsi="Times New Roman"/>
      <w:szCs w:val="24"/>
    </w:rPr>
  </w:style>
  <w:style w:type="paragraph" w:styleId="13">
    <w:name w:val="annotation subject"/>
    <w:basedOn w:val="5"/>
    <w:next w:val="5"/>
    <w:link w:val="28"/>
    <w:autoRedefine/>
    <w:qFormat/>
    <w:uiPriority w:val="0"/>
    <w:rPr>
      <w:b/>
      <w:bCs/>
    </w:rPr>
  </w:style>
  <w:style w:type="character" w:styleId="16">
    <w:name w:val="annotation reference"/>
    <w:basedOn w:val="15"/>
    <w:autoRedefine/>
    <w:qFormat/>
    <w:uiPriority w:val="0"/>
    <w:rPr>
      <w:sz w:val="21"/>
      <w:szCs w:val="21"/>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Table Text"/>
    <w:basedOn w:val="1"/>
    <w:autoRedefine/>
    <w:semiHidden/>
    <w:qFormat/>
    <w:uiPriority w:val="0"/>
    <w:rPr>
      <w:rFonts w:ascii="宋体" w:hAnsi="宋体" w:eastAsia="宋体" w:cs="宋体"/>
    </w:rPr>
  </w:style>
  <w:style w:type="paragraph" w:styleId="19">
    <w:name w:val="No Spacing"/>
    <w:autoRedefine/>
    <w:qFormat/>
    <w:uiPriority w:val="1"/>
    <w:pPr>
      <w:widowControl w:val="0"/>
      <w:jc w:val="both"/>
    </w:pPr>
    <w:rPr>
      <w:rFonts w:ascii="Times New Roman" w:hAnsi="Times New Roman" w:eastAsia="宋体" w:cs="Times New Roman"/>
      <w:kern w:val="2"/>
      <w:szCs w:val="22"/>
      <w:lang w:val="en-US" w:eastAsia="zh-CN" w:bidi="ar-SA"/>
    </w:rPr>
  </w:style>
  <w:style w:type="paragraph" w:customStyle="1" w:styleId="20">
    <w:name w:val="正文1"/>
    <w:basedOn w:val="1"/>
    <w:autoRedefine/>
    <w:qFormat/>
    <w:uiPriority w:val="0"/>
    <w:pPr>
      <w:ind w:firstLine="480" w:firstLineChars="200"/>
      <w:jc w:val="both"/>
    </w:pPr>
    <w:rPr>
      <w:rFonts w:ascii="宋体"/>
    </w:rPr>
  </w:style>
  <w:style w:type="paragraph" w:styleId="21">
    <w:name w:val="List Paragraph"/>
    <w:basedOn w:val="1"/>
    <w:autoRedefine/>
    <w:qFormat/>
    <w:uiPriority w:val="1"/>
    <w:pPr>
      <w:ind w:left="998" w:firstLine="480"/>
    </w:pPr>
  </w:style>
  <w:style w:type="paragraph" w:customStyle="1" w:styleId="22">
    <w:name w:val="Table Paragraph"/>
    <w:basedOn w:val="1"/>
    <w:autoRedefine/>
    <w:qFormat/>
    <w:uiPriority w:val="1"/>
  </w:style>
  <w:style w:type="character" w:customStyle="1" w:styleId="23">
    <w:name w:val="font01"/>
    <w:basedOn w:val="15"/>
    <w:autoRedefine/>
    <w:qFormat/>
    <w:uiPriority w:val="0"/>
    <w:rPr>
      <w:rFonts w:ascii="仿宋_GB2312" w:eastAsia="仿宋_GB2312" w:cs="仿宋_GB2312"/>
      <w:color w:val="000000"/>
      <w:sz w:val="21"/>
      <w:szCs w:val="21"/>
      <w:u w:val="none"/>
    </w:rPr>
  </w:style>
  <w:style w:type="character" w:customStyle="1" w:styleId="24">
    <w:name w:val="页眉 字符"/>
    <w:basedOn w:val="15"/>
    <w:link w:val="11"/>
    <w:autoRedefine/>
    <w:qFormat/>
    <w:uiPriority w:val="0"/>
    <w:rPr>
      <w:rFonts w:ascii="Arial" w:hAnsi="Arial" w:eastAsia="Arial" w:cs="Arial"/>
      <w:snapToGrid w:val="0"/>
      <w:color w:val="000000"/>
      <w:sz w:val="18"/>
      <w:szCs w:val="18"/>
      <w:lang w:eastAsia="en-US"/>
    </w:rPr>
  </w:style>
  <w:style w:type="character" w:customStyle="1" w:styleId="25">
    <w:name w:val="页脚 字符"/>
    <w:basedOn w:val="15"/>
    <w:link w:val="10"/>
    <w:autoRedefine/>
    <w:qFormat/>
    <w:uiPriority w:val="0"/>
    <w:rPr>
      <w:rFonts w:ascii="Arial" w:hAnsi="Arial" w:eastAsia="Arial" w:cs="Arial"/>
      <w:snapToGrid w:val="0"/>
      <w:color w:val="000000"/>
      <w:sz w:val="18"/>
      <w:szCs w:val="18"/>
      <w:lang w:eastAsia="en-US"/>
    </w:rPr>
  </w:style>
  <w:style w:type="character" w:customStyle="1" w:styleId="26">
    <w:name w:val="批注框文本 字符"/>
    <w:basedOn w:val="15"/>
    <w:link w:val="9"/>
    <w:autoRedefine/>
    <w:qFormat/>
    <w:uiPriority w:val="0"/>
    <w:rPr>
      <w:rFonts w:ascii="Arial" w:hAnsi="Arial" w:eastAsia="Arial" w:cs="Arial"/>
      <w:snapToGrid w:val="0"/>
      <w:color w:val="000000"/>
      <w:sz w:val="18"/>
      <w:szCs w:val="18"/>
      <w:lang w:eastAsia="en-US"/>
    </w:rPr>
  </w:style>
  <w:style w:type="character" w:customStyle="1" w:styleId="27">
    <w:name w:val="批注文字 字符"/>
    <w:basedOn w:val="15"/>
    <w:link w:val="5"/>
    <w:autoRedefine/>
    <w:qFormat/>
    <w:uiPriority w:val="0"/>
    <w:rPr>
      <w:rFonts w:ascii="Arial" w:hAnsi="Arial" w:eastAsia="Arial" w:cs="Arial"/>
      <w:snapToGrid w:val="0"/>
      <w:color w:val="000000"/>
      <w:sz w:val="21"/>
      <w:szCs w:val="21"/>
      <w:lang w:eastAsia="en-US"/>
    </w:rPr>
  </w:style>
  <w:style w:type="character" w:customStyle="1" w:styleId="28">
    <w:name w:val="批注主题 字符"/>
    <w:basedOn w:val="27"/>
    <w:link w:val="13"/>
    <w:autoRedefine/>
    <w:qFormat/>
    <w:uiPriority w:val="0"/>
    <w:rPr>
      <w:rFonts w:ascii="Arial" w:hAnsi="Arial" w:eastAsia="Arial" w:cs="Arial"/>
      <w:b/>
      <w:bCs/>
      <w:snapToGrid w:val="0"/>
      <w:color w:val="000000"/>
      <w:sz w:val="21"/>
      <w:szCs w:val="21"/>
      <w:lang w:eastAsia="en-US"/>
    </w:rPr>
  </w:style>
  <w:style w:type="paragraph" w:customStyle="1" w:styleId="29">
    <w:name w:val="修订1"/>
    <w:autoRedefine/>
    <w:hidden/>
    <w:unhideWhenUsed/>
    <w:qFormat/>
    <w:uiPriority w:val="99"/>
    <w:rPr>
      <w:rFonts w:ascii="Arial" w:hAnsi="Arial" w:eastAsia="Arial" w:cs="Arial"/>
      <w:snapToGrid w:val="0"/>
      <w:color w:val="000000"/>
      <w:sz w:val="21"/>
      <w:szCs w:val="21"/>
      <w:lang w:val="en-US" w:eastAsia="en-US" w:bidi="ar-SA"/>
    </w:rPr>
  </w:style>
  <w:style w:type="character" w:customStyle="1" w:styleId="30">
    <w:name w:val="日期 字符"/>
    <w:basedOn w:val="15"/>
    <w:link w:val="8"/>
    <w:autoRedefine/>
    <w:qFormat/>
    <w:uiPriority w:val="0"/>
    <w:rPr>
      <w:rFonts w:ascii="Arial" w:hAnsi="Arial" w:eastAsia="Arial" w:cs="Arial"/>
      <w:snapToGrid w:val="0"/>
      <w:color w:val="000000"/>
      <w:sz w:val="21"/>
      <w:szCs w:val="21"/>
      <w:lang w:eastAsia="en-US"/>
    </w:rPr>
  </w:style>
  <w:style w:type="paragraph" w:customStyle="1" w:styleId="31">
    <w:name w:val="修订2"/>
    <w:autoRedefine/>
    <w:hidden/>
    <w:unhideWhenUsed/>
    <w:qFormat/>
    <w:uiPriority w:val="99"/>
    <w:rPr>
      <w:rFonts w:ascii="Arial" w:hAnsi="Arial" w:eastAsia="Arial" w:cs="Arial"/>
      <w:snapToGrid w:val="0"/>
      <w:color w:val="000000"/>
      <w:sz w:val="21"/>
      <w:szCs w:val="21"/>
      <w:lang w:val="en-US" w:eastAsia="en-US" w:bidi="ar-SA"/>
    </w:rPr>
  </w:style>
  <w:style w:type="character" w:customStyle="1" w:styleId="32">
    <w:name w:val="font41"/>
    <w:basedOn w:val="15"/>
    <w:autoRedefine/>
    <w:qFormat/>
    <w:uiPriority w:val="0"/>
    <w:rPr>
      <w:rFonts w:hint="eastAsia" w:ascii="宋体" w:hAnsi="宋体" w:eastAsia="宋体" w:cs="宋体"/>
      <w:color w:val="000000"/>
      <w:sz w:val="28"/>
      <w:szCs w:val="28"/>
      <w:u w:val="none"/>
    </w:rPr>
  </w:style>
  <w:style w:type="character" w:customStyle="1" w:styleId="33">
    <w:name w:val="font21"/>
    <w:basedOn w:val="15"/>
    <w:autoRedefine/>
    <w:qFormat/>
    <w:uiPriority w:val="0"/>
    <w:rPr>
      <w:rFonts w:hint="eastAsia" w:ascii="宋体" w:hAnsi="宋体" w:eastAsia="宋体" w:cs="宋体"/>
      <w:color w:val="000000"/>
      <w:sz w:val="18"/>
      <w:szCs w:val="18"/>
      <w:u w:val="none"/>
    </w:rPr>
  </w:style>
  <w:style w:type="paragraph" w:customStyle="1" w:styleId="34">
    <w:name w:val="修订3"/>
    <w:hidden/>
    <w:unhideWhenUsed/>
    <w:qFormat/>
    <w:uiPriority w:val="99"/>
    <w:rPr>
      <w:rFonts w:ascii="Arial" w:hAnsi="Arial" w:eastAsia="Arial" w:cs="Arial"/>
      <w:snapToGrid w:val="0"/>
      <w:color w:val="000000"/>
      <w:sz w:val="21"/>
      <w:szCs w:val="21"/>
      <w:lang w:val="en-US" w:eastAsia="en-US" w:bidi="ar-SA"/>
    </w:rPr>
  </w:style>
  <w:style w:type="paragraph" w:customStyle="1" w:styleId="35">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3879</Words>
  <Characters>3980</Characters>
  <Lines>59</Lines>
  <Paragraphs>16</Paragraphs>
  <TotalTime>16</TotalTime>
  <ScaleCrop>false</ScaleCrop>
  <LinksUpToDate>false</LinksUpToDate>
  <CharactersWithSpaces>4055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2025-05-20T02:29:00Z</dcterms:created>
  <dc:creator>Kingsoft-PDF</dc:creator>
  <cp:lastModifiedBy>晋一民</cp:lastModifiedBy>
  <dcterms:modified xsi:type="dcterms:W3CDTF">2025-07-08T04:18:15Z</dcterms:modified>
  <dc:subject>pdfbuilder</dc:subject>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2024-02-05T16:40:32Z</vt:filetime>
  </property>
  <property fmtid="{D5CDD505-2E9C-101B-9397-08002B2CF9AE}" pid="4" name="UsrData">
    <vt:lpwstr>65c09efb04313f0020ba1fb0wl</vt:lpwstr>
  </property>
  <property fmtid="{D5CDD505-2E9C-101B-9397-08002B2CF9AE}" pid="5" name="KSOProductBuildVer">
    <vt:lpwstr>2052-12.1.0.20305</vt:lpwstr>
  </property>
  <property fmtid="{D5CDD505-2E9C-101B-9397-08002B2CF9AE}" pid="6" name="ICV">
    <vt:lpwstr>413C6CC1849C48B593A4CF79B6796732_13</vt:lpwstr>
  </property>
  <property fmtid="{D5CDD505-2E9C-101B-9397-08002B2CF9AE}" pid="7" name="KSOTemplateDocerSaveRecord">
    <vt:lpwstr>eyJoZGlkIjoiNGM3MmY0OTNjM2FiYjM2YjE2NGRhZTljZmIyMTQyNWMiLCJ1c2VySWQiOiIxNjQzMTc3ODEwIn0=</vt:lpwstr>
  </property>
</Properties>
</file>