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bookmarkStart w:id="37" w:name="_GoBack"/>
      <w:bookmarkEnd w:id="37"/>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r>
        <w:rPr>
          <w:rFonts w:hint="eastAsia" w:ascii="黑体" w:hAnsi="黑体" w:eastAsia="黑体"/>
          <w:sz w:val="52"/>
          <w:szCs w:val="52"/>
        </w:rPr>
        <w:t>上海学前教育综合管理子系统建设项目（2</w:t>
      </w:r>
      <w:r>
        <w:rPr>
          <w:rFonts w:ascii="黑体" w:hAnsi="黑体" w:eastAsia="黑体"/>
          <w:sz w:val="52"/>
          <w:szCs w:val="52"/>
        </w:rPr>
        <w:t>025</w:t>
      </w:r>
      <w:r>
        <w:rPr>
          <w:rFonts w:hint="eastAsia" w:ascii="黑体" w:hAnsi="黑体" w:eastAsia="黑体"/>
          <w:sz w:val="52"/>
          <w:szCs w:val="52"/>
        </w:rPr>
        <w:t>年升级改造）</w:t>
      </w:r>
    </w:p>
    <w:p>
      <w:pPr>
        <w:ind w:firstLine="0" w:firstLineChars="0"/>
        <w:jc w:val="center"/>
        <w:rPr>
          <w:rFonts w:ascii="黑体" w:hAnsi="黑体" w:eastAsia="黑体"/>
          <w:sz w:val="52"/>
          <w:szCs w:val="52"/>
        </w:rPr>
      </w:pPr>
      <w:r>
        <w:rPr>
          <w:rFonts w:hint="eastAsia" w:ascii="黑体" w:hAnsi="黑体" w:eastAsia="黑体"/>
          <w:sz w:val="52"/>
          <w:szCs w:val="52"/>
        </w:rPr>
        <w:t>采购需求</w:t>
      </w:r>
    </w:p>
    <w:p>
      <w:pPr>
        <w:ind w:firstLine="0" w:firstLineChars="0"/>
        <w:jc w:val="center"/>
        <w:rPr>
          <w:rFonts w:ascii="黑体" w:hAnsi="黑体" w:eastAsia="黑体"/>
          <w:sz w:val="72"/>
          <w:szCs w:val="72"/>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p>
    <w:p>
      <w:pPr>
        <w:ind w:firstLine="1040"/>
        <w:rPr>
          <w:rFonts w:ascii="黑体" w:hAnsi="黑体" w:eastAsia="黑体"/>
          <w:sz w:val="52"/>
          <w:szCs w:val="52"/>
        </w:rPr>
      </w:pPr>
    </w:p>
    <w:p>
      <w:pPr>
        <w:ind w:firstLine="560"/>
      </w:pPr>
    </w:p>
    <w:p>
      <w:pPr>
        <w:ind w:firstLine="560"/>
      </w:pPr>
    </w:p>
    <w:p>
      <w:pPr>
        <w:ind w:firstLine="560"/>
      </w:pPr>
    </w:p>
    <w:p>
      <w:pPr>
        <w:ind w:firstLine="560"/>
      </w:pPr>
    </w:p>
    <w:p>
      <w:pPr>
        <w:ind w:firstLine="560"/>
      </w:pPr>
    </w:p>
    <w:p>
      <w:pPr>
        <w:ind w:firstLine="1040"/>
        <w:rPr>
          <w:rFonts w:ascii="黑体" w:hAnsi="黑体" w:eastAsia="黑体"/>
          <w:sz w:val="52"/>
          <w:szCs w:val="52"/>
        </w:rPr>
      </w:pPr>
    </w:p>
    <w:p>
      <w:pPr>
        <w:ind w:firstLine="560"/>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pPr>
      <w:bookmarkStart w:id="0" w:name="_Toc63785461"/>
      <w:r>
        <w:rPr>
          <w:rFonts w:hint="eastAsia"/>
        </w:rPr>
        <w:t>项目概况</w:t>
      </w:r>
      <w:bookmarkEnd w:id="0"/>
    </w:p>
    <w:p>
      <w:pPr>
        <w:ind w:firstLine="560"/>
      </w:pPr>
      <w:r>
        <w:rPr>
          <w:rFonts w:hint="eastAsia"/>
        </w:rPr>
        <w:t>根据《2024年上海市优化政务服务提升行政效能深化“一网通办”改革工作任务分工的通知》《上海市教育数字化转型重点场景建设方案（2021-2023）》《全面建设高质量幼儿园的实施意见》等文件要求，本项目拟建设：数据监测面板和领导驾驶舱，实现关键指标动态感知，以数据可视化推动学前教育决策分析和流程再造；优化入园报名系统功能，提升“好办”能力和智能化水平，实现“799”服务效能，确保12万幼儿顺利入园报名；推进“15分钟社区生活圈”行动，加快“托育服务随心查”场景落地，为家长提供各类托育服务点位查询，支持“15分钟社区托育服务圈”的线上宣传与导航；优化管理通模块，建设教研协同相关功能，促进教研资源的共享和教案协同，实现与全国学前教育管理。</w:t>
      </w:r>
    </w:p>
    <w:p>
      <w:pPr>
        <w:ind w:firstLine="560"/>
      </w:pPr>
      <w:r>
        <w:rPr>
          <w:rFonts w:hint="eastAsia"/>
        </w:rPr>
        <w:t>建设期限：</w:t>
      </w:r>
      <w:r>
        <w:rPr>
          <w:lang w:bidi="ar"/>
        </w:rPr>
        <w:t>自</w:t>
      </w:r>
      <w:r>
        <w:rPr>
          <w:rFonts w:hint="eastAsia"/>
          <w:lang w:bidi="ar"/>
        </w:rPr>
        <w:t>合同签订之日起至2025年</w:t>
      </w:r>
      <w:r>
        <w:rPr>
          <w:lang w:bidi="ar"/>
        </w:rPr>
        <w:t>10</w:t>
      </w:r>
      <w:r>
        <w:rPr>
          <w:rFonts w:hint="eastAsia"/>
          <w:lang w:bidi="ar"/>
        </w:rPr>
        <w:t>月</w:t>
      </w:r>
      <w:r>
        <w:rPr>
          <w:lang w:bidi="ar"/>
        </w:rPr>
        <w:t>31</w:t>
      </w:r>
      <w:r>
        <w:rPr>
          <w:rFonts w:hint="eastAsia"/>
          <w:lang w:bidi="ar"/>
        </w:rPr>
        <w:t>日</w:t>
      </w:r>
      <w:r>
        <w:rPr>
          <w:rFonts w:hint="eastAsia"/>
        </w:rPr>
        <w:t>。</w:t>
      </w:r>
    </w:p>
    <w:p>
      <w:pPr>
        <w:ind w:firstLine="560"/>
      </w:pPr>
      <w:r>
        <w:rPr>
          <w:rFonts w:hint="eastAsia"/>
        </w:rPr>
        <w:t>建设地点：上海</w:t>
      </w:r>
    </w:p>
    <w:p>
      <w:pPr>
        <w:ind w:firstLine="560"/>
      </w:pPr>
      <w:r>
        <w:rPr>
          <w:rFonts w:hint="eastAsia"/>
        </w:rPr>
        <w:t>预算金额：1525000元</w:t>
      </w:r>
    </w:p>
    <w:p>
      <w:pPr>
        <w:ind w:firstLine="560"/>
      </w:pPr>
      <w:r>
        <w:rPr>
          <w:rFonts w:hint="eastAsia"/>
        </w:rPr>
        <w:t>采购金额（最高限价）：1525000元</w:t>
      </w:r>
    </w:p>
    <w:p>
      <w:pPr>
        <w:ind w:firstLine="560"/>
      </w:pPr>
      <w:r>
        <w:rPr>
          <w:rFonts w:hint="eastAsia"/>
        </w:rPr>
        <w:t>组织形式：集中采购</w:t>
      </w:r>
    </w:p>
    <w:p>
      <w:pPr>
        <w:ind w:firstLine="560"/>
      </w:pPr>
      <w:r>
        <w:rPr>
          <w:rFonts w:hint="eastAsia"/>
        </w:rPr>
        <w:t>采购方式：竞争性磋商</w:t>
      </w:r>
    </w:p>
    <w:p>
      <w:pPr>
        <w:ind w:firstLine="560"/>
      </w:pPr>
      <w:r>
        <w:rPr>
          <w:rFonts w:hint="eastAsia"/>
        </w:rPr>
        <w:t>是否接受联合体投标：否</w:t>
      </w:r>
    </w:p>
    <w:p>
      <w:pPr>
        <w:ind w:firstLine="560"/>
      </w:pPr>
      <w:r>
        <w:rPr>
          <w:rFonts w:hint="eastAsia"/>
        </w:rPr>
        <w:t>是否按信创要求建设：是</w:t>
      </w:r>
    </w:p>
    <w:p>
      <w:pPr>
        <w:ind w:firstLine="560"/>
      </w:pPr>
      <w:r>
        <w:rPr>
          <w:rFonts w:hint="eastAsia"/>
        </w:rPr>
        <w:t>运维后所属大系统：上海市</w:t>
      </w:r>
      <w:r>
        <w:rPr>
          <w:rFonts w:hint="eastAsia"/>
          <w:lang w:bidi="ar"/>
        </w:rPr>
        <w:t>教育办事服务系统</w:t>
      </w:r>
    </w:p>
    <w:p>
      <w:pPr>
        <w:pStyle w:val="2"/>
      </w:pPr>
      <w:bookmarkStart w:id="1" w:name="_Toc47533256"/>
      <w:bookmarkEnd w:id="1"/>
      <w:bookmarkStart w:id="2" w:name="_Toc47536644"/>
      <w:bookmarkEnd w:id="2"/>
      <w:bookmarkStart w:id="3" w:name="_Toc47532255"/>
      <w:bookmarkEnd w:id="3"/>
      <w:bookmarkStart w:id="4" w:name="_Toc47537134"/>
      <w:bookmarkEnd w:id="4"/>
      <w:bookmarkStart w:id="5" w:name="_Toc47539070"/>
      <w:bookmarkEnd w:id="5"/>
      <w:bookmarkStart w:id="6" w:name="_Toc47536272"/>
      <w:bookmarkEnd w:id="6"/>
      <w:bookmarkStart w:id="7" w:name="_Toc47531634"/>
      <w:bookmarkEnd w:id="7"/>
      <w:bookmarkStart w:id="8" w:name="_Toc47532891"/>
      <w:bookmarkEnd w:id="8"/>
      <w:bookmarkStart w:id="9" w:name="_Toc63785463"/>
      <w:bookmarkStart w:id="10" w:name="_Toc48223882"/>
      <w:r>
        <w:rPr>
          <w:rFonts w:hint="eastAsia"/>
        </w:rPr>
        <w:t>建设目标</w:t>
      </w:r>
      <w:bookmarkEnd w:id="9"/>
      <w:bookmarkEnd w:id="10"/>
    </w:p>
    <w:p>
      <w:pPr>
        <w:pStyle w:val="3"/>
        <w:rPr>
          <w:rFonts w:hAnsi="宋体" w:cs="仿宋_GB2312"/>
          <w:color w:val="000000"/>
          <w:kern w:val="0"/>
          <w:sz w:val="28"/>
          <w:szCs w:val="28"/>
          <w:lang w:bidi="ar"/>
        </w:rPr>
      </w:pPr>
      <w:r>
        <w:rPr>
          <w:rFonts w:hint="eastAsia" w:hAnsi="宋体" w:cs="仿宋_GB2312"/>
          <w:color w:val="000000"/>
          <w:kern w:val="0"/>
          <w:sz w:val="28"/>
          <w:szCs w:val="28"/>
          <w:lang w:bidi="ar"/>
        </w:rPr>
        <w:t>总体建设目标</w:t>
      </w:r>
    </w:p>
    <w:p>
      <w:pPr>
        <w:ind w:firstLine="560"/>
        <w:rPr>
          <w:rFonts w:hAnsi="宋体" w:cs="仿宋_GB2312"/>
          <w:color w:val="000000"/>
          <w:kern w:val="0"/>
          <w:szCs w:val="28"/>
          <w:lang w:bidi="ar"/>
        </w:rPr>
      </w:pPr>
      <w:r>
        <w:rPr>
          <w:rFonts w:hint="eastAsia" w:hAnsi="宋体" w:cs="仿宋_GB2312"/>
          <w:color w:val="000000"/>
          <w:kern w:val="0"/>
          <w:szCs w:val="28"/>
          <w:lang w:bidi="ar"/>
        </w:rPr>
        <w:t>根据《2024年上海市优化政务服务提升行政效能深化“一网通办”改革工作任务分工的通知》《上海市教育数字化转型重点场景建设方案（2021-2023）》《全面建设高质量幼儿园的实施意见》等文件要求，以“儿童发展优先”为原则，围绕六大试点应用场景，构建数据监测面板和领导驾驶舱，实现关键指标动态感知，以数据可视化推动学前教育决策分析和流程再造；优化入园报名系统功能，提升“好办”能力和智能化水平，实现“799”服务效能，确保12万幼儿顺利入园报名，杜绝因信息系统故障导致的服务中断；推进“15分钟社区生活圈”行动，加快“托育服务随心查”场景落地，为家长提供各类托育服务点位查询，支持“15分钟社区托育服务圈”的线上宣传与导航；优化管理通模块，建设教研协同相关功能，促进教研资源的共享和教案协同，实现与全国学前教育管理信息系统数据自动化同步对接。</w:t>
      </w:r>
    </w:p>
    <w:p>
      <w:pPr>
        <w:pStyle w:val="3"/>
      </w:pPr>
      <w:bookmarkStart w:id="11" w:name="_Toc6994"/>
      <w:r>
        <w:rPr>
          <w:rFonts w:hint="eastAsia"/>
        </w:rPr>
        <w:t>应用</w:t>
      </w:r>
      <w:bookmarkEnd w:id="11"/>
      <w:r>
        <w:rPr>
          <w:rFonts w:hint="eastAsia"/>
        </w:rPr>
        <w:t>指标</w:t>
      </w:r>
    </w:p>
    <w:p>
      <w:pPr>
        <w:ind w:firstLine="560"/>
      </w:pPr>
      <w:r>
        <w:rPr>
          <w:rFonts w:hint="eastAsia"/>
        </w:rPr>
        <w:t>1、新建学前教育监测与管理数据可视化模块，</w:t>
      </w:r>
      <w:r>
        <w:rPr>
          <w:rFonts w:hint="eastAsia"/>
          <w:lang w:eastAsia="zh"/>
        </w:rPr>
        <w:t>围绕“幼儿入园招生全程网办</w:t>
      </w:r>
      <w:r>
        <w:rPr>
          <w:rFonts w:hint="eastAsia"/>
        </w:rPr>
        <w:t>”“</w:t>
      </w:r>
      <w:r>
        <w:rPr>
          <w:rFonts w:hint="eastAsia"/>
          <w:lang w:eastAsia="zh"/>
        </w:rPr>
        <w:t>幼儿来离园智能管理</w:t>
      </w:r>
      <w:r>
        <w:rPr>
          <w:rFonts w:hint="eastAsia"/>
        </w:rPr>
        <w:t>”“</w:t>
      </w:r>
      <w:r>
        <w:rPr>
          <w:rFonts w:hint="eastAsia"/>
          <w:lang w:eastAsia="zh"/>
        </w:rPr>
        <w:t>幼儿健康常态监测”等试点应用场景，构建领导驾驶舱与面向</w:t>
      </w:r>
      <w:r>
        <w:rPr>
          <w:rFonts w:hint="eastAsia"/>
        </w:rPr>
        <w:t>市、</w:t>
      </w:r>
      <w:r>
        <w:rPr>
          <w:rFonts w:hint="eastAsia"/>
          <w:lang w:eastAsia="zh"/>
        </w:rPr>
        <w:t>区、</w:t>
      </w:r>
      <w:r>
        <w:rPr>
          <w:rFonts w:hint="eastAsia"/>
        </w:rPr>
        <w:t>街镇、园所</w:t>
      </w:r>
      <w:r>
        <w:rPr>
          <w:rFonts w:hint="eastAsia"/>
          <w:lang w:eastAsia="zh"/>
        </w:rPr>
        <w:t>的数据监测面板。</w:t>
      </w:r>
    </w:p>
    <w:p>
      <w:pPr>
        <w:ind w:firstLine="560"/>
      </w:pPr>
      <w:r>
        <w:rPr>
          <w:rFonts w:hint="eastAsia"/>
        </w:rPr>
        <w:t>2、优化适龄幼儿入园登记及报名模块，</w:t>
      </w:r>
      <w:r>
        <w:t>支持全市统一登记与各区自主配置报名、验证、录取条件和规则，统一规范登记报名字段，提高申报过程中的条件预检和用户提交办件时的智能核验能力，提升各区报名录取管理的自服务能力。</w:t>
      </w:r>
      <w:r>
        <w:rPr>
          <w:rFonts w:hint="eastAsia"/>
        </w:rPr>
        <w:t>优化系统性能，增加限流相关功能，开发灾备相关功能，确保</w:t>
      </w:r>
      <w:r>
        <w:t>适龄幼儿入园信息登记与报名</w:t>
      </w:r>
      <w:r>
        <w:rPr>
          <w:rFonts w:hint="eastAsia"/>
        </w:rPr>
        <w:t>的稳定运行，避免出现高峰情况下的系统故障宕机等突发状况。</w:t>
      </w:r>
    </w:p>
    <w:p>
      <w:pPr>
        <w:ind w:firstLine="560"/>
      </w:pPr>
      <w:r>
        <w:rPr>
          <w:rFonts w:hint="eastAsia"/>
        </w:rPr>
        <w:t>3、新建托育机构“随心查”模块，</w:t>
      </w:r>
      <w:r>
        <w:rPr>
          <w:rFonts w:hint="eastAsia"/>
          <w:lang w:eastAsia="zh"/>
        </w:rPr>
        <w:t>为家长提供幼儿园托班、托育机构、社区托育宝宝屋、科学育儿指导服务站等各类托育服务点位的查询服务</w:t>
      </w:r>
      <w:r>
        <w:rPr>
          <w:rFonts w:hint="eastAsia"/>
        </w:rPr>
        <w:t>。</w:t>
      </w:r>
    </w:p>
    <w:p>
      <w:pPr>
        <w:ind w:firstLine="560"/>
      </w:pPr>
      <w:r>
        <w:rPr>
          <w:rFonts w:hint="eastAsia"/>
        </w:rPr>
        <w:t>4、优化“管理通”模块，</w:t>
      </w:r>
      <w:r>
        <w:t>通过统一和规范字段定义，授权自动调取教师、机构、幼儿及监护人数据并进行智能核验，提高数据的准确性和完整性。</w:t>
      </w:r>
      <w:r>
        <w:rPr>
          <w:rFonts w:hint="eastAsia"/>
        </w:rPr>
        <w:t>实现</w:t>
      </w:r>
      <w:r>
        <w:t>学籍数据自动推送</w:t>
      </w:r>
      <w:r>
        <w:rPr>
          <w:rFonts w:hint="eastAsia"/>
        </w:rPr>
        <w:t>至</w:t>
      </w:r>
      <w:r>
        <w:t>全国学前教育系统，降低人工录入错误和人力成本。</w:t>
      </w:r>
    </w:p>
    <w:p>
      <w:pPr>
        <w:pStyle w:val="3"/>
      </w:pPr>
      <w:bookmarkStart w:id="12" w:name="_Toc29512"/>
      <w:r>
        <w:rPr>
          <w:rFonts w:hint="eastAsia"/>
        </w:rPr>
        <w:t>技术</w:t>
      </w:r>
      <w:bookmarkEnd w:id="12"/>
      <w:r>
        <w:rPr>
          <w:rFonts w:hint="eastAsia"/>
        </w:rPr>
        <w:t>指标</w:t>
      </w:r>
    </w:p>
    <w:p>
      <w:pPr>
        <w:numPr>
          <w:ilvl w:val="0"/>
          <w:numId w:val="4"/>
        </w:numPr>
        <w:ind w:firstLine="420" w:firstLineChars="0"/>
      </w:pPr>
      <w:r>
        <w:t>符合信息技术应用创新产业相关要求</w:t>
      </w:r>
      <w:r>
        <w:rPr>
          <w:rFonts w:hint="eastAsia"/>
        </w:rPr>
        <w:t>；</w:t>
      </w:r>
    </w:p>
    <w:p>
      <w:pPr>
        <w:numPr>
          <w:ilvl w:val="0"/>
          <w:numId w:val="4"/>
        </w:numPr>
        <w:ind w:firstLine="420" w:firstLineChars="0"/>
      </w:pPr>
      <w:r>
        <w:rPr>
          <w:rFonts w:hint="eastAsia"/>
        </w:rPr>
        <w:t>根据功能设计要求保质保量完成开发，经过试运行各项功能运行正常，且须通过第三方机构的安全测评、软件测试、密码应用测评；</w:t>
      </w:r>
    </w:p>
    <w:p>
      <w:pPr>
        <w:numPr>
          <w:ilvl w:val="0"/>
          <w:numId w:val="4"/>
        </w:numPr>
        <w:ind w:firstLine="420" w:firstLineChars="0"/>
      </w:pPr>
      <w:r>
        <w:rPr>
          <w:rFonts w:hint="eastAsia"/>
        </w:rPr>
        <w:t>系统应</w:t>
      </w:r>
      <w:r>
        <w:t>7</w:t>
      </w:r>
      <w:r>
        <w:rPr>
          <w:rFonts w:hint="eastAsia"/>
        </w:rPr>
        <w:t>×</w:t>
      </w:r>
      <w:r>
        <w:t>24小时运转，保持系统的稳定性和可靠性</w:t>
      </w:r>
      <w:r>
        <w:rPr>
          <w:rFonts w:hint="eastAsia"/>
        </w:rPr>
        <w:t>；</w:t>
      </w:r>
    </w:p>
    <w:p>
      <w:pPr>
        <w:numPr>
          <w:ilvl w:val="0"/>
          <w:numId w:val="4"/>
        </w:numPr>
        <w:ind w:firstLine="420" w:firstLineChars="0"/>
      </w:pPr>
      <w:r>
        <w:t>界面简单查询响应时间≤2秒</w:t>
      </w:r>
      <w:r>
        <w:rPr>
          <w:rFonts w:hint="eastAsia"/>
        </w:rPr>
        <w:t>；</w:t>
      </w:r>
      <w:r>
        <w:t>界面复杂统计查询响应时间≤5秒</w:t>
      </w:r>
      <w:r>
        <w:rPr>
          <w:rFonts w:hint="eastAsia"/>
        </w:rPr>
        <w:t>；</w:t>
      </w:r>
    </w:p>
    <w:p>
      <w:pPr>
        <w:numPr>
          <w:ilvl w:val="0"/>
          <w:numId w:val="4"/>
        </w:numPr>
        <w:ind w:firstLine="420" w:firstLineChars="0"/>
      </w:pPr>
      <w:r>
        <w:rPr>
          <w:rFonts w:hint="eastAsia" w:ascii="仿宋" w:hAnsi="仿宋" w:eastAsia="仿宋"/>
          <w:bCs/>
          <w:szCs w:val="28"/>
        </w:rPr>
        <w:t>系统</w:t>
      </w:r>
      <w:r>
        <w:rPr>
          <w:rFonts w:ascii="仿宋" w:hAnsi="仿宋" w:eastAsia="仿宋"/>
          <w:bCs/>
          <w:szCs w:val="28"/>
        </w:rPr>
        <w:t>管理端支持用户并发数不低于120</w:t>
      </w:r>
      <w:r>
        <w:rPr>
          <w:rFonts w:hint="eastAsia" w:ascii="仿宋" w:hAnsi="仿宋" w:eastAsia="仿宋"/>
          <w:bCs/>
          <w:szCs w:val="28"/>
        </w:rPr>
        <w:t>；</w:t>
      </w:r>
      <w:r>
        <w:rPr>
          <w:rFonts w:hint="eastAsia"/>
        </w:rPr>
        <w:t>适龄幼儿入园登记及报名模块</w:t>
      </w:r>
      <w:r>
        <w:rPr>
          <w:rFonts w:hint="eastAsia" w:ascii="仿宋" w:hAnsi="仿宋" w:eastAsia="仿宋"/>
          <w:bCs/>
          <w:szCs w:val="28"/>
        </w:rPr>
        <w:t>家长端支持用户并发数不低于10</w:t>
      </w:r>
      <w:r>
        <w:rPr>
          <w:rFonts w:ascii="仿宋" w:hAnsi="仿宋" w:eastAsia="仿宋"/>
          <w:bCs/>
          <w:szCs w:val="28"/>
        </w:rPr>
        <w:t>00</w:t>
      </w:r>
      <w:r>
        <w:rPr>
          <w:rFonts w:hint="eastAsia" w:ascii="仿宋" w:hAnsi="仿宋" w:eastAsia="仿宋"/>
          <w:bCs/>
          <w:szCs w:val="28"/>
        </w:rPr>
        <w:t>；</w:t>
      </w:r>
      <w:r>
        <w:rPr>
          <w:rFonts w:hint="eastAsia"/>
        </w:rPr>
        <w:t>托育机构“随心查”模块</w:t>
      </w:r>
      <w:r>
        <w:rPr>
          <w:rFonts w:hint="eastAsia" w:ascii="仿宋" w:hAnsi="仿宋" w:eastAsia="仿宋"/>
          <w:bCs/>
          <w:szCs w:val="28"/>
        </w:rPr>
        <w:t>用户端支持用户并发数不低于200。</w:t>
      </w:r>
    </w:p>
    <w:p>
      <w:pPr>
        <w:pStyle w:val="3"/>
      </w:pPr>
      <w:r>
        <w:rPr>
          <w:rFonts w:hint="eastAsia"/>
        </w:rPr>
        <w:t>绩效目标</w:t>
      </w:r>
    </w:p>
    <w:p>
      <w:pPr>
        <w:ind w:firstLine="560"/>
      </w:pPr>
      <w:r>
        <w:rPr>
          <w:rFonts w:hint="eastAsia"/>
        </w:rPr>
        <w:t>1、学前教育监测与管理数据可视化模块</w:t>
      </w:r>
    </w:p>
    <w:p>
      <w:pPr>
        <w:ind w:firstLine="560"/>
      </w:pPr>
      <w:r>
        <w:rPr>
          <w:rFonts w:hint="eastAsia"/>
          <w:lang w:eastAsia="zh"/>
        </w:rPr>
        <w:t>实现</w:t>
      </w:r>
      <w:r>
        <w:rPr>
          <w:rFonts w:hint="eastAsia"/>
        </w:rPr>
        <w:t>学前教育6个重点业务场景</w:t>
      </w:r>
      <w:r>
        <w:rPr>
          <w:rFonts w:hint="eastAsia"/>
          <w:lang w:eastAsia="zh"/>
        </w:rPr>
        <w:t>关键</w:t>
      </w:r>
      <w:r>
        <w:rPr>
          <w:rFonts w:hint="eastAsia"/>
        </w:rPr>
        <w:t>监测</w:t>
      </w:r>
      <w:r>
        <w:rPr>
          <w:rFonts w:hint="eastAsia"/>
          <w:lang w:eastAsia="zh"/>
        </w:rPr>
        <w:t>指标的动态感知，通过数据可视化推进学前教育的决策分析和流程再造。领导和管理人员能够实时监控和调整策略，确保学前教育各项工作的高效运行和科学管理，显著提升管理水平和决策的准确性</w:t>
      </w:r>
      <w:r>
        <w:rPr>
          <w:rFonts w:hint="eastAsia"/>
        </w:rPr>
        <w:t>。</w:t>
      </w:r>
    </w:p>
    <w:p>
      <w:pPr>
        <w:ind w:firstLine="560"/>
      </w:pPr>
      <w:r>
        <w:rPr>
          <w:rFonts w:hint="eastAsia"/>
        </w:rPr>
        <w:t>2、适龄幼儿入园登记及报名模块</w:t>
      </w:r>
    </w:p>
    <w:p>
      <w:pPr>
        <w:ind w:firstLine="560"/>
      </w:pPr>
      <w:r>
        <w:t>提高申报过程中的条件预检和用户提交办件时的智能核验能力，</w:t>
      </w:r>
      <w:r>
        <w:rPr>
          <w:rFonts w:hint="eastAsia"/>
        </w:rPr>
        <w:t>使得</w:t>
      </w:r>
      <w:r>
        <w:t>整个入园流程更加</w:t>
      </w:r>
      <w:r>
        <w:rPr>
          <w:rFonts w:hint="eastAsia"/>
        </w:rPr>
        <w:t>简便</w:t>
      </w:r>
      <w:r>
        <w:t>顺畅</w:t>
      </w:r>
      <w:r>
        <w:rPr>
          <w:rFonts w:hint="eastAsia"/>
        </w:rPr>
        <w:t>，达到“智慧好办”服务要求；</w:t>
      </w:r>
      <w:r>
        <w:t>提升各区报名录取管理的自服务能力</w:t>
      </w:r>
      <w:r>
        <w:rPr>
          <w:rFonts w:hint="eastAsia"/>
        </w:rPr>
        <w:t>，提升业务人员工作效率</w:t>
      </w:r>
      <w:r>
        <w:t>，确保信息登记的准确性和公平性</w:t>
      </w:r>
      <w:r>
        <w:rPr>
          <w:rFonts w:hint="eastAsia"/>
        </w:rPr>
        <w:t>。</w:t>
      </w:r>
    </w:p>
    <w:p>
      <w:pPr>
        <w:ind w:firstLine="560"/>
      </w:pPr>
      <w:r>
        <w:rPr>
          <w:rFonts w:hint="eastAsia"/>
        </w:rPr>
        <w:t>3、托育机构“随心查”模块</w:t>
      </w:r>
    </w:p>
    <w:p>
      <w:pPr>
        <w:ind w:firstLine="560"/>
      </w:pPr>
      <w:r>
        <w:rPr>
          <w:rFonts w:hint="eastAsia"/>
          <w:lang w:eastAsia="zh"/>
        </w:rPr>
        <w:t>支持“15分钟社区托育服务圈”的线上宣传与导航</w:t>
      </w:r>
      <w:r>
        <w:rPr>
          <w:rFonts w:hint="eastAsia"/>
        </w:rPr>
        <w:t>，</w:t>
      </w:r>
      <w:r>
        <w:rPr>
          <w:rFonts w:hint="eastAsia"/>
          <w:lang w:eastAsia="zh"/>
        </w:rPr>
        <w:t>为家长提供幼儿园托班、托育机构、社区托育宝宝屋、科学育儿指导服务站等各类托育服务点位的查询服务</w:t>
      </w:r>
      <w:r>
        <w:rPr>
          <w:rFonts w:hint="eastAsia"/>
        </w:rPr>
        <w:t>，</w:t>
      </w:r>
      <w:r>
        <w:rPr>
          <w:rFonts w:hint="eastAsia"/>
          <w:lang w:eastAsia="zh"/>
        </w:rPr>
        <w:t>提升家长获取托育资源的便利性和精准度</w:t>
      </w:r>
      <w:r>
        <w:rPr>
          <w:rFonts w:hint="eastAsia"/>
        </w:rPr>
        <w:t>。</w:t>
      </w:r>
    </w:p>
    <w:p>
      <w:pPr>
        <w:ind w:firstLine="560"/>
      </w:pPr>
      <w:r>
        <w:rPr>
          <w:rFonts w:hint="eastAsia"/>
        </w:rPr>
        <w:t>4、“管理通”模块</w:t>
      </w:r>
    </w:p>
    <w:p>
      <w:pPr>
        <w:ind w:firstLine="560"/>
      </w:pPr>
      <w:r>
        <w:rPr>
          <w:rFonts w:hint="eastAsia"/>
        </w:rPr>
        <w:t>实现核心业务数据的</w:t>
      </w:r>
      <w:r>
        <w:t>智能核验，提高数据的准确性和完整性</w:t>
      </w:r>
      <w:r>
        <w:rPr>
          <w:rFonts w:hint="eastAsia"/>
        </w:rPr>
        <w:t>。</w:t>
      </w:r>
      <w:r>
        <w:t>改善幼儿延迟毕业管理、临聘人员管理、教职工执业信息补充以及区级幼儿数据对接和共享等业务流程，提高整体工作效率</w:t>
      </w:r>
      <w:r>
        <w:rPr>
          <w:rFonts w:hint="eastAsia"/>
        </w:rPr>
        <w:t>。实现</w:t>
      </w:r>
      <w:r>
        <w:t>学籍数据自动推送全国学前教育系统功能，简化操作流程。</w:t>
      </w:r>
    </w:p>
    <w:tbl>
      <w:tblPr>
        <w:tblStyle w:val="35"/>
        <w:tblW w:w="814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21"/>
        <w:gridCol w:w="1467"/>
        <w:gridCol w:w="1289"/>
        <w:gridCol w:w="1206"/>
        <w:gridCol w:w="1465"/>
        <w:gridCol w:w="19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21" w:type="dxa"/>
            <w:shd w:val="clear" w:color="auto" w:fill="F1F1F1" w:themeFill="background1" w:themeFillShade="F2"/>
            <w:vAlign w:val="center"/>
          </w:tcPr>
          <w:p>
            <w:pPr>
              <w:pStyle w:val="135"/>
              <w:widowControl w:val="0"/>
              <w:adjustRightInd w:val="0"/>
              <w:snapToGrid w:val="0"/>
              <w:jc w:val="center"/>
              <w:rPr>
                <w:b/>
                <w:bCs/>
                <w:sz w:val="24"/>
              </w:rPr>
            </w:pPr>
            <w:r>
              <w:rPr>
                <w:rFonts w:hint="eastAsia"/>
                <w:b/>
                <w:bCs/>
                <w:sz w:val="24"/>
              </w:rPr>
              <w:t>序号</w:t>
            </w:r>
          </w:p>
        </w:tc>
        <w:tc>
          <w:tcPr>
            <w:tcW w:w="1467" w:type="dxa"/>
            <w:shd w:val="clear" w:color="auto" w:fill="F1F1F1" w:themeFill="background1" w:themeFillShade="F2"/>
            <w:vAlign w:val="center"/>
          </w:tcPr>
          <w:p>
            <w:pPr>
              <w:pStyle w:val="135"/>
              <w:widowControl w:val="0"/>
              <w:adjustRightInd w:val="0"/>
              <w:snapToGrid w:val="0"/>
              <w:jc w:val="center"/>
              <w:rPr>
                <w:b/>
                <w:bCs/>
                <w:sz w:val="24"/>
              </w:rPr>
            </w:pPr>
            <w:r>
              <w:rPr>
                <w:rFonts w:hint="eastAsia"/>
                <w:b/>
                <w:bCs/>
                <w:sz w:val="24"/>
              </w:rPr>
              <w:t>一级指标</w:t>
            </w:r>
          </w:p>
        </w:tc>
        <w:tc>
          <w:tcPr>
            <w:tcW w:w="1289" w:type="dxa"/>
            <w:shd w:val="clear" w:color="auto" w:fill="F1F1F1" w:themeFill="background1" w:themeFillShade="F2"/>
            <w:vAlign w:val="center"/>
          </w:tcPr>
          <w:p>
            <w:pPr>
              <w:pStyle w:val="135"/>
              <w:widowControl w:val="0"/>
              <w:adjustRightInd w:val="0"/>
              <w:snapToGrid w:val="0"/>
              <w:jc w:val="center"/>
              <w:rPr>
                <w:b/>
                <w:bCs/>
                <w:sz w:val="24"/>
              </w:rPr>
            </w:pPr>
            <w:r>
              <w:rPr>
                <w:rFonts w:hint="eastAsia"/>
                <w:b/>
                <w:bCs/>
                <w:sz w:val="24"/>
              </w:rPr>
              <w:t>二级指标</w:t>
            </w:r>
          </w:p>
        </w:tc>
        <w:tc>
          <w:tcPr>
            <w:tcW w:w="1206" w:type="dxa"/>
            <w:shd w:val="clear" w:color="auto" w:fill="F1F1F1" w:themeFill="background1" w:themeFillShade="F2"/>
            <w:vAlign w:val="center"/>
          </w:tcPr>
          <w:p>
            <w:pPr>
              <w:pStyle w:val="135"/>
              <w:widowControl w:val="0"/>
              <w:adjustRightInd w:val="0"/>
              <w:snapToGrid w:val="0"/>
              <w:jc w:val="center"/>
              <w:rPr>
                <w:b/>
                <w:bCs/>
                <w:sz w:val="24"/>
              </w:rPr>
            </w:pPr>
            <w:r>
              <w:rPr>
                <w:rFonts w:hint="eastAsia"/>
                <w:b/>
                <w:bCs/>
                <w:sz w:val="24"/>
              </w:rPr>
              <w:t>三级指标</w:t>
            </w:r>
          </w:p>
        </w:tc>
        <w:tc>
          <w:tcPr>
            <w:tcW w:w="1465" w:type="dxa"/>
            <w:shd w:val="clear" w:color="auto" w:fill="F1F1F1" w:themeFill="background1" w:themeFillShade="F2"/>
          </w:tcPr>
          <w:p>
            <w:pPr>
              <w:pStyle w:val="135"/>
              <w:widowControl w:val="0"/>
              <w:adjustRightInd w:val="0"/>
              <w:snapToGrid w:val="0"/>
              <w:jc w:val="center"/>
              <w:rPr>
                <w:b/>
                <w:bCs/>
                <w:sz w:val="24"/>
              </w:rPr>
            </w:pPr>
            <w:r>
              <w:rPr>
                <w:rFonts w:hint="eastAsia"/>
                <w:b/>
                <w:bCs/>
                <w:sz w:val="24"/>
              </w:rPr>
              <w:t>四级指标</w:t>
            </w:r>
          </w:p>
        </w:tc>
        <w:tc>
          <w:tcPr>
            <w:tcW w:w="1998" w:type="dxa"/>
            <w:shd w:val="clear" w:color="auto" w:fill="F1F1F1" w:themeFill="background1" w:themeFillShade="F2"/>
            <w:vAlign w:val="center"/>
          </w:tcPr>
          <w:p>
            <w:pPr>
              <w:pStyle w:val="135"/>
              <w:widowControl w:val="0"/>
              <w:adjustRightInd w:val="0"/>
              <w:snapToGrid w:val="0"/>
              <w:jc w:val="center"/>
              <w:rPr>
                <w:b/>
                <w:bCs/>
                <w:sz w:val="24"/>
              </w:rPr>
            </w:pPr>
            <w:r>
              <w:rPr>
                <w:rFonts w:hint="eastAsia"/>
                <w:b/>
                <w:bCs/>
                <w:sz w:val="24"/>
              </w:rPr>
              <w:t>指标值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21" w:type="dxa"/>
            <w:shd w:val="clear" w:color="auto" w:fill="auto"/>
            <w:vAlign w:val="center"/>
          </w:tcPr>
          <w:p>
            <w:pPr>
              <w:pStyle w:val="135"/>
              <w:adjustRightInd w:val="0"/>
              <w:snapToGrid w:val="0"/>
              <w:jc w:val="center"/>
              <w:rPr>
                <w:sz w:val="24"/>
              </w:rPr>
            </w:pPr>
            <w:r>
              <w:rPr>
                <w:sz w:val="24"/>
              </w:rPr>
              <w:t>1</w:t>
            </w:r>
          </w:p>
        </w:tc>
        <w:tc>
          <w:tcPr>
            <w:tcW w:w="1467" w:type="dxa"/>
            <w:shd w:val="clear" w:color="auto" w:fill="auto"/>
            <w:vAlign w:val="center"/>
          </w:tcPr>
          <w:p>
            <w:pPr>
              <w:pStyle w:val="135"/>
              <w:adjustRightInd w:val="0"/>
              <w:snapToGrid w:val="0"/>
              <w:jc w:val="center"/>
              <w:rPr>
                <w:sz w:val="24"/>
              </w:rPr>
            </w:pPr>
            <w:r>
              <w:rPr>
                <w:rFonts w:hint="eastAsia"/>
                <w:sz w:val="24"/>
              </w:rPr>
              <w:t>通用指标</w:t>
            </w:r>
          </w:p>
        </w:tc>
        <w:tc>
          <w:tcPr>
            <w:tcW w:w="1289" w:type="dxa"/>
            <w:shd w:val="clear" w:color="auto" w:fill="auto"/>
            <w:vAlign w:val="center"/>
          </w:tcPr>
          <w:p>
            <w:pPr>
              <w:pStyle w:val="135"/>
              <w:adjustRightInd w:val="0"/>
              <w:snapToGrid w:val="0"/>
              <w:jc w:val="center"/>
              <w:rPr>
                <w:sz w:val="24"/>
                <w:lang w:eastAsia="zh"/>
              </w:rPr>
            </w:pPr>
            <w:r>
              <w:rPr>
                <w:rFonts w:hint="eastAsia"/>
                <w:sz w:val="24"/>
                <w:lang w:eastAsia="zh"/>
              </w:rPr>
              <w:t>产出指标</w:t>
            </w:r>
          </w:p>
        </w:tc>
        <w:tc>
          <w:tcPr>
            <w:tcW w:w="1206" w:type="dxa"/>
            <w:shd w:val="clear" w:color="auto" w:fill="auto"/>
            <w:vAlign w:val="center"/>
          </w:tcPr>
          <w:p>
            <w:pPr>
              <w:pStyle w:val="135"/>
              <w:adjustRightInd w:val="0"/>
              <w:snapToGrid w:val="0"/>
              <w:jc w:val="center"/>
              <w:rPr>
                <w:sz w:val="24"/>
                <w:lang w:eastAsia="zh"/>
              </w:rPr>
            </w:pPr>
            <w:r>
              <w:rPr>
                <w:rFonts w:hint="eastAsia"/>
                <w:sz w:val="24"/>
                <w:lang w:eastAsia="zh"/>
              </w:rPr>
              <w:t>产出质量</w:t>
            </w:r>
          </w:p>
        </w:tc>
        <w:tc>
          <w:tcPr>
            <w:tcW w:w="1465" w:type="dxa"/>
          </w:tcPr>
          <w:p>
            <w:pPr>
              <w:pStyle w:val="135"/>
              <w:adjustRightInd w:val="0"/>
              <w:snapToGrid w:val="0"/>
              <w:jc w:val="center"/>
              <w:rPr>
                <w:sz w:val="24"/>
              </w:rPr>
            </w:pPr>
            <w:r>
              <w:rPr>
                <w:rFonts w:hint="eastAsia"/>
                <w:sz w:val="24"/>
                <w:lang w:eastAsia="zh"/>
              </w:rPr>
              <w:t>一次性验收合格</w:t>
            </w:r>
            <w:r>
              <w:rPr>
                <w:rFonts w:hint="eastAsia"/>
                <w:sz w:val="24"/>
              </w:rPr>
              <w:t>率</w:t>
            </w:r>
          </w:p>
        </w:tc>
        <w:tc>
          <w:tcPr>
            <w:tcW w:w="1998" w:type="dxa"/>
            <w:shd w:val="clear" w:color="auto" w:fill="auto"/>
            <w:vAlign w:val="center"/>
          </w:tcPr>
          <w:p>
            <w:pPr>
              <w:pStyle w:val="135"/>
              <w:adjustRightInd w:val="0"/>
              <w:snapToGrid w:val="0"/>
              <w:jc w:val="center"/>
              <w:rPr>
                <w:sz w:val="24"/>
              </w:rPr>
            </w:pPr>
            <w:r>
              <w:rPr>
                <w:rFonts w:hint="eastAsia"/>
                <w:sz w:val="24"/>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21" w:type="dxa"/>
            <w:shd w:val="clear" w:color="auto" w:fill="auto"/>
            <w:vAlign w:val="center"/>
          </w:tcPr>
          <w:p>
            <w:pPr>
              <w:pStyle w:val="135"/>
              <w:adjustRightInd w:val="0"/>
              <w:snapToGrid w:val="0"/>
              <w:jc w:val="center"/>
              <w:rPr>
                <w:sz w:val="24"/>
                <w:lang w:eastAsia="zh"/>
              </w:rPr>
            </w:pPr>
            <w:r>
              <w:rPr>
                <w:rFonts w:hint="eastAsia"/>
                <w:sz w:val="24"/>
                <w:lang w:eastAsia="zh"/>
              </w:rPr>
              <w:t>2</w:t>
            </w:r>
          </w:p>
        </w:tc>
        <w:tc>
          <w:tcPr>
            <w:tcW w:w="1467" w:type="dxa"/>
            <w:shd w:val="clear" w:color="auto" w:fill="auto"/>
            <w:vAlign w:val="center"/>
          </w:tcPr>
          <w:p>
            <w:pPr>
              <w:pStyle w:val="135"/>
              <w:adjustRightInd w:val="0"/>
              <w:snapToGrid w:val="0"/>
              <w:jc w:val="center"/>
              <w:rPr>
                <w:sz w:val="24"/>
                <w:lang w:eastAsia="zh"/>
              </w:rPr>
            </w:pPr>
            <w:r>
              <w:rPr>
                <w:rFonts w:hint="eastAsia"/>
                <w:sz w:val="24"/>
                <w:lang w:eastAsia="zh"/>
              </w:rPr>
              <w:t>通用指标</w:t>
            </w:r>
          </w:p>
        </w:tc>
        <w:tc>
          <w:tcPr>
            <w:tcW w:w="1289" w:type="dxa"/>
            <w:shd w:val="clear" w:color="auto" w:fill="auto"/>
            <w:vAlign w:val="center"/>
          </w:tcPr>
          <w:p>
            <w:pPr>
              <w:pStyle w:val="135"/>
              <w:adjustRightInd w:val="0"/>
              <w:snapToGrid w:val="0"/>
              <w:jc w:val="center"/>
              <w:rPr>
                <w:sz w:val="24"/>
                <w:lang w:eastAsia="zh"/>
              </w:rPr>
            </w:pPr>
            <w:r>
              <w:rPr>
                <w:rFonts w:hint="eastAsia"/>
                <w:sz w:val="24"/>
                <w:lang w:eastAsia="zh"/>
              </w:rPr>
              <w:t>产出指标</w:t>
            </w:r>
          </w:p>
        </w:tc>
        <w:tc>
          <w:tcPr>
            <w:tcW w:w="1206" w:type="dxa"/>
            <w:shd w:val="clear" w:color="auto" w:fill="auto"/>
            <w:vAlign w:val="center"/>
          </w:tcPr>
          <w:p>
            <w:pPr>
              <w:pStyle w:val="135"/>
              <w:adjustRightInd w:val="0"/>
              <w:snapToGrid w:val="0"/>
              <w:jc w:val="center"/>
              <w:rPr>
                <w:sz w:val="24"/>
                <w:lang w:eastAsia="zh"/>
              </w:rPr>
            </w:pPr>
            <w:r>
              <w:rPr>
                <w:rFonts w:hint="eastAsia"/>
                <w:sz w:val="24"/>
                <w:lang w:eastAsia="zh"/>
              </w:rPr>
              <w:t>产出质量</w:t>
            </w:r>
          </w:p>
        </w:tc>
        <w:tc>
          <w:tcPr>
            <w:tcW w:w="1465" w:type="dxa"/>
          </w:tcPr>
          <w:p>
            <w:pPr>
              <w:pStyle w:val="135"/>
              <w:adjustRightInd w:val="0"/>
              <w:snapToGrid w:val="0"/>
              <w:jc w:val="center"/>
              <w:rPr>
                <w:sz w:val="24"/>
                <w:lang w:eastAsia="zh"/>
              </w:rPr>
            </w:pPr>
            <w:r>
              <w:rPr>
                <w:rFonts w:hint="eastAsia"/>
                <w:sz w:val="24"/>
                <w:lang w:eastAsia="zh"/>
              </w:rPr>
              <w:t>安全</w:t>
            </w:r>
            <w:r>
              <w:rPr>
                <w:rFonts w:hint="eastAsia"/>
                <w:sz w:val="24"/>
              </w:rPr>
              <w:t>事件</w:t>
            </w:r>
            <w:r>
              <w:rPr>
                <w:rFonts w:hint="eastAsia"/>
                <w:sz w:val="24"/>
                <w:lang w:eastAsia="zh"/>
              </w:rPr>
              <w:t>发生次数</w:t>
            </w:r>
          </w:p>
        </w:tc>
        <w:tc>
          <w:tcPr>
            <w:tcW w:w="1998" w:type="dxa"/>
            <w:shd w:val="clear" w:color="auto" w:fill="auto"/>
            <w:vAlign w:val="center"/>
          </w:tcPr>
          <w:p>
            <w:pPr>
              <w:pStyle w:val="135"/>
              <w:adjustRightInd w:val="0"/>
              <w:snapToGrid w:val="0"/>
              <w:jc w:val="center"/>
              <w:rPr>
                <w:sz w:val="24"/>
              </w:rPr>
            </w:pPr>
            <w:r>
              <w:rPr>
                <w:rFonts w:hint="eastAsia"/>
                <w:sz w:val="24"/>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21" w:type="dxa"/>
            <w:shd w:val="clear" w:color="auto" w:fill="auto"/>
            <w:vAlign w:val="center"/>
          </w:tcPr>
          <w:p>
            <w:pPr>
              <w:pStyle w:val="135"/>
              <w:adjustRightInd w:val="0"/>
              <w:snapToGrid w:val="0"/>
              <w:jc w:val="center"/>
              <w:rPr>
                <w:sz w:val="24"/>
                <w:lang w:eastAsia="zh"/>
              </w:rPr>
            </w:pPr>
            <w:r>
              <w:rPr>
                <w:rFonts w:hint="eastAsia"/>
                <w:sz w:val="24"/>
                <w:lang w:eastAsia="zh"/>
              </w:rPr>
              <w:t>3</w:t>
            </w:r>
          </w:p>
        </w:tc>
        <w:tc>
          <w:tcPr>
            <w:tcW w:w="1467" w:type="dxa"/>
            <w:shd w:val="clear" w:color="auto" w:fill="auto"/>
            <w:vAlign w:val="center"/>
          </w:tcPr>
          <w:p>
            <w:pPr>
              <w:pStyle w:val="135"/>
              <w:adjustRightInd w:val="0"/>
              <w:snapToGrid w:val="0"/>
              <w:jc w:val="center"/>
              <w:rPr>
                <w:sz w:val="24"/>
                <w:lang w:eastAsia="zh"/>
              </w:rPr>
            </w:pPr>
            <w:r>
              <w:rPr>
                <w:rFonts w:hint="eastAsia"/>
                <w:sz w:val="24"/>
                <w:lang w:eastAsia="zh"/>
              </w:rPr>
              <w:t>通用指标</w:t>
            </w:r>
          </w:p>
        </w:tc>
        <w:tc>
          <w:tcPr>
            <w:tcW w:w="1289" w:type="dxa"/>
            <w:shd w:val="clear" w:color="auto" w:fill="auto"/>
            <w:vAlign w:val="center"/>
          </w:tcPr>
          <w:p>
            <w:pPr>
              <w:pStyle w:val="135"/>
              <w:adjustRightInd w:val="0"/>
              <w:snapToGrid w:val="0"/>
              <w:jc w:val="center"/>
              <w:rPr>
                <w:sz w:val="24"/>
                <w:lang w:eastAsia="zh"/>
              </w:rPr>
            </w:pPr>
            <w:r>
              <w:rPr>
                <w:rFonts w:hint="eastAsia"/>
                <w:sz w:val="24"/>
                <w:lang w:eastAsia="zh"/>
              </w:rPr>
              <w:t>产出指标</w:t>
            </w:r>
          </w:p>
        </w:tc>
        <w:tc>
          <w:tcPr>
            <w:tcW w:w="1206" w:type="dxa"/>
            <w:shd w:val="clear" w:color="auto" w:fill="auto"/>
            <w:vAlign w:val="center"/>
          </w:tcPr>
          <w:p>
            <w:pPr>
              <w:pStyle w:val="135"/>
              <w:adjustRightInd w:val="0"/>
              <w:snapToGrid w:val="0"/>
              <w:jc w:val="center"/>
              <w:rPr>
                <w:sz w:val="24"/>
                <w:lang w:eastAsia="zh"/>
              </w:rPr>
            </w:pPr>
            <w:r>
              <w:rPr>
                <w:rFonts w:hint="eastAsia"/>
                <w:sz w:val="24"/>
                <w:lang w:eastAsia="zh"/>
              </w:rPr>
              <w:t>产出时效</w:t>
            </w:r>
          </w:p>
        </w:tc>
        <w:tc>
          <w:tcPr>
            <w:tcW w:w="1465" w:type="dxa"/>
          </w:tcPr>
          <w:p>
            <w:pPr>
              <w:pStyle w:val="135"/>
              <w:adjustRightInd w:val="0"/>
              <w:snapToGrid w:val="0"/>
              <w:jc w:val="center"/>
              <w:rPr>
                <w:sz w:val="24"/>
                <w:lang w:eastAsia="zh"/>
              </w:rPr>
            </w:pPr>
            <w:r>
              <w:rPr>
                <w:rFonts w:hint="eastAsia"/>
                <w:sz w:val="24"/>
                <w:lang w:eastAsia="zh"/>
              </w:rPr>
              <w:t>项目建设周期</w:t>
            </w:r>
          </w:p>
        </w:tc>
        <w:tc>
          <w:tcPr>
            <w:tcW w:w="1998" w:type="dxa"/>
            <w:shd w:val="clear" w:color="auto" w:fill="auto"/>
            <w:vAlign w:val="center"/>
          </w:tcPr>
          <w:p>
            <w:pPr>
              <w:pStyle w:val="135"/>
              <w:adjustRightInd w:val="0"/>
              <w:snapToGrid w:val="0"/>
              <w:jc w:val="center"/>
              <w:rPr>
                <w:sz w:val="24"/>
              </w:rPr>
            </w:pPr>
            <w:r>
              <w:rPr>
                <w:rFonts w:hint="eastAsia"/>
                <w:sz w:val="24"/>
              </w:rPr>
              <w:t>不超过</w:t>
            </w:r>
            <w:r>
              <w:rPr>
                <w:sz w:val="24"/>
              </w:rPr>
              <w:t>8</w:t>
            </w:r>
            <w:r>
              <w:rPr>
                <w:rFonts w:hint="eastAsia"/>
                <w:sz w:val="24"/>
              </w:rPr>
              <w:t>个月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21" w:type="dxa"/>
            <w:shd w:val="clear" w:color="auto" w:fill="auto"/>
            <w:vAlign w:val="center"/>
          </w:tcPr>
          <w:p>
            <w:pPr>
              <w:pStyle w:val="135"/>
              <w:adjustRightInd w:val="0"/>
              <w:snapToGrid w:val="0"/>
              <w:jc w:val="center"/>
              <w:rPr>
                <w:sz w:val="24"/>
                <w:lang w:eastAsia="zh"/>
              </w:rPr>
            </w:pPr>
            <w:r>
              <w:rPr>
                <w:rFonts w:hint="eastAsia"/>
                <w:sz w:val="24"/>
                <w:lang w:eastAsia="zh"/>
              </w:rPr>
              <w:t>4</w:t>
            </w:r>
          </w:p>
        </w:tc>
        <w:tc>
          <w:tcPr>
            <w:tcW w:w="1467" w:type="dxa"/>
            <w:shd w:val="clear" w:color="auto" w:fill="auto"/>
            <w:vAlign w:val="center"/>
          </w:tcPr>
          <w:p>
            <w:pPr>
              <w:pStyle w:val="135"/>
              <w:adjustRightInd w:val="0"/>
              <w:snapToGrid w:val="0"/>
              <w:jc w:val="center"/>
              <w:rPr>
                <w:sz w:val="24"/>
                <w:lang w:eastAsia="zh"/>
              </w:rPr>
            </w:pPr>
            <w:r>
              <w:rPr>
                <w:rFonts w:hint="eastAsia"/>
                <w:sz w:val="24"/>
                <w:lang w:eastAsia="zh"/>
              </w:rPr>
              <w:t>通用指标</w:t>
            </w:r>
          </w:p>
        </w:tc>
        <w:tc>
          <w:tcPr>
            <w:tcW w:w="1289" w:type="dxa"/>
            <w:shd w:val="clear" w:color="auto" w:fill="auto"/>
            <w:vAlign w:val="center"/>
          </w:tcPr>
          <w:p>
            <w:pPr>
              <w:pStyle w:val="135"/>
              <w:adjustRightInd w:val="0"/>
              <w:snapToGrid w:val="0"/>
              <w:jc w:val="center"/>
              <w:rPr>
                <w:sz w:val="24"/>
                <w:lang w:eastAsia="zh"/>
              </w:rPr>
            </w:pPr>
            <w:r>
              <w:rPr>
                <w:rFonts w:hint="eastAsia"/>
                <w:sz w:val="24"/>
                <w:lang w:eastAsia="zh"/>
              </w:rPr>
              <w:t>应用系统</w:t>
            </w:r>
          </w:p>
        </w:tc>
        <w:tc>
          <w:tcPr>
            <w:tcW w:w="1206" w:type="dxa"/>
            <w:shd w:val="clear" w:color="auto" w:fill="auto"/>
            <w:vAlign w:val="center"/>
          </w:tcPr>
          <w:p>
            <w:pPr>
              <w:pStyle w:val="135"/>
              <w:adjustRightInd w:val="0"/>
              <w:snapToGrid w:val="0"/>
              <w:jc w:val="center"/>
              <w:rPr>
                <w:sz w:val="24"/>
                <w:lang w:eastAsia="zh"/>
              </w:rPr>
            </w:pPr>
            <w:r>
              <w:rPr>
                <w:rFonts w:hint="eastAsia"/>
                <w:sz w:val="24"/>
                <w:lang w:eastAsia="zh"/>
              </w:rPr>
              <w:t>用户使用情况</w:t>
            </w:r>
          </w:p>
        </w:tc>
        <w:tc>
          <w:tcPr>
            <w:tcW w:w="1465" w:type="dxa"/>
          </w:tcPr>
          <w:p>
            <w:pPr>
              <w:pStyle w:val="135"/>
              <w:adjustRightInd w:val="0"/>
              <w:snapToGrid w:val="0"/>
              <w:jc w:val="center"/>
              <w:rPr>
                <w:sz w:val="24"/>
                <w:lang w:eastAsia="zh"/>
              </w:rPr>
            </w:pPr>
            <w:r>
              <w:rPr>
                <w:rFonts w:hint="eastAsia"/>
                <w:sz w:val="24"/>
                <w:lang w:eastAsia="zh"/>
              </w:rPr>
              <w:t>系统用户量</w:t>
            </w:r>
          </w:p>
        </w:tc>
        <w:tc>
          <w:tcPr>
            <w:tcW w:w="1998" w:type="dxa"/>
            <w:shd w:val="clear" w:color="auto" w:fill="auto"/>
            <w:vAlign w:val="center"/>
          </w:tcPr>
          <w:p>
            <w:pPr>
              <w:pStyle w:val="135"/>
              <w:adjustRightInd w:val="0"/>
              <w:snapToGrid w:val="0"/>
              <w:jc w:val="center"/>
              <w:rPr>
                <w:sz w:val="24"/>
              </w:rPr>
            </w:pPr>
            <w:r>
              <w:rPr>
                <w:sz w:val="24"/>
              </w:rPr>
              <w:t>150,000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21" w:type="dxa"/>
            <w:shd w:val="clear" w:color="auto" w:fill="auto"/>
            <w:vAlign w:val="center"/>
          </w:tcPr>
          <w:p>
            <w:pPr>
              <w:pStyle w:val="135"/>
              <w:adjustRightInd w:val="0"/>
              <w:snapToGrid w:val="0"/>
              <w:jc w:val="center"/>
              <w:rPr>
                <w:sz w:val="24"/>
                <w:lang w:eastAsia="zh"/>
              </w:rPr>
            </w:pPr>
            <w:r>
              <w:rPr>
                <w:rFonts w:hint="eastAsia"/>
                <w:sz w:val="24"/>
                <w:lang w:eastAsia="zh"/>
              </w:rPr>
              <w:t>5</w:t>
            </w:r>
          </w:p>
        </w:tc>
        <w:tc>
          <w:tcPr>
            <w:tcW w:w="1467" w:type="dxa"/>
            <w:shd w:val="clear" w:color="auto" w:fill="auto"/>
            <w:vAlign w:val="center"/>
          </w:tcPr>
          <w:p>
            <w:pPr>
              <w:pStyle w:val="135"/>
              <w:adjustRightInd w:val="0"/>
              <w:snapToGrid w:val="0"/>
              <w:jc w:val="center"/>
              <w:rPr>
                <w:sz w:val="24"/>
                <w:lang w:eastAsia="zh"/>
              </w:rPr>
            </w:pPr>
            <w:r>
              <w:rPr>
                <w:rFonts w:hint="eastAsia"/>
                <w:sz w:val="24"/>
                <w:lang w:eastAsia="zh"/>
              </w:rPr>
              <w:t>通用指标</w:t>
            </w:r>
          </w:p>
        </w:tc>
        <w:tc>
          <w:tcPr>
            <w:tcW w:w="1289" w:type="dxa"/>
            <w:shd w:val="clear" w:color="auto" w:fill="auto"/>
            <w:vAlign w:val="center"/>
          </w:tcPr>
          <w:p>
            <w:pPr>
              <w:pStyle w:val="135"/>
              <w:adjustRightInd w:val="0"/>
              <w:snapToGrid w:val="0"/>
              <w:jc w:val="center"/>
              <w:rPr>
                <w:sz w:val="24"/>
                <w:lang w:eastAsia="zh"/>
              </w:rPr>
            </w:pPr>
            <w:r>
              <w:rPr>
                <w:rFonts w:hint="eastAsia"/>
                <w:sz w:val="24"/>
              </w:rPr>
              <w:t>应用系统</w:t>
            </w:r>
          </w:p>
        </w:tc>
        <w:tc>
          <w:tcPr>
            <w:tcW w:w="1206" w:type="dxa"/>
            <w:shd w:val="clear" w:color="auto" w:fill="auto"/>
            <w:vAlign w:val="center"/>
          </w:tcPr>
          <w:p>
            <w:pPr>
              <w:pStyle w:val="135"/>
              <w:adjustRightInd w:val="0"/>
              <w:snapToGrid w:val="0"/>
              <w:jc w:val="center"/>
              <w:rPr>
                <w:sz w:val="24"/>
                <w:lang w:eastAsia="zh"/>
              </w:rPr>
            </w:pPr>
            <w:r>
              <w:rPr>
                <w:rFonts w:hint="eastAsia"/>
                <w:sz w:val="24"/>
              </w:rPr>
              <w:t>系统能力利用水平</w:t>
            </w:r>
          </w:p>
        </w:tc>
        <w:tc>
          <w:tcPr>
            <w:tcW w:w="1465" w:type="dxa"/>
          </w:tcPr>
          <w:p>
            <w:pPr>
              <w:pStyle w:val="135"/>
              <w:adjustRightInd w:val="0"/>
              <w:snapToGrid w:val="0"/>
              <w:jc w:val="center"/>
              <w:rPr>
                <w:sz w:val="24"/>
                <w:lang w:eastAsia="zh"/>
              </w:rPr>
            </w:pPr>
            <w:r>
              <w:rPr>
                <w:rFonts w:hint="eastAsia"/>
                <w:sz w:val="24"/>
              </w:rPr>
              <w:t>入园线上办件占比</w:t>
            </w:r>
          </w:p>
        </w:tc>
        <w:tc>
          <w:tcPr>
            <w:tcW w:w="1998" w:type="dxa"/>
            <w:shd w:val="clear" w:color="auto" w:fill="auto"/>
            <w:vAlign w:val="center"/>
          </w:tcPr>
          <w:p>
            <w:pPr>
              <w:pStyle w:val="135"/>
              <w:adjustRightInd w:val="0"/>
              <w:snapToGrid w:val="0"/>
              <w:jc w:val="center"/>
              <w:rPr>
                <w:sz w:val="24"/>
              </w:rPr>
            </w:pPr>
            <w:r>
              <w:rPr>
                <w:sz w:val="24"/>
              </w:rPr>
              <w:t>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21" w:type="dxa"/>
            <w:shd w:val="clear" w:color="auto" w:fill="auto"/>
            <w:vAlign w:val="center"/>
          </w:tcPr>
          <w:p>
            <w:pPr>
              <w:pStyle w:val="135"/>
              <w:adjustRightInd w:val="0"/>
              <w:snapToGrid w:val="0"/>
              <w:jc w:val="center"/>
              <w:rPr>
                <w:sz w:val="24"/>
              </w:rPr>
            </w:pPr>
            <w:r>
              <w:rPr>
                <w:rFonts w:hint="eastAsia"/>
                <w:sz w:val="24"/>
              </w:rPr>
              <w:t>6</w:t>
            </w:r>
          </w:p>
        </w:tc>
        <w:tc>
          <w:tcPr>
            <w:tcW w:w="1467" w:type="dxa"/>
            <w:shd w:val="clear" w:color="auto" w:fill="auto"/>
            <w:vAlign w:val="center"/>
          </w:tcPr>
          <w:p>
            <w:pPr>
              <w:pStyle w:val="135"/>
              <w:adjustRightInd w:val="0"/>
              <w:snapToGrid w:val="0"/>
              <w:jc w:val="center"/>
              <w:rPr>
                <w:sz w:val="24"/>
              </w:rPr>
            </w:pPr>
            <w:r>
              <w:rPr>
                <w:rFonts w:hint="eastAsia"/>
                <w:sz w:val="24"/>
              </w:rPr>
              <w:t>个性化指标</w:t>
            </w:r>
          </w:p>
        </w:tc>
        <w:tc>
          <w:tcPr>
            <w:tcW w:w="1289" w:type="dxa"/>
            <w:shd w:val="clear" w:color="auto" w:fill="auto"/>
            <w:vAlign w:val="center"/>
          </w:tcPr>
          <w:p>
            <w:pPr>
              <w:pStyle w:val="135"/>
              <w:adjustRightInd w:val="0"/>
              <w:snapToGrid w:val="0"/>
              <w:jc w:val="center"/>
              <w:rPr>
                <w:sz w:val="24"/>
              </w:rPr>
            </w:pPr>
            <w:r>
              <w:rPr>
                <w:rFonts w:hint="eastAsia"/>
                <w:sz w:val="24"/>
              </w:rPr>
              <w:t>产出指标</w:t>
            </w:r>
          </w:p>
        </w:tc>
        <w:tc>
          <w:tcPr>
            <w:tcW w:w="1206" w:type="dxa"/>
            <w:shd w:val="clear" w:color="auto" w:fill="auto"/>
            <w:vAlign w:val="center"/>
          </w:tcPr>
          <w:p>
            <w:pPr>
              <w:pStyle w:val="135"/>
              <w:adjustRightInd w:val="0"/>
              <w:snapToGrid w:val="0"/>
              <w:jc w:val="center"/>
              <w:rPr>
                <w:sz w:val="24"/>
              </w:rPr>
            </w:pPr>
            <w:r>
              <w:rPr>
                <w:rFonts w:hint="eastAsia"/>
                <w:sz w:val="24"/>
              </w:rPr>
              <w:t>产出数量</w:t>
            </w:r>
          </w:p>
        </w:tc>
        <w:tc>
          <w:tcPr>
            <w:tcW w:w="1465" w:type="dxa"/>
          </w:tcPr>
          <w:p>
            <w:pPr>
              <w:pStyle w:val="135"/>
              <w:adjustRightInd w:val="0"/>
              <w:snapToGrid w:val="0"/>
              <w:jc w:val="center"/>
              <w:rPr>
                <w:sz w:val="24"/>
              </w:rPr>
            </w:pPr>
            <w:r>
              <w:rPr>
                <w:rFonts w:hint="eastAsia"/>
                <w:sz w:val="24"/>
              </w:rPr>
              <w:t>学前教育监测和可视化场景数量</w:t>
            </w:r>
          </w:p>
        </w:tc>
        <w:tc>
          <w:tcPr>
            <w:tcW w:w="1998" w:type="dxa"/>
            <w:shd w:val="clear" w:color="auto" w:fill="auto"/>
            <w:vAlign w:val="center"/>
          </w:tcPr>
          <w:p>
            <w:pPr>
              <w:pStyle w:val="135"/>
              <w:adjustRightInd w:val="0"/>
              <w:snapToGrid w:val="0"/>
              <w:jc w:val="center"/>
              <w:rPr>
                <w:sz w:val="24"/>
              </w:rPr>
            </w:pPr>
            <w:r>
              <w:rPr>
                <w:rFonts w:hint="eastAsia"/>
                <w:sz w:val="24"/>
              </w:rPr>
              <w:t>6个</w:t>
            </w:r>
          </w:p>
        </w:tc>
      </w:tr>
    </w:tbl>
    <w:p>
      <w:pPr>
        <w:ind w:firstLine="0" w:firstLineChars="0"/>
      </w:pPr>
    </w:p>
    <w:p>
      <w:pPr>
        <w:pStyle w:val="2"/>
      </w:pPr>
      <w:bookmarkStart w:id="13" w:name="_Toc47536304"/>
      <w:bookmarkEnd w:id="13"/>
      <w:bookmarkStart w:id="14" w:name="_Toc47533288"/>
      <w:bookmarkEnd w:id="14"/>
      <w:bookmarkStart w:id="15" w:name="_Toc47537166"/>
      <w:bookmarkEnd w:id="15"/>
      <w:bookmarkStart w:id="16" w:name="_Toc47532923"/>
      <w:bookmarkEnd w:id="16"/>
      <w:bookmarkStart w:id="17" w:name="_Toc47539102"/>
      <w:bookmarkEnd w:id="17"/>
      <w:bookmarkStart w:id="18" w:name="_Toc47536676"/>
      <w:bookmarkEnd w:id="18"/>
      <w:r>
        <w:rPr>
          <w:rFonts w:hint="eastAsia"/>
        </w:rPr>
        <w:t>项目建设内容</w:t>
      </w:r>
    </w:p>
    <w:p>
      <w:pPr>
        <w:pStyle w:val="3"/>
      </w:pPr>
      <w:r>
        <w:rPr>
          <w:rFonts w:hint="eastAsia"/>
        </w:rPr>
        <w:t>项目整体架构</w:t>
      </w:r>
    </w:p>
    <w:p>
      <w:pPr>
        <w:widowControl/>
        <w:adjustRightInd w:val="0"/>
        <w:snapToGrid w:val="0"/>
        <w:ind w:firstLine="560"/>
        <w:rPr>
          <w:rFonts w:hAnsi="宋体" w:cs="仿宋_GB2312"/>
          <w:color w:val="000000"/>
          <w:kern w:val="0"/>
          <w:szCs w:val="28"/>
          <w:lang w:bidi="ar"/>
        </w:rPr>
      </w:pPr>
      <w:r>
        <w:rPr>
          <w:rFonts w:hint="eastAsia" w:hAnsi="宋体" w:cs="仿宋_GB2312"/>
          <w:color w:val="000000"/>
          <w:kern w:val="0"/>
          <w:szCs w:val="28"/>
          <w:lang w:bidi="ar"/>
        </w:rPr>
        <w:t>本项目为在原有</w:t>
      </w:r>
      <w:r>
        <w:rPr>
          <w:rFonts w:hint="eastAsia"/>
          <w:szCs w:val="28"/>
        </w:rPr>
        <w:t>上海学前教育综合管理子系统</w:t>
      </w:r>
      <w:r>
        <w:rPr>
          <w:rFonts w:hint="eastAsia" w:hAnsi="宋体" w:cs="仿宋_GB2312"/>
          <w:color w:val="000000"/>
          <w:kern w:val="0"/>
          <w:szCs w:val="28"/>
          <w:lang w:bidi="ar"/>
        </w:rPr>
        <w:t>的基础上，根据上海市教委的业务需求，对系统进行业务功能的扩充和深化，通过优化适龄幼儿入园信息登记模块、优化科学育儿指导模块（新增托育机构随心查功能）、优化“管理通”、</w:t>
      </w:r>
      <w:r>
        <w:rPr>
          <w:rFonts w:hint="eastAsia" w:hAnsi="宋体" w:cs="仿宋_GB2312"/>
          <w:color w:val="000000"/>
          <w:kern w:val="0"/>
          <w:szCs w:val="28"/>
          <w:lang w:eastAsia="zh" w:bidi="ar"/>
        </w:rPr>
        <w:t>新建学前教育监测与管理数据可视化模块</w:t>
      </w:r>
      <w:r>
        <w:rPr>
          <w:rFonts w:hint="eastAsia" w:hAnsi="宋体" w:cs="仿宋_GB2312"/>
          <w:color w:val="000000"/>
          <w:kern w:val="0"/>
          <w:szCs w:val="28"/>
          <w:lang w:bidi="ar"/>
        </w:rPr>
        <w:t>，提升</w:t>
      </w:r>
      <w:r>
        <w:rPr>
          <w:rFonts w:hint="eastAsia"/>
          <w:szCs w:val="28"/>
        </w:rPr>
        <w:t>上海学前教育</w:t>
      </w:r>
      <w:r>
        <w:rPr>
          <w:rFonts w:hint="eastAsia" w:hAnsi="宋体" w:cs="仿宋_GB2312"/>
          <w:color w:val="000000"/>
          <w:kern w:val="0"/>
          <w:szCs w:val="28"/>
          <w:lang w:bidi="ar"/>
        </w:rPr>
        <w:t>管理和服务的数字化水平。</w:t>
      </w:r>
    </w:p>
    <w:p>
      <w:pPr>
        <w:ind w:firstLine="560"/>
      </w:pPr>
      <w:r>
        <w:rPr>
          <w:rFonts w:hint="eastAsia"/>
        </w:rPr>
        <w:t>整体架构图如下：</w:t>
      </w:r>
    </w:p>
    <w:p>
      <w:pPr>
        <w:ind w:firstLine="0" w:firstLineChars="0"/>
      </w:pPr>
      <w:r>
        <w:drawing>
          <wp:inline distT="0" distB="0" distL="0" distR="0">
            <wp:extent cx="5278120" cy="2990215"/>
            <wp:effectExtent l="0" t="0" r="0" b="635"/>
            <wp:docPr id="1" name="图片 1" descr="D:\WebChat Files\WeChat Files\wxid_pvyss3rubuhv21\FileStorage\Temp\c7641f3bffad1a7948b906b9d1f1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WebChat Files\WeChat Files\wxid_pvyss3rubuhv21\FileStorage\Temp\c7641f3bffad1a7948b906b9d1f1e7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8120" cy="2990620"/>
                    </a:xfrm>
                    <a:prstGeom prst="rect">
                      <a:avLst/>
                    </a:prstGeom>
                    <a:noFill/>
                    <a:ln>
                      <a:noFill/>
                    </a:ln>
                  </pic:spPr>
                </pic:pic>
              </a:graphicData>
            </a:graphic>
          </wp:inline>
        </w:drawing>
      </w:r>
    </w:p>
    <w:p>
      <w:pPr>
        <w:widowControl/>
        <w:autoSpaceDE w:val="0"/>
        <w:adjustRightInd w:val="0"/>
        <w:snapToGrid w:val="0"/>
        <w:ind w:firstLine="560"/>
        <w:rPr>
          <w:rFonts w:hAnsi="宋体" w:cs="仿宋_GB2312"/>
          <w:color w:val="000000"/>
          <w:kern w:val="0"/>
          <w:szCs w:val="28"/>
        </w:rPr>
      </w:pPr>
      <w:r>
        <w:rPr>
          <w:rFonts w:hAnsi="宋体" w:cs="仿宋_GB2312"/>
          <w:color w:val="000000"/>
          <w:kern w:val="0"/>
          <w:szCs w:val="28"/>
          <w:lang w:bidi="ar"/>
        </w:rPr>
        <w:t>基础层：</w:t>
      </w:r>
      <w:r>
        <w:rPr>
          <w:rFonts w:hAnsi="Calibri" w:cs="仿宋_GB2312"/>
          <w:szCs w:val="28"/>
          <w:lang w:bidi="ar"/>
        </w:rPr>
        <w:t>上海学前教育综合管理子系统基础层</w:t>
      </w:r>
      <w:r>
        <w:rPr>
          <w:rFonts w:hAnsi="宋体" w:cs="仿宋_GB2312"/>
          <w:color w:val="000000"/>
          <w:kern w:val="0"/>
          <w:szCs w:val="28"/>
          <w:lang w:bidi="ar"/>
        </w:rPr>
        <w:t>依托市电子政务云和政务网。</w:t>
      </w:r>
    </w:p>
    <w:p>
      <w:pPr>
        <w:widowControl/>
        <w:autoSpaceDE w:val="0"/>
        <w:adjustRightInd w:val="0"/>
        <w:snapToGrid w:val="0"/>
        <w:ind w:firstLine="560"/>
        <w:rPr>
          <w:rFonts w:hAnsi="宋体" w:cs="仿宋_GB2312"/>
          <w:color w:val="000000"/>
          <w:kern w:val="0"/>
          <w:szCs w:val="28"/>
        </w:rPr>
      </w:pPr>
      <w:r>
        <w:rPr>
          <w:rFonts w:hAnsi="宋体" w:cs="仿宋_GB2312"/>
          <w:color w:val="000000"/>
          <w:kern w:val="0"/>
          <w:szCs w:val="28"/>
          <w:lang w:bidi="ar"/>
        </w:rPr>
        <w:t>数据层：基础数据包含机构信息、办园点信息、教职工信息、班级信息、幼儿信息、科学育儿指导机构信息、科学育儿指导机构工作人员信息、科学育儿指导机构幼儿信息、托育机构信息；业务数据包含每日考勤数据、适龄幼儿入园登记报名录取数据、0-6科学育儿指导情况、每日晨检数据、体检数据、户外活动监测试点数据、户外活动数据。</w:t>
      </w:r>
    </w:p>
    <w:p>
      <w:pPr>
        <w:widowControl/>
        <w:autoSpaceDE w:val="0"/>
        <w:adjustRightInd w:val="0"/>
        <w:snapToGrid w:val="0"/>
        <w:ind w:firstLine="560"/>
        <w:rPr>
          <w:rFonts w:hAnsi="宋体" w:cs="仿宋_GB2312"/>
          <w:color w:val="000000"/>
          <w:kern w:val="0"/>
          <w:szCs w:val="28"/>
          <w:lang w:bidi="ar"/>
        </w:rPr>
      </w:pPr>
      <w:r>
        <w:rPr>
          <w:rFonts w:hAnsi="宋体" w:cs="仿宋_GB2312"/>
          <w:color w:val="000000"/>
          <w:kern w:val="0"/>
          <w:szCs w:val="28"/>
          <w:lang w:bidi="ar"/>
        </w:rPr>
        <w:t>支撑层：数字身份管理系统、统一数据开放系统、市公共服务赋能平台。</w:t>
      </w:r>
    </w:p>
    <w:p>
      <w:pPr>
        <w:widowControl/>
        <w:autoSpaceDE w:val="0"/>
        <w:adjustRightInd w:val="0"/>
        <w:snapToGrid w:val="0"/>
        <w:ind w:firstLine="560"/>
        <w:rPr>
          <w:rFonts w:hAnsi="宋体" w:cs="仿宋_GB2312"/>
          <w:color w:val="000000"/>
          <w:kern w:val="0"/>
          <w:szCs w:val="28"/>
          <w:lang w:bidi="ar"/>
        </w:rPr>
      </w:pPr>
      <w:r>
        <w:rPr>
          <w:rFonts w:hAnsi="宋体" w:cs="仿宋_GB2312"/>
          <w:color w:val="000000"/>
          <w:kern w:val="0"/>
          <w:szCs w:val="28"/>
          <w:lang w:bidi="ar"/>
        </w:rPr>
        <w:t>应用层：新建学前教育监测与管理数据可视化模块，升级改造“管理通”、适龄幼儿入园信息登记、优化科学育儿指导模块。</w:t>
      </w:r>
    </w:p>
    <w:p>
      <w:pPr>
        <w:widowControl/>
        <w:autoSpaceDE w:val="0"/>
        <w:adjustRightInd w:val="0"/>
        <w:snapToGrid w:val="0"/>
        <w:ind w:firstLine="560"/>
        <w:rPr>
          <w:rFonts w:hAnsi="宋体" w:cs="仿宋_GB2312"/>
          <w:color w:val="000000"/>
          <w:kern w:val="0"/>
          <w:szCs w:val="28"/>
          <w:lang w:bidi="ar"/>
        </w:rPr>
      </w:pPr>
      <w:r>
        <w:rPr>
          <w:rFonts w:hAnsi="宋体" w:cs="仿宋_GB2312"/>
          <w:color w:val="000000"/>
          <w:kern w:val="0"/>
          <w:szCs w:val="28"/>
          <w:lang w:bidi="ar"/>
        </w:rPr>
        <w:t>访问层：本系统访问入口包括学前教育网、随申办。本次新建的托育机构随心查功能通过随申办提供给用户访问使用。</w:t>
      </w:r>
    </w:p>
    <w:p>
      <w:pPr>
        <w:widowControl/>
        <w:autoSpaceDE w:val="0"/>
        <w:adjustRightInd w:val="0"/>
        <w:snapToGrid w:val="0"/>
        <w:ind w:firstLine="560"/>
        <w:rPr>
          <w:rFonts w:hAnsi="宋体" w:cs="仿宋_GB2312"/>
          <w:color w:val="000000"/>
          <w:kern w:val="0"/>
          <w:szCs w:val="28"/>
          <w:lang w:bidi="ar"/>
        </w:rPr>
      </w:pPr>
      <w:r>
        <w:rPr>
          <w:rFonts w:hint="eastAsia" w:hAnsi="宋体" w:cs="仿宋_GB2312"/>
          <w:color w:val="000000"/>
          <w:kern w:val="0"/>
          <w:szCs w:val="28"/>
          <w:lang w:bidi="ar"/>
        </w:rPr>
        <w:t>网络架构如下，绿色为新增资源，黄色为现有资源。</w:t>
      </w:r>
    </w:p>
    <w:p>
      <w:pPr>
        <w:ind w:firstLine="0" w:firstLineChars="0"/>
        <w:rPr>
          <w:rFonts w:hAnsi="Times New Roman" w:cs="仿宋_GB2312"/>
          <w:szCs w:val="28"/>
          <w:lang w:bidi="ar"/>
        </w:rPr>
      </w:pPr>
      <w:r>
        <w:rPr>
          <w:rFonts w:hint="eastAsia" w:hAnsi="Times New Roman" w:cs="仿宋_GB2312"/>
          <w:szCs w:val="28"/>
        </w:rPr>
        <w:drawing>
          <wp:inline distT="0" distB="0" distL="114300" distR="114300">
            <wp:extent cx="5271135" cy="3328670"/>
            <wp:effectExtent l="0" t="0" r="12065" b="11430"/>
            <wp:docPr id="4" name="图片 4" descr="c0f2d4a850abf13acf46d3444000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0f2d4a850abf13acf46d34440007f1"/>
                    <pic:cNvPicPr>
                      <a:picLocks noChangeAspect="1"/>
                    </pic:cNvPicPr>
                  </pic:nvPicPr>
                  <pic:blipFill>
                    <a:blip r:embed="rId14"/>
                    <a:stretch>
                      <a:fillRect/>
                    </a:stretch>
                  </pic:blipFill>
                  <pic:spPr>
                    <a:xfrm>
                      <a:off x="0" y="0"/>
                      <a:ext cx="5271135" cy="3328670"/>
                    </a:xfrm>
                    <a:prstGeom prst="rect">
                      <a:avLst/>
                    </a:prstGeom>
                  </pic:spPr>
                </pic:pic>
              </a:graphicData>
            </a:graphic>
          </wp:inline>
        </w:drawing>
      </w:r>
    </w:p>
    <w:p>
      <w:pPr>
        <w:pStyle w:val="3"/>
      </w:pPr>
      <w:r>
        <w:rPr>
          <w:rFonts w:hint="eastAsia"/>
        </w:rPr>
        <w:t>技术路线</w:t>
      </w:r>
    </w:p>
    <w:p>
      <w:pPr>
        <w:ind w:firstLine="560"/>
        <w:rPr>
          <w:lang w:bidi="ar"/>
        </w:rPr>
      </w:pPr>
      <w:r>
        <w:rPr>
          <w:rFonts w:hint="eastAsia"/>
          <w:lang w:bidi="ar"/>
        </w:rPr>
        <w:t>本项目应基于</w:t>
      </w:r>
      <w:r>
        <w:rPr>
          <w:lang w:bidi="ar"/>
        </w:rPr>
        <w:t>Java编程语言，采用MVC设计模式，兼容主流Spring开发框架以利于维护。</w:t>
      </w:r>
    </w:p>
    <w:p>
      <w:pPr>
        <w:pStyle w:val="138"/>
        <w:ind w:firstLine="560"/>
      </w:pPr>
      <w:r>
        <w:rPr>
          <w:rFonts w:hint="eastAsia"/>
        </w:rPr>
        <w:t>标准性。</w:t>
      </w:r>
      <w:r>
        <w:t>系统解决方案及相关软硬件系统完全满足相关国内标准；国内没有标准的则参照相应国际标准。对当前正在制定和即将制定的国内标准，在标准出台后能够平稳接轨。</w:t>
      </w:r>
    </w:p>
    <w:p>
      <w:pPr>
        <w:pStyle w:val="138"/>
        <w:ind w:firstLine="560"/>
      </w:pPr>
      <w:r>
        <w:rPr>
          <w:rFonts w:hint="eastAsia"/>
        </w:rPr>
        <w:t>可扩展性。应</w:t>
      </w:r>
      <w:r>
        <w:t>在保证初期业务的前提下，留有充分的</w:t>
      </w:r>
      <w:r>
        <w:rPr>
          <w:rFonts w:hint="eastAsia"/>
        </w:rPr>
        <w:t>可</w:t>
      </w:r>
      <w:r>
        <w:t>扩展空间，保证将来各种新业务的</w:t>
      </w:r>
      <w:r>
        <w:rPr>
          <w:rFonts w:hint="eastAsia"/>
        </w:rPr>
        <w:t>接入</w:t>
      </w:r>
      <w:r>
        <w:t>。</w:t>
      </w:r>
    </w:p>
    <w:p>
      <w:pPr>
        <w:pStyle w:val="3"/>
      </w:pPr>
      <w:r>
        <w:rPr>
          <w:rFonts w:hint="eastAsia"/>
        </w:rPr>
        <w:t>技术架构</w:t>
      </w:r>
    </w:p>
    <w:p>
      <w:pPr>
        <w:widowControl/>
        <w:adjustRightInd w:val="0"/>
        <w:ind w:firstLine="560"/>
        <w:rPr>
          <w:rFonts w:hAnsi="宋体"/>
          <w:kern w:val="0"/>
          <w:szCs w:val="28"/>
        </w:rPr>
      </w:pPr>
      <w:r>
        <w:rPr>
          <w:rFonts w:hint="eastAsia"/>
          <w:lang w:bidi="ar"/>
        </w:rPr>
        <w:t>应兼容现有系统架构，前端与后端可解耦，</w:t>
      </w:r>
      <w:r>
        <w:rPr>
          <w:rFonts w:hint="eastAsia" w:hAnsi="宋体"/>
          <w:kern w:val="0"/>
          <w:szCs w:val="28"/>
        </w:rPr>
        <w:t>Web前端视图层中应使用主流浏览器支持的规范和技术。</w:t>
      </w:r>
      <w:r>
        <w:rPr>
          <w:rFonts w:hint="eastAsia"/>
          <w:lang w:bidi="ar"/>
        </w:rPr>
        <w:t>应支持模块化开发和分布式部署以便于未来的扩展建设与运行维护。</w:t>
      </w:r>
      <w:r>
        <w:rPr>
          <w:rFonts w:hint="eastAsia" w:hAnsi="宋体"/>
          <w:kern w:val="0"/>
          <w:szCs w:val="28"/>
        </w:rPr>
        <w:t>数据访问层连接池使用高性能池化技术，从容应对高并发数据库访问。</w:t>
      </w:r>
    </w:p>
    <w:p>
      <w:pPr>
        <w:ind w:firstLine="560"/>
        <w:rPr>
          <w:lang w:bidi="ar"/>
        </w:rPr>
      </w:pPr>
      <w:r>
        <w:rPr>
          <w:rFonts w:hint="eastAsia"/>
          <w:lang w:bidi="ar"/>
        </w:rPr>
        <w:t>当前系统使用前后端分离架构，前端以Vue实现页面渲染与交互，后端以RESTful API方式提供服务。</w:t>
      </w:r>
    </w:p>
    <w:p>
      <w:pPr>
        <w:pStyle w:val="3"/>
      </w:pPr>
      <w:r>
        <w:rPr>
          <w:rFonts w:hint="eastAsia"/>
        </w:rPr>
        <w:t>部署环境</w:t>
      </w:r>
    </w:p>
    <w:p>
      <w:pPr>
        <w:ind w:firstLine="560"/>
        <w:rPr>
          <w:rFonts w:hint="eastAsia"/>
          <w:lang w:bidi="ar"/>
        </w:rPr>
      </w:pPr>
      <w:r>
        <w:rPr>
          <w:rFonts w:hint="eastAsia"/>
          <w:lang w:bidi="ar"/>
        </w:rPr>
        <w:t>应用系统根据业务访问需求部署在上海市政务云的信创资源环境，使用国产化基础软件（操作系统麒麟或统信、中间件东方通或普元应用服务器、数据库达梦或人大金仓</w:t>
      </w:r>
      <w:r>
        <w:rPr>
          <w:lang w:bidi="ar"/>
        </w:rPr>
        <w:t>）</w:t>
      </w:r>
      <w:r>
        <w:rPr>
          <w:rFonts w:hint="eastAsia"/>
          <w:lang w:bidi="ar"/>
        </w:rPr>
        <w:t>。</w:t>
      </w:r>
    </w:p>
    <w:p>
      <w:pPr>
        <w:pStyle w:val="3"/>
      </w:pPr>
      <w:r>
        <w:rPr>
          <w:rFonts w:hint="eastAsia"/>
          <w:lang w:val="en-US" w:eastAsia="zh-CN"/>
        </w:rPr>
        <w:t>系统对接</w:t>
      </w:r>
    </w:p>
    <w:p>
      <w:pPr>
        <w:rPr>
          <w:rFonts w:hint="eastAsia"/>
        </w:rPr>
      </w:pPr>
      <w:r>
        <w:rPr>
          <w:rFonts w:hint="eastAsia"/>
          <w:b/>
          <w:bCs/>
        </w:rPr>
        <w:t>1.对接上海市3岁以下幼儿托育服务管理平台</w:t>
      </w:r>
      <w:r>
        <w:rPr>
          <w:rFonts w:hint="eastAsia"/>
        </w:rPr>
        <w:t>。该平台支撑上海市托育服务机构申报、管理、评估监测等日常工作。本系统托幼机构随心查模块需要对接其托育机构相关数据，包含机构类型，开办时间，开办规模，主体，责任人等。</w:t>
      </w:r>
    </w:p>
    <w:p>
      <w:r>
        <w:rPr>
          <w:rFonts w:hint="eastAsia"/>
          <w:b/>
          <w:bCs/>
        </w:rPr>
        <w:t>2.对接全国学前教育管理信息系统。</w:t>
      </w:r>
      <w:r>
        <w:rPr>
          <w:rFonts w:hint="eastAsia"/>
        </w:rPr>
        <w:t>需对接幼儿园，班级，幼儿，监护人的基本信息相关数据，满足教育部数据归集同步的要求。</w:t>
      </w:r>
    </w:p>
    <w:p>
      <w:pPr>
        <w:pStyle w:val="3"/>
        <w:rPr>
          <w:lang w:bidi="ar"/>
        </w:rPr>
      </w:pPr>
      <w:r>
        <w:rPr>
          <w:rFonts w:hint="eastAsia"/>
        </w:rPr>
        <w:t>软件开发清单</w:t>
      </w:r>
    </w:p>
    <w:p>
      <w:pPr>
        <w:numPr>
          <w:ilvl w:val="0"/>
          <w:numId w:val="5"/>
        </w:numPr>
        <w:ind w:firstLine="562"/>
        <w:rPr>
          <w:b/>
        </w:rPr>
      </w:pPr>
      <w:r>
        <w:rPr>
          <w:rFonts w:hint="eastAsia"/>
          <w:b/>
        </w:rPr>
        <w:t>学前教育监测与管理数据可视化</w:t>
      </w:r>
    </w:p>
    <w:tbl>
      <w:tblPr>
        <w:tblStyle w:val="35"/>
        <w:tblW w:w="4999" w:type="pct"/>
        <w:tblInd w:w="0" w:type="dxa"/>
        <w:tblLayout w:type="fixed"/>
        <w:tblCellMar>
          <w:top w:w="0" w:type="dxa"/>
          <w:left w:w="108" w:type="dxa"/>
          <w:bottom w:w="0" w:type="dxa"/>
          <w:right w:w="108" w:type="dxa"/>
        </w:tblCellMar>
      </w:tblPr>
      <w:tblGrid>
        <w:gridCol w:w="837"/>
        <w:gridCol w:w="1976"/>
        <w:gridCol w:w="5713"/>
      </w:tblGrid>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序号</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功能名称</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功能描述</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幼儿入园招生情况监测-入园系统运行监控及预警</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1、登记系统开放状态监控：动态实时监控登记系统的开关状态；</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2、各区报名开放状态监控：动态实时监控16个区的报名系统的开关状态；</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数据链路监控：以连接线的方式展示登记数据推送各区报名系统的状态；监控大数据中心统一身份认证接口是否正常可访问；监控用数、用证接口是否可正常访问；当发生链路不通时，用红色连接线进行展示，并提示异常接口信息；</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4、系统性能监控：监控入园系统所支撑的服务器状态情况并设定预警阈值，如CPU、内存、磁盘空间、网络延迟等，当出现异常情况时，进行提示预警，并支持列表形式展示的方式进行下钻。</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5、系统受访情况监控：动态实时获取系统的访问情况，如访问量、访客量情况统计，拆分为PC端和移动端，支持系统的不同阶段的受访情况，以及累计受访情况。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涉及数据:系统性能、访问量、访客量</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幼儿入园招生情况监测-证照调用情况监控及分析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1、证照调用用户数：动态展示适龄幼儿家长证照调用的用户数量，并支持下钻到各区；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2、实际证照调用数：动态展示适龄幼儿家长累计调证成功数量，并支持下钻到各区；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3、调用证照类型</w:t>
            </w:r>
            <w:r>
              <w:rPr>
                <w:rFonts w:hint="eastAsia" w:hAnsi="等线" w:cs="仿宋_GB2312"/>
                <w:color w:val="000000"/>
                <w:kern w:val="0"/>
                <w:sz w:val="22"/>
                <w:szCs w:val="22"/>
                <w:lang w:eastAsia="zh-CN" w:bidi="ar"/>
              </w:rPr>
              <w:t>数据</w:t>
            </w:r>
            <w:r>
              <w:rPr>
                <w:rFonts w:hint="eastAsia" w:hAnsi="等线" w:cs="仿宋_GB2312"/>
                <w:color w:val="000000"/>
                <w:kern w:val="0"/>
                <w:sz w:val="22"/>
                <w:szCs w:val="22"/>
                <w:lang w:bidi="ar"/>
              </w:rPr>
              <w:t>：展示各区报名系统所需调取的证照类型合集数量，以及大数据中心提供的可调取的证照类型，并支持下钻到各区；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4、各区报名证照预填率：动态展示家长证照的预填率，并支持下钻到各区；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5、各类证照调用成功率：动态展示各类证照的调用成功率；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6、证照调用人群覆盖率：动态展示各类证照调用成功的人群覆盖率；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7、证照上传人群覆盖率：动态展示各类证照家长自行上传的人群覆盖率；</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涉及数据:证照调用</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w:t>
            </w:r>
            <w:r>
              <w:rPr>
                <w:rFonts w:hAnsi="等线" w:cs="仿宋_GB2312"/>
                <w:color w:val="000000"/>
                <w:kern w:val="0"/>
                <w:sz w:val="22"/>
                <w:szCs w:val="22"/>
                <w:lang w:bidi="ar"/>
              </w:rPr>
              <w:t>yuqing</w:t>
            </w:r>
            <w:r>
              <w:rPr>
                <w:rFonts w:hint="eastAsia" w:hAnsi="等线" w:cs="仿宋_GB2312"/>
                <w:color w:val="000000"/>
                <w:kern w:val="0"/>
                <w:sz w:val="22"/>
                <w:szCs w:val="22"/>
                <w:lang w:bidi="ar"/>
              </w:rPr>
              <w:t>监控及预警</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在线帮办数据监控：通过数据导入或与大数据中心数据对接的方式，并且根据系统不同阶段展示本阶段的数据以及累计总数；支持按照分类进行展示；支持下钻到各区进行展示；支持通过设置预警值，对未解决的帮办问题进行预警提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客服热线数据监控：通过数据导入或与大数据中心对接的方式，并且根据系统不同阶段展示本阶段的数据以及累计总数；支持通过已解决、处理中等状态展示明细数据；支持展示客服热线量人次，并按照人工客服和自助查询两种分类进行展示；支持客户问题分布情况分析，大致可分为平台操作类、政策咨询类、其他等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涉及数据:家长问题、问题处理状态、问题分类</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4</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幼儿入园招生情况监测-入园登记数据分析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1、入园概况：支持实有人口数、学位计划数的展示；支持入园登记数据和补登记数据的实时展示；并支持通过幼儿身份类型进行分段展示；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2、资源供给预测：通过空学额预测、补登记预测及实时登记人数，分析学前资源的供给情况；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3、登记人数比计划数增减率情况：通过各区学位计划数、各区登记人数，动态计算增减数、增减率；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4、登记率：以各区为单位，动态展示招生计划数与实际登记情况的比率；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登记趋势：登记系统首日开放时间，以小时为单位显示每小时的实时登记人数和累计登记人数，并自动计算登记系统首日破万、破10万的时间节点；以日期为节点，记录每日的登记人数情况以及趋势；支持历年登记数据、招生计划数的趋势分析；</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涉及数据:幼儿信息、登记信息、实有人口信息、学位计划等</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5</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幼儿入园招生情况监测-入园报名数据分析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1、支持全市入园报名数据和补报名数据的实时展示；支持通过幼儿身份类型进行分段展示；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2、通过空学额预测、补报名预测及实时报名人数，分析学前资源的供给情况；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3、报名率：以各区为单位，动态展示登记数与实际报名情况的比率；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报名趋势：报名系统首日开放时间，以小时为单位显示每小时实时报名数和累计报名人数，并自动计算报名系统首日破万、破10万的时间节点；以日期为单位，记录报名系统每日的报名人数情况以及趋势；支持历年报名数据的趋势分析；</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涉及数据:幼儿信息、报名信息等</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6</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幼儿入园招生情况监测-入园录取数据分析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1、支持入园录取数据和补录取数据的实时展示；支持通过幼儿身份类型进行分段展示；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2、录取率：以各区为单位，动态展示报名数与实际录取情况的比率；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3、录取趋势：录取阶段首日开放时间，以小时为单位显示每小时实时录取数和累计录取人数，并自动计算录取破万时间点；支持历年录取数据的趋势分析；</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涉及数据:幼儿信息、录取信息</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7</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幼儿入园招生情况监测-托班情况分析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历年全市托班情况：展示历年托班数据情况，支持按照区级维度进行入托数、空托额的对比，形成空托额占比情况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涉及数据:托班信息、托额信息</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8</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幼儿入园招生情况监测-查询及报表</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支持按照系统登记、报名、录取不同阶段以及不同状态，按照本市户籍（本区户籍、本区人户一致、本区人户不一致、本区户籍外区居住）、外省市户籍（父母一方为本市户籍、居住证积分达标或海外人才居住证、持居住证、持居住登记凭证、持海外人才居住证、其他情况）、港澳台外（港澳台、外籍）、其他（幼儿无证件）等情况，自定义组合、查询、导出按照各区维度的统计报表。</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9</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幼儿来离园情况监测-在园幼儿出勤动态监测及分析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1、考勤情况实时监测：以市级整体、区、街镇和园为监测单位，实时监测当日考勤数据：应考勤幼儿数、实考勤幼儿数、未考勤幼儿数、出勤幼儿数、病假幼儿数和事假幼儿数。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2、区出勤情况对比分析：实时计算各区的当日出勤率，并通过图表形式对各区的出勤率进行对比、排名。</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3、园所出勤情况对比分析：实时计算各园所的当日出勤率，并通过图表形式对园所的出勤率进行对比、排名。</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4、区未考勤幼儿占比分析：实时计算各区的当日未考勤幼儿占比，并通过图表形式对各区的未考勤幼儿占比进行对比分析。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5、园所未考勤幼儿占比分析：实时计算各园所的当日未考勤幼儿占比，并通过图表形式对园所的当日未考勤幼儿占比进行对比分析。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6、各年级出勤率分析：支持按市、区、园三级对各年级（托班、小班、中班、大班、混龄班）的出勤率进行统计，</w:t>
            </w:r>
            <w:r>
              <w:rPr>
                <w:rFonts w:hint="eastAsia" w:hAnsi="等线" w:cs="仿宋_GB2312"/>
                <w:color w:val="000000"/>
                <w:kern w:val="0"/>
                <w:sz w:val="22"/>
                <w:szCs w:val="22"/>
                <w:lang w:eastAsia="zh-CN" w:bidi="ar"/>
              </w:rPr>
              <w:t>并以</w:t>
            </w:r>
            <w:r>
              <w:rPr>
                <w:rFonts w:hint="eastAsia" w:hAnsi="等线" w:cs="仿宋_GB2312"/>
                <w:color w:val="000000"/>
                <w:kern w:val="0"/>
                <w:sz w:val="22"/>
                <w:szCs w:val="22"/>
                <w:lang w:bidi="ar"/>
              </w:rPr>
              <w:t>图表形式进行各年级数据对比展示。</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涉及数据:机构数据、幼儿数据、考勤数据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10</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幼儿来离园情况监测-当日晨检情况监测及分析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1、晨检数据实时监测：以市级整体、区、街镇和园为监测单位，实时监测当日晨检数据：晨检幼儿数、晨检正常幼儿数、晨检异常幼儿数，晨检异常（留园）幼儿数、晨检异常（返家）幼儿数。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2、晨检异常原因分布：支持按市、区、园三级计算各类晨检异常原因的占比，并以图表的形式展示。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3、晨检异常幼儿园所分布：按园所统计晨检异常幼儿数，以图的形式展现晨检异常幼儿园所分布，支持园所晨检异常的详细信息的查看。</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涉及数据:机构数据、幼儿数据、晨检数据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11</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幼儿来离园情况监测-幼儿来离园情况趋势分析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1、一周出勤率：以周为单位查看市、区、园一周内每天幼儿出勤率的趋势曲线；市级一周出勤率支持下钻查某天各区出勤率的对比；区级一周出勤率支持下钻查看某天该区园所的出勤率对比。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2、各区出勤率趋势分析：支持以天、月、年为单位查看区的出勤率的趋势曲线，分析各区的幼儿出勤情况。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3、各年级出勤率趋势分析：支持以天、月、年为单位查看各年级的出勤率的趋势曲线，分析区、年级的幼儿出勤情况。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4、各区未考勤幼儿占比趋势分析：支持以天、月、年为单位查看区的未考勤占比的趋势曲线，分析各区的幼儿未考勤情况。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5、各年级未考勤幼儿占比趋势分析：支持以天、月、年为单位查看各年级未考勤幼儿占比的趋势曲线，分析区、年级的未考勤幼儿占比情况。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涉及数据:机构数据、幼儿数据、考勤数据、晨检数据、天气数据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12</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幼儿来离园情况监测-病假类型及晨检异常原因分布分析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1、病假类型分布：按疾病类、症状类和其他等分类对病假类型分布进行统计分析，支持按市 、区、园三级对统计数据进行查看分析；支持按日，月度、季度和年的统计范围对数据进行查看分析；同时也支持用户按自定义时间段对病假类型分布进行统计分析。数据展现形式包括表格、饼图、柱状图等。</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2、晨检异常原因分布：按体温异常、口腔异常、眼部异常、皮肤（手部）异常、皮肤（面部）异常、其他等分类对晨检异常原因分布进行统计分析，支持按市 、区、园三级对统计数据进行查看分析；支持按日，月度、季度和年的统计范围对数据进行查看分析；同时也支持用户按自定义时间段对晨检异常原因分布进行统计分析。数据展现形式包括表格、饼图、柱状图等。</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涉及数据:机构数据、幼儿数据、考勤数据、晨检数据、天气数据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13</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幼儿来离园情况监测-来离园时间分布分析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1、按时段（每10分钟）对来园幼儿数、离园幼儿数据进行统计。</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2、按日、月和季节对来园幼儿数、离园幼儿数的分布进行统计分析，以图表形式展示用于分析区、园所来园高峰时段、来园低峰时段、离园高峰时段、离园低峰时段。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3、按天气、月度对来园幼儿数、离园幼儿数的分布进行统计，用于分析季节和天气对幼儿来离园时间的影响。</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涉及数据:机构数据、幼儿数据、来离园时间数据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14</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幼儿来离园情况监测-查询及报表</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1、出勤率报表：支持以日、月、年为统计周期对各区的幼儿出勤率，未出勤原因分布（病假、事假）等进行统计查询，支持查询结果导出成报表；</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2、晨检情况报表：支持以日、月、年为统计周期对各区的晨检正常率、晨检异常率，异常原因分布等进行统计查询，支持查询结果导出成报表；</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15</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幼儿在园户外活动情况监测-运行监测及预警</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数据归集覆盖情况：支持展示当前数据归集就可覆盖园所数、幼儿数。支持统计数据归集已覆盖园所数与占园所总数比值，并按区进行数据归集已覆盖园所占比的降序排序。支持统计智能采集覆盖示范园数占示范园总数比值，并按区进行智能采集覆盖示范园占比的降序排序。</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2、园所/区备案实时监测：支持对园所备案、区级备案、园所系统接入情况，区级平台系统接入情况查询。支持时间，接入模式，园所级别,类型，接入情况（已接入、未接入、未授权）等维度进行查询。</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系统监测：展示智能采集实时接入园所数，幼儿数，室内人数，室外人数。支持下钻到各区进行展示。支持查看园所接入系统详情如系统接入状态，系统接入正常异常情况，接入园部数、接入幼儿数等。支持展示系统运维单位数，系统数据采集方式等。</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4、系统预警：支持对智能采集备案完成超14天及以上仍未开展下一步工作的园所，以及归集数据出现异常超一周（自然周）的园所系统进行提示。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5、户外活动试点分布情况：地图展示各区教育集团、试点园部，整区推进情况。支持下钻到各区展示。</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涉及数据:园所数据、园部数据、幼儿数据、园所系统数据、区级平台数据、园所备案数据、区备案数据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16</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幼儿在园户外活动情况监测-数据采集情况监测及分析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支持幼儿户外活动数据采集情况监测与分析：支持实时展示数据采集的园部数、幼儿数，室内人数、室外人数。支持历史数据采集情况搜索，可按天查看采集的园所数、园部数、幼儿数。智能采集与人工采集占比。</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涉及数据:园所数据、园部数据、幼儿数据、室内外数据，采集方式数据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17</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幼儿在园户外活动情况监测-户外活动情况分析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1、幼儿参与情况分析：统计分析参加活动幼儿与未参加活动幼儿占比及未参加活动幼儿原因分布，事假、病假或其他。</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2、支持幼儿户外活动监测与分析；统计分析人均活动时长、人均运动时长。支持通过智能采集、手工填报和全部进行分类筛选。</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3、幼儿活动时长达标情况分析:分析幼儿2小时幼儿活动达标率，分析1小时幼儿运动达标率，分析同时满足2小时幼儿活动与1小时幼儿运动的达标率。支持通过智能采集、手工填报和全部进行分类筛选。</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园所达标情况详情：分析园所人均活动/运动时长双达标园所数/占比，分析各区园所人均活动时长达标情况，分析区园所人均运动时长达标情况。依据时长降序排序，对达标园所和未达标园所颜色标识区分。支持下钻查询园所智能采集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班级达标情况详情：分析班级人均活动/运动时长双达标园所数/占比，分析园所下各班级人均活动时长达标情况，分析班级人均运动时长达标情况。依据时长降序排序，对达标班级和未达标班级颜色标识区分。支持下钻查询班级智能采集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6、智能采集数据分析-活动时长：分析幼儿上下午人均运动时长，人均活动时长。分析各年级活动时长情况。提供人均活动/运动时长一周概况。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7、智能采集数据分析-运动强度：分析幼儿运动强度分布。分析各年级幼儿运动强度分布。支持运动强度一周概况分析。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8、智能采集数据分析-运动量：分析幼儿运动强度分布。分析各年级幼儿运动强度分布。支持运动强度一周概况分析。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9、历史数据趋势分析：支持年度、月度、周及自定义时间段查询，分析幼儿人均活动时长概况，幼儿运动强度趋势，幼儿运动量趋势。并支持全市、区、园所维度进行查询。</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涉及数据:园所数据、园部数据、幼儿数据、室内外数据、活动时长、运动时长、心率、步数、消耗、是否参加活动数据、幼儿未参加活动原因、天气。</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18</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幼儿在园户外活动情况监测-达标情况统计分析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1、园所达标情况详情查询导出：查询导出人均活动/运动时长双达标园所，人均活动时长达标园所，人均运动时长达标园所及其他园所人均运动/活动情况。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2、班级达标情况详情查询导出：查询导出人均活动/运动时长双达标班级，人均活动时长达标班级，人均运动时长达标班级及其他园所人均运动/活动情况。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3、支持对智能采集备案完成超14天及以上仍未开展下一步工作的园所查询导出，可按所属区，园所名称，园所状态进行查询。以及归集数据出现异常超一周的园所系统进行导出，可按所属区，系统名称，系统运维单位，接入模式，接入状态进行查询。</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19</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幼儿在园户外活动情况监测-查询及报表</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数据采集可覆盖情况：支持年度、月度、周及自定义时间段查询统计。统计各区已完成数据接入园所数、已备案待数据接入数。分别从总数/示范园，公办/示范园，民办/示范园的角度统计，列出各区应用可覆盖幼儿园数为参照。</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数据归集已覆盖情况报表：支持年度、月度、周及自定义时间段查询统计。统计各区数据归集的已覆盖情况。可支持查询时间段内数据归集的幼儿园数。从总数、公办、民办三个角度统计平台填报园所数、智能采集园所数，以及数据归集总数与占全区应用可覆盖幼儿园数的比值。查询时间段内每天都有数据归集的幼儿园数。从总数、公办、民办三个角度统计平台填报园所数、智能采集园所数。</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3、全市十六区幼儿户外活动数据情况报表：支持年度、月度、周及自定义时间段查询统计。统计各区户外活动数据总体情况，从幼儿园数，各区应用可覆盖幼儿园数占比，采集幼儿数 与应用可覆盖幼儿数占比四个角度进行分析。从智能采集情况、平台填报情况、智能采集+平台填报情况三个维度，分别统计幼儿园数，采集幼儿数，平均活动时长(分钟)。</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20</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科学育儿指导精准服务情况监测-0-3岁科学育儿指导服务情况分析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用户：市、区、街道业务管理人员，按不同用户的管理及权限范围查看相应数据。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全市及各区0-3岁科学育儿指导服务可覆盖幼儿概况及分龄分布，支持按区排序展示；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科学育儿指导站（点）市区街镇级别及建设情况，支持按月度、季度展示新增科学育儿指导站（点）及累计科学育儿指导站（点）情况；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科学育儿指导站（点）区、街镇分布及开放（工作日开放/双休日开放/一周七日开放/未开放）情况，支持更新展示；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科学育儿指导专职/兼职工作人员支撑情况，支持数量及占比显示</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涉及数据：0-3岁及分龄幼儿数、科学育儿指导站（点）数、科学育儿指导工作人员数</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21</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科学育儿指导精准服务情况监测-3-6岁科学育儿指导服务情况分析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用户：市、区、街道业务管理人员，按不同用户的管理及权限范围查看相应数据。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全市及各区3-6岁科学育儿指导服务可覆盖幼儿概况及分龄分布，支持按区排序展示；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承载科学育儿指导的幼儿园、家长学校等建设情况；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承担科学育儿指导工作人员支撑情况等</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涉及数据：3-6岁及分龄幼儿数、幼儿园数、家长学校数、科学育儿指导工作人员数</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22</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科学育儿指导精准服务情况监测-“出生一件事”服务监测及预警</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用户：市、区业务管理人员，按不同用户的管理及权限范围查看相应数据。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手册申领情况：跟踪监测手册申领情况，支持按申领途径查询，支持按区展示线上申领线下申领数量。</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服务办结情况：跟踪监测“出生一件事”服务中《上海市科学育儿指导服务手册》邮寄办结情况，监测手册送达与服务登记情况占比，支持按区展示办结率及服务人数。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服务人数情况：跟踪线上线下“出生一件事”服务总体情况，支持按月度、季度展示新增服务人数及累计新增服务人数，对增长趋势分析。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超期预警：监测“出生一件事”服务未办结情况，支持设定预警值（存在超14日/7日手册未签收），提供一级/二级预警提示。</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涉及数据：手册申领数、手册签收数、手册未签收数、服务人数</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23</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科学育儿指导精准服务情况监测-0-3岁线下活动开展情况监测及分析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用户：市、区、街道业务管理人员，按不同用户的管理及权限范围查看相应数据。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活动开展情况：跟踪全市0-3岁线下科学育儿指导活动开展情况，支持按区展示科学育儿指导线下活动开展场次数、活动参与人数（服务人数）。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活动服务情况：跟踪0-3岁线下科学育儿指导活动参与人数（服务人数）分龄分布情况，监测各年龄段服务人数占比，支持按区展示活动参与人数各分龄人数。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活动服务趋势：跟踪0-3岁线下科学育儿指导活动参与人数（服务人数）总体情况，支持按月度、季度展示新增服务人数及累计新增服务人数，对增长趋势分析。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活动内容分布：跟踪0-3岁线下科学育儿指导活动内容分布，包括动作感知、认知探索、语言交流、心理行为、生长发育、饮食哺喂、游戏玩具、才艺启蒙、习惯养成、健康照护活动内容的场次数及占比。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活动形式分布：跟踪0-3岁线下科学育儿指导活动形式分布，包括讲座、咨询、工作坊、亲子活动、评估、其它活动形式的场次数及占比。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活动满意度：跟踪0-3岁线下科学育儿指导活动服务满意度情况，监测满意度指数，支持设定预警值（低于85%），提供预警提示。</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涉及数据：活动场次数、活动参与0-3岁及分龄人数、不同活动内容数、不同活动形式数、满意度</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24</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科学育儿指导精准服务情况监测-0-6岁线上服务开展情况监测及分析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用户：市、区、街道业务管理人员，按不同用户的管理及权限范围查看相应数据。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可覆盖情况：各区0-6岁科学育儿指导服务可覆盖幼儿概况分布，支持按区展示。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线上服务人数情况：各区0-6岁线上科学育儿指导服务覆盖服务人数概况分布，支持按区展示。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服务覆盖率：监测各区0-6岁线上科学育儿指导服务覆盖服务人数与可覆盖人数占比，支持按区展示。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服务分龄分布：监测0-6岁线上科学育儿指导服务覆盖服务人数分龄分布情况，监测各年龄段服务人数占比。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线上服务人数趋势：跟踪0-6岁线上科学育儿指导服务覆盖服务人数总体情况，支持按月度、季度展示新增服务人数及累计新增服务人数，对增长趋势分析。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感兴趣的内容分布：跟踪0-6岁线上科学育儿指导服务内容分布，包括周周看、学知识、找专家、看微课、一起玩、做自检、慧陪伴、随心查内容使用次数及占比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线上服务满意度：跟踪0-6岁线上科学育儿指导服务满意度情况，监测满意度指数，支持设定预警值（低于85%），提供预警提示。</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涉及数据：0-6岁幼儿数、0-6岁线上服务幼儿数、线上服务0-6岁分龄人数、不同类型内容浏览数、满意度</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25</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科学育儿指导精准服务情况监测-查询及报表</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（1）支持导出查询各区“出生一件事”服务情况，具体内容包括各区服务人数的对比曲线和各区办结率的对比柱状图。</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（2）支持导出查询各区手册申领详情，内容包括各区线上申领人数和各区线下申领人数。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（3）支持导出各区0-3岁线下活动分龄服务人数对比柱状图，按年龄段显示各区0-1岁、1-2岁、2-3岁、3-4岁的服务人数。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（4）支持导出查询各区0-3岁线下活动开展数据情况，对比，内容包括活动数和服务人数。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（5）支持导出查询各区0-6岁线上服务覆盖率、覆盖服务人数以及可覆盖幼儿数。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（6）支持导出查询0-3岁科学育儿指导服务站分布情况中各区科学育儿指导服务站的详细情况，包括指导站总数、工作日开放指导站数、双休日开放指导站数据、一周开七日开放指导站数、未开放指导站数。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（7）支持导出查询科学育儿指导站（点）月度、季度市区街镇级别及建设情况。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（8）支持导出查询线上线下“出生一件事”服务月度、季度新增服务人数及累计新增服务人数情况。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（9）支持导出查询0-3岁线下科学育儿指导活动参与人数（服务人数）月度、季度新增服务人数及累计新增服务人数情况。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（10）支持导出查询跟踪0-6岁线上科学育儿指导服务覆盖服务人数月度、季度新增服务人数及累计新增服务人数情况。</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26</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托育服务情况监测-托育服务整体情况监测及分析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用户：市、区、街镇托育业务人员，按不同用户的管理及权限范围查看相应数据。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托育机构情况监测及分析:支持数据责任管理范围内托育服务机构情况的监测包括机构数监测和机构分布的监测，以地图形式展示托育服务机构分布情况，支持按公办托幼一体园、民办托幼一体园、普惠性托育机构、非普惠性托育机构、宝宝屋等分类对托育服务机构进行统计，支持以图表的形式对分类占比进行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2、托儿情况监测及分析：支持数据责任管理范围内在托幼儿情况的监测包括在托幼儿数监测和年龄分布监测，支持以图表的形式对年龄段幼儿占比进行分析，支持各区在托幼儿数及各年龄段幼儿占比进行分析。</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托育从业人员监测及分析：支持数据责任管理范围内在托育从业人员的监测包括在托育从业人员监测、学历分布监测和培训情况监测;支持托育服务机构全职从业人员分布情况的分析，包括保育人员及其他人员分布饼图、保育人员学历及培训情况（大专及以上学历人员数、接受过婴幼儿照护服务培训人员数）、各区全职保育人员接受婴幼儿照护服务培训情况（接受培训、未接受培训）。</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涉及数据：托育服务机构信息、在托幼儿信息、托育从业人员信息</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27</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托育服务情况监测-托育机构运行情况分析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用户：市、区、街镇托育业务人员，按不同用户的管理及权限范围查看相应数据。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1、托幼一体园情况：通过对托育服务机构数据的监测分析托育服务机构中托幼儿一体园的占比及公办托幼一体园的占比，以图表形式展示各区托幼一体园占比情况并支持下钻到街镇托幼一体园占比情况的展示。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托位托额情况：通过对千人托位数、新增托额、年度入托数等数据的监测，分析新增托额及目标达成情况，支持以地图形式查看各区本年度实事项目新增托额及目标达成情况，数据内容包括：新增托额目标、新增托额、新境托额达成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3、“宝宝屋”街镇覆盖率：实时统计各区宝宝屋的覆盖率,以地图形式查看各区“宝宝屋”覆盖情况，可下钻查看该区各街道的“宝宝屋”覆盖情况。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涉及数据：托育服务机构信息、在托幼儿信息、机构托额信息、计划托额信息</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28</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托育服务情况监测-“托育服务随心查”服务使用分析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用户：市、区、街镇托育业务人员，按不同用户的管理及权限范围查看相应数据。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1、以区、街道为统计维度，统计“托育服务随心查”的使用次数，热力图的形式在地图展示区、街道“托育服务随心查”的使用次数，分析区、街镇使用“托育服务随心查”的情况。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2、统计“托育服务随心查”中范围、机构类型、机构形式、适合年龄等查询条件的使用频率，并支持按区、街镇进行对比排序，分析用户在查询托育机构是的关注点。</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涉及数据：托育随心查用户数据、托育服务机构信息、托育随心查用户行为数据（点击、收藏等）</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29</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托育服务情况监测-查询及报表</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（1）托育机构情况报表：支持按区、街镇统计各类托育机构（托育机构、托儿所、早教中心、宝宝屋、科学育儿指导站（点）等类型）的数量，并支持查询导出。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（2）营利性机构与非营利性机构占比报表：支持按区、街镇统计营利性机构与非营利性机构的数量及占比，并支持查询导出。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（3）托育服务机构覆盖率报表：支持按年度统计各区街镇托育服务机构的覆盖率，并支持查询导出。</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（4）对用户的行为数据进行分析，根据用户的筛选条件、机构信息被查看的频率、机构的地理位置、机构 的性质等多维度进行分析，分析出用户关注的托育机构的信息及分布，支持分析结果的查询及导出</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30</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幼儿健康常态监测-在园幼儿健康情况监测及分析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1、展示当前学年入园体检、六一体检数据对比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2、展示各个年级体检情况对比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3、可查看各区六一体检中龋齿率、肥胖率、视力异常率体检数据对比</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涉及数据：小班入园体检数据、各年级六一体检数据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31</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幼儿健康常态监测-在园幼儿健康趋势分析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1、以环比方式展示历年在园幼儿肥胖率、视力异常率、龋齿率趋势变化</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2、以环比方式展示新生入园幼儿肥胖率、视力异常率、龋齿率趋势变化</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3、以同比方式展示当前大班幼儿历年体检肥胖率、视力异常率、龋齿率趋势变化</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涉及数据：历年在园的幼儿六一体检数据、新生入园体检数据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32</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幼儿健康常态监测-幼儿在园健康预警分析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1、以地图可视化展示幼儿因病缺勤、停课情况、聚集性预警、传染病发生4个维度对各区健康预警进行观测</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2、以图表展示以学年每月在园幼儿因病缺勤趋势、传染病新发预警情况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涉及数据：每日幼儿缺勤数据、每日停课情况数据、每日聚集性预警数据、每日传染病发生数据；每学年每月幼儿因病缺勤数据、每学年每月传染病新发预警数据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33</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幼儿健康常态监测-户外运动与健康发展监测情况分析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用户：市、区、园管理人员，按不同用户的管理及权限范围查看相应数据。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1、以地图可视化形式展示健康监测覆盖范围情况，可下钻到区级展示</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2、以图表形式实时展示监测覆盖范围情况可查看监测园所、园部、幼儿数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3、分别以图标形式展示平均户外时长、平均步数、平均消耗与肥胖率、视力异常率的趋势变化对比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4、可点击地图监测园部查看园部监测幼儿数量以及图标形式展示平均户外时长、平均步数、平均消耗与肥胖率、视力异常率的趋势变化对比</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涉及数据：新生入园体检数据、在园幼儿六一体检数据、监测覆盖园所、园部、幼儿数、监测覆盖园部坐标、每月平均户外时长、每月平均步数、每月平均消耗</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34</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幼儿健康常态监测-查询及报表</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1、支持导出当前在园幼儿数量、各年级幼儿占比及数量、男女数量</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2、支持导出历年来幼儿入园体检、六一体检数据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3、支持导出在园幼儿健康预警包含各区幼儿因病缺勤数量、停课情况、聚集性预警情况、传染病发生情况</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4、支持导出户外运动与健康监测覆盖园所、园部幼儿情况；以及各个监测覆盖范围具体数据报表</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35</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上海学前教育事业发展监测-学前教育整体情况监测及分析</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全市及各区幼儿园、在园幼儿和教职工的整体情况监测:</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幼儿园：以市、区、街镇为单位实时统计各级别幼儿园的数量（园所级别：示范园、一级园、二级园、三级园和未定级），通过地图的形式幼儿园的分布情况，通过颜色来标识幼儿的级别，支持下钻查看街镇的幼儿园分布情况。</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在园幼儿：以市、区、街镇为单位按性别、年级统计在园的幼儿的分布，支持按饼图查看各类幼儿的对比分析。以市、区为单位统计班额达标率，支持地图形式展示各区班额达标率；支持班额未达标园所信息的统计及展示，统计内容包括：未达标园所数、未达标园部数、未达标班级数、未达标幼儿数，小班未达标班级数及幼儿数、中班未达标班级数及幼儿数、大班未达标班级数及幼儿数。</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（3）教职工：以市、区、街镇为单位统计团长、专任教师、三大员、其他人员的分布，支持按市、区、街镇进行查询、分析。</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涉及数据：幼儿园机构信息、在园幼儿信息、教师信息</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36</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上海学前教育事业发展监测-学前普及普惠水平监测</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1、毛入园率：根据实有人口和在园幼儿数统计市、区和街道的入园率，以地图形式展示各区的毛入园率，地图支持下钻查看街镇的毛入园率。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2、普惠性幼儿园覆盖率：监测各区的普惠性幼儿园的数量及占比，以地图形式展示各区的普惠性幼儿园覆盖。</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3、公办园在园幼儿占比：监测区、街镇的公办园在园幼儿的数量及占比，以地图形式展示各区的公办园在园幼儿占比，支持下钻查看街镇的公办园在园幼儿占比。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4、提供图表功能，支持各项指标的对比分析。</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涉及数据：幼儿园机构信息、在园幼儿信息、教师信息、实际人口数据</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37</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上海学前教育事业发展监测-学前队伍发展水平监测</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用户：市、区管理人员，按不同用户的管理及权限范围查看相应数据。</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监测及分析指标：</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1、支持有高级教师公办园占比、本科及以上学历占比</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公办园中级和高级职称占比的统计，可以按市、级、街镇三个维度进行查询。</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2、监测区、街镇学历职称均未达标、学历达标职称未达标、学历未达标职称达标、学历职称双达标的园所的分布情况，并以图表的形式展现，支持对比分析。</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涉及数据：幼儿园机构信息、教师信息</w:t>
            </w:r>
          </w:p>
        </w:tc>
      </w:tr>
      <w:tr>
        <w:tblPrEx>
          <w:tblCellMar>
            <w:top w:w="0" w:type="dxa"/>
            <w:left w:w="108" w:type="dxa"/>
            <w:bottom w:w="0" w:type="dxa"/>
            <w:right w:w="108" w:type="dxa"/>
          </w:tblCellMar>
        </w:tblPrEx>
        <w:trPr>
          <w:trHeight w:val="5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38</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上海学前教育事业发展监测-查询及报表</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1、基础情况类：</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机构（办园点）信息表：按学前教育、托育服务两个维度，支持按市、区等维度筛选查看、导出统计数据，包括时间周期、机构类型、办别、所属区、所属街道、所属教育集团、办学规模数、实际开班数、各年级班级数量、在园幼儿数、教职工数等。</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幼儿信息表：按学前教育、托育服务两个维度，支持按市、区等维度筛选查看、导出统计数据，包括国籍状态、户籍状态、园所办别、月龄（年龄）段、年级段等。</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教职工信息表：支持按市、区等维度筛选查看、导出统计数据，包括教职工数、性别、教师职务、编制情况、专业情况、外籍教职工情况、学历、职称情况、政治面貌等。</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2、指标监测类：</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高质量幼儿园建设达成情况统计表：满足高质量幼儿园建设要求，按照市、区等多维度生成、导出各基础信息表和汇总统计表、分类统计表、对标指标达成/未达成情况表，主要内容包括公办园幼儿占比、普惠性幼儿园覆盖占比、班额达标情况、教师队伍素质情况、师生比、街镇集团化办园情况、校舍达标情况、玩教具图书配备情况、托幼一体园占比等。报表样式规范。</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2）普及普惠达成情况统计表：满足普及普惠水平监测需要，按照市、区等多维度生成、导出各基础信息表和汇总统计表、分类统计表、对标指标达成/未达成情况表，</w:t>
            </w:r>
            <w:r>
              <w:rPr>
                <w:rFonts w:hint="eastAsia" w:hAnsi="等线" w:cs="仿宋_GB2312"/>
                <w:color w:val="000000"/>
                <w:kern w:val="0"/>
                <w:sz w:val="22"/>
                <w:szCs w:val="22"/>
                <w:lang w:eastAsia="zh-CN" w:bidi="ar"/>
              </w:rPr>
              <w:t>主要包括</w:t>
            </w:r>
            <w:r>
              <w:rPr>
                <w:rFonts w:hint="eastAsia" w:hAnsi="等线" w:cs="仿宋_GB2312"/>
                <w:color w:val="000000"/>
                <w:kern w:val="0"/>
                <w:sz w:val="22"/>
                <w:szCs w:val="22"/>
                <w:lang w:bidi="ar"/>
              </w:rPr>
              <w:t>学前三年毛入园率、普惠性幼儿园覆盖率、公办园在园幼儿占比、党组织工作覆盖情况、街镇特教点设置、农村地区乡镇园所配备、小区配套幼儿园情况、生均经费情况、教职工</w:t>
            </w:r>
            <w:r>
              <w:rPr>
                <w:rFonts w:hint="eastAsia" w:hAnsi="等线" w:cs="仿宋_GB2312"/>
                <w:color w:val="000000"/>
                <w:kern w:val="0"/>
                <w:sz w:val="22"/>
                <w:szCs w:val="22"/>
                <w:lang w:eastAsia="zh-CN" w:bidi="ar"/>
              </w:rPr>
              <w:t>配备</w:t>
            </w:r>
            <w:r>
              <w:rPr>
                <w:rFonts w:hint="eastAsia" w:hAnsi="等线" w:cs="仿宋_GB2312"/>
                <w:color w:val="000000"/>
                <w:kern w:val="0"/>
                <w:sz w:val="22"/>
                <w:szCs w:val="22"/>
                <w:lang w:bidi="ar"/>
              </w:rPr>
              <w:t>情况、校舍达标情况、玩教具图书情况、班额达标情况等指标。报表样式规范。</w:t>
            </w:r>
          </w:p>
        </w:tc>
      </w:tr>
    </w:tbl>
    <w:p>
      <w:pPr>
        <w:ind w:firstLine="562"/>
        <w:rPr>
          <w:b/>
        </w:rPr>
      </w:pPr>
      <w:r>
        <w:rPr>
          <w:rFonts w:hint="eastAsia"/>
          <w:b/>
        </w:rPr>
        <w:t>2、优化适龄幼儿入园登记及报名流程</w:t>
      </w:r>
    </w:p>
    <w:tbl>
      <w:tblPr>
        <w:tblStyle w:val="35"/>
        <w:tblW w:w="4998" w:type="pct"/>
        <w:tblInd w:w="0" w:type="dxa"/>
        <w:tblLayout w:type="fixed"/>
        <w:tblCellMar>
          <w:top w:w="0" w:type="dxa"/>
          <w:left w:w="108" w:type="dxa"/>
          <w:bottom w:w="0" w:type="dxa"/>
          <w:right w:w="108" w:type="dxa"/>
        </w:tblCellMar>
      </w:tblPr>
      <w:tblGrid>
        <w:gridCol w:w="718"/>
        <w:gridCol w:w="1985"/>
        <w:gridCol w:w="5822"/>
      </w:tblGrid>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序号</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功能名称</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功能描述</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统一入园报名表配置-入园报名字段市级统一维护</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建立市级统一的报名表字段库供各区进行配置，可以根据不同身份类型报名入口灵活配置根据各区报名政策所需采集的报名字段信息，选择字段的检验规则、联动关系。市级管理员可对登记、报名表中的出生地省份、国籍/地区、民族、籍贯、户口性质、户主与幼儿关系、户籍类别、是否人户一致、住房性质、产权人或承租人与幼儿关系等字段进行管理。区级管理员可进行差异化调整。</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统一入园报名表配置-入园报名证照属性市级统一维护</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建立市级统一的报名表证照字段库供各区进行配置，可以根据不同身份类型报名入口灵活配置根据各区报名政策所需采集的证照信息、可上传数量限制、描述文字等内容。区级管理员可进行差异化调整</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统一入园报名表配置-各区报名表自主配置</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支持各区管理员通过市级统一提供的报名字段、电子证照等信息，进行页面布局和关联组合，支持生成家长PC端、移动端以及不同入口的报名表，报名预览页、报名表pdf。</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区管理员配置完成后，家长端报名页面可动态生成，pc端、移动端样式自适配。</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统一入园报名表配置-统一园所匹配模式</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统一管理园所匹配规则，各区管理员现可根据各区报名政策，对不同报名入口选择园所匹配模型，包括以下4种方式：</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1、根据街道、居委进行匹配；</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2、根据详细地址及门牌单双号进行匹配；</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3、根据街道、居委、小区进行匹配；</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4、开放列表供家长自行选择；</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外省市报名入口只可选择“公办园”、“民办园”、具体园所等情况。支持批量导入、单条编辑删除功能。针对匹配规则中支持小区字段的，同步校验字段长度，满足移动端的显示设置。</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统一入园报名表配置-园所匹配模式验证分析</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各区按照当年的招生政策，通过统一园所匹配模式完成配置后，对幼儿信息登记数据中的街道居委和详细地址等信息，对匹配模型进行验证分析，可筛选导出无法正确匹配的数据，根据数据对系统的匹配模式进行调整，满足家长端报名的效率，缩短填报时间以及过程中的电话咨询。</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统一入园报名流程配置-报名信息审核点分配</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按照各区政策要求，取消区级预审、园所预审功能，并统一增加退回功能、退回状态以及短信提示，在报名系统开放期间被退回的幼儿家长可继续选择园所报名。</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统一入园报名流程配置-补报名流程</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支持区级管理员账号权限对幼儿进行扫码验证、补报名流程，通过登记编号或证件号查询并完善幼儿信息、证照信息，可选择任意园所，并且验证通过在当前园所中。</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统一入园报名流程配置-报名信息删除流程</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支持各区管理员对幼儿报名信息进行删除功能。删除时弹出提示，需要管理员手动输入“确认删除”后进入市级管理员审核流程。</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统一入园报名流程配置-接入大数据中心短信能力</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将短信接口调整为大数据中心能力，提供定时发送功能。各区可自定义配置根据不同报名入口，在家长报名成功后接收的短信模板信息，市级管理员可查看和管理。</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高并发场景优化</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1、系统访问限流。为保障业务高峰期服务器运行情况稳定，减少</w:t>
            </w:r>
            <w:r>
              <w:rPr>
                <w:rFonts w:hAnsi="等线" w:cs="仿宋_GB2312"/>
                <w:color w:val="000000"/>
                <w:kern w:val="0"/>
                <w:sz w:val="22"/>
                <w:szCs w:val="22"/>
                <w:lang w:bidi="ar"/>
              </w:rPr>
              <w:t>yuqing</w:t>
            </w:r>
            <w:r>
              <w:rPr>
                <w:rFonts w:hint="eastAsia" w:hAnsi="等线" w:cs="仿宋_GB2312"/>
                <w:color w:val="000000"/>
                <w:kern w:val="0"/>
                <w:sz w:val="22"/>
                <w:szCs w:val="22"/>
                <w:lang w:bidi="ar"/>
              </w:rPr>
              <w:t>发生，对系统各入口、接口进行限流策略配置、执行，同时包含访问量查看。</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2、优化用户并发请求。当前系统实现中在处理用户请求时使用了很多同步处理，其中还包括在处理中调用其他系统数据接口（如用数、用证接口）， 在高并发时会大量占用系统资源导致引起系统资源不足，需要将用户请求处理逻辑改为队列、异步处理的方式，以保证系统稳定运行。</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办不成事反映功能对接</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按照《上海市“办不成事”反映功能对接指南》完成对接。对接内容包括：</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1、线上渠道。在入园报名事项办理提交前的申报页面中引入感知引导页，触发场景主要包括页面停留时间超时、页面提交前中途离开等，后续将按“办不成事”反馈采集要求进行调整。</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2.办理跟踪。登录“好差评管理系统”，在“办不成事”反映模块查看用户反映本单位的“办不成事”反映办件。</w:t>
            </w:r>
          </w:p>
        </w:tc>
      </w:tr>
      <w:tr>
        <w:tblPrEx>
          <w:tblCellMar>
            <w:top w:w="0" w:type="dxa"/>
            <w:left w:w="108" w:type="dxa"/>
            <w:bottom w:w="0" w:type="dxa"/>
            <w:right w:w="108" w:type="dxa"/>
          </w:tblCellMar>
        </w:tblPrEx>
        <w:trPr>
          <w:trHeight w:val="57"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灾备功能</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完成数据同步、灾备监控、异常监测和审计等灾备功能建设。</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数据同步：结构化数据同步，对系统业务数据库进行改造，支持实时异地或异机房同步业务数据，当服务器发生故障切换后，可保障数据的完整性与一致性。非结构化数据同步，对系统文件类数据进行异地或异机房备份，当服务器发生故障切换后，可保障文件的完整性与一致性</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2、灾备监控：监测灾备流程执行情况及备份状态，及时发现问题并采取相应措施。</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3、异常检测：设定异常检测规则，当系统出现异常行为或指标超出阈值时，触发告警通知，帮助管理员快速发现问题。</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4、审计功能：添加审计功能，对管理后台的操作进行审计追踪，保证管理员的操作透明和合规。</w:t>
            </w:r>
          </w:p>
        </w:tc>
      </w:tr>
    </w:tbl>
    <w:p>
      <w:pPr>
        <w:ind w:firstLine="0" w:firstLineChars="0"/>
        <w:rPr>
          <w:b/>
        </w:rPr>
      </w:pPr>
      <w:r>
        <w:rPr>
          <w:rFonts w:hint="eastAsia"/>
          <w:b/>
        </w:rPr>
        <w:t xml:space="preserve">   3、托幼机构随心查</w:t>
      </w:r>
    </w:p>
    <w:tbl>
      <w:tblPr>
        <w:tblStyle w:val="35"/>
        <w:tblW w:w="4998" w:type="pct"/>
        <w:tblInd w:w="0" w:type="dxa"/>
        <w:tblLayout w:type="fixed"/>
        <w:tblCellMar>
          <w:top w:w="0" w:type="dxa"/>
          <w:left w:w="108" w:type="dxa"/>
          <w:bottom w:w="0" w:type="dxa"/>
          <w:right w:w="108" w:type="dxa"/>
        </w:tblCellMar>
      </w:tblPr>
      <w:tblGrid>
        <w:gridCol w:w="1014"/>
        <w:gridCol w:w="1860"/>
        <w:gridCol w:w="5651"/>
      </w:tblGrid>
      <w:tr>
        <w:tblPrEx>
          <w:tblCellMar>
            <w:top w:w="0" w:type="dxa"/>
            <w:left w:w="108" w:type="dxa"/>
            <w:bottom w:w="0" w:type="dxa"/>
            <w:right w:w="108" w:type="dxa"/>
          </w:tblCellMar>
        </w:tblPrEx>
        <w:trPr>
          <w:trHeight w:val="57"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序号</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功能名称</w:t>
            </w:r>
          </w:p>
        </w:tc>
        <w:tc>
          <w:tcPr>
            <w:tcW w:w="5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功能描述</w:t>
            </w:r>
          </w:p>
        </w:tc>
      </w:tr>
      <w:tr>
        <w:tblPrEx>
          <w:tblCellMar>
            <w:top w:w="0" w:type="dxa"/>
            <w:left w:w="108" w:type="dxa"/>
            <w:bottom w:w="0" w:type="dxa"/>
            <w:right w:w="108" w:type="dxa"/>
          </w:tblCellMar>
        </w:tblPrEx>
        <w:trPr>
          <w:trHeight w:val="57"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托育机构综合查询</w:t>
            </w:r>
          </w:p>
        </w:tc>
        <w:tc>
          <w:tcPr>
            <w:tcW w:w="5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以列表形式提供全部机构的浏览，列表信息包括机构名称、机构地址、机构类型、收藏状态、托育机构与用户的距离等，允许用户通过点击列表中单一机构来获取更多信息。提供机构筛选、排序、搜索等便捷功能方便用户使用。</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（1）筛选功能</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家长用户可依据选择的条件标签进行筛选，家长用户通过筛选功能快速找到感兴趣机构信息。同时支持复杂的多条件筛选，通过下拉菜单、复选框、输入框等控件实现，允许家长用户方便地设置和修改筛选条件，选择出满足条件的机构。包括对距离范围、所属区、机构类型、服务形式、适龄幼儿、供餐情况、机构级别、工作时间、开放时间等筛选功能。</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（2）排序功能</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家长用户可依据自己的需求和偏好进行排序，在家长用户界面中提供直观的控件，如滑块、下拉菜单或复选框，以便于用户设置和调整。提供了更个性化的用户体验，允许家长用户根据自己的偏好定制排序维度，帮助家长用户从不同角度评估和比较机构，从而做出更好的选择。</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（3）搜索功能</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家长用户通过搜索功能可对随心查模块中全部机构进行快捷查找。支持家长用户能够在搜索框中输入关键词查询，通过搜索按钮或键盘上的“回车”键来提交搜索，系统根据关键词进行模糊匹配，过滤并筛选缩小搜索结果的范围。</w:t>
            </w:r>
          </w:p>
        </w:tc>
      </w:tr>
      <w:tr>
        <w:tblPrEx>
          <w:tblCellMar>
            <w:top w:w="0" w:type="dxa"/>
            <w:left w:w="108" w:type="dxa"/>
            <w:bottom w:w="0" w:type="dxa"/>
            <w:right w:w="108" w:type="dxa"/>
          </w:tblCellMar>
        </w:tblPrEx>
        <w:trPr>
          <w:trHeight w:val="57"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托育机构信息查看</w:t>
            </w:r>
          </w:p>
        </w:tc>
        <w:tc>
          <w:tcPr>
            <w:tcW w:w="5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提供家长用户展示和组织与机构相关的信息和服务功能。家长用户通过机构信息页面功能可查看“随申办”的随心查模块中机构的详细信息，使家长用户能够轻松浏览和查找所需信息。展示机构的基本信息、服务时间等，是机构与用户互动的重要窗口，通过提供全面、准确和易于访问的信息。机构信息页面还提供如下功能：</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收藏功能：提供家长用户可保存感兴趣的机构功能。允许家长用户根据自己的兴趣和需求将托育机构、科学育儿指导站（点）标记为“收藏”，并将“收藏”机构突出显示以便家长用户快速访问，界面简洁直观，使家长用户能够轻松地添加、查看和管理“收藏”。</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（2）快速拨号功能：提供快速拨号功能简化了家长用户拨打电话的过程，提高了效率，便捷快速地与机构取得联系。</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3）智能导航功能：科学育儿指导模块随心查管理后台系统与第三方导航软件或内置导航服务进行集成，在系统设置中配置默认的导航应用。提供清晰直观的家长用户界面按钮元素，家长用户点击按钮后触发导航，能够解析家长用户点击的地址，并将其作为导航的终点，提高了定位并导航至机构的便利性和准确性。</w:t>
            </w:r>
          </w:p>
        </w:tc>
      </w:tr>
      <w:tr>
        <w:tblPrEx>
          <w:tblCellMar>
            <w:top w:w="0" w:type="dxa"/>
            <w:left w:w="108" w:type="dxa"/>
            <w:bottom w:w="0" w:type="dxa"/>
            <w:right w:w="108" w:type="dxa"/>
          </w:tblCellMar>
        </w:tblPrEx>
        <w:trPr>
          <w:trHeight w:val="57"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托育机构智能推荐</w:t>
            </w:r>
          </w:p>
        </w:tc>
        <w:tc>
          <w:tcPr>
            <w:tcW w:w="5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对随心查相关页面埋点。包括：（1）内容曝光埋点：对各个功能页面（内容列表、内容详情、搜索页面、查询条件页）的曝光记录进行埋点。 (2)用户行为埋点：对用户使用行为进行埋点,埋点内容包括：点击、收藏、拨打电话、导航，筛选条件等。</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根据用户的行为、偏好、历史数据等因素，以及用户登记的宝宝年龄、居住地、收费区间等信息，预测用户可能感兴趣的机构，分析出合适的托育机构优先展示给用户。</w:t>
            </w:r>
          </w:p>
        </w:tc>
      </w:tr>
      <w:tr>
        <w:tblPrEx>
          <w:tblCellMar>
            <w:top w:w="0" w:type="dxa"/>
            <w:left w:w="108" w:type="dxa"/>
            <w:bottom w:w="0" w:type="dxa"/>
            <w:right w:w="108" w:type="dxa"/>
          </w:tblCellMar>
        </w:tblPrEx>
        <w:trPr>
          <w:trHeight w:val="57"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4</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随心查功能配置</w:t>
            </w:r>
          </w:p>
        </w:tc>
        <w:tc>
          <w:tcPr>
            <w:tcW w:w="5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为随心查页面</w:t>
            </w:r>
            <w:r>
              <w:rPr>
                <w:rFonts w:hint="eastAsia" w:hAnsi="等线" w:cs="仿宋_GB2312"/>
                <w:color w:val="000000"/>
                <w:kern w:val="0"/>
                <w:sz w:val="22"/>
                <w:szCs w:val="22"/>
                <w:lang w:eastAsia="zh-CN" w:bidi="ar"/>
              </w:rPr>
              <w:t>功能</w:t>
            </w:r>
            <w:r>
              <w:rPr>
                <w:rFonts w:hint="eastAsia" w:hAnsi="等线" w:cs="仿宋_GB2312"/>
                <w:color w:val="000000"/>
                <w:kern w:val="0"/>
                <w:sz w:val="22"/>
                <w:szCs w:val="22"/>
                <w:lang w:bidi="ar"/>
              </w:rPr>
              <w:t>的排序，筛选条件增加配置功能，管理员可以在后台配置排序的方式、显示/关闭筛选的条件项、新增筛选条件、修改筛选条件的描述及取值范围等内容。</w:t>
            </w:r>
          </w:p>
        </w:tc>
      </w:tr>
      <w:tr>
        <w:tblPrEx>
          <w:tblCellMar>
            <w:top w:w="0" w:type="dxa"/>
            <w:left w:w="108" w:type="dxa"/>
            <w:bottom w:w="0" w:type="dxa"/>
            <w:right w:w="108" w:type="dxa"/>
          </w:tblCellMar>
        </w:tblPrEx>
        <w:trPr>
          <w:trHeight w:val="57" w:hRule="atLeast"/>
        </w:trPr>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5</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对接随申办“统一身份认证”</w:t>
            </w:r>
          </w:p>
        </w:tc>
        <w:tc>
          <w:tcPr>
            <w:tcW w:w="5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随心查模块与“随申办”平台完成“统一身份认证”，实现随心查功能与“随申办”的集成。</w:t>
            </w:r>
          </w:p>
        </w:tc>
      </w:tr>
    </w:tbl>
    <w:p>
      <w:pPr>
        <w:ind w:firstLine="0" w:firstLineChars="0"/>
        <w:rPr>
          <w:b/>
          <w:bCs/>
        </w:rPr>
      </w:pPr>
      <w:r>
        <w:rPr>
          <w:rFonts w:hint="eastAsia"/>
        </w:rPr>
        <w:t xml:space="preserve">  </w:t>
      </w:r>
      <w:r>
        <w:rPr>
          <w:rFonts w:hint="eastAsia"/>
          <w:b/>
          <w:bCs/>
        </w:rPr>
        <w:t xml:space="preserve">  4、优化管理通</w:t>
      </w:r>
    </w:p>
    <w:tbl>
      <w:tblPr>
        <w:tblStyle w:val="35"/>
        <w:tblW w:w="4998" w:type="pct"/>
        <w:tblInd w:w="0" w:type="dxa"/>
        <w:tblLayout w:type="fixed"/>
        <w:tblCellMar>
          <w:top w:w="0" w:type="dxa"/>
          <w:left w:w="108" w:type="dxa"/>
          <w:bottom w:w="0" w:type="dxa"/>
          <w:right w:w="108" w:type="dxa"/>
        </w:tblCellMar>
      </w:tblPr>
      <w:tblGrid>
        <w:gridCol w:w="874"/>
        <w:gridCol w:w="2328"/>
        <w:gridCol w:w="5323"/>
      </w:tblGrid>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序号</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功能名称</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b/>
                <w:bCs/>
                <w:color w:val="000000"/>
                <w:sz w:val="22"/>
                <w:szCs w:val="22"/>
              </w:rPr>
            </w:pPr>
            <w:r>
              <w:rPr>
                <w:rFonts w:hint="eastAsia" w:hAnsi="等线" w:cs="仿宋_GB2312"/>
                <w:b/>
                <w:bCs/>
                <w:color w:val="000000"/>
                <w:kern w:val="0"/>
                <w:sz w:val="22"/>
                <w:szCs w:val="22"/>
                <w:lang w:bidi="ar"/>
              </w:rPr>
              <w:t>功能描述</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教案协同-教案管理</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1、提供多种教案模板，实现教师对教案的撰写、编辑、预览、发布、删除、查看历史等教案的核心基础功能。</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2、市区管理员可对教案进行置顶、推荐、精品、定义标签等操作。支持市、区级优秀教案批量入库。支持教案精确搜索、全文检索等功能。</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3、教案资源审核流程。由教师、园所、区、市向上递进投稿，审核通过后进入对应的教案库。</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4、教案有效期管理。支持为教案设定有效期，当超过有效期后，已对外展示或被收藏的教案信息将无法正常显示。</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2</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教案协同-教案协同创建</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由园所老师负责邀请多人同时进行线上教案的实时编辑、保存、预览功能，教案在创作时可以引用图片、视频、音频等内容。教案创建完成后，由发起人进行最终提交，同时该教案的作者为所有参与人。教案共享功能，被共享的教案可允许二次创作。</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3</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教案协同-教案标签管理</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管理员用户、园所用户可以对教案自定义或选择标签，便于教案的精确检索。管理员用户可以对标签进行维护，包括新增、修改、删除等。</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4</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统一机构管理-幼儿园机构管理流程再造</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增加数据核验功能。区级管理员新增幼儿园机构时，通过组织机构代码向大数据中心请求机构基本信息，管理员对信息核验并入库，对不正确的信息可提醒机构进行修改，机构需要提交佐证，由市级管理人员进行审核通过后才可保存入库。</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2、完善机构状态。完善机构状态信息，增加本年不招生、规划中、筹建中、正常经营等状态信息。同步需调整与机构相关的所有页面显示、统计规则、对外接口、数据库视图等处的修改10余项。</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3、机构状态异常处置。当机构状态非正常情况（规划、筹建）时，设定预警时间，并对市级用户进行提示。用户可根据预警信息提交证件佐证，管理用户再行审核。异常状态超过时间未处理，则需重新登记。</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4、统一管控方式。机构管理员查询幼儿、教师等信息时，展示机构下所有办园点内的相关信息，取消切换总分园功能。</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5</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统一机构管理-托育机构信息管理</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托育机构信息新增及维护。市级、区级管理用户可新增部署线下的托育机构或科学育儿指导站（点）信息，兼容托幼一体幼儿园、托育机构、托儿所、早教中心、宝宝屋、科学育儿指导站（点）等类型。填写信息包括机构名称、机构性质、机构分类、联系电话、所属区、所属街道、机构地址、服务形式、供餐情况、入托月龄、工作时间等，并在部署提交前可预览机构信息页面。管理用户可对机构信息进行查询、修改、删除等操作。</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托育机构信息自主填报流程。市级、区级管理用户下发托育机构信息自主填报链接，链接以短信形式通知到机构负责人手机，填写过程中支持预览、保存等操作，填写完成后由管理用户审核，管理用户对已填报机构信息列表进行批量审核操作。</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3、托育机构地理位置可视化维护。以可视化形式管理和维护托育机构地理位置信息，市级、区级管理用户能够在内嵌地图上进行编辑、调整地理位置数据，包括地址、坐标（经纬度）、地区名称等，提供格式和逻辑验证，确保输入的地理位置数据准确无误。</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6</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幼儿管理-幼儿管理流程再造</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1、数据核验。园所教师在新增幼儿时，通过幼儿证件号、姓名向大数据中心请求幼儿基本信息，教师对信息核验并入库，对不正确的信息可进行修改，并且需要提交佐证，由区级管理人员进行审核通过后才可保存入库。</w:t>
            </w:r>
          </w:p>
          <w:p>
            <w:pPr>
              <w:widowControl/>
              <w:ind w:firstLine="0" w:firstLineChars="0"/>
              <w:jc w:val="left"/>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2、完善幼儿状态信息。新增幼儿延期毕业状态，支持市区园三级用户列表页的展示。需要调整与幼儿相关的统计规则、对外接口、数据库视图等处的修改10余项。</w:t>
            </w:r>
          </w:p>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3、当幼儿为延期毕业状态时，统一毕业升班流程、与全国幼儿同步流程需要对此类幼儿进行特殊处理。</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7</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优化教师管理-教师信息关联核验</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园所管理员在新增教职工信息时，通过关键身份信息可向大数据中心请求教师基本信息，并将数据保存至本地。同时支持定时更新和手动更新，以便于更新教师基本信息。支持查询、导出功能。</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kern w:val="0"/>
                <w:sz w:val="22"/>
                <w:szCs w:val="22"/>
                <w:lang w:bidi="ar"/>
              </w:rPr>
            </w:pPr>
            <w:r>
              <w:rPr>
                <w:rFonts w:hint="eastAsia" w:hAnsi="等线" w:cs="仿宋_GB2312"/>
                <w:color w:val="000000"/>
                <w:kern w:val="0"/>
                <w:sz w:val="22"/>
                <w:szCs w:val="22"/>
                <w:lang w:bidi="ar"/>
              </w:rPr>
              <w:t>8</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优化教师管理-新增执业信息管理</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园所管理员可新增教师执业信息，通过关键身份信息可向大数据中心申请教师执业基本信息，并将数据保存至本地。同时支持定时更新和手动更新，以便于更新教师的执业信息。支持查询、导出功能。</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9</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优化教师管理-新增临聘人员管理</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园所管理员可新增临聘人员基本信息，包含姓名、证件类型、证件号码、联系电话、现住址、临聘开始时间、临聘结束时间等，并支持各种条件查询以及导出功能。支持查询、导出功能。</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10</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全国学前教育管理信息系统数据自动对接同步-账号管理流程</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自定义维护全国学前教育系统省市区三级不同身份管理员账号信息,包含区管理、区审核、审计用户、系统管理员、业务用户、审核用户、领导用户等。并根据全国学前教育系统修改密码流程，定时按照密码复杂度进行更新</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11</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全国学前教育管理信息系统数据自动对接同步-自动登录流程</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根据不同业务所需使用的账号信息，自动接入全国学前教育系统登录页面，自动输入账号密码，智能分析验证码信息成功登录，并记录日志。</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12</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全国学前教育管理信息系统数据自动对接同步-自动机构维护流程</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通过区级账号，从全国系统获取机构信息保存在本地，从园园通系统获取机构数据，与全国学前教育系统机构信息进行对比，对机构信息错误或不存在等情况，并记录日志。</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13</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全国学前教育管理信息系统数据自动对接同步-自动班级维护流程</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通过机构账号，从全国系统获取班级信息保存在本地，从园园通系统获取班级信息，与全国学前教育系统班级信息进行对比，编辑信息错误或不存在的情况，通过对应关系自动创建，并记录日志。</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14</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全国学前教育管理信息系统数据自动对接同步-自动幼儿维护流程</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通过机构账号，从全国系统获取幼儿信息保存在本地，从园园通系统获取幼儿信息，与全国</w:t>
            </w:r>
            <w:r>
              <w:rPr>
                <w:rFonts w:hint="eastAsia" w:hAnsi="等线" w:cs="仿宋_GB2312"/>
                <w:color w:val="000000"/>
                <w:kern w:val="0"/>
                <w:sz w:val="22"/>
                <w:szCs w:val="22"/>
                <w:lang w:eastAsia="zh-CN" w:bidi="ar"/>
              </w:rPr>
              <w:t>学前教育</w:t>
            </w:r>
            <w:r>
              <w:rPr>
                <w:rFonts w:hint="eastAsia" w:hAnsi="等线" w:cs="仿宋_GB2312"/>
                <w:color w:val="000000"/>
                <w:kern w:val="0"/>
                <w:sz w:val="22"/>
                <w:szCs w:val="22"/>
                <w:lang w:bidi="ar"/>
              </w:rPr>
              <w:t>系统幼儿信息进行对比，当幼儿关键信息、机构、年级等发生变化时，自动进行调整，并记录日志。</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15</w:t>
            </w:r>
          </w:p>
        </w:tc>
        <w:tc>
          <w:tcPr>
            <w:tcW w:w="2266"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全国学前教育管理信息系统数据自动对接同步-维护日志管理</w:t>
            </w:r>
          </w:p>
        </w:tc>
        <w:tc>
          <w:tcPr>
            <w:tcW w:w="5182"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通过不同类型的日志记录，提供可视化的页面，包含日志类型、操作记录、时间等关键词检索显示详情信息。</w:t>
            </w:r>
          </w:p>
        </w:tc>
      </w:tr>
      <w:tr>
        <w:tblPrEx>
          <w:tblCellMar>
            <w:top w:w="0" w:type="dxa"/>
            <w:left w:w="108" w:type="dxa"/>
            <w:bottom w:w="0" w:type="dxa"/>
            <w:right w:w="108" w:type="dxa"/>
          </w:tblCellMar>
        </w:tblPrEx>
        <w:trPr>
          <w:trHeight w:val="57"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16</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Ansi="等线" w:cs="仿宋_GB2312"/>
                <w:color w:val="000000"/>
                <w:sz w:val="22"/>
                <w:szCs w:val="22"/>
              </w:rPr>
            </w:pPr>
            <w:r>
              <w:rPr>
                <w:rFonts w:hint="eastAsia" w:hAnsi="等线" w:cs="仿宋_GB2312"/>
                <w:color w:val="000000"/>
                <w:kern w:val="0"/>
                <w:sz w:val="22"/>
                <w:szCs w:val="22"/>
                <w:lang w:bidi="ar"/>
              </w:rPr>
              <w:t>全国学前教育管理信息系统数据自动对接同步-异常数据管理</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Ansi="等线" w:cs="仿宋_GB2312"/>
                <w:color w:val="000000"/>
                <w:sz w:val="22"/>
                <w:szCs w:val="22"/>
              </w:rPr>
            </w:pPr>
            <w:r>
              <w:rPr>
                <w:rFonts w:hint="eastAsia" w:hAnsi="等线" w:cs="仿宋_GB2312"/>
                <w:color w:val="000000"/>
                <w:kern w:val="0"/>
                <w:sz w:val="22"/>
                <w:szCs w:val="22"/>
                <w:lang w:bidi="ar"/>
              </w:rPr>
              <w:t>自动幼儿维护过程中，对于需要佐证、省内异常、全国异常等类型的数据进行记录并提供可视化页面，支持异常分类、执行时间等关键词进行查询。</w:t>
            </w:r>
          </w:p>
        </w:tc>
      </w:tr>
    </w:tbl>
    <w:p>
      <w:pPr>
        <w:ind w:firstLine="562"/>
        <w:rPr>
          <w:b/>
          <w:bCs/>
        </w:rPr>
      </w:pPr>
      <w:r>
        <w:rPr>
          <w:rFonts w:hint="eastAsia"/>
          <w:b/>
          <w:bCs/>
        </w:rPr>
        <w:t>5、密码应用</w:t>
      </w:r>
    </w:p>
    <w:tbl>
      <w:tblPr>
        <w:tblStyle w:val="35"/>
        <w:tblW w:w="4998" w:type="pct"/>
        <w:tblInd w:w="0" w:type="dxa"/>
        <w:tblLayout w:type="fixed"/>
        <w:tblCellMar>
          <w:top w:w="0" w:type="dxa"/>
          <w:left w:w="108" w:type="dxa"/>
          <w:bottom w:w="0" w:type="dxa"/>
          <w:right w:w="108" w:type="dxa"/>
        </w:tblCellMar>
      </w:tblPr>
      <w:tblGrid>
        <w:gridCol w:w="819"/>
        <w:gridCol w:w="2145"/>
        <w:gridCol w:w="5561"/>
      </w:tblGrid>
      <w:tr>
        <w:tblPrEx>
          <w:tblCellMar>
            <w:top w:w="0" w:type="dxa"/>
            <w:left w:w="108" w:type="dxa"/>
            <w:bottom w:w="0" w:type="dxa"/>
            <w:right w:w="108" w:type="dxa"/>
          </w:tblCellMar>
        </w:tblPrEx>
        <w:trPr>
          <w:trHeight w:val="680" w:hRule="atLeast"/>
        </w:trPr>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仿宋_GB2312"/>
                <w:b/>
                <w:bCs/>
                <w:color w:val="000000"/>
                <w:sz w:val="22"/>
                <w:szCs w:val="22"/>
              </w:rPr>
            </w:pPr>
            <w:r>
              <w:rPr>
                <w:rFonts w:hint="eastAsia" w:cs="仿宋_GB2312"/>
                <w:b/>
                <w:bCs/>
                <w:color w:val="000000"/>
                <w:kern w:val="0"/>
                <w:sz w:val="22"/>
                <w:szCs w:val="22"/>
                <w:lang w:bidi="ar"/>
              </w:rPr>
              <w:t>序号</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仿宋_GB2312"/>
                <w:b/>
                <w:bCs/>
                <w:color w:val="000000"/>
                <w:sz w:val="22"/>
                <w:szCs w:val="22"/>
              </w:rPr>
            </w:pPr>
            <w:r>
              <w:rPr>
                <w:rFonts w:hint="eastAsia" w:cs="仿宋_GB2312"/>
                <w:b/>
                <w:bCs/>
                <w:color w:val="000000"/>
                <w:kern w:val="0"/>
                <w:sz w:val="22"/>
                <w:szCs w:val="22"/>
                <w:lang w:bidi="ar"/>
              </w:rPr>
              <w:t>功能名称</w:t>
            </w:r>
          </w:p>
        </w:tc>
        <w:tc>
          <w:tcPr>
            <w:tcW w:w="54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仿宋_GB2312"/>
                <w:b/>
                <w:bCs/>
                <w:color w:val="000000"/>
                <w:sz w:val="22"/>
                <w:szCs w:val="22"/>
              </w:rPr>
            </w:pPr>
            <w:r>
              <w:rPr>
                <w:rFonts w:hint="eastAsia" w:cs="仿宋_GB2312"/>
                <w:b/>
                <w:bCs/>
                <w:color w:val="000000"/>
                <w:kern w:val="0"/>
                <w:sz w:val="22"/>
                <w:szCs w:val="22"/>
                <w:lang w:bidi="ar"/>
              </w:rPr>
              <w:t>功能描述</w:t>
            </w:r>
          </w:p>
        </w:tc>
      </w:tr>
      <w:tr>
        <w:tblPrEx>
          <w:tblCellMar>
            <w:top w:w="0" w:type="dxa"/>
            <w:left w:w="108" w:type="dxa"/>
            <w:bottom w:w="0" w:type="dxa"/>
            <w:right w:w="108" w:type="dxa"/>
          </w:tblCellMar>
        </w:tblPrEx>
        <w:trPr>
          <w:trHeight w:val="340" w:hRule="atLeast"/>
        </w:trPr>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仿宋_GB2312"/>
                <w:b/>
                <w:bCs/>
                <w:color w:val="000000"/>
                <w:sz w:val="22"/>
                <w:szCs w:val="22"/>
              </w:rPr>
            </w:pPr>
            <w:r>
              <w:rPr>
                <w:rFonts w:hint="eastAsia" w:cs="仿宋_GB2312"/>
                <w:b/>
                <w:bCs/>
                <w:color w:val="000000"/>
                <w:kern w:val="0"/>
                <w:sz w:val="22"/>
                <w:szCs w:val="22"/>
                <w:lang w:bidi="ar"/>
              </w:rPr>
              <w:t>1</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仿宋_GB2312"/>
                <w:color w:val="000000"/>
                <w:sz w:val="22"/>
                <w:szCs w:val="22"/>
              </w:rPr>
            </w:pPr>
            <w:r>
              <w:rPr>
                <w:rFonts w:hint="eastAsia" w:cs="仿宋_GB2312"/>
                <w:color w:val="000000"/>
                <w:kern w:val="0"/>
                <w:sz w:val="22"/>
                <w:szCs w:val="22"/>
                <w:lang w:bidi="ar"/>
              </w:rPr>
              <w:t>密码应用开发</w:t>
            </w:r>
          </w:p>
        </w:tc>
        <w:tc>
          <w:tcPr>
            <w:tcW w:w="54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仿宋_GB2312"/>
                <w:color w:val="000000"/>
                <w:sz w:val="22"/>
                <w:szCs w:val="22"/>
              </w:rPr>
            </w:pPr>
            <w:r>
              <w:rPr>
                <w:rFonts w:hint="eastAsia" w:cs="仿宋_GB2312"/>
                <w:color w:val="000000"/>
                <w:kern w:val="0"/>
                <w:sz w:val="22"/>
                <w:szCs w:val="22"/>
                <w:lang w:bidi="ar"/>
              </w:rPr>
              <w:t>密码应用开发</w:t>
            </w:r>
          </w:p>
        </w:tc>
      </w:tr>
    </w:tbl>
    <w:p>
      <w:pPr>
        <w:ind w:firstLine="0" w:firstLineChars="0"/>
        <w:rPr>
          <w:b/>
          <w:bCs/>
        </w:rPr>
      </w:pPr>
    </w:p>
    <w:p>
      <w:pPr>
        <w:pStyle w:val="2"/>
      </w:pPr>
      <w:bookmarkStart w:id="19" w:name="_Toc63785502"/>
      <w:r>
        <w:rPr>
          <w:rFonts w:hint="eastAsia"/>
        </w:rPr>
        <w:t>电子政务云资源需求</w:t>
      </w:r>
      <w:bookmarkEnd w:id="19"/>
    </w:p>
    <w:p>
      <w:pPr>
        <w:pStyle w:val="3"/>
      </w:pPr>
      <w:r>
        <w:rPr>
          <w:rFonts w:hint="eastAsia"/>
        </w:rPr>
        <w:t>主机资源</w:t>
      </w:r>
    </w:p>
    <w:p>
      <w:pPr>
        <w:ind w:firstLine="560"/>
      </w:pPr>
      <w:r>
        <w:rPr>
          <w:rFonts w:hint="eastAsia"/>
          <w:lang w:bidi="ar"/>
        </w:rPr>
        <w:t>本项目依托上海市电子政务云申请以下资源：CPU共</w:t>
      </w:r>
      <w:r>
        <w:rPr>
          <w:lang w:bidi="ar"/>
        </w:rPr>
        <w:t>288</w:t>
      </w:r>
      <w:r>
        <w:rPr>
          <w:rFonts w:hint="eastAsia"/>
          <w:lang w:bidi="ar"/>
        </w:rPr>
        <w:t>核 、内存共</w:t>
      </w:r>
      <w:r>
        <w:rPr>
          <w:lang w:bidi="ar"/>
        </w:rPr>
        <w:t>568</w:t>
      </w:r>
      <w:r>
        <w:rPr>
          <w:rFonts w:hint="eastAsia"/>
          <w:lang w:bidi="ar"/>
        </w:rPr>
        <w:t>GB、存储共</w:t>
      </w:r>
      <w:r>
        <w:rPr>
          <w:lang w:bidi="ar"/>
        </w:rPr>
        <w:t>8000</w:t>
      </w:r>
      <w:r>
        <w:rPr>
          <w:rFonts w:hint="eastAsia"/>
          <w:lang w:bidi="ar"/>
        </w:rPr>
        <w:t>GB。具体明细如下，项目实施过程中可按电子政务云平台分配的实际资源情况做调整。</w:t>
      </w:r>
    </w:p>
    <w:tbl>
      <w:tblPr>
        <w:tblStyle w:val="35"/>
        <w:tblW w:w="4997" w:type="pct"/>
        <w:tblInd w:w="0" w:type="dxa"/>
        <w:tblLayout w:type="fixed"/>
        <w:tblCellMar>
          <w:top w:w="0" w:type="dxa"/>
          <w:left w:w="108" w:type="dxa"/>
          <w:bottom w:w="0" w:type="dxa"/>
          <w:right w:w="108" w:type="dxa"/>
        </w:tblCellMar>
      </w:tblPr>
      <w:tblGrid>
        <w:gridCol w:w="448"/>
        <w:gridCol w:w="965"/>
        <w:gridCol w:w="995"/>
        <w:gridCol w:w="2436"/>
        <w:gridCol w:w="780"/>
        <w:gridCol w:w="967"/>
        <w:gridCol w:w="967"/>
        <w:gridCol w:w="966"/>
      </w:tblGrid>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序号</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资源类型</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资源名称</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资源说明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核心（核）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内存(GB)</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存储(GB)</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数量(台)</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负载均衡服务器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入园登记模块-应用请求代理</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应用服务器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入园登记模块-业务服务</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缓存服务器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入园登记模块-实时、重要数据缓存</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应用服务器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入园登记模块-为应用提供数据服务及与从其他业务同步数据</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数据分析服务器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入园登记模块-数据分析</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数据库服务器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入园登记模块-业务核心库</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108" w:type="dxa"/>
            <w:bottom w:w="0" w:type="dxa"/>
            <w:right w:w="108" w:type="dxa"/>
          </w:tblCellMar>
        </w:tblPrEx>
        <w:trPr>
          <w:trHeight w:val="855"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PC端负载均衡服务器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托育随心查模块-PC端应用请求代理</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108" w:type="dxa"/>
            <w:bottom w:w="0" w:type="dxa"/>
            <w:right w:w="108" w:type="dxa"/>
          </w:tblCellMar>
        </w:tblPrEx>
        <w:trPr>
          <w:trHeight w:val="855"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移动端负载均衡服务器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托育随心查模块-移动端应用请求代理</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PC端应用服务器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托育随心查模块-PC端业务服务</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108" w:type="dxa"/>
            <w:bottom w:w="0" w:type="dxa"/>
            <w:right w:w="108" w:type="dxa"/>
          </w:tblCellMar>
        </w:tblPrEx>
        <w:trPr>
          <w:trHeight w:val="57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移动端应用服务器</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托育随心查模块-移动端业务服务</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108" w:type="dxa"/>
            <w:bottom w:w="0" w:type="dxa"/>
            <w:right w:w="108" w:type="dxa"/>
          </w:tblCellMar>
        </w:tblPrEx>
        <w:trPr>
          <w:trHeight w:val="285"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虚拟机</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数据库</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托育随心查模块-业务库</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r>
    </w:tbl>
    <w:p>
      <w:pPr>
        <w:pStyle w:val="3"/>
      </w:pPr>
      <w:bookmarkStart w:id="20" w:name="_Toc63785503"/>
      <w:r>
        <w:rPr>
          <w:rFonts w:hint="eastAsia"/>
        </w:rPr>
        <w:t>PaaS服务资源</w:t>
      </w:r>
    </w:p>
    <w:tbl>
      <w:tblPr>
        <w:tblStyle w:val="35"/>
        <w:tblW w:w="4998" w:type="pct"/>
        <w:jc w:val="center"/>
        <w:tblLayout w:type="fixed"/>
        <w:tblCellMar>
          <w:top w:w="0" w:type="dxa"/>
          <w:left w:w="108" w:type="dxa"/>
          <w:bottom w:w="0" w:type="dxa"/>
          <w:right w:w="108" w:type="dxa"/>
        </w:tblCellMar>
      </w:tblPr>
      <w:tblGrid>
        <w:gridCol w:w="686"/>
        <w:gridCol w:w="3601"/>
        <w:gridCol w:w="2446"/>
        <w:gridCol w:w="1791"/>
      </w:tblGrid>
      <w:tr>
        <w:tblPrEx>
          <w:tblCellMar>
            <w:top w:w="0" w:type="dxa"/>
            <w:left w:w="108" w:type="dxa"/>
            <w:bottom w:w="0" w:type="dxa"/>
            <w:right w:w="108" w:type="dxa"/>
          </w:tblCellMar>
        </w:tblPrEx>
        <w:trPr>
          <w:trHeight w:val="57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rFonts w:ascii="宋体" w:hAnsi="宋体" w:eastAsia="宋体" w:cs="宋体"/>
                <w:b/>
                <w:bCs/>
                <w:sz w:val="22"/>
                <w:szCs w:val="22"/>
              </w:rPr>
            </w:pPr>
            <w:r>
              <w:rPr>
                <w:rFonts w:hint="eastAsia" w:ascii="宋体" w:hAnsi="宋体" w:eastAsia="宋体" w:cs="宋体"/>
                <w:b/>
                <w:bCs/>
                <w:sz w:val="22"/>
                <w:szCs w:val="22"/>
              </w:rPr>
              <w:t>序号</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rFonts w:ascii="宋体" w:hAnsi="宋体" w:eastAsia="宋体" w:cs="宋体"/>
                <w:b/>
                <w:bCs/>
                <w:sz w:val="22"/>
                <w:szCs w:val="22"/>
              </w:rPr>
            </w:pPr>
            <w:r>
              <w:rPr>
                <w:rFonts w:hint="eastAsia" w:ascii="宋体" w:hAnsi="宋体" w:eastAsia="宋体" w:cs="宋体"/>
                <w:b/>
                <w:bCs/>
                <w:sz w:val="22"/>
                <w:szCs w:val="22"/>
              </w:rPr>
              <w:t>资源名称</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rFonts w:ascii="宋体" w:hAnsi="宋体" w:eastAsia="宋体" w:cs="宋体"/>
                <w:b/>
                <w:bCs/>
                <w:sz w:val="22"/>
                <w:szCs w:val="22"/>
              </w:rPr>
            </w:pPr>
            <w:r>
              <w:rPr>
                <w:rFonts w:hint="eastAsia" w:ascii="宋体" w:hAnsi="宋体" w:eastAsia="宋体" w:cs="宋体"/>
                <w:b/>
                <w:bCs/>
                <w:sz w:val="22"/>
                <w:szCs w:val="22"/>
              </w:rPr>
              <w:t>核定数量</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rFonts w:ascii="宋体" w:hAnsi="宋体" w:eastAsia="宋体" w:cs="宋体"/>
                <w:b/>
                <w:bCs/>
                <w:sz w:val="22"/>
                <w:szCs w:val="22"/>
              </w:rPr>
            </w:pPr>
            <w:r>
              <w:rPr>
                <w:rFonts w:hint="eastAsia" w:ascii="宋体" w:hAnsi="宋体" w:eastAsia="宋体" w:cs="宋体"/>
                <w:b/>
                <w:bCs/>
                <w:sz w:val="22"/>
                <w:szCs w:val="22"/>
              </w:rPr>
              <w:t>单位</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1</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操作系统服务-统信UOS、麒麟</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24</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套*年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2</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数据库服务-达梦、人大金仓</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4</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套*年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3</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安全认证网关服务</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2</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套*年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4</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签名验签服务</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套*年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5</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可信密码服务</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应用*年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6</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数字证书服务 - SSL证书-通配符</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2</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张*年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7</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数字证书服务 - SSL证书-单域名</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张*年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8</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数字证书服务 - 公务人员证书（key）</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10</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张*年</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9</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数字证书服务 - 证书介质（key）</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10</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个</w:t>
            </w:r>
          </w:p>
        </w:tc>
      </w:tr>
      <w:tr>
        <w:tblPrEx>
          <w:tblCellMar>
            <w:top w:w="0" w:type="dxa"/>
            <w:left w:w="108" w:type="dxa"/>
            <w:bottom w:w="0" w:type="dxa"/>
            <w:right w:w="108" w:type="dxa"/>
          </w:tblCellMar>
        </w:tblPrEx>
        <w:trPr>
          <w:trHeight w:val="3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10</w:t>
            </w:r>
          </w:p>
        </w:tc>
        <w:tc>
          <w:tcPr>
            <w:tcW w:w="350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安全防病毒(服务器端)</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24</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ascii="宋体" w:hAnsi="宋体" w:eastAsia="宋体" w:cs="宋体"/>
                <w:sz w:val="22"/>
                <w:szCs w:val="22"/>
              </w:rPr>
            </w:pPr>
            <w:r>
              <w:rPr>
                <w:rFonts w:hint="eastAsia" w:ascii="宋体" w:hAnsi="宋体" w:eastAsia="宋体" w:cs="宋体"/>
                <w:sz w:val="22"/>
                <w:szCs w:val="22"/>
              </w:rPr>
              <w:t>套*年</w:t>
            </w:r>
          </w:p>
        </w:tc>
      </w:tr>
    </w:tbl>
    <w:p>
      <w:pPr>
        <w:pStyle w:val="2"/>
      </w:pPr>
      <w:r>
        <w:rPr>
          <w:rFonts w:hint="eastAsia"/>
        </w:rPr>
        <w:t>其他工作要求</w:t>
      </w:r>
      <w:bookmarkEnd w:id="20"/>
    </w:p>
    <w:p>
      <w:pPr>
        <w:pStyle w:val="3"/>
      </w:pPr>
      <w:bookmarkStart w:id="21" w:name="_Toc62219358"/>
      <w:bookmarkEnd w:id="21"/>
      <w:bookmarkStart w:id="22" w:name="_Toc61968111"/>
      <w:bookmarkEnd w:id="22"/>
      <w:bookmarkStart w:id="23" w:name="_Toc63151871"/>
      <w:bookmarkEnd w:id="23"/>
      <w:bookmarkStart w:id="24" w:name="_Toc62209488"/>
      <w:bookmarkEnd w:id="24"/>
      <w:bookmarkStart w:id="25" w:name="_Toc63785439"/>
      <w:bookmarkEnd w:id="25"/>
      <w:bookmarkStart w:id="26" w:name="_Toc63585480"/>
      <w:bookmarkEnd w:id="26"/>
      <w:bookmarkStart w:id="27" w:name="_Toc63785504"/>
      <w:bookmarkEnd w:id="27"/>
      <w:bookmarkStart w:id="28" w:name="_Toc63762370"/>
      <w:bookmarkEnd w:id="28"/>
      <w:bookmarkStart w:id="29" w:name="_Toc63785505"/>
      <w:r>
        <w:rPr>
          <w:rFonts w:hint="eastAsia"/>
        </w:rPr>
        <w:t>售后服务要求</w:t>
      </w:r>
      <w:bookmarkEnd w:id="29"/>
    </w:p>
    <w:p>
      <w:pPr>
        <w:ind w:firstLine="560"/>
      </w:pPr>
      <w:r>
        <w:rPr>
          <w:rFonts w:hint="eastAsia"/>
        </w:rPr>
        <w:t>本项目从系统验收通过之日起1年内提供</w:t>
      </w:r>
      <w:r>
        <w:t>7*24小时免费技术支持</w:t>
      </w:r>
      <w:r>
        <w:rPr>
          <w:rFonts w:hint="eastAsia"/>
        </w:rPr>
        <w:t>和售后服务，1年后进入有偿维护期。</w:t>
      </w:r>
    </w:p>
    <w:p>
      <w:pPr>
        <w:ind w:firstLine="560"/>
      </w:pPr>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pPr>
        <w:ind w:firstLine="560"/>
      </w:pPr>
      <w:r>
        <w:rPr>
          <w:rFonts w:hint="eastAsia"/>
        </w:rPr>
        <w:t>在质量保证期内，供应商负责信息系统的运行维护工作，确保信息系统安全、稳定、可靠地运行。本项目涉及的运行维护工作范围为：</w:t>
      </w:r>
    </w:p>
    <w:p>
      <w:pPr>
        <w:ind w:firstLine="560"/>
      </w:pPr>
      <w:r>
        <w:rPr>
          <w:rFonts w:hint="eastAsia"/>
        </w:rPr>
        <w:t>（1）</w:t>
      </w:r>
      <w:r>
        <w:t>远程技术支持</w:t>
      </w:r>
      <w:r>
        <w:rPr>
          <w:rFonts w:hint="eastAsia"/>
        </w:rPr>
        <w:t>：</w:t>
      </w:r>
      <w:r>
        <w:t>采购方联系供应商指定的维护工程师，由供应商工程师通过电话支持、电子邮件等方式进行远程技术支持</w:t>
      </w:r>
      <w:r>
        <w:rPr>
          <w:rFonts w:hint="eastAsia"/>
        </w:rPr>
        <w:t>；</w:t>
      </w:r>
    </w:p>
    <w:p>
      <w:pPr>
        <w:ind w:firstLine="560"/>
      </w:pPr>
      <w:r>
        <w:rPr>
          <w:rFonts w:hint="eastAsia"/>
        </w:rPr>
        <w:t>（</w:t>
      </w:r>
      <w:r>
        <w:t>2</w:t>
      </w:r>
      <w:r>
        <w:rPr>
          <w:rFonts w:hint="eastAsia"/>
        </w:rPr>
        <w:t>）</w:t>
      </w:r>
      <w:r>
        <w:t>现场技术支持</w:t>
      </w:r>
      <w:r>
        <w:rPr>
          <w:rFonts w:hint="eastAsia"/>
        </w:rPr>
        <w:t>：</w:t>
      </w:r>
      <w:r>
        <w:t xml:space="preserve">如果通过远程技术支持方式不能解决信息系统故障，在采购方提出现场支持应急响应要求后的约定时间内，供应商应派遣工程师赶赴现场分析故障原因，制定故障排除方案，提供故障排除服务。 </w:t>
      </w:r>
    </w:p>
    <w:p>
      <w:pPr>
        <w:pStyle w:val="3"/>
      </w:pPr>
      <w:bookmarkStart w:id="30" w:name="_Toc63785506"/>
      <w:r>
        <w:rPr>
          <w:rFonts w:hint="eastAsia"/>
        </w:rPr>
        <w:t>应急响应要求</w:t>
      </w:r>
      <w:bookmarkEnd w:id="30"/>
    </w:p>
    <w:p>
      <w:pPr>
        <w:ind w:firstLine="560"/>
      </w:pPr>
      <w:r>
        <w:rPr>
          <w:rFonts w:hint="eastAsia"/>
        </w:rPr>
        <w:t>供应商对系统故障应能够实时响应，若系统发生故障，接到通知后</w:t>
      </w:r>
      <w:r>
        <w:t>30分钟之内响应，专业工程师2小时内到达现场</w:t>
      </w:r>
      <w:r>
        <w:rPr>
          <w:rFonts w:hint="eastAsia"/>
        </w:rPr>
        <w:t>。特殊故障与客户沟通协商后，按照协商的方式制定解决方案并进行处理。</w:t>
      </w:r>
    </w:p>
    <w:p>
      <w:pPr>
        <w:ind w:firstLine="560"/>
      </w:pPr>
      <w:r>
        <w:rPr>
          <w:rFonts w:hint="eastAsia"/>
        </w:rPr>
        <w:t>具体故障级别及对应的应急响应要求如下：</w:t>
      </w:r>
    </w:p>
    <w:p>
      <w:pPr>
        <w:ind w:firstLine="560"/>
      </w:pPr>
      <w:r>
        <w:rPr>
          <w:rFonts w:hint="eastAsia"/>
        </w:rPr>
        <w:t>一级故障：在</w:t>
      </w:r>
      <w:r>
        <w:t>1小时内确诊，总故障解决时间不超过4小时。</w:t>
      </w:r>
    </w:p>
    <w:p>
      <w:pPr>
        <w:ind w:firstLine="560"/>
      </w:pPr>
      <w:r>
        <w:rPr>
          <w:rFonts w:hint="eastAsia"/>
        </w:rPr>
        <w:t>二级故障：在</w:t>
      </w:r>
      <w:r>
        <w:t>2小时内确诊，并在4小时内由专家到达现场确诊并解决，总故障解决时间不超过8小时；</w:t>
      </w:r>
    </w:p>
    <w:p>
      <w:pPr>
        <w:ind w:firstLine="560"/>
      </w:pPr>
      <w:r>
        <w:rPr>
          <w:rFonts w:hint="eastAsia"/>
        </w:rPr>
        <w:t>三、四级故障：在</w:t>
      </w:r>
      <w:r>
        <w:t>4小时内确诊故障，总故障解决时间不超过16小时。</w:t>
      </w:r>
    </w:p>
    <w:p>
      <w:pPr>
        <w:pStyle w:val="3"/>
      </w:pPr>
      <w:bookmarkStart w:id="31" w:name="_Toc63785507"/>
      <w:r>
        <w:rPr>
          <w:rFonts w:hint="eastAsia"/>
        </w:rPr>
        <w:t>数据要求</w:t>
      </w:r>
    </w:p>
    <w:p>
      <w:pPr>
        <w:ind w:firstLine="560"/>
      </w:pPr>
      <w:r>
        <w:rPr>
          <w:rFonts w:hint="eastAsia"/>
        </w:rPr>
        <w:t>1、数据库设计文档中，原则上应包括所有二级功能模块对应的数据库表。</w:t>
      </w:r>
    </w:p>
    <w:p>
      <w:pPr>
        <w:ind w:firstLine="560"/>
      </w:pPr>
      <w:r>
        <w:rPr>
          <w:rFonts w:hint="eastAsia"/>
        </w:rPr>
        <w:t>2、业务功能模块涉及的业务对象、业务结果的数据库表应完成数据编目上链。</w:t>
      </w:r>
    </w:p>
    <w:p>
      <w:pPr>
        <w:ind w:firstLine="560"/>
      </w:pPr>
      <w:r>
        <w:rPr>
          <w:rFonts w:hint="eastAsia"/>
        </w:rPr>
        <w:t>3、数据目录名称应符合上海市《公共数据上链实施指南》数据资源命名规范。数据目录中的数据项应包含数据库表的核心数据项，其核心数据项应包含业务主体（人、企、事、产品、地址）、主体唯一标识、时间等关键信息。</w:t>
      </w:r>
    </w:p>
    <w:p>
      <w:pPr>
        <w:ind w:firstLine="560"/>
      </w:pPr>
      <w:r>
        <w:rPr>
          <w:rFonts w:hint="eastAsia"/>
        </w:rPr>
        <w:t>4、系统应具备与分中心指定的数据中台对接并实现数据归集和共享的能力。</w:t>
      </w:r>
    </w:p>
    <w:p>
      <w:pPr>
        <w:ind w:firstLine="560"/>
      </w:pPr>
      <w:r>
        <w:rPr>
          <w:rFonts w:hint="eastAsia"/>
        </w:rPr>
        <w:t>5、配合完成业务数据标准编制，并按照相关管理规则和技术规范完成数据归集。</w:t>
      </w:r>
    </w:p>
    <w:p>
      <w:pPr>
        <w:ind w:firstLine="560"/>
      </w:pPr>
      <w:r>
        <w:rPr>
          <w:rFonts w:hint="eastAsia"/>
        </w:rPr>
        <w:t>6、在项目验收前按大数据中心要求完成数据资源编目上链，具体将以市大数据中心的数据资源管理要求和项目实际实施情况作调整。</w:t>
      </w:r>
    </w:p>
    <w:p>
      <w:pPr>
        <w:pStyle w:val="3"/>
      </w:pPr>
      <w:r>
        <w:rPr>
          <w:rFonts w:hint="eastAsia"/>
        </w:rPr>
        <w:t>培训要求</w:t>
      </w:r>
      <w:bookmarkEnd w:id="31"/>
    </w:p>
    <w:p>
      <w:pPr>
        <w:ind w:firstLine="560"/>
      </w:pPr>
      <w:r>
        <w:rPr>
          <w:rFonts w:hint="eastAsia"/>
        </w:rPr>
        <w:t>对系统使用单位提供业务操作培训，应提供详细培训方案。</w:t>
      </w:r>
    </w:p>
    <w:p>
      <w:pPr>
        <w:ind w:firstLine="560"/>
      </w:pPr>
      <w:r>
        <w:rPr>
          <w:rFonts w:hint="eastAsia"/>
        </w:rPr>
        <w:t>(1)在12个月的质量保证期内，提供2次与项目相关的必要培训。</w:t>
      </w:r>
    </w:p>
    <w:p>
      <w:pPr>
        <w:ind w:firstLine="560"/>
      </w:pPr>
      <w:r>
        <w:rPr>
          <w:rFonts w:hint="eastAsia"/>
        </w:rPr>
        <w:t>(2)供应商需要开展分层次的人员培训工作，每次培训后应对参加培训人员进行测试，评估培训成果。培训应具有培训教材、培训环境和高水平的培训讲师。</w:t>
      </w:r>
    </w:p>
    <w:p>
      <w:pPr>
        <w:ind w:firstLine="560"/>
      </w:pPr>
      <w:r>
        <w:rPr>
          <w:rFonts w:hint="eastAsia"/>
        </w:rPr>
        <w:t>(3)供应商应提供一般用户的基础操作培训和部门信息管理员的日常应用维护的培训，确保用户对象能够掌握对应的操作技能。</w:t>
      </w:r>
    </w:p>
    <w:p>
      <w:pPr>
        <w:pStyle w:val="3"/>
      </w:pPr>
      <w:bookmarkStart w:id="32" w:name="_Toc63785509"/>
      <w:r>
        <w:rPr>
          <w:rFonts w:hint="eastAsia"/>
        </w:rPr>
        <w:t>进度要求</w:t>
      </w:r>
      <w:bookmarkEnd w:id="32"/>
    </w:p>
    <w:p>
      <w:pPr>
        <w:ind w:firstLine="560"/>
      </w:pPr>
      <w:r>
        <w:rPr>
          <w:rFonts w:hint="eastAsia"/>
        </w:rPr>
        <w:t>本项目总体可划分为</w:t>
      </w:r>
      <w:r>
        <w:t>深化设计</w:t>
      </w:r>
      <w:r>
        <w:rPr>
          <w:rFonts w:hint="eastAsia"/>
        </w:rPr>
        <w:t>、系统建设、系统试运行、验收4个阶段，应在2025年10月31日前完成验收。</w:t>
      </w:r>
    </w:p>
    <w:p>
      <w:pPr>
        <w:ind w:firstLine="560"/>
      </w:pPr>
      <w:r>
        <w:rPr>
          <w:rFonts w:hint="eastAsia"/>
        </w:rPr>
        <w:t>投标人应根据建设内容，分阶段制定合理的时间进度，并且应根据招标方要求进行调整和细化。</w:t>
      </w:r>
    </w:p>
    <w:p>
      <w:pPr>
        <w:pStyle w:val="3"/>
      </w:pPr>
      <w:bookmarkStart w:id="33" w:name="_Toc63785510"/>
      <w:r>
        <w:rPr>
          <w:rFonts w:hint="eastAsia"/>
        </w:rPr>
        <w:t>项目团队及驻场人员要求</w:t>
      </w:r>
      <w:bookmarkEnd w:id="33"/>
    </w:p>
    <w:p>
      <w:pPr>
        <w:ind w:firstLine="560"/>
      </w:pPr>
      <w:r>
        <w:rPr>
          <w:rFonts w:hint="eastAsia"/>
        </w:rPr>
        <w:t>投标人的相关服务人员需具备相应的服务能力，需提供相关证明（最近一个季度任意一个月依法缴纳社保费的证明）。</w:t>
      </w:r>
    </w:p>
    <w:p>
      <w:pPr>
        <w:numPr>
          <w:ilvl w:val="0"/>
          <w:numId w:val="6"/>
        </w:numPr>
        <w:ind w:firstLine="560"/>
      </w:pPr>
      <w:r>
        <w:t>投标人须具有稳定的在职技术保障力量，能够提供及时的技术支援或服务，应针对本项目提供不少于9人的项目服务团队（包括项目经理、产品经理、技术负责人、研发等）。</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43"/>
        <w:gridCol w:w="992"/>
        <w:gridCol w:w="2742"/>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rPr>
                <w:b/>
              </w:rPr>
            </w:pPr>
            <w:r>
              <w:rPr>
                <w:rFonts w:hint="eastAsia"/>
                <w:b/>
              </w:rPr>
              <w:t>角色</w:t>
            </w:r>
          </w:p>
        </w:tc>
        <w:tc>
          <w:tcPr>
            <w:tcW w:w="1843" w:type="dxa"/>
            <w:shd w:val="clear" w:color="auto" w:fill="auto"/>
            <w:vAlign w:val="center"/>
          </w:tcPr>
          <w:p>
            <w:pPr>
              <w:widowControl/>
              <w:spacing w:line="240" w:lineRule="auto"/>
              <w:ind w:firstLine="0" w:firstLineChars="0"/>
              <w:jc w:val="center"/>
              <w:rPr>
                <w:b/>
              </w:rPr>
            </w:pPr>
            <w:r>
              <w:rPr>
                <w:rFonts w:hint="eastAsia"/>
                <w:b/>
              </w:rPr>
              <w:t>主要职责</w:t>
            </w:r>
          </w:p>
        </w:tc>
        <w:tc>
          <w:tcPr>
            <w:tcW w:w="992" w:type="dxa"/>
            <w:shd w:val="clear" w:color="auto" w:fill="auto"/>
            <w:vAlign w:val="center"/>
          </w:tcPr>
          <w:p>
            <w:pPr>
              <w:widowControl/>
              <w:spacing w:line="240" w:lineRule="auto"/>
              <w:ind w:firstLine="0" w:firstLineChars="0"/>
              <w:jc w:val="center"/>
              <w:rPr>
                <w:b/>
              </w:rPr>
            </w:pPr>
            <w:r>
              <w:rPr>
                <w:rFonts w:hint="eastAsia"/>
                <w:b/>
              </w:rPr>
              <w:t>人员数量</w:t>
            </w:r>
          </w:p>
        </w:tc>
        <w:tc>
          <w:tcPr>
            <w:tcW w:w="2742" w:type="dxa"/>
            <w:vAlign w:val="center"/>
          </w:tcPr>
          <w:p>
            <w:pPr>
              <w:widowControl/>
              <w:spacing w:line="240" w:lineRule="auto"/>
              <w:ind w:firstLine="0" w:firstLineChars="0"/>
              <w:jc w:val="center"/>
              <w:rPr>
                <w:b/>
              </w:rPr>
            </w:pPr>
            <w:r>
              <w:rPr>
                <w:rFonts w:hint="eastAsia"/>
                <w:b/>
              </w:rPr>
              <w:t>人员要求</w:t>
            </w:r>
          </w:p>
        </w:tc>
        <w:tc>
          <w:tcPr>
            <w:tcW w:w="1341" w:type="dxa"/>
            <w:shd w:val="clear" w:color="auto" w:fill="auto"/>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pPr>
            <w:r>
              <w:rPr>
                <w:rFonts w:hint="eastAsia"/>
              </w:rPr>
              <w:t>项目经理</w:t>
            </w:r>
          </w:p>
        </w:tc>
        <w:tc>
          <w:tcPr>
            <w:tcW w:w="1843" w:type="dxa"/>
            <w:shd w:val="clear" w:color="auto" w:fill="auto"/>
            <w:vAlign w:val="center"/>
          </w:tcPr>
          <w:p>
            <w:pPr>
              <w:widowControl/>
              <w:spacing w:line="240" w:lineRule="auto"/>
              <w:ind w:firstLine="0" w:firstLineChars="0"/>
              <w:jc w:val="center"/>
            </w:pPr>
            <w:r>
              <w:rPr>
                <w:rFonts w:hint="eastAsia"/>
              </w:rPr>
              <w:t>负责项目质量和进度控制</w:t>
            </w:r>
          </w:p>
        </w:tc>
        <w:tc>
          <w:tcPr>
            <w:tcW w:w="992" w:type="dxa"/>
            <w:shd w:val="clear" w:color="auto" w:fill="auto"/>
            <w:vAlign w:val="center"/>
          </w:tcPr>
          <w:p>
            <w:pPr>
              <w:widowControl/>
              <w:spacing w:line="240" w:lineRule="auto"/>
              <w:ind w:firstLine="0" w:firstLineChars="0"/>
              <w:jc w:val="center"/>
            </w:pPr>
            <w:r>
              <w:t>1</w:t>
            </w:r>
            <w:r>
              <w:rPr>
                <w:rFonts w:hint="eastAsia"/>
              </w:rPr>
              <w:t>人</w:t>
            </w:r>
          </w:p>
        </w:tc>
        <w:tc>
          <w:tcPr>
            <w:tcW w:w="2742" w:type="dxa"/>
            <w:vAlign w:val="center"/>
          </w:tcPr>
          <w:p>
            <w:pPr>
              <w:widowControl/>
              <w:spacing w:line="240" w:lineRule="auto"/>
              <w:ind w:firstLine="0" w:firstLineChars="0"/>
              <w:jc w:val="left"/>
            </w:pPr>
            <w:r>
              <w:rPr>
                <w:rFonts w:hint="eastAsia" w:ascii="Calibri" w:hAnsi="Calibri"/>
                <w:lang w:bidi="ar"/>
              </w:rPr>
              <w:t>大学本科及以上学历，</w:t>
            </w:r>
            <w:r>
              <w:rPr>
                <w:rFonts w:hint="eastAsia"/>
              </w:rPr>
              <w:t>具有相关项目的管理经验</w:t>
            </w:r>
          </w:p>
        </w:tc>
        <w:tc>
          <w:tcPr>
            <w:tcW w:w="1341" w:type="dxa"/>
            <w:shd w:val="clear" w:color="auto" w:fill="auto"/>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pPr>
            <w:r>
              <w:rPr>
                <w:rFonts w:hint="eastAsia"/>
              </w:rPr>
              <w:t>产品经理</w:t>
            </w:r>
          </w:p>
        </w:tc>
        <w:tc>
          <w:tcPr>
            <w:tcW w:w="1843" w:type="dxa"/>
            <w:shd w:val="clear" w:color="auto" w:fill="auto"/>
            <w:vAlign w:val="center"/>
          </w:tcPr>
          <w:p>
            <w:pPr>
              <w:widowControl/>
              <w:spacing w:line="240" w:lineRule="auto"/>
              <w:ind w:firstLine="0" w:firstLineChars="0"/>
              <w:jc w:val="center"/>
            </w:pPr>
            <w:r>
              <w:rPr>
                <w:rFonts w:hint="eastAsia"/>
              </w:rPr>
              <w:t>负责项目需求分析与业务功能设计</w:t>
            </w:r>
          </w:p>
        </w:tc>
        <w:tc>
          <w:tcPr>
            <w:tcW w:w="992" w:type="dxa"/>
            <w:shd w:val="clear" w:color="auto" w:fill="auto"/>
            <w:vAlign w:val="center"/>
          </w:tcPr>
          <w:p>
            <w:pPr>
              <w:widowControl/>
              <w:spacing w:line="240" w:lineRule="auto"/>
              <w:ind w:firstLine="0" w:firstLineChars="0"/>
              <w:jc w:val="center"/>
            </w:pPr>
            <w:r>
              <w:rPr>
                <w:rFonts w:hint="eastAsia"/>
              </w:rPr>
              <w:t>1人</w:t>
            </w:r>
          </w:p>
        </w:tc>
        <w:tc>
          <w:tcPr>
            <w:tcW w:w="2742" w:type="dxa"/>
            <w:vAlign w:val="center"/>
          </w:tcPr>
          <w:p>
            <w:pPr>
              <w:widowControl/>
              <w:spacing w:line="240" w:lineRule="auto"/>
              <w:ind w:firstLine="0" w:firstLineChars="0"/>
              <w:jc w:val="left"/>
              <w:rPr>
                <w:rFonts w:eastAsia="宋体"/>
              </w:rPr>
            </w:pPr>
            <w:r>
              <w:rPr>
                <w:rFonts w:hint="eastAsia" w:ascii="Calibri" w:hAnsi="Calibri"/>
                <w:lang w:bidi="ar"/>
              </w:rPr>
              <w:t>大学本科及以上学历，</w:t>
            </w:r>
            <w:r>
              <w:rPr>
                <w:rFonts w:hint="eastAsia"/>
              </w:rPr>
              <w:t>具有产品设计经验</w:t>
            </w:r>
          </w:p>
        </w:tc>
        <w:tc>
          <w:tcPr>
            <w:tcW w:w="1341" w:type="dxa"/>
            <w:shd w:val="clear" w:color="auto" w:fill="auto"/>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pPr>
            <w:r>
              <w:rPr>
                <w:rFonts w:hint="eastAsia"/>
              </w:rPr>
              <w:t>技术负责人</w:t>
            </w:r>
          </w:p>
        </w:tc>
        <w:tc>
          <w:tcPr>
            <w:tcW w:w="1843" w:type="dxa"/>
            <w:shd w:val="clear" w:color="auto" w:fill="auto"/>
            <w:vAlign w:val="center"/>
          </w:tcPr>
          <w:p>
            <w:pPr>
              <w:widowControl/>
              <w:spacing w:line="240" w:lineRule="auto"/>
              <w:ind w:firstLine="0" w:firstLineChars="0"/>
              <w:jc w:val="center"/>
            </w:pPr>
            <w:r>
              <w:rPr>
                <w:rFonts w:hint="eastAsia"/>
              </w:rPr>
              <w:t>负责项目需求评估与系统设计</w:t>
            </w:r>
          </w:p>
        </w:tc>
        <w:tc>
          <w:tcPr>
            <w:tcW w:w="992" w:type="dxa"/>
            <w:shd w:val="clear" w:color="auto" w:fill="auto"/>
            <w:vAlign w:val="center"/>
          </w:tcPr>
          <w:p>
            <w:pPr>
              <w:widowControl/>
              <w:spacing w:line="240" w:lineRule="auto"/>
              <w:ind w:firstLine="0" w:firstLineChars="0"/>
              <w:jc w:val="center"/>
            </w:pPr>
            <w:r>
              <w:t>1</w:t>
            </w:r>
            <w:r>
              <w:rPr>
                <w:rFonts w:hint="eastAsia"/>
              </w:rPr>
              <w:t>人</w:t>
            </w:r>
          </w:p>
        </w:tc>
        <w:tc>
          <w:tcPr>
            <w:tcW w:w="2742" w:type="dxa"/>
            <w:vAlign w:val="center"/>
          </w:tcPr>
          <w:p>
            <w:pPr>
              <w:widowControl/>
              <w:spacing w:line="240" w:lineRule="auto"/>
              <w:ind w:firstLine="0" w:firstLineChars="0"/>
              <w:jc w:val="left"/>
            </w:pPr>
            <w:r>
              <w:rPr>
                <w:rFonts w:hint="eastAsia" w:ascii="Calibri" w:hAnsi="Calibri"/>
                <w:lang w:bidi="ar"/>
              </w:rPr>
              <w:t>大学本科及以上学历，</w:t>
            </w:r>
            <w:r>
              <w:rPr>
                <w:rFonts w:hint="eastAsia"/>
              </w:rPr>
              <w:t>具有相关项目的技术负责经验</w:t>
            </w:r>
          </w:p>
        </w:tc>
        <w:tc>
          <w:tcPr>
            <w:tcW w:w="1341" w:type="dxa"/>
            <w:shd w:val="clear" w:color="auto" w:fill="auto"/>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left"/>
            </w:pPr>
            <w:r>
              <w:rPr>
                <w:rFonts w:hint="eastAsia"/>
              </w:rPr>
              <w:t>技术工程师</w:t>
            </w:r>
          </w:p>
        </w:tc>
        <w:tc>
          <w:tcPr>
            <w:tcW w:w="1843" w:type="dxa"/>
            <w:shd w:val="clear" w:color="auto" w:fill="auto"/>
            <w:vAlign w:val="center"/>
          </w:tcPr>
          <w:p>
            <w:pPr>
              <w:widowControl/>
              <w:spacing w:line="240" w:lineRule="auto"/>
              <w:ind w:firstLine="0" w:firstLineChars="0"/>
              <w:jc w:val="center"/>
            </w:pPr>
            <w:r>
              <w:rPr>
                <w:rFonts w:hint="eastAsia"/>
              </w:rPr>
              <w:t>负责项目具体开发与实施</w:t>
            </w:r>
          </w:p>
        </w:tc>
        <w:tc>
          <w:tcPr>
            <w:tcW w:w="992" w:type="dxa"/>
            <w:shd w:val="clear" w:color="auto" w:fill="auto"/>
            <w:vAlign w:val="center"/>
          </w:tcPr>
          <w:p>
            <w:pPr>
              <w:widowControl/>
              <w:spacing w:line="240" w:lineRule="auto"/>
              <w:ind w:firstLine="0" w:firstLineChars="0"/>
              <w:jc w:val="center"/>
            </w:pPr>
            <w:r>
              <w:t>6</w:t>
            </w:r>
            <w:r>
              <w:rPr>
                <w:rFonts w:hint="eastAsia"/>
              </w:rPr>
              <w:t>人</w:t>
            </w:r>
          </w:p>
        </w:tc>
        <w:tc>
          <w:tcPr>
            <w:tcW w:w="2742" w:type="dxa"/>
            <w:vAlign w:val="center"/>
          </w:tcPr>
          <w:p>
            <w:pPr>
              <w:widowControl/>
              <w:spacing w:line="240" w:lineRule="auto"/>
              <w:ind w:firstLine="0" w:firstLineChars="0"/>
              <w:jc w:val="left"/>
            </w:pPr>
            <w:r>
              <w:rPr>
                <w:rFonts w:hint="eastAsia" w:ascii="Calibri" w:hAnsi="Calibri"/>
                <w:lang w:bidi="ar"/>
              </w:rPr>
              <w:t>大专及以上学历，</w:t>
            </w:r>
            <w:r>
              <w:rPr>
                <w:rFonts w:hint="eastAsia"/>
              </w:rPr>
              <w:t>具有相关项目的研发经验</w:t>
            </w:r>
          </w:p>
        </w:tc>
        <w:tc>
          <w:tcPr>
            <w:tcW w:w="1341" w:type="dxa"/>
            <w:shd w:val="clear" w:color="auto" w:fill="auto"/>
            <w:vAlign w:val="center"/>
          </w:tcPr>
          <w:p>
            <w:pPr>
              <w:widowControl/>
              <w:spacing w:line="240" w:lineRule="auto"/>
              <w:ind w:firstLine="0" w:firstLineChars="0"/>
              <w:jc w:val="center"/>
            </w:pPr>
            <w:r>
              <w:rPr>
                <w:rFonts w:hint="eastAsia"/>
              </w:rPr>
              <w:t>不驻场</w:t>
            </w:r>
          </w:p>
        </w:tc>
      </w:tr>
    </w:tbl>
    <w:p>
      <w:pPr>
        <w:ind w:firstLine="0" w:firstLineChars="0"/>
      </w:pPr>
    </w:p>
    <w:p>
      <w:pPr>
        <w:numPr>
          <w:ilvl w:val="0"/>
          <w:numId w:val="6"/>
        </w:numPr>
        <w:ind w:firstLine="560"/>
      </w:pPr>
      <w:r>
        <w:t>投标人应针对本项目提供不少于3人的质保期间支撑团队（其中</w:t>
      </w:r>
      <w:r>
        <w:rPr>
          <w:rFonts w:hint="eastAsia"/>
        </w:rPr>
        <w:t>项目</w:t>
      </w:r>
      <w:r>
        <w:t>经理</w:t>
      </w:r>
      <w:r>
        <w:rPr>
          <w:rFonts w:hint="eastAsia"/>
        </w:rPr>
        <w:t>1</w:t>
      </w:r>
      <w:r>
        <w:t>人，技术工程师2人）。</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43"/>
        <w:gridCol w:w="992"/>
        <w:gridCol w:w="2835"/>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rPr>
                <w:b/>
              </w:rPr>
            </w:pPr>
            <w:r>
              <w:rPr>
                <w:rFonts w:hint="eastAsia"/>
                <w:b/>
              </w:rPr>
              <w:t>角色</w:t>
            </w:r>
          </w:p>
        </w:tc>
        <w:tc>
          <w:tcPr>
            <w:tcW w:w="1843" w:type="dxa"/>
            <w:shd w:val="clear" w:color="auto" w:fill="auto"/>
            <w:vAlign w:val="center"/>
          </w:tcPr>
          <w:p>
            <w:pPr>
              <w:widowControl/>
              <w:spacing w:line="240" w:lineRule="auto"/>
              <w:ind w:firstLine="0" w:firstLineChars="0"/>
              <w:jc w:val="center"/>
              <w:rPr>
                <w:b/>
              </w:rPr>
            </w:pPr>
            <w:r>
              <w:rPr>
                <w:rFonts w:hint="eastAsia"/>
                <w:b/>
              </w:rPr>
              <w:t>主要职责</w:t>
            </w:r>
          </w:p>
        </w:tc>
        <w:tc>
          <w:tcPr>
            <w:tcW w:w="992" w:type="dxa"/>
            <w:shd w:val="clear" w:color="auto" w:fill="auto"/>
            <w:vAlign w:val="center"/>
          </w:tcPr>
          <w:p>
            <w:pPr>
              <w:widowControl/>
              <w:spacing w:line="240" w:lineRule="auto"/>
              <w:ind w:firstLine="0" w:firstLineChars="0"/>
              <w:jc w:val="center"/>
              <w:rPr>
                <w:b/>
              </w:rPr>
            </w:pPr>
            <w:r>
              <w:rPr>
                <w:rFonts w:hint="eastAsia"/>
                <w:b/>
              </w:rPr>
              <w:t>人员数量</w:t>
            </w:r>
          </w:p>
        </w:tc>
        <w:tc>
          <w:tcPr>
            <w:tcW w:w="2835" w:type="dxa"/>
            <w:vAlign w:val="center"/>
          </w:tcPr>
          <w:p>
            <w:pPr>
              <w:widowControl/>
              <w:spacing w:line="240" w:lineRule="auto"/>
              <w:ind w:firstLine="0" w:firstLineChars="0"/>
              <w:jc w:val="center"/>
              <w:rPr>
                <w:b/>
              </w:rPr>
            </w:pPr>
            <w:r>
              <w:rPr>
                <w:rFonts w:hint="eastAsia"/>
                <w:b/>
              </w:rPr>
              <w:t>人员要求</w:t>
            </w:r>
          </w:p>
        </w:tc>
        <w:tc>
          <w:tcPr>
            <w:tcW w:w="1474" w:type="dxa"/>
            <w:shd w:val="clear" w:color="auto" w:fill="auto"/>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pPr>
            <w:r>
              <w:rPr>
                <w:rFonts w:hint="eastAsia"/>
              </w:rPr>
              <w:t>项目经理</w:t>
            </w:r>
          </w:p>
        </w:tc>
        <w:tc>
          <w:tcPr>
            <w:tcW w:w="1843" w:type="dxa"/>
            <w:shd w:val="clear" w:color="auto" w:fill="auto"/>
            <w:vAlign w:val="center"/>
          </w:tcPr>
          <w:p>
            <w:pPr>
              <w:widowControl/>
              <w:spacing w:line="240" w:lineRule="auto"/>
              <w:ind w:firstLine="0" w:firstLineChars="0"/>
              <w:jc w:val="center"/>
            </w:pPr>
            <w:r>
              <w:rPr>
                <w:rFonts w:hint="eastAsia"/>
              </w:rPr>
              <w:t>负责项目需求评估与系统设计</w:t>
            </w:r>
          </w:p>
        </w:tc>
        <w:tc>
          <w:tcPr>
            <w:tcW w:w="992" w:type="dxa"/>
            <w:shd w:val="clear" w:color="auto" w:fill="auto"/>
            <w:vAlign w:val="center"/>
          </w:tcPr>
          <w:p>
            <w:pPr>
              <w:widowControl/>
              <w:spacing w:line="240" w:lineRule="auto"/>
              <w:ind w:firstLine="0" w:firstLineChars="0"/>
              <w:jc w:val="center"/>
            </w:pPr>
            <w:r>
              <w:t>1</w:t>
            </w:r>
            <w:r>
              <w:rPr>
                <w:rFonts w:hint="eastAsia"/>
              </w:rPr>
              <w:t>人</w:t>
            </w:r>
          </w:p>
        </w:tc>
        <w:tc>
          <w:tcPr>
            <w:tcW w:w="2835" w:type="dxa"/>
            <w:vAlign w:val="center"/>
          </w:tcPr>
          <w:p>
            <w:pPr>
              <w:widowControl/>
              <w:spacing w:line="240" w:lineRule="auto"/>
              <w:ind w:firstLine="0" w:firstLineChars="0"/>
            </w:pPr>
            <w:r>
              <w:rPr>
                <w:rFonts w:hint="eastAsia" w:ascii="Calibri" w:hAnsi="Calibri"/>
                <w:lang w:bidi="ar"/>
              </w:rPr>
              <w:t>大学本科及以上学历，</w:t>
            </w:r>
            <w:r>
              <w:rPr>
                <w:rFonts w:hint="eastAsia"/>
              </w:rPr>
              <w:t>具有相关项目的管理经验</w:t>
            </w:r>
          </w:p>
        </w:tc>
        <w:tc>
          <w:tcPr>
            <w:tcW w:w="1474" w:type="dxa"/>
            <w:shd w:val="clear" w:color="auto" w:fill="auto"/>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pPr>
            <w:r>
              <w:rPr>
                <w:rFonts w:hint="eastAsia"/>
              </w:rPr>
              <w:t>技术工程师</w:t>
            </w:r>
          </w:p>
        </w:tc>
        <w:tc>
          <w:tcPr>
            <w:tcW w:w="1843" w:type="dxa"/>
            <w:shd w:val="clear" w:color="auto" w:fill="auto"/>
            <w:vAlign w:val="center"/>
          </w:tcPr>
          <w:p>
            <w:pPr>
              <w:widowControl/>
              <w:spacing w:line="240" w:lineRule="auto"/>
              <w:ind w:firstLine="0" w:firstLineChars="0"/>
              <w:jc w:val="center"/>
            </w:pPr>
            <w:r>
              <w:rPr>
                <w:rFonts w:hint="eastAsia"/>
                <w:lang w:bidi="ar"/>
              </w:rPr>
              <w:t>负责项目运行维护</w:t>
            </w:r>
          </w:p>
        </w:tc>
        <w:tc>
          <w:tcPr>
            <w:tcW w:w="992" w:type="dxa"/>
            <w:shd w:val="clear" w:color="auto" w:fill="auto"/>
            <w:vAlign w:val="center"/>
          </w:tcPr>
          <w:p>
            <w:pPr>
              <w:widowControl/>
              <w:spacing w:line="240" w:lineRule="auto"/>
              <w:ind w:firstLine="0" w:firstLineChars="0"/>
              <w:jc w:val="center"/>
            </w:pPr>
            <w:r>
              <w:t>2</w:t>
            </w:r>
            <w:r>
              <w:rPr>
                <w:rFonts w:hint="eastAsia"/>
              </w:rPr>
              <w:t>人</w:t>
            </w:r>
          </w:p>
        </w:tc>
        <w:tc>
          <w:tcPr>
            <w:tcW w:w="2835" w:type="dxa"/>
            <w:vAlign w:val="center"/>
          </w:tcPr>
          <w:p>
            <w:pPr>
              <w:widowControl/>
              <w:spacing w:line="240" w:lineRule="auto"/>
              <w:ind w:firstLine="0" w:firstLineChars="0"/>
            </w:pPr>
            <w:r>
              <w:rPr>
                <w:rFonts w:hint="eastAsia" w:ascii="Calibri" w:hAnsi="Calibri"/>
                <w:lang w:bidi="ar"/>
              </w:rPr>
              <w:t>大专及以上学历，</w:t>
            </w:r>
            <w:r>
              <w:rPr>
                <w:rFonts w:hint="eastAsia"/>
              </w:rPr>
              <w:t>具有相关项目的运维经验</w:t>
            </w:r>
          </w:p>
        </w:tc>
        <w:tc>
          <w:tcPr>
            <w:tcW w:w="1474" w:type="dxa"/>
            <w:shd w:val="clear" w:color="auto" w:fill="auto"/>
            <w:vAlign w:val="center"/>
          </w:tcPr>
          <w:p>
            <w:pPr>
              <w:widowControl/>
              <w:spacing w:line="240" w:lineRule="auto"/>
              <w:ind w:firstLine="0" w:firstLineChars="0"/>
              <w:jc w:val="center"/>
            </w:pPr>
            <w:r>
              <w:rPr>
                <w:rFonts w:hint="eastAsia"/>
              </w:rPr>
              <w:t>不驻场</w:t>
            </w:r>
          </w:p>
        </w:tc>
      </w:tr>
    </w:tbl>
    <w:p>
      <w:pPr>
        <w:ind w:firstLine="0" w:firstLineChars="0"/>
      </w:pPr>
    </w:p>
    <w:p>
      <w:pPr>
        <w:pStyle w:val="3"/>
      </w:pPr>
      <w:bookmarkStart w:id="34" w:name="_Toc63785511"/>
      <w:r>
        <w:t>等级保护要求</w:t>
      </w:r>
      <w:bookmarkEnd w:id="34"/>
    </w:p>
    <w:p>
      <w:pPr>
        <w:ind w:firstLine="560"/>
        <w:rPr>
          <w:rFonts w:cs="仿宋_GB2312"/>
          <w:color w:val="000000"/>
          <w:kern w:val="0"/>
          <w:szCs w:val="28"/>
        </w:rPr>
      </w:pPr>
      <w:r>
        <w:rPr>
          <w:rFonts w:hint="eastAsia" w:cs="仿宋_GB2312"/>
          <w:color w:val="000000"/>
          <w:kern w:val="0"/>
          <w:szCs w:val="28"/>
        </w:rPr>
        <w:t>本</w:t>
      </w:r>
      <w:r>
        <w:rPr>
          <w:rFonts w:cs="仿宋_GB2312"/>
          <w:color w:val="000000"/>
          <w:kern w:val="0"/>
          <w:szCs w:val="28"/>
        </w:rPr>
        <w:t>项目的</w:t>
      </w:r>
      <w:r>
        <w:rPr>
          <w:rFonts w:hint="eastAsia" w:cs="仿宋_GB2312"/>
          <w:color w:val="000000"/>
          <w:kern w:val="0"/>
          <w:szCs w:val="28"/>
        </w:rPr>
        <w:t>网络</w:t>
      </w:r>
      <w:r>
        <w:rPr>
          <w:rFonts w:cs="仿宋_GB2312"/>
          <w:color w:val="000000"/>
          <w:kern w:val="0"/>
          <w:szCs w:val="28"/>
        </w:rPr>
        <w:t>安全等级</w:t>
      </w:r>
      <w:r>
        <w:rPr>
          <w:rFonts w:hint="eastAsia" w:cs="仿宋_GB2312"/>
          <w:color w:val="000000"/>
          <w:kern w:val="0"/>
          <w:szCs w:val="28"/>
        </w:rPr>
        <w:t>保护级别定为三级。</w:t>
      </w:r>
      <w:r>
        <w:rPr>
          <w:rFonts w:cs="宋体"/>
        </w:rPr>
        <w:t>供应商</w:t>
      </w:r>
      <w:r>
        <w:rPr>
          <w:rFonts w:hint="eastAsia" w:cs="宋体"/>
        </w:rPr>
        <w:t>须</w:t>
      </w:r>
      <w:r>
        <w:rPr>
          <w:rFonts w:cs="宋体"/>
        </w:rPr>
        <w:t>承诺配合采购人完成相关测评工作。</w:t>
      </w:r>
    </w:p>
    <w:p>
      <w:pPr>
        <w:pStyle w:val="3"/>
      </w:pPr>
      <w:r>
        <w:rPr>
          <w:rFonts w:hint="eastAsia"/>
        </w:rPr>
        <w:t>商业密码应用需求</w:t>
      </w:r>
    </w:p>
    <w:p>
      <w:pPr>
        <w:ind w:firstLine="552"/>
      </w:pPr>
      <w:r>
        <w:rPr>
          <w:rFonts w:cs="仿宋"/>
          <w:spacing w:val="-2"/>
        </w:rPr>
        <w:t>本系统的商用密码应用安全性评估级别参照等保定级为</w:t>
      </w:r>
      <w:r>
        <w:rPr>
          <w:rFonts w:hint="eastAsia" w:cs="仿宋"/>
          <w:spacing w:val="-2"/>
        </w:rPr>
        <w:t>三</w:t>
      </w:r>
      <w:r>
        <w:rPr>
          <w:rFonts w:cs="仿宋"/>
          <w:spacing w:val="-2"/>
        </w:rPr>
        <w:t>级</w:t>
      </w:r>
      <w:r>
        <w:rPr>
          <w:rFonts w:hint="eastAsia" w:ascii="宋体" w:hAnsi="宋体" w:eastAsia="宋体" w:cs="宋体"/>
        </w:rPr>
        <w:t>。</w:t>
      </w:r>
      <w:r>
        <w:rPr>
          <w:rFonts w:hint="eastAsia"/>
        </w:rPr>
        <w:t>本项目商业密码应用需求需根据项目最新要求和实际情况进行相应调整。</w:t>
      </w:r>
    </w:p>
    <w:p>
      <w:pPr>
        <w:ind w:left="480" w:firstLine="0" w:firstLineChars="0"/>
      </w:pPr>
      <w:r>
        <w:t>（1）供应商须承诺可通过第三方密码应用测评；</w:t>
      </w:r>
    </w:p>
    <w:p>
      <w:pPr>
        <w:ind w:left="480" w:firstLine="0" w:firstLineChars="0"/>
      </w:pPr>
      <w:r>
        <w:t>（2）供应商须利用以下政务云提供的密码资源完成密码应用改造</w:t>
      </w:r>
      <w:r>
        <w:rPr>
          <w:rFonts w:hint="eastAsia"/>
        </w:rPr>
        <w:t>：</w:t>
      </w:r>
    </w:p>
    <w:tbl>
      <w:tblPr>
        <w:tblStyle w:val="35"/>
        <w:tblW w:w="8286" w:type="dxa"/>
        <w:tblInd w:w="108" w:type="dxa"/>
        <w:tblLayout w:type="fixed"/>
        <w:tblCellMar>
          <w:top w:w="0" w:type="dxa"/>
          <w:left w:w="108" w:type="dxa"/>
          <w:bottom w:w="0" w:type="dxa"/>
          <w:right w:w="108" w:type="dxa"/>
        </w:tblCellMar>
      </w:tblPr>
      <w:tblGrid>
        <w:gridCol w:w="8286"/>
      </w:tblGrid>
      <w:tr>
        <w:tblPrEx>
          <w:tblCellMar>
            <w:top w:w="0" w:type="dxa"/>
            <w:left w:w="108" w:type="dxa"/>
            <w:bottom w:w="0" w:type="dxa"/>
            <w:right w:w="108" w:type="dxa"/>
          </w:tblCellMar>
        </w:tblPrEx>
        <w:trPr>
          <w:trHeight w:val="324" w:hRule="atLeast"/>
        </w:trPr>
        <w:tc>
          <w:tcPr>
            <w:tcW w:w="8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9"/>
              <w:ind w:firstLine="420"/>
            </w:pPr>
            <w:r>
              <w:rPr>
                <w:rFonts w:hint="eastAsia"/>
                <w:lang w:bidi="ar"/>
              </w:rPr>
              <w:t>资源名称</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宋体"/>
              </w:rPr>
            </w:pPr>
            <w:r>
              <w:rPr>
                <w:rFonts w:hint="eastAsia" w:cs="宋体"/>
              </w:rPr>
              <w:t>安全认证网关服务</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宋体"/>
              </w:rPr>
            </w:pPr>
            <w:r>
              <w:rPr>
                <w:rFonts w:hint="eastAsia" w:cs="宋体"/>
              </w:rPr>
              <w:t>签名验签服务</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宋体"/>
              </w:rPr>
            </w:pPr>
            <w:r>
              <w:rPr>
                <w:rFonts w:hint="eastAsia" w:cs="宋体"/>
              </w:rPr>
              <w:t>可信密码服务</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宋体"/>
              </w:rPr>
            </w:pPr>
            <w:r>
              <w:rPr>
                <w:rFonts w:hint="eastAsia" w:cs="宋体"/>
              </w:rPr>
              <w:t>数字证书服务 - SSL证书-通配符</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宋体"/>
              </w:rPr>
            </w:pPr>
            <w:r>
              <w:rPr>
                <w:rFonts w:hint="eastAsia" w:cs="宋体"/>
              </w:rPr>
              <w:t>数字证书服务 - SSL证书－单域名</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宋体"/>
              </w:rPr>
            </w:pPr>
            <w:r>
              <w:rPr>
                <w:rFonts w:hint="eastAsia" w:cs="宋体"/>
              </w:rPr>
              <w:t>数字证书服务 - 公务人员证书（key）</w:t>
            </w:r>
          </w:p>
        </w:tc>
      </w:tr>
    </w:tbl>
    <w:p>
      <w:pPr>
        <w:ind w:left="480" w:firstLine="0" w:firstLineChars="0"/>
        <w:rPr>
          <w:rFonts w:cs="仿宋"/>
          <w:spacing w:val="-2"/>
        </w:rPr>
      </w:pPr>
      <w:r>
        <w:rPr>
          <w:rFonts w:hint="eastAsia"/>
        </w:rPr>
        <w:t>（3）商业密码应用功能模块需求清单如下（包含但不限于）：</w:t>
      </w:r>
    </w:p>
    <w:tbl>
      <w:tblPr>
        <w:tblStyle w:val="136"/>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6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blHeader/>
        </w:trPr>
        <w:tc>
          <w:tcPr>
            <w:tcW w:w="1317" w:type="dxa"/>
            <w:vAlign w:val="center"/>
          </w:tcPr>
          <w:p>
            <w:pPr>
              <w:ind w:firstLine="562"/>
              <w:jc w:val="center"/>
              <w:rPr>
                <w:rFonts w:cs="Arial"/>
                <w:b/>
                <w:bCs/>
              </w:rPr>
            </w:pPr>
            <w:r>
              <w:rPr>
                <w:rFonts w:cs="Arial"/>
                <w:b/>
                <w:bCs/>
              </w:rPr>
              <w:t>序号</w:t>
            </w:r>
          </w:p>
        </w:tc>
        <w:tc>
          <w:tcPr>
            <w:tcW w:w="6989" w:type="dxa"/>
            <w:vAlign w:val="center"/>
          </w:tcPr>
          <w:p>
            <w:pPr>
              <w:ind w:firstLine="562"/>
              <w:jc w:val="center"/>
              <w:rPr>
                <w:rFonts w:cs="Arial"/>
                <w:b/>
                <w:bCs/>
              </w:rPr>
            </w:pPr>
            <w:r>
              <w:rPr>
                <w:rFonts w:cs="Arial"/>
                <w:b/>
                <w:bCs/>
              </w:rPr>
              <w:t>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317" w:type="dxa"/>
            <w:vAlign w:val="center"/>
          </w:tcPr>
          <w:p>
            <w:pPr>
              <w:ind w:firstLine="560"/>
              <w:rPr>
                <w:rFonts w:cs="Arial"/>
              </w:rPr>
            </w:pPr>
            <w:r>
              <w:rPr>
                <w:rFonts w:cs="Arial"/>
              </w:rPr>
              <w:t>1</w:t>
            </w:r>
          </w:p>
        </w:tc>
        <w:tc>
          <w:tcPr>
            <w:tcW w:w="6989" w:type="dxa"/>
            <w:vAlign w:val="center"/>
          </w:tcPr>
          <w:p>
            <w:pPr>
              <w:ind w:firstLine="560"/>
              <w:rPr>
                <w:rFonts w:cs="Arial"/>
              </w:rPr>
            </w:pPr>
            <w:r>
              <w:rPr>
                <w:rFonts w:cs="Arial"/>
              </w:rPr>
              <w:t>用户身份认证机制模块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317" w:type="dxa"/>
          </w:tcPr>
          <w:p>
            <w:pPr>
              <w:ind w:firstLine="560"/>
              <w:rPr>
                <w:rFonts w:cs="Arial"/>
              </w:rPr>
            </w:pPr>
            <w:r>
              <w:rPr>
                <w:rFonts w:cs="Arial"/>
              </w:rPr>
              <w:t>2</w:t>
            </w:r>
          </w:p>
        </w:tc>
        <w:tc>
          <w:tcPr>
            <w:tcW w:w="6989" w:type="dxa"/>
          </w:tcPr>
          <w:p>
            <w:pPr>
              <w:ind w:firstLine="560"/>
              <w:rPr>
                <w:rFonts w:cs="Arial"/>
              </w:rPr>
            </w:pPr>
            <w:r>
              <w:rPr>
                <w:rFonts w:cs="Arial"/>
              </w:rPr>
              <w:t>业务重要数据安全传输模块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317" w:type="dxa"/>
          </w:tcPr>
          <w:p>
            <w:pPr>
              <w:ind w:firstLine="560"/>
              <w:rPr>
                <w:rFonts w:cs="Arial"/>
              </w:rPr>
            </w:pPr>
            <w:r>
              <w:rPr>
                <w:rFonts w:cs="Arial"/>
              </w:rPr>
              <w:t>3</w:t>
            </w:r>
          </w:p>
        </w:tc>
        <w:tc>
          <w:tcPr>
            <w:tcW w:w="6989" w:type="dxa"/>
          </w:tcPr>
          <w:p>
            <w:pPr>
              <w:ind w:firstLine="560"/>
              <w:rPr>
                <w:rFonts w:cs="Arial"/>
              </w:rPr>
            </w:pPr>
            <w:r>
              <w:rPr>
                <w:rFonts w:cs="Arial"/>
              </w:rPr>
              <w:t>服务器虚拟机设备日志/访问控制信息完整性模块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317" w:type="dxa"/>
          </w:tcPr>
          <w:p>
            <w:pPr>
              <w:ind w:firstLine="560"/>
              <w:rPr>
                <w:rFonts w:cs="Arial"/>
              </w:rPr>
            </w:pPr>
            <w:r>
              <w:rPr>
                <w:rFonts w:cs="Arial"/>
              </w:rPr>
              <w:t>4</w:t>
            </w:r>
          </w:p>
        </w:tc>
        <w:tc>
          <w:tcPr>
            <w:tcW w:w="6989" w:type="dxa"/>
          </w:tcPr>
          <w:p>
            <w:pPr>
              <w:ind w:firstLine="560"/>
              <w:rPr>
                <w:rFonts w:cs="Arial"/>
              </w:rPr>
            </w:pPr>
            <w:r>
              <w:rPr>
                <w:rFonts w:cs="Arial"/>
              </w:rPr>
              <w:t>重要可执行程序签名验签模块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317" w:type="dxa"/>
          </w:tcPr>
          <w:p>
            <w:pPr>
              <w:ind w:firstLine="560"/>
              <w:rPr>
                <w:rFonts w:cs="Arial"/>
              </w:rPr>
            </w:pPr>
            <w:r>
              <w:rPr>
                <w:rFonts w:cs="Arial"/>
              </w:rPr>
              <w:t>5</w:t>
            </w:r>
          </w:p>
        </w:tc>
        <w:tc>
          <w:tcPr>
            <w:tcW w:w="6989" w:type="dxa"/>
          </w:tcPr>
          <w:p>
            <w:pPr>
              <w:ind w:firstLine="560"/>
              <w:rPr>
                <w:rFonts w:cs="Arial"/>
              </w:rPr>
            </w:pPr>
            <w:r>
              <w:rPr>
                <w:rFonts w:cs="Arial"/>
              </w:rPr>
              <w:t>用户访问控制信息签名验签模块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317" w:type="dxa"/>
          </w:tcPr>
          <w:p>
            <w:pPr>
              <w:ind w:firstLine="560"/>
              <w:rPr>
                <w:rFonts w:cs="Arial"/>
              </w:rPr>
            </w:pPr>
            <w:r>
              <w:rPr>
                <w:rFonts w:cs="Arial"/>
              </w:rPr>
              <w:t>6</w:t>
            </w:r>
          </w:p>
        </w:tc>
        <w:tc>
          <w:tcPr>
            <w:tcW w:w="6989" w:type="dxa"/>
          </w:tcPr>
          <w:p>
            <w:pPr>
              <w:ind w:firstLine="560"/>
              <w:rPr>
                <w:rFonts w:cs="Arial"/>
              </w:rPr>
            </w:pPr>
            <w:r>
              <w:rPr>
                <w:rFonts w:cs="Arial"/>
              </w:rPr>
              <w:t>应用系统重要数据加解密模块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317" w:type="dxa"/>
          </w:tcPr>
          <w:p>
            <w:pPr>
              <w:ind w:firstLine="560"/>
              <w:rPr>
                <w:rFonts w:cs="Arial"/>
              </w:rPr>
            </w:pPr>
            <w:r>
              <w:rPr>
                <w:rFonts w:cs="Arial"/>
              </w:rPr>
              <w:t>7</w:t>
            </w:r>
          </w:p>
        </w:tc>
        <w:tc>
          <w:tcPr>
            <w:tcW w:w="6989" w:type="dxa"/>
          </w:tcPr>
          <w:p>
            <w:pPr>
              <w:ind w:firstLine="560"/>
              <w:rPr>
                <w:rFonts w:cs="Arial"/>
              </w:rPr>
            </w:pPr>
            <w:r>
              <w:rPr>
                <w:rFonts w:cs="Arial"/>
              </w:rPr>
              <w:t>应用系统重要数据签名验签模块</w:t>
            </w:r>
          </w:p>
        </w:tc>
      </w:tr>
    </w:tbl>
    <w:p>
      <w:pPr>
        <w:ind w:firstLine="560"/>
      </w:pPr>
      <w:r>
        <w:rPr>
          <w:rFonts w:hint="eastAsia"/>
        </w:rPr>
        <w:t>具体需求如下：</w:t>
      </w:r>
    </w:p>
    <w:p>
      <w:pPr>
        <w:ind w:firstLine="560"/>
      </w:pPr>
      <w:r>
        <w:rPr>
          <w:rFonts w:hint="eastAsia"/>
        </w:rPr>
        <w:t>1）</w:t>
      </w:r>
      <w:r>
        <w:t>用户身份认证机制模块</w:t>
      </w:r>
    </w:p>
    <w:p>
      <w:pPr>
        <w:ind w:firstLine="560"/>
      </w:pPr>
      <w:r>
        <w:rPr>
          <w:rFonts w:hint="eastAsia"/>
        </w:rPr>
        <w:t>需</w:t>
      </w:r>
      <w:r>
        <w:t>开发用户身份认证机制模块，调用云平台提供的安全认证网关服务接口，并在移动终端部署用户证书、服务端部署站点证书，绑定应用用户数字证书和应用用户ID，实现对移动终端和服务端身份的鉴别。</w:t>
      </w:r>
    </w:p>
    <w:p>
      <w:pPr>
        <w:ind w:firstLine="560"/>
      </w:pPr>
      <w:r>
        <w:rPr>
          <w:rFonts w:hint="eastAsia"/>
        </w:rPr>
        <w:t>2）</w:t>
      </w:r>
      <w:r>
        <w:t>业务重要数据安全传输模块</w:t>
      </w:r>
    </w:p>
    <w:p>
      <w:pPr>
        <w:ind w:firstLine="560"/>
      </w:pPr>
      <w:r>
        <w:rPr>
          <w:rFonts w:hint="eastAsia"/>
        </w:rPr>
        <w:t>需</w:t>
      </w:r>
      <w:r>
        <w:t>开发业务重要数据安全传输模块，</w:t>
      </w:r>
      <w:r>
        <w:rPr>
          <w:rFonts w:hint="eastAsia"/>
        </w:rPr>
        <w:t>如：信息填报管理数据、事中监督管理数据、统计报表及专题分析管理数据，</w:t>
      </w:r>
      <w:r>
        <w:t>调用云平台提供的安全认证网关服务接口，实现应用系统通信数据的机密性和完整性保护。</w:t>
      </w:r>
    </w:p>
    <w:p>
      <w:pPr>
        <w:ind w:firstLine="560"/>
      </w:pPr>
      <w:r>
        <w:rPr>
          <w:rFonts w:hint="eastAsia"/>
        </w:rPr>
        <w:t>3）</w:t>
      </w:r>
      <w:r>
        <w:t>服务器虚拟机设备日志/访问控制信息完整性模块</w:t>
      </w:r>
    </w:p>
    <w:p>
      <w:pPr>
        <w:ind w:firstLine="560"/>
      </w:pPr>
      <w:r>
        <w:rPr>
          <w:rFonts w:hint="eastAsia"/>
        </w:rPr>
        <w:t>需</w:t>
      </w:r>
      <w:r>
        <w:t>开发服务器虚拟机设备日志/访问控制信息完整性模块，调用云平台提供的签名验签服务接口，实现应用服务器虚拟机、数据库服务器虚拟机等设备日志/访问控制信息的完整性保护。</w:t>
      </w:r>
    </w:p>
    <w:p>
      <w:pPr>
        <w:ind w:firstLine="560"/>
      </w:pPr>
      <w:r>
        <w:rPr>
          <w:rFonts w:hint="eastAsia"/>
        </w:rPr>
        <w:t>4）</w:t>
      </w:r>
      <w:r>
        <w:t>重要可执行程序签名验签模块</w:t>
      </w:r>
    </w:p>
    <w:p>
      <w:pPr>
        <w:ind w:firstLine="560"/>
      </w:pPr>
      <w:r>
        <w:rPr>
          <w:rFonts w:hint="eastAsia"/>
        </w:rPr>
        <w:t>需</w:t>
      </w:r>
      <w:r>
        <w:t>开发重要可执行程序签名验签模块，调用云平台提供的签名验签服务接口，实现重要可执行程序的完整性、来源真实性保护。</w:t>
      </w:r>
    </w:p>
    <w:p>
      <w:pPr>
        <w:ind w:firstLine="560"/>
      </w:pPr>
      <w:r>
        <w:rPr>
          <w:rFonts w:hint="eastAsia"/>
        </w:rPr>
        <w:t>5）</w:t>
      </w:r>
      <w:r>
        <w:t>用户访问控制信息签名验签模块</w:t>
      </w:r>
    </w:p>
    <w:p>
      <w:pPr>
        <w:ind w:firstLine="560"/>
      </w:pPr>
      <w:r>
        <w:rPr>
          <w:rFonts w:hint="eastAsia"/>
        </w:rPr>
        <w:t>需</w:t>
      </w:r>
      <w:r>
        <w:t>开发用户访问控制信息签名验签模块，调用云平台提供的签名验签服务接口，实现应用系统登录用户的访问控制列表完整性保护。</w:t>
      </w:r>
    </w:p>
    <w:p>
      <w:pPr>
        <w:ind w:firstLine="560"/>
      </w:pPr>
      <w:r>
        <w:rPr>
          <w:rFonts w:hint="eastAsia"/>
        </w:rPr>
        <w:t>6）</w:t>
      </w:r>
      <w:r>
        <w:t>应用系统重要数据加解密模块</w:t>
      </w:r>
    </w:p>
    <w:p>
      <w:pPr>
        <w:ind w:firstLine="560"/>
      </w:pPr>
      <w:r>
        <w:rPr>
          <w:rFonts w:hint="eastAsia"/>
        </w:rPr>
        <w:t>需</w:t>
      </w:r>
      <w:r>
        <w:t>开发应用系统重要数据加解密模块，调用云平台提供的数据库加密服务接口、加密存储服务接口，实现登录用户身份鉴别数据等结构化数据、非结构化数据的存储机密性保护。</w:t>
      </w:r>
    </w:p>
    <w:p>
      <w:pPr>
        <w:ind w:firstLine="560"/>
      </w:pPr>
      <w:r>
        <w:rPr>
          <w:rFonts w:hint="eastAsia"/>
        </w:rPr>
        <w:t>7）</w:t>
      </w:r>
      <w:r>
        <w:t>应用系统重要数据签名验签模块</w:t>
      </w:r>
    </w:p>
    <w:p>
      <w:pPr>
        <w:ind w:firstLine="560"/>
      </w:pPr>
      <w:r>
        <w:rPr>
          <w:rFonts w:hint="eastAsia"/>
        </w:rPr>
        <w:t>需</w:t>
      </w:r>
      <w:r>
        <w:t>开发应用系统重要数据签名验签模块，调用云平台提供的签名验签服务接口，实现登录用户身份鉴别数据、业务日志的存储完整性保护。</w:t>
      </w:r>
    </w:p>
    <w:p>
      <w:pPr>
        <w:pStyle w:val="3"/>
      </w:pPr>
      <w:bookmarkStart w:id="35" w:name="_Toc63785512"/>
      <w:r>
        <w:rPr>
          <w:rFonts w:hint="eastAsia"/>
        </w:rPr>
        <w:t>技术文件要求</w:t>
      </w:r>
    </w:p>
    <w:p>
      <w:pPr>
        <w:ind w:firstLine="560"/>
      </w:pPr>
      <w:r>
        <w:rPr>
          <w:rFonts w:hint="eastAsia"/>
          <w:lang w:bidi="ar"/>
        </w:rPr>
        <w:t>投标人在项目验收时应提供符合市级数字化预算项目验收操作规程和上海市大数据中心的项目管理要求的项目文档。</w:t>
      </w:r>
      <w:r>
        <w:rPr>
          <w:rFonts w:hint="eastAsia"/>
        </w:rPr>
        <w:t>技术文件应该全面、完整、详细。投标人提供的技术文件至少应包括（但不限于）：</w:t>
      </w:r>
    </w:p>
    <w:p>
      <w:pPr>
        <w:ind w:firstLine="560"/>
        <w:rPr>
          <w:rFonts w:eastAsia="宋体"/>
        </w:rPr>
      </w:pPr>
      <w:r>
        <w:rPr>
          <w:rFonts w:hint="eastAsia"/>
        </w:rPr>
        <w:t>－</w:t>
      </w:r>
      <w:r>
        <w:t>系统说明文件</w:t>
      </w:r>
      <w:r>
        <w:rPr>
          <w:rFonts w:hint="eastAsia"/>
          <w:lang w:bidi="ar"/>
        </w:rPr>
        <w:t>（用户操作手册）</w:t>
      </w:r>
      <w:r>
        <w:t>；</w:t>
      </w:r>
    </w:p>
    <w:p>
      <w:pPr>
        <w:ind w:firstLine="560"/>
        <w:rPr>
          <w:rFonts w:eastAsia="宋体"/>
        </w:rPr>
      </w:pPr>
      <w:r>
        <w:rPr>
          <w:rFonts w:hint="eastAsia"/>
        </w:rPr>
        <w:t>－</w:t>
      </w:r>
      <w:r>
        <w:t>技术手册(安装、测试、</w:t>
      </w:r>
      <w:r>
        <w:rPr>
          <w:rFonts w:hint="eastAsia"/>
        </w:rPr>
        <w:t>部署、</w:t>
      </w:r>
      <w:r>
        <w:t>操作、维护、故障排除等)；</w:t>
      </w:r>
    </w:p>
    <w:p>
      <w:pPr>
        <w:ind w:firstLine="560"/>
      </w:pPr>
      <w:r>
        <w:rPr>
          <w:rFonts w:hint="eastAsia"/>
        </w:rPr>
        <w:t>－</w:t>
      </w:r>
      <w:r>
        <w:t>项目文档，应该包括</w:t>
      </w:r>
      <w:r>
        <w:rPr>
          <w:rFonts w:hint="eastAsia"/>
        </w:rPr>
        <w:t>但不限于</w:t>
      </w:r>
      <w:r>
        <w:t>：</w:t>
      </w:r>
    </w:p>
    <w:p>
      <w:pPr>
        <w:ind w:firstLine="560"/>
      </w:pPr>
      <w:r>
        <w:rPr>
          <w:rFonts w:hint="eastAsia"/>
        </w:rPr>
        <w:t>（1）软件需求规格说明书</w:t>
      </w:r>
    </w:p>
    <w:p>
      <w:pPr>
        <w:ind w:firstLine="560"/>
      </w:pPr>
      <w:r>
        <w:rPr>
          <w:rFonts w:hint="eastAsia"/>
        </w:rPr>
        <w:t>（2）系统概要设计说明书</w:t>
      </w:r>
    </w:p>
    <w:p>
      <w:pPr>
        <w:ind w:firstLine="560"/>
      </w:pPr>
      <w:r>
        <w:rPr>
          <w:rFonts w:hint="eastAsia"/>
        </w:rPr>
        <w:t>（3）系统详细设计说明书</w:t>
      </w:r>
    </w:p>
    <w:p>
      <w:pPr>
        <w:ind w:firstLine="560"/>
      </w:pPr>
      <w:r>
        <w:rPr>
          <w:rFonts w:hint="eastAsia"/>
        </w:rPr>
        <w:t>（</w:t>
      </w:r>
      <w:r>
        <w:t>4</w:t>
      </w:r>
      <w:r>
        <w:rPr>
          <w:rFonts w:hint="eastAsia"/>
        </w:rPr>
        <w:t>）系统数据库设计说明书</w:t>
      </w:r>
    </w:p>
    <w:p>
      <w:pPr>
        <w:ind w:firstLine="560"/>
      </w:pPr>
      <w:r>
        <w:rPr>
          <w:rFonts w:hint="eastAsia"/>
        </w:rPr>
        <w:t>（5）</w:t>
      </w:r>
      <w:r>
        <w:rPr>
          <w:rFonts w:hint="eastAsia"/>
          <w:lang w:bidi="ar"/>
        </w:rPr>
        <w:t>数字化项目批复建设情况对照表</w:t>
      </w:r>
    </w:p>
    <w:p>
      <w:pPr>
        <w:ind w:firstLine="560"/>
      </w:pPr>
      <w:r>
        <w:rPr>
          <w:rFonts w:hint="eastAsia"/>
        </w:rPr>
        <w:t>（6）三方功能需求确认单</w:t>
      </w:r>
    </w:p>
    <w:p>
      <w:pPr>
        <w:ind w:firstLine="560"/>
        <w:rPr>
          <w:lang w:bidi="ar"/>
        </w:rPr>
      </w:pPr>
      <w:r>
        <w:rPr>
          <w:rFonts w:hint="eastAsia"/>
        </w:rPr>
        <w:t>（7）</w:t>
      </w:r>
      <w:r>
        <w:rPr>
          <w:rFonts w:hint="eastAsia"/>
          <w:lang w:bidi="ar"/>
        </w:rPr>
        <w:t>测试计划、测试报告</w:t>
      </w:r>
    </w:p>
    <w:p>
      <w:pPr>
        <w:ind w:firstLine="560"/>
        <w:rPr>
          <w:lang w:bidi="ar"/>
        </w:rPr>
      </w:pPr>
      <w:r>
        <w:rPr>
          <w:rFonts w:hint="eastAsia"/>
          <w:lang w:bidi="ar"/>
        </w:rPr>
        <w:t>（8）免维期运维计划</w:t>
      </w:r>
    </w:p>
    <w:p>
      <w:pPr>
        <w:ind w:firstLine="560"/>
        <w:rPr>
          <w:lang w:bidi="ar"/>
        </w:rPr>
      </w:pPr>
      <w:r>
        <w:rPr>
          <w:rFonts w:hint="eastAsia"/>
          <w:lang w:bidi="ar"/>
        </w:rPr>
        <w:t>－ 项目通过的软件测评、安全测评、商业密码应用测评报告，并针对遗留中低风险项提供整改计划或说明。</w:t>
      </w:r>
    </w:p>
    <w:p>
      <w:pPr>
        <w:ind w:firstLine="560"/>
      </w:pPr>
      <w:r>
        <w:rPr>
          <w:rFonts w:hint="eastAsia"/>
        </w:rPr>
        <w:t>提供全套技术文件纸介质</w:t>
      </w:r>
      <w:r>
        <w:t>3套以及电子文件1套。</w:t>
      </w:r>
    </w:p>
    <w:p>
      <w:pPr>
        <w:pStyle w:val="2"/>
      </w:pPr>
      <w:r>
        <w:rPr>
          <w:rFonts w:hint="eastAsia"/>
        </w:rPr>
        <w:t>供应商管理要求</w:t>
      </w:r>
      <w:bookmarkEnd w:id="35"/>
    </w:p>
    <w:p>
      <w:pPr>
        <w:ind w:firstLine="560"/>
      </w:pPr>
      <w:r>
        <w:rPr>
          <w:rFonts w:hint="eastAsia"/>
        </w:rPr>
        <w:t>1、在项目实施期间，中标人应严格执行国家、地方、行业有关本项目业务管理和安全作业的法律、法规和制度并按规定承担相应的费用。中标人因违反规定等原因造成的一切损失和责任由中标人自行承担。</w:t>
      </w:r>
    </w:p>
    <w:p>
      <w:pPr>
        <w:ind w:firstLine="560"/>
      </w:pPr>
      <w:r>
        <w:rPr>
          <w:rFonts w:hint="eastAsia"/>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ind w:firstLine="560"/>
      </w:pPr>
      <w:r>
        <w:rPr>
          <w:rFonts w:hint="eastAsia"/>
        </w:rPr>
        <w:t>3、中标人在项目实施期间，应按项目实际进度与环节落实所对应项目整体及各环节管理工作，按照规范做好项目实施期间相关管理与实施记录。</w:t>
      </w:r>
    </w:p>
    <w:p>
      <w:pPr>
        <w:ind w:firstLine="560"/>
      </w:pPr>
      <w:r>
        <w:rPr>
          <w:rFonts w:hint="eastAsia"/>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ind w:firstLine="560"/>
      </w:pPr>
      <w:r>
        <w:rPr>
          <w:rFonts w:hint="eastAsia"/>
        </w:rPr>
        <w:t>5、中标人在项目实施期间必须遵守采购人的规章制度并提供实施人员名单。</w:t>
      </w:r>
    </w:p>
    <w:p>
      <w:pPr>
        <w:ind w:firstLine="560"/>
      </w:pPr>
      <w:r>
        <w:rPr>
          <w:rFonts w:hint="eastAsia"/>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ind w:firstLine="560"/>
        <w:rPr>
          <w:rFonts w:hint="eastAsia"/>
        </w:rPr>
      </w:pPr>
      <w:r>
        <w:rPr>
          <w:rFonts w:hint="eastAsia"/>
        </w:rPr>
        <w:t>7、本项目软件开发及调试将纳入采购人的管理范围，中标人在此过程中须服从上述单位的管理协调。</w:t>
      </w:r>
    </w:p>
    <w:p>
      <w:pPr>
        <w:ind w:firstLine="560"/>
        <w:rPr>
          <w:rFonts w:hint="default" w:eastAsia="仿宋_GB2312"/>
          <w:lang w:val="en-US" w:eastAsia="zh-CN"/>
        </w:rPr>
      </w:pPr>
      <w:r>
        <w:rPr>
          <w:rFonts w:hint="eastAsia"/>
          <w:lang w:val="en-US" w:eastAsia="zh-CN"/>
        </w:rPr>
        <w:t>8、供应商具备信息技术服务运行维护等级证书（ITSS）/ GB/T 33136-2024、ISO9001/GB/T 19001-2016质量管理体系认证证书、ISO27001/GB/T22080-2016信息安全管理体系的优先。</w:t>
      </w:r>
    </w:p>
    <w:p>
      <w:pPr>
        <w:pStyle w:val="2"/>
      </w:pPr>
      <w:bookmarkStart w:id="36" w:name="_Toc68798863"/>
      <w:r>
        <w:rPr>
          <w:rFonts w:hint="eastAsia"/>
        </w:rPr>
        <w:t>附录</w:t>
      </w:r>
      <w:bookmarkEnd w:id="36"/>
    </w:p>
    <w:p>
      <w:pPr>
        <w:ind w:firstLine="0" w:firstLineChars="0"/>
      </w:pPr>
      <w:r>
        <w:rPr>
          <w:rFonts w:hint="eastAsia"/>
        </w:rPr>
        <w:t>1、</w:t>
      </w:r>
      <w:r>
        <w:t>《政务网络安全监测平台总体技术要求》</w:t>
      </w:r>
    </w:p>
    <w:p>
      <w:pPr>
        <w:ind w:firstLine="0" w:firstLineChars="0"/>
      </w:pPr>
      <w:r>
        <w:object>
          <v:shape id="_x0000_i1025" o:spt="75" type="#_x0000_t75" style="height:55.55pt;width:76.5pt;" o:ole="t" filled="f" o:preferrelative="t" stroked="f" coordsize="21600,21600">
            <v:path/>
            <v:fill on="f" focussize="0,0"/>
            <v:stroke on="f" joinstyle="miter"/>
            <v:imagedata r:id="rId16" o:title=""/>
            <o:lock v:ext="edit" aspectratio="t"/>
            <w10:wrap type="none"/>
            <w10:anchorlock/>
          </v:shape>
          <o:OLEObject Type="Embed" ProgID="Package" ShapeID="_x0000_i1025" DrawAspect="Icon" ObjectID="_1468075725" r:id="rId15">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5.55pt;width:76.5pt;" o:ole="t" filled="f" o:preferrelative="t" stroked="f" coordsize="21600,21600">
            <v:path/>
            <v:fill on="f" focussize="0,0"/>
            <v:stroke on="f" joinstyle="miter"/>
            <v:imagedata r:id="rId18" o:title=""/>
            <o:lock v:ext="edit" aspectratio="t"/>
            <w10:wrap type="none"/>
            <w10:anchorlock/>
          </v:shape>
          <o:OLEObject Type="Embed" ProgID="Package" ShapeID="_x0000_i1026" DrawAspect="Icon" ObjectID="_1468075726" r:id="rId17">
            <o:LockedField>false</o:LockedField>
          </o:OLEObject>
        </w:object>
      </w:r>
    </w:p>
    <w:p>
      <w:pPr>
        <w:ind w:firstLine="0" w:firstLineChars="0"/>
        <w:jc w:val="left"/>
        <w:rPr>
          <w:b/>
          <w:bCs/>
        </w:rPr>
      </w:pPr>
      <w:r>
        <w:rPr>
          <w:rFonts w:hint="eastAsia"/>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0000000000000000000"/>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59</w:t>
    </w:r>
    <w:r>
      <w:rPr>
        <w:lang w:val="zh-CN"/>
      </w:rPr>
      <w:fldChar w:fldCharType="end"/>
    </w:r>
  </w:p>
  <w:p>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7B5795"/>
    <w:multiLevelType w:val="singleLevel"/>
    <w:tmpl w:val="FE7B5795"/>
    <w:lvl w:ilvl="0" w:tentative="0">
      <w:start w:val="1"/>
      <w:numFmt w:val="decimal"/>
      <w:suff w:val="nothing"/>
      <w:lvlText w:val="%1、"/>
      <w:lvlJc w:val="left"/>
    </w:lvl>
  </w:abstractNum>
  <w:abstractNum w:abstractNumId="1">
    <w:nsid w:val="FFCFEBB0"/>
    <w:multiLevelType w:val="singleLevel"/>
    <w:tmpl w:val="FFCFEBB0"/>
    <w:lvl w:ilvl="0" w:tentative="0">
      <w:start w:val="1"/>
      <w:numFmt w:val="decimal"/>
      <w:suff w:val="nothing"/>
      <w:lvlText w:val="（%1）"/>
      <w:lvlJc w:val="left"/>
    </w:lvl>
  </w:abstractNum>
  <w:abstractNum w:abstractNumId="2">
    <w:nsid w:val="2743BCF1"/>
    <w:multiLevelType w:val="singleLevel"/>
    <w:tmpl w:val="2743BCF1"/>
    <w:lvl w:ilvl="0" w:tentative="0">
      <w:start w:val="1"/>
      <w:numFmt w:val="decimal"/>
      <w:suff w:val="nothing"/>
      <w:lvlText w:val="%1）"/>
      <w:lvlJc w:val="left"/>
    </w:lvl>
  </w:abstractNum>
  <w:abstractNum w:abstractNumId="3">
    <w:nsid w:val="3C637445"/>
    <w:multiLevelType w:val="multilevel"/>
    <w:tmpl w:val="3C63744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137"/>
      <w:suff w:val="space"/>
      <w:lvlText w:val="%1.%2.%3"/>
      <w:lvlJc w:val="left"/>
      <w:pPr>
        <w:ind w:left="1134" w:firstLine="0"/>
      </w:pPr>
      <w:rPr>
        <w:rFonts w:hint="eastAsia"/>
      </w:rPr>
    </w:lvl>
    <w:lvl w:ilvl="3" w:tentative="0">
      <w:start w:val="1"/>
      <w:numFmt w:val="decimal"/>
      <w:suff w:val="space"/>
      <w:lvlText w:val="%1.%2.%3.%4"/>
      <w:lvlJc w:val="left"/>
      <w:pPr>
        <w:ind w:left="1276"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4">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4394"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2MWRlMWY1ZWI1NmQxZjc0MWI5MzAzNzU2ZjNjYzkifQ=="/>
  </w:docVars>
  <w:rsids>
    <w:rsidRoot w:val="00935037"/>
    <w:rsid w:val="000933A9"/>
    <w:rsid w:val="000F40B8"/>
    <w:rsid w:val="001156C3"/>
    <w:rsid w:val="001C4730"/>
    <w:rsid w:val="001F5F56"/>
    <w:rsid w:val="00210609"/>
    <w:rsid w:val="00285CDD"/>
    <w:rsid w:val="0032058E"/>
    <w:rsid w:val="00333329"/>
    <w:rsid w:val="003522AF"/>
    <w:rsid w:val="00356C25"/>
    <w:rsid w:val="003903D4"/>
    <w:rsid w:val="00391ECF"/>
    <w:rsid w:val="003C29A4"/>
    <w:rsid w:val="0051755B"/>
    <w:rsid w:val="0065227D"/>
    <w:rsid w:val="00655B91"/>
    <w:rsid w:val="008E46B6"/>
    <w:rsid w:val="00935037"/>
    <w:rsid w:val="00AE75F8"/>
    <w:rsid w:val="00B129C5"/>
    <w:rsid w:val="00CD67BE"/>
    <w:rsid w:val="00D20D8A"/>
    <w:rsid w:val="00E84697"/>
    <w:rsid w:val="00EE4CE2"/>
    <w:rsid w:val="00F1356B"/>
    <w:rsid w:val="00F836D2"/>
    <w:rsid w:val="00FD318D"/>
    <w:rsid w:val="15D62A35"/>
    <w:rsid w:val="22266AF2"/>
    <w:rsid w:val="320218E9"/>
    <w:rsid w:val="376F4693"/>
    <w:rsid w:val="4DEC08C1"/>
    <w:rsid w:val="552C79A0"/>
    <w:rsid w:val="60035FF3"/>
    <w:rsid w:val="62404A8B"/>
    <w:rsid w:val="69FC3EE3"/>
    <w:rsid w:val="7DF77039"/>
    <w:rsid w:val="FBF2B706"/>
    <w:rsid w:val="FF7F35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仿宋_GB2312" w:hAnsi="仿宋_GB2312" w:eastAsia="仿宋_GB2312" w:cs="Times New Roman"/>
      <w:kern w:val="2"/>
      <w:sz w:val="28"/>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left="0"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left="0"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出段落 字符"/>
    <w:link w:val="61"/>
    <w:qFormat/>
    <w:uiPriority w:val="34"/>
    <w:rPr>
      <w:kern w:val="2"/>
      <w:sz w:val="21"/>
      <w:szCs w:val="24"/>
    </w:rPr>
  </w:style>
  <w:style w:type="paragraph" w:customStyle="1" w:styleId="61">
    <w:name w:val="列出段落1"/>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eastAsia="仿宋_GB2312"/>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 w:val="clear" w:pos="76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样式2"/>
    <w:basedOn w:val="1"/>
    <w:qFormat/>
    <w:uiPriority w:val="0"/>
    <w:pPr>
      <w:widowControl/>
      <w:adjustRightInd w:val="0"/>
    </w:pPr>
    <w:rPr>
      <w:rFonts w:ascii="宋体" w:hAnsi="宋体"/>
      <w:kern w:val="0"/>
      <w:sz w:val="24"/>
      <w:lang w:eastAsia="en-US"/>
    </w:rPr>
  </w:style>
  <w:style w:type="paragraph" w:customStyle="1" w:styleId="135">
    <w:name w:val="B-表正文"/>
    <w:qFormat/>
    <w:uiPriority w:val="0"/>
    <w:rPr>
      <w:rFonts w:ascii="Times New Roman" w:hAnsi="Times New Roman" w:eastAsia="仿宋" w:cstheme="minorBidi"/>
      <w:kern w:val="2"/>
      <w:sz w:val="21"/>
      <w:szCs w:val="24"/>
      <w:lang w:val="en-US" w:eastAsia="zh-CN" w:bidi="ar-SA"/>
    </w:rPr>
  </w:style>
  <w:style w:type="table" w:customStyle="1" w:styleId="136">
    <w:name w:val="Table Normal"/>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137">
    <w:name w:val="D3"/>
    <w:basedOn w:val="1"/>
    <w:next w:val="138"/>
    <w:qFormat/>
    <w:uiPriority w:val="0"/>
    <w:pPr>
      <w:numPr>
        <w:ilvl w:val="2"/>
        <w:numId w:val="3"/>
      </w:numPr>
      <w:spacing w:before="50" w:beforeLines="50" w:after="50" w:afterLines="50" w:line="240" w:lineRule="auto"/>
      <w:ind w:left="0"/>
      <w:outlineLvl w:val="2"/>
    </w:pPr>
    <w:rPr>
      <w:b/>
    </w:rPr>
  </w:style>
  <w:style w:type="paragraph" w:customStyle="1" w:styleId="138">
    <w:name w:val="D0"/>
    <w:basedOn w:val="1"/>
    <w:qFormat/>
    <w:uiPriority w:val="0"/>
    <w:pPr>
      <w:wordWrap w:val="0"/>
    </w:pPr>
  </w:style>
  <w:style w:type="paragraph" w:customStyle="1" w:styleId="139">
    <w:name w:val="表格（标题行）"/>
    <w:basedOn w:val="1"/>
    <w:qFormat/>
    <w:uiPriority w:val="0"/>
    <w:pPr>
      <w:widowControl/>
      <w:snapToGrid w:val="0"/>
      <w:spacing w:line="240" w:lineRule="auto"/>
      <w:ind w:firstLine="0" w:firstLineChars="0"/>
      <w:jc w:val="center"/>
    </w:pPr>
    <w:rPr>
      <w:rFonts w:ascii="微软雅黑" w:hAnsi="微软雅黑" w:eastAsia="微软雅黑" w:cs="宋体"/>
      <w:b/>
      <w:bCs/>
      <w:color w:val="000000"/>
      <w:kern w:val="0"/>
      <w:sz w:val="20"/>
      <w:szCs w:val="20"/>
    </w:rPr>
  </w:style>
  <w:style w:type="paragraph" w:customStyle="1" w:styleId="140">
    <w:name w:val="表正文"/>
    <w:qFormat/>
    <w:uiPriority w:val="0"/>
    <w:rPr>
      <w:rFonts w:ascii="Times New Roman" w:hAnsi="Times New Roman" w:eastAsia="宋体" w:cstheme="minorBidi"/>
      <w:kern w:val="2"/>
      <w:sz w:val="21"/>
      <w:szCs w:val="24"/>
      <w:lang w:val="en-US" w:eastAsia="zh-CN" w:bidi="ar-SA"/>
    </w:rPr>
  </w:style>
  <w:style w:type="paragraph" w:customStyle="1" w:styleId="141">
    <w:name w:val="正文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50</Pages>
  <Words>22032</Words>
  <Characters>22356</Characters>
  <Lines>230</Lines>
  <Paragraphs>64</Paragraphs>
  <TotalTime>2</TotalTime>
  <ScaleCrop>false</ScaleCrop>
  <LinksUpToDate>false</LinksUpToDate>
  <CharactersWithSpaces>22379</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2025-01-22T10:00:00Z</dcterms:created>
  <dc:creator>gtig_tzb</dc:creator>
  <cp:lastModifiedBy>user</cp:lastModifiedBy>
  <cp:lastPrinted>2020-08-09T04:08:00Z</cp:lastPrinted>
  <dcterms:modified xsi:type="dcterms:W3CDTF">2025-02-26T15:21:08Z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KSOTemplateDocerSaveRecord">
    <vt:lpwstr>eyJoZGlkIjoiZTc2MWRlMWY1ZWI1NmQxZjc0MWI5MzAzNzU2ZjNjYzkiLCJ1c2VySWQiOiIxNTc4Njk1MTE0In0=</vt:lpwstr>
  </property>
  <property fmtid="{D5CDD505-2E9C-101B-9397-08002B2CF9AE}" pid="4" name="ICV">
    <vt:lpwstr>90884C8748468EC1BFC0BE67D4AE52B4_43</vt:lpwstr>
  </property>
</Properties>
</file>