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r>
        <w:rPr>
          <w:rFonts w:hint="eastAsia" w:ascii="黑体" w:hAnsi="黑体" w:eastAsia="黑体"/>
          <w:sz w:val="52"/>
          <w:szCs w:val="52"/>
        </w:rPr>
        <w:t>水安全保障大系统（2025年升级改造）项目</w:t>
      </w:r>
    </w:p>
    <w:p>
      <w:pPr>
        <w:ind w:firstLine="0" w:firstLineChars="0"/>
        <w:jc w:val="center"/>
        <w:rPr>
          <w:rFonts w:hint="eastAsia" w:ascii="黑体" w:hAnsi="黑体" w:eastAsia="黑体"/>
          <w:sz w:val="52"/>
          <w:szCs w:val="52"/>
        </w:rPr>
      </w:pPr>
      <w:r>
        <w:rPr>
          <w:rFonts w:hint="eastAsia" w:ascii="黑体" w:hAnsi="黑体" w:eastAsia="黑体"/>
          <w:sz w:val="52"/>
          <w:szCs w:val="52"/>
        </w:rPr>
        <w:t>采购需求</w:t>
      </w:r>
    </w:p>
    <w:p>
      <w:pPr>
        <w:ind w:firstLine="0" w:firstLineChars="0"/>
        <w:jc w:val="center"/>
        <w:rPr>
          <w:rFonts w:hint="eastAsia" w:ascii="黑体" w:hAnsi="黑体" w:eastAsia="黑体"/>
          <w:sz w:val="72"/>
          <w:szCs w:val="72"/>
        </w:rPr>
      </w:pPr>
    </w:p>
    <w:p>
      <w:pPr>
        <w:ind w:firstLine="0" w:firstLineChars="0"/>
        <w:jc w:val="center"/>
        <w:rPr>
          <w:rFonts w:hint="eastAsia" w:ascii="黑体" w:hAnsi="黑体" w:eastAsia="黑体"/>
          <w:sz w:val="48"/>
          <w:szCs w:val="48"/>
        </w:rPr>
      </w:pPr>
    </w:p>
    <w:p>
      <w:pPr>
        <w:ind w:firstLine="0" w:firstLineChars="0"/>
        <w:jc w:val="center"/>
        <w:rPr>
          <w:rFonts w:hint="eastAsia" w:ascii="黑体" w:hAnsi="黑体" w:eastAsia="黑体"/>
          <w:sz w:val="52"/>
          <w:szCs w:val="52"/>
        </w:rPr>
      </w:pPr>
    </w:p>
    <w:p>
      <w:pPr>
        <w:ind w:firstLine="1040"/>
        <w:rPr>
          <w:rFonts w:hint="eastAsia" w:ascii="黑体" w:hAnsi="黑体" w:eastAsia="黑体"/>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ind w:firstLine="1040"/>
        <w:rPr>
          <w:rFonts w:hint="eastAsia" w:ascii="黑体" w:hAnsi="黑体" w:eastAsia="黑体"/>
          <w:sz w:val="52"/>
          <w:szCs w:val="52"/>
        </w:rPr>
      </w:pPr>
    </w:p>
    <w:p>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rFonts w:hint="eastAsia"/>
        </w:rPr>
      </w:pPr>
      <w:bookmarkStart w:id="0" w:name="_Toc63785461"/>
      <w:r>
        <w:rPr>
          <w:rFonts w:hint="eastAsia"/>
        </w:rPr>
        <w:t>项目概况</w:t>
      </w:r>
      <w:bookmarkEnd w:id="0"/>
    </w:p>
    <w:p>
      <w:pPr>
        <w:spacing w:line="560" w:lineRule="exact"/>
        <w:ind w:firstLine="482"/>
        <w:rPr>
          <w:rFonts w:hint="eastAsia"/>
        </w:rPr>
      </w:pPr>
      <w:r>
        <w:rPr>
          <w:rFonts w:hint="eastAsia"/>
          <w:b/>
        </w:rPr>
        <w:t>项目背景：</w:t>
      </w:r>
      <w:r>
        <w:rPr>
          <w:rFonts w:hint="eastAsia"/>
          <w:bCs/>
        </w:rPr>
        <w:t>对标最高标准最好水平，实现更高效能城市治理。城市治理数字化转型稳步推进。认真贯彻落实习近平总书记关于防汛抗旱抢险救灾各项工作的重要指示精神，切实保障人民群众生命财产安全和社会大局稳定。上海防汛信息化工作虽然取得一定成效，依据</w:t>
      </w:r>
      <w:r>
        <w:rPr>
          <w:rFonts w:hint="eastAsia"/>
        </w:rPr>
        <w:t>《上海市防汛指挥部办公室关于认真贯彻落实习近平总书记重要指示精神进一步做好当前防汛工作的通知》等</w:t>
      </w:r>
      <w:r>
        <w:rPr>
          <w:rFonts w:hint="eastAsia"/>
          <w:bCs/>
        </w:rPr>
        <w:t>相关文件和领导的指示要求，随着防汛工作的深入、精细化增强，防汛信息化匹配防汛工作的业务流程自然叠加，结合新形势下防汛业务融合再造的行业管理需求和目前存在问题，需要持续对防汛数字化工作进行升级。</w:t>
      </w:r>
    </w:p>
    <w:p>
      <w:pPr>
        <w:spacing w:line="560" w:lineRule="exact"/>
        <w:ind w:firstLine="482"/>
        <w:rPr>
          <w:rFonts w:hint="eastAsia"/>
        </w:rPr>
      </w:pPr>
      <w:r>
        <w:rPr>
          <w:rFonts w:hint="eastAsia"/>
          <w:b/>
        </w:rPr>
        <w:t>建设期限：</w:t>
      </w:r>
      <w:r>
        <w:rPr>
          <w:rFonts w:hint="eastAsia"/>
        </w:rPr>
        <w:t>自合同签订之日起至2</w:t>
      </w:r>
      <w:r>
        <w:t>02</w:t>
      </w:r>
      <w:r>
        <w:rPr>
          <w:rFonts w:hint="eastAsia"/>
        </w:rPr>
        <w:t>5年</w:t>
      </w:r>
      <w:r>
        <w:t>11月30日。</w:t>
      </w:r>
    </w:p>
    <w:p>
      <w:pPr>
        <w:spacing w:line="560" w:lineRule="exact"/>
        <w:rPr>
          <w:rFonts w:hint="eastAsia"/>
        </w:rPr>
      </w:pPr>
      <w:r>
        <w:rPr>
          <w:rFonts w:hint="eastAsia"/>
        </w:rPr>
        <w:t>响应供应商需要在响应文件中给出实施计划进度表。具体进度要求待定，成交后与采购人商议决定。</w:t>
      </w:r>
    </w:p>
    <w:p>
      <w:pPr>
        <w:spacing w:line="560" w:lineRule="exact"/>
        <w:ind w:firstLine="482"/>
        <w:rPr>
          <w:rFonts w:hint="eastAsia"/>
        </w:rPr>
      </w:pPr>
      <w:r>
        <w:rPr>
          <w:rFonts w:hint="eastAsia"/>
          <w:b/>
        </w:rPr>
        <w:t>建设地点</w:t>
      </w:r>
      <w:r>
        <w:rPr>
          <w:rFonts w:hint="eastAsia"/>
        </w:rPr>
        <w:t>：上海</w:t>
      </w:r>
      <w:r>
        <w:rPr>
          <w:rFonts w:hint="eastAsia"/>
          <w:lang w:val="en-US" w:eastAsia="zh-CN"/>
        </w:rPr>
        <w:t>市长宁区</w:t>
      </w:r>
      <w:r>
        <w:rPr>
          <w:rFonts w:hint="eastAsia"/>
        </w:rPr>
        <w:t>江苏路389号</w:t>
      </w:r>
    </w:p>
    <w:p>
      <w:pPr>
        <w:spacing w:line="560" w:lineRule="exact"/>
        <w:ind w:firstLine="482"/>
        <w:rPr>
          <w:rFonts w:hint="eastAsia"/>
        </w:rPr>
      </w:pPr>
      <w:r>
        <w:rPr>
          <w:rFonts w:hint="eastAsia"/>
          <w:b/>
        </w:rPr>
        <w:t>预算金额</w:t>
      </w:r>
      <w:r>
        <w:rPr>
          <w:rFonts w:hint="eastAsia"/>
        </w:rPr>
        <w:t>：3254710元</w:t>
      </w:r>
    </w:p>
    <w:p>
      <w:pPr>
        <w:spacing w:line="560" w:lineRule="exact"/>
        <w:ind w:firstLine="482"/>
        <w:rPr>
          <w:rFonts w:hint="eastAsia"/>
        </w:rPr>
      </w:pPr>
      <w:r>
        <w:rPr>
          <w:rFonts w:hint="eastAsia"/>
          <w:b/>
        </w:rPr>
        <w:t>采购金额（最高限价）</w:t>
      </w:r>
      <w:r>
        <w:rPr>
          <w:rFonts w:hint="eastAsia"/>
        </w:rPr>
        <w:t>：3254710元</w:t>
      </w:r>
    </w:p>
    <w:p>
      <w:pPr>
        <w:ind w:firstLine="482"/>
        <w:rPr>
          <w:rFonts w:hint="eastAsia"/>
        </w:rPr>
      </w:pPr>
      <w:r>
        <w:rPr>
          <w:rFonts w:hint="eastAsia"/>
          <w:b/>
        </w:rPr>
        <w:t>组织形式</w:t>
      </w:r>
      <w:r>
        <w:rPr>
          <w:rFonts w:hint="eastAsia"/>
        </w:rPr>
        <w:t>：集中采购</w:t>
      </w:r>
    </w:p>
    <w:p>
      <w:pPr>
        <w:ind w:firstLine="482"/>
        <w:rPr>
          <w:rFonts w:hint="eastAsia"/>
        </w:rPr>
      </w:pPr>
      <w:r>
        <w:rPr>
          <w:rFonts w:hint="eastAsia"/>
          <w:b/>
        </w:rPr>
        <w:t>采购方式</w:t>
      </w:r>
      <w:r>
        <w:rPr>
          <w:rFonts w:hint="eastAsia"/>
        </w:rPr>
        <w:t>：竞争性磋商</w:t>
      </w:r>
    </w:p>
    <w:p>
      <w:pPr>
        <w:ind w:firstLine="482"/>
        <w:rPr>
          <w:rFonts w:hint="eastAsia"/>
        </w:rPr>
      </w:pPr>
      <w:r>
        <w:rPr>
          <w:rFonts w:hint="eastAsia"/>
          <w:b/>
        </w:rPr>
        <w:t>是否接受联合体投标：</w:t>
      </w:r>
      <w:r>
        <w:rPr>
          <w:rFonts w:hint="eastAsia"/>
        </w:rPr>
        <w:t>否</w:t>
      </w:r>
    </w:p>
    <w:p>
      <w:pPr>
        <w:ind w:firstLine="482"/>
        <w:rPr>
          <w:rFonts w:hint="eastAsia"/>
        </w:rPr>
      </w:pPr>
      <w:r>
        <w:rPr>
          <w:b/>
        </w:rPr>
        <w:t>是否按信创要求建设：</w:t>
      </w:r>
      <w:r>
        <w:t>是</w:t>
      </w:r>
    </w:p>
    <w:p>
      <w:pPr>
        <w:ind w:firstLine="482"/>
        <w:rPr>
          <w:rFonts w:hint="eastAsia"/>
        </w:rPr>
      </w:pPr>
      <w:r>
        <w:rPr>
          <w:rFonts w:hint="eastAsia"/>
          <w:b/>
        </w:rPr>
        <w:t>运维后所属大系统：</w:t>
      </w:r>
      <w:r>
        <w:rPr>
          <w:rFonts w:hint="eastAsia"/>
        </w:rPr>
        <w:t>水安全保障大系统</w:t>
      </w:r>
    </w:p>
    <w:p>
      <w:pPr>
        <w:pStyle w:val="2"/>
        <w:rPr>
          <w:rFonts w:hint="eastAsia"/>
        </w:rPr>
      </w:pPr>
      <w:bookmarkStart w:id="1" w:name="_Toc47532891"/>
      <w:bookmarkEnd w:id="1"/>
      <w:bookmarkStart w:id="2" w:name="_Toc47536272"/>
      <w:bookmarkEnd w:id="2"/>
      <w:bookmarkStart w:id="3" w:name="_Toc47537134"/>
      <w:bookmarkEnd w:id="3"/>
      <w:bookmarkStart w:id="4" w:name="_Toc47533256"/>
      <w:bookmarkEnd w:id="4"/>
      <w:bookmarkStart w:id="5" w:name="_Toc47531634"/>
      <w:bookmarkEnd w:id="5"/>
      <w:bookmarkStart w:id="6" w:name="_Toc47532255"/>
      <w:bookmarkEnd w:id="6"/>
      <w:bookmarkStart w:id="7" w:name="_Toc47536644"/>
      <w:bookmarkEnd w:id="7"/>
      <w:bookmarkStart w:id="8" w:name="_Toc47539070"/>
      <w:bookmarkEnd w:id="8"/>
      <w:bookmarkStart w:id="9" w:name="_Toc48223882"/>
      <w:bookmarkStart w:id="10" w:name="_Toc63785463"/>
      <w:r>
        <w:rPr>
          <w:rFonts w:hint="eastAsia"/>
        </w:rPr>
        <w:t>建设目标</w:t>
      </w:r>
      <w:bookmarkEnd w:id="9"/>
      <w:bookmarkEnd w:id="10"/>
    </w:p>
    <w:p>
      <w:pPr>
        <w:rPr>
          <w:rFonts w:hint="eastAsia"/>
        </w:rPr>
      </w:pPr>
      <w:r>
        <w:rPr>
          <w:rFonts w:hint="eastAsia"/>
        </w:rPr>
        <w:t>按照防汛工作“横向到边、纵向到底、智能指挥、应急处置”的总体要求，加快推进网络信息化核心技术自主可控的精神，开展对水安全保障大系统的部分模块进行信创改造，同时加强防汛响应发布、防汛值班管理、灾处信息管理、短信传真的流程再造，以及升级改造上海水务海洋“一网统管”部分内容；从而实现扩展信息覆盖范围，将以“水”为主的防汛调度提升为全社会防汛指挥；将以“观”为主提升到“观、管、防”相结合；推动基层数据直报和业务处置的联勤联动。逐步达到防汛信息“全面、实时、精准”和防汛处置“快速、联动、闭环”的目标。</w:t>
      </w:r>
    </w:p>
    <w:p>
      <w:pPr>
        <w:pStyle w:val="3"/>
        <w:ind w:left="567"/>
        <w:rPr>
          <w:rFonts w:hint="eastAsia" w:ascii="宋体" w:hAnsi="宋体" w:eastAsia="宋体"/>
        </w:rPr>
      </w:pPr>
      <w:bookmarkStart w:id="11" w:name="_Toc7109"/>
      <w:bookmarkStart w:id="12" w:name="_Toc9223"/>
      <w:bookmarkStart w:id="13" w:name="_Toc19502"/>
      <w:bookmarkStart w:id="14" w:name="_Toc11473"/>
      <w:r>
        <w:rPr>
          <w:rFonts w:hint="eastAsia" w:ascii="宋体" w:hAnsi="宋体" w:eastAsia="宋体"/>
        </w:rPr>
        <w:t>业务绩效考核目标</w:t>
      </w:r>
      <w:bookmarkEnd w:id="11"/>
      <w:bookmarkEnd w:id="12"/>
      <w:bookmarkEnd w:id="13"/>
      <w:bookmarkEnd w:id="14"/>
    </w:p>
    <w:tbl>
      <w:tblPr>
        <w:tblStyle w:val="35"/>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4"/>
        <w:gridCol w:w="1446"/>
        <w:gridCol w:w="1124"/>
        <w:gridCol w:w="1705"/>
        <w:gridCol w:w="2181"/>
        <w:gridCol w:w="127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000" w:type="pct"/>
            <w:gridSpan w:val="6"/>
            <w:shd w:val="clear" w:color="auto" w:fill="auto"/>
            <w:vAlign w:val="center"/>
          </w:tcPr>
          <w:p>
            <w:pPr>
              <w:pStyle w:val="137"/>
              <w:jc w:val="center"/>
            </w:pPr>
            <w:r>
              <w:rPr>
                <w:rFonts w:hint="eastAsia"/>
              </w:rPr>
              <w:t>业务目标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6" w:type="pct"/>
            <w:shd w:val="clear" w:color="auto" w:fill="auto"/>
            <w:vAlign w:val="center"/>
          </w:tcPr>
          <w:p>
            <w:pPr>
              <w:pStyle w:val="137"/>
              <w:widowControl w:val="0"/>
              <w:jc w:val="center"/>
            </w:pPr>
            <w:r>
              <w:rPr>
                <w:rFonts w:hint="eastAsia"/>
              </w:rPr>
              <w:t>序号</w:t>
            </w:r>
          </w:p>
        </w:tc>
        <w:tc>
          <w:tcPr>
            <w:tcW w:w="848" w:type="pct"/>
            <w:shd w:val="clear" w:color="auto" w:fill="auto"/>
            <w:vAlign w:val="center"/>
          </w:tcPr>
          <w:p>
            <w:pPr>
              <w:pStyle w:val="137"/>
              <w:widowControl w:val="0"/>
              <w:jc w:val="center"/>
            </w:pPr>
            <w:r>
              <w:rPr>
                <w:rFonts w:hint="eastAsia"/>
              </w:rPr>
              <w:t>一级指标</w:t>
            </w:r>
          </w:p>
        </w:tc>
        <w:tc>
          <w:tcPr>
            <w:tcW w:w="659" w:type="pct"/>
            <w:shd w:val="clear" w:color="auto" w:fill="auto"/>
            <w:vAlign w:val="center"/>
          </w:tcPr>
          <w:p>
            <w:pPr>
              <w:pStyle w:val="137"/>
              <w:widowControl w:val="0"/>
              <w:jc w:val="center"/>
            </w:pPr>
            <w:r>
              <w:rPr>
                <w:rFonts w:hint="eastAsia"/>
              </w:rPr>
              <w:t>二级指标</w:t>
            </w:r>
          </w:p>
        </w:tc>
        <w:tc>
          <w:tcPr>
            <w:tcW w:w="1000" w:type="pct"/>
            <w:shd w:val="clear" w:color="auto" w:fill="auto"/>
            <w:vAlign w:val="center"/>
          </w:tcPr>
          <w:p>
            <w:pPr>
              <w:pStyle w:val="137"/>
              <w:widowControl w:val="0"/>
              <w:jc w:val="center"/>
            </w:pPr>
            <w:r>
              <w:rPr>
                <w:rFonts w:hint="eastAsia"/>
              </w:rPr>
              <w:t>三级指标</w:t>
            </w:r>
          </w:p>
        </w:tc>
        <w:tc>
          <w:tcPr>
            <w:tcW w:w="1279" w:type="pct"/>
          </w:tcPr>
          <w:p>
            <w:pPr>
              <w:pStyle w:val="137"/>
              <w:widowControl w:val="0"/>
              <w:jc w:val="center"/>
            </w:pPr>
            <w:r>
              <w:rPr>
                <w:rFonts w:hint="eastAsia"/>
              </w:rPr>
              <w:t>四级指标</w:t>
            </w:r>
          </w:p>
        </w:tc>
        <w:tc>
          <w:tcPr>
            <w:tcW w:w="745" w:type="pct"/>
            <w:shd w:val="clear" w:color="auto" w:fill="auto"/>
            <w:vAlign w:val="center"/>
          </w:tcPr>
          <w:p>
            <w:pPr>
              <w:pStyle w:val="137"/>
              <w:widowControl w:val="0"/>
              <w:jc w:val="center"/>
            </w:pPr>
            <w:r>
              <w:rPr>
                <w:rFonts w:hint="eastAsia"/>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6" w:type="pct"/>
            <w:shd w:val="clear" w:color="auto" w:fill="auto"/>
            <w:vAlign w:val="center"/>
          </w:tcPr>
          <w:p>
            <w:pPr>
              <w:pStyle w:val="137"/>
              <w:widowControl w:val="0"/>
              <w:jc w:val="center"/>
              <w:rPr>
                <w:rFonts w:eastAsia="等线" w:cs="Times New Roman"/>
              </w:rPr>
            </w:pPr>
            <w:r>
              <w:rPr>
                <w:rFonts w:eastAsia="等线" w:cs="Times New Roman"/>
              </w:rPr>
              <w:t>1</w:t>
            </w:r>
          </w:p>
        </w:tc>
        <w:tc>
          <w:tcPr>
            <w:tcW w:w="848" w:type="pct"/>
            <w:vMerge w:val="restart"/>
            <w:shd w:val="clear" w:color="auto" w:fill="auto"/>
            <w:vAlign w:val="center"/>
          </w:tcPr>
          <w:p>
            <w:pPr>
              <w:pStyle w:val="137"/>
              <w:widowControl w:val="0"/>
              <w:jc w:val="center"/>
            </w:pPr>
            <w:r>
              <w:rPr>
                <w:rFonts w:hint="eastAsia"/>
              </w:rPr>
              <w:t>通用指标</w:t>
            </w:r>
          </w:p>
          <w:p>
            <w:pPr>
              <w:pStyle w:val="137"/>
              <w:widowControl w:val="0"/>
              <w:jc w:val="center"/>
            </w:pPr>
            <w:r>
              <w:rPr>
                <w:rFonts w:hint="eastAsia"/>
              </w:rPr>
              <w:t>通用指标</w:t>
            </w:r>
          </w:p>
        </w:tc>
        <w:tc>
          <w:tcPr>
            <w:tcW w:w="659" w:type="pct"/>
            <w:vMerge w:val="restart"/>
            <w:shd w:val="clear" w:color="auto" w:fill="auto"/>
            <w:vAlign w:val="center"/>
          </w:tcPr>
          <w:p>
            <w:pPr>
              <w:pStyle w:val="137"/>
              <w:widowControl w:val="0"/>
              <w:jc w:val="center"/>
            </w:pPr>
            <w:r>
              <w:rPr>
                <w:rFonts w:hint="eastAsia"/>
              </w:rPr>
              <w:t>产出指标</w:t>
            </w:r>
          </w:p>
        </w:tc>
        <w:tc>
          <w:tcPr>
            <w:tcW w:w="1000" w:type="pct"/>
            <w:shd w:val="clear" w:color="auto" w:fill="auto"/>
            <w:vAlign w:val="center"/>
          </w:tcPr>
          <w:p>
            <w:pPr>
              <w:pStyle w:val="137"/>
              <w:widowControl w:val="0"/>
              <w:jc w:val="center"/>
            </w:pPr>
            <w:r>
              <w:rPr>
                <w:rFonts w:hint="eastAsia"/>
              </w:rPr>
              <w:t>产出质量</w:t>
            </w:r>
          </w:p>
        </w:tc>
        <w:tc>
          <w:tcPr>
            <w:tcW w:w="1279" w:type="pct"/>
          </w:tcPr>
          <w:p>
            <w:pPr>
              <w:pStyle w:val="137"/>
              <w:widowControl w:val="0"/>
              <w:jc w:val="center"/>
            </w:pPr>
            <w:r>
              <w:rPr>
                <w:rFonts w:hint="eastAsia"/>
              </w:rPr>
              <w:t>一次性验收合格率</w:t>
            </w:r>
          </w:p>
        </w:tc>
        <w:tc>
          <w:tcPr>
            <w:tcW w:w="745" w:type="pct"/>
            <w:shd w:val="clear" w:color="auto" w:fill="auto"/>
            <w:vAlign w:val="center"/>
          </w:tcPr>
          <w:p>
            <w:pPr>
              <w:pStyle w:val="137"/>
              <w:widowControl w:val="0"/>
              <w:jc w:val="center"/>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6" w:type="pct"/>
            <w:shd w:val="clear" w:color="auto" w:fill="auto"/>
            <w:vAlign w:val="center"/>
          </w:tcPr>
          <w:p>
            <w:pPr>
              <w:pStyle w:val="137"/>
              <w:widowControl w:val="0"/>
              <w:jc w:val="center"/>
              <w:rPr>
                <w:rFonts w:eastAsia="等线" w:cs="Times New Roman"/>
              </w:rPr>
            </w:pPr>
            <w:r>
              <w:rPr>
                <w:rFonts w:hint="eastAsia" w:eastAsia="等线" w:cs="Times New Roman"/>
              </w:rPr>
              <w:t>2</w:t>
            </w:r>
          </w:p>
        </w:tc>
        <w:tc>
          <w:tcPr>
            <w:tcW w:w="848" w:type="pct"/>
            <w:vMerge w:val="continue"/>
            <w:shd w:val="clear" w:color="auto" w:fill="auto"/>
            <w:vAlign w:val="center"/>
          </w:tcPr>
          <w:p>
            <w:pPr>
              <w:pStyle w:val="137"/>
              <w:widowControl w:val="0"/>
              <w:jc w:val="center"/>
            </w:pPr>
          </w:p>
        </w:tc>
        <w:tc>
          <w:tcPr>
            <w:tcW w:w="659" w:type="pct"/>
            <w:vMerge w:val="continue"/>
            <w:shd w:val="clear" w:color="auto" w:fill="auto"/>
            <w:vAlign w:val="center"/>
          </w:tcPr>
          <w:p>
            <w:pPr>
              <w:pStyle w:val="137"/>
              <w:widowControl w:val="0"/>
              <w:jc w:val="center"/>
            </w:pPr>
          </w:p>
        </w:tc>
        <w:tc>
          <w:tcPr>
            <w:tcW w:w="1000" w:type="pct"/>
            <w:shd w:val="clear" w:color="auto" w:fill="auto"/>
            <w:vAlign w:val="center"/>
          </w:tcPr>
          <w:p>
            <w:pPr>
              <w:pStyle w:val="137"/>
              <w:widowControl w:val="0"/>
              <w:jc w:val="center"/>
            </w:pPr>
            <w:r>
              <w:rPr>
                <w:rFonts w:hint="eastAsia"/>
              </w:rPr>
              <w:t>产出时效</w:t>
            </w:r>
          </w:p>
        </w:tc>
        <w:tc>
          <w:tcPr>
            <w:tcW w:w="1279" w:type="pct"/>
          </w:tcPr>
          <w:p>
            <w:pPr>
              <w:pStyle w:val="137"/>
              <w:jc w:val="center"/>
            </w:pPr>
            <w:r>
              <w:rPr>
                <w:rFonts w:hint="eastAsia"/>
              </w:rPr>
              <w:t>项目建设周期</w:t>
            </w:r>
          </w:p>
        </w:tc>
        <w:tc>
          <w:tcPr>
            <w:tcW w:w="745" w:type="pct"/>
            <w:shd w:val="clear" w:color="auto" w:fill="auto"/>
            <w:vAlign w:val="center"/>
          </w:tcPr>
          <w:p>
            <w:pPr>
              <w:pStyle w:val="137"/>
              <w:widowControl w:val="0"/>
              <w:jc w:val="center"/>
            </w:pPr>
            <w:r>
              <w:rPr>
                <w:rFonts w:hint="eastAsia"/>
              </w:rPr>
              <w:t>10个月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6" w:type="pct"/>
            <w:shd w:val="clear" w:color="auto" w:fill="auto"/>
            <w:vAlign w:val="center"/>
          </w:tcPr>
          <w:p>
            <w:pPr>
              <w:pStyle w:val="137"/>
              <w:widowControl w:val="0"/>
              <w:jc w:val="center"/>
              <w:rPr>
                <w:rFonts w:eastAsia="等线" w:cs="Times New Roman"/>
              </w:rPr>
            </w:pPr>
            <w:r>
              <w:rPr>
                <w:rFonts w:hint="eastAsia" w:eastAsia="等线" w:cs="Times New Roman"/>
              </w:rPr>
              <w:t>3</w:t>
            </w:r>
          </w:p>
        </w:tc>
        <w:tc>
          <w:tcPr>
            <w:tcW w:w="848" w:type="pct"/>
            <w:vMerge w:val="continue"/>
            <w:shd w:val="clear" w:color="auto" w:fill="auto"/>
            <w:vAlign w:val="center"/>
          </w:tcPr>
          <w:p>
            <w:pPr>
              <w:pStyle w:val="137"/>
              <w:widowControl w:val="0"/>
              <w:jc w:val="center"/>
            </w:pPr>
          </w:p>
        </w:tc>
        <w:tc>
          <w:tcPr>
            <w:tcW w:w="659" w:type="pct"/>
            <w:vMerge w:val="continue"/>
            <w:shd w:val="clear" w:color="auto" w:fill="auto"/>
            <w:vAlign w:val="center"/>
          </w:tcPr>
          <w:p>
            <w:pPr>
              <w:pStyle w:val="137"/>
              <w:widowControl w:val="0"/>
              <w:jc w:val="center"/>
            </w:pPr>
          </w:p>
        </w:tc>
        <w:tc>
          <w:tcPr>
            <w:tcW w:w="1000" w:type="pct"/>
            <w:shd w:val="clear" w:color="auto" w:fill="auto"/>
            <w:vAlign w:val="center"/>
          </w:tcPr>
          <w:p>
            <w:pPr>
              <w:pStyle w:val="137"/>
              <w:widowControl w:val="0"/>
              <w:jc w:val="center"/>
            </w:pPr>
            <w:r>
              <w:rPr>
                <w:rFonts w:hint="eastAsia"/>
              </w:rPr>
              <w:t>用户使用情况</w:t>
            </w:r>
          </w:p>
        </w:tc>
        <w:tc>
          <w:tcPr>
            <w:tcW w:w="1279" w:type="pct"/>
          </w:tcPr>
          <w:p>
            <w:pPr>
              <w:pStyle w:val="137"/>
              <w:jc w:val="center"/>
            </w:pPr>
            <w:r>
              <w:rPr>
                <w:rFonts w:hint="eastAsia"/>
              </w:rPr>
              <w:t>系统用户量</w:t>
            </w:r>
          </w:p>
        </w:tc>
        <w:tc>
          <w:tcPr>
            <w:tcW w:w="745" w:type="pct"/>
            <w:shd w:val="clear" w:color="auto" w:fill="auto"/>
            <w:vAlign w:val="center"/>
          </w:tcPr>
          <w:p>
            <w:pPr>
              <w:pStyle w:val="137"/>
              <w:widowControl w:val="0"/>
              <w:jc w:val="center"/>
            </w:pPr>
            <w:r>
              <w:rPr>
                <w:rFonts w:hint="eastAsia"/>
              </w:rPr>
              <w:t>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2" w:hRule="atLeast"/>
          <w:jc w:val="center"/>
        </w:trPr>
        <w:tc>
          <w:tcPr>
            <w:tcW w:w="466" w:type="pct"/>
            <w:shd w:val="clear" w:color="auto" w:fill="auto"/>
            <w:vAlign w:val="center"/>
          </w:tcPr>
          <w:p>
            <w:pPr>
              <w:pStyle w:val="137"/>
              <w:widowControl w:val="0"/>
              <w:jc w:val="center"/>
              <w:rPr>
                <w:rFonts w:eastAsia="等线" w:cs="Times New Roman"/>
              </w:rPr>
            </w:pPr>
            <w:r>
              <w:rPr>
                <w:rFonts w:hint="eastAsia" w:eastAsia="等线" w:cs="Times New Roman"/>
              </w:rPr>
              <w:t>4</w:t>
            </w:r>
          </w:p>
        </w:tc>
        <w:tc>
          <w:tcPr>
            <w:tcW w:w="848" w:type="pct"/>
            <w:vMerge w:val="continue"/>
            <w:shd w:val="clear" w:color="auto" w:fill="auto"/>
            <w:vAlign w:val="center"/>
          </w:tcPr>
          <w:p>
            <w:pPr>
              <w:pStyle w:val="137"/>
              <w:widowControl w:val="0"/>
              <w:jc w:val="center"/>
            </w:pPr>
          </w:p>
        </w:tc>
        <w:tc>
          <w:tcPr>
            <w:tcW w:w="659" w:type="pct"/>
            <w:vMerge w:val="restart"/>
            <w:shd w:val="clear" w:color="auto" w:fill="auto"/>
            <w:vAlign w:val="center"/>
          </w:tcPr>
          <w:p>
            <w:pPr>
              <w:pStyle w:val="137"/>
              <w:widowControl w:val="0"/>
              <w:jc w:val="center"/>
            </w:pPr>
            <w:r>
              <w:rPr>
                <w:rFonts w:hint="eastAsia"/>
              </w:rPr>
              <w:t>产出指标</w:t>
            </w:r>
          </w:p>
        </w:tc>
        <w:tc>
          <w:tcPr>
            <w:tcW w:w="1000" w:type="pct"/>
            <w:shd w:val="clear" w:color="auto" w:fill="auto"/>
            <w:vAlign w:val="center"/>
          </w:tcPr>
          <w:p>
            <w:pPr>
              <w:pStyle w:val="137"/>
              <w:widowControl w:val="0"/>
              <w:jc w:val="center"/>
            </w:pPr>
            <w:r>
              <w:rPr>
                <w:rFonts w:hint="eastAsia"/>
              </w:rPr>
              <w:t>应用系统</w:t>
            </w:r>
          </w:p>
        </w:tc>
        <w:tc>
          <w:tcPr>
            <w:tcW w:w="1279" w:type="pct"/>
            <w:vAlign w:val="center"/>
          </w:tcPr>
          <w:p>
            <w:pPr>
              <w:pStyle w:val="137"/>
              <w:jc w:val="center"/>
            </w:pPr>
            <w:r>
              <w:rPr>
                <w:rFonts w:hint="eastAsia"/>
              </w:rPr>
              <w:t>基础数据采集覆盖率</w:t>
            </w:r>
          </w:p>
        </w:tc>
        <w:tc>
          <w:tcPr>
            <w:tcW w:w="745" w:type="pct"/>
            <w:shd w:val="clear" w:color="auto" w:fill="auto"/>
            <w:vAlign w:val="center"/>
          </w:tcPr>
          <w:p>
            <w:pPr>
              <w:pStyle w:val="137"/>
              <w:widowControl w:val="0"/>
              <w:jc w:val="center"/>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6" w:type="pct"/>
            <w:shd w:val="clear" w:color="auto" w:fill="auto"/>
            <w:vAlign w:val="center"/>
          </w:tcPr>
          <w:p>
            <w:pPr>
              <w:pStyle w:val="137"/>
              <w:widowControl w:val="0"/>
              <w:jc w:val="center"/>
              <w:rPr>
                <w:rFonts w:eastAsia="等线" w:cs="Times New Roman"/>
              </w:rPr>
            </w:pPr>
            <w:r>
              <w:rPr>
                <w:rFonts w:hint="eastAsia" w:eastAsia="等线" w:cs="Times New Roman"/>
              </w:rPr>
              <w:t>5</w:t>
            </w:r>
          </w:p>
        </w:tc>
        <w:tc>
          <w:tcPr>
            <w:tcW w:w="848" w:type="pct"/>
            <w:vMerge w:val="continue"/>
            <w:shd w:val="clear" w:color="auto" w:fill="auto"/>
            <w:vAlign w:val="center"/>
          </w:tcPr>
          <w:p>
            <w:pPr>
              <w:pStyle w:val="137"/>
              <w:widowControl w:val="0"/>
              <w:jc w:val="center"/>
            </w:pPr>
          </w:p>
        </w:tc>
        <w:tc>
          <w:tcPr>
            <w:tcW w:w="659" w:type="pct"/>
            <w:vMerge w:val="continue"/>
            <w:shd w:val="clear" w:color="auto" w:fill="auto"/>
            <w:vAlign w:val="center"/>
          </w:tcPr>
          <w:p>
            <w:pPr>
              <w:pStyle w:val="137"/>
              <w:widowControl w:val="0"/>
              <w:jc w:val="center"/>
            </w:pPr>
          </w:p>
        </w:tc>
        <w:tc>
          <w:tcPr>
            <w:tcW w:w="1000" w:type="pct"/>
            <w:shd w:val="clear" w:color="auto" w:fill="auto"/>
            <w:vAlign w:val="center"/>
          </w:tcPr>
          <w:p>
            <w:pPr>
              <w:pStyle w:val="137"/>
              <w:widowControl w:val="0"/>
              <w:jc w:val="center"/>
            </w:pPr>
            <w:r>
              <w:rPr>
                <w:rFonts w:hint="eastAsia"/>
              </w:rPr>
              <w:t>产出质量</w:t>
            </w:r>
          </w:p>
        </w:tc>
        <w:tc>
          <w:tcPr>
            <w:tcW w:w="1279" w:type="pct"/>
          </w:tcPr>
          <w:p>
            <w:pPr>
              <w:pStyle w:val="137"/>
              <w:jc w:val="center"/>
            </w:pPr>
            <w:r>
              <w:rPr>
                <w:rFonts w:hint="eastAsia"/>
              </w:rPr>
              <w:t>一次性验收合格率</w:t>
            </w:r>
          </w:p>
        </w:tc>
        <w:tc>
          <w:tcPr>
            <w:tcW w:w="745" w:type="pct"/>
            <w:shd w:val="clear" w:color="auto" w:fill="auto"/>
            <w:vAlign w:val="center"/>
          </w:tcPr>
          <w:p>
            <w:pPr>
              <w:pStyle w:val="137"/>
              <w:widowControl w:val="0"/>
              <w:jc w:val="center"/>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6" w:type="pct"/>
            <w:shd w:val="clear" w:color="auto" w:fill="auto"/>
            <w:vAlign w:val="center"/>
          </w:tcPr>
          <w:p>
            <w:pPr>
              <w:pStyle w:val="137"/>
              <w:widowControl w:val="0"/>
              <w:jc w:val="center"/>
              <w:rPr>
                <w:rFonts w:eastAsia="等线" w:cs="Times New Roman"/>
              </w:rPr>
            </w:pPr>
            <w:r>
              <w:rPr>
                <w:rFonts w:hint="eastAsia" w:eastAsia="等线" w:cs="Times New Roman"/>
              </w:rPr>
              <w:t>6</w:t>
            </w:r>
          </w:p>
        </w:tc>
        <w:tc>
          <w:tcPr>
            <w:tcW w:w="848" w:type="pct"/>
            <w:shd w:val="clear" w:color="auto" w:fill="auto"/>
            <w:vAlign w:val="center"/>
          </w:tcPr>
          <w:p>
            <w:pPr>
              <w:pStyle w:val="137"/>
              <w:widowControl w:val="0"/>
              <w:jc w:val="center"/>
            </w:pPr>
            <w:r>
              <w:rPr>
                <w:rFonts w:hint="eastAsia"/>
              </w:rPr>
              <w:t>业务指标</w:t>
            </w:r>
          </w:p>
        </w:tc>
        <w:tc>
          <w:tcPr>
            <w:tcW w:w="659" w:type="pct"/>
            <w:shd w:val="clear" w:color="auto" w:fill="auto"/>
            <w:vAlign w:val="center"/>
          </w:tcPr>
          <w:p>
            <w:pPr>
              <w:pStyle w:val="137"/>
              <w:widowControl w:val="0"/>
              <w:jc w:val="center"/>
            </w:pPr>
            <w:r>
              <w:rPr>
                <w:rFonts w:hint="eastAsia"/>
              </w:rPr>
              <w:t>应用系统</w:t>
            </w:r>
          </w:p>
        </w:tc>
        <w:tc>
          <w:tcPr>
            <w:tcW w:w="1000" w:type="pct"/>
            <w:shd w:val="clear" w:color="auto" w:fill="auto"/>
            <w:vAlign w:val="center"/>
          </w:tcPr>
          <w:p>
            <w:pPr>
              <w:pStyle w:val="137"/>
              <w:widowControl w:val="0"/>
              <w:jc w:val="center"/>
            </w:pPr>
            <w:r>
              <w:rPr>
                <w:rFonts w:hint="eastAsia"/>
              </w:rPr>
              <w:t>产出指标</w:t>
            </w:r>
          </w:p>
        </w:tc>
        <w:tc>
          <w:tcPr>
            <w:tcW w:w="1279" w:type="pct"/>
          </w:tcPr>
          <w:p>
            <w:pPr>
              <w:pStyle w:val="137"/>
              <w:widowControl w:val="0"/>
              <w:jc w:val="center"/>
              <w:rPr>
                <w:rFonts w:eastAsia="等线" w:cs="Times New Roman"/>
              </w:rPr>
            </w:pPr>
            <w:r>
              <w:rPr>
                <w:rFonts w:hint="eastAsia"/>
              </w:rPr>
              <w:t>系统xc完成率</w:t>
            </w:r>
          </w:p>
        </w:tc>
        <w:tc>
          <w:tcPr>
            <w:tcW w:w="745" w:type="pct"/>
            <w:shd w:val="clear" w:color="auto" w:fill="auto"/>
            <w:vAlign w:val="center"/>
          </w:tcPr>
          <w:p>
            <w:pPr>
              <w:pStyle w:val="137"/>
              <w:widowControl w:val="0"/>
              <w:jc w:val="center"/>
              <w:rPr>
                <w:rFonts w:eastAsia="等线" w:cs="Times New Roman"/>
              </w:rPr>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6" w:type="pct"/>
            <w:shd w:val="clear" w:color="auto" w:fill="auto"/>
            <w:vAlign w:val="center"/>
          </w:tcPr>
          <w:p>
            <w:pPr>
              <w:pStyle w:val="137"/>
              <w:widowControl w:val="0"/>
              <w:jc w:val="center"/>
              <w:rPr>
                <w:rFonts w:eastAsia="等线" w:cs="Times New Roman"/>
              </w:rPr>
            </w:pPr>
            <w:r>
              <w:rPr>
                <w:rFonts w:hint="eastAsia" w:eastAsia="等线" w:cs="Times New Roman"/>
              </w:rPr>
              <w:t>7</w:t>
            </w:r>
          </w:p>
        </w:tc>
        <w:tc>
          <w:tcPr>
            <w:tcW w:w="848" w:type="pct"/>
            <w:shd w:val="clear" w:color="auto" w:fill="auto"/>
            <w:vAlign w:val="center"/>
          </w:tcPr>
          <w:p>
            <w:pPr>
              <w:pStyle w:val="137"/>
              <w:widowControl w:val="0"/>
              <w:jc w:val="center"/>
            </w:pPr>
            <w:r>
              <w:rPr>
                <w:rFonts w:hint="eastAsia"/>
              </w:rPr>
              <w:t>业务指标</w:t>
            </w:r>
          </w:p>
        </w:tc>
        <w:tc>
          <w:tcPr>
            <w:tcW w:w="659" w:type="pct"/>
            <w:shd w:val="clear" w:color="auto" w:fill="auto"/>
            <w:vAlign w:val="center"/>
          </w:tcPr>
          <w:p>
            <w:pPr>
              <w:pStyle w:val="137"/>
              <w:widowControl w:val="0"/>
              <w:jc w:val="center"/>
            </w:pPr>
            <w:r>
              <w:rPr>
                <w:rFonts w:hint="eastAsia"/>
              </w:rPr>
              <w:t>应用系统</w:t>
            </w:r>
          </w:p>
        </w:tc>
        <w:tc>
          <w:tcPr>
            <w:tcW w:w="1000" w:type="pct"/>
            <w:shd w:val="clear" w:color="auto" w:fill="auto"/>
            <w:vAlign w:val="center"/>
          </w:tcPr>
          <w:p>
            <w:pPr>
              <w:pStyle w:val="137"/>
              <w:widowControl w:val="0"/>
              <w:jc w:val="center"/>
            </w:pPr>
            <w:r>
              <w:rPr>
                <w:rFonts w:hint="eastAsia"/>
              </w:rPr>
              <w:t>产出指标</w:t>
            </w:r>
          </w:p>
        </w:tc>
        <w:tc>
          <w:tcPr>
            <w:tcW w:w="1279" w:type="pct"/>
          </w:tcPr>
          <w:p>
            <w:pPr>
              <w:pStyle w:val="137"/>
              <w:widowControl w:val="0"/>
              <w:jc w:val="center"/>
            </w:pPr>
            <w:r>
              <w:rPr>
                <w:rFonts w:hint="eastAsia"/>
              </w:rPr>
              <w:t>大屏数据接入</w:t>
            </w:r>
          </w:p>
        </w:tc>
        <w:tc>
          <w:tcPr>
            <w:tcW w:w="745" w:type="pct"/>
            <w:shd w:val="clear" w:color="auto" w:fill="auto"/>
            <w:vAlign w:val="center"/>
          </w:tcPr>
          <w:p>
            <w:pPr>
              <w:pStyle w:val="137"/>
              <w:widowControl w:val="0"/>
              <w:jc w:val="center"/>
            </w:pPr>
            <w:r>
              <w:rPr>
                <w:rFonts w:hint="eastAsia"/>
              </w:rPr>
              <w:t>≥3类数据</w:t>
            </w:r>
          </w:p>
        </w:tc>
      </w:tr>
    </w:tbl>
    <w:p>
      <w:pPr>
        <w:pStyle w:val="3"/>
        <w:ind w:left="567"/>
        <w:rPr>
          <w:rFonts w:hint="eastAsia" w:ascii="宋体" w:hAnsi="宋体" w:eastAsia="宋体"/>
        </w:rPr>
      </w:pPr>
      <w:bookmarkStart w:id="15" w:name="_Toc31704"/>
      <w:bookmarkStart w:id="16" w:name="_Toc1188"/>
      <w:bookmarkStart w:id="17" w:name="_Toc1979"/>
      <w:bookmarkStart w:id="18" w:name="_Toc1129"/>
      <w:r>
        <w:rPr>
          <w:rFonts w:hint="eastAsia" w:ascii="宋体" w:hAnsi="宋体" w:eastAsia="宋体"/>
        </w:rPr>
        <w:t>技术绩效考核目标</w:t>
      </w:r>
      <w:bookmarkEnd w:id="15"/>
      <w:bookmarkEnd w:id="16"/>
      <w:bookmarkEnd w:id="17"/>
      <w:bookmarkEnd w:id="18"/>
    </w:p>
    <w:tbl>
      <w:tblPr>
        <w:tblStyle w:val="35"/>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8"/>
        <w:gridCol w:w="1442"/>
        <w:gridCol w:w="1437"/>
        <w:gridCol w:w="1570"/>
        <w:gridCol w:w="2119"/>
        <w:gridCol w:w="11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5000" w:type="pct"/>
            <w:gridSpan w:val="6"/>
            <w:shd w:val="clear" w:color="auto" w:fill="auto"/>
            <w:vAlign w:val="center"/>
          </w:tcPr>
          <w:p>
            <w:pPr>
              <w:pStyle w:val="137"/>
              <w:jc w:val="center"/>
            </w:pPr>
            <w:r>
              <w:rPr>
                <w:rFonts w:hint="eastAsia"/>
              </w:rPr>
              <w:t>技术目标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8" w:type="pct"/>
            <w:shd w:val="clear" w:color="auto" w:fill="auto"/>
            <w:vAlign w:val="center"/>
          </w:tcPr>
          <w:p>
            <w:pPr>
              <w:pStyle w:val="137"/>
              <w:widowControl w:val="0"/>
              <w:jc w:val="center"/>
            </w:pPr>
            <w:r>
              <w:rPr>
                <w:rFonts w:hint="eastAsia"/>
              </w:rPr>
              <w:t>序号</w:t>
            </w:r>
          </w:p>
        </w:tc>
        <w:tc>
          <w:tcPr>
            <w:tcW w:w="846" w:type="pct"/>
            <w:shd w:val="clear" w:color="auto" w:fill="auto"/>
            <w:vAlign w:val="center"/>
          </w:tcPr>
          <w:p>
            <w:pPr>
              <w:pStyle w:val="137"/>
              <w:widowControl w:val="0"/>
              <w:jc w:val="center"/>
            </w:pPr>
            <w:r>
              <w:rPr>
                <w:rFonts w:hint="eastAsia"/>
              </w:rPr>
              <w:t>一级指标</w:t>
            </w:r>
          </w:p>
        </w:tc>
        <w:tc>
          <w:tcPr>
            <w:tcW w:w="843" w:type="pct"/>
            <w:shd w:val="clear" w:color="auto" w:fill="auto"/>
            <w:vAlign w:val="center"/>
          </w:tcPr>
          <w:p>
            <w:pPr>
              <w:pStyle w:val="137"/>
              <w:widowControl w:val="0"/>
              <w:jc w:val="center"/>
            </w:pPr>
            <w:r>
              <w:rPr>
                <w:rFonts w:hint="eastAsia"/>
              </w:rPr>
              <w:t>二级指标</w:t>
            </w:r>
          </w:p>
        </w:tc>
        <w:tc>
          <w:tcPr>
            <w:tcW w:w="921" w:type="pct"/>
            <w:shd w:val="clear" w:color="auto" w:fill="auto"/>
            <w:vAlign w:val="center"/>
          </w:tcPr>
          <w:p>
            <w:pPr>
              <w:pStyle w:val="137"/>
              <w:widowControl w:val="0"/>
              <w:jc w:val="center"/>
            </w:pPr>
            <w:r>
              <w:rPr>
                <w:rFonts w:hint="eastAsia"/>
              </w:rPr>
              <w:t>三级指标</w:t>
            </w:r>
          </w:p>
        </w:tc>
        <w:tc>
          <w:tcPr>
            <w:tcW w:w="1243" w:type="pct"/>
          </w:tcPr>
          <w:p>
            <w:pPr>
              <w:pStyle w:val="137"/>
              <w:widowControl w:val="0"/>
              <w:jc w:val="center"/>
            </w:pPr>
            <w:r>
              <w:rPr>
                <w:rFonts w:hint="eastAsia"/>
              </w:rPr>
              <w:t>四级指标</w:t>
            </w:r>
          </w:p>
        </w:tc>
        <w:tc>
          <w:tcPr>
            <w:tcW w:w="679" w:type="pct"/>
            <w:shd w:val="clear" w:color="auto" w:fill="auto"/>
            <w:vAlign w:val="center"/>
          </w:tcPr>
          <w:p>
            <w:pPr>
              <w:pStyle w:val="137"/>
              <w:widowControl w:val="0"/>
              <w:jc w:val="center"/>
            </w:pPr>
            <w:r>
              <w:rPr>
                <w:rFonts w:hint="eastAsia"/>
              </w:rPr>
              <w:t>指标值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8" w:type="pct"/>
            <w:shd w:val="clear" w:color="auto" w:fill="auto"/>
            <w:vAlign w:val="center"/>
          </w:tcPr>
          <w:p>
            <w:pPr>
              <w:pStyle w:val="137"/>
              <w:widowControl w:val="0"/>
              <w:jc w:val="center"/>
              <w:rPr>
                <w:rFonts w:eastAsia="等线" w:cs="Times New Roman"/>
              </w:rPr>
            </w:pPr>
            <w:r>
              <w:rPr>
                <w:rFonts w:eastAsia="等线" w:cs="Times New Roman"/>
              </w:rPr>
              <w:t>1</w:t>
            </w:r>
          </w:p>
        </w:tc>
        <w:tc>
          <w:tcPr>
            <w:tcW w:w="846" w:type="pct"/>
            <w:vMerge w:val="restart"/>
            <w:shd w:val="clear" w:color="auto" w:fill="auto"/>
            <w:vAlign w:val="center"/>
          </w:tcPr>
          <w:p>
            <w:pPr>
              <w:pStyle w:val="137"/>
              <w:widowControl w:val="0"/>
              <w:jc w:val="center"/>
            </w:pPr>
            <w:r>
              <w:rPr>
                <w:rFonts w:hint="eastAsia"/>
              </w:rPr>
              <w:t>通用指标</w:t>
            </w:r>
          </w:p>
        </w:tc>
        <w:tc>
          <w:tcPr>
            <w:tcW w:w="843" w:type="pct"/>
            <w:vMerge w:val="restart"/>
            <w:shd w:val="clear" w:color="auto" w:fill="auto"/>
            <w:vAlign w:val="center"/>
          </w:tcPr>
          <w:p>
            <w:pPr>
              <w:pStyle w:val="137"/>
              <w:widowControl w:val="0"/>
              <w:jc w:val="center"/>
            </w:pPr>
            <w:r>
              <w:rPr>
                <w:rFonts w:hint="eastAsia"/>
              </w:rPr>
              <w:t>产出指标</w:t>
            </w:r>
          </w:p>
        </w:tc>
        <w:tc>
          <w:tcPr>
            <w:tcW w:w="921" w:type="pct"/>
            <w:shd w:val="clear" w:color="auto" w:fill="auto"/>
            <w:vAlign w:val="center"/>
          </w:tcPr>
          <w:p>
            <w:pPr>
              <w:pStyle w:val="137"/>
              <w:widowControl w:val="0"/>
              <w:jc w:val="center"/>
            </w:pPr>
            <w:r>
              <w:rPr>
                <w:rFonts w:hint="eastAsia"/>
              </w:rPr>
              <w:t>产出数量</w:t>
            </w:r>
          </w:p>
        </w:tc>
        <w:tc>
          <w:tcPr>
            <w:tcW w:w="1243" w:type="pct"/>
          </w:tcPr>
          <w:p>
            <w:pPr>
              <w:pStyle w:val="137"/>
              <w:jc w:val="center"/>
            </w:pPr>
            <w:r>
              <w:rPr>
                <w:rFonts w:hint="eastAsia"/>
              </w:rPr>
              <w:t>软件开发完成率</w:t>
            </w:r>
          </w:p>
        </w:tc>
        <w:tc>
          <w:tcPr>
            <w:tcW w:w="679" w:type="pct"/>
            <w:shd w:val="clear" w:color="auto" w:fill="auto"/>
            <w:vAlign w:val="center"/>
          </w:tcPr>
          <w:p>
            <w:pPr>
              <w:pStyle w:val="137"/>
              <w:widowControl w:val="0"/>
              <w:jc w:val="center"/>
            </w:pPr>
            <w:r>
              <w:rPr>
                <w:rFonts w:hint="eastAsi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8" w:type="pct"/>
            <w:shd w:val="clear" w:color="auto" w:fill="auto"/>
            <w:vAlign w:val="center"/>
          </w:tcPr>
          <w:p>
            <w:pPr>
              <w:pStyle w:val="137"/>
              <w:widowControl w:val="0"/>
              <w:jc w:val="center"/>
              <w:rPr>
                <w:rFonts w:eastAsia="等线" w:cs="Times New Roman"/>
              </w:rPr>
            </w:pPr>
            <w:r>
              <w:rPr>
                <w:rFonts w:hint="eastAsia" w:eastAsia="等线" w:cs="Times New Roman"/>
              </w:rPr>
              <w:t>2</w:t>
            </w:r>
          </w:p>
        </w:tc>
        <w:tc>
          <w:tcPr>
            <w:tcW w:w="846" w:type="pct"/>
            <w:vMerge w:val="continue"/>
            <w:shd w:val="clear" w:color="auto" w:fill="auto"/>
            <w:vAlign w:val="center"/>
          </w:tcPr>
          <w:p>
            <w:pPr>
              <w:pStyle w:val="137"/>
              <w:widowControl w:val="0"/>
              <w:jc w:val="center"/>
            </w:pPr>
          </w:p>
        </w:tc>
        <w:tc>
          <w:tcPr>
            <w:tcW w:w="843" w:type="pct"/>
            <w:vMerge w:val="continue"/>
            <w:shd w:val="clear" w:color="auto" w:fill="auto"/>
            <w:vAlign w:val="center"/>
          </w:tcPr>
          <w:p>
            <w:pPr>
              <w:pStyle w:val="137"/>
              <w:widowControl w:val="0"/>
              <w:jc w:val="center"/>
            </w:pPr>
          </w:p>
        </w:tc>
        <w:tc>
          <w:tcPr>
            <w:tcW w:w="921" w:type="pct"/>
            <w:vMerge w:val="restart"/>
            <w:shd w:val="clear" w:color="auto" w:fill="auto"/>
            <w:vAlign w:val="center"/>
          </w:tcPr>
          <w:p>
            <w:pPr>
              <w:pStyle w:val="137"/>
              <w:widowControl w:val="0"/>
              <w:jc w:val="center"/>
            </w:pPr>
            <w:r>
              <w:rPr>
                <w:rFonts w:hint="eastAsia"/>
              </w:rPr>
              <w:t>产出质量</w:t>
            </w:r>
          </w:p>
        </w:tc>
        <w:tc>
          <w:tcPr>
            <w:tcW w:w="1243" w:type="pct"/>
          </w:tcPr>
          <w:p>
            <w:pPr>
              <w:pStyle w:val="137"/>
              <w:jc w:val="center"/>
            </w:pPr>
            <w:r>
              <w:rPr>
                <w:rFonts w:hint="eastAsia"/>
              </w:rPr>
              <w:t>系统可靠性</w:t>
            </w:r>
          </w:p>
        </w:tc>
        <w:tc>
          <w:tcPr>
            <w:tcW w:w="679" w:type="pct"/>
            <w:shd w:val="clear" w:color="auto" w:fill="auto"/>
            <w:vAlign w:val="center"/>
          </w:tcPr>
          <w:p>
            <w:pPr>
              <w:pStyle w:val="137"/>
              <w:widowControl w:val="0"/>
              <w:jc w:val="center"/>
            </w:pPr>
            <w:r>
              <w:rPr>
                <w:rFonts w:hint="eastAsia"/>
              </w:rPr>
              <w:t>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8" w:type="pct"/>
            <w:shd w:val="clear" w:color="auto" w:fill="auto"/>
            <w:vAlign w:val="center"/>
          </w:tcPr>
          <w:p>
            <w:pPr>
              <w:pStyle w:val="137"/>
              <w:widowControl w:val="0"/>
              <w:jc w:val="center"/>
              <w:rPr>
                <w:rFonts w:eastAsia="等线" w:cs="Times New Roman"/>
              </w:rPr>
            </w:pPr>
            <w:r>
              <w:rPr>
                <w:rFonts w:hint="eastAsia" w:eastAsia="等线" w:cs="Times New Roman"/>
              </w:rPr>
              <w:t>3</w:t>
            </w:r>
          </w:p>
        </w:tc>
        <w:tc>
          <w:tcPr>
            <w:tcW w:w="846" w:type="pct"/>
            <w:vMerge w:val="continue"/>
            <w:shd w:val="clear" w:color="auto" w:fill="auto"/>
            <w:vAlign w:val="center"/>
          </w:tcPr>
          <w:p>
            <w:pPr>
              <w:pStyle w:val="137"/>
              <w:widowControl w:val="0"/>
              <w:jc w:val="center"/>
            </w:pPr>
          </w:p>
        </w:tc>
        <w:tc>
          <w:tcPr>
            <w:tcW w:w="843" w:type="pct"/>
            <w:vMerge w:val="continue"/>
            <w:shd w:val="clear" w:color="auto" w:fill="auto"/>
            <w:vAlign w:val="center"/>
          </w:tcPr>
          <w:p>
            <w:pPr>
              <w:pStyle w:val="137"/>
              <w:widowControl w:val="0"/>
              <w:jc w:val="center"/>
            </w:pPr>
          </w:p>
        </w:tc>
        <w:tc>
          <w:tcPr>
            <w:tcW w:w="921" w:type="pct"/>
            <w:vMerge w:val="continue"/>
            <w:shd w:val="clear" w:color="auto" w:fill="auto"/>
            <w:vAlign w:val="center"/>
          </w:tcPr>
          <w:p>
            <w:pPr>
              <w:pStyle w:val="137"/>
              <w:widowControl w:val="0"/>
              <w:jc w:val="center"/>
            </w:pPr>
          </w:p>
        </w:tc>
        <w:tc>
          <w:tcPr>
            <w:tcW w:w="1243" w:type="pct"/>
          </w:tcPr>
          <w:p>
            <w:pPr>
              <w:pStyle w:val="137"/>
              <w:jc w:val="center"/>
            </w:pPr>
            <w:r>
              <w:rPr>
                <w:rFonts w:hint="eastAsia"/>
              </w:rPr>
              <w:t>软件测试达标</w:t>
            </w:r>
          </w:p>
        </w:tc>
        <w:tc>
          <w:tcPr>
            <w:tcW w:w="679" w:type="pct"/>
            <w:shd w:val="clear" w:color="auto" w:fill="auto"/>
            <w:vAlign w:val="center"/>
          </w:tcPr>
          <w:p>
            <w:pPr>
              <w:pStyle w:val="137"/>
              <w:widowControl w:val="0"/>
              <w:jc w:val="center"/>
            </w:pPr>
            <w:r>
              <w:rPr>
                <w:rFonts w:hint="eastAsia"/>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8" w:type="pct"/>
            <w:shd w:val="clear" w:color="auto" w:fill="auto"/>
            <w:vAlign w:val="center"/>
          </w:tcPr>
          <w:p>
            <w:pPr>
              <w:pStyle w:val="137"/>
              <w:widowControl w:val="0"/>
              <w:jc w:val="center"/>
              <w:rPr>
                <w:rFonts w:eastAsia="等线" w:cs="Times New Roman"/>
              </w:rPr>
            </w:pPr>
            <w:r>
              <w:rPr>
                <w:rFonts w:hint="eastAsia" w:eastAsia="等线" w:cs="Times New Roman"/>
              </w:rPr>
              <w:t>4</w:t>
            </w:r>
          </w:p>
        </w:tc>
        <w:tc>
          <w:tcPr>
            <w:tcW w:w="846" w:type="pct"/>
            <w:vMerge w:val="continue"/>
            <w:shd w:val="clear" w:color="auto" w:fill="auto"/>
            <w:vAlign w:val="center"/>
          </w:tcPr>
          <w:p>
            <w:pPr>
              <w:pStyle w:val="137"/>
              <w:widowControl w:val="0"/>
              <w:jc w:val="center"/>
            </w:pPr>
          </w:p>
        </w:tc>
        <w:tc>
          <w:tcPr>
            <w:tcW w:w="843" w:type="pct"/>
            <w:vMerge w:val="continue"/>
            <w:shd w:val="clear" w:color="auto" w:fill="auto"/>
            <w:vAlign w:val="center"/>
          </w:tcPr>
          <w:p>
            <w:pPr>
              <w:pStyle w:val="137"/>
              <w:widowControl w:val="0"/>
              <w:jc w:val="center"/>
            </w:pPr>
          </w:p>
        </w:tc>
        <w:tc>
          <w:tcPr>
            <w:tcW w:w="921" w:type="pct"/>
            <w:vMerge w:val="continue"/>
            <w:shd w:val="clear" w:color="auto" w:fill="auto"/>
            <w:vAlign w:val="center"/>
          </w:tcPr>
          <w:p>
            <w:pPr>
              <w:pStyle w:val="137"/>
              <w:widowControl w:val="0"/>
              <w:jc w:val="center"/>
            </w:pPr>
          </w:p>
        </w:tc>
        <w:tc>
          <w:tcPr>
            <w:tcW w:w="1243" w:type="pct"/>
          </w:tcPr>
          <w:p>
            <w:pPr>
              <w:pStyle w:val="137"/>
              <w:jc w:val="center"/>
            </w:pPr>
            <w:r>
              <w:rPr>
                <w:rFonts w:hint="eastAsia"/>
              </w:rPr>
              <w:t>密码测试达标</w:t>
            </w:r>
          </w:p>
        </w:tc>
        <w:tc>
          <w:tcPr>
            <w:tcW w:w="679" w:type="pct"/>
            <w:shd w:val="clear" w:color="auto" w:fill="auto"/>
            <w:vAlign w:val="center"/>
          </w:tcPr>
          <w:p>
            <w:pPr>
              <w:pStyle w:val="137"/>
              <w:widowControl w:val="0"/>
              <w:jc w:val="center"/>
            </w:pPr>
            <w:r>
              <w:rPr>
                <w:rFonts w:hint="eastAsia"/>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468" w:type="pct"/>
            <w:shd w:val="clear" w:color="auto" w:fill="auto"/>
            <w:vAlign w:val="center"/>
          </w:tcPr>
          <w:p>
            <w:pPr>
              <w:pStyle w:val="137"/>
              <w:widowControl w:val="0"/>
              <w:jc w:val="center"/>
              <w:rPr>
                <w:rFonts w:eastAsia="等线" w:cs="Times New Roman"/>
              </w:rPr>
            </w:pPr>
            <w:r>
              <w:rPr>
                <w:rFonts w:hint="eastAsia" w:eastAsia="等线" w:cs="Times New Roman"/>
              </w:rPr>
              <w:t>5</w:t>
            </w:r>
          </w:p>
        </w:tc>
        <w:tc>
          <w:tcPr>
            <w:tcW w:w="846" w:type="pct"/>
            <w:vMerge w:val="continue"/>
            <w:shd w:val="clear" w:color="auto" w:fill="auto"/>
            <w:vAlign w:val="center"/>
          </w:tcPr>
          <w:p>
            <w:pPr>
              <w:pStyle w:val="137"/>
              <w:widowControl w:val="0"/>
              <w:jc w:val="center"/>
            </w:pPr>
          </w:p>
        </w:tc>
        <w:tc>
          <w:tcPr>
            <w:tcW w:w="843" w:type="pct"/>
            <w:vMerge w:val="continue"/>
            <w:shd w:val="clear" w:color="auto" w:fill="auto"/>
            <w:vAlign w:val="center"/>
          </w:tcPr>
          <w:p>
            <w:pPr>
              <w:pStyle w:val="137"/>
              <w:widowControl w:val="0"/>
              <w:jc w:val="center"/>
            </w:pPr>
          </w:p>
        </w:tc>
        <w:tc>
          <w:tcPr>
            <w:tcW w:w="921" w:type="pct"/>
            <w:vMerge w:val="continue"/>
            <w:shd w:val="clear" w:color="auto" w:fill="auto"/>
            <w:vAlign w:val="center"/>
          </w:tcPr>
          <w:p>
            <w:pPr>
              <w:pStyle w:val="137"/>
              <w:widowControl w:val="0"/>
              <w:jc w:val="center"/>
            </w:pPr>
          </w:p>
        </w:tc>
        <w:tc>
          <w:tcPr>
            <w:tcW w:w="1243" w:type="pct"/>
          </w:tcPr>
          <w:p>
            <w:pPr>
              <w:pStyle w:val="137"/>
              <w:jc w:val="center"/>
            </w:pPr>
            <w:r>
              <w:rPr>
                <w:rFonts w:hint="eastAsia"/>
              </w:rPr>
              <w:t>安全测试达标</w:t>
            </w:r>
          </w:p>
        </w:tc>
        <w:tc>
          <w:tcPr>
            <w:tcW w:w="679" w:type="pct"/>
            <w:shd w:val="clear" w:color="auto" w:fill="auto"/>
            <w:vAlign w:val="center"/>
          </w:tcPr>
          <w:p>
            <w:pPr>
              <w:pStyle w:val="137"/>
              <w:widowControl w:val="0"/>
              <w:jc w:val="center"/>
            </w:pPr>
            <w:r>
              <w:rPr>
                <w:rFonts w:hint="eastAsia"/>
              </w:rPr>
              <w:t>达标</w:t>
            </w:r>
          </w:p>
        </w:tc>
      </w:tr>
    </w:tbl>
    <w:p>
      <w:pPr>
        <w:pStyle w:val="2"/>
        <w:rPr>
          <w:rFonts w:hint="eastAsia"/>
        </w:rPr>
      </w:pPr>
      <w:bookmarkStart w:id="19" w:name="_Toc47533288"/>
      <w:bookmarkEnd w:id="19"/>
      <w:bookmarkStart w:id="20" w:name="_Toc47539102"/>
      <w:bookmarkEnd w:id="20"/>
      <w:bookmarkStart w:id="21" w:name="_Toc47536676"/>
      <w:bookmarkEnd w:id="21"/>
      <w:bookmarkStart w:id="22" w:name="_Toc47532923"/>
      <w:bookmarkEnd w:id="22"/>
      <w:bookmarkStart w:id="23" w:name="_Toc47536304"/>
      <w:bookmarkEnd w:id="23"/>
      <w:bookmarkStart w:id="24" w:name="_Toc47537166"/>
      <w:bookmarkEnd w:id="24"/>
      <w:r>
        <w:rPr>
          <w:rFonts w:hint="eastAsia"/>
        </w:rPr>
        <w:t>项目建设内容</w:t>
      </w:r>
    </w:p>
    <w:p>
      <w:pPr>
        <w:rPr>
          <w:rFonts w:hint="eastAsia"/>
        </w:rPr>
      </w:pPr>
      <w:r>
        <w:rPr>
          <w:rFonts w:hint="eastAsia"/>
        </w:rPr>
        <w:t>项目建设内容包括防汛信息服务系统升级改造、上海市城市运行管理和应急处置水务专题系统升级改造两大部分。</w:t>
      </w:r>
    </w:p>
    <w:p>
      <w:pPr>
        <w:rPr>
          <w:rFonts w:hint="eastAsia"/>
        </w:rPr>
      </w:pPr>
      <w:r>
        <w:rPr>
          <w:rFonts w:hint="eastAsia"/>
        </w:rPr>
        <w:t>一、防汛信息服务系统升级改造</w:t>
      </w:r>
    </w:p>
    <w:p>
      <w:pPr>
        <w:rPr>
          <w:rFonts w:hint="eastAsia"/>
        </w:rPr>
      </w:pPr>
      <w:r>
        <w:rPr>
          <w:rFonts w:hint="eastAsia"/>
        </w:rPr>
        <w:t>对防汛信息服务WebGIS系统、防汛“一网四库”信息管理系统、防汛抗旱综合数据库、洪灾评估系统、抗旱业务应用系统、数据汇集与应用支撑平台、综合信息服务系统、防汛短信和传真系统进行XC改造，将现有基于.net和java框架的系统进行XC升级改造XC环境的java语言框架下，实现对防汛信息服务系统的XC替代。</w:t>
      </w:r>
    </w:p>
    <w:p>
      <w:pPr>
        <w:rPr>
          <w:rFonts w:hint="eastAsia"/>
        </w:rPr>
      </w:pPr>
      <w:r>
        <w:rPr>
          <w:rFonts w:hint="eastAsia"/>
        </w:rPr>
        <w:t>将现有基于.net和java框架的系统进行XC升级改造XC环境的java语言框架下，对防汛通讯录模块、防汛值班管理模块、防汛响应发布模块、灾处信息管理模块等内容进行业务流程再造，对接全市数字化转型的部分成果，共享防汛业务应用升级改造后的成果信息，从而提高防汛业务管理的整体效率，为基层防汛工作人员减负增效。</w:t>
      </w:r>
    </w:p>
    <w:p>
      <w:pPr>
        <w:rPr>
          <w:rFonts w:hint="eastAsia"/>
        </w:rPr>
      </w:pPr>
      <w:r>
        <w:rPr>
          <w:rFonts w:hint="eastAsia"/>
        </w:rPr>
        <w:t>二、上海市城市运行管理和应急处置水务专题系统升级改造</w:t>
      </w:r>
    </w:p>
    <w:p>
      <w:pPr>
        <w:rPr>
          <w:rFonts w:hint="eastAsia"/>
        </w:rPr>
      </w:pPr>
      <w:r>
        <w:rPr>
          <w:rFonts w:hint="eastAsia"/>
        </w:rPr>
        <w:t>上海市城市运行管理和应急处置水务专题系统升级改造包括对防汛防台场景（大屏端）、海洋管理专题大屏和安全生产动态监管大屏进行升级改造，丰富数据源、完善现有功能模块。</w:t>
      </w:r>
    </w:p>
    <w:p>
      <w:pPr>
        <w:pStyle w:val="62"/>
        <w:numPr>
          <w:ilvl w:val="0"/>
          <w:numId w:val="3"/>
        </w:numPr>
        <w:ind w:firstLineChars="0"/>
        <w:rPr>
          <w:b/>
        </w:rPr>
      </w:pPr>
      <w:r>
        <w:rPr>
          <w:rFonts w:hint="eastAsia"/>
          <w:b/>
        </w:rPr>
        <w:t>软件开发清单：</w:t>
      </w:r>
    </w:p>
    <w:tbl>
      <w:tblPr>
        <w:tblStyle w:val="35"/>
        <w:tblW w:w="5000" w:type="pct"/>
        <w:tblInd w:w="0" w:type="dxa"/>
        <w:tblLayout w:type="fixed"/>
        <w:tblCellMar>
          <w:top w:w="0" w:type="dxa"/>
          <w:left w:w="108" w:type="dxa"/>
          <w:bottom w:w="0" w:type="dxa"/>
          <w:right w:w="108" w:type="dxa"/>
        </w:tblCellMar>
      </w:tblPr>
      <w:tblGrid>
        <w:gridCol w:w="624"/>
        <w:gridCol w:w="1090"/>
        <w:gridCol w:w="2755"/>
        <w:gridCol w:w="4059"/>
      </w:tblGrid>
      <w:tr>
        <w:tblPrEx>
          <w:tblCellMar>
            <w:top w:w="0" w:type="dxa"/>
            <w:left w:w="108" w:type="dxa"/>
            <w:bottom w:w="0" w:type="dxa"/>
            <w:right w:w="108" w:type="dxa"/>
          </w:tblCellMar>
        </w:tblPrEx>
        <w:trPr>
          <w:trHeight w:val="300" w:hRule="atLeast"/>
        </w:trPr>
        <w:tc>
          <w:tcPr>
            <w:tcW w:w="365" w:type="pct"/>
            <w:tcBorders>
              <w:top w:val="single" w:color="auto" w:sz="8" w:space="0"/>
              <w:left w:val="single" w:color="auto" w:sz="8" w:space="0"/>
              <w:bottom w:val="single" w:color="auto" w:sz="8" w:space="0"/>
              <w:right w:val="single" w:color="auto" w:sz="8" w:space="0"/>
            </w:tcBorders>
            <w:shd w:val="clear" w:color="000000" w:fill="F3F8FC"/>
            <w:noWrap/>
            <w:vAlign w:val="center"/>
          </w:tcPr>
          <w:p>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序号</w:t>
            </w:r>
          </w:p>
        </w:tc>
        <w:tc>
          <w:tcPr>
            <w:tcW w:w="639" w:type="pct"/>
            <w:tcBorders>
              <w:top w:val="single" w:color="auto" w:sz="8" w:space="0"/>
              <w:left w:val="nil"/>
              <w:bottom w:val="single" w:color="auto" w:sz="8" w:space="0"/>
              <w:right w:val="single" w:color="auto" w:sz="8" w:space="0"/>
            </w:tcBorders>
            <w:shd w:val="clear" w:color="000000" w:fill="F3F8FC"/>
            <w:noWrap/>
            <w:vAlign w:val="center"/>
          </w:tcPr>
          <w:p>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应用系统名称</w:t>
            </w:r>
          </w:p>
        </w:tc>
        <w:tc>
          <w:tcPr>
            <w:tcW w:w="1615" w:type="pct"/>
            <w:tcBorders>
              <w:top w:val="single" w:color="auto" w:sz="8" w:space="0"/>
              <w:left w:val="nil"/>
              <w:bottom w:val="single" w:color="auto" w:sz="8" w:space="0"/>
              <w:right w:val="single" w:color="auto" w:sz="8" w:space="0"/>
            </w:tcBorders>
            <w:shd w:val="clear" w:color="000000" w:fill="F3F8FC"/>
            <w:noWrap/>
            <w:vAlign w:val="center"/>
          </w:tcPr>
          <w:p>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模块名称</w:t>
            </w:r>
          </w:p>
        </w:tc>
        <w:tc>
          <w:tcPr>
            <w:tcW w:w="2379" w:type="pct"/>
            <w:tcBorders>
              <w:top w:val="single" w:color="auto" w:sz="8" w:space="0"/>
              <w:left w:val="nil"/>
              <w:bottom w:val="single" w:color="auto" w:sz="8" w:space="0"/>
              <w:right w:val="single" w:color="auto" w:sz="8" w:space="0"/>
            </w:tcBorders>
            <w:shd w:val="clear" w:color="000000" w:fill="F3F8FC"/>
            <w:vAlign w:val="center"/>
          </w:tcPr>
          <w:p>
            <w:pPr>
              <w:widowControl/>
              <w:spacing w:line="240" w:lineRule="auto"/>
              <w:ind w:firstLine="0" w:firstLineChars="0"/>
              <w:jc w:val="center"/>
              <w:rPr>
                <w:rFonts w:hint="eastAsia" w:cs="宋体"/>
                <w:b/>
                <w:bCs/>
                <w:color w:val="000000"/>
                <w:kern w:val="0"/>
                <w:sz w:val="22"/>
                <w:szCs w:val="22"/>
              </w:rPr>
            </w:pPr>
            <w:r>
              <w:rPr>
                <w:rFonts w:hint="eastAsia" w:cs="宋体"/>
                <w:b/>
                <w:bCs/>
                <w:color w:val="000000"/>
                <w:kern w:val="0"/>
                <w:sz w:val="22"/>
                <w:szCs w:val="22"/>
              </w:rPr>
              <w:t>模块描述</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w:t>
            </w:r>
          </w:p>
        </w:tc>
        <w:tc>
          <w:tcPr>
            <w:tcW w:w="63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防汛信息服务WebGIS系统XC改造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防汛公共信息平台的XC开发</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实现防汛公共信息平台的XC开发</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基于WebGIS的台风路径信息服务系统的XC开发</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基于WebGIS的台风路径信息服务系统的XC开发</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w:t>
            </w:r>
          </w:p>
        </w:tc>
        <w:tc>
          <w:tcPr>
            <w:tcW w:w="63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防汛“一网四库”信息管理系统XC改造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WebGIS系统基本功能模块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实现WebGIS系统基本功能模块的XC改造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堤防巡查信息查询模块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实现堤防巡查信息查询模块的XC改造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防汛风险分析成果管理和发布模块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实现防汛风险分析成果管理和发布模块的XC改造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防汛灾情数据库迁移和维护管理模块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实现防汛灾情数据库迁移和维护管理模块的XC改造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空间数据和属性数据维护更新模块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实现空间数据和属性数据维护更新模块的XC改造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基础资料信息库模块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实现基础资料信息库模块的XC改造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抢险队伍物资库模块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实现抢险队伍物资库模块的XC改造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全市网格化巡查水务数据接入上图</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实现全市网格化巡查水务数据接入上图的XC改造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水务热线灾情信息上图及发布模块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实现水务热线灾情信息上图及发布模块的XC改造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预警预案管理库模块</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实现预警预案管理库模块的XC改造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w:t>
            </w:r>
          </w:p>
        </w:tc>
        <w:tc>
          <w:tcPr>
            <w:tcW w:w="63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防汛抗旱综合数据库XC改造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旱情数据库</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实现旱情数据库的XC改造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14</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防洪工程库</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实现防洪工程库的XC改造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15</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地理空间库（图形库）</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实现地理空间库（图形库）的XC改造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16</w:t>
            </w:r>
          </w:p>
        </w:tc>
        <w:tc>
          <w:tcPr>
            <w:tcW w:w="63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洪灾评估系统XC改造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灾前评估-基于洪水风险图评估</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实现基于洪水风险图评估功能的XC改造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17</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灾前评估-方案预案管理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实现方案预案管理功能的XC改造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18</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灾前评估-相似洪水评估</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实现相似洪水评估功能的XC改造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19</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灾中评估-实测洪水灾情评估</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实现实测洪水灾情评估功能的XC改造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20</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灾中评估-遥感监测灾情评估</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实现遥感监测灾情评估的XC改造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21</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灾后评估-洪水综合分析</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实现洪水综合分析功能的XC改造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22</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灾后评估-灾后灾情评估</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实现灾后灾情评估功能的XC改造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23</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洪清会商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实现洪清会商功能的XC改造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24</w:t>
            </w:r>
          </w:p>
        </w:tc>
        <w:tc>
          <w:tcPr>
            <w:tcW w:w="63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抗旱业务应用系统XC改造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旱情监视-农业旱情监视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实现农业旱情监视功能的XC改造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25</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旱情报表-旱情动态（月报）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实现旱情动态（月报）功能的XC改造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26</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旱情预测-旱情预测</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实现旱情预测功能的XC改造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27</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旱情报表-应急水源工程建设管理类</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实现应急水源工程建设管理类功能的XC改造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28</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旱情监视-旱情预警</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实现旱情预警功能的XC改造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29</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旱情报表-历史旱灾</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实现历史旱灾功能的XC改造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30</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旱情报表-其它</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实现其他功能的XC改造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31</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旱情报表-抗旱服务队类</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实现抗旱服务队类功能的XC改造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32</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旱情监视-城市旱情监视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实现城市旱情监视功能的XC改造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33</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旱情报表-上报管理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实现上报管理功能的XC改造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34</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旱情报表-旱情统计（年报）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实现旱情统计（年报）功能的XC改造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35</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旱情监视-抗旱调度</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实现抗旱调度功能的XC改造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36</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旱情评估</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实现旱情评估功能的XC改造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37</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旱情预测-江河来水预测预报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实现江河来水预测预报功能的XC改造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38</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旱情报表-旱情动态（周/日报）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实现旱情动态（周/日报）功能的XC改造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39</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旱情会商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实现旱情会商功能的XC改造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40</w:t>
            </w:r>
          </w:p>
        </w:tc>
        <w:tc>
          <w:tcPr>
            <w:tcW w:w="63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旱情预测-降水气温预报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实现降水气温预报功能的XC改造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41</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数据汇集与应用支撑平台XC改造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数据汇集平台-工情险情</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实现工情险情功能的XC改造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数据汇集平台-综合信息</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实现综合信息功能的XC改造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应用支撑平台-数据交换</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实现数据交换功能的XC改造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应用支撑平台-数据管理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实现数据管理功能的XC改造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应用支撑平台-服务管理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实现服务管理功能的XC改造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46</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应用支撑平台-资源目录</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实现资源目录功能的XC改造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数据汇集平台-综合分析</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实现综合分析功能的XC改造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数据汇集平台-洪涝灾情</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实现洪涝灾情功能的XC改造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49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数据汇集平台-城市防洪</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实现城市防洪功能的XC改造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应用支撑平台-统一用户</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实现统一用户功能的XC改造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51</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数据汇集平台-旱情信息</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实现旱情信息功能的XC改造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应用支撑平台-服务搜索</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实现服务搜索功能的XC改造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53</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综合信息服务系统XC改造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系统管理-用户管理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实现用户管理功能的XC改造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综合统计-旱情统计（月报）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实现旱情统计（月报）功能的XC改造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综合统计-旱情统计（周/日报）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实现旱情统计（周/日报）功能的XC改造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56</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基础信息-防洪抗旱工程</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实现防洪抗旱工程功能的XC改造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综合统计-热线灾报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实现热线灾报功能的XC改造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基础信息-防汛重点区域</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实现防汛重点区域功能的XC改造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59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资源服务-数据服务</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实现数据服务功能的XC改造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基础信息-防汛抢险备案</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实现防汛抢险备案功能的XC改造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61</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综合统计-旱情统计（年报）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实现旱情统计（年报）功能的XC改造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综合统计-水情统计</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实现水情统计功能的XC改造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综合统计-洪灾统计</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实现洪灾统计功能的XC改造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64</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防汛短信和传真系统XC改造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推送模板配置</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实现推送模板配置功能的XC改造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短信发送</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实现短信发送功能的XC改造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66</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传真发送</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实现传真发送功能的XC改造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短信重发</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实现短信重发功能的XC改造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传真重发</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实现传真重发功能的XC改造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69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防汛传真信息提醒</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实现防汛传真信息提醒功能的XC改造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短信传真统计查询</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实现短信传真统计查询功能的XC改造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71</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外部应用系统接入</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实现外部应用系统接入功能的XC改造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防汛短信发送通道备份</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实现防汛短信发送通道备份功能的XC改造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备份监控</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实现备份监控功能的XC改造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防汛短信日志监控</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实现防汛短信日志监控功能的XC改造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系统管理</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实现系统管理功能的XC改造</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76</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r>
              <w:rPr>
                <w:rFonts w:hint="eastAsia" w:cs="宋体"/>
                <w:color w:val="000000"/>
                <w:kern w:val="0"/>
                <w:sz w:val="22"/>
                <w:szCs w:val="22"/>
              </w:rPr>
              <w:t>防汛通讯录模块升级改造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填报分入口配置</w:t>
            </w:r>
          </w:p>
        </w:tc>
        <w:tc>
          <w:tcPr>
            <w:tcW w:w="237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left"/>
              <w:rPr>
                <w:rFonts w:hint="eastAsia" w:cs="宋体"/>
                <w:color w:val="000000"/>
                <w:kern w:val="0"/>
                <w:sz w:val="22"/>
                <w:szCs w:val="22"/>
              </w:rPr>
            </w:pPr>
            <w:r>
              <w:rPr>
                <w:rFonts w:hint="eastAsia" w:cs="宋体"/>
                <w:color w:val="000000"/>
                <w:kern w:val="0"/>
                <w:sz w:val="22"/>
                <w:szCs w:val="22"/>
              </w:rPr>
              <w:t>实现对市防汛办每年更新的防汛值班通讯录、防汛工作联络网，以及新增整合短信传真通讯录。支持各类通讯录的信息的录入、删除、更新、查询等功能。开发防汛通讯录数据接口，为各应用赋能。</w:t>
            </w: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单位通讯录填报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人员通讯录填报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79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通讯录标签管理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通讯录分组管理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81</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防汛通讯录综合查询</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防汛通讯录多维统计</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第三方数据对接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防汛通讯录轻应用开发</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防汛通讯录数据接口开发</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86</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防汛值班管理模块升级改造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防汛值班报送</w:t>
            </w:r>
          </w:p>
        </w:tc>
        <w:tc>
          <w:tcPr>
            <w:tcW w:w="237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支持对各级防办人员和成员单位的值班信息管理的功能，同时提供防汛值班签到及统计等功能。</w:t>
            </w: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防汛值班签到</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12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防汛值班统计</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89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值班考核管理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值班权限管理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91</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值班数据接口开发</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92</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防汛响应发布模块升级改造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发布内容编辑发布</w:t>
            </w:r>
          </w:p>
        </w:tc>
        <w:tc>
          <w:tcPr>
            <w:tcW w:w="237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实现市区两级防汛防台应急响应信息的发布和管理。针对区级发布防汛应急响应提供移动版入口，并将响应信息实时更新。</w:t>
            </w: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信息安全检查过滤提醒</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分区响应管理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防汛响应查询</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96</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模拟响应管理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响应权限管理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与其他模块对接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99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响应数据接口开发</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移动端信息发布</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101</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灾处信息管理模块升级改造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组织机构管理</w:t>
            </w:r>
          </w:p>
        </w:tc>
        <w:tc>
          <w:tcPr>
            <w:tcW w:w="237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支持按照初续报、终报两个阶段，通过统一入口直报各类灾情，包括数字、文字、照片等信息。通过数据分析、数据可视化等信息化技术手段，全面掌控灾情运行状况；对上海市灾情进行评估，及时掌握灾情情况。</w:t>
            </w: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多入口融合</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灾处收集阶段管理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灾情直报表单上报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灾情数据审核管理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106</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灾情数据可视化</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用户身份标识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灾情埴报统计</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0"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109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自定义消息通知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指标知识库查询</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111</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数据对接和共享</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112</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防汛防台场景大屏版升级改造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汛情监测模块升级</w:t>
            </w:r>
          </w:p>
        </w:tc>
        <w:tc>
          <w:tcPr>
            <w:tcW w:w="237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新增和升级了汛情监测、监督管理、防御准备、灾情直报、重点关注、地图等多个模块，从而形成了防汛防台场景（大屏端）的工作版和决策版，通过丰富数据来源、界面升级、数据展示优化、功能新增等方面，提高了监测效率和信息的实时性，增强了防汛防台的决策支持能力。</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监督管理模块升级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防御准备模块升级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灾情直报模块升级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116</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重点关注模块升级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地图模块升级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工作版和决策版开发</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119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第三方数据对接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120</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大屏端后台管理</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121</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海洋管理专题大屏升级改造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海洋安全保障升级</w:t>
            </w:r>
          </w:p>
        </w:tc>
        <w:tc>
          <w:tcPr>
            <w:tcW w:w="237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海洋管理专题大屏升级改造包括升级海洋安全保障、海洋生态保护、海洋综合监管、海洋经济运行、海洋资源开发、海洋智图模块升级、第三方数据对接等。丰富数据内容，强化展示效果。</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海洋生态保护升级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海洋综合监管升级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海洋经济运行升级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125</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海洋资源开发升级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126</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海洋智图升级</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127</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新增辅助决策</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128</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海洋指标综合展示</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129</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第三方数据对接</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130</w:t>
            </w:r>
          </w:p>
        </w:tc>
        <w:tc>
          <w:tcPr>
            <w:tcW w:w="639" w:type="pct"/>
            <w:vMerge w:val="restart"/>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水务行业安全生产动态监管模块升级改造</w:t>
            </w: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完善建设施工领域安全动态监管数据解析和分析</w:t>
            </w:r>
          </w:p>
        </w:tc>
        <w:tc>
          <w:tcPr>
            <w:tcW w:w="2379" w:type="pct"/>
            <w:vMerge w:val="restart"/>
            <w:tcBorders>
              <w:top w:val="nil"/>
              <w:left w:val="single" w:color="auto" w:sz="8" w:space="0"/>
              <w:bottom w:val="single" w:color="000000"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水务行业安全生产动态监管模块升级改造包括完善建设施工领域安全动态监管数据解析和分析、新增或优化与堤防中心、供水中心、排水中心和水利中心分别对接运管安全数据、安全动态监管、水闸泵闸风险分级计算等数据内容，丰富数据内容，强化展示效果。</w:t>
            </w: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131</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实现与市堤防中心运管安全数据对接和优化</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132</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新增对接市水利中心的安全动态监管业务支持模块</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133</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开发市水利中心的水闸泵闸风险分级计算模块</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134</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新增对接市供水中心的安全动态监管业务支持模块</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1"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135</w:t>
            </w:r>
            <w:r>
              <w:rPr>
                <w:rFonts w:ascii="Times New Roman" w:hAnsi="Times New Roman"/>
                <w:color w:val="000000"/>
                <w:kern w:val="0"/>
                <w:sz w:val="21"/>
                <w:szCs w:val="21"/>
              </w:rPr>
              <w:t> </w:t>
            </w:r>
          </w:p>
        </w:tc>
        <w:tc>
          <w:tcPr>
            <w:tcW w:w="639" w:type="pct"/>
            <w:vMerge w:val="continue"/>
            <w:tcBorders>
              <w:top w:val="nil"/>
              <w:left w:val="single" w:color="auto" w:sz="8" w:space="0"/>
              <w:bottom w:val="single" w:color="000000"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p>
        </w:tc>
        <w:tc>
          <w:tcPr>
            <w:tcW w:w="161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新增对接市排水中心的安全动态监管模块</w:t>
            </w:r>
          </w:p>
        </w:tc>
        <w:tc>
          <w:tcPr>
            <w:tcW w:w="2379"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hint="eastAsia" w:cs="宋体"/>
                <w:color w:val="000000"/>
                <w:kern w:val="0"/>
                <w:sz w:val="22"/>
                <w:szCs w:val="22"/>
              </w:rPr>
            </w:pPr>
          </w:p>
        </w:tc>
      </w:tr>
      <w:tr>
        <w:tblPrEx>
          <w:tblCellMar>
            <w:top w:w="0" w:type="dxa"/>
            <w:left w:w="108" w:type="dxa"/>
            <w:bottom w:w="0" w:type="dxa"/>
            <w:right w:w="108" w:type="dxa"/>
          </w:tblCellMar>
        </w:tblPrEx>
        <w:trPr>
          <w:trHeight w:val="962" w:hRule="atLeast"/>
        </w:trPr>
        <w:tc>
          <w:tcPr>
            <w:tcW w:w="365" w:type="pct"/>
            <w:tcBorders>
              <w:top w:val="nil"/>
              <w:left w:val="single" w:color="auto" w:sz="8" w:space="0"/>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136</w:t>
            </w:r>
          </w:p>
        </w:tc>
        <w:tc>
          <w:tcPr>
            <w:tcW w:w="639" w:type="pct"/>
            <w:tcBorders>
              <w:top w:val="nil"/>
              <w:left w:val="nil"/>
              <w:bottom w:val="single" w:color="auto" w:sz="8" w:space="0"/>
              <w:right w:val="single" w:color="auto" w:sz="8" w:space="0"/>
            </w:tcBorders>
            <w:shd w:val="clear" w:color="auto" w:fill="FFFFFF" w:themeFill="background1"/>
            <w:vAlign w:val="center"/>
          </w:tcPr>
          <w:p>
            <w:pPr>
              <w:widowControl/>
              <w:spacing w:line="240" w:lineRule="auto"/>
              <w:ind w:firstLine="0" w:firstLineChars="0"/>
              <w:jc w:val="left"/>
              <w:rPr>
                <w:rFonts w:hint="eastAsia" w:cs="宋体"/>
                <w:color w:val="000000"/>
                <w:kern w:val="0"/>
                <w:sz w:val="22"/>
                <w:szCs w:val="22"/>
              </w:rPr>
            </w:pPr>
            <w:r>
              <w:rPr>
                <w:rFonts w:hint="eastAsia" w:cs="宋体"/>
                <w:color w:val="000000"/>
                <w:kern w:val="0"/>
                <w:sz w:val="22"/>
                <w:szCs w:val="22"/>
              </w:rPr>
              <w:t>密码改造</w:t>
            </w:r>
          </w:p>
        </w:tc>
        <w:tc>
          <w:tcPr>
            <w:tcW w:w="1615" w:type="pct"/>
            <w:tcBorders>
              <w:top w:val="nil"/>
              <w:left w:val="nil"/>
              <w:bottom w:val="single" w:color="auto" w:sz="8" w:space="0"/>
              <w:right w:val="single" w:color="auto" w:sz="8" w:space="0"/>
            </w:tcBorders>
            <w:shd w:val="clear" w:color="auto" w:fill="FFFFFF" w:themeFill="background1"/>
            <w:noWrap/>
            <w:vAlign w:val="center"/>
          </w:tcPr>
          <w:p>
            <w:pPr>
              <w:widowControl/>
              <w:spacing w:line="240" w:lineRule="auto"/>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密码改造</w:t>
            </w:r>
          </w:p>
        </w:tc>
        <w:tc>
          <w:tcPr>
            <w:tcW w:w="2379"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hint="eastAsia" w:cs="宋体"/>
                <w:color w:val="000000"/>
                <w:kern w:val="0"/>
                <w:sz w:val="22"/>
                <w:szCs w:val="22"/>
              </w:rPr>
            </w:pPr>
            <w:r>
              <w:rPr>
                <w:rFonts w:hint="eastAsia" w:cs="宋体"/>
                <w:color w:val="000000"/>
                <w:kern w:val="0"/>
                <w:sz w:val="22"/>
                <w:szCs w:val="22"/>
              </w:rPr>
              <w:t>用户身份认证机制模块、业务重要数据安全传输模块、服务器虚拟机设备日志/访问控制信息完整性模块、重要可执行程序签名验签模块、用户访问控制信息签名验签模块、应用系统重要数据加解密模块、应用系统重要数据签名验签模块接口对接</w:t>
            </w:r>
          </w:p>
        </w:tc>
      </w:tr>
    </w:tbl>
    <w:p>
      <w:pPr>
        <w:widowControl/>
        <w:snapToGrid w:val="0"/>
        <w:spacing w:line="440" w:lineRule="exact"/>
        <w:ind w:firstLine="0" w:firstLineChars="0"/>
        <w:jc w:val="left"/>
        <w:rPr>
          <w:rFonts w:hint="eastAsia"/>
          <w:b/>
        </w:rPr>
      </w:pPr>
    </w:p>
    <w:p>
      <w:pPr>
        <w:pStyle w:val="2"/>
        <w:rPr>
          <w:rFonts w:hint="eastAsia"/>
        </w:rPr>
      </w:pPr>
      <w:bookmarkStart w:id="25" w:name="_Toc63785502"/>
      <w:r>
        <w:rPr>
          <w:rFonts w:hint="eastAsia"/>
        </w:rPr>
        <w:t>电子政务云资源需求</w:t>
      </w:r>
      <w:bookmarkEnd w:id="25"/>
    </w:p>
    <w:p>
      <w:pPr>
        <w:rPr>
          <w:rFonts w:hint="eastAsia"/>
        </w:rPr>
      </w:pPr>
      <w:r>
        <w:rPr>
          <w:rFonts w:hint="eastAsia"/>
        </w:rPr>
        <w:t>根据项目前期资源现状，本次建设根据估算拟向电子政务云申请10台虚拟机，服务器资源CPU112核、内存448G、存储3</w:t>
      </w:r>
      <w:r>
        <w:t>.</w:t>
      </w:r>
      <w:r>
        <w:rPr>
          <w:rFonts w:hint="eastAsia"/>
        </w:rPr>
        <w:t>7T。</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493"/>
        <w:gridCol w:w="1664"/>
        <w:gridCol w:w="1065"/>
        <w:gridCol w:w="471"/>
        <w:gridCol w:w="1067"/>
        <w:gridCol w:w="106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pPr>
              <w:ind w:firstLine="0" w:firstLineChars="0"/>
              <w:rPr>
                <w:rFonts w:hint="eastAsia"/>
                <w:sz w:val="22"/>
                <w:szCs w:val="22"/>
              </w:rPr>
            </w:pPr>
            <w:r>
              <w:rPr>
                <w:rFonts w:hint="eastAsia" w:asciiTheme="minorEastAsia" w:hAnsiTheme="minorEastAsia"/>
                <w:b/>
                <w:bCs/>
                <w:sz w:val="22"/>
                <w:szCs w:val="22"/>
              </w:rPr>
              <w:t>序号</w:t>
            </w:r>
          </w:p>
        </w:tc>
        <w:tc>
          <w:tcPr>
            <w:tcW w:w="875" w:type="pct"/>
            <w:vAlign w:val="center"/>
          </w:tcPr>
          <w:p>
            <w:pPr>
              <w:ind w:firstLine="0" w:firstLineChars="0"/>
              <w:rPr>
                <w:rFonts w:hint="eastAsia"/>
                <w:sz w:val="22"/>
                <w:szCs w:val="22"/>
              </w:rPr>
            </w:pPr>
            <w:r>
              <w:rPr>
                <w:rFonts w:hint="eastAsia" w:asciiTheme="minorEastAsia" w:hAnsiTheme="minorEastAsia"/>
                <w:b/>
                <w:bCs/>
                <w:sz w:val="22"/>
                <w:szCs w:val="22"/>
              </w:rPr>
              <w:t>网络区域</w:t>
            </w:r>
          </w:p>
        </w:tc>
        <w:tc>
          <w:tcPr>
            <w:tcW w:w="975" w:type="pct"/>
            <w:vAlign w:val="center"/>
          </w:tcPr>
          <w:p>
            <w:pPr>
              <w:ind w:firstLine="0" w:firstLineChars="0"/>
              <w:rPr>
                <w:rFonts w:hint="eastAsia"/>
                <w:sz w:val="22"/>
                <w:szCs w:val="22"/>
              </w:rPr>
            </w:pPr>
            <w:r>
              <w:rPr>
                <w:rFonts w:hint="eastAsia" w:asciiTheme="minorEastAsia" w:hAnsiTheme="minorEastAsia"/>
                <w:b/>
                <w:bCs/>
                <w:sz w:val="22"/>
                <w:szCs w:val="22"/>
              </w:rPr>
              <w:t>名称</w:t>
            </w:r>
          </w:p>
        </w:tc>
        <w:tc>
          <w:tcPr>
            <w:tcW w:w="624" w:type="pct"/>
            <w:vAlign w:val="center"/>
          </w:tcPr>
          <w:p>
            <w:pPr>
              <w:ind w:firstLine="0" w:firstLineChars="0"/>
              <w:rPr>
                <w:rFonts w:hint="eastAsia"/>
                <w:sz w:val="22"/>
                <w:szCs w:val="22"/>
              </w:rPr>
            </w:pPr>
            <w:r>
              <w:rPr>
                <w:rFonts w:hint="eastAsia" w:asciiTheme="minorEastAsia" w:hAnsiTheme="minorEastAsia"/>
                <w:b/>
                <w:bCs/>
                <w:sz w:val="22"/>
                <w:szCs w:val="22"/>
              </w:rPr>
              <w:t>类型</w:t>
            </w:r>
          </w:p>
        </w:tc>
        <w:tc>
          <w:tcPr>
            <w:tcW w:w="276" w:type="pct"/>
            <w:vAlign w:val="center"/>
          </w:tcPr>
          <w:p>
            <w:pPr>
              <w:ind w:firstLine="0" w:firstLineChars="0"/>
              <w:rPr>
                <w:rFonts w:hint="eastAsia"/>
                <w:sz w:val="22"/>
                <w:szCs w:val="22"/>
              </w:rPr>
            </w:pPr>
            <w:r>
              <w:rPr>
                <w:rFonts w:hint="eastAsia" w:asciiTheme="minorEastAsia" w:hAnsiTheme="minorEastAsia"/>
                <w:b/>
                <w:bCs/>
                <w:sz w:val="22"/>
                <w:szCs w:val="22"/>
              </w:rPr>
              <w:t>数量</w:t>
            </w:r>
          </w:p>
        </w:tc>
        <w:tc>
          <w:tcPr>
            <w:tcW w:w="625" w:type="pct"/>
            <w:vAlign w:val="center"/>
          </w:tcPr>
          <w:p>
            <w:pPr>
              <w:ind w:firstLine="0" w:firstLineChars="0"/>
              <w:rPr>
                <w:rFonts w:hint="eastAsia"/>
                <w:sz w:val="22"/>
                <w:szCs w:val="22"/>
              </w:rPr>
            </w:pPr>
            <w:r>
              <w:rPr>
                <w:rFonts w:hint="eastAsia" w:asciiTheme="minorEastAsia" w:hAnsiTheme="minorEastAsia"/>
                <w:b/>
                <w:bCs/>
                <w:sz w:val="22"/>
                <w:szCs w:val="22"/>
              </w:rPr>
              <w:t>CPU（核）</w:t>
            </w:r>
          </w:p>
        </w:tc>
        <w:tc>
          <w:tcPr>
            <w:tcW w:w="625" w:type="pct"/>
            <w:vAlign w:val="center"/>
          </w:tcPr>
          <w:p>
            <w:pPr>
              <w:ind w:firstLine="0" w:firstLineChars="0"/>
              <w:rPr>
                <w:rFonts w:hint="eastAsia"/>
                <w:sz w:val="22"/>
                <w:szCs w:val="22"/>
              </w:rPr>
            </w:pPr>
            <w:r>
              <w:rPr>
                <w:rFonts w:hint="eastAsia" w:asciiTheme="minorEastAsia" w:hAnsiTheme="minorEastAsia"/>
                <w:b/>
                <w:bCs/>
                <w:sz w:val="22"/>
                <w:szCs w:val="22"/>
              </w:rPr>
              <w:t>内存（GB）</w:t>
            </w:r>
          </w:p>
        </w:tc>
        <w:tc>
          <w:tcPr>
            <w:tcW w:w="626" w:type="pct"/>
            <w:vAlign w:val="center"/>
          </w:tcPr>
          <w:p>
            <w:pPr>
              <w:ind w:firstLine="0" w:firstLineChars="0"/>
              <w:rPr>
                <w:rFonts w:hint="eastAsia"/>
                <w:sz w:val="22"/>
                <w:szCs w:val="22"/>
              </w:rPr>
            </w:pPr>
            <w:r>
              <w:rPr>
                <w:rFonts w:hint="eastAsia" w:asciiTheme="minorEastAsia" w:hAnsiTheme="minorEastAsia"/>
                <w:b/>
                <w:bCs/>
                <w:sz w:val="22"/>
                <w:szCs w:val="22"/>
              </w:rPr>
              <w:t>存储（GB）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pPr>
              <w:ind w:firstLine="0" w:firstLineChars="0"/>
              <w:rPr>
                <w:rFonts w:hint="eastAsia"/>
                <w:sz w:val="22"/>
                <w:szCs w:val="22"/>
              </w:rPr>
            </w:pPr>
            <w:r>
              <w:rPr>
                <w:rFonts w:hint="eastAsia"/>
                <w:sz w:val="22"/>
                <w:szCs w:val="22"/>
              </w:rPr>
              <w:t>1</w:t>
            </w:r>
          </w:p>
        </w:tc>
        <w:tc>
          <w:tcPr>
            <w:tcW w:w="875" w:type="pct"/>
            <w:vAlign w:val="center"/>
          </w:tcPr>
          <w:p>
            <w:pPr>
              <w:ind w:firstLine="0" w:firstLineChars="0"/>
              <w:rPr>
                <w:rFonts w:hint="eastAsia"/>
                <w:sz w:val="22"/>
                <w:szCs w:val="22"/>
              </w:rPr>
            </w:pPr>
            <w:r>
              <w:rPr>
                <w:rFonts w:hint="eastAsia"/>
                <w:sz w:val="22"/>
                <w:szCs w:val="22"/>
              </w:rPr>
              <w:t>政务外网</w:t>
            </w:r>
          </w:p>
        </w:tc>
        <w:tc>
          <w:tcPr>
            <w:tcW w:w="975" w:type="pct"/>
            <w:vAlign w:val="center"/>
          </w:tcPr>
          <w:p>
            <w:pPr>
              <w:ind w:firstLine="0" w:firstLineChars="0"/>
              <w:rPr>
                <w:rFonts w:hint="eastAsia"/>
                <w:sz w:val="22"/>
                <w:szCs w:val="22"/>
              </w:rPr>
            </w:pPr>
            <w:r>
              <w:rPr>
                <w:rFonts w:hint="eastAsia"/>
                <w:sz w:val="22"/>
                <w:szCs w:val="22"/>
              </w:rPr>
              <w:t>数据库服务器</w:t>
            </w:r>
          </w:p>
        </w:tc>
        <w:tc>
          <w:tcPr>
            <w:tcW w:w="624" w:type="pct"/>
            <w:vAlign w:val="center"/>
          </w:tcPr>
          <w:p>
            <w:pPr>
              <w:ind w:firstLine="0" w:firstLineChars="0"/>
              <w:rPr>
                <w:rFonts w:hint="eastAsia"/>
                <w:sz w:val="22"/>
                <w:szCs w:val="22"/>
              </w:rPr>
            </w:pPr>
            <w:r>
              <w:rPr>
                <w:rFonts w:hint="eastAsia"/>
                <w:sz w:val="22"/>
                <w:szCs w:val="22"/>
              </w:rPr>
              <w:t>虚拟机</w:t>
            </w:r>
          </w:p>
        </w:tc>
        <w:tc>
          <w:tcPr>
            <w:tcW w:w="276" w:type="pct"/>
            <w:vAlign w:val="center"/>
          </w:tcPr>
          <w:p>
            <w:pPr>
              <w:ind w:firstLine="0" w:firstLineChars="0"/>
              <w:rPr>
                <w:rFonts w:hint="eastAsia"/>
                <w:sz w:val="22"/>
                <w:szCs w:val="22"/>
              </w:rPr>
            </w:pPr>
            <w:r>
              <w:rPr>
                <w:rFonts w:hint="eastAsia"/>
                <w:sz w:val="22"/>
                <w:szCs w:val="22"/>
              </w:rPr>
              <w:t>2</w:t>
            </w:r>
          </w:p>
        </w:tc>
        <w:tc>
          <w:tcPr>
            <w:tcW w:w="625" w:type="pct"/>
            <w:vAlign w:val="center"/>
          </w:tcPr>
          <w:p>
            <w:pPr>
              <w:ind w:firstLine="0" w:firstLineChars="0"/>
              <w:rPr>
                <w:rFonts w:hint="eastAsia"/>
                <w:sz w:val="22"/>
                <w:szCs w:val="22"/>
              </w:rPr>
            </w:pPr>
            <w:r>
              <w:rPr>
                <w:rFonts w:hint="eastAsia"/>
                <w:sz w:val="22"/>
                <w:szCs w:val="22"/>
              </w:rPr>
              <w:t>16</w:t>
            </w:r>
          </w:p>
        </w:tc>
        <w:tc>
          <w:tcPr>
            <w:tcW w:w="625" w:type="pct"/>
            <w:vAlign w:val="center"/>
          </w:tcPr>
          <w:p>
            <w:pPr>
              <w:ind w:firstLine="0" w:firstLineChars="0"/>
              <w:rPr>
                <w:rFonts w:hint="eastAsia"/>
                <w:sz w:val="22"/>
                <w:szCs w:val="22"/>
              </w:rPr>
            </w:pPr>
            <w:r>
              <w:rPr>
                <w:rFonts w:hint="eastAsia"/>
                <w:sz w:val="22"/>
                <w:szCs w:val="22"/>
              </w:rPr>
              <w:t>64</w:t>
            </w:r>
          </w:p>
        </w:tc>
        <w:tc>
          <w:tcPr>
            <w:tcW w:w="626" w:type="pct"/>
            <w:vAlign w:val="center"/>
          </w:tcPr>
          <w:p>
            <w:pPr>
              <w:ind w:firstLine="0" w:firstLineChars="0"/>
              <w:rPr>
                <w:rFonts w:hint="eastAsia"/>
                <w:sz w:val="22"/>
                <w:szCs w:val="22"/>
              </w:rPr>
            </w:pPr>
            <w:r>
              <w:rPr>
                <w:rFonts w:hint="eastAsia"/>
                <w:sz w:val="22"/>
                <w:szCs w:val="22"/>
              </w:rPr>
              <w:t>4</w:t>
            </w:r>
            <w:r>
              <w:rPr>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pPr>
              <w:ind w:firstLine="0" w:firstLineChars="0"/>
              <w:rPr>
                <w:rFonts w:hint="eastAsia"/>
                <w:sz w:val="22"/>
                <w:szCs w:val="22"/>
              </w:rPr>
            </w:pPr>
            <w:r>
              <w:rPr>
                <w:rFonts w:hint="eastAsia"/>
                <w:sz w:val="22"/>
                <w:szCs w:val="22"/>
              </w:rPr>
              <w:t>2</w:t>
            </w:r>
          </w:p>
        </w:tc>
        <w:tc>
          <w:tcPr>
            <w:tcW w:w="875" w:type="pct"/>
            <w:vAlign w:val="center"/>
          </w:tcPr>
          <w:p>
            <w:pPr>
              <w:ind w:firstLine="0" w:firstLineChars="0"/>
              <w:rPr>
                <w:rFonts w:hint="eastAsia"/>
                <w:sz w:val="22"/>
                <w:szCs w:val="22"/>
              </w:rPr>
            </w:pPr>
            <w:r>
              <w:rPr>
                <w:rFonts w:hint="eastAsia"/>
                <w:sz w:val="22"/>
                <w:szCs w:val="22"/>
              </w:rPr>
              <w:t>政务外网</w:t>
            </w:r>
          </w:p>
        </w:tc>
        <w:tc>
          <w:tcPr>
            <w:tcW w:w="975" w:type="pct"/>
            <w:vAlign w:val="center"/>
          </w:tcPr>
          <w:p>
            <w:pPr>
              <w:ind w:firstLine="0" w:firstLineChars="0"/>
              <w:rPr>
                <w:rFonts w:hint="eastAsia"/>
                <w:sz w:val="22"/>
                <w:szCs w:val="22"/>
              </w:rPr>
            </w:pPr>
            <w:r>
              <w:rPr>
                <w:rFonts w:hint="eastAsia"/>
                <w:sz w:val="22"/>
                <w:szCs w:val="22"/>
              </w:rPr>
              <w:t>应用服务器</w:t>
            </w:r>
          </w:p>
        </w:tc>
        <w:tc>
          <w:tcPr>
            <w:tcW w:w="624" w:type="pct"/>
            <w:vAlign w:val="center"/>
          </w:tcPr>
          <w:p>
            <w:pPr>
              <w:ind w:firstLine="0" w:firstLineChars="0"/>
              <w:rPr>
                <w:rFonts w:hint="eastAsia"/>
                <w:sz w:val="22"/>
                <w:szCs w:val="22"/>
              </w:rPr>
            </w:pPr>
            <w:r>
              <w:rPr>
                <w:rFonts w:hint="eastAsia"/>
                <w:sz w:val="22"/>
                <w:szCs w:val="22"/>
              </w:rPr>
              <w:t>虚拟机</w:t>
            </w:r>
          </w:p>
        </w:tc>
        <w:tc>
          <w:tcPr>
            <w:tcW w:w="276" w:type="pct"/>
            <w:vAlign w:val="center"/>
          </w:tcPr>
          <w:p>
            <w:pPr>
              <w:ind w:firstLine="0" w:firstLineChars="0"/>
              <w:rPr>
                <w:rFonts w:hint="eastAsia"/>
                <w:sz w:val="22"/>
                <w:szCs w:val="22"/>
              </w:rPr>
            </w:pPr>
            <w:r>
              <w:rPr>
                <w:rFonts w:hint="eastAsia"/>
                <w:sz w:val="22"/>
                <w:szCs w:val="22"/>
              </w:rPr>
              <w:t>4</w:t>
            </w:r>
          </w:p>
        </w:tc>
        <w:tc>
          <w:tcPr>
            <w:tcW w:w="625" w:type="pct"/>
            <w:vAlign w:val="center"/>
          </w:tcPr>
          <w:p>
            <w:pPr>
              <w:ind w:firstLine="0" w:firstLineChars="0"/>
              <w:rPr>
                <w:rFonts w:hint="eastAsia"/>
                <w:sz w:val="22"/>
                <w:szCs w:val="22"/>
              </w:rPr>
            </w:pPr>
            <w:r>
              <w:rPr>
                <w:rFonts w:hint="eastAsia"/>
                <w:sz w:val="22"/>
                <w:szCs w:val="22"/>
              </w:rPr>
              <w:t>8</w:t>
            </w:r>
          </w:p>
        </w:tc>
        <w:tc>
          <w:tcPr>
            <w:tcW w:w="625" w:type="pct"/>
            <w:vAlign w:val="center"/>
          </w:tcPr>
          <w:p>
            <w:pPr>
              <w:ind w:firstLine="0" w:firstLineChars="0"/>
              <w:rPr>
                <w:rFonts w:hint="eastAsia"/>
                <w:sz w:val="22"/>
                <w:szCs w:val="22"/>
              </w:rPr>
            </w:pPr>
            <w:r>
              <w:rPr>
                <w:rFonts w:hint="eastAsia"/>
                <w:sz w:val="22"/>
                <w:szCs w:val="22"/>
              </w:rPr>
              <w:t>32</w:t>
            </w:r>
          </w:p>
        </w:tc>
        <w:tc>
          <w:tcPr>
            <w:tcW w:w="626" w:type="pct"/>
            <w:vAlign w:val="center"/>
          </w:tcPr>
          <w:p>
            <w:pPr>
              <w:ind w:firstLine="0" w:firstLineChars="0"/>
              <w:rPr>
                <w:rFonts w:hint="eastAsia"/>
                <w:sz w:val="22"/>
                <w:szCs w:val="22"/>
              </w:rPr>
            </w:pPr>
            <w:r>
              <w:rPr>
                <w:rFonts w:hint="eastAsia"/>
                <w:sz w:val="22"/>
                <w:szCs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1" w:type="pct"/>
            <w:vAlign w:val="center"/>
          </w:tcPr>
          <w:p>
            <w:pPr>
              <w:ind w:firstLine="0" w:firstLineChars="0"/>
              <w:rPr>
                <w:rFonts w:hint="eastAsia"/>
                <w:sz w:val="22"/>
                <w:szCs w:val="22"/>
              </w:rPr>
            </w:pPr>
            <w:r>
              <w:rPr>
                <w:rFonts w:hint="eastAsia"/>
                <w:sz w:val="22"/>
                <w:szCs w:val="22"/>
              </w:rPr>
              <w:t>3</w:t>
            </w:r>
          </w:p>
        </w:tc>
        <w:tc>
          <w:tcPr>
            <w:tcW w:w="875" w:type="pct"/>
            <w:vAlign w:val="center"/>
          </w:tcPr>
          <w:p>
            <w:pPr>
              <w:ind w:firstLine="0" w:firstLineChars="0"/>
              <w:rPr>
                <w:rFonts w:hint="eastAsia"/>
                <w:sz w:val="22"/>
                <w:szCs w:val="22"/>
              </w:rPr>
            </w:pPr>
            <w:r>
              <w:rPr>
                <w:rFonts w:hint="eastAsia"/>
                <w:sz w:val="22"/>
                <w:szCs w:val="22"/>
              </w:rPr>
              <w:t>互联网</w:t>
            </w:r>
          </w:p>
        </w:tc>
        <w:tc>
          <w:tcPr>
            <w:tcW w:w="975" w:type="pct"/>
            <w:vAlign w:val="center"/>
          </w:tcPr>
          <w:p>
            <w:pPr>
              <w:ind w:firstLine="0" w:firstLineChars="0"/>
              <w:rPr>
                <w:rFonts w:hint="eastAsia"/>
                <w:sz w:val="22"/>
                <w:szCs w:val="22"/>
              </w:rPr>
            </w:pPr>
            <w:r>
              <w:rPr>
                <w:rFonts w:hint="eastAsia"/>
                <w:sz w:val="22"/>
                <w:szCs w:val="22"/>
              </w:rPr>
              <w:t>应用服务器</w:t>
            </w:r>
          </w:p>
        </w:tc>
        <w:tc>
          <w:tcPr>
            <w:tcW w:w="624" w:type="pct"/>
          </w:tcPr>
          <w:p>
            <w:pPr>
              <w:ind w:firstLine="0" w:firstLineChars="0"/>
              <w:rPr>
                <w:rFonts w:hint="eastAsia"/>
                <w:sz w:val="22"/>
                <w:szCs w:val="22"/>
              </w:rPr>
            </w:pPr>
            <w:r>
              <w:rPr>
                <w:rFonts w:hint="eastAsia"/>
                <w:sz w:val="22"/>
                <w:szCs w:val="22"/>
              </w:rPr>
              <w:t>虚拟机</w:t>
            </w:r>
          </w:p>
        </w:tc>
        <w:tc>
          <w:tcPr>
            <w:tcW w:w="276" w:type="pct"/>
            <w:vAlign w:val="center"/>
          </w:tcPr>
          <w:p>
            <w:pPr>
              <w:ind w:firstLine="0" w:firstLineChars="0"/>
              <w:rPr>
                <w:rFonts w:hint="eastAsia"/>
                <w:sz w:val="22"/>
                <w:szCs w:val="22"/>
              </w:rPr>
            </w:pPr>
            <w:r>
              <w:rPr>
                <w:rFonts w:hint="eastAsia"/>
                <w:sz w:val="22"/>
                <w:szCs w:val="22"/>
              </w:rPr>
              <w:t>2</w:t>
            </w:r>
          </w:p>
        </w:tc>
        <w:tc>
          <w:tcPr>
            <w:tcW w:w="625" w:type="pct"/>
            <w:vAlign w:val="center"/>
          </w:tcPr>
          <w:p>
            <w:pPr>
              <w:ind w:firstLine="0" w:firstLineChars="0"/>
              <w:rPr>
                <w:rFonts w:hint="eastAsia"/>
                <w:sz w:val="22"/>
                <w:szCs w:val="22"/>
              </w:rPr>
            </w:pPr>
            <w:r>
              <w:rPr>
                <w:rFonts w:hint="eastAsia"/>
                <w:sz w:val="22"/>
                <w:szCs w:val="22"/>
              </w:rPr>
              <w:t>8</w:t>
            </w:r>
          </w:p>
        </w:tc>
        <w:tc>
          <w:tcPr>
            <w:tcW w:w="625" w:type="pct"/>
            <w:vAlign w:val="center"/>
          </w:tcPr>
          <w:p>
            <w:pPr>
              <w:ind w:firstLine="0" w:firstLineChars="0"/>
              <w:rPr>
                <w:rFonts w:hint="eastAsia"/>
                <w:sz w:val="22"/>
                <w:szCs w:val="22"/>
              </w:rPr>
            </w:pPr>
            <w:r>
              <w:rPr>
                <w:rFonts w:hint="eastAsia"/>
                <w:sz w:val="22"/>
                <w:szCs w:val="22"/>
              </w:rPr>
              <w:t>32</w:t>
            </w:r>
          </w:p>
        </w:tc>
        <w:tc>
          <w:tcPr>
            <w:tcW w:w="626" w:type="pct"/>
            <w:vAlign w:val="center"/>
          </w:tcPr>
          <w:p>
            <w:pPr>
              <w:ind w:firstLine="0" w:firstLineChars="0"/>
              <w:rPr>
                <w:rFonts w:hint="eastAsia"/>
                <w:sz w:val="22"/>
                <w:szCs w:val="22"/>
              </w:rPr>
            </w:pPr>
            <w:r>
              <w:rPr>
                <w:rFonts w:hint="eastAsia"/>
                <w:sz w:val="22"/>
                <w:szCs w:val="22"/>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pPr>
              <w:ind w:firstLine="0" w:firstLineChars="0"/>
              <w:rPr>
                <w:rFonts w:hint="eastAsia"/>
                <w:sz w:val="22"/>
                <w:szCs w:val="22"/>
              </w:rPr>
            </w:pPr>
            <w:r>
              <w:rPr>
                <w:rFonts w:hint="eastAsia"/>
                <w:sz w:val="22"/>
                <w:szCs w:val="22"/>
              </w:rPr>
              <w:t>4</w:t>
            </w:r>
          </w:p>
        </w:tc>
        <w:tc>
          <w:tcPr>
            <w:tcW w:w="875" w:type="pct"/>
            <w:vAlign w:val="center"/>
          </w:tcPr>
          <w:p>
            <w:pPr>
              <w:ind w:firstLine="0" w:firstLineChars="0"/>
              <w:rPr>
                <w:rFonts w:hint="eastAsia"/>
                <w:sz w:val="22"/>
                <w:szCs w:val="22"/>
              </w:rPr>
            </w:pPr>
            <w:r>
              <w:rPr>
                <w:rFonts w:hint="eastAsia"/>
                <w:sz w:val="22"/>
                <w:szCs w:val="22"/>
              </w:rPr>
              <w:t>互联网</w:t>
            </w:r>
          </w:p>
        </w:tc>
        <w:tc>
          <w:tcPr>
            <w:tcW w:w="975" w:type="pct"/>
            <w:vAlign w:val="center"/>
          </w:tcPr>
          <w:p>
            <w:pPr>
              <w:ind w:firstLine="0" w:firstLineChars="0"/>
              <w:rPr>
                <w:rFonts w:hint="eastAsia"/>
                <w:sz w:val="22"/>
                <w:szCs w:val="22"/>
              </w:rPr>
            </w:pPr>
            <w:r>
              <w:rPr>
                <w:rFonts w:hint="eastAsia"/>
                <w:sz w:val="22"/>
                <w:szCs w:val="22"/>
              </w:rPr>
              <w:t>数据库服务器</w:t>
            </w:r>
          </w:p>
        </w:tc>
        <w:tc>
          <w:tcPr>
            <w:tcW w:w="624" w:type="pct"/>
          </w:tcPr>
          <w:p>
            <w:pPr>
              <w:ind w:firstLine="0" w:firstLineChars="0"/>
              <w:rPr>
                <w:rFonts w:hint="eastAsia"/>
                <w:sz w:val="22"/>
                <w:szCs w:val="22"/>
              </w:rPr>
            </w:pPr>
            <w:r>
              <w:rPr>
                <w:rFonts w:hint="eastAsia"/>
                <w:sz w:val="22"/>
                <w:szCs w:val="22"/>
              </w:rPr>
              <w:t>虚拟机</w:t>
            </w:r>
          </w:p>
        </w:tc>
        <w:tc>
          <w:tcPr>
            <w:tcW w:w="276" w:type="pct"/>
            <w:vAlign w:val="center"/>
          </w:tcPr>
          <w:p>
            <w:pPr>
              <w:ind w:firstLine="0" w:firstLineChars="0"/>
              <w:rPr>
                <w:rFonts w:hint="eastAsia"/>
                <w:sz w:val="22"/>
                <w:szCs w:val="22"/>
              </w:rPr>
            </w:pPr>
            <w:r>
              <w:rPr>
                <w:rFonts w:hint="eastAsia"/>
                <w:sz w:val="22"/>
                <w:szCs w:val="22"/>
              </w:rPr>
              <w:t>1</w:t>
            </w:r>
          </w:p>
        </w:tc>
        <w:tc>
          <w:tcPr>
            <w:tcW w:w="625" w:type="pct"/>
            <w:vAlign w:val="center"/>
          </w:tcPr>
          <w:p>
            <w:pPr>
              <w:ind w:firstLine="0" w:firstLineChars="0"/>
              <w:rPr>
                <w:rFonts w:hint="eastAsia"/>
                <w:sz w:val="22"/>
                <w:szCs w:val="22"/>
              </w:rPr>
            </w:pPr>
            <w:r>
              <w:rPr>
                <w:rFonts w:hint="eastAsia"/>
                <w:sz w:val="22"/>
                <w:szCs w:val="22"/>
              </w:rPr>
              <w:t>16</w:t>
            </w:r>
          </w:p>
        </w:tc>
        <w:tc>
          <w:tcPr>
            <w:tcW w:w="625" w:type="pct"/>
            <w:vAlign w:val="center"/>
          </w:tcPr>
          <w:p>
            <w:pPr>
              <w:ind w:firstLine="0" w:firstLineChars="0"/>
              <w:rPr>
                <w:rFonts w:hint="eastAsia"/>
                <w:sz w:val="22"/>
                <w:szCs w:val="22"/>
              </w:rPr>
            </w:pPr>
            <w:r>
              <w:rPr>
                <w:rFonts w:hint="eastAsia"/>
                <w:sz w:val="22"/>
                <w:szCs w:val="22"/>
              </w:rPr>
              <w:t>64</w:t>
            </w:r>
          </w:p>
        </w:tc>
        <w:tc>
          <w:tcPr>
            <w:tcW w:w="626" w:type="pct"/>
            <w:vAlign w:val="center"/>
          </w:tcPr>
          <w:p>
            <w:pPr>
              <w:ind w:firstLine="0" w:firstLineChars="0"/>
              <w:rPr>
                <w:rFonts w:hint="eastAsia"/>
                <w:sz w:val="22"/>
                <w:szCs w:val="22"/>
              </w:rPr>
            </w:pPr>
            <w:r>
              <w:rPr>
                <w:rFonts w:hint="eastAsia"/>
                <w:sz w:val="22"/>
                <w:szCs w:val="2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vAlign w:val="center"/>
          </w:tcPr>
          <w:p>
            <w:pPr>
              <w:ind w:firstLine="0" w:firstLineChars="0"/>
              <w:rPr>
                <w:rFonts w:hint="eastAsia"/>
                <w:sz w:val="22"/>
                <w:szCs w:val="22"/>
              </w:rPr>
            </w:pPr>
            <w:r>
              <w:rPr>
                <w:rFonts w:hint="eastAsia"/>
                <w:sz w:val="22"/>
                <w:szCs w:val="22"/>
              </w:rPr>
              <w:t>5</w:t>
            </w:r>
          </w:p>
        </w:tc>
        <w:tc>
          <w:tcPr>
            <w:tcW w:w="875" w:type="pct"/>
            <w:vAlign w:val="center"/>
          </w:tcPr>
          <w:p>
            <w:pPr>
              <w:ind w:firstLine="0" w:firstLineChars="0"/>
              <w:rPr>
                <w:rFonts w:hint="eastAsia"/>
                <w:sz w:val="22"/>
                <w:szCs w:val="22"/>
              </w:rPr>
            </w:pPr>
            <w:r>
              <w:rPr>
                <w:rFonts w:hint="eastAsia"/>
                <w:sz w:val="22"/>
                <w:szCs w:val="22"/>
              </w:rPr>
              <w:t>互联网</w:t>
            </w:r>
          </w:p>
        </w:tc>
        <w:tc>
          <w:tcPr>
            <w:tcW w:w="975" w:type="pct"/>
            <w:vAlign w:val="center"/>
          </w:tcPr>
          <w:p>
            <w:pPr>
              <w:ind w:firstLine="0" w:firstLineChars="0"/>
              <w:rPr>
                <w:rFonts w:hint="eastAsia"/>
                <w:sz w:val="22"/>
                <w:szCs w:val="22"/>
              </w:rPr>
            </w:pPr>
            <w:r>
              <w:rPr>
                <w:rFonts w:hint="eastAsia"/>
                <w:sz w:val="22"/>
                <w:szCs w:val="22"/>
              </w:rPr>
              <w:t>数据库服务器</w:t>
            </w:r>
          </w:p>
        </w:tc>
        <w:tc>
          <w:tcPr>
            <w:tcW w:w="624" w:type="pct"/>
          </w:tcPr>
          <w:p>
            <w:pPr>
              <w:ind w:firstLine="0" w:firstLineChars="0"/>
              <w:rPr>
                <w:rFonts w:hint="eastAsia"/>
                <w:sz w:val="22"/>
                <w:szCs w:val="22"/>
              </w:rPr>
            </w:pPr>
            <w:r>
              <w:rPr>
                <w:rFonts w:hint="eastAsia"/>
                <w:sz w:val="22"/>
                <w:szCs w:val="22"/>
              </w:rPr>
              <w:t>虚拟机</w:t>
            </w:r>
          </w:p>
        </w:tc>
        <w:tc>
          <w:tcPr>
            <w:tcW w:w="276" w:type="pct"/>
            <w:vAlign w:val="center"/>
          </w:tcPr>
          <w:p>
            <w:pPr>
              <w:ind w:firstLine="0" w:firstLineChars="0"/>
              <w:rPr>
                <w:rFonts w:hint="eastAsia"/>
                <w:sz w:val="22"/>
                <w:szCs w:val="22"/>
              </w:rPr>
            </w:pPr>
            <w:r>
              <w:rPr>
                <w:rFonts w:hint="eastAsia"/>
                <w:sz w:val="22"/>
                <w:szCs w:val="22"/>
              </w:rPr>
              <w:t>1</w:t>
            </w:r>
          </w:p>
        </w:tc>
        <w:tc>
          <w:tcPr>
            <w:tcW w:w="625" w:type="pct"/>
            <w:vAlign w:val="center"/>
          </w:tcPr>
          <w:p>
            <w:pPr>
              <w:ind w:firstLine="0" w:firstLineChars="0"/>
              <w:rPr>
                <w:rFonts w:hint="eastAsia"/>
                <w:sz w:val="22"/>
                <w:szCs w:val="22"/>
              </w:rPr>
            </w:pPr>
            <w:r>
              <w:rPr>
                <w:rFonts w:hint="eastAsia"/>
                <w:sz w:val="22"/>
                <w:szCs w:val="22"/>
              </w:rPr>
              <w:t>16</w:t>
            </w:r>
          </w:p>
        </w:tc>
        <w:tc>
          <w:tcPr>
            <w:tcW w:w="625" w:type="pct"/>
            <w:vAlign w:val="center"/>
          </w:tcPr>
          <w:p>
            <w:pPr>
              <w:ind w:firstLine="0" w:firstLineChars="0"/>
              <w:rPr>
                <w:rFonts w:hint="eastAsia"/>
                <w:sz w:val="22"/>
                <w:szCs w:val="22"/>
              </w:rPr>
            </w:pPr>
            <w:r>
              <w:rPr>
                <w:rFonts w:hint="eastAsia"/>
                <w:sz w:val="22"/>
                <w:szCs w:val="22"/>
              </w:rPr>
              <w:t>64</w:t>
            </w:r>
          </w:p>
        </w:tc>
        <w:tc>
          <w:tcPr>
            <w:tcW w:w="626" w:type="pct"/>
            <w:vAlign w:val="center"/>
          </w:tcPr>
          <w:p>
            <w:pPr>
              <w:ind w:firstLine="0" w:firstLineChars="0"/>
              <w:rPr>
                <w:rFonts w:hint="eastAsia"/>
                <w:sz w:val="22"/>
                <w:szCs w:val="22"/>
              </w:rPr>
            </w:pPr>
            <w:r>
              <w:rPr>
                <w:rFonts w:hint="eastAsia"/>
                <w:sz w:val="22"/>
                <w:szCs w:val="22"/>
              </w:rPr>
              <w:t>700</w:t>
            </w:r>
          </w:p>
        </w:tc>
      </w:tr>
    </w:tbl>
    <w:p>
      <w:pPr>
        <w:rPr>
          <w:rFonts w:hint="eastAsia"/>
        </w:rPr>
      </w:pPr>
    </w:p>
    <w:p>
      <w:pPr>
        <w:pStyle w:val="2"/>
        <w:rPr>
          <w:rFonts w:hint="eastAsia"/>
        </w:rPr>
      </w:pPr>
      <w:bookmarkStart w:id="26" w:name="_Toc63785503"/>
      <w:r>
        <w:rPr>
          <w:rFonts w:hint="eastAsia"/>
        </w:rPr>
        <w:t>其他工作要求</w:t>
      </w:r>
      <w:bookmarkEnd w:id="26"/>
      <w:bookmarkStart w:id="27" w:name="_Toc63585480"/>
      <w:bookmarkEnd w:id="27"/>
      <w:bookmarkStart w:id="28" w:name="_Toc61968111"/>
      <w:bookmarkEnd w:id="28"/>
      <w:bookmarkStart w:id="29" w:name="_Toc62209488"/>
      <w:bookmarkEnd w:id="29"/>
      <w:bookmarkStart w:id="30" w:name="_Toc62219358"/>
      <w:bookmarkEnd w:id="30"/>
      <w:bookmarkStart w:id="31" w:name="_Toc63151871"/>
      <w:bookmarkEnd w:id="31"/>
      <w:bookmarkStart w:id="32" w:name="_Toc63762370"/>
      <w:bookmarkEnd w:id="32"/>
      <w:bookmarkStart w:id="33" w:name="_Toc63785504"/>
      <w:bookmarkEnd w:id="33"/>
      <w:bookmarkStart w:id="34" w:name="_Toc63785439"/>
      <w:bookmarkEnd w:id="34"/>
    </w:p>
    <w:p>
      <w:pPr>
        <w:pStyle w:val="3"/>
        <w:ind w:left="567"/>
        <w:rPr>
          <w:rFonts w:hint="eastAsia" w:ascii="宋体" w:hAnsi="宋体" w:eastAsia="宋体"/>
        </w:rPr>
      </w:pPr>
      <w:bookmarkStart w:id="35" w:name="_Toc63785505"/>
      <w:r>
        <w:rPr>
          <w:rFonts w:hint="eastAsia" w:ascii="宋体" w:hAnsi="宋体" w:eastAsia="宋体"/>
        </w:rPr>
        <w:t>售后服务要求</w:t>
      </w:r>
      <w:bookmarkEnd w:id="35"/>
    </w:p>
    <w:p>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在质量保证期内，供应商负责信息系统的运行维护工作，确保信息系统安全、稳定、可靠地运行。本项目涉及的运行维护工作范围为：水安全保障大系统。</w:t>
      </w:r>
    </w:p>
    <w:p>
      <w:pPr>
        <w:pStyle w:val="3"/>
        <w:ind w:left="567"/>
        <w:rPr>
          <w:rFonts w:hint="eastAsia" w:ascii="宋体" w:hAnsi="宋体" w:eastAsia="宋体"/>
        </w:rPr>
      </w:pPr>
      <w:bookmarkStart w:id="36" w:name="_Toc63785506"/>
      <w:r>
        <w:rPr>
          <w:rFonts w:hint="eastAsia" w:ascii="宋体" w:hAnsi="宋体" w:eastAsia="宋体"/>
        </w:rPr>
        <w:t>应急响应要求</w:t>
      </w:r>
      <w:bookmarkEnd w:id="36"/>
    </w:p>
    <w:p>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pPr>
        <w:pStyle w:val="106"/>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pPr>
        <w:pStyle w:val="3"/>
        <w:ind w:left="567"/>
        <w:rPr>
          <w:rFonts w:hint="eastAsia" w:ascii="宋体" w:hAnsi="宋体" w:eastAsia="宋体"/>
        </w:rPr>
      </w:pPr>
      <w:bookmarkStart w:id="37" w:name="_Toc63785507"/>
      <w:r>
        <w:rPr>
          <w:rFonts w:hint="eastAsia" w:ascii="宋体" w:hAnsi="宋体" w:eastAsia="宋体"/>
        </w:rPr>
        <w:t>培训要求</w:t>
      </w:r>
      <w:bookmarkEnd w:id="37"/>
    </w:p>
    <w:p>
      <w:pPr>
        <w:rPr>
          <w:rFonts w:hint="eastAsia"/>
        </w:rPr>
      </w:pPr>
      <w:r>
        <w:rPr>
          <w:rFonts w:hint="eastAsia"/>
        </w:rPr>
        <w:t>对系统使用单位提供业务操作培训，应提供详细培训方案。</w:t>
      </w:r>
    </w:p>
    <w:p>
      <w:pPr>
        <w:rPr>
          <w:rFonts w:hint="eastAsia"/>
        </w:rPr>
      </w:pPr>
      <w:r>
        <w:rPr>
          <w:rFonts w:hint="eastAsia"/>
        </w:rPr>
        <w:t>(1)在12个月的质量保证期内，提供1次与项目相关的必要培训。</w:t>
      </w:r>
    </w:p>
    <w:p>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pPr>
        <w:rPr>
          <w:rFonts w:hint="eastAsia"/>
        </w:rPr>
      </w:pPr>
      <w:r>
        <w:rPr>
          <w:rFonts w:hint="eastAsia"/>
        </w:rPr>
        <w:t>(3)供应商应提供一般用户的基础操作培训和部门信息管理员的日常应用维护的培训，确保用户对象能够掌握对应的操作技能。</w:t>
      </w:r>
    </w:p>
    <w:p>
      <w:pPr>
        <w:pStyle w:val="3"/>
        <w:ind w:left="567"/>
        <w:rPr>
          <w:rFonts w:hint="eastAsia"/>
        </w:rPr>
      </w:pPr>
      <w:bookmarkStart w:id="38" w:name="_Toc63785508"/>
      <w:r>
        <w:rPr>
          <w:rFonts w:hint="eastAsia"/>
        </w:rPr>
        <w:t>验收要求</w:t>
      </w:r>
      <w:bookmarkEnd w:id="38"/>
    </w:p>
    <w:p>
      <w:pPr>
        <w:rPr>
          <w:rFonts w:hint="eastAsia"/>
          <w:szCs w:val="21"/>
        </w:rPr>
      </w:pPr>
      <w:r>
        <w:rPr>
          <w:rFonts w:hint="eastAsia"/>
          <w:szCs w:val="21"/>
        </w:rPr>
        <w:t>本项目按下述方式开展验收。</w:t>
      </w:r>
    </w:p>
    <w:p>
      <w:pPr>
        <w:rPr>
          <w:rFonts w:hint="eastAsia"/>
          <w:szCs w:val="21"/>
        </w:rPr>
      </w:pPr>
      <w:r>
        <w:rPr>
          <w:rFonts w:hint="eastAsia"/>
          <w:szCs w:val="21"/>
        </w:rPr>
        <w:t>（</w:t>
      </w:r>
      <w:r>
        <w:rPr>
          <w:szCs w:val="21"/>
        </w:rPr>
        <w:t>1）验收分初验和终验。</w:t>
      </w:r>
    </w:p>
    <w:p>
      <w:pPr>
        <w:rPr>
          <w:rFonts w:hint="eastAsia"/>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rPr>
          <w:rFonts w:hint="eastAsia"/>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rPr>
          <w:rFonts w:hint="eastAsia"/>
          <w:szCs w:val="21"/>
        </w:rPr>
      </w:pPr>
      <w:r>
        <w:rPr>
          <w:rFonts w:hint="eastAsia"/>
          <w:szCs w:val="21"/>
        </w:rPr>
        <w:t>（</w:t>
      </w:r>
      <w:r>
        <w:rPr>
          <w:szCs w:val="21"/>
        </w:rPr>
        <w:t>4）自初验通过之日起，招标方享有供应商免费提供的7天的信息系统试运行现场驻场服务期。该期间内，供应商应当按照招标方的要求提供现场技术支持服务，解决信息系统试运行期间可能出现的各类问题，或进一步提高与完善信息系统运行水平。</w:t>
      </w:r>
    </w:p>
    <w:p>
      <w:pPr>
        <w:rPr>
          <w:rFonts w:hint="eastAsia"/>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7     个工作日内发起组织专家验收会。</w:t>
      </w:r>
    </w:p>
    <w:p>
      <w:pPr>
        <w:rPr>
          <w:rFonts w:hint="eastAsia"/>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pPr>
        <w:rPr>
          <w:rFonts w:hint="eastAsia"/>
          <w:szCs w:val="21"/>
        </w:rPr>
      </w:pPr>
      <w:r>
        <w:rPr>
          <w:rFonts w:hint="eastAsia"/>
          <w:szCs w:val="21"/>
        </w:rPr>
        <w:t>（7</w:t>
      </w:r>
      <w:r>
        <w:rPr>
          <w:szCs w:val="21"/>
        </w:rPr>
        <w:t>）如果由于招标方原因导致本项目在终验通过前出现故障或问题，供应商应及时配合排除该方面的故障或问题。</w:t>
      </w:r>
    </w:p>
    <w:p>
      <w:pPr>
        <w:pStyle w:val="3"/>
        <w:ind w:left="567"/>
        <w:rPr>
          <w:rFonts w:hint="eastAsia" w:ascii="宋体" w:hAnsi="宋体" w:eastAsia="宋体"/>
        </w:rPr>
      </w:pPr>
      <w:bookmarkStart w:id="39" w:name="_Toc63785509"/>
      <w:r>
        <w:rPr>
          <w:rFonts w:hint="eastAsia" w:ascii="宋体" w:hAnsi="宋体" w:eastAsia="宋体"/>
        </w:rPr>
        <w:t>进度要求</w:t>
      </w:r>
      <w:bookmarkEnd w:id="39"/>
    </w:p>
    <w:p>
      <w:pPr>
        <w:rPr>
          <w:rFonts w:hint="eastAsia"/>
        </w:rPr>
      </w:pPr>
      <w:r>
        <w:rPr>
          <w:rFonts w:hint="eastAsia"/>
        </w:rPr>
        <w:t>投标人应根据建设内容，分阶段制定合理的时间进度，并且应根据招标方要求进行调整和细化。</w:t>
      </w:r>
    </w:p>
    <w:p>
      <w:pPr>
        <w:rPr>
          <w:rFonts w:hint="eastAsia"/>
        </w:rPr>
      </w:pPr>
      <w:bookmarkStart w:id="40" w:name="_Hlk122524197"/>
      <w:bookmarkStart w:id="41" w:name="_Toc63785510"/>
      <w:r>
        <w:rPr>
          <w:rFonts w:hint="eastAsia"/>
        </w:rPr>
        <w:t>总建设周期为</w:t>
      </w:r>
      <w:r>
        <w:rPr>
          <w:rFonts w:hint="eastAsia"/>
          <w:lang w:val="en-US" w:eastAsia="zh-CN"/>
        </w:rPr>
        <w:t>9</w:t>
      </w:r>
      <w:r>
        <w:rPr>
          <w:rFonts w:hint="eastAsia"/>
        </w:rPr>
        <w:t>个月，</w:t>
      </w:r>
      <w:r>
        <w:rPr>
          <w:rFonts w:hint="eastAsia"/>
          <w:lang w:eastAsia="zh-CN"/>
        </w:rPr>
        <w:t>自合同签订生效之日起到</w:t>
      </w:r>
      <w:r>
        <w:rPr>
          <w:rFonts w:hint="eastAsia"/>
          <w:lang w:val="en-US" w:eastAsia="zh-CN"/>
        </w:rPr>
        <w:t>2025年11月30日，</w:t>
      </w:r>
      <w:r>
        <w:rPr>
          <w:rFonts w:hint="eastAsia"/>
        </w:rPr>
        <w:t>分为</w:t>
      </w:r>
      <w:r>
        <w:t>4</w:t>
      </w:r>
      <w:r>
        <w:rPr>
          <w:rFonts w:hint="eastAsia"/>
        </w:rPr>
        <w:t>个阶段。</w:t>
      </w:r>
    </w:p>
    <w:p>
      <w:pPr>
        <w:rPr>
          <w:rFonts w:hint="eastAsia"/>
        </w:rPr>
      </w:pPr>
      <w:r>
        <w:rPr>
          <w:rFonts w:hint="eastAsia"/>
        </w:rPr>
        <w:t>第一阶段为1个月，完成项目需求调研、系统设计。</w:t>
      </w:r>
    </w:p>
    <w:p>
      <w:pPr>
        <w:rPr>
          <w:rFonts w:hint="eastAsia"/>
        </w:rPr>
      </w:pPr>
      <w:r>
        <w:rPr>
          <w:rFonts w:hint="eastAsia"/>
        </w:rPr>
        <w:t>第二阶段为</w:t>
      </w:r>
      <w:r>
        <w:rPr>
          <w:rFonts w:hint="eastAsia"/>
          <w:lang w:val="en-US" w:eastAsia="zh-CN"/>
        </w:rPr>
        <w:t>5</w:t>
      </w:r>
      <w:r>
        <w:rPr>
          <w:rFonts w:hint="eastAsia"/>
        </w:rPr>
        <w:t>个月，完成进行数据归集整合、资源申请和各模块的开发与测试工作，完成系统联调与部署，发布</w:t>
      </w:r>
      <w:r>
        <w:t>beta测试版本</w:t>
      </w:r>
      <w:r>
        <w:rPr>
          <w:rFonts w:hint="eastAsia"/>
        </w:rPr>
        <w:t>。</w:t>
      </w:r>
    </w:p>
    <w:p>
      <w:pPr>
        <w:rPr>
          <w:rFonts w:hint="eastAsia"/>
        </w:rPr>
      </w:pPr>
      <w:r>
        <w:rPr>
          <w:rFonts w:hint="eastAsia"/>
        </w:rPr>
        <w:t>第三阶段为2个月，完成系统试运行工作，修正各模块联调中出现的问题，完成系统完善和功能迭代，直至发布正式运行版本。</w:t>
      </w:r>
    </w:p>
    <w:p>
      <w:pPr>
        <w:rPr>
          <w:rFonts w:hint="eastAsia"/>
        </w:rPr>
      </w:pPr>
      <w:r>
        <w:rPr>
          <w:rFonts w:hint="eastAsia"/>
        </w:rPr>
        <w:t>第四阶段为1个月，完成项目验收工作，根据项目运行情况和验收要求开展项目测评、功能优化和绩效评价等工作。</w:t>
      </w:r>
    </w:p>
    <w:bookmarkEnd w:id="40"/>
    <w:p>
      <w:pPr>
        <w:pStyle w:val="3"/>
        <w:ind w:left="567"/>
        <w:rPr>
          <w:rFonts w:hint="eastAsia" w:ascii="宋体" w:hAnsi="宋体" w:eastAsia="宋体"/>
        </w:rPr>
      </w:pPr>
      <w:r>
        <w:rPr>
          <w:rFonts w:hint="eastAsia" w:ascii="宋体" w:hAnsi="宋体" w:eastAsia="宋体"/>
        </w:rPr>
        <w:t>项目团队及驻场人员要求</w:t>
      </w:r>
      <w:bookmarkEnd w:id="41"/>
    </w:p>
    <w:p>
      <w:pPr>
        <w:rPr>
          <w:rFonts w:hint="eastAsia"/>
        </w:rPr>
      </w:pPr>
      <w:r>
        <w:t>1）投标人须具有稳定的在职技术保障力量，能够提供及时的技术支援或服务，应针对本项目提供不少于</w:t>
      </w:r>
      <w:r>
        <w:rPr>
          <w:rFonts w:hint="eastAsia"/>
        </w:rPr>
        <w:t>13</w:t>
      </w:r>
      <w:r>
        <w:t>人的项目服务团队（包括项目经理、</w:t>
      </w:r>
      <w:r>
        <w:rPr>
          <w:rFonts w:hint="eastAsia"/>
        </w:rPr>
        <w:t>技术负责人</w:t>
      </w:r>
      <w:r>
        <w:t>、</w:t>
      </w:r>
      <w:r>
        <w:rPr>
          <w:rFonts w:hint="eastAsia"/>
        </w:rPr>
        <w:t>工程师</w:t>
      </w:r>
      <w:r>
        <w:t>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965"/>
        <w:gridCol w:w="705"/>
        <w:gridCol w:w="422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8" w:type="dxa"/>
            <w:shd w:val="clear" w:color="auto" w:fill="auto"/>
            <w:noWrap/>
            <w:vAlign w:val="center"/>
          </w:tcPr>
          <w:p>
            <w:pPr>
              <w:widowControl/>
              <w:spacing w:line="240" w:lineRule="auto"/>
              <w:ind w:firstLine="0" w:firstLineChars="0"/>
              <w:jc w:val="center"/>
              <w:rPr>
                <w:rFonts w:hint="eastAsia"/>
                <w:b/>
              </w:rPr>
            </w:pPr>
            <w:r>
              <w:rPr>
                <w:rFonts w:hint="eastAsia"/>
                <w:b/>
              </w:rPr>
              <w:t>角色</w:t>
            </w:r>
          </w:p>
        </w:tc>
        <w:tc>
          <w:tcPr>
            <w:tcW w:w="1965" w:type="dxa"/>
            <w:shd w:val="clear" w:color="auto" w:fill="auto"/>
            <w:noWrap/>
            <w:vAlign w:val="center"/>
          </w:tcPr>
          <w:p>
            <w:pPr>
              <w:widowControl/>
              <w:spacing w:line="240" w:lineRule="auto"/>
              <w:ind w:firstLine="0" w:firstLineChars="0"/>
              <w:jc w:val="center"/>
              <w:rPr>
                <w:rFonts w:hint="eastAsia"/>
                <w:b/>
              </w:rPr>
            </w:pPr>
            <w:r>
              <w:rPr>
                <w:rFonts w:hint="eastAsia"/>
                <w:b/>
              </w:rPr>
              <w:t>主要职责</w:t>
            </w:r>
          </w:p>
        </w:tc>
        <w:tc>
          <w:tcPr>
            <w:tcW w:w="705" w:type="dxa"/>
            <w:shd w:val="clear" w:color="auto" w:fill="auto"/>
            <w:noWrap/>
            <w:vAlign w:val="center"/>
          </w:tcPr>
          <w:p>
            <w:pPr>
              <w:widowControl/>
              <w:spacing w:line="240" w:lineRule="auto"/>
              <w:ind w:firstLine="0" w:firstLineChars="0"/>
              <w:jc w:val="center"/>
              <w:rPr>
                <w:rFonts w:hint="eastAsia"/>
                <w:b/>
              </w:rPr>
            </w:pPr>
            <w:r>
              <w:rPr>
                <w:rFonts w:hint="eastAsia"/>
                <w:b/>
              </w:rPr>
              <w:t>人员数量</w:t>
            </w:r>
          </w:p>
        </w:tc>
        <w:tc>
          <w:tcPr>
            <w:tcW w:w="4220" w:type="dxa"/>
            <w:vAlign w:val="center"/>
          </w:tcPr>
          <w:p>
            <w:pPr>
              <w:widowControl/>
              <w:spacing w:line="240" w:lineRule="auto"/>
              <w:ind w:firstLine="0" w:firstLineChars="0"/>
              <w:jc w:val="center"/>
              <w:rPr>
                <w:rFonts w:hint="eastAsia"/>
                <w:b/>
              </w:rPr>
            </w:pPr>
            <w:r>
              <w:rPr>
                <w:rFonts w:hint="eastAsia"/>
                <w:b/>
              </w:rPr>
              <w:t>人员要求</w:t>
            </w:r>
          </w:p>
        </w:tc>
        <w:tc>
          <w:tcPr>
            <w:tcW w:w="700" w:type="dxa"/>
            <w:shd w:val="clear" w:color="auto" w:fill="auto"/>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8" w:type="dxa"/>
            <w:shd w:val="clear" w:color="auto" w:fill="auto"/>
            <w:noWrap/>
            <w:vAlign w:val="center"/>
          </w:tcPr>
          <w:p>
            <w:pPr>
              <w:widowControl/>
              <w:spacing w:line="240" w:lineRule="auto"/>
              <w:ind w:firstLine="0" w:firstLineChars="0"/>
              <w:jc w:val="center"/>
              <w:rPr>
                <w:rFonts w:hint="eastAsia"/>
              </w:rPr>
            </w:pPr>
            <w:r>
              <w:rPr>
                <w:rFonts w:hint="eastAsia"/>
              </w:rPr>
              <w:t>项目经理</w:t>
            </w:r>
          </w:p>
        </w:tc>
        <w:tc>
          <w:tcPr>
            <w:tcW w:w="1965" w:type="dxa"/>
            <w:shd w:val="clear" w:color="auto" w:fill="auto"/>
            <w:vAlign w:val="center"/>
          </w:tcPr>
          <w:p>
            <w:pPr>
              <w:widowControl/>
              <w:spacing w:line="240" w:lineRule="auto"/>
              <w:ind w:firstLine="0" w:firstLineChars="0"/>
              <w:jc w:val="center"/>
              <w:rPr>
                <w:rFonts w:hint="eastAsia"/>
              </w:rPr>
            </w:pPr>
            <w:r>
              <w:rPr>
                <w:rFonts w:hint="eastAsia"/>
              </w:rPr>
              <w:t>负责项目质量和进度控制</w:t>
            </w:r>
          </w:p>
        </w:tc>
        <w:tc>
          <w:tcPr>
            <w:tcW w:w="705" w:type="dxa"/>
            <w:shd w:val="clear" w:color="auto" w:fill="auto"/>
            <w:noWrap/>
            <w:vAlign w:val="center"/>
          </w:tcPr>
          <w:p>
            <w:pPr>
              <w:widowControl/>
              <w:spacing w:line="240" w:lineRule="auto"/>
              <w:ind w:firstLine="0" w:firstLineChars="0"/>
              <w:jc w:val="center"/>
              <w:rPr>
                <w:rFonts w:hint="eastAsia"/>
              </w:rPr>
            </w:pPr>
            <w:r>
              <w:t>1</w:t>
            </w:r>
            <w:r>
              <w:rPr>
                <w:rFonts w:hint="eastAsia"/>
              </w:rPr>
              <w:t>人</w:t>
            </w:r>
          </w:p>
        </w:tc>
        <w:tc>
          <w:tcPr>
            <w:tcW w:w="4220" w:type="dxa"/>
            <w:vAlign w:val="center"/>
          </w:tcPr>
          <w:p>
            <w:pPr>
              <w:widowControl/>
              <w:numPr>
                <w:ilvl w:val="0"/>
                <w:numId w:val="4"/>
              </w:numPr>
              <w:spacing w:line="240" w:lineRule="auto"/>
              <w:ind w:firstLine="0" w:firstLineChars="0"/>
              <w:jc w:val="left"/>
              <w:rPr>
                <w:rFonts w:hint="eastAsia"/>
                <w:lang w:eastAsia="zh-CN"/>
              </w:rPr>
            </w:pPr>
            <w:r>
              <w:rPr>
                <w:rFonts w:hint="eastAsia"/>
              </w:rPr>
              <w:t>项目经理具备系统集成项目管理工程师</w:t>
            </w:r>
            <w:r>
              <w:rPr>
                <w:rFonts w:hint="eastAsia"/>
                <w:lang w:eastAsia="zh-CN"/>
              </w:rPr>
              <w:t>或</w:t>
            </w:r>
            <w:r>
              <w:rPr>
                <w:rFonts w:hint="eastAsia"/>
              </w:rPr>
              <w:t>信息系统项目管理师或</w:t>
            </w:r>
            <w:r>
              <w:rPr>
                <w:rFonts w:hint="eastAsia"/>
                <w:lang w:val="en-US" w:eastAsia="zh-CN"/>
              </w:rPr>
              <w:t>计算机类</w:t>
            </w:r>
            <w:r>
              <w:rPr>
                <w:rFonts w:hint="eastAsia"/>
              </w:rPr>
              <w:t>高级职称</w:t>
            </w:r>
            <w:r>
              <w:rPr>
                <w:rFonts w:hint="eastAsia"/>
                <w:lang w:eastAsia="zh-CN"/>
              </w:rPr>
              <w:t>；</w:t>
            </w:r>
          </w:p>
          <w:p>
            <w:pPr>
              <w:widowControl/>
              <w:numPr>
                <w:ilvl w:val="0"/>
                <w:numId w:val="4"/>
              </w:numPr>
              <w:spacing w:line="240" w:lineRule="auto"/>
              <w:ind w:firstLine="0" w:firstLineChars="0"/>
              <w:jc w:val="left"/>
              <w:rPr>
                <w:rFonts w:hint="eastAsia"/>
              </w:rPr>
            </w:pPr>
            <w:r>
              <w:rPr>
                <w:rFonts w:hint="eastAsia"/>
                <w:lang w:val="en-US" w:eastAsia="zh-CN"/>
              </w:rPr>
              <w:t>具有地理信息或计算机或水利水务相关专业硕士学历</w:t>
            </w:r>
          </w:p>
          <w:p>
            <w:pPr>
              <w:widowControl/>
              <w:numPr>
                <w:ilvl w:val="0"/>
                <w:numId w:val="4"/>
              </w:numPr>
              <w:spacing w:line="240" w:lineRule="auto"/>
              <w:ind w:firstLine="0" w:firstLineChars="0"/>
              <w:jc w:val="left"/>
              <w:rPr>
                <w:rFonts w:hint="eastAsia"/>
              </w:rPr>
            </w:pPr>
            <w:r>
              <w:rPr>
                <w:rFonts w:hint="eastAsia"/>
                <w:lang w:val="en-US" w:eastAsia="zh-CN"/>
              </w:rPr>
              <w:t>与本项目类似的工作业绩。</w:t>
            </w:r>
          </w:p>
        </w:tc>
        <w:tc>
          <w:tcPr>
            <w:tcW w:w="700" w:type="dxa"/>
            <w:vMerge w:val="restart"/>
            <w:shd w:val="clear" w:color="auto" w:fill="auto"/>
            <w:noWrap/>
            <w:vAlign w:val="center"/>
          </w:tcPr>
          <w:p>
            <w:pPr>
              <w:widowControl/>
              <w:spacing w:line="240" w:lineRule="auto"/>
              <w:ind w:firstLine="0" w:firstLineChars="0"/>
              <w:jc w:val="center"/>
              <w:rPr>
                <w:rFonts w:hint="eastAsia"/>
              </w:rPr>
            </w:pPr>
            <w:r>
              <w:rPr>
                <w:rFonts w:hint="eastAsia"/>
              </w:rPr>
              <w:t>至少</w:t>
            </w:r>
            <w:r>
              <w:rPr>
                <w:rFonts w:hint="eastAsia"/>
                <w:lang w:val="en-US" w:eastAsia="zh-CN"/>
              </w:rPr>
              <w:t>3</w:t>
            </w:r>
            <w:r>
              <w:rPr>
                <w:rFonts w:hint="eastAsia"/>
              </w:rPr>
              <w:t>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8" w:type="dxa"/>
            <w:shd w:val="clear" w:color="auto" w:fill="auto"/>
            <w:noWrap/>
            <w:vAlign w:val="center"/>
          </w:tcPr>
          <w:p>
            <w:pPr>
              <w:widowControl/>
              <w:spacing w:line="240" w:lineRule="auto"/>
              <w:ind w:firstLine="0" w:firstLineChars="0"/>
              <w:jc w:val="center"/>
              <w:rPr>
                <w:rFonts w:hint="eastAsia"/>
              </w:rPr>
            </w:pPr>
            <w:r>
              <w:rPr>
                <w:rFonts w:hint="eastAsia"/>
              </w:rPr>
              <w:t>技术负责人</w:t>
            </w:r>
          </w:p>
        </w:tc>
        <w:tc>
          <w:tcPr>
            <w:tcW w:w="1965" w:type="dxa"/>
            <w:shd w:val="clear" w:color="auto" w:fill="auto"/>
            <w:vAlign w:val="center"/>
          </w:tcPr>
          <w:p>
            <w:pPr>
              <w:widowControl/>
              <w:spacing w:line="240" w:lineRule="auto"/>
              <w:ind w:firstLine="0" w:firstLineChars="0"/>
              <w:jc w:val="center"/>
              <w:rPr>
                <w:rFonts w:hint="eastAsia"/>
              </w:rPr>
            </w:pPr>
            <w:r>
              <w:rPr>
                <w:rFonts w:hint="eastAsia"/>
              </w:rPr>
              <w:t>负责项目需求评估与产品设计</w:t>
            </w:r>
          </w:p>
        </w:tc>
        <w:tc>
          <w:tcPr>
            <w:tcW w:w="705" w:type="dxa"/>
            <w:shd w:val="clear" w:color="auto" w:fill="auto"/>
            <w:noWrap/>
            <w:vAlign w:val="center"/>
          </w:tcPr>
          <w:p>
            <w:pPr>
              <w:widowControl/>
              <w:spacing w:line="240" w:lineRule="auto"/>
              <w:ind w:firstLine="0" w:firstLineChars="0"/>
              <w:jc w:val="center"/>
              <w:rPr>
                <w:rFonts w:hint="eastAsia"/>
              </w:rPr>
            </w:pPr>
            <w:r>
              <w:t>1</w:t>
            </w:r>
            <w:r>
              <w:rPr>
                <w:rFonts w:hint="eastAsia"/>
              </w:rPr>
              <w:t>人</w:t>
            </w:r>
          </w:p>
        </w:tc>
        <w:tc>
          <w:tcPr>
            <w:tcW w:w="4220" w:type="dxa"/>
            <w:vMerge w:val="restart"/>
            <w:vAlign w:val="center"/>
          </w:tcPr>
          <w:p>
            <w:pPr>
              <w:widowControl/>
              <w:numPr>
                <w:ilvl w:val="0"/>
                <w:numId w:val="5"/>
              </w:numPr>
              <w:spacing w:line="240" w:lineRule="auto"/>
              <w:ind w:firstLine="0" w:firstLineChars="0"/>
              <w:jc w:val="left"/>
              <w:rPr>
                <w:rFonts w:hint="eastAsia"/>
                <w:lang w:val="en-US" w:eastAsia="zh-CN"/>
              </w:rPr>
            </w:pPr>
            <w:r>
              <w:rPr>
                <w:rFonts w:hint="eastAsia"/>
                <w:lang w:val="en-US" w:eastAsia="zh-CN"/>
              </w:rPr>
              <w:t>团队成员至少3名具备软考中级职称及以上证书；</w:t>
            </w:r>
          </w:p>
          <w:p>
            <w:pPr>
              <w:widowControl/>
              <w:numPr>
                <w:ilvl w:val="0"/>
                <w:numId w:val="5"/>
              </w:numPr>
              <w:spacing w:line="240" w:lineRule="auto"/>
              <w:ind w:firstLine="0" w:firstLineChars="0"/>
              <w:jc w:val="left"/>
              <w:rPr>
                <w:rFonts w:hint="eastAsia"/>
              </w:rPr>
            </w:pPr>
            <w:r>
              <w:rPr>
                <w:rFonts w:hint="eastAsia"/>
                <w:lang w:val="en-US" w:eastAsia="zh-CN"/>
              </w:rPr>
              <w:t>至少3名具备地理信息或计算机或水利水务相关专业本科及以上学历。</w:t>
            </w:r>
          </w:p>
        </w:tc>
        <w:tc>
          <w:tcPr>
            <w:tcW w:w="700" w:type="dxa"/>
            <w:vMerge w:val="continue"/>
            <w:shd w:val="clear" w:color="auto" w:fill="auto"/>
            <w:noWrap/>
            <w:vAlign w:val="center"/>
          </w:tcPr>
          <w:p>
            <w:pPr>
              <w:widowControl/>
              <w:spacing w:line="240" w:lineRule="auto"/>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8" w:type="dxa"/>
            <w:shd w:val="clear" w:color="auto" w:fill="auto"/>
            <w:noWrap/>
            <w:vAlign w:val="center"/>
          </w:tcPr>
          <w:p>
            <w:pPr>
              <w:widowControl/>
              <w:spacing w:line="240" w:lineRule="auto"/>
              <w:ind w:firstLine="0" w:firstLineChars="0"/>
              <w:jc w:val="center"/>
              <w:rPr>
                <w:rFonts w:hint="eastAsia"/>
              </w:rPr>
            </w:pPr>
            <w:r>
              <w:rPr>
                <w:rFonts w:hint="eastAsia"/>
              </w:rPr>
              <w:t>工程师</w:t>
            </w:r>
          </w:p>
        </w:tc>
        <w:tc>
          <w:tcPr>
            <w:tcW w:w="1965" w:type="dxa"/>
            <w:shd w:val="clear" w:color="auto" w:fill="auto"/>
            <w:noWrap/>
            <w:vAlign w:val="center"/>
          </w:tcPr>
          <w:p>
            <w:pPr>
              <w:widowControl/>
              <w:spacing w:line="240" w:lineRule="auto"/>
              <w:ind w:firstLine="0" w:firstLineChars="0"/>
              <w:jc w:val="center"/>
              <w:rPr>
                <w:rFonts w:hint="eastAsia"/>
              </w:rPr>
            </w:pPr>
            <w:r>
              <w:rPr>
                <w:rFonts w:hint="eastAsia"/>
              </w:rPr>
              <w:t>负责项目具体开发与实施</w:t>
            </w:r>
          </w:p>
        </w:tc>
        <w:tc>
          <w:tcPr>
            <w:tcW w:w="705" w:type="dxa"/>
            <w:shd w:val="clear" w:color="auto" w:fill="auto"/>
            <w:noWrap/>
            <w:vAlign w:val="center"/>
          </w:tcPr>
          <w:p>
            <w:pPr>
              <w:widowControl/>
              <w:spacing w:line="240" w:lineRule="auto"/>
              <w:ind w:firstLine="0" w:firstLineChars="0"/>
              <w:jc w:val="center"/>
              <w:rPr>
                <w:rFonts w:hint="eastAsia"/>
              </w:rPr>
            </w:pPr>
            <w:r>
              <w:rPr>
                <w:rFonts w:hint="eastAsia"/>
              </w:rPr>
              <w:t>11人</w:t>
            </w:r>
          </w:p>
        </w:tc>
        <w:tc>
          <w:tcPr>
            <w:tcW w:w="4220" w:type="dxa"/>
            <w:vMerge w:val="continue"/>
            <w:vAlign w:val="center"/>
          </w:tcPr>
          <w:p>
            <w:pPr>
              <w:widowControl/>
              <w:spacing w:line="240" w:lineRule="auto"/>
              <w:ind w:firstLine="0" w:firstLineChars="0"/>
              <w:jc w:val="left"/>
              <w:rPr>
                <w:rFonts w:hint="eastAsia"/>
              </w:rPr>
            </w:pPr>
          </w:p>
        </w:tc>
        <w:tc>
          <w:tcPr>
            <w:tcW w:w="700" w:type="dxa"/>
            <w:vMerge w:val="continue"/>
            <w:shd w:val="clear" w:color="auto" w:fill="auto"/>
            <w:noWrap/>
            <w:vAlign w:val="center"/>
          </w:tcPr>
          <w:p>
            <w:pPr>
              <w:widowControl/>
              <w:spacing w:line="240" w:lineRule="auto"/>
              <w:ind w:firstLine="0" w:firstLineChars="0"/>
              <w:jc w:val="center"/>
              <w:rPr>
                <w:rFonts w:hint="eastAsia"/>
              </w:rPr>
            </w:pPr>
          </w:p>
        </w:tc>
      </w:tr>
    </w:tbl>
    <w:p>
      <w:pPr>
        <w:rPr>
          <w:rFonts w:hint="eastAsia"/>
        </w:rPr>
      </w:pPr>
      <w:r>
        <w:t>2）投标人应针对本项目提供不少于</w:t>
      </w:r>
      <w:r>
        <w:rPr>
          <w:rFonts w:hint="eastAsia"/>
        </w:rPr>
        <w:t>4</w:t>
      </w:r>
      <w:r>
        <w:t>人的质保期间支撑团队（其中</w:t>
      </w:r>
      <w:r>
        <w:rPr>
          <w:rFonts w:hint="eastAsia"/>
        </w:rPr>
        <w:t>项目</w:t>
      </w:r>
      <w:r>
        <w:t>经理1人，技术工程师不少于</w:t>
      </w:r>
      <w:r>
        <w:rPr>
          <w:rFonts w:hint="eastAsia"/>
        </w:rPr>
        <w:t>3</w:t>
      </w:r>
      <w:r>
        <w:t>人）</w:t>
      </w:r>
      <w:r>
        <w:rPr>
          <w:rFonts w:hint="eastAsia"/>
          <w:lang w:eastAsia="zh-CN"/>
        </w:rPr>
        <w:t>，至少</w:t>
      </w:r>
      <w:r>
        <w:rPr>
          <w:rFonts w:hint="eastAsia"/>
          <w:lang w:val="en-US" w:eastAsia="zh-CN"/>
        </w:rPr>
        <w:t>2人驻场</w:t>
      </w:r>
      <w:r>
        <w:t>；投标人的相关服务人员需具备相应的服务能力，需提供相关证明（最近一个季度依法缴纳社保费的证明）。</w:t>
      </w:r>
    </w:p>
    <w:tbl>
      <w:tblPr>
        <w:tblStyle w:val="3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800"/>
        <w:gridCol w:w="784"/>
        <w:gridCol w:w="4649"/>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2" w:type="dxa"/>
            <w:shd w:val="clear" w:color="auto" w:fill="auto"/>
            <w:noWrap/>
            <w:vAlign w:val="center"/>
          </w:tcPr>
          <w:p>
            <w:pPr>
              <w:widowControl/>
              <w:spacing w:line="240" w:lineRule="auto"/>
              <w:ind w:firstLine="0" w:firstLineChars="0"/>
              <w:jc w:val="center"/>
              <w:rPr>
                <w:rFonts w:hint="eastAsia"/>
                <w:b/>
              </w:rPr>
            </w:pPr>
            <w:r>
              <w:rPr>
                <w:rFonts w:hint="eastAsia"/>
                <w:b/>
              </w:rPr>
              <w:t>角色</w:t>
            </w:r>
          </w:p>
        </w:tc>
        <w:tc>
          <w:tcPr>
            <w:tcW w:w="1800" w:type="dxa"/>
            <w:shd w:val="clear" w:color="auto" w:fill="auto"/>
            <w:noWrap/>
            <w:vAlign w:val="center"/>
          </w:tcPr>
          <w:p>
            <w:pPr>
              <w:widowControl/>
              <w:spacing w:line="240" w:lineRule="auto"/>
              <w:ind w:firstLine="0" w:firstLineChars="0"/>
              <w:jc w:val="center"/>
              <w:rPr>
                <w:rFonts w:hint="eastAsia"/>
                <w:b/>
              </w:rPr>
            </w:pPr>
            <w:r>
              <w:rPr>
                <w:rFonts w:hint="eastAsia"/>
                <w:b/>
              </w:rPr>
              <w:t>主要职责</w:t>
            </w:r>
          </w:p>
        </w:tc>
        <w:tc>
          <w:tcPr>
            <w:tcW w:w="784" w:type="dxa"/>
            <w:shd w:val="clear" w:color="auto" w:fill="auto"/>
            <w:noWrap/>
            <w:vAlign w:val="center"/>
          </w:tcPr>
          <w:p>
            <w:pPr>
              <w:widowControl/>
              <w:spacing w:line="240" w:lineRule="auto"/>
              <w:ind w:firstLine="0" w:firstLineChars="0"/>
              <w:jc w:val="center"/>
              <w:rPr>
                <w:rFonts w:hint="eastAsia"/>
                <w:b/>
              </w:rPr>
            </w:pPr>
            <w:r>
              <w:rPr>
                <w:rFonts w:hint="eastAsia"/>
                <w:b/>
              </w:rPr>
              <w:t>人员数量</w:t>
            </w:r>
          </w:p>
        </w:tc>
        <w:tc>
          <w:tcPr>
            <w:tcW w:w="4649" w:type="dxa"/>
            <w:vAlign w:val="center"/>
          </w:tcPr>
          <w:p>
            <w:pPr>
              <w:widowControl/>
              <w:spacing w:line="240" w:lineRule="auto"/>
              <w:ind w:firstLine="0" w:firstLineChars="0"/>
              <w:jc w:val="center"/>
              <w:rPr>
                <w:rFonts w:hint="eastAsia"/>
                <w:b/>
              </w:rPr>
            </w:pPr>
            <w:r>
              <w:rPr>
                <w:rFonts w:hint="eastAsia"/>
                <w:b/>
              </w:rPr>
              <w:t>人员要求</w:t>
            </w:r>
          </w:p>
        </w:tc>
        <w:tc>
          <w:tcPr>
            <w:tcW w:w="926" w:type="dxa"/>
            <w:shd w:val="clear" w:color="auto" w:fill="auto"/>
            <w:noWrap/>
            <w:vAlign w:val="center"/>
          </w:tcPr>
          <w:p>
            <w:pPr>
              <w:widowControl/>
              <w:spacing w:line="240" w:lineRule="auto"/>
              <w:ind w:firstLine="0" w:firstLineChars="0"/>
              <w:jc w:val="center"/>
              <w:rPr>
                <w:rFonts w:hint="eastAsia"/>
                <w:b/>
              </w:rPr>
            </w:pPr>
            <w:r>
              <w:rPr>
                <w:rFonts w:hint="eastAsia"/>
                <w:b/>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2" w:type="dxa"/>
            <w:shd w:val="clear" w:color="auto" w:fill="auto"/>
            <w:noWrap/>
            <w:vAlign w:val="center"/>
          </w:tcPr>
          <w:p>
            <w:pPr>
              <w:widowControl/>
              <w:spacing w:line="240" w:lineRule="auto"/>
              <w:ind w:firstLine="0" w:firstLineChars="0"/>
              <w:jc w:val="center"/>
              <w:rPr>
                <w:rFonts w:hint="eastAsia"/>
              </w:rPr>
            </w:pPr>
            <w:r>
              <w:rPr>
                <w:rFonts w:hint="eastAsia"/>
              </w:rPr>
              <w:t>项目经理</w:t>
            </w:r>
          </w:p>
        </w:tc>
        <w:tc>
          <w:tcPr>
            <w:tcW w:w="1800" w:type="dxa"/>
            <w:shd w:val="clear" w:color="auto" w:fill="auto"/>
            <w:vAlign w:val="center"/>
          </w:tcPr>
          <w:p>
            <w:pPr>
              <w:widowControl/>
              <w:spacing w:line="240" w:lineRule="auto"/>
              <w:ind w:firstLine="0" w:firstLineChars="0"/>
              <w:jc w:val="center"/>
              <w:rPr>
                <w:rFonts w:hint="eastAsia"/>
              </w:rPr>
            </w:pPr>
            <w:r>
              <w:rPr>
                <w:rFonts w:hint="eastAsia"/>
              </w:rPr>
              <w:t>负责项目质量和进度控制</w:t>
            </w:r>
          </w:p>
        </w:tc>
        <w:tc>
          <w:tcPr>
            <w:tcW w:w="784" w:type="dxa"/>
            <w:shd w:val="clear" w:color="auto" w:fill="auto"/>
            <w:noWrap/>
            <w:vAlign w:val="center"/>
          </w:tcPr>
          <w:p>
            <w:pPr>
              <w:widowControl/>
              <w:spacing w:line="240" w:lineRule="auto"/>
              <w:ind w:firstLine="0" w:firstLineChars="0"/>
              <w:jc w:val="center"/>
              <w:rPr>
                <w:rFonts w:hint="eastAsia"/>
              </w:rPr>
            </w:pPr>
            <w:r>
              <w:t>1</w:t>
            </w:r>
            <w:r>
              <w:rPr>
                <w:rFonts w:hint="eastAsia"/>
              </w:rPr>
              <w:t>人</w:t>
            </w:r>
          </w:p>
        </w:tc>
        <w:tc>
          <w:tcPr>
            <w:tcW w:w="4649" w:type="dxa"/>
            <w:vAlign w:val="center"/>
          </w:tcPr>
          <w:p>
            <w:pPr>
              <w:widowControl/>
              <w:spacing w:line="240" w:lineRule="auto"/>
              <w:ind w:firstLine="0" w:firstLineChars="0"/>
              <w:jc w:val="center"/>
              <w:rPr>
                <w:rFonts w:hint="eastAsia"/>
              </w:rPr>
            </w:pPr>
            <w:r>
              <w:rPr>
                <w:rFonts w:hint="eastAsia"/>
              </w:rPr>
              <w:t>项目经理具备系统集成项目管理工程师</w:t>
            </w:r>
            <w:r>
              <w:rPr>
                <w:rFonts w:hint="eastAsia"/>
                <w:lang w:eastAsia="zh-CN"/>
              </w:rPr>
              <w:t>或</w:t>
            </w:r>
            <w:r>
              <w:rPr>
                <w:rFonts w:hint="eastAsia"/>
              </w:rPr>
              <w:t>信息系统项目管理师或</w:t>
            </w:r>
            <w:r>
              <w:rPr>
                <w:rFonts w:hint="eastAsia"/>
                <w:lang w:val="en-US" w:eastAsia="zh-CN"/>
              </w:rPr>
              <w:t>计算机类</w:t>
            </w:r>
            <w:r>
              <w:rPr>
                <w:rFonts w:hint="eastAsia"/>
              </w:rPr>
              <w:t>高级职称</w:t>
            </w:r>
          </w:p>
        </w:tc>
        <w:tc>
          <w:tcPr>
            <w:tcW w:w="926" w:type="dxa"/>
            <w:vMerge w:val="restart"/>
            <w:shd w:val="clear" w:color="auto" w:fill="auto"/>
            <w:noWrap/>
            <w:vAlign w:val="center"/>
          </w:tcPr>
          <w:p>
            <w:pPr>
              <w:widowControl/>
              <w:spacing w:line="240" w:lineRule="auto"/>
              <w:ind w:firstLine="0" w:firstLineChars="0"/>
              <w:jc w:val="center"/>
              <w:rPr>
                <w:rFonts w:hint="eastAsia"/>
              </w:rPr>
            </w:pPr>
            <w:r>
              <w:rPr>
                <w:rFonts w:hint="eastAsia"/>
              </w:rPr>
              <w:t>汛期发布响应期间需至少</w:t>
            </w:r>
            <w:r>
              <w:rPr>
                <w:rFonts w:hint="eastAsia"/>
                <w:lang w:val="en-US" w:eastAsia="zh-CN"/>
              </w:rPr>
              <w:t>2</w:t>
            </w:r>
            <w:r>
              <w:rPr>
                <w:rFonts w:hint="eastAsia"/>
              </w:rPr>
              <w:t>人驻场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2" w:type="dxa"/>
            <w:shd w:val="clear" w:color="auto" w:fill="auto"/>
            <w:noWrap/>
            <w:vAlign w:val="center"/>
          </w:tcPr>
          <w:p>
            <w:pPr>
              <w:widowControl/>
              <w:spacing w:line="240" w:lineRule="auto"/>
              <w:ind w:firstLine="0" w:firstLineChars="0"/>
              <w:jc w:val="center"/>
              <w:rPr>
                <w:rFonts w:hint="eastAsia"/>
              </w:rPr>
            </w:pPr>
            <w:r>
              <w:rPr>
                <w:rFonts w:hint="eastAsia"/>
              </w:rPr>
              <w:t>工程师</w:t>
            </w:r>
          </w:p>
        </w:tc>
        <w:tc>
          <w:tcPr>
            <w:tcW w:w="1800" w:type="dxa"/>
            <w:shd w:val="clear" w:color="auto" w:fill="auto"/>
            <w:noWrap/>
            <w:vAlign w:val="center"/>
          </w:tcPr>
          <w:p>
            <w:pPr>
              <w:widowControl/>
              <w:spacing w:line="240" w:lineRule="auto"/>
              <w:ind w:firstLine="0" w:firstLineChars="0"/>
              <w:jc w:val="center"/>
              <w:rPr>
                <w:rFonts w:hint="eastAsia"/>
              </w:rPr>
            </w:pPr>
            <w:r>
              <w:rPr>
                <w:rFonts w:hint="eastAsia"/>
              </w:rPr>
              <w:t>负责项目运行维护</w:t>
            </w:r>
          </w:p>
        </w:tc>
        <w:tc>
          <w:tcPr>
            <w:tcW w:w="784" w:type="dxa"/>
            <w:shd w:val="clear" w:color="auto" w:fill="auto"/>
            <w:noWrap/>
            <w:vAlign w:val="center"/>
          </w:tcPr>
          <w:p>
            <w:pPr>
              <w:widowControl/>
              <w:spacing w:line="240" w:lineRule="auto"/>
              <w:ind w:firstLine="0" w:firstLineChars="0"/>
              <w:jc w:val="center"/>
              <w:rPr>
                <w:rFonts w:hint="eastAsia"/>
              </w:rPr>
            </w:pPr>
            <w:r>
              <w:rPr>
                <w:rFonts w:hint="eastAsia"/>
              </w:rPr>
              <w:t>3人</w:t>
            </w:r>
          </w:p>
        </w:tc>
        <w:tc>
          <w:tcPr>
            <w:tcW w:w="4649" w:type="dxa"/>
            <w:vAlign w:val="center"/>
          </w:tcPr>
          <w:p>
            <w:pPr>
              <w:widowControl/>
              <w:spacing w:line="240" w:lineRule="auto"/>
              <w:ind w:firstLine="0" w:firstLineChars="0"/>
              <w:jc w:val="center"/>
              <w:rPr>
                <w:rFonts w:hint="eastAsia"/>
              </w:rPr>
            </w:pPr>
            <w:r>
              <w:rPr>
                <w:rFonts w:hint="eastAsia"/>
                <w:lang w:val="en-US" w:eastAsia="zh-CN"/>
              </w:rPr>
              <w:t>团队成员具备软考中级职称及以上证书、地理信息或计算机或水利水务相关专业本科及以上学历。</w:t>
            </w:r>
          </w:p>
        </w:tc>
        <w:tc>
          <w:tcPr>
            <w:tcW w:w="926" w:type="dxa"/>
            <w:vMerge w:val="continue"/>
            <w:shd w:val="clear" w:color="auto" w:fill="auto"/>
            <w:noWrap/>
            <w:vAlign w:val="center"/>
          </w:tcPr>
          <w:p>
            <w:pPr>
              <w:widowControl/>
              <w:spacing w:line="240" w:lineRule="auto"/>
              <w:ind w:firstLine="0" w:firstLineChars="0"/>
              <w:jc w:val="center"/>
              <w:rPr>
                <w:rFonts w:hint="eastAsia"/>
              </w:rPr>
            </w:pPr>
          </w:p>
        </w:tc>
      </w:tr>
    </w:tbl>
    <w:p>
      <w:pPr>
        <w:pStyle w:val="3"/>
        <w:ind w:left="567"/>
        <w:rPr>
          <w:rFonts w:hint="eastAsia" w:ascii="宋体" w:hAnsi="宋体" w:eastAsia="宋体"/>
        </w:rPr>
      </w:pPr>
      <w:bookmarkStart w:id="42" w:name="_Toc63785511"/>
      <w:bookmarkStart w:id="43" w:name="_Toc63785512"/>
      <w:r>
        <w:rPr>
          <w:rFonts w:hint="eastAsia" w:ascii="宋体" w:hAnsi="宋体" w:eastAsia="宋体"/>
        </w:rPr>
        <w:t>等级保护要求</w:t>
      </w:r>
      <w:bookmarkEnd w:id="42"/>
    </w:p>
    <w:p>
      <w:pPr>
        <w:rPr>
          <w:rFonts w:hint="eastAsia"/>
        </w:rPr>
      </w:pPr>
      <w:r>
        <w:rPr>
          <w:rFonts w:hint="eastAsia"/>
        </w:rPr>
        <w:t>本项目参照等级保护三级要求建设。</w:t>
      </w:r>
    </w:p>
    <w:p>
      <w:pPr>
        <w:pStyle w:val="3"/>
        <w:ind w:left="567"/>
        <w:rPr>
          <w:rFonts w:hint="eastAsia" w:ascii="宋体" w:hAnsi="宋体" w:eastAsia="宋体"/>
        </w:rPr>
      </w:pPr>
      <w:r>
        <w:rPr>
          <w:rFonts w:hint="eastAsia" w:ascii="宋体" w:hAnsi="宋体" w:eastAsia="宋体"/>
        </w:rPr>
        <w:t>商业密码应用需求</w:t>
      </w:r>
    </w:p>
    <w:p>
      <w:pPr>
        <w:rPr>
          <w:rFonts w:hint="eastAsia"/>
        </w:rPr>
      </w:pPr>
      <w:r>
        <w:rPr>
          <w:rFonts w:hint="eastAsia"/>
        </w:rPr>
        <w:t>本项目参照商用密码应用三级要求建设。</w:t>
      </w:r>
    </w:p>
    <w:p>
      <w:pPr>
        <w:rPr>
          <w:rFonts w:hint="eastAsia"/>
        </w:rPr>
      </w:pPr>
      <w:r>
        <w:rPr>
          <w:rFonts w:hint="eastAsia"/>
        </w:rPr>
        <w:t>基于云平台提供的安全认证网关、签名验签、数据库加密等密码服务以及系统的应用功能，需开发适配若干密码应用功能模块，以实现网络和通信、设备和计算、应用和数据等层面的各密码应用功能。密码应用功能模块与系统功能、业务复杂度密切相关，若系统功能较多、业务复杂度较高，则密码应用功能模块的开发适配工作量需相应调增。</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273"/>
        <w:gridCol w:w="2732"/>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b/>
                <w:bCs/>
              </w:rPr>
            </w:pPr>
            <w:r>
              <w:rPr>
                <w:rFonts w:hint="eastAsia" w:ascii="仿宋" w:hAnsi="仿宋" w:eastAsia="仿宋"/>
                <w:b/>
                <w:bCs/>
              </w:rPr>
              <w:t>序号</w:t>
            </w:r>
          </w:p>
        </w:tc>
        <w:tc>
          <w:tcPr>
            <w:tcW w:w="746" w:type="pct"/>
            <w:vAlign w:val="center"/>
          </w:tcPr>
          <w:p>
            <w:pPr>
              <w:ind w:firstLine="0" w:firstLineChars="0"/>
              <w:jc w:val="center"/>
              <w:rPr>
                <w:rFonts w:hint="eastAsia" w:ascii="仿宋" w:hAnsi="仿宋" w:eastAsia="仿宋"/>
                <w:b/>
                <w:bCs/>
              </w:rPr>
            </w:pPr>
            <w:r>
              <w:rPr>
                <w:rFonts w:hint="eastAsia" w:ascii="仿宋" w:hAnsi="仿宋" w:eastAsia="仿宋"/>
                <w:b/>
                <w:bCs/>
              </w:rPr>
              <w:t>安全层面</w:t>
            </w:r>
          </w:p>
        </w:tc>
        <w:tc>
          <w:tcPr>
            <w:tcW w:w="1601" w:type="pct"/>
            <w:vAlign w:val="center"/>
          </w:tcPr>
          <w:p>
            <w:pPr>
              <w:ind w:firstLine="0" w:firstLineChars="0"/>
              <w:jc w:val="center"/>
              <w:rPr>
                <w:rFonts w:hint="eastAsia" w:ascii="仿宋" w:hAnsi="仿宋" w:eastAsia="仿宋"/>
                <w:b/>
                <w:bCs/>
              </w:rPr>
            </w:pPr>
            <w:r>
              <w:rPr>
                <w:rFonts w:hint="eastAsia" w:ascii="仿宋" w:hAnsi="仿宋" w:eastAsia="仿宋"/>
                <w:b/>
                <w:bCs/>
              </w:rPr>
              <w:t>保护对象</w:t>
            </w:r>
          </w:p>
        </w:tc>
        <w:tc>
          <w:tcPr>
            <w:tcW w:w="2225" w:type="pct"/>
            <w:vAlign w:val="center"/>
          </w:tcPr>
          <w:p>
            <w:pPr>
              <w:ind w:firstLine="0" w:firstLineChars="0"/>
              <w:jc w:val="center"/>
              <w:rPr>
                <w:rFonts w:hint="eastAsia" w:ascii="仿宋" w:hAnsi="仿宋" w:eastAsia="仿宋"/>
                <w:b/>
                <w:bCs/>
              </w:rPr>
            </w:pPr>
            <w:r>
              <w:rPr>
                <w:rFonts w:hint="eastAsia" w:ascii="仿宋" w:hAnsi="仿宋" w:eastAsia="仿宋"/>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26" w:type="pct"/>
            <w:vAlign w:val="center"/>
          </w:tcPr>
          <w:p>
            <w:pPr>
              <w:ind w:firstLine="0" w:firstLineChars="0"/>
              <w:jc w:val="center"/>
              <w:rPr>
                <w:rFonts w:hint="eastAsia" w:ascii="仿宋" w:hAnsi="仿宋" w:eastAsia="仿宋"/>
              </w:rPr>
            </w:pPr>
            <w:r>
              <w:rPr>
                <w:rFonts w:hint="eastAsia" w:ascii="仿宋" w:hAnsi="仿宋" w:eastAsia="仿宋"/>
              </w:rPr>
              <w:t>1</w:t>
            </w:r>
          </w:p>
        </w:tc>
        <w:tc>
          <w:tcPr>
            <w:tcW w:w="746" w:type="pct"/>
            <w:vMerge w:val="restart"/>
            <w:vAlign w:val="center"/>
          </w:tcPr>
          <w:p>
            <w:pPr>
              <w:ind w:firstLine="0" w:firstLineChars="0"/>
              <w:rPr>
                <w:rFonts w:hint="eastAsia" w:ascii="仿宋" w:hAnsi="仿宋" w:eastAsia="仿宋"/>
              </w:rPr>
            </w:pPr>
            <w:r>
              <w:rPr>
                <w:rFonts w:hint="eastAsia" w:ascii="仿宋" w:hAnsi="仿宋" w:eastAsia="仿宋"/>
              </w:rPr>
              <w:t>网络和通信安全</w:t>
            </w:r>
          </w:p>
        </w:tc>
        <w:tc>
          <w:tcPr>
            <w:tcW w:w="1601" w:type="pct"/>
            <w:vAlign w:val="center"/>
          </w:tcPr>
          <w:p>
            <w:pPr>
              <w:ind w:firstLine="0" w:firstLineChars="0"/>
              <w:rPr>
                <w:rFonts w:hint="eastAsia" w:ascii="仿宋" w:hAnsi="仿宋" w:eastAsia="仿宋"/>
              </w:rPr>
            </w:pPr>
            <w:r>
              <w:rPr>
                <w:rFonts w:hint="eastAsia" w:ascii="仿宋" w:hAnsi="仿宋" w:eastAsia="仿宋"/>
              </w:rPr>
              <w:t>远程运维通信信道</w:t>
            </w:r>
          </w:p>
        </w:tc>
        <w:tc>
          <w:tcPr>
            <w:tcW w:w="2225" w:type="pct"/>
            <w:vAlign w:val="center"/>
          </w:tcPr>
          <w:p>
            <w:pPr>
              <w:ind w:firstLine="0" w:firstLineChars="0"/>
              <w:rPr>
                <w:rFonts w:hint="eastAsia" w:ascii="仿宋" w:hAnsi="仿宋" w:eastAsia="仿宋"/>
              </w:rPr>
            </w:pPr>
            <w:r>
              <w:rPr>
                <w:rFonts w:hint="eastAsia" w:ascii="仿宋" w:hAnsi="仿宋" w:eastAsia="仿宋"/>
              </w:rPr>
              <w:t>通过远程管理终端对系统内设备进行运维的通信信道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vAlign w:val="center"/>
          </w:tcPr>
          <w:p>
            <w:pPr>
              <w:ind w:firstLine="0" w:firstLineChars="0"/>
              <w:jc w:val="center"/>
              <w:rPr>
                <w:rFonts w:hint="eastAsia" w:ascii="仿宋" w:hAnsi="仿宋" w:eastAsia="仿宋"/>
              </w:rPr>
            </w:pPr>
            <w:r>
              <w:rPr>
                <w:rFonts w:hint="eastAsia" w:ascii="仿宋" w:hAnsi="仿宋" w:eastAsia="仿宋"/>
              </w:rPr>
              <w:t>2</w:t>
            </w:r>
          </w:p>
        </w:tc>
        <w:tc>
          <w:tcPr>
            <w:tcW w:w="746" w:type="pct"/>
            <w:vMerge w:val="continue"/>
            <w:vAlign w:val="center"/>
          </w:tcPr>
          <w:p>
            <w:pPr>
              <w:rPr>
                <w:rFonts w:hint="eastAsia" w:ascii="仿宋" w:hAnsi="仿宋" w:eastAsia="仿宋"/>
              </w:rPr>
            </w:pPr>
          </w:p>
        </w:tc>
        <w:tc>
          <w:tcPr>
            <w:tcW w:w="1601" w:type="pct"/>
            <w:vAlign w:val="center"/>
          </w:tcPr>
          <w:p>
            <w:pPr>
              <w:ind w:firstLine="0" w:firstLineChars="0"/>
              <w:rPr>
                <w:rFonts w:hint="eastAsia" w:ascii="仿宋" w:hAnsi="仿宋" w:eastAsia="仿宋"/>
              </w:rPr>
            </w:pPr>
            <w:r>
              <w:rPr>
                <w:rFonts w:hint="eastAsia" w:ascii="仿宋" w:hAnsi="仿宋" w:eastAsia="仿宋"/>
              </w:rPr>
              <w:t>政务外网访问通信信道</w:t>
            </w:r>
          </w:p>
        </w:tc>
        <w:tc>
          <w:tcPr>
            <w:tcW w:w="2225" w:type="pct"/>
            <w:vAlign w:val="center"/>
          </w:tcPr>
          <w:p>
            <w:pPr>
              <w:ind w:firstLine="0" w:firstLineChars="0"/>
              <w:rPr>
                <w:rFonts w:hint="eastAsia" w:ascii="仿宋" w:hAnsi="仿宋" w:eastAsia="仿宋"/>
              </w:rPr>
            </w:pPr>
            <w:r>
              <w:rPr>
                <w:rFonts w:hint="eastAsia" w:ascii="仿宋" w:hAnsi="仿宋" w:eastAsia="仿宋"/>
              </w:rPr>
              <w:t>从政务外网访问应用的通信信道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hint="eastAsia" w:ascii="仿宋" w:hAnsi="仿宋" w:eastAsia="仿宋"/>
              </w:rPr>
              <w:t>3</w:t>
            </w:r>
          </w:p>
        </w:tc>
        <w:tc>
          <w:tcPr>
            <w:tcW w:w="746" w:type="pct"/>
            <w:vMerge w:val="continue"/>
            <w:vAlign w:val="center"/>
          </w:tcPr>
          <w:p>
            <w:pPr>
              <w:rPr>
                <w:rFonts w:hint="eastAsia" w:ascii="仿宋" w:hAnsi="仿宋" w:eastAsia="仿宋"/>
              </w:rPr>
            </w:pPr>
          </w:p>
        </w:tc>
        <w:tc>
          <w:tcPr>
            <w:tcW w:w="1601" w:type="pct"/>
            <w:vAlign w:val="center"/>
          </w:tcPr>
          <w:p>
            <w:pPr>
              <w:ind w:firstLine="0" w:firstLineChars="0"/>
              <w:rPr>
                <w:rFonts w:hint="eastAsia" w:ascii="仿宋" w:hAnsi="仿宋" w:eastAsia="仿宋"/>
              </w:rPr>
            </w:pPr>
            <w:r>
              <w:rPr>
                <w:rFonts w:hint="eastAsia" w:ascii="仿宋" w:hAnsi="仿宋" w:eastAsia="仿宋"/>
              </w:rPr>
              <w:t>互联网访问通信信道</w:t>
            </w:r>
          </w:p>
        </w:tc>
        <w:tc>
          <w:tcPr>
            <w:tcW w:w="2225" w:type="pct"/>
            <w:vAlign w:val="center"/>
          </w:tcPr>
          <w:p>
            <w:pPr>
              <w:ind w:firstLine="0" w:firstLineChars="0"/>
              <w:rPr>
                <w:rFonts w:hint="eastAsia" w:ascii="仿宋" w:hAnsi="仿宋" w:eastAsia="仿宋"/>
              </w:rPr>
            </w:pPr>
            <w:r>
              <w:rPr>
                <w:rFonts w:hint="eastAsia" w:ascii="仿宋" w:hAnsi="仿宋" w:eastAsia="仿宋"/>
              </w:rPr>
              <w:t>从互联网访问应用的通信信道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hint="eastAsia" w:ascii="仿宋" w:hAnsi="仿宋" w:eastAsia="仿宋"/>
              </w:rPr>
              <w:t>4</w:t>
            </w:r>
          </w:p>
        </w:tc>
        <w:tc>
          <w:tcPr>
            <w:tcW w:w="746" w:type="pct"/>
            <w:vMerge w:val="restart"/>
            <w:vAlign w:val="center"/>
          </w:tcPr>
          <w:p>
            <w:pPr>
              <w:ind w:firstLine="0" w:firstLineChars="0"/>
              <w:rPr>
                <w:rFonts w:hint="eastAsia" w:ascii="仿宋" w:hAnsi="仿宋" w:eastAsia="仿宋"/>
              </w:rPr>
            </w:pPr>
            <w:r>
              <w:rPr>
                <w:rFonts w:hint="eastAsia" w:ascii="仿宋" w:hAnsi="仿宋" w:eastAsia="仿宋"/>
              </w:rPr>
              <w:t>设备和计算安全</w:t>
            </w:r>
          </w:p>
        </w:tc>
        <w:tc>
          <w:tcPr>
            <w:tcW w:w="1601" w:type="pct"/>
            <w:vAlign w:val="center"/>
          </w:tcPr>
          <w:p>
            <w:pPr>
              <w:ind w:firstLine="0" w:firstLineChars="0"/>
              <w:rPr>
                <w:rFonts w:hint="eastAsia" w:ascii="仿宋" w:hAnsi="仿宋" w:eastAsia="仿宋"/>
              </w:rPr>
            </w:pPr>
            <w:r>
              <w:rPr>
                <w:rFonts w:hint="eastAsia" w:ascii="仿宋" w:hAnsi="仿宋" w:eastAsia="仿宋"/>
              </w:rPr>
              <w:t>服务器虚拟机</w:t>
            </w:r>
          </w:p>
        </w:tc>
        <w:tc>
          <w:tcPr>
            <w:tcW w:w="2225" w:type="pct"/>
            <w:vAlign w:val="center"/>
          </w:tcPr>
          <w:p>
            <w:pPr>
              <w:ind w:firstLine="0" w:firstLineChars="0"/>
              <w:rPr>
                <w:rFonts w:hint="eastAsia" w:ascii="仿宋" w:hAnsi="仿宋" w:eastAsia="仿宋"/>
              </w:rPr>
            </w:pPr>
            <w:r>
              <w:rPr>
                <w:rFonts w:hint="eastAsia" w:ascii="仿宋" w:hAnsi="仿宋" w:eastAsia="仿宋"/>
              </w:rPr>
              <w:t>应用服务器虚拟机和数据库服务器虚拟机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hint="eastAsia" w:ascii="仿宋" w:hAnsi="仿宋" w:eastAsia="仿宋"/>
              </w:rPr>
              <w:t>5</w:t>
            </w:r>
          </w:p>
        </w:tc>
        <w:tc>
          <w:tcPr>
            <w:tcW w:w="746" w:type="pct"/>
            <w:vMerge w:val="continue"/>
            <w:vAlign w:val="center"/>
          </w:tcPr>
          <w:p>
            <w:pPr>
              <w:rPr>
                <w:rFonts w:hint="eastAsia" w:ascii="仿宋" w:hAnsi="仿宋" w:eastAsia="仿宋"/>
              </w:rPr>
            </w:pPr>
          </w:p>
        </w:tc>
        <w:tc>
          <w:tcPr>
            <w:tcW w:w="1601" w:type="pct"/>
            <w:vAlign w:val="center"/>
          </w:tcPr>
          <w:p>
            <w:pPr>
              <w:ind w:firstLine="0" w:firstLineChars="0"/>
              <w:rPr>
                <w:rFonts w:hint="eastAsia" w:ascii="仿宋" w:hAnsi="仿宋" w:eastAsia="仿宋"/>
              </w:rPr>
            </w:pPr>
            <w:r>
              <w:rPr>
                <w:rFonts w:hint="eastAsia" w:ascii="仿宋" w:hAnsi="仿宋" w:eastAsia="仿宋"/>
              </w:rPr>
              <w:t>数据库</w:t>
            </w:r>
          </w:p>
        </w:tc>
        <w:tc>
          <w:tcPr>
            <w:tcW w:w="2225" w:type="pct"/>
            <w:vAlign w:val="center"/>
          </w:tcPr>
          <w:p>
            <w:pPr>
              <w:ind w:firstLine="0" w:firstLineChars="0"/>
              <w:rPr>
                <w:rFonts w:hint="eastAsia" w:ascii="仿宋" w:hAnsi="仿宋" w:eastAsia="仿宋"/>
              </w:rPr>
            </w:pPr>
            <w:r>
              <w:rPr>
                <w:rFonts w:hint="eastAsia"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hint="eastAsia" w:ascii="仿宋" w:hAnsi="仿宋" w:eastAsia="仿宋"/>
              </w:rPr>
              <w:t>6</w:t>
            </w:r>
          </w:p>
        </w:tc>
        <w:tc>
          <w:tcPr>
            <w:tcW w:w="746" w:type="pct"/>
            <w:vMerge w:val="restart"/>
            <w:vAlign w:val="center"/>
          </w:tcPr>
          <w:p>
            <w:pPr>
              <w:ind w:firstLine="0" w:firstLineChars="0"/>
              <w:rPr>
                <w:rFonts w:hint="eastAsia" w:ascii="仿宋" w:hAnsi="仿宋" w:eastAsia="仿宋"/>
              </w:rPr>
            </w:pPr>
            <w:r>
              <w:rPr>
                <w:rFonts w:hint="eastAsia" w:ascii="仿宋" w:hAnsi="仿宋" w:eastAsia="仿宋"/>
              </w:rPr>
              <w:t>应用和数据安全</w:t>
            </w:r>
          </w:p>
        </w:tc>
        <w:tc>
          <w:tcPr>
            <w:tcW w:w="1601" w:type="pct"/>
            <w:vMerge w:val="restart"/>
            <w:vAlign w:val="center"/>
          </w:tcPr>
          <w:p>
            <w:pPr>
              <w:ind w:firstLine="0" w:firstLineChars="0"/>
              <w:rPr>
                <w:rFonts w:hint="eastAsia" w:ascii="仿宋" w:hAnsi="仿宋" w:eastAsia="仿宋"/>
              </w:rPr>
            </w:pPr>
            <w:r>
              <w:rPr>
                <w:rFonts w:hint="eastAsia" w:ascii="仿宋" w:hAnsi="仿宋" w:eastAsia="仿宋"/>
              </w:rPr>
              <w:t>应用用户</w:t>
            </w:r>
          </w:p>
        </w:tc>
        <w:tc>
          <w:tcPr>
            <w:tcW w:w="2225" w:type="pct"/>
            <w:vAlign w:val="center"/>
          </w:tcPr>
          <w:p>
            <w:pPr>
              <w:ind w:firstLine="0" w:firstLineChars="0"/>
              <w:rPr>
                <w:rFonts w:hint="eastAsia" w:ascii="仿宋" w:hAnsi="仿宋" w:eastAsia="仿宋"/>
              </w:rPr>
            </w:pPr>
            <w:r>
              <w:rPr>
                <w:rFonts w:hint="eastAsia" w:ascii="仿宋" w:hAnsi="仿宋" w:eastAsia="仿宋"/>
              </w:rPr>
              <w:t>互联网侧应用用户（P</w:t>
            </w:r>
            <w:r>
              <w:rPr>
                <w:rFonts w:ascii="仿宋" w:hAnsi="仿宋" w:eastAsia="仿宋"/>
              </w:rPr>
              <w:t>C</w:t>
            </w:r>
            <w:r>
              <w:rPr>
                <w:rFonts w:hint="eastAsia" w:ascii="仿宋" w:hAnsi="仿宋" w:eastAsia="仿宋"/>
              </w:rPr>
              <w:t>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ascii="仿宋" w:hAnsi="仿宋" w:eastAsia="仿宋"/>
              </w:rPr>
              <w:t>7</w:t>
            </w:r>
          </w:p>
        </w:tc>
        <w:tc>
          <w:tcPr>
            <w:tcW w:w="746" w:type="pct"/>
            <w:vMerge w:val="continue"/>
            <w:vAlign w:val="center"/>
          </w:tcPr>
          <w:p>
            <w:pPr>
              <w:rPr>
                <w:rFonts w:hint="eastAsia" w:ascii="仿宋" w:hAnsi="仿宋" w:eastAsia="仿宋"/>
              </w:rPr>
            </w:pPr>
          </w:p>
        </w:tc>
        <w:tc>
          <w:tcPr>
            <w:tcW w:w="1601" w:type="pct"/>
            <w:vMerge w:val="continue"/>
            <w:vAlign w:val="center"/>
          </w:tcPr>
          <w:p>
            <w:pPr>
              <w:rPr>
                <w:rFonts w:hint="eastAsia" w:ascii="仿宋" w:hAnsi="仿宋" w:eastAsia="仿宋"/>
              </w:rPr>
            </w:pPr>
          </w:p>
        </w:tc>
        <w:tc>
          <w:tcPr>
            <w:tcW w:w="2225" w:type="pct"/>
            <w:vAlign w:val="center"/>
          </w:tcPr>
          <w:p>
            <w:pPr>
              <w:ind w:firstLine="0" w:firstLineChars="0"/>
              <w:rPr>
                <w:rFonts w:hint="eastAsia" w:ascii="仿宋" w:hAnsi="仿宋" w:eastAsia="仿宋"/>
              </w:rPr>
            </w:pPr>
            <w:r>
              <w:rPr>
                <w:rFonts w:hint="eastAsia" w:ascii="仿宋" w:hAnsi="仿宋" w:eastAsia="仿宋"/>
              </w:rPr>
              <w:t>政务外网侧应用用户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hint="eastAsia" w:ascii="仿宋" w:hAnsi="仿宋" w:eastAsia="仿宋"/>
              </w:rPr>
              <w:t>8</w:t>
            </w:r>
          </w:p>
        </w:tc>
        <w:tc>
          <w:tcPr>
            <w:tcW w:w="746" w:type="pct"/>
            <w:vMerge w:val="continue"/>
            <w:vAlign w:val="center"/>
          </w:tcPr>
          <w:p>
            <w:pPr>
              <w:rPr>
                <w:rFonts w:hint="eastAsia" w:ascii="仿宋" w:hAnsi="仿宋" w:eastAsia="仿宋"/>
              </w:rPr>
            </w:pPr>
          </w:p>
        </w:tc>
        <w:tc>
          <w:tcPr>
            <w:tcW w:w="1601" w:type="pct"/>
            <w:vMerge w:val="continue"/>
            <w:vAlign w:val="center"/>
          </w:tcPr>
          <w:p>
            <w:pPr>
              <w:rPr>
                <w:rFonts w:hint="eastAsia" w:ascii="仿宋" w:hAnsi="仿宋" w:eastAsia="仿宋"/>
              </w:rPr>
            </w:pPr>
          </w:p>
        </w:tc>
        <w:tc>
          <w:tcPr>
            <w:tcW w:w="2225" w:type="pct"/>
            <w:vAlign w:val="center"/>
          </w:tcPr>
          <w:p>
            <w:pPr>
              <w:ind w:firstLine="0" w:firstLineChars="0"/>
              <w:rPr>
                <w:rFonts w:hint="eastAsia" w:ascii="仿宋" w:hAnsi="仿宋" w:eastAsia="仿宋"/>
              </w:rPr>
            </w:pPr>
            <w:r>
              <w:rPr>
                <w:rFonts w:hint="eastAsia" w:ascii="仿宋" w:hAnsi="仿宋" w:eastAsia="仿宋"/>
              </w:rPr>
              <w:t>政务外网侧管理员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ascii="仿宋" w:hAnsi="仿宋" w:eastAsia="仿宋"/>
              </w:rPr>
              <w:t>9</w:t>
            </w:r>
          </w:p>
        </w:tc>
        <w:tc>
          <w:tcPr>
            <w:tcW w:w="746" w:type="pct"/>
            <w:vMerge w:val="continue"/>
            <w:vAlign w:val="center"/>
          </w:tcPr>
          <w:p>
            <w:pPr>
              <w:rPr>
                <w:rFonts w:hint="eastAsia" w:ascii="仿宋" w:hAnsi="仿宋" w:eastAsia="仿宋"/>
              </w:rPr>
            </w:pPr>
          </w:p>
        </w:tc>
        <w:tc>
          <w:tcPr>
            <w:tcW w:w="1601" w:type="pct"/>
            <w:vMerge w:val="restart"/>
            <w:vAlign w:val="center"/>
          </w:tcPr>
          <w:p>
            <w:pPr>
              <w:ind w:firstLine="0" w:firstLineChars="0"/>
              <w:rPr>
                <w:rFonts w:hint="eastAsia" w:ascii="仿宋" w:hAnsi="仿宋" w:eastAsia="仿宋"/>
              </w:rPr>
            </w:pPr>
            <w:r>
              <w:rPr>
                <w:rFonts w:hint="eastAsia" w:ascii="仿宋" w:hAnsi="仿宋" w:eastAsia="仿宋"/>
              </w:rPr>
              <w:t>重要数据</w:t>
            </w:r>
          </w:p>
        </w:tc>
        <w:tc>
          <w:tcPr>
            <w:tcW w:w="2225" w:type="pct"/>
            <w:vAlign w:val="center"/>
          </w:tcPr>
          <w:p>
            <w:pPr>
              <w:ind w:firstLine="0" w:firstLineChars="0"/>
              <w:rPr>
                <w:rFonts w:hint="eastAsia" w:ascii="仿宋" w:hAnsi="仿宋" w:eastAsia="仿宋"/>
              </w:rPr>
            </w:pPr>
            <w:r>
              <w:rPr>
                <w:rFonts w:hint="eastAsia" w:ascii="仿宋" w:hAnsi="仿宋" w:eastAsia="仿宋"/>
              </w:rPr>
              <w:t>用户登录口令（用户身份鉴别数据）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ascii="仿宋" w:hAnsi="仿宋" w:eastAsia="仿宋"/>
              </w:rPr>
              <w:t>10</w:t>
            </w:r>
          </w:p>
        </w:tc>
        <w:tc>
          <w:tcPr>
            <w:tcW w:w="746" w:type="pct"/>
            <w:vMerge w:val="continue"/>
            <w:vAlign w:val="center"/>
          </w:tcPr>
          <w:p>
            <w:pPr>
              <w:rPr>
                <w:rFonts w:hint="eastAsia" w:ascii="仿宋" w:hAnsi="仿宋" w:eastAsia="仿宋"/>
              </w:rPr>
            </w:pPr>
          </w:p>
        </w:tc>
        <w:tc>
          <w:tcPr>
            <w:tcW w:w="1601" w:type="pct"/>
            <w:vMerge w:val="continue"/>
            <w:vAlign w:val="center"/>
          </w:tcPr>
          <w:p>
            <w:pPr>
              <w:rPr>
                <w:rFonts w:hint="eastAsia" w:ascii="仿宋" w:hAnsi="仿宋" w:eastAsia="仿宋"/>
              </w:rPr>
            </w:pPr>
          </w:p>
        </w:tc>
        <w:tc>
          <w:tcPr>
            <w:tcW w:w="2225" w:type="pct"/>
            <w:vAlign w:val="center"/>
          </w:tcPr>
          <w:p>
            <w:pPr>
              <w:ind w:firstLine="0" w:firstLineChars="0"/>
              <w:rPr>
                <w:rFonts w:hint="eastAsia" w:ascii="仿宋" w:hAnsi="仿宋" w:eastAsia="仿宋"/>
              </w:rPr>
            </w:pPr>
            <w:r>
              <w:rPr>
                <w:rFonts w:hint="eastAsia" w:ascii="仿宋" w:hAnsi="仿宋" w:eastAsia="仿宋"/>
              </w:rPr>
              <w:t>系统访问控制信息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ascii="仿宋" w:hAnsi="仿宋" w:eastAsia="仿宋"/>
              </w:rPr>
              <w:t>11</w:t>
            </w:r>
          </w:p>
        </w:tc>
        <w:tc>
          <w:tcPr>
            <w:tcW w:w="746" w:type="pct"/>
            <w:vMerge w:val="continue"/>
            <w:vAlign w:val="center"/>
          </w:tcPr>
          <w:p>
            <w:pPr>
              <w:rPr>
                <w:rFonts w:hint="eastAsia" w:ascii="仿宋" w:hAnsi="仿宋" w:eastAsia="仿宋"/>
              </w:rPr>
            </w:pPr>
          </w:p>
        </w:tc>
        <w:tc>
          <w:tcPr>
            <w:tcW w:w="1601" w:type="pct"/>
            <w:vMerge w:val="continue"/>
            <w:vAlign w:val="center"/>
          </w:tcPr>
          <w:p>
            <w:pPr>
              <w:rPr>
                <w:rFonts w:hint="eastAsia" w:ascii="仿宋" w:hAnsi="仿宋" w:eastAsia="仿宋"/>
              </w:rPr>
            </w:pPr>
          </w:p>
        </w:tc>
        <w:tc>
          <w:tcPr>
            <w:tcW w:w="2225" w:type="pct"/>
            <w:vAlign w:val="center"/>
          </w:tcPr>
          <w:p>
            <w:pPr>
              <w:ind w:firstLine="0" w:firstLineChars="0"/>
              <w:rPr>
                <w:rFonts w:hint="eastAsia" w:ascii="仿宋" w:hAnsi="仿宋" w:eastAsia="仿宋"/>
              </w:rPr>
            </w:pPr>
            <w:r>
              <w:rPr>
                <w:rFonts w:hint="eastAsia" w:ascii="仿宋" w:hAnsi="仿宋" w:eastAsia="仿宋"/>
              </w:rPr>
              <w:t>系统业务日志数据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ind w:firstLine="0" w:firstLineChars="0"/>
              <w:jc w:val="center"/>
              <w:rPr>
                <w:rFonts w:hint="eastAsia" w:ascii="仿宋" w:hAnsi="仿宋" w:eastAsia="仿宋"/>
              </w:rPr>
            </w:pPr>
            <w:r>
              <w:rPr>
                <w:rFonts w:ascii="仿宋" w:hAnsi="仿宋" w:eastAsia="仿宋"/>
              </w:rPr>
              <w:t>12</w:t>
            </w:r>
          </w:p>
        </w:tc>
        <w:tc>
          <w:tcPr>
            <w:tcW w:w="746" w:type="pct"/>
            <w:vMerge w:val="continue"/>
            <w:vAlign w:val="center"/>
          </w:tcPr>
          <w:p>
            <w:pPr>
              <w:rPr>
                <w:rFonts w:hint="eastAsia" w:ascii="仿宋" w:hAnsi="仿宋" w:eastAsia="仿宋"/>
              </w:rPr>
            </w:pPr>
          </w:p>
        </w:tc>
        <w:tc>
          <w:tcPr>
            <w:tcW w:w="1601" w:type="pct"/>
            <w:vMerge w:val="continue"/>
            <w:vAlign w:val="center"/>
          </w:tcPr>
          <w:p>
            <w:pPr>
              <w:rPr>
                <w:rFonts w:hint="eastAsia" w:ascii="仿宋" w:hAnsi="仿宋" w:eastAsia="仿宋"/>
              </w:rPr>
            </w:pPr>
          </w:p>
        </w:tc>
        <w:tc>
          <w:tcPr>
            <w:tcW w:w="2225" w:type="pct"/>
            <w:vAlign w:val="center"/>
          </w:tcPr>
          <w:p>
            <w:pPr>
              <w:ind w:firstLine="0" w:firstLineChars="0"/>
              <w:rPr>
                <w:rFonts w:hint="eastAsia" w:ascii="仿宋" w:hAnsi="仿宋" w:eastAsia="仿宋"/>
              </w:rPr>
            </w:pPr>
            <w:r>
              <w:rPr>
                <w:rFonts w:hint="eastAsia" w:ascii="仿宋" w:hAnsi="仿宋" w:eastAsia="仿宋"/>
              </w:rPr>
              <w:t>防汛大屏</w:t>
            </w:r>
            <w:r>
              <w:rPr>
                <w:rFonts w:ascii="仿宋" w:hAnsi="仿宋" w:eastAsia="仿宋"/>
              </w:rPr>
              <w:t>数据</w:t>
            </w:r>
          </w:p>
        </w:tc>
      </w:tr>
    </w:tbl>
    <w:p>
      <w:pPr>
        <w:pStyle w:val="3"/>
        <w:ind w:left="567" w:hanging="1"/>
        <w:rPr>
          <w:rFonts w:hint="eastAsia"/>
        </w:rPr>
      </w:pPr>
      <w:r>
        <w:rPr>
          <w:rFonts w:hint="eastAsia"/>
        </w:rPr>
        <w:t>技术文件要求</w:t>
      </w:r>
    </w:p>
    <w:p>
      <w:pPr>
        <w:rPr>
          <w:rFonts w:hint="eastAsia"/>
        </w:rPr>
      </w:pPr>
      <w:r>
        <w:rPr>
          <w:rFonts w:hint="eastAsia"/>
        </w:rPr>
        <w:t>投标人提供的书面技术资料应能确保系统正常运行所需的管理、运营及维护有关的全套文件。技术文件应该全面、完整、详细。</w:t>
      </w:r>
    </w:p>
    <w:p>
      <w:pPr>
        <w:pStyle w:val="2"/>
        <w:rPr>
          <w:rFonts w:hint="eastAsia"/>
        </w:rPr>
      </w:pPr>
      <w:r>
        <w:rPr>
          <w:rFonts w:hint="eastAsia"/>
        </w:rPr>
        <w:t>供应商管理要求</w:t>
      </w:r>
    </w:p>
    <w:p>
      <w:pPr>
        <w:pStyle w:val="81"/>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pPr>
        <w:pStyle w:val="81"/>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1"/>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pPr>
        <w:pStyle w:val="81"/>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1"/>
        <w:ind w:firstLine="480"/>
        <w:rPr>
          <w:rFonts w:hint="eastAsia"/>
          <w:sz w:val="24"/>
          <w:szCs w:val="24"/>
        </w:rPr>
      </w:pPr>
      <w:r>
        <w:rPr>
          <w:rFonts w:hint="eastAsia"/>
          <w:sz w:val="24"/>
          <w:szCs w:val="24"/>
        </w:rPr>
        <w:t>5、中标人在项目实施期间必须遵守采购人的规章制度并提供实施人员名单。</w:t>
      </w:r>
    </w:p>
    <w:p>
      <w:pPr>
        <w:pStyle w:val="81"/>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1"/>
        <w:ind w:firstLine="480"/>
        <w:rPr>
          <w:rFonts w:hint="eastAsia"/>
        </w:rPr>
      </w:pPr>
      <w:r>
        <w:rPr>
          <w:rFonts w:hint="eastAsia"/>
          <w:sz w:val="24"/>
          <w:szCs w:val="24"/>
        </w:rPr>
        <w:t>7、本项目软件开发及调试将纳入采购人的管理范围，中标人在此过程中须服从上述单位的管理协调。</w:t>
      </w:r>
    </w:p>
    <w:bookmarkEnd w:id="43"/>
    <w:p>
      <w:pPr>
        <w:ind w:firstLine="0" w:firstLineChars="0"/>
        <w:rPr>
          <w:rFonts w:hint="eastAsia"/>
          <w:b/>
        </w:rPr>
      </w:pPr>
      <w:bookmarkStart w:id="44" w:name="_GoBack"/>
      <w:bookmarkEnd w:id="44"/>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1F00FF" w:csb1="FFFF0000"/>
  </w:font>
  <w:font w:name="仿宋">
    <w:altName w:val="Arial Unicode MS"/>
    <w:panose1 w:val="02010609060101010101"/>
    <w:charset w:val="86"/>
    <w:family w:val="modern"/>
    <w:pitch w:val="default"/>
    <w:sig w:usb0="00000000" w:usb1="00000000" w:usb2="00000016" w:usb3="00000000" w:csb0="00040001" w:csb1="00000000"/>
  </w:font>
  <w:font w:name="Calibri Light">
    <w:altName w:val="Century Gothic"/>
    <w:panose1 w:val="020F0302020204030204"/>
    <w:charset w:val="00"/>
    <w:family w:val="swiss"/>
    <w:pitch w:val="default"/>
    <w:sig w:usb0="00000000" w:usb1="00000000"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等线 Light">
    <w:altName w:val="書體坊顏體㊣"/>
    <w:panose1 w:val="02010600030101010101"/>
    <w:charset w:val="86"/>
    <w:family w:val="auto"/>
    <w:pitch w:val="default"/>
    <w:sig w:usb0="00000000" w:usb1="00000000" w:usb2="00000016" w:usb3="00000000" w:csb0="0004000F" w:csb1="00000000"/>
  </w:font>
  <w:font w:name="書體坊顏體㊣">
    <w:panose1 w:val="02010600030101010101"/>
    <w:charset w:val="86"/>
    <w:family w:val="auto"/>
    <w:pitch w:val="default"/>
    <w:sig w:usb0="00000001" w:usb1="080E0000" w:usb2="00000000" w:usb3="00000000" w:csb0="00040000"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crosoft YaHei UI">
    <w:altName w:val="微软雅黑"/>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A0F3C52" w:usb2="00000016" w:usb3="00000000" w:csb0="0004001F" w:csb1="00000000"/>
  </w:font>
  <w:font w:name="Microsoft Sans Serif">
    <w:panose1 w:val="020B0604020202020204"/>
    <w:charset w:val="00"/>
    <w:family w:val="swiss"/>
    <w:pitch w:val="default"/>
    <w:sig w:usb0="61007BDF"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sz w:val="21"/>
        <w:szCs w:val="21"/>
      </w:rPr>
    </w:pPr>
    <w:r>
      <w:rPr>
        <w:sz w:val="21"/>
        <w:szCs w:val="21"/>
      </w:rPr>
      <w:fldChar w:fldCharType="begin"/>
    </w:r>
    <w:r>
      <w:rPr>
        <w:rFonts w:hint="eastAsia"/>
        <w:sz w:val="21"/>
        <w:szCs w:val="21"/>
      </w:rPr>
      <w:instrText xml:space="preserve">PAGE   \* MERGEFORMAT</w:instrText>
    </w:r>
    <w:r>
      <w:rPr>
        <w:sz w:val="21"/>
        <w:szCs w:val="21"/>
      </w:rPr>
      <w:fldChar w:fldCharType="separate"/>
    </w:r>
    <w:r>
      <w:rPr>
        <w:rFonts w:hint="eastAsia"/>
        <w:sz w:val="21"/>
        <w:szCs w:val="21"/>
        <w:lang w:val="zh-CN"/>
      </w:rPr>
      <w:t>2</w:t>
    </w:r>
    <w:r>
      <w:rPr>
        <w:sz w:val="21"/>
        <w:szCs w:val="21"/>
        <w:lang w:val="zh-CN"/>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A50C8"/>
    <w:multiLevelType w:val="singleLevel"/>
    <w:tmpl w:val="9AFA50C8"/>
    <w:lvl w:ilvl="0" w:tentative="0">
      <w:start w:val="1"/>
      <w:numFmt w:val="decimal"/>
      <w:suff w:val="nothing"/>
      <w:lvlText w:val="%1、"/>
      <w:lvlJc w:val="left"/>
    </w:lvl>
  </w:abstractNum>
  <w:abstractNum w:abstractNumId="1">
    <w:nsid w:val="169055AF"/>
    <w:multiLevelType w:val="multilevel"/>
    <w:tmpl w:val="169055AF"/>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6BFF161B"/>
    <w:multiLevelType w:val="singleLevel"/>
    <w:tmpl w:val="6BFF161B"/>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jMTMzYTA3MWYyNGE2YzMxZGMzMmRhYzdhMjhkOWE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92A"/>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52F9"/>
    <w:rsid w:val="0006794B"/>
    <w:rsid w:val="00067DCA"/>
    <w:rsid w:val="00070063"/>
    <w:rsid w:val="0007087A"/>
    <w:rsid w:val="000710EC"/>
    <w:rsid w:val="00072237"/>
    <w:rsid w:val="00072ABE"/>
    <w:rsid w:val="00080B39"/>
    <w:rsid w:val="00083950"/>
    <w:rsid w:val="0008452F"/>
    <w:rsid w:val="00084E8E"/>
    <w:rsid w:val="00085A68"/>
    <w:rsid w:val="00087322"/>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0DA6"/>
    <w:rsid w:val="000D225C"/>
    <w:rsid w:val="000D36F2"/>
    <w:rsid w:val="000D4B26"/>
    <w:rsid w:val="000D74DB"/>
    <w:rsid w:val="000E24D6"/>
    <w:rsid w:val="000E6072"/>
    <w:rsid w:val="000E6D61"/>
    <w:rsid w:val="000E7A23"/>
    <w:rsid w:val="000F1C29"/>
    <w:rsid w:val="000F1E9E"/>
    <w:rsid w:val="000F2B10"/>
    <w:rsid w:val="000F33A5"/>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1477"/>
    <w:rsid w:val="00172A1A"/>
    <w:rsid w:val="00173251"/>
    <w:rsid w:val="001752EE"/>
    <w:rsid w:val="00176BED"/>
    <w:rsid w:val="0017759D"/>
    <w:rsid w:val="001804A5"/>
    <w:rsid w:val="00180981"/>
    <w:rsid w:val="00181C94"/>
    <w:rsid w:val="00182C84"/>
    <w:rsid w:val="00187031"/>
    <w:rsid w:val="00191EA4"/>
    <w:rsid w:val="00192B6C"/>
    <w:rsid w:val="00192C30"/>
    <w:rsid w:val="0019381E"/>
    <w:rsid w:val="00194CF5"/>
    <w:rsid w:val="0019503C"/>
    <w:rsid w:val="00195D94"/>
    <w:rsid w:val="00196645"/>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11A5"/>
    <w:rsid w:val="00263017"/>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2DB"/>
    <w:rsid w:val="00311530"/>
    <w:rsid w:val="00312D31"/>
    <w:rsid w:val="00313D6B"/>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12A1"/>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1D9"/>
    <w:rsid w:val="003772C0"/>
    <w:rsid w:val="00377BAC"/>
    <w:rsid w:val="00380142"/>
    <w:rsid w:val="00380558"/>
    <w:rsid w:val="00381D3C"/>
    <w:rsid w:val="0038223E"/>
    <w:rsid w:val="00382D92"/>
    <w:rsid w:val="00385AEF"/>
    <w:rsid w:val="003860EA"/>
    <w:rsid w:val="0038781A"/>
    <w:rsid w:val="0039080B"/>
    <w:rsid w:val="0039326E"/>
    <w:rsid w:val="00394E22"/>
    <w:rsid w:val="0039575D"/>
    <w:rsid w:val="003967A4"/>
    <w:rsid w:val="00397FA3"/>
    <w:rsid w:val="003A1596"/>
    <w:rsid w:val="003A317E"/>
    <w:rsid w:val="003A345B"/>
    <w:rsid w:val="003A428D"/>
    <w:rsid w:val="003A49EE"/>
    <w:rsid w:val="003A674D"/>
    <w:rsid w:val="003A7123"/>
    <w:rsid w:val="003B102E"/>
    <w:rsid w:val="003B2167"/>
    <w:rsid w:val="003B25D5"/>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F3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2AA7"/>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2D06"/>
    <w:rsid w:val="004D36D8"/>
    <w:rsid w:val="004D4C5C"/>
    <w:rsid w:val="004D51A8"/>
    <w:rsid w:val="004D5AB0"/>
    <w:rsid w:val="004D5EAE"/>
    <w:rsid w:val="004D7A0E"/>
    <w:rsid w:val="004E06E7"/>
    <w:rsid w:val="004E0AE3"/>
    <w:rsid w:val="004E20D3"/>
    <w:rsid w:val="004E2C82"/>
    <w:rsid w:val="004E3CB7"/>
    <w:rsid w:val="004E4FAE"/>
    <w:rsid w:val="004E62C7"/>
    <w:rsid w:val="004E68FF"/>
    <w:rsid w:val="004E7A1B"/>
    <w:rsid w:val="004F0B7F"/>
    <w:rsid w:val="004F1193"/>
    <w:rsid w:val="004F11DC"/>
    <w:rsid w:val="004F2124"/>
    <w:rsid w:val="004F271B"/>
    <w:rsid w:val="004F3A52"/>
    <w:rsid w:val="004F449F"/>
    <w:rsid w:val="004F4E7E"/>
    <w:rsid w:val="004F607F"/>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0D34"/>
    <w:rsid w:val="00541A96"/>
    <w:rsid w:val="00541C6A"/>
    <w:rsid w:val="00542C54"/>
    <w:rsid w:val="00546A43"/>
    <w:rsid w:val="00546C70"/>
    <w:rsid w:val="00547258"/>
    <w:rsid w:val="00550CF0"/>
    <w:rsid w:val="005559FE"/>
    <w:rsid w:val="005560D6"/>
    <w:rsid w:val="00556D07"/>
    <w:rsid w:val="00560C6F"/>
    <w:rsid w:val="005611F2"/>
    <w:rsid w:val="00561734"/>
    <w:rsid w:val="00561952"/>
    <w:rsid w:val="00563B90"/>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23E"/>
    <w:rsid w:val="00595B01"/>
    <w:rsid w:val="00596D98"/>
    <w:rsid w:val="005979A5"/>
    <w:rsid w:val="005A0021"/>
    <w:rsid w:val="005A017B"/>
    <w:rsid w:val="005A2AEC"/>
    <w:rsid w:val="005A412D"/>
    <w:rsid w:val="005A5212"/>
    <w:rsid w:val="005B002D"/>
    <w:rsid w:val="005B00B1"/>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67335"/>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11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4EC8"/>
    <w:rsid w:val="0074594D"/>
    <w:rsid w:val="007459F3"/>
    <w:rsid w:val="00746E35"/>
    <w:rsid w:val="007470E2"/>
    <w:rsid w:val="0075232F"/>
    <w:rsid w:val="00753132"/>
    <w:rsid w:val="007550B3"/>
    <w:rsid w:val="00760451"/>
    <w:rsid w:val="0077182A"/>
    <w:rsid w:val="00771913"/>
    <w:rsid w:val="00772718"/>
    <w:rsid w:val="00775BCF"/>
    <w:rsid w:val="007818AA"/>
    <w:rsid w:val="00781EAB"/>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2B9"/>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3C58"/>
    <w:rsid w:val="007F41D0"/>
    <w:rsid w:val="007F4B8B"/>
    <w:rsid w:val="007F5957"/>
    <w:rsid w:val="007F70B6"/>
    <w:rsid w:val="007F74CA"/>
    <w:rsid w:val="007F7BA4"/>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4E1"/>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48A6"/>
    <w:rsid w:val="00905815"/>
    <w:rsid w:val="00905D1D"/>
    <w:rsid w:val="0091016D"/>
    <w:rsid w:val="00910C98"/>
    <w:rsid w:val="00911910"/>
    <w:rsid w:val="00912A58"/>
    <w:rsid w:val="00913811"/>
    <w:rsid w:val="00913908"/>
    <w:rsid w:val="00913D26"/>
    <w:rsid w:val="0091438B"/>
    <w:rsid w:val="009147E3"/>
    <w:rsid w:val="00920FD2"/>
    <w:rsid w:val="00923A43"/>
    <w:rsid w:val="0092439C"/>
    <w:rsid w:val="0092498E"/>
    <w:rsid w:val="009254F4"/>
    <w:rsid w:val="00925B91"/>
    <w:rsid w:val="00933EFA"/>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5D66"/>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1D3B"/>
    <w:rsid w:val="009C6D07"/>
    <w:rsid w:val="009C7CEC"/>
    <w:rsid w:val="009D154D"/>
    <w:rsid w:val="009D18EF"/>
    <w:rsid w:val="009D3BE8"/>
    <w:rsid w:val="009D44E0"/>
    <w:rsid w:val="009D573B"/>
    <w:rsid w:val="009D59A0"/>
    <w:rsid w:val="009D716A"/>
    <w:rsid w:val="009E1357"/>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4A0E"/>
    <w:rsid w:val="00A15370"/>
    <w:rsid w:val="00A156AB"/>
    <w:rsid w:val="00A16B8D"/>
    <w:rsid w:val="00A21293"/>
    <w:rsid w:val="00A2134B"/>
    <w:rsid w:val="00A21623"/>
    <w:rsid w:val="00A220EB"/>
    <w:rsid w:val="00A22302"/>
    <w:rsid w:val="00A25F1B"/>
    <w:rsid w:val="00A325F3"/>
    <w:rsid w:val="00A32AE6"/>
    <w:rsid w:val="00A33103"/>
    <w:rsid w:val="00A33294"/>
    <w:rsid w:val="00A35DCB"/>
    <w:rsid w:val="00A3690E"/>
    <w:rsid w:val="00A37751"/>
    <w:rsid w:val="00A406B1"/>
    <w:rsid w:val="00A4113E"/>
    <w:rsid w:val="00A42435"/>
    <w:rsid w:val="00A438BA"/>
    <w:rsid w:val="00A446FD"/>
    <w:rsid w:val="00A46F46"/>
    <w:rsid w:val="00A47E6B"/>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87BA7"/>
    <w:rsid w:val="00A90B23"/>
    <w:rsid w:val="00A93193"/>
    <w:rsid w:val="00A93C2B"/>
    <w:rsid w:val="00A94556"/>
    <w:rsid w:val="00A974CB"/>
    <w:rsid w:val="00A97B9D"/>
    <w:rsid w:val="00AA1EAC"/>
    <w:rsid w:val="00AA45E2"/>
    <w:rsid w:val="00AA64C9"/>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4710"/>
    <w:rsid w:val="00AF4E3F"/>
    <w:rsid w:val="00AF63EB"/>
    <w:rsid w:val="00B016D2"/>
    <w:rsid w:val="00B018EC"/>
    <w:rsid w:val="00B060C7"/>
    <w:rsid w:val="00B107F8"/>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16E"/>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93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50E5"/>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17AC1"/>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64D6C"/>
    <w:rsid w:val="00D70F55"/>
    <w:rsid w:val="00D70FA5"/>
    <w:rsid w:val="00D72E66"/>
    <w:rsid w:val="00D74171"/>
    <w:rsid w:val="00D7474C"/>
    <w:rsid w:val="00D8032C"/>
    <w:rsid w:val="00D80CE2"/>
    <w:rsid w:val="00D83080"/>
    <w:rsid w:val="00D84D5F"/>
    <w:rsid w:val="00D851E2"/>
    <w:rsid w:val="00D87FFA"/>
    <w:rsid w:val="00D91419"/>
    <w:rsid w:val="00D92A09"/>
    <w:rsid w:val="00D92D2A"/>
    <w:rsid w:val="00D92EEC"/>
    <w:rsid w:val="00D93470"/>
    <w:rsid w:val="00D936C8"/>
    <w:rsid w:val="00D9395F"/>
    <w:rsid w:val="00D93D55"/>
    <w:rsid w:val="00D941FA"/>
    <w:rsid w:val="00D94B59"/>
    <w:rsid w:val="00D95315"/>
    <w:rsid w:val="00D95EAB"/>
    <w:rsid w:val="00DA0167"/>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394A"/>
    <w:rsid w:val="00ED5C44"/>
    <w:rsid w:val="00ED635B"/>
    <w:rsid w:val="00EE742D"/>
    <w:rsid w:val="00EF0A22"/>
    <w:rsid w:val="00EF1267"/>
    <w:rsid w:val="00EF180C"/>
    <w:rsid w:val="00EF3B6B"/>
    <w:rsid w:val="00EF4B43"/>
    <w:rsid w:val="00EF6750"/>
    <w:rsid w:val="00EF770B"/>
    <w:rsid w:val="00F0144C"/>
    <w:rsid w:val="00F01E65"/>
    <w:rsid w:val="00F02836"/>
    <w:rsid w:val="00F02FB5"/>
    <w:rsid w:val="00F0534E"/>
    <w:rsid w:val="00F05C30"/>
    <w:rsid w:val="00F10F1B"/>
    <w:rsid w:val="00F1199A"/>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567F"/>
    <w:rsid w:val="00FC6FE1"/>
    <w:rsid w:val="00FD0C3D"/>
    <w:rsid w:val="00FD2F6B"/>
    <w:rsid w:val="00FE064A"/>
    <w:rsid w:val="00FE0B55"/>
    <w:rsid w:val="00FE1E98"/>
    <w:rsid w:val="00FE2452"/>
    <w:rsid w:val="00FE5469"/>
    <w:rsid w:val="00FE66C2"/>
    <w:rsid w:val="00FE684A"/>
    <w:rsid w:val="00FE6F23"/>
    <w:rsid w:val="00FF0F8C"/>
    <w:rsid w:val="00FF408B"/>
    <w:rsid w:val="00FF43E1"/>
    <w:rsid w:val="01062EEC"/>
    <w:rsid w:val="017240DE"/>
    <w:rsid w:val="01C04E49"/>
    <w:rsid w:val="020C008E"/>
    <w:rsid w:val="028E3199"/>
    <w:rsid w:val="03430854"/>
    <w:rsid w:val="039F5FA6"/>
    <w:rsid w:val="041871BE"/>
    <w:rsid w:val="065B5A88"/>
    <w:rsid w:val="067B57E2"/>
    <w:rsid w:val="0680764E"/>
    <w:rsid w:val="07462294"/>
    <w:rsid w:val="082F0F7A"/>
    <w:rsid w:val="08767256"/>
    <w:rsid w:val="08966904"/>
    <w:rsid w:val="08C16076"/>
    <w:rsid w:val="09097FE0"/>
    <w:rsid w:val="09305ADA"/>
    <w:rsid w:val="0A067888"/>
    <w:rsid w:val="0BD47045"/>
    <w:rsid w:val="0D122349"/>
    <w:rsid w:val="0D1F15BD"/>
    <w:rsid w:val="0D314E4D"/>
    <w:rsid w:val="0E4D3588"/>
    <w:rsid w:val="0E8013B7"/>
    <w:rsid w:val="0F6F6DF7"/>
    <w:rsid w:val="10D604C6"/>
    <w:rsid w:val="11327B12"/>
    <w:rsid w:val="11B515E0"/>
    <w:rsid w:val="11F1104F"/>
    <w:rsid w:val="13A53267"/>
    <w:rsid w:val="13B01C0F"/>
    <w:rsid w:val="13F970D2"/>
    <w:rsid w:val="141352AC"/>
    <w:rsid w:val="14333BA0"/>
    <w:rsid w:val="145708DB"/>
    <w:rsid w:val="14AA4136"/>
    <w:rsid w:val="14C06434"/>
    <w:rsid w:val="15082937"/>
    <w:rsid w:val="159806E4"/>
    <w:rsid w:val="16142E33"/>
    <w:rsid w:val="163A420B"/>
    <w:rsid w:val="17BA3F9F"/>
    <w:rsid w:val="184A3267"/>
    <w:rsid w:val="18763F46"/>
    <w:rsid w:val="19413B26"/>
    <w:rsid w:val="19AA21DB"/>
    <w:rsid w:val="19BB441C"/>
    <w:rsid w:val="1B206F5C"/>
    <w:rsid w:val="1B4B5C73"/>
    <w:rsid w:val="1B8126FA"/>
    <w:rsid w:val="1C6D3688"/>
    <w:rsid w:val="1CC63D0A"/>
    <w:rsid w:val="1DC2081A"/>
    <w:rsid w:val="1DD94266"/>
    <w:rsid w:val="1DF148B0"/>
    <w:rsid w:val="1F0C559B"/>
    <w:rsid w:val="1F9D0947"/>
    <w:rsid w:val="1FFB29C6"/>
    <w:rsid w:val="2042604A"/>
    <w:rsid w:val="20476045"/>
    <w:rsid w:val="213A656E"/>
    <w:rsid w:val="218912A4"/>
    <w:rsid w:val="21B52099"/>
    <w:rsid w:val="22AF3620"/>
    <w:rsid w:val="22E70AD4"/>
    <w:rsid w:val="23C465C3"/>
    <w:rsid w:val="240873D9"/>
    <w:rsid w:val="24A65CC9"/>
    <w:rsid w:val="24B65F0C"/>
    <w:rsid w:val="24F1508D"/>
    <w:rsid w:val="253F05F7"/>
    <w:rsid w:val="26181749"/>
    <w:rsid w:val="266F634F"/>
    <w:rsid w:val="26812549"/>
    <w:rsid w:val="268F2EB8"/>
    <w:rsid w:val="26FC3FF3"/>
    <w:rsid w:val="278E0484"/>
    <w:rsid w:val="28546167"/>
    <w:rsid w:val="28CB6DA3"/>
    <w:rsid w:val="291059EA"/>
    <w:rsid w:val="29C70BBB"/>
    <w:rsid w:val="2B12230A"/>
    <w:rsid w:val="2B1F098C"/>
    <w:rsid w:val="2BB84C5F"/>
    <w:rsid w:val="2BBF12EC"/>
    <w:rsid w:val="2BC649D9"/>
    <w:rsid w:val="2CA50463"/>
    <w:rsid w:val="2D46629B"/>
    <w:rsid w:val="2DE41D3C"/>
    <w:rsid w:val="2DEC0BB2"/>
    <w:rsid w:val="30C72FFF"/>
    <w:rsid w:val="30DF2C8E"/>
    <w:rsid w:val="32AE0B6A"/>
    <w:rsid w:val="32CC77CA"/>
    <w:rsid w:val="33596D28"/>
    <w:rsid w:val="3515160D"/>
    <w:rsid w:val="37880DF0"/>
    <w:rsid w:val="386B4E07"/>
    <w:rsid w:val="38855EC9"/>
    <w:rsid w:val="390A586B"/>
    <w:rsid w:val="3A647D60"/>
    <w:rsid w:val="3B56325F"/>
    <w:rsid w:val="3C7D00D8"/>
    <w:rsid w:val="3CA06C0C"/>
    <w:rsid w:val="3EA25851"/>
    <w:rsid w:val="3EC040FF"/>
    <w:rsid w:val="3F4D1AC7"/>
    <w:rsid w:val="3F6C3757"/>
    <w:rsid w:val="405D6A10"/>
    <w:rsid w:val="410F0A26"/>
    <w:rsid w:val="41DA6594"/>
    <w:rsid w:val="421B33FA"/>
    <w:rsid w:val="425C1AB0"/>
    <w:rsid w:val="42A17DA3"/>
    <w:rsid w:val="42BD2703"/>
    <w:rsid w:val="430F57CF"/>
    <w:rsid w:val="43CA722C"/>
    <w:rsid w:val="43DE0B83"/>
    <w:rsid w:val="444C1A75"/>
    <w:rsid w:val="44A3526F"/>
    <w:rsid w:val="44B032F4"/>
    <w:rsid w:val="44C40459"/>
    <w:rsid w:val="45240149"/>
    <w:rsid w:val="457D25F7"/>
    <w:rsid w:val="45FFB2C3"/>
    <w:rsid w:val="468341CD"/>
    <w:rsid w:val="472C2589"/>
    <w:rsid w:val="4851401A"/>
    <w:rsid w:val="48830956"/>
    <w:rsid w:val="49F64E79"/>
    <w:rsid w:val="4A760AEB"/>
    <w:rsid w:val="4B115DA6"/>
    <w:rsid w:val="4BFB299C"/>
    <w:rsid w:val="4F3162CA"/>
    <w:rsid w:val="4FC6107D"/>
    <w:rsid w:val="50D95873"/>
    <w:rsid w:val="523D0E4F"/>
    <w:rsid w:val="526102AF"/>
    <w:rsid w:val="528444DA"/>
    <w:rsid w:val="537745D5"/>
    <w:rsid w:val="54161C73"/>
    <w:rsid w:val="54B716A8"/>
    <w:rsid w:val="552306F6"/>
    <w:rsid w:val="56D93B58"/>
    <w:rsid w:val="56E352D5"/>
    <w:rsid w:val="57046D0F"/>
    <w:rsid w:val="57707A2A"/>
    <w:rsid w:val="57920D10"/>
    <w:rsid w:val="579222EF"/>
    <w:rsid w:val="57A31A70"/>
    <w:rsid w:val="57E435FE"/>
    <w:rsid w:val="582D0655"/>
    <w:rsid w:val="58A531EB"/>
    <w:rsid w:val="5951205C"/>
    <w:rsid w:val="59D079E8"/>
    <w:rsid w:val="59D40847"/>
    <w:rsid w:val="5AE37F25"/>
    <w:rsid w:val="5C8A1451"/>
    <w:rsid w:val="5CB23D47"/>
    <w:rsid w:val="5D4F4914"/>
    <w:rsid w:val="5D662EF4"/>
    <w:rsid w:val="5DAF73C1"/>
    <w:rsid w:val="5FAF09C4"/>
    <w:rsid w:val="608C4642"/>
    <w:rsid w:val="62795572"/>
    <w:rsid w:val="63AD1FEB"/>
    <w:rsid w:val="64243F39"/>
    <w:rsid w:val="642B52C7"/>
    <w:rsid w:val="64904662"/>
    <w:rsid w:val="64DD6417"/>
    <w:rsid w:val="66004745"/>
    <w:rsid w:val="669843FA"/>
    <w:rsid w:val="67917B37"/>
    <w:rsid w:val="68000819"/>
    <w:rsid w:val="68F4060E"/>
    <w:rsid w:val="6A567F20"/>
    <w:rsid w:val="6BCD41CD"/>
    <w:rsid w:val="6BCE135A"/>
    <w:rsid w:val="6BDA0815"/>
    <w:rsid w:val="6BFA6D45"/>
    <w:rsid w:val="6CB00DC2"/>
    <w:rsid w:val="6CB06CB1"/>
    <w:rsid w:val="6CD137EF"/>
    <w:rsid w:val="6CD97953"/>
    <w:rsid w:val="6CE1142C"/>
    <w:rsid w:val="6CEA21C3"/>
    <w:rsid w:val="6D3F3718"/>
    <w:rsid w:val="6ED30FD7"/>
    <w:rsid w:val="704714E8"/>
    <w:rsid w:val="70C40C3B"/>
    <w:rsid w:val="70D6480D"/>
    <w:rsid w:val="727D78FD"/>
    <w:rsid w:val="728F54C0"/>
    <w:rsid w:val="73CC655F"/>
    <w:rsid w:val="73FE1822"/>
    <w:rsid w:val="740F09F7"/>
    <w:rsid w:val="74E4399C"/>
    <w:rsid w:val="75957445"/>
    <w:rsid w:val="75D01AE1"/>
    <w:rsid w:val="76094B8F"/>
    <w:rsid w:val="77524363"/>
    <w:rsid w:val="778459C9"/>
    <w:rsid w:val="77B917B5"/>
    <w:rsid w:val="77F739E6"/>
    <w:rsid w:val="78703975"/>
    <w:rsid w:val="788B039C"/>
    <w:rsid w:val="79F76D68"/>
    <w:rsid w:val="7B7A2964"/>
    <w:rsid w:val="7BAB4A6E"/>
    <w:rsid w:val="7BE420FD"/>
    <w:rsid w:val="7BF72DAE"/>
    <w:rsid w:val="7C63164A"/>
    <w:rsid w:val="7C8E21ED"/>
    <w:rsid w:val="7D0D296B"/>
    <w:rsid w:val="7D4E0B54"/>
    <w:rsid w:val="7D503E78"/>
    <w:rsid w:val="7D762EB8"/>
    <w:rsid w:val="7DF7A750"/>
    <w:rsid w:val="7E0160D4"/>
    <w:rsid w:val="7FFCA3E1"/>
    <w:rsid w:val="7FFECF97"/>
    <w:rsid w:val="7FFFCFD8"/>
    <w:rsid w:val="B5FBAE2F"/>
    <w:rsid w:val="D7772428"/>
    <w:rsid w:val="DF3D1F10"/>
    <w:rsid w:val="DFDE7095"/>
    <w:rsid w:val="E5BE2060"/>
    <w:rsid w:val="EFD73DA5"/>
    <w:rsid w:val="EFFFDD8A"/>
    <w:rsid w:val="F3BF7661"/>
    <w:rsid w:val="FD8FEBAF"/>
    <w:rsid w:val="FECD278A"/>
    <w:rsid w:val="FFFEF8E1"/>
    <w:rsid w:val="FFFFCC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9"/>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9"/>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等线" w:hAnsi="等线" w:eastAsia="等线"/>
      <w:szCs w:val="22"/>
    </w:rPr>
  </w:style>
  <w:style w:type="paragraph" w:styleId="12">
    <w:name w:val="Normal Indent"/>
    <w:basedOn w:val="1"/>
    <w:autoRedefine/>
    <w:unhideWhenUsed/>
    <w:qFormat/>
    <w:uiPriority w:val="99"/>
    <w:pPr>
      <w:spacing w:line="240" w:lineRule="auto"/>
      <w:ind w:firstLine="420"/>
    </w:pPr>
    <w:rPr>
      <w:rFonts w:ascii="Calibri" w:hAnsi="Calibri"/>
      <w:sz w:val="21"/>
    </w:rPr>
  </w:style>
  <w:style w:type="paragraph" w:styleId="13">
    <w:name w:val="caption"/>
    <w:basedOn w:val="1"/>
    <w:next w:val="1"/>
    <w:link w:val="55"/>
    <w:autoRedefine/>
    <w:qFormat/>
    <w:uiPriority w:val="0"/>
    <w:pPr>
      <w:spacing w:afterLines="50"/>
      <w:ind w:firstLine="200"/>
    </w:pPr>
    <w:rPr>
      <w:rFonts w:ascii="Arial" w:hAnsi="Arial" w:eastAsia="黑体"/>
      <w:sz w:val="20"/>
      <w:szCs w:val="20"/>
    </w:rPr>
  </w:style>
  <w:style w:type="paragraph" w:styleId="14">
    <w:name w:val="Document Map"/>
    <w:basedOn w:val="1"/>
    <w:link w:val="91"/>
    <w:autoRedefine/>
    <w:qFormat/>
    <w:uiPriority w:val="0"/>
    <w:rPr>
      <w:rFonts w:hAnsi="Times New Roman"/>
      <w:sz w:val="18"/>
      <w:szCs w:val="18"/>
    </w:rPr>
  </w:style>
  <w:style w:type="paragraph" w:styleId="15">
    <w:name w:val="annotation text"/>
    <w:basedOn w:val="1"/>
    <w:link w:val="46"/>
    <w:autoRedefine/>
    <w:qFormat/>
    <w:uiPriority w:val="99"/>
    <w:pPr>
      <w:jc w:val="left"/>
    </w:pPr>
    <w:rPr>
      <w:rFonts w:ascii="Times New Roman" w:hAnsi="Times New Roman" w:eastAsia="仿宋"/>
      <w:sz w:val="28"/>
    </w:rPr>
  </w:style>
  <w:style w:type="paragraph" w:styleId="16">
    <w:name w:val="Body Text"/>
    <w:basedOn w:val="1"/>
    <w:link w:val="60"/>
    <w:autoRedefine/>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autoRedefine/>
    <w:qFormat/>
    <w:uiPriority w:val="0"/>
    <w:pPr>
      <w:spacing w:after="120"/>
      <w:ind w:firstLine="200"/>
    </w:pPr>
    <w:rPr>
      <w:rFonts w:ascii="Times New Roman" w:hAnsi="Times New Roman"/>
      <w:sz w:val="21"/>
      <w:szCs w:val="20"/>
    </w:rPr>
  </w:style>
  <w:style w:type="paragraph" w:styleId="18">
    <w:name w:val="toc 5"/>
    <w:basedOn w:val="1"/>
    <w:next w:val="1"/>
    <w:autoRedefine/>
    <w:unhideWhenUsed/>
    <w:qFormat/>
    <w:uiPriority w:val="39"/>
    <w:pPr>
      <w:ind w:left="1680" w:leftChars="800"/>
    </w:pPr>
    <w:rPr>
      <w:rFonts w:ascii="等线" w:hAnsi="等线" w:eastAsia="等线"/>
      <w:szCs w:val="22"/>
    </w:rPr>
  </w:style>
  <w:style w:type="paragraph" w:styleId="19">
    <w:name w:val="toc 3"/>
    <w:basedOn w:val="1"/>
    <w:next w:val="1"/>
    <w:autoRedefine/>
    <w:qFormat/>
    <w:uiPriority w:val="39"/>
    <w:pPr>
      <w:tabs>
        <w:tab w:val="right" w:leader="dot" w:pos="8302"/>
      </w:tabs>
      <w:ind w:left="840" w:leftChars="400"/>
    </w:pPr>
  </w:style>
  <w:style w:type="paragraph" w:styleId="20">
    <w:name w:val="Plain Text"/>
    <w:basedOn w:val="1"/>
    <w:link w:val="67"/>
    <w:autoRedefine/>
    <w:qFormat/>
    <w:uiPriority w:val="0"/>
    <w:pPr>
      <w:spacing w:line="240" w:lineRule="auto"/>
      <w:ind w:firstLine="0" w:firstLineChars="0"/>
    </w:pPr>
    <w:rPr>
      <w:rFonts w:hAnsi="Courier New"/>
      <w:sz w:val="21"/>
      <w:szCs w:val="20"/>
    </w:rPr>
  </w:style>
  <w:style w:type="paragraph" w:styleId="21">
    <w:name w:val="toc 8"/>
    <w:basedOn w:val="1"/>
    <w:next w:val="1"/>
    <w:autoRedefine/>
    <w:unhideWhenUsed/>
    <w:qFormat/>
    <w:uiPriority w:val="39"/>
    <w:pPr>
      <w:ind w:left="2940" w:leftChars="1400"/>
    </w:pPr>
    <w:rPr>
      <w:rFonts w:ascii="等线" w:hAnsi="等线" w:eastAsia="等线"/>
      <w:szCs w:val="22"/>
    </w:rPr>
  </w:style>
  <w:style w:type="paragraph" w:styleId="22">
    <w:name w:val="Date"/>
    <w:basedOn w:val="1"/>
    <w:next w:val="1"/>
    <w:link w:val="48"/>
    <w:autoRedefine/>
    <w:qFormat/>
    <w:uiPriority w:val="0"/>
    <w:pPr>
      <w:ind w:left="100" w:leftChars="2500"/>
    </w:pPr>
    <w:rPr>
      <w:rFonts w:ascii="Times New Roman" w:hAnsi="Times New Roman"/>
      <w:sz w:val="21"/>
    </w:rPr>
  </w:style>
  <w:style w:type="paragraph" w:styleId="23">
    <w:name w:val="Balloon Text"/>
    <w:basedOn w:val="1"/>
    <w:link w:val="96"/>
    <w:autoRedefine/>
    <w:qFormat/>
    <w:uiPriority w:val="0"/>
    <w:rPr>
      <w:rFonts w:ascii="Times New Roman" w:hAnsi="Times New Roman"/>
      <w:sz w:val="18"/>
      <w:szCs w:val="18"/>
    </w:rPr>
  </w:style>
  <w:style w:type="paragraph" w:styleId="24">
    <w:name w:val="footer"/>
    <w:basedOn w:val="1"/>
    <w:link w:val="89"/>
    <w:autoRedefine/>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autoRedefine/>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autoRedefine/>
    <w:qFormat/>
    <w:uiPriority w:val="39"/>
  </w:style>
  <w:style w:type="paragraph" w:styleId="27">
    <w:name w:val="toc 4"/>
    <w:basedOn w:val="1"/>
    <w:next w:val="1"/>
    <w:autoRedefine/>
    <w:unhideWhenUsed/>
    <w:qFormat/>
    <w:uiPriority w:val="39"/>
    <w:pPr>
      <w:ind w:left="1260" w:leftChars="600"/>
    </w:pPr>
    <w:rPr>
      <w:rFonts w:ascii="等线" w:hAnsi="等线" w:eastAsia="等线"/>
      <w:szCs w:val="22"/>
    </w:rPr>
  </w:style>
  <w:style w:type="paragraph" w:styleId="28">
    <w:name w:val="Subtitle"/>
    <w:basedOn w:val="1"/>
    <w:next w:val="1"/>
    <w:link w:val="87"/>
    <w:autoRedefine/>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autoRedefine/>
    <w:unhideWhenUsed/>
    <w:qFormat/>
    <w:uiPriority w:val="39"/>
    <w:pPr>
      <w:ind w:left="2100" w:leftChars="1000"/>
    </w:pPr>
    <w:rPr>
      <w:rFonts w:ascii="等线" w:hAnsi="等线" w:eastAsia="等线"/>
      <w:szCs w:val="22"/>
    </w:rPr>
  </w:style>
  <w:style w:type="paragraph" w:styleId="30">
    <w:name w:val="toc 2"/>
    <w:basedOn w:val="1"/>
    <w:next w:val="1"/>
    <w:autoRedefine/>
    <w:qFormat/>
    <w:uiPriority w:val="39"/>
    <w:pPr>
      <w:tabs>
        <w:tab w:val="right" w:leader="dot" w:pos="8302"/>
      </w:tabs>
      <w:ind w:left="420" w:leftChars="200"/>
    </w:pPr>
  </w:style>
  <w:style w:type="paragraph" w:styleId="31">
    <w:name w:val="toc 9"/>
    <w:basedOn w:val="1"/>
    <w:next w:val="1"/>
    <w:autoRedefine/>
    <w:unhideWhenUsed/>
    <w:qFormat/>
    <w:uiPriority w:val="39"/>
    <w:pPr>
      <w:ind w:left="3360" w:leftChars="1600"/>
    </w:pPr>
    <w:rPr>
      <w:rFonts w:ascii="等线" w:hAnsi="等线" w:eastAsia="等线"/>
      <w:szCs w:val="22"/>
    </w:rPr>
  </w:style>
  <w:style w:type="paragraph" w:styleId="32">
    <w:name w:val="Normal (Web)"/>
    <w:basedOn w:val="1"/>
    <w:autoRedefine/>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autoRedefine/>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autoRedefine/>
    <w:qFormat/>
    <w:uiPriority w:val="0"/>
    <w:rPr>
      <w:b/>
      <w:bCs/>
      <w:sz w:val="21"/>
    </w:rPr>
  </w:style>
  <w:style w:type="table" w:styleId="36">
    <w:name w:val="Table Grid"/>
    <w:basedOn w:val="35"/>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4 字符"/>
    <w:autoRedefine/>
    <w:semiHidden/>
    <w:qFormat/>
    <w:uiPriority w:val="9"/>
    <w:rPr>
      <w:rFonts w:ascii="等线 Light" w:hAnsi="等线 Light" w:eastAsia="等线 Light" w:cs="Times New Roman"/>
      <w:b/>
      <w:bCs/>
      <w:kern w:val="2"/>
      <w:sz w:val="28"/>
      <w:szCs w:val="28"/>
    </w:rPr>
  </w:style>
  <w:style w:type="character" w:customStyle="1" w:styleId="43">
    <w:name w:val="标题 3 字符1"/>
    <w:qFormat/>
    <w:uiPriority w:val="0"/>
    <w:rPr>
      <w:rFonts w:ascii="宋体" w:hAnsi="宋体"/>
      <w:b/>
      <w:bCs/>
      <w:kern w:val="2"/>
      <w:sz w:val="28"/>
      <w:szCs w:val="28"/>
    </w:rPr>
  </w:style>
  <w:style w:type="character" w:customStyle="1" w:styleId="44">
    <w:name w:val="首行缩进正文 Char"/>
    <w:link w:val="45"/>
    <w:qFormat/>
    <w:uiPriority w:val="0"/>
    <w:rPr>
      <w:kern w:val="2"/>
      <w:sz w:val="24"/>
    </w:rPr>
  </w:style>
  <w:style w:type="paragraph" w:customStyle="1" w:styleId="45">
    <w:name w:val="首行缩进正文"/>
    <w:basedOn w:val="1"/>
    <w:link w:val="44"/>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6">
    <w:name w:val="批注文字 字符1"/>
    <w:link w:val="15"/>
    <w:qFormat/>
    <w:uiPriority w:val="99"/>
    <w:rPr>
      <w:rFonts w:eastAsia="仿宋"/>
      <w:kern w:val="2"/>
      <w:sz w:val="28"/>
      <w:szCs w:val="24"/>
    </w:rPr>
  </w:style>
  <w:style w:type="character" w:customStyle="1" w:styleId="47">
    <w:name w:val="日期 字符"/>
    <w:semiHidden/>
    <w:qFormat/>
    <w:uiPriority w:val="99"/>
    <w:rPr>
      <w:rFonts w:ascii="宋体" w:hAnsi="宋体"/>
      <w:kern w:val="2"/>
      <w:sz w:val="24"/>
      <w:szCs w:val="24"/>
    </w:rPr>
  </w:style>
  <w:style w:type="character" w:customStyle="1" w:styleId="48">
    <w:name w:val="日期 字符1"/>
    <w:link w:val="22"/>
    <w:qFormat/>
    <w:uiPriority w:val="0"/>
    <w:rPr>
      <w:kern w:val="2"/>
      <w:sz w:val="21"/>
      <w:szCs w:val="24"/>
    </w:rPr>
  </w:style>
  <w:style w:type="character" w:customStyle="1" w:styleId="49">
    <w:name w:val="标题 9 字符"/>
    <w:link w:val="10"/>
    <w:qFormat/>
    <w:uiPriority w:val="9"/>
    <w:rPr>
      <w:rFonts w:ascii="Cambria" w:hAnsi="Cambria"/>
      <w:kern w:val="2"/>
      <w:sz w:val="21"/>
      <w:szCs w:val="21"/>
    </w:rPr>
  </w:style>
  <w:style w:type="character" w:customStyle="1" w:styleId="50">
    <w:name w:val="未处理的提及1"/>
    <w:unhideWhenUsed/>
    <w:qFormat/>
    <w:uiPriority w:val="99"/>
    <w:rPr>
      <w:color w:val="605E5C"/>
      <w:shd w:val="clear" w:color="auto" w:fill="E1DFDD"/>
    </w:rPr>
  </w:style>
  <w:style w:type="character" w:customStyle="1" w:styleId="51">
    <w:name w:val="标题 1 字符"/>
    <w:qFormat/>
    <w:uiPriority w:val="9"/>
    <w:rPr>
      <w:rFonts w:ascii="宋体" w:hAnsi="宋体"/>
      <w:b/>
      <w:bCs/>
      <w:kern w:val="44"/>
      <w:sz w:val="44"/>
      <w:szCs w:val="44"/>
    </w:rPr>
  </w:style>
  <w:style w:type="character" w:customStyle="1" w:styleId="52">
    <w:name w:val="标题 3 字符"/>
    <w:semiHidden/>
    <w:qFormat/>
    <w:uiPriority w:val="9"/>
    <w:rPr>
      <w:rFonts w:ascii="宋体" w:hAnsi="宋体"/>
      <w:b/>
      <w:bCs/>
      <w:kern w:val="2"/>
      <w:sz w:val="32"/>
      <w:szCs w:val="32"/>
    </w:rPr>
  </w:style>
  <w:style w:type="character" w:customStyle="1" w:styleId="53">
    <w:name w:val="页脚 字符"/>
    <w:qFormat/>
    <w:uiPriority w:val="99"/>
  </w:style>
  <w:style w:type="character" w:customStyle="1" w:styleId="54">
    <w:name w:val="标题 5 字符"/>
    <w:autoRedefine/>
    <w:semiHidden/>
    <w:qFormat/>
    <w:uiPriority w:val="9"/>
    <w:rPr>
      <w:rFonts w:ascii="宋体" w:hAnsi="宋体"/>
      <w:b/>
      <w:bCs/>
      <w:kern w:val="2"/>
      <w:sz w:val="28"/>
      <w:szCs w:val="28"/>
    </w:rPr>
  </w:style>
  <w:style w:type="character" w:customStyle="1" w:styleId="55">
    <w:name w:val="题注 字符"/>
    <w:link w:val="13"/>
    <w:autoRedefine/>
    <w:qFormat/>
    <w:locked/>
    <w:uiPriority w:val="0"/>
    <w:rPr>
      <w:rFonts w:ascii="Arial" w:hAnsi="Arial" w:eastAsia="黑体"/>
      <w:kern w:val="2"/>
    </w:rPr>
  </w:style>
  <w:style w:type="character" w:customStyle="1" w:styleId="56">
    <w:name w:val="标题 2 字符"/>
    <w:autoRedefine/>
    <w:semiHidden/>
    <w:qFormat/>
    <w:uiPriority w:val="9"/>
    <w:rPr>
      <w:rFonts w:ascii="等线 Light" w:hAnsi="等线 Light" w:eastAsia="等线 Light" w:cs="Times New Roman"/>
      <w:b/>
      <w:bCs/>
      <w:kern w:val="2"/>
      <w:sz w:val="32"/>
      <w:szCs w:val="32"/>
    </w:rPr>
  </w:style>
  <w:style w:type="character" w:customStyle="1" w:styleId="57">
    <w:name w:val="纯文本 字符"/>
    <w:autoRedefine/>
    <w:qFormat/>
    <w:uiPriority w:val="0"/>
    <w:rPr>
      <w:rFonts w:ascii="宋体" w:hAnsi="Courier New" w:cs="Courier New"/>
      <w:kern w:val="2"/>
      <w:sz w:val="21"/>
      <w:szCs w:val="21"/>
    </w:rPr>
  </w:style>
  <w:style w:type="character" w:customStyle="1" w:styleId="58">
    <w:name w:val="列表段落 字符"/>
    <w:qFormat/>
    <w:uiPriority w:val="34"/>
    <w:rPr>
      <w:kern w:val="2"/>
      <w:sz w:val="21"/>
      <w:szCs w:val="22"/>
    </w:rPr>
  </w:style>
  <w:style w:type="character" w:customStyle="1" w:styleId="59">
    <w:name w:val="标题 4 字符1"/>
    <w:link w:val="5"/>
    <w:autoRedefine/>
    <w:qFormat/>
    <w:uiPriority w:val="0"/>
    <w:rPr>
      <w:rFonts w:ascii="宋体" w:hAnsi="宋体"/>
      <w:b/>
      <w:bCs/>
      <w:kern w:val="2"/>
      <w:sz w:val="30"/>
      <w:szCs w:val="30"/>
    </w:rPr>
  </w:style>
  <w:style w:type="character" w:customStyle="1" w:styleId="60">
    <w:name w:val="正文文本 字符"/>
    <w:link w:val="16"/>
    <w:autoRedefine/>
    <w:qFormat/>
    <w:uiPriority w:val="0"/>
    <w:rPr>
      <w:kern w:val="2"/>
      <w:sz w:val="21"/>
      <w:szCs w:val="24"/>
    </w:rPr>
  </w:style>
  <w:style w:type="character" w:customStyle="1" w:styleId="61">
    <w:name w:val="列表段落 字符1"/>
    <w:link w:val="62"/>
    <w:autoRedefine/>
    <w:qFormat/>
    <w:uiPriority w:val="34"/>
    <w:rPr>
      <w:kern w:val="2"/>
      <w:sz w:val="21"/>
      <w:szCs w:val="24"/>
    </w:rPr>
  </w:style>
  <w:style w:type="paragraph" w:styleId="62">
    <w:name w:val="List Paragraph"/>
    <w:basedOn w:val="1"/>
    <w:link w:val="61"/>
    <w:autoRedefine/>
    <w:qFormat/>
    <w:uiPriority w:val="34"/>
    <w:pPr>
      <w:ind w:firstLine="420"/>
    </w:pPr>
    <w:rPr>
      <w:rFonts w:ascii="Times New Roman" w:hAnsi="Times New Roman"/>
      <w:sz w:val="21"/>
    </w:rPr>
  </w:style>
  <w:style w:type="character" w:customStyle="1" w:styleId="63">
    <w:name w:val="font21"/>
    <w:autoRedefine/>
    <w:qFormat/>
    <w:uiPriority w:val="0"/>
    <w:rPr>
      <w:rFonts w:ascii="Calibri" w:hAnsi="Calibri" w:cs="Calibri"/>
      <w:color w:val="000000"/>
      <w:sz w:val="21"/>
      <w:szCs w:val="21"/>
      <w:u w:val="none"/>
    </w:rPr>
  </w:style>
  <w:style w:type="character" w:customStyle="1" w:styleId="64">
    <w:name w:val="*正文 Char"/>
    <w:link w:val="65"/>
    <w:autoRedefine/>
    <w:qFormat/>
    <w:uiPriority w:val="0"/>
    <w:rPr>
      <w:rFonts w:ascii="time" w:hAnsi="time"/>
      <w:sz w:val="24"/>
      <w:szCs w:val="24"/>
      <w:lang w:bidi="en-US"/>
    </w:rPr>
  </w:style>
  <w:style w:type="paragraph" w:customStyle="1" w:styleId="65">
    <w:name w:val="*正文"/>
    <w:basedOn w:val="1"/>
    <w:link w:val="64"/>
    <w:autoRedefine/>
    <w:qFormat/>
    <w:uiPriority w:val="0"/>
    <w:pPr>
      <w:widowControl/>
      <w:ind w:firstLine="200"/>
      <w:contextualSpacing/>
    </w:pPr>
    <w:rPr>
      <w:rFonts w:ascii="time" w:hAnsi="time"/>
      <w:kern w:val="0"/>
      <w:lang w:bidi="en-US"/>
    </w:rPr>
  </w:style>
  <w:style w:type="character" w:customStyle="1" w:styleId="66">
    <w:name w:val="正文文本缩进 字符"/>
    <w:autoRedefine/>
    <w:semiHidden/>
    <w:qFormat/>
    <w:uiPriority w:val="99"/>
    <w:rPr>
      <w:rFonts w:ascii="宋体" w:hAnsi="宋体"/>
      <w:kern w:val="2"/>
      <w:sz w:val="24"/>
      <w:szCs w:val="24"/>
    </w:rPr>
  </w:style>
  <w:style w:type="character" w:customStyle="1" w:styleId="67">
    <w:name w:val="纯文本 字符1"/>
    <w:link w:val="20"/>
    <w:autoRedefine/>
    <w:qFormat/>
    <w:locked/>
    <w:uiPriority w:val="0"/>
    <w:rPr>
      <w:rFonts w:ascii="宋体" w:hAnsi="Courier New"/>
      <w:kern w:val="2"/>
      <w:sz w:val="21"/>
    </w:rPr>
  </w:style>
  <w:style w:type="character" w:customStyle="1" w:styleId="68">
    <w:name w:val="my正文 Char"/>
    <w:link w:val="69"/>
    <w:autoRedefine/>
    <w:qFormat/>
    <w:uiPriority w:val="0"/>
    <w:rPr>
      <w:kern w:val="2"/>
      <w:sz w:val="21"/>
      <w:szCs w:val="24"/>
    </w:rPr>
  </w:style>
  <w:style w:type="paragraph" w:customStyle="1" w:styleId="69">
    <w:name w:val="my正文"/>
    <w:basedOn w:val="1"/>
    <w:link w:val="68"/>
    <w:autoRedefine/>
    <w:qFormat/>
    <w:uiPriority w:val="0"/>
    <w:pPr>
      <w:spacing w:line="240" w:lineRule="auto"/>
      <w:ind w:firstLine="0" w:firstLineChars="0"/>
    </w:pPr>
    <w:rPr>
      <w:rFonts w:ascii="Times New Roman" w:hAnsi="Times New Roman"/>
      <w:sz w:val="21"/>
    </w:rPr>
  </w:style>
  <w:style w:type="character" w:customStyle="1" w:styleId="70">
    <w:name w:val="正文2 字符"/>
    <w:link w:val="71"/>
    <w:autoRedefine/>
    <w:qFormat/>
    <w:uiPriority w:val="0"/>
    <w:rPr>
      <w:kern w:val="2"/>
      <w:sz w:val="21"/>
      <w:szCs w:val="24"/>
    </w:rPr>
  </w:style>
  <w:style w:type="paragraph" w:customStyle="1" w:styleId="71">
    <w:name w:val="正文2"/>
    <w:basedOn w:val="1"/>
    <w:link w:val="70"/>
    <w:autoRedefine/>
    <w:qFormat/>
    <w:uiPriority w:val="0"/>
    <w:pPr>
      <w:ind w:firstLine="420"/>
    </w:pPr>
    <w:rPr>
      <w:rFonts w:ascii="Times New Roman" w:hAnsi="Times New Roman"/>
      <w:sz w:val="21"/>
    </w:rPr>
  </w:style>
  <w:style w:type="character" w:customStyle="1" w:styleId="72">
    <w:name w:val="font41"/>
    <w:autoRedefine/>
    <w:qFormat/>
    <w:uiPriority w:val="0"/>
    <w:rPr>
      <w:rFonts w:hint="eastAsia" w:ascii="宋体" w:hAnsi="宋体" w:eastAsia="宋体" w:cs="宋体"/>
      <w:color w:val="000000"/>
      <w:sz w:val="21"/>
      <w:szCs w:val="21"/>
      <w:u w:val="none"/>
    </w:rPr>
  </w:style>
  <w:style w:type="character" w:customStyle="1" w:styleId="73">
    <w:name w:val="标题 7 字符"/>
    <w:link w:val="8"/>
    <w:autoRedefine/>
    <w:qFormat/>
    <w:uiPriority w:val="9"/>
    <w:rPr>
      <w:b/>
      <w:bCs/>
      <w:kern w:val="2"/>
      <w:sz w:val="21"/>
      <w:szCs w:val="24"/>
    </w:rPr>
  </w:style>
  <w:style w:type="character" w:customStyle="1" w:styleId="74">
    <w:name w:val="批注框文本 字符"/>
    <w:autoRedefine/>
    <w:semiHidden/>
    <w:qFormat/>
    <w:uiPriority w:val="99"/>
    <w:rPr>
      <w:rFonts w:ascii="宋体" w:hAnsi="宋体"/>
      <w:kern w:val="2"/>
      <w:sz w:val="18"/>
      <w:szCs w:val="18"/>
    </w:rPr>
  </w:style>
  <w:style w:type="character" w:customStyle="1" w:styleId="75">
    <w:name w:val="副标题 Char1"/>
    <w:autoRedefine/>
    <w:qFormat/>
    <w:uiPriority w:val="0"/>
    <w:rPr>
      <w:rFonts w:ascii="Calibri Light" w:hAnsi="Calibri Light" w:cs="Times New Roman"/>
      <w:b/>
      <w:bCs/>
      <w:kern w:val="28"/>
      <w:sz w:val="32"/>
      <w:szCs w:val="32"/>
    </w:rPr>
  </w:style>
  <w:style w:type="character" w:customStyle="1" w:styleId="76">
    <w:name w:val="标题 1 字符1"/>
    <w:link w:val="2"/>
    <w:autoRedefine/>
    <w:qFormat/>
    <w:uiPriority w:val="0"/>
    <w:rPr>
      <w:rFonts w:ascii="宋体" w:hAnsi="宋体" w:eastAsia="黑体"/>
      <w:b/>
      <w:bCs/>
      <w:kern w:val="44"/>
      <w:sz w:val="32"/>
      <w:szCs w:val="28"/>
    </w:rPr>
  </w:style>
  <w:style w:type="character" w:customStyle="1" w:styleId="77">
    <w:name w:val="批注文字 字符"/>
    <w:autoRedefine/>
    <w:qFormat/>
    <w:uiPriority w:val="99"/>
    <w:rPr>
      <w:rFonts w:ascii="宋体" w:hAnsi="宋体"/>
      <w:kern w:val="2"/>
      <w:sz w:val="24"/>
      <w:szCs w:val="24"/>
    </w:rPr>
  </w:style>
  <w:style w:type="character" w:customStyle="1" w:styleId="78">
    <w:name w:val="文档结构图 字符"/>
    <w:autoRedefine/>
    <w:semiHidden/>
    <w:qFormat/>
    <w:uiPriority w:val="99"/>
    <w:rPr>
      <w:rFonts w:ascii="Microsoft YaHei UI" w:hAnsi="宋体" w:eastAsia="Microsoft YaHei UI"/>
      <w:kern w:val="2"/>
      <w:sz w:val="18"/>
      <w:szCs w:val="18"/>
    </w:rPr>
  </w:style>
  <w:style w:type="character" w:customStyle="1" w:styleId="79">
    <w:name w:val="标题 6 字符"/>
    <w:autoRedefine/>
    <w:semiHidden/>
    <w:qFormat/>
    <w:uiPriority w:val="9"/>
    <w:rPr>
      <w:rFonts w:ascii="等线 Light" w:hAnsi="等线 Light" w:eastAsia="等线 Light" w:cs="Times New Roman"/>
      <w:b/>
      <w:bCs/>
      <w:kern w:val="2"/>
      <w:sz w:val="24"/>
      <w:szCs w:val="24"/>
    </w:rPr>
  </w:style>
  <w:style w:type="character" w:customStyle="1" w:styleId="80">
    <w:name w:val="正文正文2 Char"/>
    <w:link w:val="81"/>
    <w:autoRedefine/>
    <w:qFormat/>
    <w:uiPriority w:val="0"/>
    <w:rPr>
      <w:rFonts w:ascii="宋体" w:hAnsi="宋体"/>
      <w:kern w:val="2"/>
      <w:sz w:val="21"/>
      <w:szCs w:val="21"/>
    </w:rPr>
  </w:style>
  <w:style w:type="paragraph" w:customStyle="1" w:styleId="81">
    <w:name w:val="正文正文2"/>
    <w:basedOn w:val="1"/>
    <w:link w:val="80"/>
    <w:autoRedefine/>
    <w:qFormat/>
    <w:uiPriority w:val="0"/>
    <w:pPr>
      <w:ind w:firstLine="460"/>
    </w:pPr>
    <w:rPr>
      <w:sz w:val="21"/>
      <w:szCs w:val="21"/>
    </w:rPr>
  </w:style>
  <w:style w:type="character" w:customStyle="1" w:styleId="82">
    <w:name w:val="标题 3 字符2"/>
    <w:link w:val="4"/>
    <w:autoRedefine/>
    <w:qFormat/>
    <w:uiPriority w:val="0"/>
    <w:rPr>
      <w:rFonts w:ascii="宋体" w:hAnsi="宋体"/>
      <w:b/>
      <w:bCs/>
      <w:kern w:val="2"/>
      <w:sz w:val="28"/>
      <w:szCs w:val="28"/>
    </w:rPr>
  </w:style>
  <w:style w:type="character" w:customStyle="1" w:styleId="83">
    <w:name w:val="批注主题 字符1"/>
    <w:link w:val="34"/>
    <w:autoRedefine/>
    <w:qFormat/>
    <w:uiPriority w:val="0"/>
    <w:rPr>
      <w:rFonts w:eastAsia="仿宋"/>
      <w:b/>
      <w:bCs/>
      <w:kern w:val="2"/>
      <w:sz w:val="21"/>
      <w:szCs w:val="24"/>
    </w:rPr>
  </w:style>
  <w:style w:type="character" w:customStyle="1" w:styleId="84">
    <w:name w:val="页眉 字符"/>
    <w:autoRedefine/>
    <w:semiHidden/>
    <w:qFormat/>
    <w:uiPriority w:val="99"/>
    <w:rPr>
      <w:rFonts w:ascii="宋体" w:hAnsi="宋体"/>
      <w:kern w:val="2"/>
      <w:sz w:val="18"/>
      <w:szCs w:val="18"/>
    </w:rPr>
  </w:style>
  <w:style w:type="character" w:customStyle="1" w:styleId="85">
    <w:name w:val="正文文本缩进 字符1"/>
    <w:link w:val="17"/>
    <w:autoRedefine/>
    <w:qFormat/>
    <w:uiPriority w:val="0"/>
    <w:rPr>
      <w:kern w:val="2"/>
      <w:sz w:val="21"/>
    </w:rPr>
  </w:style>
  <w:style w:type="character" w:customStyle="1" w:styleId="86">
    <w:name w:val="标题 5 字符1"/>
    <w:link w:val="6"/>
    <w:autoRedefine/>
    <w:qFormat/>
    <w:uiPriority w:val="0"/>
    <w:rPr>
      <w:rFonts w:ascii="宋体" w:hAnsi="宋体"/>
      <w:b/>
      <w:bCs/>
      <w:kern w:val="2"/>
      <w:sz w:val="24"/>
      <w:szCs w:val="28"/>
    </w:rPr>
  </w:style>
  <w:style w:type="character" w:customStyle="1" w:styleId="87">
    <w:name w:val="副标题 字符1"/>
    <w:link w:val="28"/>
    <w:autoRedefine/>
    <w:qFormat/>
    <w:uiPriority w:val="0"/>
    <w:rPr>
      <w:rFonts w:ascii="Calibri Light" w:hAnsi="Calibri Light"/>
      <w:b/>
      <w:bCs/>
      <w:kern w:val="28"/>
      <w:sz w:val="32"/>
      <w:szCs w:val="32"/>
    </w:rPr>
  </w:style>
  <w:style w:type="character" w:customStyle="1" w:styleId="88">
    <w:name w:val="标题 2 字符1"/>
    <w:link w:val="3"/>
    <w:autoRedefine/>
    <w:qFormat/>
    <w:uiPriority w:val="9"/>
    <w:rPr>
      <w:rFonts w:ascii="宋体" w:hAnsi="宋体"/>
      <w:b/>
      <w:bCs/>
      <w:kern w:val="2"/>
      <w:sz w:val="30"/>
      <w:szCs w:val="32"/>
    </w:rPr>
  </w:style>
  <w:style w:type="character" w:customStyle="1" w:styleId="89">
    <w:name w:val="页脚 字符1"/>
    <w:link w:val="24"/>
    <w:autoRedefine/>
    <w:qFormat/>
    <w:uiPriority w:val="99"/>
    <w:rPr>
      <w:kern w:val="2"/>
      <w:sz w:val="18"/>
      <w:szCs w:val="18"/>
    </w:rPr>
  </w:style>
  <w:style w:type="character" w:customStyle="1" w:styleId="90">
    <w:name w:val="批注主题 字符"/>
    <w:autoRedefine/>
    <w:semiHidden/>
    <w:qFormat/>
    <w:uiPriority w:val="99"/>
    <w:rPr>
      <w:rFonts w:ascii="宋体" w:hAnsi="宋体"/>
      <w:b/>
      <w:bCs/>
      <w:kern w:val="2"/>
      <w:sz w:val="24"/>
      <w:szCs w:val="24"/>
    </w:rPr>
  </w:style>
  <w:style w:type="character" w:customStyle="1" w:styleId="91">
    <w:name w:val="文档结构图 字符1"/>
    <w:link w:val="14"/>
    <w:autoRedefine/>
    <w:qFormat/>
    <w:uiPriority w:val="0"/>
    <w:rPr>
      <w:rFonts w:ascii="宋体"/>
      <w:kern w:val="2"/>
      <w:sz w:val="18"/>
      <w:szCs w:val="18"/>
    </w:rPr>
  </w:style>
  <w:style w:type="character" w:customStyle="1" w:styleId="92">
    <w:name w:val="font31"/>
    <w:autoRedefine/>
    <w:qFormat/>
    <w:uiPriority w:val="0"/>
    <w:rPr>
      <w:rFonts w:hint="eastAsia" w:ascii="宋体" w:hAnsi="宋体" w:eastAsia="宋体" w:cs="宋体"/>
      <w:color w:val="000000"/>
      <w:sz w:val="21"/>
      <w:szCs w:val="21"/>
      <w:u w:val="none"/>
    </w:rPr>
  </w:style>
  <w:style w:type="character" w:customStyle="1" w:styleId="93">
    <w:name w:val="标准正文 Char"/>
    <w:link w:val="94"/>
    <w:autoRedefine/>
    <w:qFormat/>
    <w:uiPriority w:val="0"/>
    <w:rPr>
      <w:rFonts w:ascii="Arial" w:hAnsi="Arial"/>
      <w:kern w:val="2"/>
      <w:sz w:val="24"/>
    </w:rPr>
  </w:style>
  <w:style w:type="paragraph" w:customStyle="1" w:styleId="94">
    <w:name w:val="标准正文"/>
    <w:basedOn w:val="17"/>
    <w:link w:val="93"/>
    <w:autoRedefine/>
    <w:qFormat/>
    <w:uiPriority w:val="0"/>
    <w:pPr>
      <w:spacing w:before="60" w:after="60"/>
      <w:ind w:firstLine="482" w:firstLineChars="0"/>
    </w:pPr>
    <w:rPr>
      <w:rFonts w:ascii="Arial" w:hAnsi="Arial"/>
      <w:sz w:val="24"/>
    </w:rPr>
  </w:style>
  <w:style w:type="character" w:customStyle="1" w:styleId="95">
    <w:name w:val="标题 字符1"/>
    <w:link w:val="33"/>
    <w:autoRedefine/>
    <w:qFormat/>
    <w:uiPriority w:val="0"/>
    <w:rPr>
      <w:rFonts w:ascii="Cambria" w:hAnsi="Cambria" w:eastAsia="黑体"/>
      <w:b/>
      <w:bCs/>
      <w:kern w:val="2"/>
      <w:sz w:val="52"/>
      <w:szCs w:val="32"/>
    </w:rPr>
  </w:style>
  <w:style w:type="character" w:customStyle="1" w:styleId="96">
    <w:name w:val="批注框文本 字符1"/>
    <w:link w:val="23"/>
    <w:autoRedefine/>
    <w:qFormat/>
    <w:uiPriority w:val="0"/>
    <w:rPr>
      <w:kern w:val="2"/>
      <w:sz w:val="18"/>
      <w:szCs w:val="18"/>
    </w:rPr>
  </w:style>
  <w:style w:type="character" w:customStyle="1" w:styleId="97">
    <w:name w:val="页眉 字符1"/>
    <w:link w:val="25"/>
    <w:autoRedefine/>
    <w:qFormat/>
    <w:uiPriority w:val="99"/>
    <w:rPr>
      <w:kern w:val="2"/>
      <w:sz w:val="18"/>
      <w:szCs w:val="18"/>
    </w:rPr>
  </w:style>
  <w:style w:type="character" w:customStyle="1" w:styleId="98">
    <w:name w:val="标题 8 字符"/>
    <w:link w:val="9"/>
    <w:autoRedefine/>
    <w:qFormat/>
    <w:uiPriority w:val="9"/>
    <w:rPr>
      <w:rFonts w:ascii="Cambria" w:hAnsi="Cambria"/>
      <w:kern w:val="2"/>
      <w:sz w:val="21"/>
      <w:szCs w:val="24"/>
    </w:rPr>
  </w:style>
  <w:style w:type="character" w:customStyle="1" w:styleId="99">
    <w:name w:val="标题 6 字符1"/>
    <w:link w:val="7"/>
    <w:autoRedefine/>
    <w:qFormat/>
    <w:uiPriority w:val="0"/>
    <w:rPr>
      <w:rFonts w:ascii="Cambria" w:hAnsi="Cambria"/>
      <w:b/>
      <w:bCs/>
      <w:kern w:val="2"/>
      <w:sz w:val="24"/>
      <w:szCs w:val="24"/>
    </w:rPr>
  </w:style>
  <w:style w:type="character" w:customStyle="1" w:styleId="100">
    <w:name w:val="标题 字符"/>
    <w:autoRedefine/>
    <w:qFormat/>
    <w:uiPriority w:val="10"/>
    <w:rPr>
      <w:rFonts w:ascii="等线 Light" w:hAnsi="等线 Light" w:eastAsia="等线 Light" w:cs="Times New Roman"/>
      <w:b/>
      <w:bCs/>
      <w:kern w:val="2"/>
      <w:sz w:val="32"/>
      <w:szCs w:val="32"/>
    </w:rPr>
  </w:style>
  <w:style w:type="character" w:customStyle="1" w:styleId="101">
    <w:name w:val="副标题 字符"/>
    <w:autoRedefine/>
    <w:qFormat/>
    <w:uiPriority w:val="11"/>
    <w:rPr>
      <w:rFonts w:ascii="等线" w:hAnsi="等线" w:eastAsia="等线" w:cs="Times New Roman"/>
      <w:b/>
      <w:bCs/>
      <w:kern w:val="28"/>
      <w:sz w:val="32"/>
      <w:szCs w:val="32"/>
    </w:rPr>
  </w:style>
  <w:style w:type="paragraph" w:customStyle="1" w:styleId="102">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7">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autoRedefine/>
    <w:qFormat/>
    <w:uiPriority w:val="0"/>
    <w:pPr>
      <w:ind w:firstLine="150" w:firstLineChars="150"/>
    </w:pPr>
  </w:style>
  <w:style w:type="paragraph" w:customStyle="1" w:styleId="110">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autoRedefine/>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autoRedefine/>
    <w:qFormat/>
    <w:uiPriority w:val="0"/>
    <w:pPr>
      <w:widowControl/>
      <w:spacing w:after="160" w:line="240" w:lineRule="exact"/>
      <w:jc w:val="left"/>
    </w:pPr>
  </w:style>
  <w:style w:type="paragraph" w:customStyle="1" w:styleId="118">
    <w:name w:val="PM_Body"/>
    <w:basedOn w:val="1"/>
    <w:autoRedefine/>
    <w:qFormat/>
    <w:locked/>
    <w:uiPriority w:val="0"/>
    <w:rPr>
      <w:szCs w:val="21"/>
    </w:rPr>
  </w:style>
  <w:style w:type="paragraph" w:customStyle="1" w:styleId="119">
    <w:name w:val="Char Char1"/>
    <w:basedOn w:val="1"/>
    <w:autoRedefine/>
    <w:qFormat/>
    <w:uiPriority w:val="0"/>
    <w:pPr>
      <w:widowControl/>
      <w:spacing w:before="120" w:after="120"/>
    </w:pPr>
    <w:rPr>
      <w:rFonts w:ascii="Times New Roman" w:hAnsi="Times New Roman" w:cs="宋体"/>
    </w:rPr>
  </w:style>
  <w:style w:type="paragraph" w:customStyle="1" w:styleId="120">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3">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6">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29">
    <w:name w:val="TOC 标题1"/>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autoRedefine/>
    <w:qFormat/>
    <w:uiPriority w:val="0"/>
    <w:rPr>
      <w:rFonts w:ascii="宋体" w:hAnsi="宋体" w:eastAsia="黑体"/>
      <w:b/>
      <w:bCs/>
      <w:kern w:val="44"/>
      <w:sz w:val="32"/>
      <w:szCs w:val="28"/>
    </w:rPr>
  </w:style>
  <w:style w:type="character" w:customStyle="1" w:styleId="133">
    <w:name w:val="纯文本 Char2"/>
    <w:autoRedefine/>
    <w:qFormat/>
    <w:uiPriority w:val="0"/>
    <w:rPr>
      <w:rFonts w:ascii="宋体" w:hAnsi="宋体" w:eastAsia="宋体" w:cs="Times New Roman"/>
      <w:color w:val="000000"/>
      <w:kern w:val="0"/>
      <w:sz w:val="24"/>
      <w:szCs w:val="24"/>
    </w:rPr>
  </w:style>
  <w:style w:type="paragraph" w:customStyle="1" w:styleId="134">
    <w:name w:val="Table Text"/>
    <w:basedOn w:val="1"/>
    <w:hidden/>
    <w:qFormat/>
    <w:uiPriority w:val="0"/>
    <w:pPr>
      <w:widowControl/>
      <w:kinsoku w:val="0"/>
      <w:autoSpaceDE w:val="0"/>
      <w:autoSpaceDN w:val="0"/>
      <w:adjustRightInd w:val="0"/>
      <w:snapToGrid w:val="0"/>
      <w:jc w:val="left"/>
    </w:pPr>
    <w:rPr>
      <w:rFonts w:hint="eastAsia"/>
      <w:color w:val="000000"/>
      <w:kern w:val="0"/>
      <w:sz w:val="21"/>
      <w:szCs w:val="21"/>
    </w:rPr>
  </w:style>
  <w:style w:type="table" w:customStyle="1" w:styleId="135">
    <w:name w:val="Table Normal"/>
    <w:basedOn w:val="35"/>
    <w:semiHidden/>
    <w:qFormat/>
    <w:uiPriority w:val="0"/>
    <w:tblPr>
      <w:tblCellMar>
        <w:left w:w="0" w:type="dxa"/>
        <w:right w:w="0" w:type="dxa"/>
      </w:tblCellMar>
    </w:tblPr>
  </w:style>
  <w:style w:type="paragraph" w:customStyle="1" w:styleId="136">
    <w:name w:val="Revision"/>
    <w:hidden/>
    <w:unhideWhenUsed/>
    <w:qFormat/>
    <w:uiPriority w:val="99"/>
    <w:rPr>
      <w:rFonts w:ascii="宋体" w:hAnsi="宋体" w:eastAsia="宋体" w:cs="Times New Roman"/>
      <w:kern w:val="2"/>
      <w:sz w:val="24"/>
      <w:szCs w:val="24"/>
      <w:lang w:val="en-US" w:eastAsia="zh-CN" w:bidi="ar-SA"/>
    </w:rPr>
  </w:style>
  <w:style w:type="paragraph" w:customStyle="1" w:styleId="137">
    <w:name w:val="B-表正文"/>
    <w:qFormat/>
    <w:uiPriority w:val="0"/>
    <w:rPr>
      <w:rFonts w:ascii="Times New Roman" w:hAnsi="Times New Roman" w:eastAsia="仿宋"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16</Pages>
  <Words>698</Words>
  <Characters>720</Characters>
  <Lines>883</Lines>
  <Paragraphs>866</Paragraphs>
  <TotalTime>11</TotalTime>
  <ScaleCrop>false</ScaleCrop>
  <LinksUpToDate>false</LinksUpToDate>
  <CharactersWithSpaces>720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2025-01-07T11:09:00Z</dcterms:created>
  <dc:creator>gtig_tzb</dc:creator>
  <cp:lastModifiedBy>高际航</cp:lastModifiedBy>
  <cp:lastPrinted>2020-08-07T20:08:00Z</cp:lastPrinted>
  <dcterms:modified xsi:type="dcterms:W3CDTF">2025-02-06T16:05:27Z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50471DD05229EAF2B56CA4673879F909_43</vt:lpwstr>
  </property>
  <property fmtid="{D5CDD505-2E9C-101B-9397-08002B2CF9AE}" pid="4" name="KSOTemplateDocerSaveRecord">
    <vt:lpwstr>eyJoZGlkIjoiN2ZkN2U0NTE2ZWZjNGNkOGYwMTY5ODIwZjEyYjUxNGMiLCJ1c2VySWQiOiIyMDE1ODg3NjIifQ==</vt:lpwstr>
  </property>
</Properties>
</file>