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360" w:lineRule="auto"/>
        <w:jc w:val="center"/>
        <w:rPr>
          <w:rFonts w:hint="eastAsia" w:ascii="方正小标宋_GBK" w:hAnsi="仿宋" w:eastAsia="方正小标宋_GBK" w:cs="仿宋"/>
          <w:sz w:val="44"/>
          <w:szCs w:val="44"/>
        </w:rPr>
      </w:pPr>
      <w:bookmarkStart w:id="0" w:name="_Hlk156208329"/>
      <w:r>
        <w:rPr>
          <w:rFonts w:hint="eastAsia" w:ascii="方正小标宋_GBK" w:hAnsi="仿宋" w:eastAsia="方正小标宋_GBK" w:cs="仿宋"/>
          <w:sz w:val="44"/>
          <w:szCs w:val="44"/>
        </w:rPr>
        <w:t>四分中心2025年等保测评服务</w:t>
      </w:r>
    </w:p>
    <w:bookmarkEnd w:id="0"/>
    <w:p>
      <w:pPr>
        <w:spacing w:line="360" w:lineRule="auto"/>
        <w:jc w:val="center"/>
        <w:rPr>
          <w:rFonts w:hint="eastAsia" w:ascii="方正小标宋_GBK" w:hAnsi="仿宋" w:eastAsia="方正小标宋_GBK" w:cs="仿宋"/>
          <w:sz w:val="44"/>
          <w:szCs w:val="44"/>
        </w:rPr>
      </w:pPr>
      <w:r>
        <w:rPr>
          <w:rFonts w:hint="eastAsia" w:ascii="方正小标宋_GBK" w:hAnsi="仿宋" w:eastAsia="方正小标宋_GBK" w:cs="仿宋"/>
          <w:sz w:val="44"/>
          <w:szCs w:val="44"/>
        </w:rPr>
        <w:t>采购需求</w:t>
      </w: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spacing w:line="600" w:lineRule="auto"/>
        <w:jc w:val="center"/>
        <w:rPr>
          <w:rFonts w:hint="eastAsia" w:ascii="仿宋" w:hAnsi="仿宋" w:eastAsia="仿宋" w:cs="仿宋"/>
          <w:b/>
          <w:sz w:val="36"/>
          <w:szCs w:val="36"/>
        </w:rPr>
      </w:pPr>
    </w:p>
    <w:p>
      <w:pPr>
        <w:ind w:firstLine="640"/>
        <w:jc w:val="center"/>
        <w:rPr>
          <w:rFonts w:hint="eastAsia" w:ascii="仿宋" w:hAnsi="仿宋" w:eastAsia="仿宋"/>
          <w:bCs/>
          <w:color w:val="000000" w:themeColor="text1"/>
          <w:sz w:val="28"/>
          <w:szCs w:val="28"/>
          <w14:textFill>
            <w14:solidFill>
              <w14:schemeClr w14:val="tx1"/>
            </w14:solidFill>
          </w14:textFill>
        </w:rPr>
      </w:pPr>
      <w:r>
        <w:rPr>
          <w:rFonts w:hint="eastAsia" w:ascii="仿宋" w:hAnsi="仿宋" w:eastAsia="仿宋" w:cs="仿宋"/>
          <w:bCs/>
          <w:kern w:val="44"/>
          <w:sz w:val="32"/>
          <w:szCs w:val="32"/>
        </w:rPr>
        <w:t>上海市大数据中心</w:t>
      </w:r>
    </w:p>
    <w:p>
      <w:pPr>
        <w:ind w:firstLine="640"/>
        <w:jc w:val="center"/>
        <w:rPr>
          <w:rFonts w:hint="eastAsia" w:ascii="仿宋" w:hAnsi="仿宋" w:eastAsia="仿宋" w:cs="仿宋"/>
          <w:bCs/>
          <w:kern w:val="44"/>
          <w:sz w:val="32"/>
          <w:szCs w:val="32"/>
        </w:rPr>
      </w:pPr>
      <w:r>
        <w:rPr>
          <w:rFonts w:ascii="仿宋" w:hAnsi="仿宋" w:eastAsia="仿宋" w:cs="Times New Roman"/>
          <w:bCs/>
          <w:kern w:val="44"/>
          <w:sz w:val="32"/>
          <w:szCs w:val="32"/>
        </w:rPr>
        <w:t>202</w:t>
      </w:r>
      <w:r>
        <w:rPr>
          <w:rFonts w:hint="eastAsia" w:ascii="仿宋" w:hAnsi="仿宋" w:eastAsia="仿宋" w:cs="Times New Roman"/>
          <w:bCs/>
          <w:kern w:val="44"/>
          <w:sz w:val="32"/>
          <w:szCs w:val="32"/>
        </w:rPr>
        <w:t>5</w:t>
      </w:r>
      <w:r>
        <w:rPr>
          <w:rFonts w:hint="eastAsia" w:ascii="仿宋" w:hAnsi="仿宋" w:eastAsia="仿宋" w:cs="仿宋"/>
          <w:bCs/>
          <w:kern w:val="44"/>
          <w:sz w:val="32"/>
          <w:szCs w:val="32"/>
        </w:rPr>
        <w:t>年1月</w:t>
      </w:r>
    </w:p>
    <w:p>
      <w:pPr>
        <w:spacing w:line="600" w:lineRule="auto"/>
        <w:jc w:val="center"/>
        <w:rPr>
          <w:rFonts w:hint="eastAsia" w:ascii="仿宋" w:hAnsi="仿宋" w:eastAsia="仿宋" w:cs="仿宋"/>
          <w:b/>
          <w:sz w:val="36"/>
          <w:szCs w:val="36"/>
        </w:rPr>
        <w:sectPr>
          <w:pgSz w:w="11906" w:h="16838"/>
          <w:pgMar w:top="1440" w:right="1800" w:bottom="1440" w:left="1800" w:header="851" w:footer="992" w:gutter="0"/>
          <w:cols w:space="425" w:num="1"/>
          <w:docGrid w:type="lines" w:linePitch="312" w:charSpace="0"/>
        </w:sectPr>
      </w:pPr>
    </w:p>
    <w:p>
      <w:pPr>
        <w:pStyle w:val="2"/>
        <w:ind w:left="0"/>
        <w:rPr>
          <w:rFonts w:hint="eastAsia" w:ascii="仿宋" w:hAnsi="仿宋" w:eastAsia="仿宋" w:cs="仿宋"/>
        </w:rPr>
      </w:pPr>
      <w:bookmarkStart w:id="1" w:name="_Toc69194644"/>
      <w:r>
        <w:rPr>
          <w:rFonts w:hint="eastAsia" w:ascii="仿宋" w:hAnsi="仿宋" w:eastAsia="仿宋" w:cs="仿宋"/>
        </w:rPr>
        <w:t>项目概述</w:t>
      </w:r>
      <w:bookmarkEnd w:id="1"/>
    </w:p>
    <w:p>
      <w:pPr>
        <w:ind w:firstLine="560" w:firstLineChars="200"/>
        <w:rPr>
          <w:rFonts w:hint="eastAsia" w:ascii="仿宋" w:hAnsi="仿宋" w:eastAsia="仿宋" w:cs="仿宋"/>
          <w:sz w:val="28"/>
          <w:szCs w:val="28"/>
        </w:rPr>
      </w:pPr>
      <w:r>
        <w:rPr>
          <w:rFonts w:hint="eastAsia" w:ascii="仿宋" w:hAnsi="仿宋" w:eastAsia="仿宋" w:cs="仿宋"/>
          <w:sz w:val="28"/>
          <w:szCs w:val="28"/>
        </w:rPr>
        <w:t>项目背景：为贯彻落实《中华人民共和国网络安全法》、《信息安全等级保护管理办法》，有效应对当前网络安全面临的严峻威胁与挑战，全力做好信息系统网络安全保卫工作，基于上海市大数据中心和各市级部门信息化职能整合现状，结合上海市大数据中心实际工作需求，上海市大数据中心信息化服务第四分中心（以下简称“第四分中心”）组织展开2025年信息系统等保定级备案、网络安全等级保护测评等相关工作，及时发现处置系统安全隐患，全面提升信息系统网络安全防护水平，保障系统安全、高效、稳定运行。拟通过公开招标方式，选择优质服务商提供网络安全等级保护测评等服务。</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服务期限：合同签订之日起至2025年12月31日</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服务地点：上海市大数据中心信息化服务第四分中心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预算金额：</w:t>
      </w:r>
      <w:bookmarkStart w:id="2" w:name="_Hlk159530244"/>
      <w:r>
        <w:rPr>
          <w:rFonts w:hint="eastAsia" w:ascii="仿宋" w:hAnsi="仿宋" w:eastAsia="仿宋" w:cs="仿宋"/>
          <w:sz w:val="28"/>
          <w:szCs w:val="28"/>
        </w:rPr>
        <w:t>4,320,000元</w:t>
      </w:r>
      <w:bookmarkEnd w:id="2"/>
    </w:p>
    <w:p>
      <w:pPr>
        <w:ind w:firstLine="560" w:firstLineChars="200"/>
        <w:rPr>
          <w:rFonts w:hint="eastAsia" w:ascii="仿宋" w:hAnsi="仿宋" w:eastAsia="仿宋" w:cs="仿宋"/>
          <w:color w:val="FF0000"/>
          <w:sz w:val="28"/>
        </w:rPr>
      </w:pPr>
      <w:r>
        <w:rPr>
          <w:rFonts w:hint="eastAsia" w:ascii="仿宋" w:hAnsi="仿宋" w:eastAsia="仿宋" w:cs="仿宋"/>
          <w:sz w:val="28"/>
          <w:szCs w:val="28"/>
        </w:rPr>
        <w:t>采购金额（最高限价）：4,320,000元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组织形式：集中采购</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采购方式：公开招标</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面向企业类型：大中小微</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是否接受联合体响应：否</w:t>
      </w:r>
    </w:p>
    <w:p>
      <w:pPr>
        <w:pStyle w:val="2"/>
        <w:ind w:left="0"/>
        <w:rPr>
          <w:rFonts w:hint="eastAsia" w:ascii="仿宋" w:hAnsi="仿宋" w:eastAsia="仿宋" w:cs="仿宋"/>
        </w:rPr>
      </w:pPr>
      <w:bookmarkStart w:id="3" w:name="_Toc69194645"/>
      <w:r>
        <w:rPr>
          <w:rFonts w:hint="eastAsia" w:ascii="仿宋" w:hAnsi="仿宋" w:eastAsia="仿宋" w:cs="仿宋"/>
        </w:rPr>
        <w:t>服务范围</w:t>
      </w:r>
      <w:bookmarkEnd w:id="3"/>
    </w:p>
    <w:p>
      <w:pPr>
        <w:ind w:firstLine="560" w:firstLineChars="200"/>
        <w:rPr>
          <w:rFonts w:hint="eastAsia" w:ascii="仿宋" w:hAnsi="仿宋" w:eastAsia="仿宋" w:cs="仿宋"/>
          <w:sz w:val="28"/>
          <w:szCs w:val="28"/>
        </w:rPr>
      </w:pPr>
      <w:r>
        <w:rPr>
          <w:rFonts w:hint="eastAsia" w:ascii="仿宋" w:hAnsi="仿宋" w:eastAsia="仿宋" w:cs="仿宋"/>
          <w:sz w:val="28"/>
          <w:szCs w:val="28"/>
        </w:rPr>
        <w:t>第四分中心2025年等保测评服务的服务范围覆盖第四分中心下属7个信息化服务团队：绿化市容局团队、水务局（海洋局）团队、生态环境局团队、规划资源局团队、交通委（含道路运输局）团队、国防动员办和应急局团队、住建委（含房管局、城管执法局）团队及第四分中心工作专班所属的各项网络安全等级保护测评工作。</w:t>
      </w:r>
    </w:p>
    <w:p>
      <w:pPr>
        <w:pStyle w:val="3"/>
        <w:ind w:left="420" w:firstLine="562" w:firstLineChars="200"/>
        <w:rPr>
          <w:rFonts w:hint="eastAsia" w:ascii="仿宋" w:hAnsi="仿宋" w:cs="仿宋"/>
          <w:szCs w:val="28"/>
        </w:rPr>
      </w:pPr>
      <w:bookmarkStart w:id="4" w:name="_Hlk156210754"/>
      <w:r>
        <w:rPr>
          <w:rFonts w:hint="eastAsia" w:ascii="仿宋" w:hAnsi="仿宋" w:cs="仿宋"/>
          <w:szCs w:val="28"/>
        </w:rPr>
        <w:t>网络安全等级保护测评</w:t>
      </w:r>
      <w:bookmarkEnd w:id="4"/>
      <w:r>
        <w:rPr>
          <w:rFonts w:hint="eastAsia" w:ascii="仿宋" w:hAnsi="仿宋" w:cs="仿宋"/>
          <w:szCs w:val="28"/>
        </w:rPr>
        <w:t>清单</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本项目为以下系统提供网络安全等级保护测评服务，具体以实际服务范围为准：</w:t>
      </w:r>
    </w:p>
    <w:tbl>
      <w:tblPr>
        <w:tblStyle w:val="24"/>
        <w:tblW w:w="10060" w:type="dxa"/>
        <w:tblInd w:w="-7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90"/>
        <w:gridCol w:w="2850"/>
        <w:gridCol w:w="1250"/>
        <w:gridCol w:w="2820"/>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序号</w:t>
            </w:r>
          </w:p>
        </w:tc>
        <w:tc>
          <w:tcPr>
            <w:tcW w:w="1290" w:type="dxa"/>
            <w:shd w:val="clear" w:color="auto" w:fill="auto"/>
            <w:vAlign w:val="center"/>
          </w:tcPr>
          <w:p>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单位名称</w:t>
            </w:r>
          </w:p>
        </w:tc>
        <w:tc>
          <w:tcPr>
            <w:tcW w:w="2850" w:type="dxa"/>
            <w:shd w:val="clear" w:color="auto" w:fill="auto"/>
            <w:vAlign w:val="center"/>
          </w:tcPr>
          <w:p>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系统名称</w:t>
            </w:r>
          </w:p>
        </w:tc>
        <w:tc>
          <w:tcPr>
            <w:tcW w:w="1250" w:type="dxa"/>
            <w:shd w:val="clear" w:color="auto" w:fill="auto"/>
            <w:vAlign w:val="center"/>
          </w:tcPr>
          <w:p>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系统编码</w:t>
            </w:r>
          </w:p>
        </w:tc>
        <w:tc>
          <w:tcPr>
            <w:tcW w:w="2820" w:type="dxa"/>
            <w:shd w:val="clear" w:color="auto" w:fill="auto"/>
            <w:vAlign w:val="center"/>
          </w:tcPr>
          <w:p>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等保备案系统名称</w:t>
            </w:r>
          </w:p>
        </w:tc>
        <w:tc>
          <w:tcPr>
            <w:tcW w:w="1130" w:type="dxa"/>
            <w:shd w:val="clear" w:color="auto" w:fill="auto"/>
            <w:vAlign w:val="center"/>
          </w:tcPr>
          <w:p>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等保备案等级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上海市规划和自然资源局</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市规划资源局数据中台</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9251700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市规划资源局数据中台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市规划资源局门户网站</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9252300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市规划资源局门户网站</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市规划资源局综合事务系统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9252500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市规划资源局综合事务系统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市规划资源局内网统一门户系统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市规划资源局自然资源确权登记管理系统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9252600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市规划资源局自然资源确权登记管理系统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市规划资源局建设项目管理系统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9252700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市规划资源局建设项目管理系统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市规划资源局土地管理系统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9252800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市规划资源局土地管理系统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市规划资源局监督及执法管理系统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9252900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市规划资源局监督及执法管理系统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8</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市规划资源局地质地矿管理系统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9253000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市规划资源局地质地矿管理系统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市规划资源局测调管理系统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9253100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市规划资源局测调管理系统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10</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市规划资源局规划管理系统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9253200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市规划资源局规划管理系统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11</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市规划资源局基础应用支撑系统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9253300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市规划资源局基础应用支撑系统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12</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上海环境网站</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9261200</w:t>
            </w:r>
          </w:p>
        </w:tc>
        <w:tc>
          <w:tcPr>
            <w:tcW w:w="282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上海环境网站</w:t>
            </w:r>
          </w:p>
        </w:tc>
        <w:tc>
          <w:tcPr>
            <w:tcW w:w="113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上海市企事业单位生态环境服务系统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9260200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14</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上海市生态环境局固定污染源综合管理系统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9260100</w:t>
            </w:r>
          </w:p>
        </w:tc>
        <w:tc>
          <w:tcPr>
            <w:tcW w:w="282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上海市生态环境局电子政务平台</w:t>
            </w:r>
          </w:p>
        </w:tc>
        <w:tc>
          <w:tcPr>
            <w:tcW w:w="113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上海市生态环境局土壤污染防治综合监管系统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9260300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16</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上海市生态环境局数据中台</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9260400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上海市城运系统生态环境管理子系统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9260500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18</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上海市生态环境局电子政务系统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9260600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19</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上海市环境保护和生态建设项目管理信息系统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9260700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20</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上海市环境统计数据应用分析系统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9261000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21</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上海市生态环境局非道路移动机械管理系统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9261100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22</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上海市生态环境局政务服务系统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9261300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上海市生态环境局固废数字化综合监管系统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9261400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24</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上海市生态环境局扬尘在线数据业务应用管理系统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9261500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上海市环境监察移动执法系统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9261800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26</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上海市移动源环保智慧信息管理系统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9261900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上海市水生态环境质量综合监管系统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9262000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28</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上海市生态环境局生态系统保护与评估系统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9262100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29</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上海市住房和城乡建设管理委员会</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上海市住房和城乡建设管理委员会协同办公系统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9270100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市住建委协同办公系统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30</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上海市社会投资项目联审共享系统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9270200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上海市社会投资项目联审共享平台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31</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上海市建设市场管理信息系统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9270300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上海市建设市场管理信息系统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32</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上海市城市管理综合信息系统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9270500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上海市城市管理综合信息系统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33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上海市住房和城乡建设管理委员会城市基础设施建设与维护项目管理信息系统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9270800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城市基础设施建设与维护项目管理信息系统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34</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上海市交通委员会</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上海网约车监管服务系统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9280300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上海网约车监管服务平台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35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上海市机动车额度管理信息系统</w:t>
            </w:r>
          </w:p>
        </w:tc>
        <w:tc>
          <w:tcPr>
            <w:tcW w:w="125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9280600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上海市机动车额度管理信息系统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36</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上海市道路交通信息采集和发布系统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9280700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上海市道路交通信息采集和发布系统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上海城市交通信息监控系统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9281000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上海城市交通信息监控系统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38</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上海市交通委员会安全生产标准化考评及监督管理系统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9281200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安全生产标准化考评及监督管理系统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39</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上海市交通委员会协同办公系统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9281300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上海市交通委员会协同办公系统（干部人事档案管理系统）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40</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上海市水务局（上海市海洋局）</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上海市水资源实时监控与管理信息系统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9290800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上海市水资源实时监控与管理信息系统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41</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上海市水务局电子政务系统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9291000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水务海洋专业技术人才库</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上海市水务局电子政务系统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市民服务热线水务海洋业务管理平台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防汛短信和传真系统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42</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上海市水务海洋门户网站</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9291100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上海市水务局、上海市海洋局门户网站</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上海市城市运行管理和应急处置水务专题系统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9291500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上海市城市运行管理和应急处置水务专题系统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44</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上海市防汛信息服务系统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9291800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防汛信息服务系统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上海市水环境治理大系统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9292300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水环境治理大系统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46</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上海市水务海洋政务服务系统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9292500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水务海洋“一网通办”行政审批一体化服务系统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上海市水务局数字化综合系统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9292700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水务海洋网络信息基础设施平台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水务海洋视频资源共享平台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水务海洋数据管理平台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48</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上海市应急管理局</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上海市应急管理局安全生产基础信息平台系统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9300300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安全生产基础信息平台系统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49</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上海市应急管理局超大型城市自然灾害综合风险普查采集与监测预警系统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9300400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上海市自然灾害综合监测预警系统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50</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上海市应急管理综合应用系统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9300500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上海市应急管理省级节点数据处理上报应用系统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上海市应急管理综合应用平台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51</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上海市绿化和市容管理局</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上海市野生动植物资源管理系统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9310100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上海市野生动植物资源管理系统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52</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上海市市容环境综合信息管理系统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9310200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上海市市容环境综合信息管理系统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上海市森林资源管理系统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上海森林资源管理系统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54</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上海市绿化市容综合服务信息系统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9310400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上海市绿化市容综合服务信息平台(“三重一大”事项议事决策备案管理系统)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上海市绿化市容综合服务信息平台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上海市绿化市容遥感和地理信息系统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上海市绿化市容遥感和地理信息系统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56</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上海市绿化和市容管理局协同办公系统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9310600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上海市绿化和市容管理局统一门户建设</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上海绿化市容科研科创管理平台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上海市绿化和市容管理局机关绩效考核管理信息系统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上海市绿化和市容管理局数字档案管理系统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上海市绿化市容视频共享交换平台建设项目</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上海市绿化市容信息及服务共享平台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上海市绿化市容统计信息管理系统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9310700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上海市绿化市容统计信息管理系统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58</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上海市绿化和市容门户网站</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9310900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上海市绿化和市容门户网站</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59</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上海市绿化和市容行政事务受理系统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9311000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上海市绿化和市容行政事务受理系统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60</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上海市林业“三防”综合信息数据库管理指挥系统及森林防火预警系统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9311200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上海市林业“三防”综合信息数据库管理指挥系统及森林防火预警系统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61</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上海市建筑渣土综合监管服务系统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9311300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上海市建筑渣土综合监管服务平台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62</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上海市餐厨垃圾（废油脂）及固体废弃物监管系统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9311500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上海市餐厨垃圾（废油脂）及固体废弃物监管系统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上海绿化养护管理信息系统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9311600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上海绿化养护管理信息系统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64</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上海市绿化和市容管理局优化营商环境政务服务系统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9311700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上海绿化和市容管理局优化营商环境政务服务系统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65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上海市绿化和市容管理局陆域环境质量监管系统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9311900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陆域环境质量监管系统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66</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上海市国防动员办公室</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上海市国防动员办公室“智慧民防”系统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9320200</w:t>
            </w:r>
          </w:p>
        </w:tc>
        <w:tc>
          <w:tcPr>
            <w:tcW w:w="282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“智慧民防”业务大系统</w:t>
            </w:r>
          </w:p>
        </w:tc>
        <w:tc>
          <w:tcPr>
            <w:tcW w:w="113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“智慧民防”业务系统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9320300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68</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上海市国防动员办公室民防信息系统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9320400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69</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上海市国防动员办公室民防运行智能监控系统（“一网统管”）</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9320700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70</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上海市国防动员办公室政务办公系统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9320800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71</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上海市民防办政务外网平台系统（硬件网络平台，历年按等保三级开展测评）</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上海市民防办政务外网平台系统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72</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上海市城市管理行政执法局</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上海市城管执法网上办案系统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9330300</w:t>
            </w:r>
          </w:p>
        </w:tc>
        <w:tc>
          <w:tcPr>
            <w:tcW w:w="282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上海市城管执法法制管理系统</w:t>
            </w:r>
          </w:p>
        </w:tc>
        <w:tc>
          <w:tcPr>
            <w:tcW w:w="113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73</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上海市城管执法全过程记录后台管理系统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9330400</w:t>
            </w:r>
          </w:p>
        </w:tc>
        <w:tc>
          <w:tcPr>
            <w:tcW w:w="2820" w:type="dxa"/>
            <w:vMerge w:val="continue"/>
            <w:shd w:val="clear" w:color="auto" w:fill="auto"/>
            <w:vAlign w:val="center"/>
          </w:tcPr>
          <w:p>
            <w:pPr>
              <w:jc w:val="left"/>
              <w:rPr>
                <w:rFonts w:hint="eastAsia" w:ascii="仿宋" w:hAnsi="仿宋" w:eastAsia="仿宋" w:cs="仿宋"/>
                <w:color w:val="000000"/>
                <w:sz w:val="24"/>
                <w:szCs w:val="24"/>
              </w:rPr>
            </w:pPr>
          </w:p>
        </w:tc>
        <w:tc>
          <w:tcPr>
            <w:tcW w:w="1130" w:type="dxa"/>
            <w:vMerge w:val="continue"/>
            <w:shd w:val="clear" w:color="auto" w:fill="auto"/>
            <w:vAlign w:val="center"/>
          </w:tcPr>
          <w:p>
            <w:pPr>
              <w:jc w:val="center"/>
              <w:rPr>
                <w:rFonts w:hint="eastAsia"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74</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上海市城管执法电子政务系统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9330600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上海市城管执法电子政务系统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75</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上海市城管执法队伍管理系统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9330700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上海市城管执法综合管理系统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76</w:t>
            </w:r>
          </w:p>
        </w:tc>
        <w:tc>
          <w:tcPr>
            <w:tcW w:w="129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w:t>
            </w: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上海市房屋管理局综合业务管理系统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9340100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上海市房屋管理局综合业务管理系统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上海市房管数据治理及资源应用平台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77</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上海市房屋管理局住房租赁公共服务系统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9340600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上海市住房租赁公共服务平台</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78</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上海市房屋管理局房地产市场管理系统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9341500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上海市房屋管理局房地产市场管理系统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720" w:type="dxa"/>
            <w:vMerge w:val="restart"/>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79</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restart"/>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上海市房屋管理局住房保障管理系统</w:t>
            </w:r>
          </w:p>
        </w:tc>
        <w:tc>
          <w:tcPr>
            <w:tcW w:w="1250" w:type="dxa"/>
            <w:vMerge w:val="restart"/>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9341900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上海市房屋管理局住房保障管理系统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vMerge w:val="continue"/>
            <w:shd w:val="clear" w:color="auto" w:fill="auto"/>
            <w:vAlign w:val="center"/>
          </w:tcPr>
          <w:p>
            <w:pPr>
              <w:jc w:val="center"/>
              <w:rPr>
                <w:rFonts w:hint="eastAsia" w:ascii="仿宋" w:hAnsi="仿宋" w:eastAsia="仿宋" w:cs="仿宋"/>
                <w:color w:val="000000"/>
                <w:sz w:val="24"/>
                <w:szCs w:val="24"/>
              </w:rPr>
            </w:pP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vMerge w:val="continue"/>
            <w:shd w:val="clear" w:color="auto" w:fill="auto"/>
            <w:vAlign w:val="center"/>
          </w:tcPr>
          <w:p>
            <w:pPr>
              <w:jc w:val="left"/>
              <w:rPr>
                <w:rFonts w:hint="eastAsia" w:ascii="仿宋" w:hAnsi="仿宋" w:eastAsia="仿宋" w:cs="仿宋"/>
                <w:color w:val="000000"/>
                <w:sz w:val="24"/>
                <w:szCs w:val="24"/>
              </w:rPr>
            </w:pPr>
          </w:p>
        </w:tc>
        <w:tc>
          <w:tcPr>
            <w:tcW w:w="1250" w:type="dxa"/>
            <w:vMerge w:val="continue"/>
            <w:shd w:val="clear" w:color="auto" w:fill="auto"/>
            <w:noWrap/>
            <w:vAlign w:val="center"/>
          </w:tcPr>
          <w:p>
            <w:pPr>
              <w:jc w:val="center"/>
              <w:rPr>
                <w:rFonts w:hint="eastAsia" w:ascii="仿宋" w:hAnsi="仿宋" w:eastAsia="仿宋" w:cs="仿宋"/>
                <w:color w:val="000000"/>
                <w:sz w:val="24"/>
                <w:szCs w:val="24"/>
              </w:rPr>
            </w:pP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上海市旧区改造信息管理系统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80</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上海市房屋管理局物业管理系统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9342000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上海市房屋管理局物业管理系统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81</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上海市房屋管理局房地产市场调控和涉税评估系统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9342100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上海市房屋管理局房地产市场调控和涉税评估系统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82</w:t>
            </w:r>
          </w:p>
        </w:tc>
        <w:tc>
          <w:tcPr>
            <w:tcW w:w="1290" w:type="dxa"/>
            <w:vMerge w:val="continue"/>
            <w:shd w:val="clear" w:color="auto" w:fill="auto"/>
            <w:vAlign w:val="center"/>
          </w:tcPr>
          <w:p>
            <w:pPr>
              <w:jc w:val="center"/>
              <w:rPr>
                <w:rFonts w:hint="eastAsia" w:ascii="仿宋" w:hAnsi="仿宋" w:eastAsia="仿宋" w:cs="仿宋"/>
                <w:color w:val="000000"/>
                <w:sz w:val="24"/>
                <w:szCs w:val="24"/>
              </w:rPr>
            </w:pP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上海市房屋管理局房屋状况信息核查系统</w:t>
            </w:r>
          </w:p>
        </w:tc>
        <w:tc>
          <w:tcPr>
            <w:tcW w:w="1250" w:type="dxa"/>
            <w:shd w:val="clear" w:color="auto" w:fill="auto"/>
            <w:noWrap/>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9342300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上海市房屋管理局房屋状况信息核查系统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83</w:t>
            </w:r>
          </w:p>
        </w:tc>
        <w:tc>
          <w:tcPr>
            <w:tcW w:w="129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四分中心专班</w:t>
            </w:r>
          </w:p>
        </w:tc>
        <w:tc>
          <w:tcPr>
            <w:tcW w:w="285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城市智理时空一体化系统</w:t>
            </w:r>
          </w:p>
        </w:tc>
        <w:tc>
          <w:tcPr>
            <w:tcW w:w="125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0040100</w:t>
            </w:r>
          </w:p>
        </w:tc>
        <w:tc>
          <w:tcPr>
            <w:tcW w:w="2820" w:type="dxa"/>
            <w:shd w:val="clear" w:color="auto" w:fill="auto"/>
            <w:vAlign w:val="center"/>
          </w:tcPr>
          <w:p>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城市智理时空一体化大系统</w:t>
            </w:r>
          </w:p>
        </w:tc>
        <w:tc>
          <w:tcPr>
            <w:tcW w:w="1130" w:type="dxa"/>
            <w:shd w:val="clear" w:color="auto" w:fill="auto"/>
            <w:vAlign w:val="center"/>
          </w:tcPr>
          <w:p>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0060" w:type="dxa"/>
            <w:gridSpan w:val="6"/>
            <w:shd w:val="clear" w:color="auto" w:fill="auto"/>
            <w:vAlign w:val="center"/>
          </w:tcPr>
          <w:p>
            <w:pPr>
              <w:pStyle w:val="49"/>
              <w:spacing w:line="240" w:lineRule="auto"/>
              <w:ind w:firstLine="400"/>
              <w:rPr>
                <w:rFonts w:hint="eastAsia" w:ascii="仿宋" w:hAnsi="仿宋" w:eastAsia="仿宋"/>
                <w:sz w:val="20"/>
                <w:szCs w:val="20"/>
              </w:rPr>
            </w:pPr>
            <w:r>
              <w:rPr>
                <w:rFonts w:hint="eastAsia" w:ascii="仿宋" w:hAnsi="仿宋" w:eastAsia="仿宋"/>
                <w:sz w:val="20"/>
                <w:szCs w:val="20"/>
              </w:rPr>
              <w:t>备注：</w:t>
            </w:r>
          </w:p>
          <w:p>
            <w:pPr>
              <w:pStyle w:val="49"/>
              <w:spacing w:line="240" w:lineRule="auto"/>
              <w:ind w:firstLine="600" w:firstLineChars="300"/>
              <w:rPr>
                <w:rFonts w:hint="eastAsia" w:ascii="仿宋" w:hAnsi="仿宋" w:eastAsia="仿宋"/>
                <w:sz w:val="20"/>
                <w:szCs w:val="20"/>
              </w:rPr>
            </w:pPr>
            <w:r>
              <w:rPr>
                <w:rFonts w:hint="eastAsia" w:ascii="仿宋" w:hAnsi="仿宋" w:eastAsia="仿宋"/>
                <w:sz w:val="20"/>
                <w:szCs w:val="20"/>
              </w:rPr>
              <w:t>1、包括但不仅限于清单内的系统，以上系统清单将结合上海市大数据中心系统整合和停用情况，以实际清单为准。</w:t>
            </w:r>
          </w:p>
          <w:p>
            <w:pPr>
              <w:widowControl/>
              <w:ind w:firstLine="600" w:firstLineChars="300"/>
              <w:textAlignment w:val="center"/>
              <w:rPr>
                <w:rFonts w:hint="eastAsia" w:ascii="仿宋" w:hAnsi="仿宋" w:eastAsia="仿宋" w:cs="仿宋"/>
                <w:color w:val="000000"/>
                <w:kern w:val="0"/>
                <w:sz w:val="24"/>
                <w:szCs w:val="24"/>
                <w:lang w:bidi="ar"/>
              </w:rPr>
            </w:pPr>
            <w:r>
              <w:rPr>
                <w:rFonts w:hint="eastAsia" w:ascii="仿宋" w:hAnsi="仿宋" w:eastAsia="仿宋"/>
                <w:sz w:val="20"/>
                <w:szCs w:val="20"/>
                <w:lang w:bidi="en-US"/>
              </w:rPr>
              <w:t>2、网络安全等级保护测评服务应涵盖上述系统内的各级子系统。</w:t>
            </w:r>
          </w:p>
        </w:tc>
      </w:tr>
    </w:tbl>
    <w:p>
      <w:pPr>
        <w:pStyle w:val="2"/>
        <w:ind w:left="0"/>
        <w:rPr>
          <w:rFonts w:hint="eastAsia" w:ascii="仿宋" w:hAnsi="仿宋" w:eastAsia="仿宋" w:cs="仿宋"/>
        </w:rPr>
      </w:pPr>
      <w:bookmarkStart w:id="5" w:name="_Toc69194664"/>
      <w:r>
        <w:rPr>
          <w:rFonts w:hint="eastAsia" w:ascii="仿宋" w:hAnsi="仿宋" w:eastAsia="仿宋" w:cs="仿宋"/>
        </w:rPr>
        <w:t>网络安全等级保护测评服务需求</w:t>
      </w:r>
      <w:bookmarkEnd w:id="5"/>
      <w:bookmarkStart w:id="6" w:name="_Toc69194666"/>
    </w:p>
    <w:bookmarkEnd w:id="6"/>
    <w:p>
      <w:pPr>
        <w:ind w:firstLine="560" w:firstLineChars="200"/>
        <w:rPr>
          <w:rFonts w:hint="eastAsia" w:ascii="仿宋" w:hAnsi="仿宋" w:eastAsia="仿宋" w:cs="仿宋"/>
          <w:sz w:val="28"/>
          <w:szCs w:val="28"/>
        </w:rPr>
      </w:pPr>
      <w:r>
        <w:rPr>
          <w:rFonts w:hint="eastAsia" w:ascii="仿宋" w:hAnsi="仿宋" w:eastAsia="仿宋" w:cs="仿宋"/>
          <w:sz w:val="28"/>
          <w:szCs w:val="28"/>
        </w:rPr>
        <w:t>根据《中华人民共和国网络安全法》关于网络安全等级保护相关规定，结合第四分中心各委办信息化服务团队的信息系统等保实际情况，由第三方测评机构完成不少于83个应用系统或基础设施等级保护测评工作（具体信息系统清单以实际需求为准，由采购方确认）。</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服务交付物：《网络安全等级测评报告》、《网络安全等级测评工作建议》。</w:t>
      </w:r>
    </w:p>
    <w:p>
      <w:pPr>
        <w:pStyle w:val="2"/>
        <w:ind w:left="0"/>
        <w:rPr>
          <w:rFonts w:hint="eastAsia" w:ascii="仿宋" w:hAnsi="仿宋" w:eastAsia="仿宋" w:cs="仿宋"/>
        </w:rPr>
      </w:pPr>
      <w:bookmarkStart w:id="7" w:name="_Toc69194682"/>
      <w:r>
        <w:rPr>
          <w:rFonts w:hint="eastAsia" w:ascii="仿宋" w:hAnsi="仿宋" w:eastAsia="仿宋" w:cs="仿宋"/>
        </w:rPr>
        <w:t>服务质量考核</w:t>
      </w:r>
      <w:bookmarkEnd w:id="7"/>
      <w:r>
        <w:rPr>
          <w:rFonts w:hint="eastAsia" w:ascii="仿宋" w:hAnsi="仿宋" w:eastAsia="仿宋" w:cs="仿宋"/>
        </w:rPr>
        <w:t>要求</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服务质量的考核结果将作为确认甲方需支付的最终合同总价的依据之一。就甲方需支付的最终合同总价，服务质量考核结果为优秀和良好的按中标金额的100%支付，服务质量考核结果为一般的按中标金额的97%支付。</w:t>
      </w:r>
    </w:p>
    <w:p>
      <w:pPr>
        <w:pStyle w:val="3"/>
        <w:rPr>
          <w:rFonts w:hint="eastAsia" w:ascii="仿宋" w:hAnsi="仿宋" w:cs="仿宋"/>
          <w:bCs w:val="0"/>
          <w:szCs w:val="28"/>
        </w:rPr>
      </w:pPr>
      <w:r>
        <w:rPr>
          <w:rFonts w:hint="eastAsia" w:ascii="仿宋" w:hAnsi="仿宋" w:cs="仿宋"/>
          <w:bCs w:val="0"/>
          <w:szCs w:val="28"/>
        </w:rPr>
        <w:t>考核标准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（1）根据项目要求在项目验收前完成相关等保测评服务工作；</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（2）服务提供方应根据第四分中心等保测评需求，制定详细等保测评工作计划和方案；</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（3）等保测评服务响应率=100%；</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（4）文档完整度和准确率大于95%。</w:t>
      </w:r>
    </w:p>
    <w:p>
      <w:pPr>
        <w:pStyle w:val="3"/>
        <w:rPr>
          <w:rFonts w:hint="eastAsia" w:ascii="仿宋" w:hAnsi="仿宋" w:cs="仿宋"/>
          <w:bCs w:val="0"/>
          <w:szCs w:val="28"/>
        </w:rPr>
      </w:pPr>
      <w:r>
        <w:rPr>
          <w:rFonts w:hint="eastAsia" w:ascii="仿宋" w:hAnsi="仿宋" w:cs="仿宋"/>
          <w:bCs w:val="0"/>
          <w:szCs w:val="28"/>
        </w:rPr>
        <w:t>服务质量要求</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（1）在履行期限内，服务提供方应当在服务期限过半及服务验收前以书面形式向用户方递交等保测评服务工作报告，用户方在收到服务报告后的10个工作日内，完成服务质量考核。</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（2）如果由于服务提供方原因致使等保测评服务未能通过考核，服务提供方应当自收到通知之日起10日内及时整改，并自行承担相关整改费用，直至服务完全符合要求。</w:t>
      </w:r>
    </w:p>
    <w:p>
      <w:pPr>
        <w:pStyle w:val="3"/>
        <w:rPr>
          <w:rFonts w:hint="eastAsia" w:ascii="仿宋" w:hAnsi="仿宋" w:cs="仿宋"/>
          <w:bCs w:val="0"/>
          <w:szCs w:val="28"/>
        </w:rPr>
      </w:pPr>
      <w:r>
        <w:rPr>
          <w:rFonts w:hint="eastAsia" w:ascii="仿宋" w:hAnsi="仿宋" w:cs="仿宋"/>
          <w:bCs w:val="0"/>
          <w:szCs w:val="28"/>
        </w:rPr>
        <w:t>考核方式</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（1）项目服务过程中，服务提供方应按照第四分中心等保测评工作要求按期完成等保测评服务，服务提供方无法在规定时间内完成等保测评工作，采购方有权利无条件终止合同。</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（2）项目服务过程中，第四分中心发现服务提供方等保测评服务不规范等情况，对服务提供方进行警告，服务提供方需在48小时内排查问题并整改，出具相关整改报告。</w:t>
      </w:r>
    </w:p>
    <w:p>
      <w:pPr>
        <w:pStyle w:val="2"/>
        <w:ind w:left="0"/>
        <w:rPr>
          <w:rFonts w:hint="eastAsia" w:ascii="仿宋" w:hAnsi="仿宋" w:eastAsia="仿宋" w:cs="仿宋"/>
        </w:rPr>
      </w:pPr>
      <w:bookmarkStart w:id="8" w:name="_Toc69194684"/>
      <w:r>
        <w:rPr>
          <w:rFonts w:hint="eastAsia" w:ascii="仿宋" w:hAnsi="仿宋" w:eastAsia="仿宋" w:cs="仿宋"/>
        </w:rPr>
        <w:t>验收</w:t>
      </w:r>
      <w:bookmarkEnd w:id="8"/>
      <w:r>
        <w:rPr>
          <w:rFonts w:hint="eastAsia" w:ascii="仿宋" w:hAnsi="仿宋" w:eastAsia="仿宋" w:cs="仿宋"/>
        </w:rPr>
        <w:t>要求</w:t>
      </w:r>
    </w:p>
    <w:p>
      <w:pPr>
        <w:ind w:firstLine="560" w:firstLineChars="200"/>
        <w:rPr>
          <w:rFonts w:hint="eastAsia" w:ascii="仿宋" w:hAnsi="仿宋" w:eastAsia="仿宋" w:cs="仿宋"/>
          <w:sz w:val="28"/>
          <w:szCs w:val="28"/>
          <w:lang w:val="en-GB"/>
        </w:rPr>
      </w:pPr>
      <w:r>
        <w:rPr>
          <w:rFonts w:hint="eastAsia" w:ascii="仿宋" w:hAnsi="仿宋" w:eastAsia="仿宋" w:cs="仿宋"/>
          <w:sz w:val="28"/>
          <w:szCs w:val="28"/>
          <w:lang w:val="en-GB"/>
        </w:rPr>
        <w:t>网络安全等级保护服务工作期限终止时，服务提供方应当按照采购方要求以书面形式向其提供本项目服务交付物即《网络安全等级测评报告》、《网络安全等级测评</w:t>
      </w:r>
      <w:r>
        <w:rPr>
          <w:rFonts w:hint="eastAsia" w:ascii="仿宋" w:hAnsi="仿宋" w:eastAsia="仿宋" w:cs="仿宋"/>
          <w:sz w:val="28"/>
          <w:szCs w:val="28"/>
        </w:rPr>
        <w:t>工作建议</w:t>
      </w:r>
      <w:r>
        <w:rPr>
          <w:rFonts w:hint="eastAsia" w:ascii="仿宋" w:hAnsi="仿宋" w:eastAsia="仿宋" w:cs="仿宋"/>
          <w:sz w:val="28"/>
          <w:szCs w:val="28"/>
          <w:lang w:val="en-GB"/>
        </w:rPr>
        <w:t>》、</w:t>
      </w:r>
      <w:r>
        <w:rPr>
          <w:rFonts w:hint="eastAsia" w:ascii="仿宋" w:hAnsi="仿宋" w:eastAsia="仿宋" w:cs="仿宋"/>
          <w:sz w:val="28"/>
          <w:szCs w:val="28"/>
        </w:rPr>
        <w:t>《网络安全等级测评服务总体实施方案》、《网络安全等级测评服务项目总结报告》等</w:t>
      </w:r>
      <w:r>
        <w:rPr>
          <w:rFonts w:hint="eastAsia" w:ascii="仿宋" w:hAnsi="仿宋" w:eastAsia="仿宋" w:cs="仿宋"/>
          <w:sz w:val="28"/>
          <w:szCs w:val="28"/>
          <w:lang w:val="en-GB"/>
        </w:rPr>
        <w:t>相关资料。采购方在收到服务提供方提交的相关资料后10个工作日内，对服务提供方的工作进行验收。采购方有权委托第三方机构进行验收，对此服务提供方应当配合。</w:t>
      </w:r>
    </w:p>
    <w:p>
      <w:pPr>
        <w:pStyle w:val="2"/>
        <w:ind w:left="0"/>
        <w:rPr>
          <w:rFonts w:hint="eastAsia" w:ascii="仿宋" w:hAnsi="仿宋" w:eastAsia="仿宋" w:cs="仿宋"/>
        </w:rPr>
      </w:pPr>
      <w:bookmarkStart w:id="9" w:name="_Toc69194685"/>
      <w:r>
        <w:rPr>
          <w:rFonts w:hint="eastAsia" w:ascii="仿宋" w:hAnsi="仿宋" w:eastAsia="仿宋" w:cs="仿宋"/>
        </w:rPr>
        <w:t>服务组织和人员</w:t>
      </w:r>
      <w:bookmarkEnd w:id="9"/>
      <w:r>
        <w:rPr>
          <w:rFonts w:hint="eastAsia" w:ascii="仿宋" w:hAnsi="仿宋" w:eastAsia="仿宋" w:cs="仿宋"/>
        </w:rPr>
        <w:t>要求</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等保服务团队至少配备9名等保服务人员，其中专职项目经理1名，测评工程师</w:t>
      </w:r>
      <w:r>
        <w:rPr>
          <w:rFonts w:ascii="仿宋" w:hAnsi="仿宋" w:eastAsia="仿宋" w:cs="仿宋"/>
          <w:sz w:val="28"/>
          <w:szCs w:val="28"/>
        </w:rPr>
        <w:t>7</w:t>
      </w:r>
      <w:r>
        <w:rPr>
          <w:rFonts w:hint="eastAsia" w:ascii="仿宋" w:hAnsi="仿宋" w:eastAsia="仿宋" w:cs="仿宋"/>
          <w:sz w:val="28"/>
          <w:szCs w:val="28"/>
        </w:rPr>
        <w:t>名，档案管理员1名。</w:t>
      </w:r>
    </w:p>
    <w:tbl>
      <w:tblPr>
        <w:tblStyle w:val="24"/>
        <w:tblpPr w:leftFromText="180" w:rightFromText="180" w:vertAnchor="text" w:horzAnchor="page" w:tblpX="1490" w:tblpY="890"/>
        <w:tblOverlap w:val="never"/>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302"/>
        <w:gridCol w:w="2799"/>
        <w:gridCol w:w="884"/>
        <w:gridCol w:w="2823"/>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700" w:type="dxa"/>
            <w:shd w:val="clear" w:color="000000" w:fill="FFFFFF"/>
            <w:vAlign w:val="center"/>
          </w:tcPr>
          <w:p>
            <w:pPr>
              <w:widowControl/>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序号</w:t>
            </w:r>
          </w:p>
        </w:tc>
        <w:tc>
          <w:tcPr>
            <w:tcW w:w="1302" w:type="dxa"/>
            <w:shd w:val="clear" w:color="000000" w:fill="FFFFFF"/>
            <w:vAlign w:val="center"/>
          </w:tcPr>
          <w:p>
            <w:pPr>
              <w:widowControl/>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角色</w:t>
            </w:r>
          </w:p>
        </w:tc>
        <w:tc>
          <w:tcPr>
            <w:tcW w:w="2799" w:type="dxa"/>
            <w:shd w:val="clear" w:color="000000" w:fill="FFFFFF"/>
            <w:vAlign w:val="center"/>
          </w:tcPr>
          <w:p>
            <w:pPr>
              <w:widowControl/>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主要职责</w:t>
            </w:r>
          </w:p>
        </w:tc>
        <w:tc>
          <w:tcPr>
            <w:tcW w:w="884" w:type="dxa"/>
            <w:shd w:val="clear" w:color="000000" w:fill="FFFFFF"/>
            <w:vAlign w:val="center"/>
          </w:tcPr>
          <w:p>
            <w:pPr>
              <w:widowControl/>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人数</w:t>
            </w:r>
          </w:p>
        </w:tc>
        <w:tc>
          <w:tcPr>
            <w:tcW w:w="2823" w:type="dxa"/>
            <w:shd w:val="clear" w:color="000000" w:fill="FFFFFF"/>
            <w:vAlign w:val="center"/>
          </w:tcPr>
          <w:p>
            <w:pPr>
              <w:widowControl/>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人员要求</w:t>
            </w:r>
          </w:p>
        </w:tc>
        <w:tc>
          <w:tcPr>
            <w:tcW w:w="1243" w:type="dxa"/>
            <w:shd w:val="clear" w:color="000000" w:fill="FFFFFF"/>
            <w:vAlign w:val="center"/>
          </w:tcPr>
          <w:p>
            <w:pPr>
              <w:widowControl/>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驻场要求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700" w:type="dxa"/>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w:t>
            </w:r>
          </w:p>
        </w:tc>
        <w:tc>
          <w:tcPr>
            <w:tcW w:w="1302" w:type="dxa"/>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项目经理</w:t>
            </w:r>
          </w:p>
        </w:tc>
        <w:tc>
          <w:tcPr>
            <w:tcW w:w="2799" w:type="dxa"/>
            <w:shd w:val="clear" w:color="auto" w:fill="auto"/>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负责测评项目的整体协调和沟通工作，确保等保测评工作开展过程中的质量、进度和安全管理等</w:t>
            </w:r>
          </w:p>
        </w:tc>
        <w:tc>
          <w:tcPr>
            <w:tcW w:w="884" w:type="dxa"/>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w:t>
            </w:r>
          </w:p>
        </w:tc>
        <w:tc>
          <w:tcPr>
            <w:tcW w:w="2823" w:type="dxa"/>
            <w:shd w:val="clear" w:color="auto" w:fill="auto"/>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具有参与过同类测评项目经验；具有硕士及以上学历；具备10年以上网络安全等级保护测评服务工作经验；具备高级工程师及以上职称;具备网络信息安全等级测评师（高级）证书</w:t>
            </w:r>
          </w:p>
        </w:tc>
        <w:tc>
          <w:tcPr>
            <w:tcW w:w="1243" w:type="dxa"/>
            <w:shd w:val="clear" w:color="auto" w:fill="auto"/>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Times New Roman"/>
                <w:color w:val="000000" w:themeColor="text1"/>
                <w:szCs w:val="21"/>
                <w14:textFill>
                  <w14:solidFill>
                    <w14:schemeClr w14:val="tx1"/>
                  </w14:solidFill>
                </w14:textFill>
              </w:rPr>
              <w:t>不驻场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jc w:val="center"/>
        </w:trPr>
        <w:tc>
          <w:tcPr>
            <w:tcW w:w="700" w:type="dxa"/>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2</w:t>
            </w:r>
          </w:p>
        </w:tc>
        <w:tc>
          <w:tcPr>
            <w:tcW w:w="1302" w:type="dxa"/>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等保测评工程师</w:t>
            </w:r>
          </w:p>
        </w:tc>
        <w:tc>
          <w:tcPr>
            <w:tcW w:w="2799" w:type="dxa"/>
            <w:shd w:val="clear" w:color="auto" w:fill="auto"/>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负责网络安全等级保护服务实施测评工作中具体测评工作</w:t>
            </w:r>
          </w:p>
        </w:tc>
        <w:tc>
          <w:tcPr>
            <w:tcW w:w="884" w:type="dxa"/>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7</w:t>
            </w:r>
          </w:p>
        </w:tc>
        <w:tc>
          <w:tcPr>
            <w:tcW w:w="2823" w:type="dxa"/>
            <w:shd w:val="clear" w:color="auto" w:fill="auto"/>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具有参与过同类测评项目经验；具有本科及以上学历；具备3年以上网络安全等级保护测评服务工作经验；具备网络信息安全等级测评师（中级）及以上证书</w:t>
            </w:r>
          </w:p>
        </w:tc>
        <w:tc>
          <w:tcPr>
            <w:tcW w:w="1243" w:type="dxa"/>
            <w:shd w:val="clear" w:color="auto" w:fill="auto"/>
            <w:vAlign w:val="center"/>
          </w:tcPr>
          <w:p>
            <w:pPr>
              <w:widowControl/>
              <w:jc w:val="center"/>
              <w:rPr>
                <w:rFonts w:hint="eastAsia" w:ascii="仿宋" w:hAnsi="仿宋" w:eastAsia="仿宋" w:cs="仿宋"/>
                <w:color w:val="000000"/>
                <w:kern w:val="0"/>
                <w:sz w:val="24"/>
                <w:szCs w:val="24"/>
              </w:rPr>
            </w:pPr>
            <w:r>
              <w:rPr>
                <w:rFonts w:hint="eastAsia" w:ascii="仿宋" w:hAnsi="仿宋" w:eastAsia="仿宋" w:cs="Times New Roman"/>
                <w:color w:val="000000" w:themeColor="text1"/>
                <w:szCs w:val="21"/>
                <w14:textFill>
                  <w14:solidFill>
                    <w14:schemeClr w14:val="tx1"/>
                  </w14:solidFill>
                </w14:textFill>
              </w:rPr>
              <w:t>不驻场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jc w:val="center"/>
        </w:trPr>
        <w:tc>
          <w:tcPr>
            <w:tcW w:w="700" w:type="dxa"/>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3</w:t>
            </w:r>
          </w:p>
        </w:tc>
        <w:tc>
          <w:tcPr>
            <w:tcW w:w="1302" w:type="dxa"/>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档案管理员</w:t>
            </w:r>
          </w:p>
        </w:tc>
        <w:tc>
          <w:tcPr>
            <w:tcW w:w="2799" w:type="dxa"/>
            <w:shd w:val="clear" w:color="auto" w:fill="auto"/>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负责对项目档案的接收分类、编目等资料档案管理工作</w:t>
            </w:r>
          </w:p>
        </w:tc>
        <w:tc>
          <w:tcPr>
            <w:tcW w:w="884" w:type="dxa"/>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1</w:t>
            </w:r>
          </w:p>
        </w:tc>
        <w:tc>
          <w:tcPr>
            <w:tcW w:w="2823" w:type="dxa"/>
            <w:shd w:val="clear" w:color="auto" w:fill="auto"/>
            <w:vAlign w:val="center"/>
          </w:tcPr>
          <w:p>
            <w:pPr>
              <w:widowControl/>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具有参与过同类测评项目的文档管理经验</w:t>
            </w:r>
          </w:p>
        </w:tc>
        <w:tc>
          <w:tcPr>
            <w:tcW w:w="1243" w:type="dxa"/>
            <w:shd w:val="clear" w:color="auto" w:fill="auto"/>
            <w:vAlign w:val="center"/>
          </w:tcPr>
          <w:p>
            <w:pPr>
              <w:jc w:val="center"/>
              <w:rPr>
                <w:rFonts w:hint="eastAsia" w:ascii="仿宋" w:hAnsi="仿宋" w:eastAsia="仿宋" w:cs="Times New Roman"/>
                <w:color w:val="000000" w:themeColor="text1"/>
                <w:szCs w:val="21"/>
                <w:highlight w:val="none"/>
                <w14:textFill>
                  <w14:solidFill>
                    <w14:schemeClr w14:val="tx1"/>
                  </w14:solidFill>
                </w14:textFill>
              </w:rPr>
            </w:pPr>
            <w:r>
              <w:rPr>
                <w:rFonts w:ascii="仿宋" w:hAnsi="仿宋" w:eastAsia="仿宋" w:cs="Times New Roman"/>
                <w:color w:val="000000" w:themeColor="text1"/>
                <w:szCs w:val="21"/>
                <w:highlight w:val="none"/>
                <w14:textFill>
                  <w14:solidFill>
                    <w14:schemeClr w14:val="tx1"/>
                  </w14:solidFill>
                </w14:textFill>
              </w:rPr>
              <w:t>驻场</w:t>
            </w:r>
          </w:p>
        </w:tc>
      </w:tr>
    </w:tbl>
    <w:p>
      <w:pPr>
        <w:ind w:firstLine="560" w:firstLineChars="200"/>
        <w:rPr>
          <w:rFonts w:hint="eastAsia" w:ascii="仿宋" w:hAnsi="仿宋" w:eastAsia="仿宋" w:cs="仿宋"/>
          <w:sz w:val="28"/>
          <w:szCs w:val="28"/>
        </w:rPr>
      </w:pPr>
      <w:r>
        <w:rPr>
          <w:rFonts w:hint="eastAsia" w:ascii="仿宋" w:hAnsi="仿宋" w:eastAsia="仿宋" w:cs="仿宋"/>
          <w:sz w:val="28"/>
          <w:szCs w:val="28"/>
        </w:rPr>
        <w:t>具体人员要求如下表所示：</w:t>
      </w:r>
    </w:p>
    <w:p>
      <w:pPr>
        <w:rPr>
          <w:rFonts w:hint="eastAsia" w:ascii="仿宋" w:hAnsi="仿宋" w:eastAsia="仿宋" w:cs="仿宋"/>
          <w:sz w:val="28"/>
          <w:szCs w:val="28"/>
        </w:rPr>
      </w:pPr>
      <w:r>
        <w:rPr>
          <w:rFonts w:hint="eastAsia" w:ascii="仿宋" w:hAnsi="仿宋" w:eastAsia="仿宋" w:cs="仿宋"/>
          <w:sz w:val="28"/>
          <w:szCs w:val="28"/>
        </w:rPr>
        <w:br w:type="page"/>
      </w:r>
    </w:p>
    <w:p>
      <w:pPr>
        <w:pStyle w:val="2"/>
        <w:ind w:left="0"/>
        <w:rPr>
          <w:rFonts w:hint="eastAsia" w:ascii="仿宋" w:hAnsi="仿宋" w:eastAsia="仿宋" w:cs="仿宋"/>
        </w:rPr>
      </w:pPr>
      <w:bookmarkStart w:id="10" w:name="_Toc69194686"/>
      <w:r>
        <w:rPr>
          <w:rFonts w:hint="eastAsia" w:ascii="仿宋" w:hAnsi="仿宋" w:eastAsia="仿宋" w:cs="仿宋"/>
        </w:rPr>
        <w:t>对供应商综合实力的</w:t>
      </w:r>
      <w:bookmarkStart w:id="15" w:name="_GoBack"/>
      <w:bookmarkEnd w:id="15"/>
      <w:r>
        <w:rPr>
          <w:rFonts w:hint="eastAsia" w:ascii="仿宋" w:hAnsi="仿宋" w:eastAsia="仿宋" w:cs="仿宋"/>
        </w:rPr>
        <w:t>要求</w:t>
      </w:r>
    </w:p>
    <w:p>
      <w:pPr>
        <w:ind w:firstLine="560" w:firstLineChars="200"/>
        <w:rPr>
          <w:rFonts w:hint="eastAsia" w:ascii="仿宋" w:hAnsi="仿宋" w:eastAsia="仿宋" w:cs="仿宋"/>
        </w:rPr>
      </w:pPr>
      <w:r>
        <w:rPr>
          <w:rFonts w:hint="eastAsia" w:ascii="仿宋" w:hAnsi="仿宋" w:eastAsia="仿宋" w:cs="仿宋"/>
          <w:sz w:val="28"/>
          <w:szCs w:val="28"/>
        </w:rPr>
        <w:t>供应商具备CCRC信息安全服务资质认证证书且方向为信息安全风险评估的的优先考虑。</w:t>
      </w:r>
    </w:p>
    <w:bookmarkEnd w:id="10"/>
    <w:p>
      <w:pPr>
        <w:pStyle w:val="2"/>
        <w:ind w:left="0"/>
        <w:rPr>
          <w:rFonts w:hint="eastAsia" w:ascii="仿宋" w:hAnsi="仿宋" w:eastAsia="仿宋" w:cs="仿宋"/>
          <w:bCs w:val="0"/>
          <w:szCs w:val="32"/>
        </w:rPr>
      </w:pPr>
      <w:bookmarkStart w:id="11" w:name="_Toc67249662"/>
      <w:bookmarkStart w:id="12" w:name="_Toc38354903"/>
      <w:bookmarkStart w:id="13" w:name="_Toc69194690"/>
      <w:r>
        <w:rPr>
          <w:rFonts w:hint="eastAsia" w:ascii="仿宋" w:hAnsi="仿宋" w:eastAsia="仿宋" w:cs="仿宋"/>
          <w:bCs w:val="0"/>
          <w:szCs w:val="32"/>
        </w:rPr>
        <w:t>应急服务</w:t>
      </w:r>
      <w:bookmarkEnd w:id="11"/>
    </w:p>
    <w:p>
      <w:pPr>
        <w:ind w:firstLine="560" w:firstLineChars="200"/>
        <w:rPr>
          <w:rFonts w:hint="eastAsia" w:ascii="仿宋" w:hAnsi="仿宋" w:eastAsia="仿宋" w:cs="仿宋"/>
          <w:sz w:val="28"/>
          <w:szCs w:val="28"/>
        </w:rPr>
      </w:pPr>
      <w:r>
        <w:rPr>
          <w:rFonts w:hint="eastAsia" w:ascii="仿宋" w:hAnsi="仿宋" w:eastAsia="仿宋" w:cs="仿宋"/>
          <w:sz w:val="28"/>
          <w:szCs w:val="28"/>
        </w:rPr>
        <w:t>服务方需要对所承接的</w:t>
      </w:r>
      <w:bookmarkStart w:id="14" w:name="_Hlk156227381"/>
      <w:r>
        <w:rPr>
          <w:rFonts w:hint="eastAsia" w:ascii="仿宋" w:hAnsi="仿宋" w:eastAsia="仿宋" w:cs="仿宋"/>
          <w:sz w:val="28"/>
          <w:szCs w:val="28"/>
        </w:rPr>
        <w:t>网络安全等级保护测评</w:t>
      </w:r>
      <w:bookmarkEnd w:id="14"/>
      <w:r>
        <w:rPr>
          <w:rFonts w:hint="eastAsia" w:ascii="仿宋" w:hAnsi="仿宋" w:eastAsia="仿宋" w:cs="仿宋"/>
          <w:sz w:val="28"/>
          <w:szCs w:val="28"/>
        </w:rPr>
        <w:t>服务，按照系统重要程度等级，制定相应的具备可操作的应急响应预案。</w:t>
      </w:r>
    </w:p>
    <w:p>
      <w:pPr>
        <w:pStyle w:val="3"/>
        <w:rPr>
          <w:rFonts w:hint="eastAsia" w:ascii="仿宋" w:hAnsi="仿宋" w:cs="仿宋"/>
          <w:bCs w:val="0"/>
          <w:szCs w:val="28"/>
        </w:rPr>
      </w:pPr>
      <w:r>
        <w:rPr>
          <w:rFonts w:hint="eastAsia" w:ascii="仿宋" w:hAnsi="仿宋" w:cs="仿宋"/>
          <w:bCs w:val="0"/>
          <w:szCs w:val="28"/>
        </w:rPr>
        <w:t>编制应急预案</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为了避免测评工作引入新的安全风险，服务方应紧密结合等保测评实际情况，在正式启动网络安全等级保护测评工作前精心编制应急预案，应在风险揭示、工具验证、连续性考虑和工作纪律等方面进行风险规避。</w:t>
      </w:r>
    </w:p>
    <w:p>
      <w:pPr>
        <w:pStyle w:val="3"/>
        <w:rPr>
          <w:rFonts w:hint="eastAsia" w:ascii="仿宋" w:hAnsi="仿宋" w:cs="仿宋"/>
          <w:bCs w:val="0"/>
          <w:szCs w:val="28"/>
        </w:rPr>
      </w:pPr>
      <w:r>
        <w:rPr>
          <w:rFonts w:hint="eastAsia" w:ascii="仿宋" w:hAnsi="仿宋" w:cs="仿宋"/>
          <w:bCs w:val="0"/>
          <w:szCs w:val="28"/>
        </w:rPr>
        <w:t>应急响应要求</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1、服务提供方坚持主动预防、迅速高效的原则，紧密结合实际情况，精心编制并持续完善应急措施。</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2、依据故障时间及故障范围划分故障级别，故障级别分为四级，依次为Ⅰ级（紧急）、Ⅱ级（严重）、Ⅲ级（较大）和Ⅳ级（一般），分别定义如下：</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Ⅰ级（紧急）故障为工作时间段（8：30——17：30）内大范围故障；</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Ⅱ级（严重）故障为非工作时间段（17：30——次日8：30）内大范围故障；</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Ⅲ级（较大）故障为工作时间段（8：30——17：30）内小范围故障；</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Ⅳ级（一般）故障为非工作时间段（17：30——次日8：30）内小范围故障；</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当：</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a、发生Ⅰ级（紧急）故障后0.5小时内无法通过电话或远程支持服务排除故障，如采购人要求提供现场支持，服务提供方应2小时内到达用户现场；</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b、发生Ⅱ级（严重）故障后0.5小时内无法通过电话或远程支持服务排除故障，如采购人要求提供现场支持，服务提供方应3小时内到达用户现场；</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c、发生Ⅲ级（较大）故障后1小时内无法通过电话或远程支持服务排除故障，如采购人要求提供现场支持，服务提供方应3小时内到达用户现场；</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d、发生Ⅳ级（一般）故障后1小时内无法通过电话或远程支持服务排除故障，如采购人要求提供现场支持，服务提供方应4小时内到达用户现场。</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3、如发生故障，服务提供方应严格按照制定的应急预案中故障处理流程实施故障排除操作。</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4、当故障排除操作全部完成后，服务提供方应向采购单位提交故障报告，经采购单位验证通过后签字确认并归档保存，同时组织更新相关文档。</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5、如遇有重大事件（包括汛期、节假日、政治军事活动等），服务提供方应科学编制安全保障方案，并根据采购单位需要提供现场保障服务。</w:t>
      </w:r>
    </w:p>
    <w:bookmarkEnd w:id="12"/>
    <w:p>
      <w:pPr>
        <w:pStyle w:val="2"/>
        <w:ind w:left="0"/>
        <w:rPr>
          <w:rFonts w:hint="eastAsia" w:ascii="仿宋" w:hAnsi="仿宋" w:eastAsia="仿宋" w:cs="仿宋"/>
          <w:bCs w:val="0"/>
          <w:szCs w:val="32"/>
        </w:rPr>
      </w:pPr>
      <w:r>
        <w:rPr>
          <w:rFonts w:hint="eastAsia" w:ascii="仿宋" w:hAnsi="仿宋" w:eastAsia="仿宋" w:cs="仿宋"/>
          <w:bCs w:val="0"/>
          <w:szCs w:val="32"/>
        </w:rPr>
        <w:t>备份与恢复</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1、服务提供方必须制定数据备份策略，定期备份关键数据；</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2、服务提供方必须制定数据恢复策略，以便发生故障时快速恢复；</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3、服务提供方必须根据实际情况制定相应灾难恢复策略，以便发生灾难时快速恢复。</w:t>
      </w:r>
    </w:p>
    <w:bookmarkEnd w:id="13"/>
    <w:p>
      <w:pPr>
        <w:widowControl/>
        <w:jc w:val="center"/>
        <w:textAlignment w:val="center"/>
        <w:rPr>
          <w:rFonts w:hint="eastAsia" w:ascii="仿宋" w:hAnsi="仿宋" w:eastAsia="仿宋" w:cs="仿宋"/>
          <w:color w:val="000000"/>
          <w:kern w:val="0"/>
          <w:sz w:val="24"/>
          <w:szCs w:val="24"/>
          <w:lang w:bidi="ar"/>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time">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Noto Sans CJK JP Bold">
    <w:panose1 w:val="020B0800000000000000"/>
    <w:charset w:val="86"/>
    <w:family w:val="auto"/>
    <w:pitch w:val="default"/>
    <w:sig w:usb0="30000003" w:usb1="2BDF3C10" w:usb2="00000016" w:usb3="00000000" w:csb0="602E0107"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2945245"/>
    </w:sdtPr>
    <w:sdtContent>
      <w:p>
        <w:pPr>
          <w:pStyle w:val="16"/>
          <w:jc w:val="center"/>
        </w:pPr>
        <w:r>
          <w:fldChar w:fldCharType="begin"/>
        </w:r>
        <w:r>
          <w:instrText xml:space="preserve">PAGE   \* MERGEFORMAT</w:instrText>
        </w:r>
        <w:r>
          <w:fldChar w:fldCharType="separate"/>
        </w:r>
        <w:r>
          <w:rPr>
            <w:lang w:val="zh-CN"/>
          </w:rPr>
          <w:t>7</w:t>
        </w:r>
        <w:r>
          <w:rPr>
            <w:lang w:val="zh-CN"/>
          </w:rPr>
          <w:fldChar w:fldCharType="end"/>
        </w:r>
      </w:p>
    </w:sdtContent>
  </w:sdt>
  <w:p>
    <w:pPr>
      <w:pStyle w:val="16"/>
    </w:pPr>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414E94"/>
    <w:multiLevelType w:val="multilevel"/>
    <w:tmpl w:val="4B414E94"/>
    <w:lvl w:ilvl="0" w:tentative="0">
      <w:start w:val="1"/>
      <w:numFmt w:val="chineseCountingThousand"/>
      <w:pStyle w:val="2"/>
      <w:suff w:val="nothing"/>
      <w:lvlText w:val="%1、"/>
      <w:lvlJc w:val="left"/>
      <w:pPr>
        <w:ind w:left="3969" w:firstLine="0"/>
      </w:pPr>
      <w:rPr>
        <w:rFonts w:hint="eastAsia" w:ascii="仿宋" w:hAnsi="仿宋" w:eastAsia="仿宋" w:cs="仿宋"/>
        <w:b/>
        <w:i w:val="0"/>
        <w:sz w:val="32"/>
        <w:szCs w:val="32"/>
        <w:lang w:val="en-US"/>
      </w:rPr>
    </w:lvl>
    <w:lvl w:ilvl="1" w:tentative="0">
      <w:start w:val="1"/>
      <w:numFmt w:val="decimal"/>
      <w:pStyle w:val="3"/>
      <w:isLgl/>
      <w:suff w:val="nothing"/>
      <w:lvlText w:val="%1.%2 "/>
      <w:lvlJc w:val="left"/>
      <w:pPr>
        <w:ind w:left="851" w:firstLine="0"/>
      </w:pPr>
      <w:rPr>
        <w:rFonts w:hint="default" w:ascii="Times New Roman" w:hAnsi="Times New Roman" w:eastAsia="宋体"/>
        <w:b/>
        <w:i w:val="0"/>
        <w:sz w:val="30"/>
      </w:rPr>
    </w:lvl>
    <w:lvl w:ilvl="2" w:tentative="0">
      <w:start w:val="1"/>
      <w:numFmt w:val="decimal"/>
      <w:pStyle w:val="4"/>
      <w:isLgl/>
      <w:suff w:val="nothing"/>
      <w:lvlText w:val="%1.%2.%3 "/>
      <w:lvlJc w:val="left"/>
      <w:pPr>
        <w:ind w:left="1135" w:firstLine="0"/>
      </w:pPr>
      <w:rPr>
        <w:rFonts w:hint="default" w:ascii="Times New Roman" w:hAnsi="Times New Roman" w:eastAsia="仿宋"/>
        <w:b/>
        <w:i w:val="0"/>
        <w:sz w:val="28"/>
      </w:rPr>
    </w:lvl>
    <w:lvl w:ilvl="3" w:tentative="0">
      <w:start w:val="1"/>
      <w:numFmt w:val="decimal"/>
      <w:pStyle w:val="5"/>
      <w:isLgl/>
      <w:suff w:val="nothing"/>
      <w:lvlText w:val="%1.%2.%3.%4、"/>
      <w:lvlJc w:val="left"/>
      <w:pPr>
        <w:ind w:left="567" w:firstLine="0"/>
      </w:pPr>
      <w:rPr>
        <w:rFonts w:hint="default" w:ascii="Times New Roman" w:hAnsi="Times New Roman" w:eastAsia="宋体"/>
        <w:b/>
        <w:i w:val="0"/>
        <w:sz w:val="24"/>
      </w:rPr>
    </w:lvl>
    <w:lvl w:ilvl="4" w:tentative="0">
      <w:start w:val="1"/>
      <w:numFmt w:val="decimal"/>
      <w:pStyle w:val="6"/>
      <w:isLgl/>
      <w:suff w:val="nothing"/>
      <w:lvlText w:val="%1.%2.%3.%4.%5、"/>
      <w:lvlJc w:val="left"/>
      <w:pPr>
        <w:ind w:left="567" w:firstLine="0"/>
      </w:pPr>
      <w:rPr>
        <w:rFonts w:hint="default" w:ascii="Times New Roman" w:hAnsi="Times New Roman" w:eastAsia="宋体"/>
        <w:b/>
        <w:i w:val="0"/>
        <w:sz w:val="21"/>
      </w:rPr>
    </w:lvl>
    <w:lvl w:ilvl="5" w:tentative="0">
      <w:start w:val="1"/>
      <w:numFmt w:val="decimal"/>
      <w:pStyle w:val="7"/>
      <w:isLgl/>
      <w:suff w:val="nothing"/>
      <w:lvlText w:val="%1.%2.%3.%4.%5.%6、"/>
      <w:lvlJc w:val="left"/>
      <w:pPr>
        <w:ind w:left="567" w:firstLine="0"/>
      </w:pPr>
      <w:rPr>
        <w:rFonts w:hint="default" w:ascii="Times New Roman" w:hAnsi="Times New Roman" w:eastAsia="宋体"/>
        <w:b/>
        <w:i w:val="0"/>
        <w:sz w:val="21"/>
      </w:rPr>
    </w:lvl>
    <w:lvl w:ilvl="6" w:tentative="0">
      <w:start w:val="1"/>
      <w:numFmt w:val="decimal"/>
      <w:pStyle w:val="8"/>
      <w:isLgl/>
      <w:suff w:val="nothing"/>
      <w:lvlText w:val="%1.%2.%3.%4.%5.%6.%7、"/>
      <w:lvlJc w:val="left"/>
      <w:pPr>
        <w:ind w:left="567" w:firstLine="0"/>
      </w:pPr>
      <w:rPr>
        <w:rFonts w:hint="default" w:ascii="Times New Roman" w:hAnsi="Times New Roman" w:eastAsia="宋体"/>
        <w:b/>
        <w:i w:val="0"/>
        <w:sz w:val="21"/>
      </w:rPr>
    </w:lvl>
    <w:lvl w:ilvl="7" w:tentative="0">
      <w:start w:val="1"/>
      <w:numFmt w:val="decimal"/>
      <w:pStyle w:val="9"/>
      <w:isLgl/>
      <w:suff w:val="nothing"/>
      <w:lvlText w:val="%1.%2.%3.%4.%5.%6.%7.%8、"/>
      <w:lvlJc w:val="left"/>
      <w:pPr>
        <w:ind w:left="567" w:firstLine="0"/>
      </w:pPr>
      <w:rPr>
        <w:rFonts w:hint="default" w:ascii="Times New Roman" w:hAnsi="Times New Roman" w:eastAsia="宋体"/>
        <w:b/>
        <w:i w:val="0"/>
        <w:sz w:val="21"/>
      </w:rPr>
    </w:lvl>
    <w:lvl w:ilvl="8" w:tentative="0">
      <w:start w:val="1"/>
      <w:numFmt w:val="decimal"/>
      <w:pStyle w:val="10"/>
      <w:isLgl/>
      <w:suff w:val="nothing"/>
      <w:lvlText w:val="%1.%2.%3.%4.%5.%6.%7.%8.%9、"/>
      <w:lvlJc w:val="left"/>
      <w:pPr>
        <w:ind w:left="567" w:firstLine="0"/>
      </w:pPr>
      <w:rPr>
        <w:rFonts w:hint="default" w:ascii="Times New Roman" w:hAnsi="Times New Roman" w:eastAsia="宋体"/>
        <w:b/>
        <w:i w:val="0"/>
        <w:sz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19"/>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4NTkwNmFiY2M5MGQzMzUyYmZkYTI0Zjg4Nzk3MmQifQ=="/>
  </w:docVars>
  <w:rsids>
    <w:rsidRoot w:val="00A65D43"/>
    <w:rsid w:val="0000190C"/>
    <w:rsid w:val="00001BEB"/>
    <w:rsid w:val="00005BBE"/>
    <w:rsid w:val="00010B05"/>
    <w:rsid w:val="0002058A"/>
    <w:rsid w:val="00024DCE"/>
    <w:rsid w:val="00025A0A"/>
    <w:rsid w:val="00025B47"/>
    <w:rsid w:val="00025D33"/>
    <w:rsid w:val="00031146"/>
    <w:rsid w:val="00031E82"/>
    <w:rsid w:val="0003289E"/>
    <w:rsid w:val="000337EC"/>
    <w:rsid w:val="0003480C"/>
    <w:rsid w:val="0004197E"/>
    <w:rsid w:val="00042912"/>
    <w:rsid w:val="00042982"/>
    <w:rsid w:val="000452BC"/>
    <w:rsid w:val="00047235"/>
    <w:rsid w:val="00055746"/>
    <w:rsid w:val="00061333"/>
    <w:rsid w:val="00061D38"/>
    <w:rsid w:val="00065382"/>
    <w:rsid w:val="00065ADA"/>
    <w:rsid w:val="00067BAE"/>
    <w:rsid w:val="000713A9"/>
    <w:rsid w:val="00072DDE"/>
    <w:rsid w:val="0007524D"/>
    <w:rsid w:val="00077F67"/>
    <w:rsid w:val="00081035"/>
    <w:rsid w:val="00085F33"/>
    <w:rsid w:val="00086F1A"/>
    <w:rsid w:val="00092749"/>
    <w:rsid w:val="00093E3D"/>
    <w:rsid w:val="000945B3"/>
    <w:rsid w:val="00094EBE"/>
    <w:rsid w:val="000977A7"/>
    <w:rsid w:val="000A0DA6"/>
    <w:rsid w:val="000A1FA8"/>
    <w:rsid w:val="000A267E"/>
    <w:rsid w:val="000B17AA"/>
    <w:rsid w:val="000B36E1"/>
    <w:rsid w:val="000B3767"/>
    <w:rsid w:val="000B43E3"/>
    <w:rsid w:val="000B513D"/>
    <w:rsid w:val="000C0E2D"/>
    <w:rsid w:val="000C11CE"/>
    <w:rsid w:val="000C229F"/>
    <w:rsid w:val="000C39D4"/>
    <w:rsid w:val="000C40E3"/>
    <w:rsid w:val="000C745E"/>
    <w:rsid w:val="000D3F43"/>
    <w:rsid w:val="000E0768"/>
    <w:rsid w:val="000E0C83"/>
    <w:rsid w:val="000E1B0F"/>
    <w:rsid w:val="000E2143"/>
    <w:rsid w:val="000E619B"/>
    <w:rsid w:val="000E63B0"/>
    <w:rsid w:val="000F007B"/>
    <w:rsid w:val="000F1D58"/>
    <w:rsid w:val="000F31FD"/>
    <w:rsid w:val="000F57AB"/>
    <w:rsid w:val="00101576"/>
    <w:rsid w:val="0010311A"/>
    <w:rsid w:val="00107F82"/>
    <w:rsid w:val="0011070E"/>
    <w:rsid w:val="001136B4"/>
    <w:rsid w:val="001178D6"/>
    <w:rsid w:val="00120E27"/>
    <w:rsid w:val="00121B5E"/>
    <w:rsid w:val="0012223B"/>
    <w:rsid w:val="0012452D"/>
    <w:rsid w:val="00125811"/>
    <w:rsid w:val="001270CE"/>
    <w:rsid w:val="0012793C"/>
    <w:rsid w:val="00130FCC"/>
    <w:rsid w:val="00137BAC"/>
    <w:rsid w:val="001406EF"/>
    <w:rsid w:val="00160956"/>
    <w:rsid w:val="00161EA9"/>
    <w:rsid w:val="001635DD"/>
    <w:rsid w:val="0016607D"/>
    <w:rsid w:val="001660F1"/>
    <w:rsid w:val="00166D53"/>
    <w:rsid w:val="001672AA"/>
    <w:rsid w:val="0017051B"/>
    <w:rsid w:val="00171011"/>
    <w:rsid w:val="00172318"/>
    <w:rsid w:val="00172A39"/>
    <w:rsid w:val="00173C34"/>
    <w:rsid w:val="001746C1"/>
    <w:rsid w:val="00175D08"/>
    <w:rsid w:val="001828C7"/>
    <w:rsid w:val="00184C81"/>
    <w:rsid w:val="00190408"/>
    <w:rsid w:val="001926A6"/>
    <w:rsid w:val="00193EBA"/>
    <w:rsid w:val="0019553F"/>
    <w:rsid w:val="00197692"/>
    <w:rsid w:val="001A177B"/>
    <w:rsid w:val="001A55FD"/>
    <w:rsid w:val="001A7A18"/>
    <w:rsid w:val="001A7FBD"/>
    <w:rsid w:val="001B1382"/>
    <w:rsid w:val="001B2EE0"/>
    <w:rsid w:val="001B477C"/>
    <w:rsid w:val="001B651B"/>
    <w:rsid w:val="001C0AE6"/>
    <w:rsid w:val="001C1444"/>
    <w:rsid w:val="001C16CC"/>
    <w:rsid w:val="001C242D"/>
    <w:rsid w:val="001C3789"/>
    <w:rsid w:val="001C7D33"/>
    <w:rsid w:val="001D3CEF"/>
    <w:rsid w:val="001F0DF5"/>
    <w:rsid w:val="001F50E7"/>
    <w:rsid w:val="001F6740"/>
    <w:rsid w:val="00213AC4"/>
    <w:rsid w:val="00215406"/>
    <w:rsid w:val="00216D00"/>
    <w:rsid w:val="00224768"/>
    <w:rsid w:val="002302FD"/>
    <w:rsid w:val="00231537"/>
    <w:rsid w:val="00231A8F"/>
    <w:rsid w:val="0023494A"/>
    <w:rsid w:val="00240237"/>
    <w:rsid w:val="00242311"/>
    <w:rsid w:val="0024409D"/>
    <w:rsid w:val="0024445C"/>
    <w:rsid w:val="002569C6"/>
    <w:rsid w:val="00260F68"/>
    <w:rsid w:val="002616D4"/>
    <w:rsid w:val="002628A5"/>
    <w:rsid w:val="00264483"/>
    <w:rsid w:val="002656A6"/>
    <w:rsid w:val="002741AF"/>
    <w:rsid w:val="002761E0"/>
    <w:rsid w:val="00282819"/>
    <w:rsid w:val="002833A5"/>
    <w:rsid w:val="00287B81"/>
    <w:rsid w:val="002913CE"/>
    <w:rsid w:val="0029154A"/>
    <w:rsid w:val="00291FEB"/>
    <w:rsid w:val="002A0D8E"/>
    <w:rsid w:val="002A29DD"/>
    <w:rsid w:val="002A3720"/>
    <w:rsid w:val="002A4AD8"/>
    <w:rsid w:val="002B025C"/>
    <w:rsid w:val="002B6DD9"/>
    <w:rsid w:val="002B70F2"/>
    <w:rsid w:val="002C343C"/>
    <w:rsid w:val="002C38D3"/>
    <w:rsid w:val="002C3C59"/>
    <w:rsid w:val="002C47DB"/>
    <w:rsid w:val="002C695B"/>
    <w:rsid w:val="002C69DE"/>
    <w:rsid w:val="002C7CE9"/>
    <w:rsid w:val="002D1F52"/>
    <w:rsid w:val="002D3A2D"/>
    <w:rsid w:val="002D4BEE"/>
    <w:rsid w:val="002E456C"/>
    <w:rsid w:val="002E4A3D"/>
    <w:rsid w:val="002E5367"/>
    <w:rsid w:val="002E54F1"/>
    <w:rsid w:val="002E5DEC"/>
    <w:rsid w:val="002F1EA4"/>
    <w:rsid w:val="002F2502"/>
    <w:rsid w:val="002F7659"/>
    <w:rsid w:val="00300628"/>
    <w:rsid w:val="00300B40"/>
    <w:rsid w:val="00302277"/>
    <w:rsid w:val="003027C1"/>
    <w:rsid w:val="00314465"/>
    <w:rsid w:val="00315DF0"/>
    <w:rsid w:val="0031738C"/>
    <w:rsid w:val="00321EF2"/>
    <w:rsid w:val="00322118"/>
    <w:rsid w:val="003221B6"/>
    <w:rsid w:val="0032285F"/>
    <w:rsid w:val="00326CDD"/>
    <w:rsid w:val="00335D02"/>
    <w:rsid w:val="003367F4"/>
    <w:rsid w:val="00341E6E"/>
    <w:rsid w:val="003425D4"/>
    <w:rsid w:val="00343950"/>
    <w:rsid w:val="00343C84"/>
    <w:rsid w:val="00345CCF"/>
    <w:rsid w:val="00352E81"/>
    <w:rsid w:val="00354770"/>
    <w:rsid w:val="0035514A"/>
    <w:rsid w:val="00355D5B"/>
    <w:rsid w:val="00356430"/>
    <w:rsid w:val="00360FF2"/>
    <w:rsid w:val="00364DA3"/>
    <w:rsid w:val="0036537E"/>
    <w:rsid w:val="003703AC"/>
    <w:rsid w:val="003716F7"/>
    <w:rsid w:val="003753E3"/>
    <w:rsid w:val="00377ED4"/>
    <w:rsid w:val="00382966"/>
    <w:rsid w:val="0038556C"/>
    <w:rsid w:val="00385A19"/>
    <w:rsid w:val="00390500"/>
    <w:rsid w:val="00393C46"/>
    <w:rsid w:val="003940D3"/>
    <w:rsid w:val="00394958"/>
    <w:rsid w:val="00396222"/>
    <w:rsid w:val="00396860"/>
    <w:rsid w:val="003A1769"/>
    <w:rsid w:val="003A1C71"/>
    <w:rsid w:val="003B2A4D"/>
    <w:rsid w:val="003C161F"/>
    <w:rsid w:val="003D4AAD"/>
    <w:rsid w:val="003D4FFA"/>
    <w:rsid w:val="003D77C8"/>
    <w:rsid w:val="003E267F"/>
    <w:rsid w:val="003E37A7"/>
    <w:rsid w:val="003E5CC7"/>
    <w:rsid w:val="003E7705"/>
    <w:rsid w:val="003E7C4E"/>
    <w:rsid w:val="003F0EAC"/>
    <w:rsid w:val="003F13F0"/>
    <w:rsid w:val="003F1C5F"/>
    <w:rsid w:val="003F2DCE"/>
    <w:rsid w:val="003F58D4"/>
    <w:rsid w:val="003F5A09"/>
    <w:rsid w:val="003F5E92"/>
    <w:rsid w:val="003F709B"/>
    <w:rsid w:val="00400947"/>
    <w:rsid w:val="00406FDA"/>
    <w:rsid w:val="004072C9"/>
    <w:rsid w:val="0041192C"/>
    <w:rsid w:val="00414FD9"/>
    <w:rsid w:val="004167D8"/>
    <w:rsid w:val="00416AC4"/>
    <w:rsid w:val="004218F4"/>
    <w:rsid w:val="00433C77"/>
    <w:rsid w:val="004347FE"/>
    <w:rsid w:val="00434C27"/>
    <w:rsid w:val="004360FA"/>
    <w:rsid w:val="004373E9"/>
    <w:rsid w:val="0043790C"/>
    <w:rsid w:val="00440EC4"/>
    <w:rsid w:val="00441905"/>
    <w:rsid w:val="00442891"/>
    <w:rsid w:val="00445E44"/>
    <w:rsid w:val="00450AD6"/>
    <w:rsid w:val="00451789"/>
    <w:rsid w:val="00460C2E"/>
    <w:rsid w:val="00461275"/>
    <w:rsid w:val="00462413"/>
    <w:rsid w:val="00462784"/>
    <w:rsid w:val="00462DA0"/>
    <w:rsid w:val="00464593"/>
    <w:rsid w:val="00466562"/>
    <w:rsid w:val="00467227"/>
    <w:rsid w:val="0046728E"/>
    <w:rsid w:val="00474F1F"/>
    <w:rsid w:val="00475369"/>
    <w:rsid w:val="004769AC"/>
    <w:rsid w:val="004778BA"/>
    <w:rsid w:val="00477B6D"/>
    <w:rsid w:val="00483268"/>
    <w:rsid w:val="004842F3"/>
    <w:rsid w:val="00492544"/>
    <w:rsid w:val="00493DB3"/>
    <w:rsid w:val="0049407C"/>
    <w:rsid w:val="00496673"/>
    <w:rsid w:val="004A3D05"/>
    <w:rsid w:val="004A55D8"/>
    <w:rsid w:val="004A65FD"/>
    <w:rsid w:val="004B3662"/>
    <w:rsid w:val="004B493B"/>
    <w:rsid w:val="004B50C3"/>
    <w:rsid w:val="004C15CC"/>
    <w:rsid w:val="004C45D9"/>
    <w:rsid w:val="004C5671"/>
    <w:rsid w:val="004C6629"/>
    <w:rsid w:val="004C6A27"/>
    <w:rsid w:val="004C7655"/>
    <w:rsid w:val="004D0A39"/>
    <w:rsid w:val="004D0D52"/>
    <w:rsid w:val="004D2172"/>
    <w:rsid w:val="004D3536"/>
    <w:rsid w:val="004D7269"/>
    <w:rsid w:val="004D72EA"/>
    <w:rsid w:val="004E15D4"/>
    <w:rsid w:val="004E7FB8"/>
    <w:rsid w:val="004F1221"/>
    <w:rsid w:val="004F2386"/>
    <w:rsid w:val="004F2E58"/>
    <w:rsid w:val="004F4912"/>
    <w:rsid w:val="004F6B2F"/>
    <w:rsid w:val="004F778B"/>
    <w:rsid w:val="00500E99"/>
    <w:rsid w:val="00503E91"/>
    <w:rsid w:val="0050699C"/>
    <w:rsid w:val="00514940"/>
    <w:rsid w:val="00515DB7"/>
    <w:rsid w:val="0051604A"/>
    <w:rsid w:val="00517EB2"/>
    <w:rsid w:val="00524EE2"/>
    <w:rsid w:val="00527A1F"/>
    <w:rsid w:val="00530ADB"/>
    <w:rsid w:val="00537389"/>
    <w:rsid w:val="00540B5F"/>
    <w:rsid w:val="005441AF"/>
    <w:rsid w:val="00544CB4"/>
    <w:rsid w:val="00551059"/>
    <w:rsid w:val="005524F5"/>
    <w:rsid w:val="0055263B"/>
    <w:rsid w:val="00557899"/>
    <w:rsid w:val="005656EE"/>
    <w:rsid w:val="005703FC"/>
    <w:rsid w:val="005740FD"/>
    <w:rsid w:val="00581D9F"/>
    <w:rsid w:val="00582CB9"/>
    <w:rsid w:val="005835B1"/>
    <w:rsid w:val="00584094"/>
    <w:rsid w:val="005846CD"/>
    <w:rsid w:val="0059045D"/>
    <w:rsid w:val="00594679"/>
    <w:rsid w:val="005973D9"/>
    <w:rsid w:val="005A1FF7"/>
    <w:rsid w:val="005A2B92"/>
    <w:rsid w:val="005A43F1"/>
    <w:rsid w:val="005A54B0"/>
    <w:rsid w:val="005A5EDC"/>
    <w:rsid w:val="005B08B7"/>
    <w:rsid w:val="005B1543"/>
    <w:rsid w:val="005B22A3"/>
    <w:rsid w:val="005B26E9"/>
    <w:rsid w:val="005B6881"/>
    <w:rsid w:val="005B6DD7"/>
    <w:rsid w:val="005C0222"/>
    <w:rsid w:val="005D332C"/>
    <w:rsid w:val="005D42F7"/>
    <w:rsid w:val="005D6DF6"/>
    <w:rsid w:val="005E2AB9"/>
    <w:rsid w:val="005E735A"/>
    <w:rsid w:val="005F2F13"/>
    <w:rsid w:val="005F392D"/>
    <w:rsid w:val="005F546D"/>
    <w:rsid w:val="005F76CC"/>
    <w:rsid w:val="006008C0"/>
    <w:rsid w:val="006026FE"/>
    <w:rsid w:val="006053F9"/>
    <w:rsid w:val="00610873"/>
    <w:rsid w:val="006113D2"/>
    <w:rsid w:val="006119F0"/>
    <w:rsid w:val="00611E45"/>
    <w:rsid w:val="006122D6"/>
    <w:rsid w:val="00613433"/>
    <w:rsid w:val="00613492"/>
    <w:rsid w:val="00614F12"/>
    <w:rsid w:val="00616540"/>
    <w:rsid w:val="00620E48"/>
    <w:rsid w:val="00623F4C"/>
    <w:rsid w:val="00630599"/>
    <w:rsid w:val="006332AB"/>
    <w:rsid w:val="00637922"/>
    <w:rsid w:val="00644879"/>
    <w:rsid w:val="00646FC0"/>
    <w:rsid w:val="00653457"/>
    <w:rsid w:val="00655366"/>
    <w:rsid w:val="006554FA"/>
    <w:rsid w:val="00660575"/>
    <w:rsid w:val="00662ACC"/>
    <w:rsid w:val="0066422E"/>
    <w:rsid w:val="00665245"/>
    <w:rsid w:val="00667272"/>
    <w:rsid w:val="006679D9"/>
    <w:rsid w:val="00673A9B"/>
    <w:rsid w:val="00673B08"/>
    <w:rsid w:val="00675FB5"/>
    <w:rsid w:val="00681AA8"/>
    <w:rsid w:val="00685790"/>
    <w:rsid w:val="00687BB1"/>
    <w:rsid w:val="0069087D"/>
    <w:rsid w:val="00690C00"/>
    <w:rsid w:val="00690CB4"/>
    <w:rsid w:val="006930A9"/>
    <w:rsid w:val="00695AAA"/>
    <w:rsid w:val="0069674E"/>
    <w:rsid w:val="00697BD6"/>
    <w:rsid w:val="006A30B8"/>
    <w:rsid w:val="006A54CA"/>
    <w:rsid w:val="006A7076"/>
    <w:rsid w:val="006B6696"/>
    <w:rsid w:val="006B6AB5"/>
    <w:rsid w:val="006B783F"/>
    <w:rsid w:val="006C04A7"/>
    <w:rsid w:val="006C59DD"/>
    <w:rsid w:val="006C6E24"/>
    <w:rsid w:val="006C6E6C"/>
    <w:rsid w:val="006C7159"/>
    <w:rsid w:val="006D163C"/>
    <w:rsid w:val="006D1C16"/>
    <w:rsid w:val="006D2922"/>
    <w:rsid w:val="006D3442"/>
    <w:rsid w:val="006D5791"/>
    <w:rsid w:val="006D6A81"/>
    <w:rsid w:val="006E77DE"/>
    <w:rsid w:val="006E7DDC"/>
    <w:rsid w:val="006F00FE"/>
    <w:rsid w:val="006F2B4A"/>
    <w:rsid w:val="006F41A6"/>
    <w:rsid w:val="006F5FBF"/>
    <w:rsid w:val="006F741F"/>
    <w:rsid w:val="006F7EF6"/>
    <w:rsid w:val="00702D65"/>
    <w:rsid w:val="00707F28"/>
    <w:rsid w:val="00711727"/>
    <w:rsid w:val="00712165"/>
    <w:rsid w:val="00714BCA"/>
    <w:rsid w:val="00716670"/>
    <w:rsid w:val="007211A4"/>
    <w:rsid w:val="007237DF"/>
    <w:rsid w:val="00725ED4"/>
    <w:rsid w:val="007302AB"/>
    <w:rsid w:val="00735DA2"/>
    <w:rsid w:val="00740013"/>
    <w:rsid w:val="0074134D"/>
    <w:rsid w:val="00741457"/>
    <w:rsid w:val="00741C36"/>
    <w:rsid w:val="00746CDC"/>
    <w:rsid w:val="007473C3"/>
    <w:rsid w:val="0075027C"/>
    <w:rsid w:val="00751587"/>
    <w:rsid w:val="007602C8"/>
    <w:rsid w:val="0076132F"/>
    <w:rsid w:val="007613F1"/>
    <w:rsid w:val="00765592"/>
    <w:rsid w:val="007655E8"/>
    <w:rsid w:val="00770458"/>
    <w:rsid w:val="007707E5"/>
    <w:rsid w:val="0077350D"/>
    <w:rsid w:val="00774CF1"/>
    <w:rsid w:val="00781C63"/>
    <w:rsid w:val="00781FC3"/>
    <w:rsid w:val="00784E02"/>
    <w:rsid w:val="00785463"/>
    <w:rsid w:val="0078744D"/>
    <w:rsid w:val="007906E3"/>
    <w:rsid w:val="00791991"/>
    <w:rsid w:val="00795BB2"/>
    <w:rsid w:val="007B1FCE"/>
    <w:rsid w:val="007B35BA"/>
    <w:rsid w:val="007C63E1"/>
    <w:rsid w:val="007C7E29"/>
    <w:rsid w:val="007D352C"/>
    <w:rsid w:val="007D5DC5"/>
    <w:rsid w:val="007E62E2"/>
    <w:rsid w:val="007F2F89"/>
    <w:rsid w:val="007F4004"/>
    <w:rsid w:val="007F41A9"/>
    <w:rsid w:val="007F663D"/>
    <w:rsid w:val="007F6F17"/>
    <w:rsid w:val="00803EDB"/>
    <w:rsid w:val="00804993"/>
    <w:rsid w:val="00805D30"/>
    <w:rsid w:val="0081260E"/>
    <w:rsid w:val="0081779E"/>
    <w:rsid w:val="00821826"/>
    <w:rsid w:val="00831F51"/>
    <w:rsid w:val="00832F81"/>
    <w:rsid w:val="00834AED"/>
    <w:rsid w:val="00836F09"/>
    <w:rsid w:val="008416DB"/>
    <w:rsid w:val="0084319B"/>
    <w:rsid w:val="00843D5A"/>
    <w:rsid w:val="00845605"/>
    <w:rsid w:val="0085046F"/>
    <w:rsid w:val="0085361C"/>
    <w:rsid w:val="00864D04"/>
    <w:rsid w:val="00865925"/>
    <w:rsid w:val="0086794E"/>
    <w:rsid w:val="00870CED"/>
    <w:rsid w:val="008710FA"/>
    <w:rsid w:val="00871C3B"/>
    <w:rsid w:val="008724BF"/>
    <w:rsid w:val="0087497F"/>
    <w:rsid w:val="00881BB2"/>
    <w:rsid w:val="008828CB"/>
    <w:rsid w:val="0089044D"/>
    <w:rsid w:val="0089135B"/>
    <w:rsid w:val="008A0FE9"/>
    <w:rsid w:val="008A2E57"/>
    <w:rsid w:val="008A7DEE"/>
    <w:rsid w:val="008B0544"/>
    <w:rsid w:val="008B17D9"/>
    <w:rsid w:val="008B29D7"/>
    <w:rsid w:val="008B3309"/>
    <w:rsid w:val="008B3475"/>
    <w:rsid w:val="008B5CC0"/>
    <w:rsid w:val="008C0476"/>
    <w:rsid w:val="008C0A77"/>
    <w:rsid w:val="008C4254"/>
    <w:rsid w:val="008C4521"/>
    <w:rsid w:val="008C5A95"/>
    <w:rsid w:val="008E08A9"/>
    <w:rsid w:val="008E42CF"/>
    <w:rsid w:val="008E51D6"/>
    <w:rsid w:val="008E6A7A"/>
    <w:rsid w:val="008F01BC"/>
    <w:rsid w:val="008F1228"/>
    <w:rsid w:val="008F32A5"/>
    <w:rsid w:val="008F4A83"/>
    <w:rsid w:val="009000B6"/>
    <w:rsid w:val="0090149E"/>
    <w:rsid w:val="00901765"/>
    <w:rsid w:val="009020FE"/>
    <w:rsid w:val="009025B2"/>
    <w:rsid w:val="00906CC4"/>
    <w:rsid w:val="009110E2"/>
    <w:rsid w:val="00913AC8"/>
    <w:rsid w:val="00915569"/>
    <w:rsid w:val="009242EC"/>
    <w:rsid w:val="00924CEF"/>
    <w:rsid w:val="00927ECE"/>
    <w:rsid w:val="009307EC"/>
    <w:rsid w:val="00933201"/>
    <w:rsid w:val="00934A0D"/>
    <w:rsid w:val="00935C42"/>
    <w:rsid w:val="00944385"/>
    <w:rsid w:val="00944D0C"/>
    <w:rsid w:val="00950749"/>
    <w:rsid w:val="00955BB2"/>
    <w:rsid w:val="00961217"/>
    <w:rsid w:val="009659B1"/>
    <w:rsid w:val="00972B75"/>
    <w:rsid w:val="00980447"/>
    <w:rsid w:val="00982D0F"/>
    <w:rsid w:val="00984D40"/>
    <w:rsid w:val="009907DD"/>
    <w:rsid w:val="00990D75"/>
    <w:rsid w:val="00992B22"/>
    <w:rsid w:val="0099399A"/>
    <w:rsid w:val="0099560A"/>
    <w:rsid w:val="00997821"/>
    <w:rsid w:val="009A1E77"/>
    <w:rsid w:val="009A2035"/>
    <w:rsid w:val="009A2FF3"/>
    <w:rsid w:val="009A5620"/>
    <w:rsid w:val="009A7462"/>
    <w:rsid w:val="009B1698"/>
    <w:rsid w:val="009B26A0"/>
    <w:rsid w:val="009B2FF5"/>
    <w:rsid w:val="009C0394"/>
    <w:rsid w:val="009C38B8"/>
    <w:rsid w:val="009C7103"/>
    <w:rsid w:val="009D19E4"/>
    <w:rsid w:val="009D1BF1"/>
    <w:rsid w:val="009D3177"/>
    <w:rsid w:val="009D4DA6"/>
    <w:rsid w:val="009D7951"/>
    <w:rsid w:val="009D7961"/>
    <w:rsid w:val="009E2B63"/>
    <w:rsid w:val="009E5077"/>
    <w:rsid w:val="009E54B5"/>
    <w:rsid w:val="009E676E"/>
    <w:rsid w:val="009F3060"/>
    <w:rsid w:val="009F4FEF"/>
    <w:rsid w:val="009F7B44"/>
    <w:rsid w:val="009F7DE0"/>
    <w:rsid w:val="00A00603"/>
    <w:rsid w:val="00A013D2"/>
    <w:rsid w:val="00A027DC"/>
    <w:rsid w:val="00A1240F"/>
    <w:rsid w:val="00A14083"/>
    <w:rsid w:val="00A142AD"/>
    <w:rsid w:val="00A14832"/>
    <w:rsid w:val="00A15B60"/>
    <w:rsid w:val="00A15D3A"/>
    <w:rsid w:val="00A22E7D"/>
    <w:rsid w:val="00A255A6"/>
    <w:rsid w:val="00A30027"/>
    <w:rsid w:val="00A34590"/>
    <w:rsid w:val="00A3474A"/>
    <w:rsid w:val="00A36137"/>
    <w:rsid w:val="00A43B72"/>
    <w:rsid w:val="00A44AF6"/>
    <w:rsid w:val="00A50045"/>
    <w:rsid w:val="00A51640"/>
    <w:rsid w:val="00A53062"/>
    <w:rsid w:val="00A54429"/>
    <w:rsid w:val="00A565AD"/>
    <w:rsid w:val="00A608F3"/>
    <w:rsid w:val="00A60B22"/>
    <w:rsid w:val="00A61026"/>
    <w:rsid w:val="00A62837"/>
    <w:rsid w:val="00A65D43"/>
    <w:rsid w:val="00A72E28"/>
    <w:rsid w:val="00A75088"/>
    <w:rsid w:val="00A75B04"/>
    <w:rsid w:val="00A76000"/>
    <w:rsid w:val="00A77AF5"/>
    <w:rsid w:val="00A80FCD"/>
    <w:rsid w:val="00A81956"/>
    <w:rsid w:val="00A86CDC"/>
    <w:rsid w:val="00A90785"/>
    <w:rsid w:val="00A91A81"/>
    <w:rsid w:val="00A920BF"/>
    <w:rsid w:val="00A965C4"/>
    <w:rsid w:val="00AA0E0A"/>
    <w:rsid w:val="00AA1648"/>
    <w:rsid w:val="00AA1CA8"/>
    <w:rsid w:val="00AA2E74"/>
    <w:rsid w:val="00AA447D"/>
    <w:rsid w:val="00AA6345"/>
    <w:rsid w:val="00AB2369"/>
    <w:rsid w:val="00AB4ED5"/>
    <w:rsid w:val="00AB5544"/>
    <w:rsid w:val="00AC06EF"/>
    <w:rsid w:val="00AC32FA"/>
    <w:rsid w:val="00AC671C"/>
    <w:rsid w:val="00AD36B2"/>
    <w:rsid w:val="00AD63D1"/>
    <w:rsid w:val="00AE200A"/>
    <w:rsid w:val="00AF18B9"/>
    <w:rsid w:val="00AF2BBA"/>
    <w:rsid w:val="00AF3B3F"/>
    <w:rsid w:val="00B00D01"/>
    <w:rsid w:val="00B00F70"/>
    <w:rsid w:val="00B01AB1"/>
    <w:rsid w:val="00B01B41"/>
    <w:rsid w:val="00B0507A"/>
    <w:rsid w:val="00B07259"/>
    <w:rsid w:val="00B10247"/>
    <w:rsid w:val="00B11267"/>
    <w:rsid w:val="00B11610"/>
    <w:rsid w:val="00B22300"/>
    <w:rsid w:val="00B27D1C"/>
    <w:rsid w:val="00B30387"/>
    <w:rsid w:val="00B31342"/>
    <w:rsid w:val="00B31503"/>
    <w:rsid w:val="00B32C36"/>
    <w:rsid w:val="00B405D1"/>
    <w:rsid w:val="00B425B1"/>
    <w:rsid w:val="00B44A5F"/>
    <w:rsid w:val="00B525FA"/>
    <w:rsid w:val="00B54582"/>
    <w:rsid w:val="00B553CC"/>
    <w:rsid w:val="00B56CAB"/>
    <w:rsid w:val="00B6035A"/>
    <w:rsid w:val="00B6157C"/>
    <w:rsid w:val="00B65B3D"/>
    <w:rsid w:val="00B77714"/>
    <w:rsid w:val="00B842EF"/>
    <w:rsid w:val="00B9334E"/>
    <w:rsid w:val="00B95536"/>
    <w:rsid w:val="00B95A2E"/>
    <w:rsid w:val="00BB09EE"/>
    <w:rsid w:val="00BB1E2F"/>
    <w:rsid w:val="00BB5F83"/>
    <w:rsid w:val="00BB7FDA"/>
    <w:rsid w:val="00BC190E"/>
    <w:rsid w:val="00BC5363"/>
    <w:rsid w:val="00BD2590"/>
    <w:rsid w:val="00BD74A2"/>
    <w:rsid w:val="00BD77B8"/>
    <w:rsid w:val="00BE1600"/>
    <w:rsid w:val="00BE2DAC"/>
    <w:rsid w:val="00BE42E4"/>
    <w:rsid w:val="00BE458C"/>
    <w:rsid w:val="00BE4A4B"/>
    <w:rsid w:val="00BE6308"/>
    <w:rsid w:val="00BF4C46"/>
    <w:rsid w:val="00BF5DF6"/>
    <w:rsid w:val="00BF72CF"/>
    <w:rsid w:val="00C001D2"/>
    <w:rsid w:val="00C03EF1"/>
    <w:rsid w:val="00C04953"/>
    <w:rsid w:val="00C05B09"/>
    <w:rsid w:val="00C11734"/>
    <w:rsid w:val="00C11CE7"/>
    <w:rsid w:val="00C1459C"/>
    <w:rsid w:val="00C16037"/>
    <w:rsid w:val="00C17C18"/>
    <w:rsid w:val="00C216DB"/>
    <w:rsid w:val="00C23C26"/>
    <w:rsid w:val="00C2498A"/>
    <w:rsid w:val="00C26358"/>
    <w:rsid w:val="00C2752B"/>
    <w:rsid w:val="00C31FE8"/>
    <w:rsid w:val="00C32A1D"/>
    <w:rsid w:val="00C34A9F"/>
    <w:rsid w:val="00C356D9"/>
    <w:rsid w:val="00C36E59"/>
    <w:rsid w:val="00C41415"/>
    <w:rsid w:val="00C41D55"/>
    <w:rsid w:val="00C43BA8"/>
    <w:rsid w:val="00C47F9D"/>
    <w:rsid w:val="00C5181E"/>
    <w:rsid w:val="00C5238A"/>
    <w:rsid w:val="00C52EBC"/>
    <w:rsid w:val="00C54588"/>
    <w:rsid w:val="00C5489F"/>
    <w:rsid w:val="00C56A55"/>
    <w:rsid w:val="00C60DBC"/>
    <w:rsid w:val="00C62983"/>
    <w:rsid w:val="00C650AF"/>
    <w:rsid w:val="00C65166"/>
    <w:rsid w:val="00C7416B"/>
    <w:rsid w:val="00C77611"/>
    <w:rsid w:val="00C83A65"/>
    <w:rsid w:val="00C85173"/>
    <w:rsid w:val="00C85DF8"/>
    <w:rsid w:val="00C86993"/>
    <w:rsid w:val="00C870FF"/>
    <w:rsid w:val="00C875A5"/>
    <w:rsid w:val="00C87B0B"/>
    <w:rsid w:val="00C87C2F"/>
    <w:rsid w:val="00C87F09"/>
    <w:rsid w:val="00C926D5"/>
    <w:rsid w:val="00CA1EF7"/>
    <w:rsid w:val="00CA2985"/>
    <w:rsid w:val="00CA49D9"/>
    <w:rsid w:val="00CA6FDE"/>
    <w:rsid w:val="00CA7A9E"/>
    <w:rsid w:val="00CA7DF9"/>
    <w:rsid w:val="00CD1559"/>
    <w:rsid w:val="00CD2E9F"/>
    <w:rsid w:val="00CD310E"/>
    <w:rsid w:val="00CD41FE"/>
    <w:rsid w:val="00CD7C3F"/>
    <w:rsid w:val="00CE1825"/>
    <w:rsid w:val="00CE3282"/>
    <w:rsid w:val="00CE3F8F"/>
    <w:rsid w:val="00CE5A03"/>
    <w:rsid w:val="00CF0FCF"/>
    <w:rsid w:val="00CF1A74"/>
    <w:rsid w:val="00CF455C"/>
    <w:rsid w:val="00CF5447"/>
    <w:rsid w:val="00CF5E7B"/>
    <w:rsid w:val="00CF7DEC"/>
    <w:rsid w:val="00D003D9"/>
    <w:rsid w:val="00D01525"/>
    <w:rsid w:val="00D03CF8"/>
    <w:rsid w:val="00D053F2"/>
    <w:rsid w:val="00D110D8"/>
    <w:rsid w:val="00D24559"/>
    <w:rsid w:val="00D35570"/>
    <w:rsid w:val="00D41C60"/>
    <w:rsid w:val="00D41E0D"/>
    <w:rsid w:val="00D44901"/>
    <w:rsid w:val="00D454CF"/>
    <w:rsid w:val="00D5502A"/>
    <w:rsid w:val="00D55D5F"/>
    <w:rsid w:val="00D60716"/>
    <w:rsid w:val="00D638CC"/>
    <w:rsid w:val="00D64E83"/>
    <w:rsid w:val="00D66231"/>
    <w:rsid w:val="00D70799"/>
    <w:rsid w:val="00D76457"/>
    <w:rsid w:val="00D7653E"/>
    <w:rsid w:val="00D76EF1"/>
    <w:rsid w:val="00D80D03"/>
    <w:rsid w:val="00D822EC"/>
    <w:rsid w:val="00D82B23"/>
    <w:rsid w:val="00D837B0"/>
    <w:rsid w:val="00D83FD1"/>
    <w:rsid w:val="00D84545"/>
    <w:rsid w:val="00D9333E"/>
    <w:rsid w:val="00D93817"/>
    <w:rsid w:val="00D95563"/>
    <w:rsid w:val="00DA0E9D"/>
    <w:rsid w:val="00DA5608"/>
    <w:rsid w:val="00DA6958"/>
    <w:rsid w:val="00DB04BF"/>
    <w:rsid w:val="00DB350D"/>
    <w:rsid w:val="00DB3D0A"/>
    <w:rsid w:val="00DB67FF"/>
    <w:rsid w:val="00DC2D44"/>
    <w:rsid w:val="00DC7A1E"/>
    <w:rsid w:val="00DC7F53"/>
    <w:rsid w:val="00DD584D"/>
    <w:rsid w:val="00DD676C"/>
    <w:rsid w:val="00DD7137"/>
    <w:rsid w:val="00DD77F8"/>
    <w:rsid w:val="00DE3003"/>
    <w:rsid w:val="00DF3899"/>
    <w:rsid w:val="00DF532F"/>
    <w:rsid w:val="00DF6717"/>
    <w:rsid w:val="00DF6B5F"/>
    <w:rsid w:val="00DF7885"/>
    <w:rsid w:val="00E0002D"/>
    <w:rsid w:val="00E011C9"/>
    <w:rsid w:val="00E02DAD"/>
    <w:rsid w:val="00E03E68"/>
    <w:rsid w:val="00E05823"/>
    <w:rsid w:val="00E11E94"/>
    <w:rsid w:val="00E131EC"/>
    <w:rsid w:val="00E168BD"/>
    <w:rsid w:val="00E21A00"/>
    <w:rsid w:val="00E21B30"/>
    <w:rsid w:val="00E22A3F"/>
    <w:rsid w:val="00E22BCB"/>
    <w:rsid w:val="00E24FE1"/>
    <w:rsid w:val="00E30766"/>
    <w:rsid w:val="00E30CEE"/>
    <w:rsid w:val="00E34B2F"/>
    <w:rsid w:val="00E34F8C"/>
    <w:rsid w:val="00E44410"/>
    <w:rsid w:val="00E46E20"/>
    <w:rsid w:val="00E47FEF"/>
    <w:rsid w:val="00E5392E"/>
    <w:rsid w:val="00E5540E"/>
    <w:rsid w:val="00E63625"/>
    <w:rsid w:val="00E641C3"/>
    <w:rsid w:val="00E65682"/>
    <w:rsid w:val="00E67442"/>
    <w:rsid w:val="00E70FE0"/>
    <w:rsid w:val="00E75FF2"/>
    <w:rsid w:val="00E8032D"/>
    <w:rsid w:val="00E82768"/>
    <w:rsid w:val="00E82DB1"/>
    <w:rsid w:val="00E85851"/>
    <w:rsid w:val="00E92152"/>
    <w:rsid w:val="00E92A5A"/>
    <w:rsid w:val="00E95A78"/>
    <w:rsid w:val="00E96E46"/>
    <w:rsid w:val="00EA1EDC"/>
    <w:rsid w:val="00EA251E"/>
    <w:rsid w:val="00EA5BDF"/>
    <w:rsid w:val="00EA7639"/>
    <w:rsid w:val="00EB25F2"/>
    <w:rsid w:val="00EC03D4"/>
    <w:rsid w:val="00EC0C8B"/>
    <w:rsid w:val="00EC2E5E"/>
    <w:rsid w:val="00EC7E35"/>
    <w:rsid w:val="00ED5518"/>
    <w:rsid w:val="00EE06C1"/>
    <w:rsid w:val="00EE0CE9"/>
    <w:rsid w:val="00EE4F10"/>
    <w:rsid w:val="00EE5FB5"/>
    <w:rsid w:val="00EF2458"/>
    <w:rsid w:val="00EF540F"/>
    <w:rsid w:val="00F04147"/>
    <w:rsid w:val="00F04B9F"/>
    <w:rsid w:val="00F0690F"/>
    <w:rsid w:val="00F06BB0"/>
    <w:rsid w:val="00F06DC8"/>
    <w:rsid w:val="00F0758D"/>
    <w:rsid w:val="00F10071"/>
    <w:rsid w:val="00F139EA"/>
    <w:rsid w:val="00F14449"/>
    <w:rsid w:val="00F14AF4"/>
    <w:rsid w:val="00F1559C"/>
    <w:rsid w:val="00F17F1F"/>
    <w:rsid w:val="00F206D9"/>
    <w:rsid w:val="00F2677F"/>
    <w:rsid w:val="00F279D9"/>
    <w:rsid w:val="00F3006E"/>
    <w:rsid w:val="00F318E8"/>
    <w:rsid w:val="00F339C4"/>
    <w:rsid w:val="00F40C03"/>
    <w:rsid w:val="00F430F6"/>
    <w:rsid w:val="00F43A5E"/>
    <w:rsid w:val="00F50899"/>
    <w:rsid w:val="00F509E6"/>
    <w:rsid w:val="00F5243C"/>
    <w:rsid w:val="00F53EA1"/>
    <w:rsid w:val="00F5451B"/>
    <w:rsid w:val="00F57ECE"/>
    <w:rsid w:val="00F60086"/>
    <w:rsid w:val="00F62921"/>
    <w:rsid w:val="00F63A16"/>
    <w:rsid w:val="00F63DA3"/>
    <w:rsid w:val="00F64E76"/>
    <w:rsid w:val="00F652C1"/>
    <w:rsid w:val="00F67C6F"/>
    <w:rsid w:val="00F71BE8"/>
    <w:rsid w:val="00F74DCF"/>
    <w:rsid w:val="00F75192"/>
    <w:rsid w:val="00F75225"/>
    <w:rsid w:val="00F77529"/>
    <w:rsid w:val="00F77854"/>
    <w:rsid w:val="00F81557"/>
    <w:rsid w:val="00F8496E"/>
    <w:rsid w:val="00F926AC"/>
    <w:rsid w:val="00F93D91"/>
    <w:rsid w:val="00F9625A"/>
    <w:rsid w:val="00FA35D9"/>
    <w:rsid w:val="00FA4B1A"/>
    <w:rsid w:val="00FA68C3"/>
    <w:rsid w:val="00FB71EA"/>
    <w:rsid w:val="00FC0AF1"/>
    <w:rsid w:val="00FC49DA"/>
    <w:rsid w:val="00FC7386"/>
    <w:rsid w:val="00FD1377"/>
    <w:rsid w:val="00FD3218"/>
    <w:rsid w:val="00FD3A5C"/>
    <w:rsid w:val="00FD57D3"/>
    <w:rsid w:val="00FD71D5"/>
    <w:rsid w:val="00FE1413"/>
    <w:rsid w:val="00FE30AE"/>
    <w:rsid w:val="00FE3345"/>
    <w:rsid w:val="00FE62D1"/>
    <w:rsid w:val="00FE6F61"/>
    <w:rsid w:val="00FF0077"/>
    <w:rsid w:val="00FF27A9"/>
    <w:rsid w:val="00FF30D7"/>
    <w:rsid w:val="00FF78D3"/>
    <w:rsid w:val="016E2E23"/>
    <w:rsid w:val="018273AA"/>
    <w:rsid w:val="018A71EC"/>
    <w:rsid w:val="02741B4A"/>
    <w:rsid w:val="03546194"/>
    <w:rsid w:val="035F21B1"/>
    <w:rsid w:val="038C4E84"/>
    <w:rsid w:val="038D3F9E"/>
    <w:rsid w:val="03CC2796"/>
    <w:rsid w:val="04067D95"/>
    <w:rsid w:val="043707A6"/>
    <w:rsid w:val="044F355E"/>
    <w:rsid w:val="056C6757"/>
    <w:rsid w:val="0578562B"/>
    <w:rsid w:val="061E21C3"/>
    <w:rsid w:val="064029FC"/>
    <w:rsid w:val="06446A9D"/>
    <w:rsid w:val="06975A5D"/>
    <w:rsid w:val="073D31FE"/>
    <w:rsid w:val="07490434"/>
    <w:rsid w:val="08070010"/>
    <w:rsid w:val="081163FE"/>
    <w:rsid w:val="083D3D11"/>
    <w:rsid w:val="08436857"/>
    <w:rsid w:val="08666395"/>
    <w:rsid w:val="088F02E4"/>
    <w:rsid w:val="0AB4087D"/>
    <w:rsid w:val="0AB56615"/>
    <w:rsid w:val="0B1B33B4"/>
    <w:rsid w:val="0B5374D4"/>
    <w:rsid w:val="0C0F517A"/>
    <w:rsid w:val="0D776940"/>
    <w:rsid w:val="0DD35D8B"/>
    <w:rsid w:val="0DE057BE"/>
    <w:rsid w:val="0E0D154C"/>
    <w:rsid w:val="0E8D3A3E"/>
    <w:rsid w:val="0EE43CB4"/>
    <w:rsid w:val="0F0D7507"/>
    <w:rsid w:val="0F6666ED"/>
    <w:rsid w:val="100A1081"/>
    <w:rsid w:val="10391710"/>
    <w:rsid w:val="11856B2E"/>
    <w:rsid w:val="11EF5FAA"/>
    <w:rsid w:val="12317F34"/>
    <w:rsid w:val="1257764D"/>
    <w:rsid w:val="132B7BCB"/>
    <w:rsid w:val="14091287"/>
    <w:rsid w:val="140A4615"/>
    <w:rsid w:val="14321FE4"/>
    <w:rsid w:val="143F579C"/>
    <w:rsid w:val="14726477"/>
    <w:rsid w:val="14DB60FF"/>
    <w:rsid w:val="15CC52B7"/>
    <w:rsid w:val="16872D6C"/>
    <w:rsid w:val="16B23F8B"/>
    <w:rsid w:val="17005FBC"/>
    <w:rsid w:val="17110FDD"/>
    <w:rsid w:val="17223CA3"/>
    <w:rsid w:val="17B02605"/>
    <w:rsid w:val="18390D96"/>
    <w:rsid w:val="19D83A7A"/>
    <w:rsid w:val="19FF5DB9"/>
    <w:rsid w:val="1AB75C63"/>
    <w:rsid w:val="1AF077C9"/>
    <w:rsid w:val="1B213205"/>
    <w:rsid w:val="1B3E0655"/>
    <w:rsid w:val="1BA13B6E"/>
    <w:rsid w:val="1BA9C687"/>
    <w:rsid w:val="1BD417C5"/>
    <w:rsid w:val="1C016995"/>
    <w:rsid w:val="1C0C0DBD"/>
    <w:rsid w:val="1CCE5013"/>
    <w:rsid w:val="1D090FD2"/>
    <w:rsid w:val="1D0E0AD6"/>
    <w:rsid w:val="1DA779BB"/>
    <w:rsid w:val="1DDA31E4"/>
    <w:rsid w:val="1DDE2DCF"/>
    <w:rsid w:val="1E463719"/>
    <w:rsid w:val="1ECD21B1"/>
    <w:rsid w:val="1F280C68"/>
    <w:rsid w:val="1F5B058E"/>
    <w:rsid w:val="1F8229C3"/>
    <w:rsid w:val="209033B2"/>
    <w:rsid w:val="21876495"/>
    <w:rsid w:val="2267214B"/>
    <w:rsid w:val="22873A36"/>
    <w:rsid w:val="22AD3F14"/>
    <w:rsid w:val="231F6524"/>
    <w:rsid w:val="23405992"/>
    <w:rsid w:val="23691A38"/>
    <w:rsid w:val="236E6211"/>
    <w:rsid w:val="24AC7C3B"/>
    <w:rsid w:val="24E16D01"/>
    <w:rsid w:val="25B328ED"/>
    <w:rsid w:val="25DA1459"/>
    <w:rsid w:val="26C96D36"/>
    <w:rsid w:val="26F91D3A"/>
    <w:rsid w:val="27603EA8"/>
    <w:rsid w:val="27896BFA"/>
    <w:rsid w:val="28784073"/>
    <w:rsid w:val="294302BA"/>
    <w:rsid w:val="29506198"/>
    <w:rsid w:val="29EB7797"/>
    <w:rsid w:val="2A807095"/>
    <w:rsid w:val="2ACB7774"/>
    <w:rsid w:val="2B4A75CB"/>
    <w:rsid w:val="2B563FA5"/>
    <w:rsid w:val="2BBC790D"/>
    <w:rsid w:val="2CAD0461"/>
    <w:rsid w:val="2D012A52"/>
    <w:rsid w:val="2D32095D"/>
    <w:rsid w:val="2DC21461"/>
    <w:rsid w:val="2DD73AD5"/>
    <w:rsid w:val="2DF62AE8"/>
    <w:rsid w:val="2F4502E6"/>
    <w:rsid w:val="2F6243A8"/>
    <w:rsid w:val="2F9B0B20"/>
    <w:rsid w:val="2FE7D7FE"/>
    <w:rsid w:val="30EF6013"/>
    <w:rsid w:val="31D668B9"/>
    <w:rsid w:val="31D75713"/>
    <w:rsid w:val="321366D4"/>
    <w:rsid w:val="33CA751C"/>
    <w:rsid w:val="34563CEC"/>
    <w:rsid w:val="34657CEE"/>
    <w:rsid w:val="34E17474"/>
    <w:rsid w:val="36310DF4"/>
    <w:rsid w:val="371511B8"/>
    <w:rsid w:val="37183F25"/>
    <w:rsid w:val="385E7296"/>
    <w:rsid w:val="391816C5"/>
    <w:rsid w:val="39CD3FCC"/>
    <w:rsid w:val="39FB24A2"/>
    <w:rsid w:val="3AA976C2"/>
    <w:rsid w:val="3BFC3547"/>
    <w:rsid w:val="3BFFFF64"/>
    <w:rsid w:val="3C150F30"/>
    <w:rsid w:val="3CC66AB0"/>
    <w:rsid w:val="3DBE4D84"/>
    <w:rsid w:val="404029AD"/>
    <w:rsid w:val="405A16DD"/>
    <w:rsid w:val="40A86AD1"/>
    <w:rsid w:val="41204C51"/>
    <w:rsid w:val="41D0263B"/>
    <w:rsid w:val="421767B3"/>
    <w:rsid w:val="422F5614"/>
    <w:rsid w:val="42A71020"/>
    <w:rsid w:val="436A3001"/>
    <w:rsid w:val="437D6E04"/>
    <w:rsid w:val="43D220AF"/>
    <w:rsid w:val="43DF6F4E"/>
    <w:rsid w:val="442962A2"/>
    <w:rsid w:val="45684BA8"/>
    <w:rsid w:val="45E20B78"/>
    <w:rsid w:val="45F4643C"/>
    <w:rsid w:val="46531C06"/>
    <w:rsid w:val="46CF5897"/>
    <w:rsid w:val="475D66AA"/>
    <w:rsid w:val="47D31204"/>
    <w:rsid w:val="490557B4"/>
    <w:rsid w:val="49596CE4"/>
    <w:rsid w:val="4A3B3DC8"/>
    <w:rsid w:val="4B080A81"/>
    <w:rsid w:val="4B3A654C"/>
    <w:rsid w:val="4B7958AA"/>
    <w:rsid w:val="4BCF23AD"/>
    <w:rsid w:val="4C64463D"/>
    <w:rsid w:val="4CA8697D"/>
    <w:rsid w:val="4D2607A2"/>
    <w:rsid w:val="4D4976F7"/>
    <w:rsid w:val="4ED70203"/>
    <w:rsid w:val="4F3D4D21"/>
    <w:rsid w:val="4FBA6948"/>
    <w:rsid w:val="50650662"/>
    <w:rsid w:val="50CC427E"/>
    <w:rsid w:val="50D26EA1"/>
    <w:rsid w:val="51EC090F"/>
    <w:rsid w:val="52C67844"/>
    <w:rsid w:val="53D30B94"/>
    <w:rsid w:val="54BA5DE5"/>
    <w:rsid w:val="555C095E"/>
    <w:rsid w:val="55714D6E"/>
    <w:rsid w:val="5586100D"/>
    <w:rsid w:val="558E0FC6"/>
    <w:rsid w:val="55BC81C9"/>
    <w:rsid w:val="57A37CC2"/>
    <w:rsid w:val="5806097D"/>
    <w:rsid w:val="585A65D3"/>
    <w:rsid w:val="592E2FC2"/>
    <w:rsid w:val="59492413"/>
    <w:rsid w:val="59CA1681"/>
    <w:rsid w:val="59D33341"/>
    <w:rsid w:val="5AFB7B3C"/>
    <w:rsid w:val="5B1607A4"/>
    <w:rsid w:val="5B351579"/>
    <w:rsid w:val="5BB113D6"/>
    <w:rsid w:val="5BC26416"/>
    <w:rsid w:val="5C030515"/>
    <w:rsid w:val="5C2D6F13"/>
    <w:rsid w:val="5C5D57DD"/>
    <w:rsid w:val="5CAF66C2"/>
    <w:rsid w:val="5CDC25AD"/>
    <w:rsid w:val="5D6B38C4"/>
    <w:rsid w:val="5E7A7BA7"/>
    <w:rsid w:val="5EC1186B"/>
    <w:rsid w:val="5ED67896"/>
    <w:rsid w:val="5EE756D6"/>
    <w:rsid w:val="5F257404"/>
    <w:rsid w:val="5F4E2947"/>
    <w:rsid w:val="5FFB4F31"/>
    <w:rsid w:val="603C3B9C"/>
    <w:rsid w:val="60E1603F"/>
    <w:rsid w:val="60F303E3"/>
    <w:rsid w:val="60F5158E"/>
    <w:rsid w:val="61595896"/>
    <w:rsid w:val="62966AFB"/>
    <w:rsid w:val="62B131DE"/>
    <w:rsid w:val="63715518"/>
    <w:rsid w:val="63A3584A"/>
    <w:rsid w:val="64A4592A"/>
    <w:rsid w:val="65306894"/>
    <w:rsid w:val="65FE43B6"/>
    <w:rsid w:val="664F4EF8"/>
    <w:rsid w:val="665B6338"/>
    <w:rsid w:val="678326B3"/>
    <w:rsid w:val="678341BF"/>
    <w:rsid w:val="67966EFB"/>
    <w:rsid w:val="67C12384"/>
    <w:rsid w:val="67CE0712"/>
    <w:rsid w:val="6930730D"/>
    <w:rsid w:val="69D510D8"/>
    <w:rsid w:val="6AED4D1A"/>
    <w:rsid w:val="6B5550D9"/>
    <w:rsid w:val="6B6D613A"/>
    <w:rsid w:val="6B951E5C"/>
    <w:rsid w:val="6C030D06"/>
    <w:rsid w:val="6C235891"/>
    <w:rsid w:val="6CDE3E82"/>
    <w:rsid w:val="6D1736C0"/>
    <w:rsid w:val="6D212753"/>
    <w:rsid w:val="6DA61BDD"/>
    <w:rsid w:val="6F694A76"/>
    <w:rsid w:val="6FD131C7"/>
    <w:rsid w:val="6FDF26D2"/>
    <w:rsid w:val="70311CCD"/>
    <w:rsid w:val="70C94C2E"/>
    <w:rsid w:val="714952D1"/>
    <w:rsid w:val="72064229"/>
    <w:rsid w:val="72147D82"/>
    <w:rsid w:val="72591496"/>
    <w:rsid w:val="725F6099"/>
    <w:rsid w:val="728A3ABA"/>
    <w:rsid w:val="729D6886"/>
    <w:rsid w:val="72C97771"/>
    <w:rsid w:val="72D8187A"/>
    <w:rsid w:val="738133AC"/>
    <w:rsid w:val="73D3037C"/>
    <w:rsid w:val="742D2B30"/>
    <w:rsid w:val="74C876EC"/>
    <w:rsid w:val="74E15112"/>
    <w:rsid w:val="755F74C6"/>
    <w:rsid w:val="759A22AD"/>
    <w:rsid w:val="77461862"/>
    <w:rsid w:val="775070C7"/>
    <w:rsid w:val="77987566"/>
    <w:rsid w:val="77A50114"/>
    <w:rsid w:val="77DC57AA"/>
    <w:rsid w:val="78512A81"/>
    <w:rsid w:val="7A3439D5"/>
    <w:rsid w:val="7ADE2C3C"/>
    <w:rsid w:val="7AED10D1"/>
    <w:rsid w:val="7B4C77FE"/>
    <w:rsid w:val="7C507B69"/>
    <w:rsid w:val="7D3C3975"/>
    <w:rsid w:val="7D43276A"/>
    <w:rsid w:val="7E3B4905"/>
    <w:rsid w:val="7E4E01E1"/>
    <w:rsid w:val="7E6C2621"/>
    <w:rsid w:val="7EC85DFE"/>
    <w:rsid w:val="7F983D01"/>
    <w:rsid w:val="7FDE3EB0"/>
    <w:rsid w:val="A7DF1B9A"/>
    <w:rsid w:val="ABF80A4C"/>
    <w:rsid w:val="AE7F6AFD"/>
    <w:rsid w:val="BAD7AA7E"/>
    <w:rsid w:val="CFFFD391"/>
    <w:rsid w:val="EFEF02F2"/>
    <w:rsid w:val="FCD7098E"/>
    <w:rsid w:val="FD38922B"/>
    <w:rsid w:val="FDF74CF4"/>
    <w:rsid w:val="FF79EC62"/>
    <w:rsid w:val="FFFE4A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autoRedefine/>
    <w:qFormat/>
    <w:uiPriority w:val="9"/>
    <w:pPr>
      <w:keepNext/>
      <w:keepLines/>
      <w:numPr>
        <w:ilvl w:val="0"/>
        <w:numId w:val="1"/>
      </w:numPr>
      <w:spacing w:before="340" w:after="330" w:line="578" w:lineRule="auto"/>
      <w:ind w:left="852"/>
      <w:outlineLvl w:val="0"/>
    </w:pPr>
    <w:rPr>
      <w:rFonts w:eastAsia="方正小标宋_GBK"/>
      <w:b/>
      <w:bCs/>
      <w:kern w:val="44"/>
      <w:sz w:val="32"/>
      <w:szCs w:val="44"/>
    </w:rPr>
  </w:style>
  <w:style w:type="paragraph" w:styleId="3">
    <w:name w:val="heading 2"/>
    <w:basedOn w:val="1"/>
    <w:next w:val="1"/>
    <w:link w:val="32"/>
    <w:autoRedefine/>
    <w:unhideWhenUsed/>
    <w:qFormat/>
    <w:uiPriority w:val="9"/>
    <w:pPr>
      <w:keepNext/>
      <w:keepLines/>
      <w:numPr>
        <w:ilvl w:val="1"/>
        <w:numId w:val="1"/>
      </w:numPr>
      <w:spacing w:before="260" w:after="260" w:line="416" w:lineRule="auto"/>
      <w:outlineLvl w:val="1"/>
    </w:pPr>
    <w:rPr>
      <w:rFonts w:eastAsia="仿宋" w:asciiTheme="majorHAnsi" w:hAnsiTheme="majorHAnsi" w:cstheme="majorBidi"/>
      <w:b/>
      <w:bCs/>
      <w:sz w:val="28"/>
      <w:szCs w:val="32"/>
    </w:rPr>
  </w:style>
  <w:style w:type="paragraph" w:styleId="4">
    <w:name w:val="heading 3"/>
    <w:basedOn w:val="1"/>
    <w:next w:val="1"/>
    <w:link w:val="35"/>
    <w:autoRedefine/>
    <w:unhideWhenUsed/>
    <w:qFormat/>
    <w:uiPriority w:val="9"/>
    <w:pPr>
      <w:keepNext/>
      <w:keepLines/>
      <w:numPr>
        <w:ilvl w:val="2"/>
        <w:numId w:val="1"/>
      </w:numPr>
      <w:spacing w:before="260" w:after="260" w:line="416" w:lineRule="auto"/>
      <w:outlineLvl w:val="2"/>
    </w:pPr>
    <w:rPr>
      <w:rFonts w:eastAsia="仿宋"/>
      <w:b/>
      <w:bCs/>
      <w:sz w:val="28"/>
      <w:szCs w:val="32"/>
    </w:rPr>
  </w:style>
  <w:style w:type="paragraph" w:styleId="5">
    <w:name w:val="heading 4"/>
    <w:basedOn w:val="1"/>
    <w:next w:val="1"/>
    <w:link w:val="36"/>
    <w:autoRedefine/>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7"/>
    <w:autoRedefine/>
    <w:unhideWhenUsed/>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8"/>
    <w:autoRedefine/>
    <w:semiHidden/>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9"/>
    <w:autoRedefine/>
    <w:unhideWhenUsed/>
    <w:qFormat/>
    <w:uiPriority w:val="9"/>
    <w:pPr>
      <w:keepNext/>
      <w:keepLines/>
      <w:numPr>
        <w:ilvl w:val="6"/>
        <w:numId w:val="1"/>
      </w:numPr>
      <w:spacing w:before="240" w:after="64" w:line="320" w:lineRule="auto"/>
      <w:outlineLvl w:val="6"/>
    </w:pPr>
    <w:rPr>
      <w:b/>
      <w:bCs/>
      <w:sz w:val="24"/>
      <w:szCs w:val="24"/>
    </w:rPr>
  </w:style>
  <w:style w:type="paragraph" w:styleId="9">
    <w:name w:val="heading 8"/>
    <w:basedOn w:val="1"/>
    <w:next w:val="1"/>
    <w:link w:val="40"/>
    <w:autoRedefine/>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41"/>
    <w:autoRedefine/>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0"/>
    <w:autoRedefine/>
    <w:unhideWhenUsed/>
    <w:qFormat/>
    <w:uiPriority w:val="99"/>
    <w:pPr>
      <w:jc w:val="left"/>
    </w:pPr>
  </w:style>
  <w:style w:type="paragraph" w:styleId="12">
    <w:name w:val="Body Text"/>
    <w:basedOn w:val="1"/>
    <w:link w:val="55"/>
    <w:autoRedefine/>
    <w:semiHidden/>
    <w:unhideWhenUsed/>
    <w:qFormat/>
    <w:uiPriority w:val="99"/>
    <w:pPr>
      <w:spacing w:after="120"/>
    </w:pPr>
  </w:style>
  <w:style w:type="paragraph" w:styleId="13">
    <w:name w:val="Body Text Indent"/>
    <w:basedOn w:val="1"/>
    <w:link w:val="44"/>
    <w:autoRedefine/>
    <w:semiHidden/>
    <w:unhideWhenUsed/>
    <w:qFormat/>
    <w:uiPriority w:val="99"/>
    <w:pPr>
      <w:spacing w:after="120"/>
      <w:ind w:left="420" w:leftChars="200"/>
    </w:pPr>
  </w:style>
  <w:style w:type="paragraph" w:styleId="14">
    <w:name w:val="toc 3"/>
    <w:basedOn w:val="1"/>
    <w:next w:val="1"/>
    <w:autoRedefine/>
    <w:unhideWhenUsed/>
    <w:qFormat/>
    <w:uiPriority w:val="39"/>
    <w:pPr>
      <w:ind w:left="840" w:leftChars="400"/>
    </w:pPr>
  </w:style>
  <w:style w:type="paragraph" w:styleId="15">
    <w:name w:val="Balloon Text"/>
    <w:basedOn w:val="1"/>
    <w:link w:val="43"/>
    <w:autoRedefine/>
    <w:semiHidden/>
    <w:unhideWhenUsed/>
    <w:qFormat/>
    <w:uiPriority w:val="99"/>
    <w:rPr>
      <w:sz w:val="18"/>
      <w:szCs w:val="18"/>
    </w:rPr>
  </w:style>
  <w:style w:type="paragraph" w:styleId="16">
    <w:name w:val="footer"/>
    <w:basedOn w:val="1"/>
    <w:link w:val="30"/>
    <w:autoRedefine/>
    <w:unhideWhenUsed/>
    <w:qFormat/>
    <w:uiPriority w:val="99"/>
    <w:pPr>
      <w:tabs>
        <w:tab w:val="center" w:pos="4153"/>
        <w:tab w:val="right" w:pos="8306"/>
      </w:tabs>
      <w:snapToGrid w:val="0"/>
      <w:jc w:val="left"/>
    </w:pPr>
    <w:rPr>
      <w:sz w:val="18"/>
      <w:szCs w:val="18"/>
    </w:rPr>
  </w:style>
  <w:style w:type="paragraph" w:styleId="17">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style>
  <w:style w:type="paragraph" w:styleId="19">
    <w:name w:val="footnote text"/>
    <w:basedOn w:val="1"/>
    <w:link w:val="53"/>
    <w:autoRedefine/>
    <w:unhideWhenUsed/>
    <w:qFormat/>
    <w:uiPriority w:val="99"/>
    <w:pPr>
      <w:snapToGrid w:val="0"/>
      <w:jc w:val="left"/>
    </w:pPr>
    <w:rPr>
      <w:rFonts w:ascii="Calibri" w:hAnsi="Calibri" w:eastAsia="宋体" w:cs="Times New Roman"/>
      <w:sz w:val="18"/>
      <w:szCs w:val="18"/>
    </w:rPr>
  </w:style>
  <w:style w:type="paragraph" w:styleId="20">
    <w:name w:val="toc 2"/>
    <w:basedOn w:val="1"/>
    <w:next w:val="1"/>
    <w:autoRedefine/>
    <w:unhideWhenUsed/>
    <w:qFormat/>
    <w:uiPriority w:val="39"/>
    <w:pPr>
      <w:ind w:left="420" w:leftChars="200"/>
    </w:pPr>
  </w:style>
  <w:style w:type="paragraph" w:styleId="21">
    <w:name w:val="Normal (Web)"/>
    <w:basedOn w:val="1"/>
    <w:autoRedefine/>
    <w:qFormat/>
    <w:uiPriority w:val="0"/>
    <w:pPr>
      <w:widowControl/>
      <w:spacing w:before="100" w:beforeAutospacing="1" w:after="100" w:afterAutospacing="1"/>
      <w:jc w:val="left"/>
    </w:pPr>
    <w:rPr>
      <w:rFonts w:ascii="宋体" w:hAnsi="宋体" w:eastAsia="宋体" w:cs="Times New Roman"/>
      <w:color w:val="000000"/>
      <w:kern w:val="0"/>
      <w:sz w:val="24"/>
      <w:szCs w:val="24"/>
    </w:rPr>
  </w:style>
  <w:style w:type="paragraph" w:styleId="22">
    <w:name w:val="annotation subject"/>
    <w:basedOn w:val="11"/>
    <w:next w:val="11"/>
    <w:link w:val="51"/>
    <w:autoRedefine/>
    <w:semiHidden/>
    <w:unhideWhenUsed/>
    <w:qFormat/>
    <w:uiPriority w:val="99"/>
    <w:rPr>
      <w:b/>
      <w:bCs/>
    </w:rPr>
  </w:style>
  <w:style w:type="paragraph" w:styleId="23">
    <w:name w:val="Body Text First Indent 2"/>
    <w:basedOn w:val="13"/>
    <w:link w:val="45"/>
    <w:autoRedefine/>
    <w:qFormat/>
    <w:uiPriority w:val="0"/>
    <w:pPr>
      <w:spacing w:line="360" w:lineRule="auto"/>
      <w:ind w:firstLine="420" w:firstLineChars="200"/>
    </w:pPr>
    <w:rPr>
      <w:rFonts w:ascii="Times New Roman" w:hAnsi="Times New Roman" w:eastAsia="宋体" w:cs="Times New Roman"/>
      <w:sz w:val="24"/>
      <w:szCs w:val="24"/>
      <w:lang w:val="zh-CN"/>
    </w:rPr>
  </w:style>
  <w:style w:type="table" w:styleId="25">
    <w:name w:val="Table Grid"/>
    <w:basedOn w:val="2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unhideWhenUsed/>
    <w:qFormat/>
    <w:uiPriority w:val="99"/>
    <w:rPr>
      <w:color w:val="0000FF" w:themeColor="hyperlink"/>
      <w:u w:val="single"/>
      <w14:textFill>
        <w14:solidFill>
          <w14:schemeClr w14:val="hlink"/>
        </w14:solidFill>
      </w14:textFill>
    </w:rPr>
  </w:style>
  <w:style w:type="character" w:styleId="28">
    <w:name w:val="annotation reference"/>
    <w:basedOn w:val="26"/>
    <w:autoRedefine/>
    <w:unhideWhenUsed/>
    <w:qFormat/>
    <w:uiPriority w:val="99"/>
    <w:rPr>
      <w:sz w:val="21"/>
      <w:szCs w:val="21"/>
    </w:rPr>
  </w:style>
  <w:style w:type="character" w:customStyle="1" w:styleId="29">
    <w:name w:val="页眉 字符"/>
    <w:basedOn w:val="26"/>
    <w:link w:val="17"/>
    <w:autoRedefine/>
    <w:qFormat/>
    <w:uiPriority w:val="99"/>
    <w:rPr>
      <w:sz w:val="18"/>
      <w:szCs w:val="18"/>
    </w:rPr>
  </w:style>
  <w:style w:type="character" w:customStyle="1" w:styleId="30">
    <w:name w:val="页脚 字符"/>
    <w:basedOn w:val="26"/>
    <w:link w:val="16"/>
    <w:autoRedefine/>
    <w:qFormat/>
    <w:uiPriority w:val="99"/>
    <w:rPr>
      <w:sz w:val="18"/>
      <w:szCs w:val="18"/>
    </w:rPr>
  </w:style>
  <w:style w:type="paragraph" w:styleId="31">
    <w:name w:val="List Paragraph"/>
    <w:basedOn w:val="1"/>
    <w:link w:val="46"/>
    <w:autoRedefine/>
    <w:qFormat/>
    <w:uiPriority w:val="34"/>
    <w:pPr>
      <w:ind w:firstLine="420" w:firstLineChars="200"/>
    </w:pPr>
  </w:style>
  <w:style w:type="character" w:customStyle="1" w:styleId="32">
    <w:name w:val="标题 2 字符"/>
    <w:basedOn w:val="26"/>
    <w:link w:val="3"/>
    <w:autoRedefine/>
    <w:qFormat/>
    <w:uiPriority w:val="9"/>
    <w:rPr>
      <w:rFonts w:eastAsia="仿宋" w:asciiTheme="majorHAnsi" w:hAnsiTheme="majorHAnsi" w:cstheme="majorBidi"/>
      <w:b/>
      <w:bCs/>
      <w:kern w:val="2"/>
      <w:sz w:val="28"/>
      <w:szCs w:val="32"/>
    </w:rPr>
  </w:style>
  <w:style w:type="paragraph" w:customStyle="1" w:styleId="33">
    <w:name w:val="1册标题3"/>
    <w:basedOn w:val="1"/>
    <w:next w:val="1"/>
    <w:autoRedefine/>
    <w:qFormat/>
    <w:uiPriority w:val="0"/>
    <w:pPr>
      <w:spacing w:line="360" w:lineRule="exact"/>
    </w:pPr>
    <w:rPr>
      <w:rFonts w:ascii="宋体" w:hAnsi="宋体" w:eastAsia="宋体" w:cs="Times New Roman"/>
      <w:szCs w:val="21"/>
    </w:rPr>
  </w:style>
  <w:style w:type="character" w:customStyle="1" w:styleId="34">
    <w:name w:val="标题 1 字符"/>
    <w:basedOn w:val="26"/>
    <w:link w:val="2"/>
    <w:autoRedefine/>
    <w:qFormat/>
    <w:uiPriority w:val="9"/>
    <w:rPr>
      <w:rFonts w:eastAsia="方正小标宋_GBK"/>
      <w:b/>
      <w:bCs/>
      <w:kern w:val="44"/>
      <w:sz w:val="32"/>
      <w:szCs w:val="44"/>
    </w:rPr>
  </w:style>
  <w:style w:type="character" w:customStyle="1" w:styleId="35">
    <w:name w:val="标题 3 字符"/>
    <w:basedOn w:val="26"/>
    <w:link w:val="4"/>
    <w:autoRedefine/>
    <w:qFormat/>
    <w:uiPriority w:val="9"/>
    <w:rPr>
      <w:rFonts w:eastAsia="仿宋"/>
      <w:b/>
      <w:bCs/>
      <w:sz w:val="28"/>
      <w:szCs w:val="32"/>
    </w:rPr>
  </w:style>
  <w:style w:type="character" w:customStyle="1" w:styleId="36">
    <w:name w:val="标题 4 字符"/>
    <w:basedOn w:val="26"/>
    <w:link w:val="5"/>
    <w:autoRedefine/>
    <w:semiHidden/>
    <w:qFormat/>
    <w:uiPriority w:val="9"/>
    <w:rPr>
      <w:rFonts w:asciiTheme="majorHAnsi" w:hAnsiTheme="majorHAnsi" w:eastAsiaTheme="majorEastAsia" w:cstheme="majorBidi"/>
      <w:b/>
      <w:bCs/>
      <w:sz w:val="28"/>
      <w:szCs w:val="28"/>
    </w:rPr>
  </w:style>
  <w:style w:type="character" w:customStyle="1" w:styleId="37">
    <w:name w:val="标题 5 字符"/>
    <w:basedOn w:val="26"/>
    <w:link w:val="6"/>
    <w:autoRedefine/>
    <w:semiHidden/>
    <w:qFormat/>
    <w:uiPriority w:val="9"/>
    <w:rPr>
      <w:b/>
      <w:bCs/>
      <w:sz w:val="28"/>
      <w:szCs w:val="28"/>
    </w:rPr>
  </w:style>
  <w:style w:type="character" w:customStyle="1" w:styleId="38">
    <w:name w:val="标题 6 字符"/>
    <w:basedOn w:val="26"/>
    <w:link w:val="7"/>
    <w:autoRedefine/>
    <w:semiHidden/>
    <w:qFormat/>
    <w:uiPriority w:val="9"/>
    <w:rPr>
      <w:rFonts w:asciiTheme="majorHAnsi" w:hAnsiTheme="majorHAnsi" w:eastAsiaTheme="majorEastAsia" w:cstheme="majorBidi"/>
      <w:b/>
      <w:bCs/>
      <w:sz w:val="24"/>
      <w:szCs w:val="24"/>
    </w:rPr>
  </w:style>
  <w:style w:type="character" w:customStyle="1" w:styleId="39">
    <w:name w:val="标题 7 字符"/>
    <w:basedOn w:val="26"/>
    <w:link w:val="8"/>
    <w:autoRedefine/>
    <w:semiHidden/>
    <w:qFormat/>
    <w:uiPriority w:val="9"/>
    <w:rPr>
      <w:b/>
      <w:bCs/>
      <w:sz w:val="24"/>
      <w:szCs w:val="24"/>
    </w:rPr>
  </w:style>
  <w:style w:type="character" w:customStyle="1" w:styleId="40">
    <w:name w:val="标题 8 字符"/>
    <w:basedOn w:val="26"/>
    <w:link w:val="9"/>
    <w:autoRedefine/>
    <w:semiHidden/>
    <w:qFormat/>
    <w:uiPriority w:val="9"/>
    <w:rPr>
      <w:rFonts w:asciiTheme="majorHAnsi" w:hAnsiTheme="majorHAnsi" w:eastAsiaTheme="majorEastAsia" w:cstheme="majorBidi"/>
      <w:sz w:val="24"/>
      <w:szCs w:val="24"/>
    </w:rPr>
  </w:style>
  <w:style w:type="character" w:customStyle="1" w:styleId="41">
    <w:name w:val="标题 9 字符"/>
    <w:basedOn w:val="26"/>
    <w:link w:val="10"/>
    <w:autoRedefine/>
    <w:semiHidden/>
    <w:qFormat/>
    <w:uiPriority w:val="9"/>
    <w:rPr>
      <w:rFonts w:asciiTheme="majorHAnsi" w:hAnsiTheme="majorHAnsi" w:eastAsiaTheme="majorEastAsia" w:cstheme="majorBidi"/>
      <w:szCs w:val="21"/>
    </w:rPr>
  </w:style>
  <w:style w:type="paragraph" w:customStyle="1" w:styleId="42">
    <w:name w:val="TOC 标题1"/>
    <w:basedOn w:val="2"/>
    <w:next w:val="1"/>
    <w:autoRedefine/>
    <w:semiHidden/>
    <w:unhideWhenUsed/>
    <w:qFormat/>
    <w:uiPriority w:val="39"/>
    <w:pPr>
      <w:widowControl/>
      <w:numPr>
        <w:numId w:val="0"/>
      </w:numPr>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3">
    <w:name w:val="批注框文本 字符"/>
    <w:basedOn w:val="26"/>
    <w:link w:val="15"/>
    <w:autoRedefine/>
    <w:semiHidden/>
    <w:qFormat/>
    <w:uiPriority w:val="99"/>
    <w:rPr>
      <w:sz w:val="18"/>
      <w:szCs w:val="18"/>
    </w:rPr>
  </w:style>
  <w:style w:type="character" w:customStyle="1" w:styleId="44">
    <w:name w:val="正文文本缩进 字符"/>
    <w:basedOn w:val="26"/>
    <w:link w:val="13"/>
    <w:autoRedefine/>
    <w:semiHidden/>
    <w:qFormat/>
    <w:uiPriority w:val="99"/>
  </w:style>
  <w:style w:type="character" w:customStyle="1" w:styleId="45">
    <w:name w:val="正文文本首行缩进 2 字符"/>
    <w:basedOn w:val="44"/>
    <w:link w:val="23"/>
    <w:autoRedefine/>
    <w:qFormat/>
    <w:uiPriority w:val="0"/>
    <w:rPr>
      <w:rFonts w:ascii="Times New Roman" w:hAnsi="Times New Roman" w:eastAsia="宋体" w:cs="Times New Roman"/>
      <w:sz w:val="24"/>
      <w:szCs w:val="24"/>
      <w:lang w:val="zh-CN"/>
    </w:rPr>
  </w:style>
  <w:style w:type="character" w:customStyle="1" w:styleId="46">
    <w:name w:val="列表段落 字符"/>
    <w:link w:val="31"/>
    <w:autoRedefine/>
    <w:qFormat/>
    <w:uiPriority w:val="34"/>
  </w:style>
  <w:style w:type="paragraph" w:customStyle="1" w:styleId="47">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8">
    <w:name w:val="*正文 Char"/>
    <w:link w:val="49"/>
    <w:autoRedefine/>
    <w:qFormat/>
    <w:uiPriority w:val="0"/>
    <w:rPr>
      <w:rFonts w:ascii="time" w:hAnsi="time"/>
      <w:sz w:val="24"/>
      <w:szCs w:val="24"/>
      <w:lang w:bidi="en-US"/>
    </w:rPr>
  </w:style>
  <w:style w:type="paragraph" w:customStyle="1" w:styleId="49">
    <w:name w:val="*正文"/>
    <w:basedOn w:val="1"/>
    <w:link w:val="48"/>
    <w:autoRedefine/>
    <w:qFormat/>
    <w:uiPriority w:val="0"/>
    <w:pPr>
      <w:widowControl/>
      <w:spacing w:line="360" w:lineRule="auto"/>
      <w:ind w:firstLine="200" w:firstLineChars="200"/>
      <w:contextualSpacing/>
    </w:pPr>
    <w:rPr>
      <w:rFonts w:ascii="time" w:hAnsi="time"/>
      <w:sz w:val="24"/>
      <w:szCs w:val="24"/>
      <w:lang w:bidi="en-US"/>
    </w:rPr>
  </w:style>
  <w:style w:type="character" w:customStyle="1" w:styleId="50">
    <w:name w:val="批注文字 字符"/>
    <w:basedOn w:val="26"/>
    <w:link w:val="11"/>
    <w:autoRedefine/>
    <w:qFormat/>
    <w:uiPriority w:val="99"/>
  </w:style>
  <w:style w:type="character" w:customStyle="1" w:styleId="51">
    <w:name w:val="批注主题 字符"/>
    <w:basedOn w:val="50"/>
    <w:link w:val="22"/>
    <w:autoRedefine/>
    <w:semiHidden/>
    <w:qFormat/>
    <w:uiPriority w:val="99"/>
    <w:rPr>
      <w:b/>
      <w:bCs/>
    </w:rPr>
  </w:style>
  <w:style w:type="character" w:customStyle="1" w:styleId="52">
    <w:name w:val="批注文字 字符1"/>
    <w:autoRedefine/>
    <w:qFormat/>
    <w:uiPriority w:val="99"/>
    <w:rPr>
      <w:rFonts w:eastAsia="仿宋"/>
      <w:kern w:val="2"/>
      <w:sz w:val="28"/>
      <w:szCs w:val="24"/>
    </w:rPr>
  </w:style>
  <w:style w:type="character" w:customStyle="1" w:styleId="53">
    <w:name w:val="脚注文本 字符"/>
    <w:basedOn w:val="26"/>
    <w:link w:val="19"/>
    <w:autoRedefine/>
    <w:qFormat/>
    <w:uiPriority w:val="99"/>
    <w:rPr>
      <w:rFonts w:ascii="Calibri" w:hAnsi="Calibri" w:eastAsia="宋体" w:cs="Times New Roman"/>
      <w:sz w:val="18"/>
      <w:szCs w:val="18"/>
    </w:rPr>
  </w:style>
  <w:style w:type="paragraph" w:customStyle="1" w:styleId="54">
    <w:name w:val="正文文字3"/>
    <w:basedOn w:val="12"/>
    <w:autoRedefine/>
    <w:qFormat/>
    <w:uiPriority w:val="0"/>
    <w:pPr>
      <w:adjustRightInd w:val="0"/>
      <w:spacing w:after="0" w:line="360" w:lineRule="atLeast"/>
      <w:ind w:left="72" w:leftChars="30" w:right="72" w:rightChars="30"/>
      <w:textAlignment w:val="baseline"/>
    </w:pPr>
    <w:rPr>
      <w:rFonts w:ascii="Times New Roman" w:hAnsi="Times New Roman" w:eastAsia="宋体" w:cs="Times New Roman"/>
      <w:kern w:val="0"/>
      <w:szCs w:val="20"/>
    </w:rPr>
  </w:style>
  <w:style w:type="character" w:customStyle="1" w:styleId="55">
    <w:name w:val="正文文本 字符"/>
    <w:basedOn w:val="26"/>
    <w:link w:val="12"/>
    <w:autoRedefine/>
    <w:semiHidden/>
    <w:qFormat/>
    <w:uiPriority w:val="99"/>
  </w:style>
  <w:style w:type="paragraph" w:customStyle="1" w:styleId="56">
    <w:name w:val="正文缩进1"/>
    <w:basedOn w:val="1"/>
    <w:autoRedefine/>
    <w:qFormat/>
    <w:uiPriority w:val="0"/>
    <w:pPr>
      <w:ind w:firstLine="420"/>
    </w:pPr>
    <w:rPr>
      <w:rFonts w:ascii="Times New Roman" w:hAnsi="Times New Roman"/>
      <w:szCs w:val="20"/>
    </w:rPr>
  </w:style>
  <w:style w:type="paragraph" w:customStyle="1" w:styleId="57">
    <w:name w:val="修订2"/>
    <w:autoRedefine/>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19</Pages>
  <Words>7203</Words>
  <Characters>7846</Characters>
  <Lines>72</Lines>
  <Paragraphs>20</Paragraphs>
  <TotalTime>0</TotalTime>
  <ScaleCrop>false</ScaleCrop>
  <LinksUpToDate>false</LinksUpToDate>
  <CharactersWithSpaces>7847</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2025-01-27T03:40:00Z</dcterms:created>
  <dc:creator>ntko</dc:creator>
  <cp:lastModifiedBy>user</cp:lastModifiedBy>
  <cp:lastPrinted>2024-02-21T01:50:00Z</cp:lastPrinted>
  <dcterms:modified xsi:type="dcterms:W3CDTF">2025-03-05T16:30:05Z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16F3D510C4E640EA81B8E575BB1B2B77_13</vt:lpwstr>
  </property>
  <property fmtid="{D5CDD505-2E9C-101B-9397-08002B2CF9AE}" pid="4" name="KSOTemplateDocerSaveRecord">
    <vt:lpwstr>eyJoZGlkIjoiMWQ4NTkwNmFiY2M5MGQzMzUyYmZkYTI0Zjg4Nzk3MmQiLCJ1c2VySWQiOiI5OTcxNjEzNDAifQ==</vt:lpwstr>
  </property>
</Properties>
</file>