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43AE49">
      <w:pPr>
        <w:ind w:firstLine="0" w:firstLineChars="0"/>
        <w:jc w:val="center"/>
        <w:rPr>
          <w:rFonts w:hint="eastAsia" w:ascii="黑体" w:hAnsi="黑体" w:eastAsia="黑体"/>
          <w:sz w:val="48"/>
          <w:szCs w:val="48"/>
        </w:rPr>
      </w:pPr>
      <w:bookmarkStart w:id="47" w:name="_GoBack"/>
      <w:bookmarkEnd w:id="47"/>
    </w:p>
    <w:p w14:paraId="62B488ED">
      <w:pPr>
        <w:ind w:firstLine="0" w:firstLineChars="0"/>
        <w:jc w:val="center"/>
        <w:rPr>
          <w:rFonts w:hint="eastAsia" w:ascii="黑体" w:hAnsi="黑体" w:eastAsia="黑体"/>
          <w:sz w:val="48"/>
          <w:szCs w:val="48"/>
        </w:rPr>
      </w:pPr>
    </w:p>
    <w:p w14:paraId="25B3683A">
      <w:pPr>
        <w:ind w:firstLine="0" w:firstLineChars="0"/>
        <w:jc w:val="center"/>
        <w:rPr>
          <w:rFonts w:hint="eastAsia" w:ascii="黑体" w:hAnsi="黑体" w:eastAsia="黑体"/>
          <w:sz w:val="52"/>
          <w:szCs w:val="52"/>
        </w:rPr>
      </w:pPr>
      <w:r>
        <w:rPr>
          <w:rFonts w:hint="eastAsia" w:ascii="黑体" w:hAnsi="黑体" w:eastAsia="黑体"/>
          <w:sz w:val="52"/>
          <w:szCs w:val="52"/>
        </w:rPr>
        <w:t>依法治市大系统(2025年升级改造)</w:t>
      </w:r>
    </w:p>
    <w:p w14:paraId="300FFEBD">
      <w:pPr>
        <w:ind w:firstLine="0" w:firstLineChars="0"/>
        <w:jc w:val="center"/>
        <w:rPr>
          <w:rFonts w:hint="eastAsia" w:ascii="黑体" w:hAnsi="黑体" w:eastAsia="黑体"/>
          <w:sz w:val="52"/>
          <w:szCs w:val="52"/>
        </w:rPr>
      </w:pPr>
      <w:r>
        <w:rPr>
          <w:rFonts w:hint="eastAsia" w:ascii="黑体" w:hAnsi="黑体" w:eastAsia="黑体"/>
          <w:sz w:val="52"/>
          <w:szCs w:val="52"/>
        </w:rPr>
        <w:t>2025年度采购需求</w:t>
      </w:r>
    </w:p>
    <w:p w14:paraId="40BC740C">
      <w:pPr>
        <w:ind w:firstLine="0" w:firstLineChars="0"/>
        <w:jc w:val="center"/>
        <w:rPr>
          <w:rFonts w:hint="eastAsia" w:ascii="黑体" w:hAnsi="黑体" w:eastAsia="黑体"/>
          <w:sz w:val="72"/>
          <w:szCs w:val="72"/>
        </w:rPr>
      </w:pPr>
    </w:p>
    <w:p w14:paraId="0309E80A">
      <w:pPr>
        <w:ind w:firstLine="0" w:firstLineChars="0"/>
        <w:jc w:val="center"/>
        <w:rPr>
          <w:rFonts w:hint="eastAsia" w:ascii="黑体" w:hAnsi="黑体" w:eastAsia="黑体"/>
          <w:sz w:val="48"/>
          <w:szCs w:val="48"/>
        </w:rPr>
      </w:pPr>
    </w:p>
    <w:p w14:paraId="0B838F36">
      <w:pPr>
        <w:ind w:firstLine="0" w:firstLineChars="0"/>
        <w:jc w:val="center"/>
        <w:rPr>
          <w:rFonts w:hint="eastAsia" w:ascii="黑体" w:hAnsi="黑体" w:eastAsia="黑体"/>
          <w:sz w:val="52"/>
          <w:szCs w:val="52"/>
        </w:rPr>
      </w:pPr>
    </w:p>
    <w:p w14:paraId="396A9109">
      <w:pPr>
        <w:ind w:firstLine="1040"/>
        <w:rPr>
          <w:rFonts w:hint="eastAsia" w:ascii="黑体" w:hAnsi="黑体" w:eastAsia="黑体"/>
          <w:sz w:val="52"/>
          <w:szCs w:val="52"/>
        </w:rPr>
      </w:pPr>
    </w:p>
    <w:p w14:paraId="538AF9DD">
      <w:pPr>
        <w:rPr>
          <w:rFonts w:hint="eastAsia"/>
        </w:rPr>
      </w:pPr>
    </w:p>
    <w:p w14:paraId="5A4F5673">
      <w:pPr>
        <w:rPr>
          <w:rFonts w:hint="eastAsia"/>
        </w:rPr>
      </w:pPr>
    </w:p>
    <w:p w14:paraId="779CEBDB">
      <w:pPr>
        <w:rPr>
          <w:rFonts w:hint="eastAsia"/>
        </w:rPr>
      </w:pPr>
    </w:p>
    <w:p w14:paraId="5416D726">
      <w:pPr>
        <w:rPr>
          <w:rFonts w:hint="eastAsia"/>
        </w:rPr>
      </w:pPr>
    </w:p>
    <w:p w14:paraId="58D4954A">
      <w:pPr>
        <w:rPr>
          <w:rFonts w:hint="eastAsia"/>
        </w:rPr>
      </w:pPr>
    </w:p>
    <w:p w14:paraId="5C287CFF">
      <w:pPr>
        <w:ind w:firstLine="1040"/>
        <w:rPr>
          <w:rFonts w:hint="eastAsia" w:ascii="黑体" w:hAnsi="黑体" w:eastAsia="黑体"/>
          <w:sz w:val="52"/>
          <w:szCs w:val="52"/>
        </w:rPr>
      </w:pPr>
    </w:p>
    <w:p w14:paraId="5D87C385">
      <w:pPr>
        <w:jc w:val="center"/>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10FB1944">
      <w:pPr>
        <w:pStyle w:val="2"/>
        <w:rPr>
          <w:rFonts w:hint="eastAsia"/>
        </w:rPr>
      </w:pPr>
      <w:bookmarkStart w:id="0" w:name="_Toc63785461"/>
      <w:r>
        <w:rPr>
          <w:rFonts w:hint="eastAsia"/>
        </w:rPr>
        <w:t>项目概况</w:t>
      </w:r>
      <w:bookmarkEnd w:id="0"/>
    </w:p>
    <w:p w14:paraId="74B50D1B">
      <w:pPr>
        <w:spacing w:line="560" w:lineRule="exact"/>
        <w:rPr>
          <w:rFonts w:hint="eastAsia"/>
        </w:rPr>
      </w:pPr>
      <w:r>
        <w:rPr>
          <w:rFonts w:hint="eastAsia"/>
        </w:rPr>
        <w:t>项目背景&amp;现状：为贯彻落实《关于推动上海法律科技应用和发展的工作方案》要求，赋能司法行政实际业务工作，在依法治市业务领域，打造创新的应用场景，形成以“数据要素为基础、场景应用为牵引、技术研发为关键”的创新发展和场景应用示范高地，更好助力上海国际科技创新中心建设和城市数字化转型。</w:t>
      </w:r>
    </w:p>
    <w:p w14:paraId="5DCC844D">
      <w:pPr>
        <w:spacing w:line="560" w:lineRule="exact"/>
        <w:rPr>
          <w:rFonts w:hint="eastAsia"/>
        </w:rPr>
      </w:pPr>
      <w:r>
        <w:rPr>
          <w:rFonts w:hint="eastAsia"/>
        </w:rPr>
        <w:t>本次项目致力于推动大数据、人工智能等现代科技在司法行政工作的融合创新，主要聚焦依法治市2个业务领域：行政复议行政应诉业务、法制研究课题管理，在业务办理、服务监管等方面持续提质增效，不断提高司法行政工作智能化、现代化水平。</w:t>
      </w:r>
    </w:p>
    <w:p w14:paraId="26863C86">
      <w:pPr>
        <w:spacing w:line="560" w:lineRule="exact"/>
        <w:rPr>
          <w:rFonts w:hint="eastAsia"/>
        </w:rPr>
      </w:pPr>
      <w:r>
        <w:rPr>
          <w:rFonts w:hint="eastAsia"/>
        </w:rPr>
        <w:t>升级改造全面依法治市子系统</w:t>
      </w:r>
    </w:p>
    <w:p w14:paraId="24C5529D">
      <w:pPr>
        <w:spacing w:line="560" w:lineRule="exact"/>
        <w:rPr>
          <w:rFonts w:hint="eastAsia"/>
        </w:rPr>
      </w:pPr>
      <w:r>
        <w:rPr>
          <w:rFonts w:hint="eastAsia"/>
        </w:rPr>
        <w:t>通过加强案件标签管理，优化行政应诉模块，建设数字化案件管理模块，建设全市行政复议机构及复议人员管理、考核评价模块，升级行政复议、应诉功能。聚焦智能审理与数字监管场景，开发个案评查、应诉在线审批功能，开展案件多维分析、质量评查及专题研判，优化法治工作年度课题及专项课题全过程信息化管理，提高课题调研成果转换率，同步进行密码应用改造，以实现服务全面依法治市工作目标。</w:t>
      </w:r>
    </w:p>
    <w:p w14:paraId="518A8D13">
      <w:pPr>
        <w:spacing w:line="560" w:lineRule="exact"/>
        <w:rPr>
          <w:rFonts w:hint="eastAsia"/>
          <w:highlight w:val="none"/>
        </w:rPr>
      </w:pPr>
      <w:r>
        <w:rPr>
          <w:rFonts w:hint="eastAsia"/>
          <w:highlight w:val="none"/>
        </w:rPr>
        <w:t>建设期限：合同签订之日起至2026年6月30日</w:t>
      </w:r>
    </w:p>
    <w:p w14:paraId="642CE580">
      <w:pPr>
        <w:spacing w:line="560" w:lineRule="exact"/>
        <w:rPr>
          <w:rFonts w:hint="eastAsia"/>
        </w:rPr>
      </w:pPr>
      <w:r>
        <w:rPr>
          <w:rFonts w:hint="eastAsia"/>
        </w:rPr>
        <w:t>建设地点：上海市司法局</w:t>
      </w:r>
    </w:p>
    <w:p w14:paraId="13B7C342">
      <w:pPr>
        <w:spacing w:line="560" w:lineRule="exact"/>
        <w:rPr>
          <w:rFonts w:hint="eastAsia"/>
          <w:highlight w:val="none"/>
        </w:rPr>
      </w:pPr>
      <w:r>
        <w:rPr>
          <w:rFonts w:hint="eastAsia"/>
          <w:highlight w:val="none"/>
        </w:rPr>
        <w:t>预算金额：2150000.00元</w:t>
      </w:r>
    </w:p>
    <w:p w14:paraId="575FF652">
      <w:pPr>
        <w:spacing w:line="560" w:lineRule="exact"/>
        <w:rPr>
          <w:rFonts w:hint="eastAsia"/>
        </w:rPr>
      </w:pPr>
      <w:r>
        <w:rPr>
          <w:rFonts w:hint="eastAsia"/>
        </w:rPr>
        <w:t>采购金额（最高限价）：2150000.00元</w:t>
      </w:r>
    </w:p>
    <w:p w14:paraId="55A2E3CC">
      <w:pPr>
        <w:rPr>
          <w:rFonts w:hint="eastAsia"/>
        </w:rPr>
      </w:pPr>
      <w:r>
        <w:rPr>
          <w:rFonts w:hint="eastAsia"/>
        </w:rPr>
        <w:t>组织形式：</w:t>
      </w:r>
      <w:r>
        <w:rPr>
          <w:rFonts w:hint="eastAsia"/>
          <w:lang w:eastAsia="zh-CN"/>
        </w:rPr>
        <w:t>集中采购</w:t>
      </w:r>
    </w:p>
    <w:p w14:paraId="0D8D8081">
      <w:pPr>
        <w:rPr>
          <w:rFonts w:hint="eastAsia"/>
        </w:rPr>
      </w:pPr>
      <w:r>
        <w:rPr>
          <w:rFonts w:hint="eastAsia"/>
        </w:rPr>
        <w:t>采购方式：</w:t>
      </w:r>
      <w:r>
        <w:rPr>
          <w:rFonts w:hint="eastAsia"/>
          <w:lang w:eastAsia="zh-CN"/>
        </w:rPr>
        <w:t>竞争性磋商</w:t>
      </w:r>
    </w:p>
    <w:p w14:paraId="284E5FA6">
      <w:pPr>
        <w:rPr>
          <w:rFonts w:hint="eastAsia"/>
        </w:rPr>
      </w:pPr>
      <w:r>
        <w:t>是否按信</w:t>
      </w:r>
      <w:r>
        <w:rPr>
          <w:rFonts w:hint="eastAsia"/>
          <w:lang w:val="en-US" w:eastAsia="zh-CN"/>
        </w:rPr>
        <w:t xml:space="preserve"> </w:t>
      </w:r>
      <w:r>
        <w:t>创要求建设：是</w:t>
      </w:r>
    </w:p>
    <w:p w14:paraId="043BAD53">
      <w:pPr>
        <w:rPr>
          <w:rFonts w:hint="eastAsia"/>
        </w:rPr>
      </w:pPr>
      <w:r>
        <w:rPr>
          <w:rFonts w:hint="eastAsia"/>
        </w:rPr>
        <w:t>运维后所属大系统：依法治市大系统</w:t>
      </w:r>
    </w:p>
    <w:p w14:paraId="5B1D7186">
      <w:pPr>
        <w:pStyle w:val="2"/>
        <w:rPr>
          <w:rFonts w:hint="eastAsia"/>
        </w:rPr>
      </w:pPr>
      <w:bookmarkStart w:id="1" w:name="_Toc47537134"/>
      <w:bookmarkEnd w:id="1"/>
      <w:bookmarkStart w:id="2" w:name="_Toc47533256"/>
      <w:bookmarkEnd w:id="2"/>
      <w:bookmarkStart w:id="3" w:name="_Toc47539070"/>
      <w:bookmarkEnd w:id="3"/>
      <w:bookmarkStart w:id="4" w:name="_Toc47532255"/>
      <w:bookmarkEnd w:id="4"/>
      <w:bookmarkStart w:id="5" w:name="_Toc47531634"/>
      <w:bookmarkEnd w:id="5"/>
      <w:bookmarkStart w:id="6" w:name="_Toc47536644"/>
      <w:bookmarkEnd w:id="6"/>
      <w:bookmarkStart w:id="7" w:name="_Toc47532891"/>
      <w:bookmarkEnd w:id="7"/>
      <w:bookmarkStart w:id="8" w:name="_Toc47536272"/>
      <w:bookmarkEnd w:id="8"/>
      <w:bookmarkStart w:id="9" w:name="_Toc63785463"/>
      <w:bookmarkStart w:id="10" w:name="_Toc48223882"/>
      <w:r>
        <w:rPr>
          <w:rFonts w:hint="eastAsia"/>
        </w:rPr>
        <w:t>建设目标</w:t>
      </w:r>
      <w:bookmarkEnd w:id="9"/>
      <w:bookmarkEnd w:id="10"/>
    </w:p>
    <w:p w14:paraId="5EACF311">
      <w:pPr>
        <w:pStyle w:val="3"/>
        <w:rPr>
          <w:rFonts w:hint="eastAsia"/>
          <w:sz w:val="24"/>
        </w:rPr>
      </w:pPr>
      <w:r>
        <w:rPr>
          <w:rFonts w:hint="eastAsia"/>
          <w:sz w:val="24"/>
        </w:rPr>
        <w:t>建设目标</w:t>
      </w:r>
    </w:p>
    <w:p w14:paraId="1C6DAC1F">
      <w:pPr>
        <w:rPr>
          <w:rFonts w:hint="eastAsia"/>
        </w:rPr>
      </w:pPr>
      <w:r>
        <w:t>本项目主要目标建设一个高效、智能、数据驱动的行政复议应诉管理系统，以提升行政复议工作的规范化、信息化和智能化水平，优化行政复议流程，提高审理效率和质量，加强数据汇聚分析和利用，为政府决策提供有力支撑，进而维护社会公平正义，促进法治政府建设。</w:t>
      </w:r>
      <w:r>
        <w:rPr>
          <w:rFonts w:hint="eastAsia"/>
        </w:rPr>
        <w:t>项目建设预期达到以下目标：</w:t>
      </w:r>
    </w:p>
    <w:p w14:paraId="230B8989">
      <w:pPr>
        <w:ind w:firstLine="482"/>
        <w:rPr>
          <w:rFonts w:hint="eastAsia"/>
          <w:b/>
          <w:bCs/>
        </w:rPr>
      </w:pPr>
      <w:r>
        <w:rPr>
          <w:rFonts w:hint="eastAsia"/>
          <w:b/>
          <w:bCs/>
        </w:rPr>
        <w:t>（1）</w:t>
      </w:r>
      <w:r>
        <w:rPr>
          <w:b/>
          <w:bCs/>
        </w:rPr>
        <w:t>行政复议应诉</w:t>
      </w:r>
      <w:r>
        <w:rPr>
          <w:rFonts w:hint="eastAsia"/>
          <w:b/>
          <w:bCs/>
        </w:rPr>
        <w:t>功能优化</w:t>
      </w:r>
    </w:p>
    <w:p w14:paraId="1585A095">
      <w:pPr>
        <w:rPr>
          <w:rFonts w:hint="eastAsia"/>
        </w:rPr>
      </w:pPr>
      <w:r>
        <w:t>优化案件管理、流程、数据统计与分析功能，升级移动端适配能力，强化听证系统融合及安全性，全面提升行政复议应诉管理系统的综合效能，实现案件管理更高效精准、流程运转更顺畅智能、数据支撑更全面可靠、移动端使用更便捷普适、类案适用更统一规范、听证工作更规范有序，同时保障系统数据安全与稳定运行，大幅提升行政复议应诉工作的整体质量与效率，增强用户满意度。</w:t>
      </w:r>
    </w:p>
    <w:p w14:paraId="077A9782">
      <w:pPr>
        <w:ind w:firstLine="482"/>
        <w:rPr>
          <w:rFonts w:hint="eastAsia"/>
          <w:b/>
          <w:bCs/>
        </w:rPr>
      </w:pPr>
      <w:r>
        <w:rPr>
          <w:rFonts w:hint="eastAsia"/>
          <w:b/>
          <w:bCs/>
        </w:rPr>
        <w:t>（2）行政复议案件审理智能化</w:t>
      </w:r>
    </w:p>
    <w:p w14:paraId="102D2554">
      <w:pPr>
        <w:rPr>
          <w:rFonts w:hint="eastAsia"/>
        </w:rPr>
      </w:pPr>
      <w:r>
        <w:t>整合数据资源、运用自然语言理解、知识图谱、机器学习等智能技术，实现智能</w:t>
      </w:r>
      <w:r>
        <w:rPr>
          <w:rFonts w:hint="eastAsia"/>
        </w:rPr>
        <w:t>审理</w:t>
      </w:r>
      <w:r>
        <w:t>、个案评查、应诉在线审批，以及行政复议机构及人员统一管理与考核评价，构建智能化的案件审理体系，减少人工操作误差，提升简易案件办理效率，保障案件办理全过程留痕与规范，优化当事人服务体验，同时实现行政复议机构及人员管理的标准化、便捷化与协同化，为案件审理提供全方位智能支持。</w:t>
      </w:r>
    </w:p>
    <w:p w14:paraId="34FD4B00">
      <w:pPr>
        <w:ind w:firstLine="482"/>
        <w:rPr>
          <w:rFonts w:hint="eastAsia"/>
          <w:b/>
          <w:bCs/>
        </w:rPr>
      </w:pPr>
      <w:r>
        <w:rPr>
          <w:rFonts w:hint="eastAsia"/>
          <w:b/>
          <w:bCs/>
        </w:rPr>
        <w:t>（3）</w:t>
      </w:r>
      <w:r>
        <w:rPr>
          <w:b/>
          <w:bCs/>
        </w:rPr>
        <w:t>行政复议数据汇聚分析</w:t>
      </w:r>
    </w:p>
    <w:p w14:paraId="53A796DB">
      <w:pPr>
        <w:ind w:left="0" w:leftChars="0" w:firstLine="480" w:firstLineChars="200"/>
        <w:rPr>
          <w:rFonts w:hint="eastAsia"/>
        </w:rPr>
      </w:pPr>
      <w:r>
        <w:t>制定统一的数据汇聚标准，加强各级行政复议机关数据的整合，构建完善的行政复议数据库，为数据分析奠定坚实基础；进而建立科学的数据分析体系，针对行政复议工作热点、难点问题开展专题分析，深入挖掘数据价值，精准剖析问题根源并提出有效改进建议，最终将数据分析结果充分运用到行政复议工作决策中，为决策提供科学、可靠的参考依据，推动行政复议工作持续改进与提升，提升行政复议工作的科学性与针对性。</w:t>
      </w:r>
    </w:p>
    <w:p w14:paraId="18D68730">
      <w:pPr>
        <w:numPr>
          <w:ilvl w:val="0"/>
          <w:numId w:val="3"/>
        </w:numPr>
        <w:ind w:firstLine="482"/>
        <w:rPr>
          <w:rFonts w:hint="eastAsia"/>
          <w:b/>
          <w:bCs/>
        </w:rPr>
      </w:pPr>
      <w:r>
        <w:rPr>
          <w:rFonts w:hint="eastAsia"/>
          <w:b/>
          <w:bCs/>
        </w:rPr>
        <w:t>课题管理与成果智能化</w:t>
      </w:r>
    </w:p>
    <w:p w14:paraId="13ED430A">
      <w:pPr>
        <w:rPr>
          <w:rFonts w:hint="eastAsia"/>
        </w:rPr>
      </w:pPr>
      <w:r>
        <w:t>完善课题管理及相关配置，实现个人与部门填报差异化、联合课题多角色管理，规范退回流程，精准控制申报通道，统一材料导出与标签管理，自动化评审等级与结项证明配置；优化课题成果分享，支持全流程维护与日志追溯，实现成果筛选、批量下载及运用情况分析；搭建智能辅助体系，自动生成课题表、预警异常申报，健全专家库与评审推荐机制，配置机关信息与短信规则，最终达成课题管理高效化、成果共享便捷化、辅助决策智能化，提升课题管理全流程效率与成果转化应用水平。</w:t>
      </w:r>
    </w:p>
    <w:p w14:paraId="60CBA597">
      <w:pPr>
        <w:pStyle w:val="3"/>
        <w:rPr>
          <w:rFonts w:hint="eastAsia"/>
          <w:sz w:val="24"/>
        </w:rPr>
      </w:pPr>
      <w:bookmarkStart w:id="11" w:name="_Toc165358792"/>
      <w:bookmarkStart w:id="12" w:name="_Toc1106985179"/>
      <w:r>
        <w:rPr>
          <w:rFonts w:hint="eastAsia"/>
          <w:sz w:val="24"/>
        </w:rPr>
        <w:t>业务绩效考核</w:t>
      </w:r>
      <w:bookmarkEnd w:id="11"/>
      <w:bookmarkEnd w:id="12"/>
      <w:r>
        <w:rPr>
          <w:rFonts w:hint="eastAsia"/>
          <w:sz w:val="24"/>
        </w:rPr>
        <w:t>要求</w:t>
      </w:r>
    </w:p>
    <w:tbl>
      <w:tblPr>
        <w:tblStyle w:val="3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74"/>
        <w:gridCol w:w="1124"/>
        <w:gridCol w:w="1481"/>
        <w:gridCol w:w="1411"/>
        <w:gridCol w:w="2255"/>
        <w:gridCol w:w="1283"/>
      </w:tblGrid>
      <w:tr w14:paraId="12CD1A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2098" w:type="dxa"/>
            <w:gridSpan w:val="2"/>
            <w:vAlign w:val="center"/>
          </w:tcPr>
          <w:p w14:paraId="1AA8A8E6">
            <w:pPr>
              <w:pStyle w:val="136"/>
              <w:spacing w:line="288" w:lineRule="auto"/>
              <w:jc w:val="both"/>
              <w:rPr>
                <w:rFonts w:hint="eastAsia" w:ascii="宋体" w:hAnsi="宋体" w:eastAsia="宋体" w:cs="宋体"/>
                <w:b/>
                <w:bCs/>
                <w:sz w:val="24"/>
                <w:szCs w:val="24"/>
              </w:rPr>
            </w:pPr>
            <w:r>
              <w:rPr>
                <w:rFonts w:hint="eastAsia" w:ascii="宋体" w:hAnsi="宋体" w:eastAsia="宋体" w:cs="宋体"/>
                <w:b/>
                <w:bCs/>
                <w:sz w:val="24"/>
                <w:szCs w:val="24"/>
              </w:rPr>
              <w:t>业务目标</w:t>
            </w:r>
          </w:p>
        </w:tc>
        <w:tc>
          <w:tcPr>
            <w:tcW w:w="6430" w:type="dxa"/>
            <w:gridSpan w:val="4"/>
          </w:tcPr>
          <w:p w14:paraId="60F54DC2">
            <w:pPr>
              <w:pStyle w:val="136"/>
              <w:widowControl w:val="0"/>
              <w:spacing w:line="288" w:lineRule="auto"/>
              <w:rPr>
                <w:rFonts w:hint="eastAsia" w:ascii="宋体" w:hAnsi="宋体" w:eastAsia="宋体" w:cs="宋体"/>
                <w:b/>
                <w:bCs/>
                <w:sz w:val="24"/>
                <w:szCs w:val="24"/>
              </w:rPr>
            </w:pPr>
            <w:r>
              <w:rPr>
                <w:rFonts w:hint="eastAsia" w:ascii="宋体" w:hAnsi="宋体" w:eastAsia="宋体" w:cs="宋体"/>
                <w:b/>
                <w:bCs/>
                <w:sz w:val="24"/>
                <w:szCs w:val="24"/>
              </w:rPr>
              <w:t>在依法治市业务领域，打造法律科技创新应用场景</w:t>
            </w:r>
          </w:p>
        </w:tc>
      </w:tr>
      <w:tr w14:paraId="1C8C46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974" w:type="dxa"/>
            <w:vAlign w:val="center"/>
          </w:tcPr>
          <w:p w14:paraId="7B92FFC6">
            <w:pPr>
              <w:pStyle w:val="136"/>
              <w:widowControl w:val="0"/>
              <w:spacing w:line="288" w:lineRule="auto"/>
              <w:jc w:val="both"/>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124" w:type="dxa"/>
            <w:vAlign w:val="center"/>
          </w:tcPr>
          <w:p w14:paraId="690CEB17">
            <w:pPr>
              <w:pStyle w:val="136"/>
              <w:widowControl w:val="0"/>
              <w:spacing w:line="288" w:lineRule="auto"/>
              <w:jc w:val="both"/>
              <w:rPr>
                <w:rFonts w:hint="eastAsia" w:ascii="宋体" w:hAnsi="宋体" w:eastAsia="宋体" w:cs="宋体"/>
                <w:b/>
                <w:bCs/>
                <w:sz w:val="24"/>
                <w:szCs w:val="24"/>
              </w:rPr>
            </w:pPr>
            <w:r>
              <w:rPr>
                <w:rFonts w:hint="eastAsia" w:ascii="宋体" w:hAnsi="宋体" w:eastAsia="宋体" w:cs="宋体"/>
                <w:b/>
                <w:bCs/>
                <w:sz w:val="24"/>
                <w:szCs w:val="24"/>
              </w:rPr>
              <w:t>一级指标</w:t>
            </w:r>
          </w:p>
        </w:tc>
        <w:tc>
          <w:tcPr>
            <w:tcW w:w="1481" w:type="dxa"/>
            <w:vAlign w:val="center"/>
          </w:tcPr>
          <w:p w14:paraId="6F0EEF08">
            <w:pPr>
              <w:pStyle w:val="136"/>
              <w:widowControl w:val="0"/>
              <w:spacing w:line="288" w:lineRule="auto"/>
              <w:jc w:val="both"/>
              <w:rPr>
                <w:rFonts w:hint="eastAsia" w:ascii="宋体" w:hAnsi="宋体" w:eastAsia="宋体" w:cs="宋体"/>
                <w:b/>
                <w:bCs/>
                <w:sz w:val="24"/>
                <w:szCs w:val="24"/>
              </w:rPr>
            </w:pPr>
            <w:r>
              <w:rPr>
                <w:rFonts w:hint="eastAsia" w:ascii="宋体" w:hAnsi="宋体" w:eastAsia="宋体" w:cs="宋体"/>
                <w:b/>
                <w:bCs/>
                <w:sz w:val="24"/>
                <w:szCs w:val="24"/>
              </w:rPr>
              <w:t>二级指标</w:t>
            </w:r>
          </w:p>
        </w:tc>
        <w:tc>
          <w:tcPr>
            <w:tcW w:w="1411" w:type="dxa"/>
            <w:vAlign w:val="center"/>
          </w:tcPr>
          <w:p w14:paraId="258D3ECD">
            <w:pPr>
              <w:pStyle w:val="136"/>
              <w:widowControl w:val="0"/>
              <w:spacing w:line="288" w:lineRule="auto"/>
              <w:jc w:val="both"/>
              <w:rPr>
                <w:rFonts w:hint="eastAsia" w:ascii="宋体" w:hAnsi="宋体" w:eastAsia="宋体" w:cs="宋体"/>
                <w:b/>
                <w:bCs/>
                <w:sz w:val="24"/>
                <w:szCs w:val="24"/>
              </w:rPr>
            </w:pPr>
            <w:r>
              <w:rPr>
                <w:rFonts w:hint="eastAsia" w:ascii="宋体" w:hAnsi="宋体" w:eastAsia="宋体" w:cs="宋体"/>
                <w:b/>
                <w:bCs/>
                <w:sz w:val="24"/>
                <w:szCs w:val="24"/>
              </w:rPr>
              <w:t>三级指标</w:t>
            </w:r>
          </w:p>
        </w:tc>
        <w:tc>
          <w:tcPr>
            <w:tcW w:w="2255" w:type="dxa"/>
            <w:vAlign w:val="center"/>
          </w:tcPr>
          <w:p w14:paraId="30EA2C40">
            <w:pPr>
              <w:pStyle w:val="136"/>
              <w:widowControl w:val="0"/>
              <w:spacing w:line="288" w:lineRule="auto"/>
              <w:jc w:val="both"/>
              <w:rPr>
                <w:rFonts w:hint="eastAsia" w:ascii="宋体" w:hAnsi="宋体" w:eastAsia="宋体" w:cs="宋体"/>
                <w:b/>
                <w:bCs/>
                <w:sz w:val="24"/>
                <w:szCs w:val="24"/>
              </w:rPr>
            </w:pPr>
            <w:r>
              <w:rPr>
                <w:rFonts w:hint="eastAsia" w:ascii="宋体" w:hAnsi="宋体" w:eastAsia="宋体" w:cs="宋体"/>
                <w:b/>
                <w:bCs/>
                <w:sz w:val="24"/>
                <w:szCs w:val="24"/>
              </w:rPr>
              <w:t>四级指标</w:t>
            </w:r>
          </w:p>
        </w:tc>
        <w:tc>
          <w:tcPr>
            <w:tcW w:w="1283" w:type="dxa"/>
            <w:vAlign w:val="center"/>
          </w:tcPr>
          <w:p w14:paraId="0B4D3C6F">
            <w:pPr>
              <w:pStyle w:val="136"/>
              <w:widowControl w:val="0"/>
              <w:spacing w:line="288" w:lineRule="auto"/>
              <w:jc w:val="both"/>
              <w:rPr>
                <w:rFonts w:hint="eastAsia" w:ascii="宋体" w:hAnsi="宋体" w:eastAsia="宋体" w:cs="宋体"/>
                <w:b/>
                <w:bCs/>
                <w:sz w:val="24"/>
                <w:szCs w:val="24"/>
              </w:rPr>
            </w:pPr>
            <w:r>
              <w:rPr>
                <w:rFonts w:hint="eastAsia" w:ascii="宋体" w:hAnsi="宋体" w:eastAsia="宋体" w:cs="宋体"/>
                <w:b/>
                <w:bCs/>
                <w:sz w:val="24"/>
                <w:szCs w:val="24"/>
              </w:rPr>
              <w:t>指标值</w:t>
            </w:r>
          </w:p>
        </w:tc>
      </w:tr>
      <w:tr w14:paraId="081EE3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9" w:hRule="atLeast"/>
          <w:jc w:val="center"/>
        </w:trPr>
        <w:tc>
          <w:tcPr>
            <w:tcW w:w="974" w:type="dxa"/>
            <w:vAlign w:val="center"/>
          </w:tcPr>
          <w:p w14:paraId="4ED5D2D6">
            <w:pPr>
              <w:pStyle w:val="136"/>
              <w:widowControl w:val="0"/>
              <w:numPr>
                <w:ilvl w:val="0"/>
                <w:numId w:val="4"/>
              </w:numPr>
              <w:spacing w:line="288" w:lineRule="auto"/>
              <w:jc w:val="center"/>
              <w:rPr>
                <w:rFonts w:hint="eastAsia" w:ascii="宋体" w:hAnsi="宋体" w:eastAsia="宋体" w:cs="宋体"/>
                <w:sz w:val="24"/>
                <w:szCs w:val="24"/>
              </w:rPr>
            </w:pPr>
          </w:p>
        </w:tc>
        <w:tc>
          <w:tcPr>
            <w:tcW w:w="1124" w:type="dxa"/>
            <w:vMerge w:val="restart"/>
            <w:vAlign w:val="center"/>
          </w:tcPr>
          <w:p w14:paraId="2216FB44">
            <w:pPr>
              <w:pStyle w:val="136"/>
              <w:spacing w:line="288" w:lineRule="auto"/>
              <w:jc w:val="center"/>
              <w:rPr>
                <w:rFonts w:hint="eastAsia" w:ascii="宋体" w:hAnsi="宋体" w:eastAsia="宋体" w:cs="宋体"/>
                <w:sz w:val="24"/>
                <w:szCs w:val="24"/>
              </w:rPr>
            </w:pPr>
            <w:r>
              <w:rPr>
                <w:rFonts w:hint="eastAsia" w:ascii="宋体" w:hAnsi="宋体" w:eastAsia="宋体" w:cs="宋体"/>
                <w:sz w:val="24"/>
                <w:szCs w:val="24"/>
              </w:rPr>
              <w:t>通用指标</w:t>
            </w:r>
          </w:p>
        </w:tc>
        <w:tc>
          <w:tcPr>
            <w:tcW w:w="1481" w:type="dxa"/>
            <w:vMerge w:val="restart"/>
            <w:vAlign w:val="center"/>
          </w:tcPr>
          <w:p w14:paraId="046CF204">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sz w:val="24"/>
                <w:szCs w:val="24"/>
              </w:rPr>
              <w:t>产出指标</w:t>
            </w:r>
          </w:p>
        </w:tc>
        <w:tc>
          <w:tcPr>
            <w:tcW w:w="1411" w:type="dxa"/>
            <w:vMerge w:val="restart"/>
            <w:vAlign w:val="center"/>
          </w:tcPr>
          <w:p w14:paraId="26FA60E7">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产出质量</w:t>
            </w:r>
          </w:p>
        </w:tc>
        <w:tc>
          <w:tcPr>
            <w:tcW w:w="2255" w:type="dxa"/>
            <w:vAlign w:val="center"/>
          </w:tcPr>
          <w:p w14:paraId="150CA964">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数据安全事件发生次数</w:t>
            </w:r>
          </w:p>
        </w:tc>
        <w:tc>
          <w:tcPr>
            <w:tcW w:w="1283" w:type="dxa"/>
            <w:vAlign w:val="center"/>
          </w:tcPr>
          <w:p w14:paraId="32E1F815">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0</w:t>
            </w:r>
          </w:p>
        </w:tc>
      </w:tr>
      <w:tr w14:paraId="49AC39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9" w:hRule="atLeast"/>
          <w:jc w:val="center"/>
        </w:trPr>
        <w:tc>
          <w:tcPr>
            <w:tcW w:w="974" w:type="dxa"/>
            <w:vAlign w:val="center"/>
          </w:tcPr>
          <w:p w14:paraId="4C03524A">
            <w:pPr>
              <w:pStyle w:val="136"/>
              <w:widowControl w:val="0"/>
              <w:numPr>
                <w:ilvl w:val="0"/>
                <w:numId w:val="4"/>
              </w:numPr>
              <w:spacing w:line="288" w:lineRule="auto"/>
              <w:jc w:val="center"/>
              <w:rPr>
                <w:rFonts w:hint="eastAsia" w:ascii="宋体" w:hAnsi="宋体" w:eastAsia="宋体" w:cs="宋体"/>
                <w:sz w:val="24"/>
                <w:szCs w:val="24"/>
              </w:rPr>
            </w:pPr>
          </w:p>
        </w:tc>
        <w:tc>
          <w:tcPr>
            <w:tcW w:w="1124" w:type="dxa"/>
            <w:vMerge w:val="continue"/>
            <w:vAlign w:val="center"/>
          </w:tcPr>
          <w:p w14:paraId="7CAAEE0B">
            <w:pPr>
              <w:pStyle w:val="136"/>
              <w:spacing w:line="288" w:lineRule="auto"/>
              <w:jc w:val="center"/>
              <w:rPr>
                <w:rFonts w:hint="eastAsia" w:ascii="宋体" w:hAnsi="宋体" w:eastAsia="宋体" w:cs="宋体"/>
                <w:sz w:val="24"/>
                <w:szCs w:val="24"/>
              </w:rPr>
            </w:pPr>
          </w:p>
        </w:tc>
        <w:tc>
          <w:tcPr>
            <w:tcW w:w="1481" w:type="dxa"/>
            <w:vMerge w:val="continue"/>
            <w:vAlign w:val="center"/>
          </w:tcPr>
          <w:p w14:paraId="671500E6">
            <w:pPr>
              <w:pStyle w:val="136"/>
              <w:widowControl w:val="0"/>
              <w:spacing w:line="288" w:lineRule="auto"/>
              <w:jc w:val="center"/>
              <w:rPr>
                <w:rFonts w:hint="eastAsia" w:ascii="宋体" w:hAnsi="宋体" w:eastAsia="宋体" w:cs="宋体"/>
                <w:color w:val="000000"/>
                <w:sz w:val="24"/>
                <w:szCs w:val="24"/>
              </w:rPr>
            </w:pPr>
          </w:p>
        </w:tc>
        <w:tc>
          <w:tcPr>
            <w:tcW w:w="1411" w:type="dxa"/>
            <w:vMerge w:val="continue"/>
            <w:vAlign w:val="center"/>
          </w:tcPr>
          <w:p w14:paraId="6927FE4F">
            <w:pPr>
              <w:pStyle w:val="136"/>
              <w:widowControl w:val="0"/>
              <w:spacing w:line="288" w:lineRule="auto"/>
              <w:jc w:val="center"/>
              <w:rPr>
                <w:rFonts w:hint="eastAsia" w:ascii="宋体" w:hAnsi="宋体" w:eastAsia="宋体" w:cs="宋体"/>
                <w:color w:val="000000"/>
                <w:sz w:val="24"/>
                <w:szCs w:val="24"/>
              </w:rPr>
            </w:pPr>
          </w:p>
        </w:tc>
        <w:tc>
          <w:tcPr>
            <w:tcW w:w="2255" w:type="dxa"/>
            <w:vAlign w:val="center"/>
          </w:tcPr>
          <w:p w14:paraId="3EE8E5C5">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一次性验收合格率</w:t>
            </w:r>
          </w:p>
        </w:tc>
        <w:tc>
          <w:tcPr>
            <w:tcW w:w="1283" w:type="dxa"/>
            <w:vAlign w:val="center"/>
          </w:tcPr>
          <w:p w14:paraId="6102839D">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100%</w:t>
            </w:r>
          </w:p>
        </w:tc>
      </w:tr>
      <w:tr w14:paraId="5993E1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9" w:hRule="atLeast"/>
          <w:jc w:val="center"/>
        </w:trPr>
        <w:tc>
          <w:tcPr>
            <w:tcW w:w="974" w:type="dxa"/>
            <w:vAlign w:val="center"/>
          </w:tcPr>
          <w:p w14:paraId="67AAD45B">
            <w:pPr>
              <w:pStyle w:val="136"/>
              <w:widowControl w:val="0"/>
              <w:numPr>
                <w:ilvl w:val="0"/>
                <w:numId w:val="4"/>
              </w:numPr>
              <w:spacing w:line="288" w:lineRule="auto"/>
              <w:jc w:val="center"/>
              <w:rPr>
                <w:rFonts w:hint="eastAsia" w:ascii="宋体" w:hAnsi="宋体" w:eastAsia="宋体" w:cs="宋体"/>
                <w:sz w:val="24"/>
                <w:szCs w:val="24"/>
              </w:rPr>
            </w:pPr>
          </w:p>
        </w:tc>
        <w:tc>
          <w:tcPr>
            <w:tcW w:w="1124" w:type="dxa"/>
            <w:vMerge w:val="continue"/>
            <w:vAlign w:val="center"/>
          </w:tcPr>
          <w:p w14:paraId="6058A486">
            <w:pPr>
              <w:pStyle w:val="136"/>
              <w:spacing w:line="288" w:lineRule="auto"/>
              <w:jc w:val="center"/>
              <w:rPr>
                <w:rFonts w:hint="eastAsia" w:ascii="宋体" w:hAnsi="宋体" w:eastAsia="宋体" w:cs="宋体"/>
                <w:sz w:val="24"/>
                <w:szCs w:val="24"/>
              </w:rPr>
            </w:pPr>
          </w:p>
        </w:tc>
        <w:tc>
          <w:tcPr>
            <w:tcW w:w="1481" w:type="dxa"/>
            <w:vMerge w:val="continue"/>
            <w:vAlign w:val="center"/>
          </w:tcPr>
          <w:p w14:paraId="4001FDBE">
            <w:pPr>
              <w:pStyle w:val="136"/>
              <w:widowControl w:val="0"/>
              <w:spacing w:line="288" w:lineRule="auto"/>
              <w:jc w:val="center"/>
              <w:rPr>
                <w:rFonts w:hint="eastAsia" w:ascii="宋体" w:hAnsi="宋体" w:eastAsia="宋体" w:cs="宋体"/>
                <w:color w:val="000000"/>
                <w:sz w:val="24"/>
                <w:szCs w:val="24"/>
              </w:rPr>
            </w:pPr>
          </w:p>
        </w:tc>
        <w:tc>
          <w:tcPr>
            <w:tcW w:w="1411" w:type="dxa"/>
            <w:vAlign w:val="center"/>
          </w:tcPr>
          <w:p w14:paraId="20AA5BA0">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产出时效</w:t>
            </w:r>
          </w:p>
        </w:tc>
        <w:tc>
          <w:tcPr>
            <w:tcW w:w="2255" w:type="dxa"/>
            <w:vAlign w:val="center"/>
          </w:tcPr>
          <w:p w14:paraId="3B71CE49">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项目建设周期</w:t>
            </w:r>
          </w:p>
        </w:tc>
        <w:tc>
          <w:tcPr>
            <w:tcW w:w="1283" w:type="dxa"/>
            <w:vAlign w:val="center"/>
          </w:tcPr>
          <w:p w14:paraId="0699E67C">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2026年6月30日前完成</w:t>
            </w:r>
          </w:p>
        </w:tc>
      </w:tr>
      <w:tr w14:paraId="509185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9" w:hRule="atLeast"/>
          <w:jc w:val="center"/>
        </w:trPr>
        <w:tc>
          <w:tcPr>
            <w:tcW w:w="974" w:type="dxa"/>
            <w:vAlign w:val="center"/>
          </w:tcPr>
          <w:p w14:paraId="12445D28">
            <w:pPr>
              <w:pStyle w:val="136"/>
              <w:widowControl w:val="0"/>
              <w:numPr>
                <w:ilvl w:val="0"/>
                <w:numId w:val="4"/>
              </w:numPr>
              <w:spacing w:line="288" w:lineRule="auto"/>
              <w:jc w:val="center"/>
              <w:rPr>
                <w:rFonts w:hint="eastAsia" w:ascii="宋体" w:hAnsi="宋体" w:eastAsia="宋体" w:cs="宋体"/>
                <w:sz w:val="24"/>
                <w:szCs w:val="24"/>
              </w:rPr>
            </w:pPr>
          </w:p>
        </w:tc>
        <w:tc>
          <w:tcPr>
            <w:tcW w:w="1124" w:type="dxa"/>
            <w:vMerge w:val="continue"/>
            <w:vAlign w:val="center"/>
          </w:tcPr>
          <w:p w14:paraId="6322F36B">
            <w:pPr>
              <w:pStyle w:val="136"/>
              <w:spacing w:line="288" w:lineRule="auto"/>
              <w:jc w:val="center"/>
              <w:rPr>
                <w:rFonts w:hint="eastAsia" w:ascii="宋体" w:hAnsi="宋体" w:eastAsia="宋体" w:cs="宋体"/>
                <w:sz w:val="24"/>
                <w:szCs w:val="24"/>
              </w:rPr>
            </w:pPr>
          </w:p>
        </w:tc>
        <w:tc>
          <w:tcPr>
            <w:tcW w:w="1481" w:type="dxa"/>
            <w:vMerge w:val="restart"/>
            <w:vAlign w:val="center"/>
          </w:tcPr>
          <w:p w14:paraId="17120111">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共性平台</w:t>
            </w:r>
          </w:p>
          <w:p w14:paraId="3ED2C270">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应用系统</w:t>
            </w:r>
          </w:p>
        </w:tc>
        <w:tc>
          <w:tcPr>
            <w:tcW w:w="1411" w:type="dxa"/>
            <w:vAlign w:val="center"/>
          </w:tcPr>
          <w:p w14:paraId="6333BD04">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平台整合能力</w:t>
            </w:r>
          </w:p>
        </w:tc>
        <w:tc>
          <w:tcPr>
            <w:tcW w:w="2255" w:type="dxa"/>
            <w:vAlign w:val="center"/>
          </w:tcPr>
          <w:p w14:paraId="24D43527">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部门使用率</w:t>
            </w:r>
          </w:p>
        </w:tc>
        <w:tc>
          <w:tcPr>
            <w:tcW w:w="1283" w:type="dxa"/>
            <w:vAlign w:val="center"/>
          </w:tcPr>
          <w:p w14:paraId="41CFF897">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100%</w:t>
            </w:r>
          </w:p>
        </w:tc>
      </w:tr>
      <w:tr w14:paraId="078206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9" w:hRule="atLeast"/>
          <w:jc w:val="center"/>
        </w:trPr>
        <w:tc>
          <w:tcPr>
            <w:tcW w:w="974" w:type="dxa"/>
            <w:vAlign w:val="center"/>
          </w:tcPr>
          <w:p w14:paraId="15AB38AF">
            <w:pPr>
              <w:pStyle w:val="136"/>
              <w:widowControl w:val="0"/>
              <w:numPr>
                <w:ilvl w:val="0"/>
                <w:numId w:val="4"/>
              </w:numPr>
              <w:spacing w:line="288" w:lineRule="auto"/>
              <w:jc w:val="center"/>
              <w:rPr>
                <w:rFonts w:hint="eastAsia" w:ascii="宋体" w:hAnsi="宋体" w:eastAsia="宋体" w:cs="宋体"/>
                <w:sz w:val="24"/>
                <w:szCs w:val="24"/>
              </w:rPr>
            </w:pPr>
          </w:p>
        </w:tc>
        <w:tc>
          <w:tcPr>
            <w:tcW w:w="1124" w:type="dxa"/>
            <w:vMerge w:val="continue"/>
            <w:vAlign w:val="center"/>
          </w:tcPr>
          <w:p w14:paraId="5299D390">
            <w:pPr>
              <w:pStyle w:val="136"/>
              <w:spacing w:line="288" w:lineRule="auto"/>
              <w:jc w:val="center"/>
              <w:rPr>
                <w:rFonts w:hint="eastAsia" w:ascii="宋体" w:hAnsi="宋体" w:eastAsia="宋体" w:cs="宋体"/>
                <w:sz w:val="24"/>
                <w:szCs w:val="24"/>
              </w:rPr>
            </w:pPr>
          </w:p>
        </w:tc>
        <w:tc>
          <w:tcPr>
            <w:tcW w:w="1481" w:type="dxa"/>
            <w:vMerge w:val="continue"/>
            <w:vAlign w:val="center"/>
          </w:tcPr>
          <w:p w14:paraId="2196CA4A">
            <w:pPr>
              <w:pStyle w:val="136"/>
              <w:widowControl w:val="0"/>
              <w:spacing w:line="288" w:lineRule="auto"/>
              <w:jc w:val="center"/>
              <w:rPr>
                <w:rFonts w:hint="eastAsia" w:ascii="宋体" w:hAnsi="宋体" w:eastAsia="宋体" w:cs="宋体"/>
                <w:color w:val="000000"/>
                <w:sz w:val="24"/>
                <w:szCs w:val="24"/>
              </w:rPr>
            </w:pPr>
          </w:p>
        </w:tc>
        <w:tc>
          <w:tcPr>
            <w:tcW w:w="1411" w:type="dxa"/>
            <w:vMerge w:val="restart"/>
            <w:vAlign w:val="center"/>
          </w:tcPr>
          <w:p w14:paraId="7FAD4C2B">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基础数据共性系统水平</w:t>
            </w:r>
          </w:p>
        </w:tc>
        <w:tc>
          <w:tcPr>
            <w:tcW w:w="2255" w:type="dxa"/>
            <w:vAlign w:val="center"/>
          </w:tcPr>
          <w:p w14:paraId="19711789">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基础数据采集覆盖率</w:t>
            </w:r>
          </w:p>
        </w:tc>
        <w:tc>
          <w:tcPr>
            <w:tcW w:w="1283" w:type="dxa"/>
            <w:vAlign w:val="center"/>
          </w:tcPr>
          <w:p w14:paraId="11361215">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100%</w:t>
            </w:r>
          </w:p>
        </w:tc>
      </w:tr>
      <w:tr w14:paraId="1544DF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9" w:hRule="atLeast"/>
          <w:jc w:val="center"/>
        </w:trPr>
        <w:tc>
          <w:tcPr>
            <w:tcW w:w="974" w:type="dxa"/>
            <w:vAlign w:val="center"/>
          </w:tcPr>
          <w:p w14:paraId="4B18D3C1">
            <w:pPr>
              <w:pStyle w:val="136"/>
              <w:widowControl w:val="0"/>
              <w:numPr>
                <w:ilvl w:val="0"/>
                <w:numId w:val="4"/>
              </w:numPr>
              <w:spacing w:line="288" w:lineRule="auto"/>
              <w:jc w:val="center"/>
              <w:rPr>
                <w:rFonts w:hint="eastAsia" w:ascii="宋体" w:hAnsi="宋体" w:eastAsia="宋体" w:cs="宋体"/>
                <w:sz w:val="24"/>
                <w:szCs w:val="24"/>
              </w:rPr>
            </w:pPr>
          </w:p>
        </w:tc>
        <w:tc>
          <w:tcPr>
            <w:tcW w:w="1124" w:type="dxa"/>
            <w:vMerge w:val="continue"/>
            <w:vAlign w:val="center"/>
          </w:tcPr>
          <w:p w14:paraId="50AB549C">
            <w:pPr>
              <w:pStyle w:val="136"/>
              <w:spacing w:line="288" w:lineRule="auto"/>
              <w:jc w:val="center"/>
              <w:rPr>
                <w:rFonts w:hint="eastAsia" w:ascii="宋体" w:hAnsi="宋体" w:eastAsia="宋体" w:cs="宋体"/>
                <w:sz w:val="24"/>
                <w:szCs w:val="24"/>
              </w:rPr>
            </w:pPr>
          </w:p>
        </w:tc>
        <w:tc>
          <w:tcPr>
            <w:tcW w:w="1481" w:type="dxa"/>
            <w:vMerge w:val="continue"/>
            <w:vAlign w:val="center"/>
          </w:tcPr>
          <w:p w14:paraId="01AA277C">
            <w:pPr>
              <w:pStyle w:val="136"/>
              <w:widowControl w:val="0"/>
              <w:spacing w:line="288" w:lineRule="auto"/>
              <w:jc w:val="center"/>
              <w:rPr>
                <w:rFonts w:hint="eastAsia" w:ascii="宋体" w:hAnsi="宋体" w:eastAsia="宋体" w:cs="宋体"/>
                <w:color w:val="000000"/>
                <w:sz w:val="24"/>
                <w:szCs w:val="24"/>
              </w:rPr>
            </w:pPr>
          </w:p>
        </w:tc>
        <w:tc>
          <w:tcPr>
            <w:tcW w:w="1411" w:type="dxa"/>
            <w:vMerge w:val="continue"/>
            <w:vAlign w:val="center"/>
          </w:tcPr>
          <w:p w14:paraId="092D59DE">
            <w:pPr>
              <w:pStyle w:val="136"/>
              <w:widowControl w:val="0"/>
              <w:spacing w:line="288" w:lineRule="auto"/>
              <w:jc w:val="center"/>
              <w:rPr>
                <w:rFonts w:hint="eastAsia" w:ascii="宋体" w:hAnsi="宋体" w:eastAsia="宋体" w:cs="宋体"/>
                <w:color w:val="000000"/>
                <w:sz w:val="24"/>
                <w:szCs w:val="24"/>
              </w:rPr>
            </w:pPr>
          </w:p>
        </w:tc>
        <w:tc>
          <w:tcPr>
            <w:tcW w:w="2255" w:type="dxa"/>
            <w:vAlign w:val="center"/>
          </w:tcPr>
          <w:p w14:paraId="17FB8C12">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基础数据服务投诉率</w:t>
            </w:r>
          </w:p>
        </w:tc>
        <w:tc>
          <w:tcPr>
            <w:tcW w:w="1283" w:type="dxa"/>
            <w:vAlign w:val="center"/>
          </w:tcPr>
          <w:p w14:paraId="1FAED0B5">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0%</w:t>
            </w:r>
          </w:p>
        </w:tc>
      </w:tr>
      <w:tr w14:paraId="6D2A77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974" w:type="dxa"/>
            <w:vAlign w:val="center"/>
          </w:tcPr>
          <w:p w14:paraId="3A151A4F">
            <w:pPr>
              <w:pStyle w:val="136"/>
              <w:widowControl w:val="0"/>
              <w:numPr>
                <w:ilvl w:val="0"/>
                <w:numId w:val="4"/>
              </w:numPr>
              <w:spacing w:line="288" w:lineRule="auto"/>
              <w:jc w:val="center"/>
              <w:rPr>
                <w:rFonts w:hint="eastAsia" w:ascii="宋体" w:hAnsi="宋体" w:eastAsia="宋体" w:cs="宋体"/>
                <w:sz w:val="24"/>
                <w:szCs w:val="24"/>
              </w:rPr>
            </w:pPr>
          </w:p>
        </w:tc>
        <w:tc>
          <w:tcPr>
            <w:tcW w:w="1124" w:type="dxa"/>
            <w:vMerge w:val="continue"/>
            <w:vAlign w:val="center"/>
          </w:tcPr>
          <w:p w14:paraId="108B4C30">
            <w:pPr>
              <w:pStyle w:val="136"/>
              <w:spacing w:line="288" w:lineRule="auto"/>
              <w:jc w:val="center"/>
              <w:rPr>
                <w:rFonts w:hint="eastAsia" w:ascii="宋体" w:hAnsi="宋体" w:eastAsia="宋体" w:cs="宋体"/>
                <w:sz w:val="24"/>
                <w:szCs w:val="24"/>
              </w:rPr>
            </w:pPr>
          </w:p>
        </w:tc>
        <w:tc>
          <w:tcPr>
            <w:tcW w:w="1481" w:type="dxa"/>
            <w:vMerge w:val="restart"/>
            <w:vAlign w:val="center"/>
          </w:tcPr>
          <w:p w14:paraId="4B03AAEB">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安全体系</w:t>
            </w:r>
          </w:p>
        </w:tc>
        <w:tc>
          <w:tcPr>
            <w:tcW w:w="1411" w:type="dxa"/>
            <w:vMerge w:val="restart"/>
            <w:vAlign w:val="center"/>
          </w:tcPr>
          <w:p w14:paraId="51D1E1E4">
            <w:pPr>
              <w:pStyle w:val="136"/>
              <w:spacing w:line="288" w:lineRule="auto"/>
              <w:jc w:val="center"/>
              <w:rPr>
                <w:rFonts w:hint="eastAsia" w:ascii="宋体" w:hAnsi="宋体" w:eastAsia="宋体" w:cs="宋体"/>
                <w:sz w:val="24"/>
                <w:szCs w:val="24"/>
              </w:rPr>
            </w:pPr>
            <w:r>
              <w:rPr>
                <w:rFonts w:hint="eastAsia" w:ascii="宋体" w:hAnsi="宋体" w:eastAsia="宋体" w:cs="宋体"/>
                <w:color w:val="000000"/>
                <w:sz w:val="24"/>
                <w:szCs w:val="24"/>
              </w:rPr>
              <w:t>安全建设水平</w:t>
            </w:r>
          </w:p>
        </w:tc>
        <w:tc>
          <w:tcPr>
            <w:tcW w:w="2255" w:type="dxa"/>
            <w:vAlign w:val="center"/>
          </w:tcPr>
          <w:p w14:paraId="7D5572DA">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sz w:val="24"/>
                <w:szCs w:val="24"/>
              </w:rPr>
              <w:t>数据安全措施</w:t>
            </w:r>
          </w:p>
        </w:tc>
        <w:tc>
          <w:tcPr>
            <w:tcW w:w="1283" w:type="dxa"/>
            <w:vAlign w:val="center"/>
          </w:tcPr>
          <w:p w14:paraId="21FFA526">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是</w:t>
            </w:r>
          </w:p>
        </w:tc>
      </w:tr>
      <w:tr w14:paraId="7E5156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974" w:type="dxa"/>
            <w:vAlign w:val="center"/>
          </w:tcPr>
          <w:p w14:paraId="7F6E4DFA">
            <w:pPr>
              <w:pStyle w:val="136"/>
              <w:widowControl w:val="0"/>
              <w:numPr>
                <w:ilvl w:val="0"/>
                <w:numId w:val="4"/>
              </w:numPr>
              <w:spacing w:line="288" w:lineRule="auto"/>
              <w:jc w:val="center"/>
              <w:rPr>
                <w:rFonts w:hint="eastAsia" w:ascii="宋体" w:hAnsi="宋体" w:eastAsia="宋体" w:cs="宋体"/>
                <w:sz w:val="24"/>
                <w:szCs w:val="24"/>
              </w:rPr>
            </w:pPr>
          </w:p>
        </w:tc>
        <w:tc>
          <w:tcPr>
            <w:tcW w:w="1124" w:type="dxa"/>
            <w:vMerge w:val="continue"/>
            <w:vAlign w:val="center"/>
          </w:tcPr>
          <w:p w14:paraId="17BCA5AE">
            <w:pPr>
              <w:pStyle w:val="136"/>
              <w:spacing w:line="288" w:lineRule="auto"/>
              <w:jc w:val="center"/>
              <w:rPr>
                <w:rFonts w:hint="eastAsia" w:ascii="宋体" w:hAnsi="宋体" w:eastAsia="宋体" w:cs="宋体"/>
                <w:sz w:val="24"/>
                <w:szCs w:val="24"/>
              </w:rPr>
            </w:pPr>
          </w:p>
        </w:tc>
        <w:tc>
          <w:tcPr>
            <w:tcW w:w="1481" w:type="dxa"/>
            <w:vMerge w:val="continue"/>
            <w:vAlign w:val="center"/>
          </w:tcPr>
          <w:p w14:paraId="3F758250">
            <w:pPr>
              <w:pStyle w:val="136"/>
              <w:spacing w:line="288" w:lineRule="auto"/>
              <w:jc w:val="center"/>
              <w:rPr>
                <w:rFonts w:hint="eastAsia" w:ascii="宋体" w:hAnsi="宋体" w:eastAsia="宋体" w:cs="宋体"/>
                <w:color w:val="000000"/>
                <w:sz w:val="24"/>
                <w:szCs w:val="24"/>
              </w:rPr>
            </w:pPr>
          </w:p>
        </w:tc>
        <w:tc>
          <w:tcPr>
            <w:tcW w:w="1411" w:type="dxa"/>
            <w:vMerge w:val="continue"/>
            <w:vAlign w:val="center"/>
          </w:tcPr>
          <w:p w14:paraId="46B4182F">
            <w:pPr>
              <w:pStyle w:val="136"/>
              <w:spacing w:line="288" w:lineRule="auto"/>
              <w:jc w:val="center"/>
              <w:rPr>
                <w:rFonts w:hint="eastAsia" w:ascii="宋体" w:hAnsi="宋体" w:eastAsia="宋体" w:cs="宋体"/>
                <w:sz w:val="24"/>
                <w:szCs w:val="24"/>
              </w:rPr>
            </w:pPr>
          </w:p>
        </w:tc>
        <w:tc>
          <w:tcPr>
            <w:tcW w:w="2255" w:type="dxa"/>
            <w:vAlign w:val="center"/>
          </w:tcPr>
          <w:p w14:paraId="0C10FAD8">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sz w:val="24"/>
                <w:szCs w:val="24"/>
              </w:rPr>
              <w:t>网络安全措施</w:t>
            </w:r>
          </w:p>
        </w:tc>
        <w:tc>
          <w:tcPr>
            <w:tcW w:w="1283" w:type="dxa"/>
            <w:vAlign w:val="center"/>
          </w:tcPr>
          <w:p w14:paraId="6A69E003">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是</w:t>
            </w:r>
          </w:p>
        </w:tc>
      </w:tr>
      <w:tr w14:paraId="2D0F92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974" w:type="dxa"/>
            <w:vAlign w:val="center"/>
          </w:tcPr>
          <w:p w14:paraId="7383E01C">
            <w:pPr>
              <w:pStyle w:val="136"/>
              <w:widowControl w:val="0"/>
              <w:numPr>
                <w:ilvl w:val="0"/>
                <w:numId w:val="4"/>
              </w:numPr>
              <w:spacing w:line="288" w:lineRule="auto"/>
              <w:jc w:val="center"/>
              <w:rPr>
                <w:rFonts w:hint="eastAsia" w:ascii="宋体" w:hAnsi="宋体" w:eastAsia="宋体" w:cs="宋体"/>
                <w:sz w:val="24"/>
                <w:szCs w:val="24"/>
              </w:rPr>
            </w:pPr>
          </w:p>
        </w:tc>
        <w:tc>
          <w:tcPr>
            <w:tcW w:w="1124" w:type="dxa"/>
            <w:vMerge w:val="continue"/>
            <w:vAlign w:val="center"/>
          </w:tcPr>
          <w:p w14:paraId="51D00C4F">
            <w:pPr>
              <w:pStyle w:val="136"/>
              <w:spacing w:line="288" w:lineRule="auto"/>
              <w:jc w:val="center"/>
              <w:rPr>
                <w:rFonts w:hint="eastAsia" w:ascii="宋体" w:hAnsi="宋体" w:eastAsia="宋体" w:cs="宋体"/>
                <w:sz w:val="24"/>
                <w:szCs w:val="24"/>
              </w:rPr>
            </w:pPr>
          </w:p>
        </w:tc>
        <w:tc>
          <w:tcPr>
            <w:tcW w:w="1481" w:type="dxa"/>
            <w:vMerge w:val="continue"/>
            <w:vAlign w:val="center"/>
          </w:tcPr>
          <w:p w14:paraId="55625717">
            <w:pPr>
              <w:pStyle w:val="136"/>
              <w:spacing w:line="288" w:lineRule="auto"/>
              <w:jc w:val="center"/>
              <w:rPr>
                <w:rFonts w:hint="eastAsia" w:ascii="宋体" w:hAnsi="宋体" w:eastAsia="宋体" w:cs="宋体"/>
                <w:color w:val="000000"/>
                <w:sz w:val="24"/>
                <w:szCs w:val="24"/>
              </w:rPr>
            </w:pPr>
          </w:p>
        </w:tc>
        <w:tc>
          <w:tcPr>
            <w:tcW w:w="1411" w:type="dxa"/>
            <w:vMerge w:val="continue"/>
            <w:vAlign w:val="center"/>
          </w:tcPr>
          <w:p w14:paraId="7CB782A2">
            <w:pPr>
              <w:pStyle w:val="136"/>
              <w:spacing w:line="288" w:lineRule="auto"/>
              <w:jc w:val="center"/>
              <w:rPr>
                <w:rFonts w:hint="eastAsia" w:ascii="宋体" w:hAnsi="宋体" w:eastAsia="宋体" w:cs="宋体"/>
                <w:sz w:val="24"/>
                <w:szCs w:val="24"/>
              </w:rPr>
            </w:pPr>
          </w:p>
        </w:tc>
        <w:tc>
          <w:tcPr>
            <w:tcW w:w="2255" w:type="dxa"/>
            <w:vAlign w:val="center"/>
          </w:tcPr>
          <w:p w14:paraId="29FECC86">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sz w:val="24"/>
                <w:szCs w:val="24"/>
              </w:rPr>
              <w:t>系统安全措施</w:t>
            </w:r>
          </w:p>
        </w:tc>
        <w:tc>
          <w:tcPr>
            <w:tcW w:w="1283" w:type="dxa"/>
            <w:vAlign w:val="center"/>
          </w:tcPr>
          <w:p w14:paraId="27284D5E">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是</w:t>
            </w:r>
          </w:p>
        </w:tc>
      </w:tr>
      <w:tr w14:paraId="20678C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974" w:type="dxa"/>
            <w:vAlign w:val="center"/>
          </w:tcPr>
          <w:p w14:paraId="72343A84">
            <w:pPr>
              <w:pStyle w:val="136"/>
              <w:widowControl w:val="0"/>
              <w:numPr>
                <w:ilvl w:val="0"/>
                <w:numId w:val="4"/>
              </w:numPr>
              <w:spacing w:line="288" w:lineRule="auto"/>
              <w:jc w:val="center"/>
              <w:rPr>
                <w:rFonts w:hint="eastAsia" w:ascii="宋体" w:hAnsi="宋体" w:eastAsia="宋体" w:cs="宋体"/>
                <w:sz w:val="24"/>
                <w:szCs w:val="24"/>
              </w:rPr>
            </w:pPr>
          </w:p>
        </w:tc>
        <w:tc>
          <w:tcPr>
            <w:tcW w:w="1124" w:type="dxa"/>
            <w:vMerge w:val="restart"/>
            <w:vAlign w:val="center"/>
          </w:tcPr>
          <w:p w14:paraId="0C780926">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sz w:val="24"/>
                <w:szCs w:val="24"/>
              </w:rPr>
              <w:t>自定义指标</w:t>
            </w:r>
          </w:p>
        </w:tc>
        <w:tc>
          <w:tcPr>
            <w:tcW w:w="1481" w:type="dxa"/>
            <w:vMerge w:val="restart"/>
            <w:vAlign w:val="center"/>
          </w:tcPr>
          <w:p w14:paraId="36EEA42C">
            <w:pPr>
              <w:pStyle w:val="136"/>
              <w:spacing w:line="288" w:lineRule="auto"/>
              <w:jc w:val="center"/>
              <w:rPr>
                <w:rFonts w:hint="eastAsia" w:ascii="宋体" w:hAnsi="宋体" w:eastAsia="宋体" w:cs="宋体"/>
                <w:sz w:val="24"/>
                <w:szCs w:val="24"/>
              </w:rPr>
            </w:pPr>
            <w:r>
              <w:rPr>
                <w:rFonts w:hint="eastAsia" w:ascii="宋体" w:hAnsi="宋体" w:eastAsia="宋体" w:cs="宋体"/>
                <w:color w:val="000000"/>
                <w:sz w:val="24"/>
                <w:szCs w:val="24"/>
              </w:rPr>
              <w:t>效益指标</w:t>
            </w:r>
          </w:p>
        </w:tc>
        <w:tc>
          <w:tcPr>
            <w:tcW w:w="1411" w:type="dxa"/>
            <w:vAlign w:val="center"/>
          </w:tcPr>
          <w:p w14:paraId="46BD66EC">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sz w:val="24"/>
                <w:szCs w:val="24"/>
              </w:rPr>
              <w:t>社会效益指标</w:t>
            </w:r>
          </w:p>
        </w:tc>
        <w:tc>
          <w:tcPr>
            <w:tcW w:w="2255" w:type="dxa"/>
            <w:vAlign w:val="center"/>
          </w:tcPr>
          <w:p w14:paraId="21246765">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工作效率</w:t>
            </w:r>
          </w:p>
        </w:tc>
        <w:tc>
          <w:tcPr>
            <w:tcW w:w="1283" w:type="dxa"/>
            <w:vAlign w:val="center"/>
          </w:tcPr>
          <w:p w14:paraId="50EA8EED">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提升</w:t>
            </w:r>
          </w:p>
        </w:tc>
      </w:tr>
      <w:tr w14:paraId="2F9071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974" w:type="dxa"/>
            <w:vAlign w:val="center"/>
          </w:tcPr>
          <w:p w14:paraId="5AA584E2">
            <w:pPr>
              <w:pStyle w:val="136"/>
              <w:widowControl w:val="0"/>
              <w:numPr>
                <w:ilvl w:val="0"/>
                <w:numId w:val="4"/>
              </w:numPr>
              <w:spacing w:line="288" w:lineRule="auto"/>
              <w:jc w:val="center"/>
              <w:rPr>
                <w:rFonts w:hint="eastAsia" w:ascii="宋体" w:hAnsi="宋体" w:eastAsia="宋体" w:cs="宋体"/>
                <w:sz w:val="24"/>
                <w:szCs w:val="24"/>
              </w:rPr>
            </w:pPr>
          </w:p>
        </w:tc>
        <w:tc>
          <w:tcPr>
            <w:tcW w:w="1124" w:type="dxa"/>
            <w:vMerge w:val="continue"/>
            <w:vAlign w:val="center"/>
          </w:tcPr>
          <w:p w14:paraId="377C1827">
            <w:pPr>
              <w:pStyle w:val="136"/>
              <w:spacing w:line="288" w:lineRule="auto"/>
              <w:jc w:val="center"/>
              <w:rPr>
                <w:rFonts w:hint="eastAsia" w:ascii="宋体" w:hAnsi="宋体" w:eastAsia="宋体" w:cs="宋体"/>
                <w:color w:val="000000"/>
                <w:sz w:val="24"/>
                <w:szCs w:val="24"/>
              </w:rPr>
            </w:pPr>
          </w:p>
        </w:tc>
        <w:tc>
          <w:tcPr>
            <w:tcW w:w="1481" w:type="dxa"/>
            <w:vMerge w:val="continue"/>
            <w:vAlign w:val="center"/>
          </w:tcPr>
          <w:p w14:paraId="0984136A">
            <w:pPr>
              <w:pStyle w:val="136"/>
              <w:spacing w:line="288" w:lineRule="auto"/>
              <w:jc w:val="center"/>
              <w:rPr>
                <w:rFonts w:hint="eastAsia" w:ascii="宋体" w:hAnsi="宋体" w:eastAsia="宋体" w:cs="宋体"/>
                <w:kern w:val="0"/>
                <w:sz w:val="24"/>
                <w:szCs w:val="24"/>
              </w:rPr>
            </w:pPr>
          </w:p>
        </w:tc>
        <w:tc>
          <w:tcPr>
            <w:tcW w:w="1411" w:type="dxa"/>
            <w:vAlign w:val="center"/>
          </w:tcPr>
          <w:p w14:paraId="73E5AAC0">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sz w:val="24"/>
                <w:szCs w:val="24"/>
              </w:rPr>
              <w:t>生态效益指标</w:t>
            </w:r>
          </w:p>
        </w:tc>
        <w:tc>
          <w:tcPr>
            <w:tcW w:w="2255" w:type="dxa"/>
            <w:vAlign w:val="center"/>
          </w:tcPr>
          <w:p w14:paraId="4870C648">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环保达标率</w:t>
            </w:r>
          </w:p>
        </w:tc>
        <w:tc>
          <w:tcPr>
            <w:tcW w:w="1283" w:type="dxa"/>
            <w:vAlign w:val="center"/>
          </w:tcPr>
          <w:p w14:paraId="6E542B52">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100%</w:t>
            </w:r>
          </w:p>
        </w:tc>
      </w:tr>
      <w:tr w14:paraId="1133A9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974" w:type="dxa"/>
            <w:vAlign w:val="center"/>
          </w:tcPr>
          <w:p w14:paraId="3940C6D5">
            <w:pPr>
              <w:pStyle w:val="136"/>
              <w:widowControl w:val="0"/>
              <w:numPr>
                <w:ilvl w:val="0"/>
                <w:numId w:val="4"/>
              </w:numPr>
              <w:spacing w:line="288" w:lineRule="auto"/>
              <w:jc w:val="center"/>
              <w:rPr>
                <w:rFonts w:hint="eastAsia" w:ascii="宋体" w:hAnsi="宋体" w:eastAsia="宋体" w:cs="宋体"/>
                <w:sz w:val="24"/>
                <w:szCs w:val="24"/>
              </w:rPr>
            </w:pPr>
          </w:p>
        </w:tc>
        <w:tc>
          <w:tcPr>
            <w:tcW w:w="1124" w:type="dxa"/>
            <w:vMerge w:val="continue"/>
            <w:vAlign w:val="center"/>
          </w:tcPr>
          <w:p w14:paraId="013B5531">
            <w:pPr>
              <w:pStyle w:val="136"/>
              <w:spacing w:line="288" w:lineRule="auto"/>
              <w:jc w:val="center"/>
              <w:rPr>
                <w:rFonts w:hint="eastAsia" w:ascii="宋体" w:hAnsi="宋体" w:eastAsia="宋体" w:cs="宋体"/>
                <w:color w:val="000000"/>
                <w:sz w:val="24"/>
                <w:szCs w:val="24"/>
              </w:rPr>
            </w:pPr>
          </w:p>
        </w:tc>
        <w:tc>
          <w:tcPr>
            <w:tcW w:w="1481" w:type="dxa"/>
            <w:vAlign w:val="center"/>
          </w:tcPr>
          <w:p w14:paraId="202B1EFD">
            <w:pPr>
              <w:pStyle w:val="136"/>
              <w:spacing w:line="288" w:lineRule="auto"/>
              <w:jc w:val="center"/>
              <w:rPr>
                <w:rFonts w:hint="eastAsia" w:ascii="宋体" w:hAnsi="宋体" w:eastAsia="宋体" w:cs="宋体"/>
                <w:sz w:val="24"/>
                <w:szCs w:val="24"/>
              </w:rPr>
            </w:pPr>
            <w:r>
              <w:rPr>
                <w:rFonts w:hint="eastAsia" w:ascii="宋体" w:hAnsi="宋体" w:eastAsia="宋体" w:cs="宋体"/>
                <w:color w:val="000000"/>
                <w:sz w:val="24"/>
                <w:szCs w:val="24"/>
              </w:rPr>
              <w:t>满意度指标</w:t>
            </w:r>
          </w:p>
        </w:tc>
        <w:tc>
          <w:tcPr>
            <w:tcW w:w="1411" w:type="dxa"/>
            <w:vAlign w:val="center"/>
          </w:tcPr>
          <w:p w14:paraId="22FB8372">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sz w:val="24"/>
                <w:szCs w:val="24"/>
              </w:rPr>
              <w:t>服务对象满意度指标</w:t>
            </w:r>
          </w:p>
        </w:tc>
        <w:tc>
          <w:tcPr>
            <w:tcW w:w="2255" w:type="dxa"/>
            <w:vAlign w:val="center"/>
          </w:tcPr>
          <w:p w14:paraId="77629038">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用户体验满意度</w:t>
            </w:r>
          </w:p>
        </w:tc>
        <w:tc>
          <w:tcPr>
            <w:tcW w:w="1283" w:type="dxa"/>
            <w:vAlign w:val="center"/>
          </w:tcPr>
          <w:p w14:paraId="5EA0384B">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≥95%</w:t>
            </w:r>
          </w:p>
        </w:tc>
      </w:tr>
      <w:tr w14:paraId="33BA40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974" w:type="dxa"/>
            <w:vAlign w:val="center"/>
          </w:tcPr>
          <w:p w14:paraId="03B0071E">
            <w:pPr>
              <w:pStyle w:val="136"/>
              <w:widowControl w:val="0"/>
              <w:numPr>
                <w:ilvl w:val="0"/>
                <w:numId w:val="4"/>
              </w:numPr>
              <w:spacing w:line="288" w:lineRule="auto"/>
              <w:jc w:val="center"/>
              <w:rPr>
                <w:rFonts w:hint="eastAsia" w:ascii="宋体" w:hAnsi="宋体" w:eastAsia="宋体" w:cs="宋体"/>
                <w:sz w:val="24"/>
                <w:szCs w:val="24"/>
              </w:rPr>
            </w:pPr>
          </w:p>
        </w:tc>
        <w:tc>
          <w:tcPr>
            <w:tcW w:w="1124" w:type="dxa"/>
            <w:vMerge w:val="continue"/>
            <w:vAlign w:val="center"/>
          </w:tcPr>
          <w:p w14:paraId="5776E478">
            <w:pPr>
              <w:pStyle w:val="136"/>
              <w:spacing w:line="288" w:lineRule="auto"/>
              <w:jc w:val="center"/>
              <w:rPr>
                <w:rFonts w:hint="eastAsia" w:ascii="宋体" w:hAnsi="宋体" w:eastAsia="宋体" w:cs="宋体"/>
                <w:color w:val="000000"/>
                <w:sz w:val="24"/>
                <w:szCs w:val="24"/>
              </w:rPr>
            </w:pPr>
          </w:p>
        </w:tc>
        <w:tc>
          <w:tcPr>
            <w:tcW w:w="1481" w:type="dxa"/>
            <w:vAlign w:val="center"/>
          </w:tcPr>
          <w:p w14:paraId="6862E17F">
            <w:pPr>
              <w:pStyle w:val="136"/>
              <w:spacing w:line="288" w:lineRule="auto"/>
              <w:jc w:val="center"/>
              <w:rPr>
                <w:rFonts w:hint="eastAsia" w:ascii="宋体" w:hAnsi="宋体" w:eastAsia="宋体" w:cs="宋体"/>
                <w:sz w:val="24"/>
                <w:szCs w:val="24"/>
              </w:rPr>
            </w:pPr>
            <w:r>
              <w:rPr>
                <w:rFonts w:hint="eastAsia" w:ascii="宋体" w:hAnsi="宋体" w:eastAsia="宋体" w:cs="宋体"/>
                <w:sz w:val="24"/>
                <w:szCs w:val="24"/>
              </w:rPr>
              <w:t>产出指标</w:t>
            </w:r>
          </w:p>
        </w:tc>
        <w:tc>
          <w:tcPr>
            <w:tcW w:w="1411" w:type="dxa"/>
            <w:vAlign w:val="center"/>
          </w:tcPr>
          <w:p w14:paraId="3A9D1FAF">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产出数量</w:t>
            </w:r>
          </w:p>
        </w:tc>
        <w:tc>
          <w:tcPr>
            <w:tcW w:w="2255" w:type="dxa"/>
            <w:vAlign w:val="center"/>
          </w:tcPr>
          <w:p w14:paraId="77E17305">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应用系统市、区单位覆盖率</w:t>
            </w:r>
          </w:p>
        </w:tc>
        <w:tc>
          <w:tcPr>
            <w:tcW w:w="1283" w:type="dxa"/>
            <w:vAlign w:val="center"/>
          </w:tcPr>
          <w:p w14:paraId="4486179F">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市局</w:t>
            </w:r>
          </w:p>
        </w:tc>
      </w:tr>
    </w:tbl>
    <w:p w14:paraId="5DBFD917">
      <w:pPr>
        <w:rPr>
          <w:rFonts w:hint="eastAsia"/>
        </w:rPr>
      </w:pPr>
      <w:r>
        <w:rPr>
          <w:rFonts w:hint="eastAsia"/>
        </w:rPr>
        <w:br w:type="page"/>
      </w:r>
    </w:p>
    <w:p w14:paraId="27F48CA1">
      <w:pPr>
        <w:pStyle w:val="3"/>
        <w:rPr>
          <w:rFonts w:hint="eastAsia"/>
        </w:rPr>
      </w:pPr>
      <w:r>
        <w:rPr>
          <w:rFonts w:hint="eastAsia"/>
          <w:sz w:val="24"/>
        </w:rPr>
        <w:t>技术绩效要求</w:t>
      </w:r>
    </w:p>
    <w:tbl>
      <w:tblPr>
        <w:tblStyle w:val="35"/>
        <w:tblpPr w:leftFromText="180" w:rightFromText="180" w:vertAnchor="text" w:horzAnchor="page" w:tblpX="1788" w:tblpY="770"/>
        <w:tblOverlap w:val="never"/>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74"/>
        <w:gridCol w:w="1124"/>
        <w:gridCol w:w="1481"/>
        <w:gridCol w:w="1411"/>
        <w:gridCol w:w="2255"/>
        <w:gridCol w:w="1283"/>
      </w:tblGrid>
      <w:tr w14:paraId="6E800F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trPr>
        <w:tc>
          <w:tcPr>
            <w:tcW w:w="2098" w:type="dxa"/>
            <w:gridSpan w:val="2"/>
            <w:vAlign w:val="center"/>
          </w:tcPr>
          <w:p w14:paraId="29F9D33D">
            <w:pPr>
              <w:pStyle w:val="136"/>
              <w:spacing w:line="288" w:lineRule="auto"/>
              <w:jc w:val="both"/>
              <w:rPr>
                <w:rFonts w:hint="eastAsia" w:ascii="宋体" w:hAnsi="宋体" w:eastAsia="宋体" w:cs="宋体"/>
                <w:b/>
                <w:bCs/>
                <w:sz w:val="24"/>
                <w:szCs w:val="24"/>
              </w:rPr>
            </w:pPr>
            <w:r>
              <w:rPr>
                <w:rFonts w:hint="eastAsia" w:ascii="宋体" w:hAnsi="宋体" w:eastAsia="宋体" w:cs="宋体"/>
                <w:b/>
                <w:bCs/>
                <w:sz w:val="24"/>
                <w:szCs w:val="24"/>
              </w:rPr>
              <w:t>业务目标</w:t>
            </w:r>
          </w:p>
        </w:tc>
        <w:tc>
          <w:tcPr>
            <w:tcW w:w="6430" w:type="dxa"/>
            <w:gridSpan w:val="4"/>
            <w:vAlign w:val="center"/>
          </w:tcPr>
          <w:p w14:paraId="62B04A65">
            <w:pPr>
              <w:pStyle w:val="136"/>
              <w:widowControl w:val="0"/>
              <w:spacing w:line="288" w:lineRule="auto"/>
              <w:jc w:val="both"/>
              <w:rPr>
                <w:rFonts w:hint="eastAsia" w:ascii="宋体" w:hAnsi="宋体" w:eastAsia="宋体" w:cs="宋体"/>
                <w:b/>
                <w:bCs/>
                <w:sz w:val="24"/>
                <w:szCs w:val="24"/>
              </w:rPr>
            </w:pPr>
            <w:r>
              <w:rPr>
                <w:rFonts w:hint="eastAsia" w:ascii="宋体" w:hAnsi="宋体" w:eastAsia="宋体" w:cs="宋体"/>
                <w:b/>
                <w:bCs/>
                <w:sz w:val="24"/>
                <w:szCs w:val="24"/>
              </w:rPr>
              <w:t>在依法治市业务领域，打造法律科技创新应用场景</w:t>
            </w:r>
          </w:p>
        </w:tc>
      </w:tr>
      <w:tr w14:paraId="1ADA85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trPr>
        <w:tc>
          <w:tcPr>
            <w:tcW w:w="974" w:type="dxa"/>
            <w:vAlign w:val="center"/>
          </w:tcPr>
          <w:p w14:paraId="7AD4235B">
            <w:pPr>
              <w:pStyle w:val="136"/>
              <w:widowControl w:val="0"/>
              <w:spacing w:line="288" w:lineRule="auto"/>
              <w:jc w:val="both"/>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124" w:type="dxa"/>
            <w:vAlign w:val="center"/>
          </w:tcPr>
          <w:p w14:paraId="0B430204">
            <w:pPr>
              <w:pStyle w:val="136"/>
              <w:widowControl w:val="0"/>
              <w:spacing w:line="288" w:lineRule="auto"/>
              <w:jc w:val="both"/>
              <w:rPr>
                <w:rFonts w:hint="eastAsia" w:ascii="宋体" w:hAnsi="宋体" w:eastAsia="宋体" w:cs="宋体"/>
                <w:b/>
                <w:bCs/>
                <w:sz w:val="24"/>
                <w:szCs w:val="24"/>
              </w:rPr>
            </w:pPr>
            <w:r>
              <w:rPr>
                <w:rFonts w:hint="eastAsia" w:ascii="宋体" w:hAnsi="宋体" w:eastAsia="宋体" w:cs="宋体"/>
                <w:b/>
                <w:bCs/>
                <w:sz w:val="24"/>
                <w:szCs w:val="24"/>
              </w:rPr>
              <w:t>一级指标</w:t>
            </w:r>
          </w:p>
        </w:tc>
        <w:tc>
          <w:tcPr>
            <w:tcW w:w="1481" w:type="dxa"/>
            <w:vAlign w:val="center"/>
          </w:tcPr>
          <w:p w14:paraId="01C53630">
            <w:pPr>
              <w:pStyle w:val="136"/>
              <w:widowControl w:val="0"/>
              <w:spacing w:line="288" w:lineRule="auto"/>
              <w:jc w:val="both"/>
              <w:rPr>
                <w:rFonts w:hint="eastAsia" w:ascii="宋体" w:hAnsi="宋体" w:eastAsia="宋体" w:cs="宋体"/>
                <w:b/>
                <w:bCs/>
                <w:sz w:val="24"/>
                <w:szCs w:val="24"/>
              </w:rPr>
            </w:pPr>
            <w:r>
              <w:rPr>
                <w:rFonts w:hint="eastAsia" w:ascii="宋体" w:hAnsi="宋体" w:eastAsia="宋体" w:cs="宋体"/>
                <w:b/>
                <w:bCs/>
                <w:sz w:val="24"/>
                <w:szCs w:val="24"/>
              </w:rPr>
              <w:t>二级指标</w:t>
            </w:r>
          </w:p>
        </w:tc>
        <w:tc>
          <w:tcPr>
            <w:tcW w:w="1411" w:type="dxa"/>
            <w:vAlign w:val="center"/>
          </w:tcPr>
          <w:p w14:paraId="0E1520F4">
            <w:pPr>
              <w:pStyle w:val="136"/>
              <w:widowControl w:val="0"/>
              <w:spacing w:line="288" w:lineRule="auto"/>
              <w:jc w:val="both"/>
              <w:rPr>
                <w:rFonts w:hint="eastAsia" w:ascii="宋体" w:hAnsi="宋体" w:eastAsia="宋体" w:cs="宋体"/>
                <w:b/>
                <w:bCs/>
                <w:sz w:val="24"/>
                <w:szCs w:val="24"/>
              </w:rPr>
            </w:pPr>
            <w:r>
              <w:rPr>
                <w:rFonts w:hint="eastAsia" w:ascii="宋体" w:hAnsi="宋体" w:eastAsia="宋体" w:cs="宋体"/>
                <w:b/>
                <w:bCs/>
                <w:sz w:val="24"/>
                <w:szCs w:val="24"/>
              </w:rPr>
              <w:t>三级指标</w:t>
            </w:r>
          </w:p>
        </w:tc>
        <w:tc>
          <w:tcPr>
            <w:tcW w:w="2255" w:type="dxa"/>
            <w:vAlign w:val="center"/>
          </w:tcPr>
          <w:p w14:paraId="26327284">
            <w:pPr>
              <w:pStyle w:val="136"/>
              <w:widowControl w:val="0"/>
              <w:spacing w:line="288" w:lineRule="auto"/>
              <w:ind w:firstLine="482"/>
              <w:jc w:val="center"/>
              <w:rPr>
                <w:rFonts w:hint="eastAsia" w:ascii="宋体" w:hAnsi="宋体" w:eastAsia="宋体" w:cs="宋体"/>
                <w:b/>
                <w:bCs/>
                <w:sz w:val="24"/>
                <w:szCs w:val="24"/>
              </w:rPr>
            </w:pPr>
            <w:r>
              <w:rPr>
                <w:rFonts w:hint="eastAsia" w:ascii="宋体" w:hAnsi="宋体" w:eastAsia="宋体" w:cs="宋体"/>
                <w:b/>
                <w:bCs/>
                <w:sz w:val="24"/>
                <w:szCs w:val="24"/>
              </w:rPr>
              <w:t>四级指标</w:t>
            </w:r>
          </w:p>
        </w:tc>
        <w:tc>
          <w:tcPr>
            <w:tcW w:w="1283" w:type="dxa"/>
            <w:vAlign w:val="center"/>
          </w:tcPr>
          <w:p w14:paraId="21C34AEB">
            <w:pPr>
              <w:pStyle w:val="136"/>
              <w:widowControl w:val="0"/>
              <w:spacing w:line="288" w:lineRule="auto"/>
              <w:jc w:val="both"/>
              <w:rPr>
                <w:rFonts w:hint="eastAsia" w:ascii="宋体" w:hAnsi="宋体" w:eastAsia="宋体" w:cs="宋体"/>
                <w:b/>
                <w:bCs/>
                <w:sz w:val="24"/>
                <w:szCs w:val="24"/>
              </w:rPr>
            </w:pPr>
            <w:r>
              <w:rPr>
                <w:rFonts w:hint="eastAsia" w:ascii="宋体" w:hAnsi="宋体" w:eastAsia="宋体" w:cs="宋体"/>
                <w:b/>
                <w:bCs/>
                <w:sz w:val="24"/>
                <w:szCs w:val="24"/>
              </w:rPr>
              <w:t>指标值</w:t>
            </w:r>
          </w:p>
        </w:tc>
      </w:tr>
      <w:tr w14:paraId="42EC88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trPr>
        <w:tc>
          <w:tcPr>
            <w:tcW w:w="974" w:type="dxa"/>
            <w:vAlign w:val="center"/>
          </w:tcPr>
          <w:p w14:paraId="554084B0">
            <w:pPr>
              <w:pStyle w:val="136"/>
              <w:widowControl w:val="0"/>
              <w:numPr>
                <w:ilvl w:val="0"/>
                <w:numId w:val="5"/>
              </w:numPr>
              <w:spacing w:line="288" w:lineRule="auto"/>
              <w:jc w:val="center"/>
              <w:rPr>
                <w:rFonts w:hint="eastAsia" w:ascii="宋体" w:hAnsi="宋体" w:eastAsia="宋体" w:cs="宋体"/>
                <w:sz w:val="24"/>
                <w:szCs w:val="24"/>
              </w:rPr>
            </w:pPr>
          </w:p>
        </w:tc>
        <w:tc>
          <w:tcPr>
            <w:tcW w:w="1124" w:type="dxa"/>
            <w:vMerge w:val="restart"/>
            <w:vAlign w:val="center"/>
          </w:tcPr>
          <w:p w14:paraId="4A69C282">
            <w:pPr>
              <w:pStyle w:val="136"/>
              <w:widowControl w:val="0"/>
              <w:spacing w:line="288" w:lineRule="auto"/>
              <w:jc w:val="center"/>
              <w:rPr>
                <w:rFonts w:hint="eastAsia" w:ascii="宋体" w:hAnsi="宋体" w:eastAsia="宋体" w:cs="宋体"/>
                <w:sz w:val="24"/>
                <w:szCs w:val="24"/>
              </w:rPr>
            </w:pPr>
            <w:r>
              <w:rPr>
                <w:rFonts w:hint="eastAsia" w:ascii="宋体" w:hAnsi="宋体" w:eastAsia="宋体" w:cs="宋体"/>
                <w:sz w:val="24"/>
                <w:szCs w:val="24"/>
              </w:rPr>
              <w:t>通用指标</w:t>
            </w:r>
          </w:p>
        </w:tc>
        <w:tc>
          <w:tcPr>
            <w:tcW w:w="1481" w:type="dxa"/>
            <w:vMerge w:val="restart"/>
            <w:vAlign w:val="center"/>
          </w:tcPr>
          <w:p w14:paraId="7F8F1091">
            <w:pPr>
              <w:pStyle w:val="136"/>
              <w:widowControl w:val="0"/>
              <w:spacing w:line="288" w:lineRule="auto"/>
              <w:jc w:val="center"/>
              <w:rPr>
                <w:rFonts w:hint="eastAsia" w:ascii="宋体" w:hAnsi="宋体" w:eastAsia="宋体" w:cs="宋体"/>
                <w:sz w:val="24"/>
                <w:szCs w:val="24"/>
              </w:rPr>
            </w:pPr>
            <w:r>
              <w:rPr>
                <w:rFonts w:hint="eastAsia" w:ascii="宋体" w:hAnsi="宋体" w:eastAsia="宋体" w:cs="宋体"/>
                <w:sz w:val="24"/>
                <w:szCs w:val="24"/>
              </w:rPr>
              <w:t>产出指标</w:t>
            </w:r>
          </w:p>
        </w:tc>
        <w:tc>
          <w:tcPr>
            <w:tcW w:w="1411" w:type="dxa"/>
            <w:vAlign w:val="center"/>
          </w:tcPr>
          <w:p w14:paraId="2C0FC30C">
            <w:pPr>
              <w:pStyle w:val="136"/>
              <w:widowControl w:val="0"/>
              <w:spacing w:line="288" w:lineRule="auto"/>
              <w:jc w:val="center"/>
              <w:rPr>
                <w:rFonts w:hint="eastAsia" w:ascii="宋体" w:hAnsi="宋体" w:eastAsia="宋体" w:cs="宋体"/>
                <w:sz w:val="24"/>
                <w:szCs w:val="24"/>
              </w:rPr>
            </w:pPr>
            <w:r>
              <w:rPr>
                <w:rFonts w:hint="eastAsia" w:ascii="宋体" w:hAnsi="宋体" w:eastAsia="宋体" w:cs="宋体"/>
                <w:sz w:val="24"/>
                <w:szCs w:val="24"/>
              </w:rPr>
              <w:t>产出数量</w:t>
            </w:r>
          </w:p>
        </w:tc>
        <w:tc>
          <w:tcPr>
            <w:tcW w:w="2255" w:type="dxa"/>
            <w:vAlign w:val="center"/>
          </w:tcPr>
          <w:p w14:paraId="509B9D4E">
            <w:pPr>
              <w:pStyle w:val="136"/>
              <w:widowControl w:val="0"/>
              <w:spacing w:line="288" w:lineRule="auto"/>
              <w:jc w:val="center"/>
              <w:rPr>
                <w:rFonts w:hint="eastAsia" w:ascii="宋体" w:hAnsi="宋体" w:eastAsia="宋体" w:cs="宋体"/>
                <w:sz w:val="24"/>
                <w:szCs w:val="24"/>
              </w:rPr>
            </w:pPr>
            <w:r>
              <w:rPr>
                <w:rFonts w:hint="eastAsia" w:ascii="宋体" w:hAnsi="宋体" w:eastAsia="宋体" w:cs="宋体"/>
                <w:color w:val="000000"/>
                <w:sz w:val="24"/>
                <w:szCs w:val="24"/>
              </w:rPr>
              <w:t>软件开发完成率</w:t>
            </w:r>
          </w:p>
        </w:tc>
        <w:tc>
          <w:tcPr>
            <w:tcW w:w="1283" w:type="dxa"/>
            <w:vAlign w:val="center"/>
          </w:tcPr>
          <w:p w14:paraId="5E626038">
            <w:pPr>
              <w:pStyle w:val="136"/>
              <w:widowControl w:val="0"/>
              <w:spacing w:line="288" w:lineRule="auto"/>
              <w:jc w:val="center"/>
              <w:rPr>
                <w:rFonts w:hint="eastAsia" w:ascii="宋体" w:hAnsi="宋体" w:eastAsia="宋体" w:cs="宋体"/>
                <w:sz w:val="24"/>
                <w:szCs w:val="24"/>
              </w:rPr>
            </w:pPr>
            <w:r>
              <w:rPr>
                <w:rFonts w:hint="eastAsia" w:ascii="宋体" w:hAnsi="宋体" w:eastAsia="宋体" w:cs="宋体"/>
                <w:color w:val="000000"/>
                <w:sz w:val="24"/>
                <w:szCs w:val="24"/>
              </w:rPr>
              <w:t>100%</w:t>
            </w:r>
          </w:p>
        </w:tc>
      </w:tr>
      <w:tr w14:paraId="78AF18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trPr>
        <w:tc>
          <w:tcPr>
            <w:tcW w:w="974" w:type="dxa"/>
            <w:vAlign w:val="center"/>
          </w:tcPr>
          <w:p w14:paraId="21F47FA9">
            <w:pPr>
              <w:pStyle w:val="136"/>
              <w:widowControl w:val="0"/>
              <w:numPr>
                <w:ilvl w:val="0"/>
                <w:numId w:val="5"/>
              </w:numPr>
              <w:spacing w:line="288" w:lineRule="auto"/>
              <w:jc w:val="center"/>
              <w:rPr>
                <w:rFonts w:hint="eastAsia" w:ascii="宋体" w:hAnsi="宋体" w:eastAsia="宋体" w:cs="宋体"/>
                <w:sz w:val="24"/>
                <w:szCs w:val="24"/>
              </w:rPr>
            </w:pPr>
          </w:p>
        </w:tc>
        <w:tc>
          <w:tcPr>
            <w:tcW w:w="1124" w:type="dxa"/>
            <w:vMerge w:val="continue"/>
            <w:vAlign w:val="center"/>
          </w:tcPr>
          <w:p w14:paraId="50599160">
            <w:pPr>
              <w:pStyle w:val="136"/>
              <w:widowControl w:val="0"/>
              <w:spacing w:line="288" w:lineRule="auto"/>
              <w:jc w:val="center"/>
              <w:rPr>
                <w:rFonts w:hint="eastAsia" w:ascii="宋体" w:hAnsi="宋体" w:eastAsia="宋体" w:cs="宋体"/>
                <w:sz w:val="24"/>
                <w:szCs w:val="24"/>
              </w:rPr>
            </w:pPr>
          </w:p>
        </w:tc>
        <w:tc>
          <w:tcPr>
            <w:tcW w:w="1481" w:type="dxa"/>
            <w:vMerge w:val="continue"/>
            <w:vAlign w:val="center"/>
          </w:tcPr>
          <w:p w14:paraId="1B9298E6">
            <w:pPr>
              <w:pStyle w:val="136"/>
              <w:widowControl w:val="0"/>
              <w:spacing w:line="288" w:lineRule="auto"/>
              <w:jc w:val="center"/>
              <w:rPr>
                <w:rFonts w:hint="eastAsia" w:ascii="宋体" w:hAnsi="宋体" w:eastAsia="宋体" w:cs="宋体"/>
                <w:sz w:val="24"/>
                <w:szCs w:val="24"/>
              </w:rPr>
            </w:pPr>
          </w:p>
        </w:tc>
        <w:tc>
          <w:tcPr>
            <w:tcW w:w="1411" w:type="dxa"/>
            <w:vMerge w:val="restart"/>
            <w:vAlign w:val="center"/>
          </w:tcPr>
          <w:p w14:paraId="482AA332">
            <w:pPr>
              <w:pStyle w:val="136"/>
              <w:widowControl w:val="0"/>
              <w:spacing w:line="288" w:lineRule="auto"/>
              <w:jc w:val="center"/>
              <w:rPr>
                <w:rFonts w:hint="eastAsia" w:ascii="宋体" w:hAnsi="宋体" w:eastAsia="宋体" w:cs="宋体"/>
                <w:sz w:val="24"/>
                <w:szCs w:val="24"/>
              </w:rPr>
            </w:pPr>
            <w:r>
              <w:rPr>
                <w:rFonts w:hint="eastAsia" w:ascii="宋体" w:hAnsi="宋体" w:eastAsia="宋体" w:cs="宋体"/>
                <w:sz w:val="24"/>
                <w:szCs w:val="24"/>
              </w:rPr>
              <w:t>产出质量</w:t>
            </w:r>
          </w:p>
        </w:tc>
        <w:tc>
          <w:tcPr>
            <w:tcW w:w="2255" w:type="dxa"/>
            <w:vAlign w:val="center"/>
          </w:tcPr>
          <w:p w14:paraId="4BF7BE1D">
            <w:pPr>
              <w:pStyle w:val="136"/>
              <w:widowControl w:val="0"/>
              <w:spacing w:line="288" w:lineRule="auto"/>
              <w:jc w:val="center"/>
              <w:rPr>
                <w:rFonts w:hint="eastAsia" w:ascii="宋体" w:hAnsi="宋体" w:eastAsia="宋体" w:cs="宋体"/>
                <w:sz w:val="24"/>
                <w:szCs w:val="24"/>
              </w:rPr>
            </w:pPr>
            <w:r>
              <w:rPr>
                <w:rFonts w:hint="eastAsia" w:ascii="宋体" w:hAnsi="宋体" w:eastAsia="宋体" w:cs="宋体"/>
                <w:color w:val="000000"/>
                <w:sz w:val="24"/>
                <w:szCs w:val="24"/>
              </w:rPr>
              <w:t>系统可靠性</w:t>
            </w:r>
          </w:p>
        </w:tc>
        <w:tc>
          <w:tcPr>
            <w:tcW w:w="1283" w:type="dxa"/>
            <w:vAlign w:val="center"/>
          </w:tcPr>
          <w:p w14:paraId="014A5A8B">
            <w:pPr>
              <w:pStyle w:val="136"/>
              <w:widowControl w:val="0"/>
              <w:spacing w:line="288" w:lineRule="auto"/>
              <w:jc w:val="center"/>
              <w:rPr>
                <w:rFonts w:hint="eastAsia" w:ascii="宋体" w:hAnsi="宋体" w:eastAsia="宋体" w:cs="宋体"/>
                <w:sz w:val="24"/>
                <w:szCs w:val="24"/>
              </w:rPr>
            </w:pPr>
            <w:r>
              <w:rPr>
                <w:rFonts w:hint="eastAsia" w:ascii="宋体" w:hAnsi="宋体" w:eastAsia="宋体" w:cs="宋体"/>
                <w:color w:val="000000"/>
                <w:sz w:val="24"/>
                <w:szCs w:val="24"/>
              </w:rPr>
              <w:t>100%</w:t>
            </w:r>
          </w:p>
        </w:tc>
      </w:tr>
      <w:tr w14:paraId="2C3486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trPr>
        <w:tc>
          <w:tcPr>
            <w:tcW w:w="974" w:type="dxa"/>
            <w:vAlign w:val="center"/>
          </w:tcPr>
          <w:p w14:paraId="5605A3FE">
            <w:pPr>
              <w:pStyle w:val="136"/>
              <w:widowControl w:val="0"/>
              <w:numPr>
                <w:ilvl w:val="0"/>
                <w:numId w:val="5"/>
              </w:numPr>
              <w:spacing w:line="288" w:lineRule="auto"/>
              <w:jc w:val="center"/>
              <w:rPr>
                <w:rFonts w:hint="eastAsia" w:ascii="宋体" w:hAnsi="宋体" w:eastAsia="宋体" w:cs="宋体"/>
                <w:sz w:val="24"/>
                <w:szCs w:val="24"/>
              </w:rPr>
            </w:pPr>
          </w:p>
        </w:tc>
        <w:tc>
          <w:tcPr>
            <w:tcW w:w="1124" w:type="dxa"/>
            <w:vMerge w:val="continue"/>
            <w:vAlign w:val="center"/>
          </w:tcPr>
          <w:p w14:paraId="2CAF5B27">
            <w:pPr>
              <w:pStyle w:val="136"/>
              <w:widowControl w:val="0"/>
              <w:spacing w:line="288" w:lineRule="auto"/>
              <w:jc w:val="center"/>
              <w:rPr>
                <w:rFonts w:hint="eastAsia" w:ascii="宋体" w:hAnsi="宋体" w:eastAsia="宋体" w:cs="宋体"/>
                <w:sz w:val="24"/>
                <w:szCs w:val="24"/>
              </w:rPr>
            </w:pPr>
          </w:p>
        </w:tc>
        <w:tc>
          <w:tcPr>
            <w:tcW w:w="1481" w:type="dxa"/>
            <w:vMerge w:val="continue"/>
            <w:vAlign w:val="center"/>
          </w:tcPr>
          <w:p w14:paraId="223740E2">
            <w:pPr>
              <w:pStyle w:val="136"/>
              <w:widowControl w:val="0"/>
              <w:spacing w:line="288" w:lineRule="auto"/>
              <w:jc w:val="center"/>
              <w:rPr>
                <w:rFonts w:hint="eastAsia" w:ascii="宋体" w:hAnsi="宋体" w:eastAsia="宋体" w:cs="宋体"/>
                <w:sz w:val="24"/>
                <w:szCs w:val="24"/>
              </w:rPr>
            </w:pPr>
          </w:p>
        </w:tc>
        <w:tc>
          <w:tcPr>
            <w:tcW w:w="1411" w:type="dxa"/>
            <w:vMerge w:val="continue"/>
            <w:vAlign w:val="center"/>
          </w:tcPr>
          <w:p w14:paraId="5D23B83F">
            <w:pPr>
              <w:pStyle w:val="136"/>
              <w:widowControl w:val="0"/>
              <w:spacing w:line="288" w:lineRule="auto"/>
              <w:jc w:val="center"/>
              <w:rPr>
                <w:rFonts w:hint="eastAsia" w:ascii="宋体" w:hAnsi="宋体" w:eastAsia="宋体" w:cs="宋体"/>
                <w:sz w:val="24"/>
                <w:szCs w:val="24"/>
              </w:rPr>
            </w:pPr>
          </w:p>
        </w:tc>
        <w:tc>
          <w:tcPr>
            <w:tcW w:w="2255" w:type="dxa"/>
            <w:vAlign w:val="center"/>
          </w:tcPr>
          <w:p w14:paraId="4F0ABC0A">
            <w:pPr>
              <w:pStyle w:val="136"/>
              <w:widowControl w:val="0"/>
              <w:spacing w:line="288" w:lineRule="auto"/>
              <w:jc w:val="center"/>
              <w:rPr>
                <w:rFonts w:hint="eastAsia" w:ascii="宋体" w:hAnsi="宋体" w:eastAsia="宋体" w:cs="宋体"/>
                <w:sz w:val="24"/>
                <w:szCs w:val="24"/>
              </w:rPr>
            </w:pPr>
            <w:r>
              <w:rPr>
                <w:rFonts w:hint="eastAsia" w:ascii="宋体" w:hAnsi="宋体" w:eastAsia="宋体" w:cs="宋体"/>
                <w:color w:val="000000"/>
                <w:sz w:val="24"/>
                <w:szCs w:val="24"/>
              </w:rPr>
              <w:t>软件测试达标</w:t>
            </w:r>
          </w:p>
        </w:tc>
        <w:tc>
          <w:tcPr>
            <w:tcW w:w="1283" w:type="dxa"/>
            <w:vAlign w:val="center"/>
          </w:tcPr>
          <w:p w14:paraId="7F0C7EA5">
            <w:pPr>
              <w:pStyle w:val="136"/>
              <w:widowControl w:val="0"/>
              <w:spacing w:line="288" w:lineRule="auto"/>
              <w:jc w:val="center"/>
              <w:rPr>
                <w:rFonts w:hint="eastAsia" w:ascii="宋体" w:hAnsi="宋体" w:eastAsia="宋体" w:cs="宋体"/>
                <w:sz w:val="24"/>
                <w:szCs w:val="24"/>
              </w:rPr>
            </w:pPr>
            <w:r>
              <w:rPr>
                <w:rFonts w:hint="eastAsia" w:ascii="宋体" w:hAnsi="宋体" w:eastAsia="宋体" w:cs="宋体"/>
                <w:color w:val="000000"/>
                <w:sz w:val="24"/>
                <w:szCs w:val="24"/>
              </w:rPr>
              <w:t>达标</w:t>
            </w:r>
          </w:p>
        </w:tc>
      </w:tr>
      <w:tr w14:paraId="19B1A1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trPr>
        <w:tc>
          <w:tcPr>
            <w:tcW w:w="974" w:type="dxa"/>
            <w:vAlign w:val="center"/>
          </w:tcPr>
          <w:p w14:paraId="047DFE4E">
            <w:pPr>
              <w:pStyle w:val="136"/>
              <w:widowControl w:val="0"/>
              <w:numPr>
                <w:ilvl w:val="0"/>
                <w:numId w:val="5"/>
              </w:numPr>
              <w:spacing w:line="288" w:lineRule="auto"/>
              <w:jc w:val="center"/>
              <w:rPr>
                <w:rFonts w:hint="eastAsia" w:ascii="宋体" w:hAnsi="宋体" w:eastAsia="宋体" w:cs="宋体"/>
                <w:sz w:val="24"/>
                <w:szCs w:val="24"/>
              </w:rPr>
            </w:pPr>
          </w:p>
        </w:tc>
        <w:tc>
          <w:tcPr>
            <w:tcW w:w="1124" w:type="dxa"/>
            <w:vMerge w:val="continue"/>
            <w:vAlign w:val="center"/>
          </w:tcPr>
          <w:p w14:paraId="3A3E5AB1">
            <w:pPr>
              <w:pStyle w:val="136"/>
              <w:widowControl w:val="0"/>
              <w:spacing w:line="288" w:lineRule="auto"/>
              <w:jc w:val="center"/>
              <w:rPr>
                <w:rFonts w:hint="eastAsia" w:ascii="宋体" w:hAnsi="宋体" w:eastAsia="宋体" w:cs="宋体"/>
                <w:sz w:val="24"/>
                <w:szCs w:val="24"/>
              </w:rPr>
            </w:pPr>
          </w:p>
        </w:tc>
        <w:tc>
          <w:tcPr>
            <w:tcW w:w="1481" w:type="dxa"/>
            <w:vMerge w:val="continue"/>
            <w:vAlign w:val="center"/>
          </w:tcPr>
          <w:p w14:paraId="645E6FAB">
            <w:pPr>
              <w:pStyle w:val="136"/>
              <w:widowControl w:val="0"/>
              <w:spacing w:line="288" w:lineRule="auto"/>
              <w:jc w:val="center"/>
              <w:rPr>
                <w:rFonts w:hint="eastAsia" w:ascii="宋体" w:hAnsi="宋体" w:eastAsia="宋体" w:cs="宋体"/>
                <w:sz w:val="24"/>
                <w:szCs w:val="24"/>
              </w:rPr>
            </w:pPr>
          </w:p>
        </w:tc>
        <w:tc>
          <w:tcPr>
            <w:tcW w:w="1411" w:type="dxa"/>
            <w:vMerge w:val="continue"/>
            <w:vAlign w:val="center"/>
          </w:tcPr>
          <w:p w14:paraId="4F07D3D2">
            <w:pPr>
              <w:pStyle w:val="136"/>
              <w:widowControl w:val="0"/>
              <w:spacing w:line="288" w:lineRule="auto"/>
              <w:jc w:val="center"/>
              <w:rPr>
                <w:rFonts w:hint="eastAsia" w:ascii="宋体" w:hAnsi="宋体" w:eastAsia="宋体" w:cs="宋体"/>
                <w:sz w:val="24"/>
                <w:szCs w:val="24"/>
              </w:rPr>
            </w:pPr>
          </w:p>
        </w:tc>
        <w:tc>
          <w:tcPr>
            <w:tcW w:w="2255" w:type="dxa"/>
            <w:vAlign w:val="center"/>
          </w:tcPr>
          <w:p w14:paraId="6F126689">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密码测试达标</w:t>
            </w:r>
          </w:p>
        </w:tc>
        <w:tc>
          <w:tcPr>
            <w:tcW w:w="1283" w:type="dxa"/>
            <w:vAlign w:val="center"/>
          </w:tcPr>
          <w:p w14:paraId="187F797D">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达标</w:t>
            </w:r>
          </w:p>
        </w:tc>
      </w:tr>
      <w:tr w14:paraId="70249A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trPr>
        <w:tc>
          <w:tcPr>
            <w:tcW w:w="974" w:type="dxa"/>
            <w:vAlign w:val="center"/>
          </w:tcPr>
          <w:p w14:paraId="1042A08D">
            <w:pPr>
              <w:pStyle w:val="136"/>
              <w:widowControl w:val="0"/>
              <w:numPr>
                <w:ilvl w:val="0"/>
                <w:numId w:val="5"/>
              </w:numPr>
              <w:spacing w:line="288" w:lineRule="auto"/>
              <w:jc w:val="center"/>
              <w:rPr>
                <w:rFonts w:hint="eastAsia" w:ascii="宋体" w:hAnsi="宋体" w:eastAsia="宋体" w:cs="宋体"/>
                <w:sz w:val="24"/>
                <w:szCs w:val="24"/>
              </w:rPr>
            </w:pPr>
          </w:p>
        </w:tc>
        <w:tc>
          <w:tcPr>
            <w:tcW w:w="1124" w:type="dxa"/>
            <w:vMerge w:val="continue"/>
            <w:vAlign w:val="center"/>
          </w:tcPr>
          <w:p w14:paraId="5FF1D35E">
            <w:pPr>
              <w:pStyle w:val="136"/>
              <w:widowControl w:val="0"/>
              <w:spacing w:line="288" w:lineRule="auto"/>
              <w:jc w:val="center"/>
              <w:rPr>
                <w:rFonts w:hint="eastAsia" w:ascii="宋体" w:hAnsi="宋体" w:eastAsia="宋体" w:cs="宋体"/>
                <w:sz w:val="24"/>
                <w:szCs w:val="24"/>
              </w:rPr>
            </w:pPr>
          </w:p>
        </w:tc>
        <w:tc>
          <w:tcPr>
            <w:tcW w:w="1481" w:type="dxa"/>
            <w:vMerge w:val="continue"/>
            <w:vAlign w:val="center"/>
          </w:tcPr>
          <w:p w14:paraId="0B4342AF">
            <w:pPr>
              <w:pStyle w:val="136"/>
              <w:widowControl w:val="0"/>
              <w:spacing w:line="288" w:lineRule="auto"/>
              <w:jc w:val="center"/>
              <w:rPr>
                <w:rFonts w:hint="eastAsia" w:ascii="宋体" w:hAnsi="宋体" w:eastAsia="宋体" w:cs="宋体"/>
                <w:sz w:val="24"/>
                <w:szCs w:val="24"/>
              </w:rPr>
            </w:pPr>
          </w:p>
        </w:tc>
        <w:tc>
          <w:tcPr>
            <w:tcW w:w="1411" w:type="dxa"/>
            <w:vMerge w:val="continue"/>
            <w:vAlign w:val="center"/>
          </w:tcPr>
          <w:p w14:paraId="55DBADD3">
            <w:pPr>
              <w:pStyle w:val="136"/>
              <w:widowControl w:val="0"/>
              <w:spacing w:line="288" w:lineRule="auto"/>
              <w:jc w:val="center"/>
              <w:rPr>
                <w:rFonts w:hint="eastAsia" w:ascii="宋体" w:hAnsi="宋体" w:eastAsia="宋体" w:cs="宋体"/>
                <w:sz w:val="24"/>
                <w:szCs w:val="24"/>
              </w:rPr>
            </w:pPr>
          </w:p>
        </w:tc>
        <w:tc>
          <w:tcPr>
            <w:tcW w:w="2255" w:type="dxa"/>
            <w:vAlign w:val="center"/>
          </w:tcPr>
          <w:p w14:paraId="47ECF173">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网络安全等级达标</w:t>
            </w:r>
          </w:p>
        </w:tc>
        <w:tc>
          <w:tcPr>
            <w:tcW w:w="1283" w:type="dxa"/>
            <w:vAlign w:val="center"/>
          </w:tcPr>
          <w:p w14:paraId="69F38E8C">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达标</w:t>
            </w:r>
          </w:p>
        </w:tc>
      </w:tr>
      <w:tr w14:paraId="0E81C4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trPr>
        <w:tc>
          <w:tcPr>
            <w:tcW w:w="974" w:type="dxa"/>
            <w:vAlign w:val="center"/>
          </w:tcPr>
          <w:p w14:paraId="58D3DBD7">
            <w:pPr>
              <w:pStyle w:val="136"/>
              <w:widowControl w:val="0"/>
              <w:numPr>
                <w:ilvl w:val="0"/>
                <w:numId w:val="5"/>
              </w:numPr>
              <w:spacing w:line="288" w:lineRule="auto"/>
              <w:jc w:val="center"/>
              <w:rPr>
                <w:rFonts w:hint="eastAsia" w:ascii="宋体" w:hAnsi="宋体" w:eastAsia="宋体" w:cs="宋体"/>
                <w:sz w:val="24"/>
                <w:szCs w:val="24"/>
              </w:rPr>
            </w:pPr>
          </w:p>
        </w:tc>
        <w:tc>
          <w:tcPr>
            <w:tcW w:w="1124" w:type="dxa"/>
            <w:vMerge w:val="continue"/>
            <w:vAlign w:val="center"/>
          </w:tcPr>
          <w:p w14:paraId="338C4B59">
            <w:pPr>
              <w:pStyle w:val="136"/>
              <w:widowControl w:val="0"/>
              <w:spacing w:line="288" w:lineRule="auto"/>
              <w:jc w:val="center"/>
              <w:rPr>
                <w:rFonts w:hint="eastAsia" w:ascii="宋体" w:hAnsi="宋体" w:eastAsia="宋体" w:cs="宋体"/>
                <w:sz w:val="24"/>
                <w:szCs w:val="24"/>
              </w:rPr>
            </w:pPr>
          </w:p>
        </w:tc>
        <w:tc>
          <w:tcPr>
            <w:tcW w:w="1481" w:type="dxa"/>
            <w:vMerge w:val="continue"/>
            <w:vAlign w:val="center"/>
          </w:tcPr>
          <w:p w14:paraId="58B35CEB">
            <w:pPr>
              <w:pStyle w:val="136"/>
              <w:widowControl w:val="0"/>
              <w:spacing w:line="288" w:lineRule="auto"/>
              <w:jc w:val="center"/>
              <w:rPr>
                <w:rFonts w:hint="eastAsia" w:ascii="宋体" w:hAnsi="宋体" w:eastAsia="宋体" w:cs="宋体"/>
                <w:sz w:val="24"/>
                <w:szCs w:val="24"/>
              </w:rPr>
            </w:pPr>
          </w:p>
        </w:tc>
        <w:tc>
          <w:tcPr>
            <w:tcW w:w="1411" w:type="dxa"/>
            <w:vMerge w:val="continue"/>
            <w:vAlign w:val="center"/>
          </w:tcPr>
          <w:p w14:paraId="06DECB13">
            <w:pPr>
              <w:pStyle w:val="136"/>
              <w:widowControl w:val="0"/>
              <w:spacing w:line="288" w:lineRule="auto"/>
              <w:jc w:val="center"/>
              <w:rPr>
                <w:rFonts w:hint="eastAsia" w:ascii="宋体" w:hAnsi="宋体" w:eastAsia="宋体" w:cs="宋体"/>
                <w:sz w:val="24"/>
                <w:szCs w:val="24"/>
              </w:rPr>
            </w:pPr>
          </w:p>
        </w:tc>
        <w:tc>
          <w:tcPr>
            <w:tcW w:w="2255" w:type="dxa"/>
            <w:vAlign w:val="center"/>
          </w:tcPr>
          <w:p w14:paraId="0321B6A0">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安全测试达标</w:t>
            </w:r>
          </w:p>
        </w:tc>
        <w:tc>
          <w:tcPr>
            <w:tcW w:w="1283" w:type="dxa"/>
            <w:vAlign w:val="center"/>
          </w:tcPr>
          <w:p w14:paraId="7360845A">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达标</w:t>
            </w:r>
          </w:p>
        </w:tc>
      </w:tr>
      <w:tr w14:paraId="597DB4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trPr>
        <w:tc>
          <w:tcPr>
            <w:tcW w:w="974" w:type="dxa"/>
            <w:vAlign w:val="center"/>
          </w:tcPr>
          <w:p w14:paraId="1BBE49D5">
            <w:pPr>
              <w:pStyle w:val="136"/>
              <w:widowControl w:val="0"/>
              <w:numPr>
                <w:ilvl w:val="0"/>
                <w:numId w:val="5"/>
              </w:numPr>
              <w:spacing w:line="288" w:lineRule="auto"/>
              <w:jc w:val="center"/>
              <w:rPr>
                <w:rFonts w:hint="eastAsia" w:ascii="宋体" w:hAnsi="宋体" w:eastAsia="宋体" w:cs="宋体"/>
                <w:sz w:val="24"/>
                <w:szCs w:val="24"/>
              </w:rPr>
            </w:pPr>
          </w:p>
        </w:tc>
        <w:tc>
          <w:tcPr>
            <w:tcW w:w="1124" w:type="dxa"/>
            <w:vMerge w:val="continue"/>
            <w:vAlign w:val="center"/>
          </w:tcPr>
          <w:p w14:paraId="35350BF9">
            <w:pPr>
              <w:pStyle w:val="136"/>
              <w:widowControl w:val="0"/>
              <w:spacing w:line="288" w:lineRule="auto"/>
              <w:jc w:val="center"/>
              <w:rPr>
                <w:rFonts w:hint="eastAsia" w:ascii="宋体" w:hAnsi="宋体" w:eastAsia="宋体" w:cs="宋体"/>
                <w:sz w:val="24"/>
                <w:szCs w:val="24"/>
              </w:rPr>
            </w:pPr>
          </w:p>
        </w:tc>
        <w:tc>
          <w:tcPr>
            <w:tcW w:w="1481" w:type="dxa"/>
            <w:vMerge w:val="restart"/>
            <w:vAlign w:val="center"/>
          </w:tcPr>
          <w:p w14:paraId="267C364A">
            <w:pPr>
              <w:pStyle w:val="136"/>
              <w:widowControl w:val="0"/>
              <w:spacing w:line="288" w:lineRule="auto"/>
              <w:jc w:val="center"/>
              <w:rPr>
                <w:rFonts w:hint="eastAsia" w:ascii="宋体" w:hAnsi="宋体" w:eastAsia="宋体" w:cs="宋体"/>
                <w:sz w:val="24"/>
                <w:szCs w:val="24"/>
              </w:rPr>
            </w:pPr>
            <w:r>
              <w:rPr>
                <w:rFonts w:hint="eastAsia" w:ascii="宋体" w:hAnsi="宋体" w:eastAsia="宋体" w:cs="宋体"/>
                <w:color w:val="000000"/>
                <w:sz w:val="24"/>
                <w:szCs w:val="24"/>
              </w:rPr>
              <w:t>共性平台</w:t>
            </w:r>
          </w:p>
        </w:tc>
        <w:tc>
          <w:tcPr>
            <w:tcW w:w="1411" w:type="dxa"/>
            <w:vAlign w:val="center"/>
          </w:tcPr>
          <w:p w14:paraId="3724D0C1">
            <w:pPr>
              <w:pStyle w:val="136"/>
              <w:widowControl w:val="0"/>
              <w:spacing w:line="288" w:lineRule="auto"/>
              <w:jc w:val="center"/>
              <w:rPr>
                <w:rFonts w:hint="eastAsia" w:ascii="宋体" w:hAnsi="宋体" w:eastAsia="宋体" w:cs="宋体"/>
                <w:sz w:val="24"/>
                <w:szCs w:val="24"/>
              </w:rPr>
            </w:pPr>
            <w:r>
              <w:rPr>
                <w:rFonts w:hint="eastAsia" w:ascii="宋体" w:hAnsi="宋体" w:eastAsia="宋体" w:cs="宋体"/>
                <w:color w:val="000000"/>
                <w:sz w:val="24"/>
                <w:szCs w:val="24"/>
              </w:rPr>
              <w:t>系统共享水平</w:t>
            </w:r>
          </w:p>
        </w:tc>
        <w:tc>
          <w:tcPr>
            <w:tcW w:w="2255" w:type="dxa"/>
            <w:vAlign w:val="center"/>
          </w:tcPr>
          <w:p w14:paraId="12F3166F">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跨部门数据共享程度</w:t>
            </w:r>
          </w:p>
        </w:tc>
        <w:tc>
          <w:tcPr>
            <w:tcW w:w="1283" w:type="dxa"/>
            <w:vAlign w:val="center"/>
          </w:tcPr>
          <w:p w14:paraId="5584362C">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100%</w:t>
            </w:r>
          </w:p>
        </w:tc>
      </w:tr>
      <w:tr w14:paraId="325813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trPr>
        <w:tc>
          <w:tcPr>
            <w:tcW w:w="974" w:type="dxa"/>
            <w:vAlign w:val="center"/>
          </w:tcPr>
          <w:p w14:paraId="0AB1E022">
            <w:pPr>
              <w:pStyle w:val="136"/>
              <w:widowControl w:val="0"/>
              <w:numPr>
                <w:ilvl w:val="0"/>
                <w:numId w:val="5"/>
              </w:numPr>
              <w:spacing w:line="288" w:lineRule="auto"/>
              <w:jc w:val="center"/>
              <w:rPr>
                <w:rFonts w:hint="eastAsia" w:ascii="宋体" w:hAnsi="宋体" w:eastAsia="宋体" w:cs="宋体"/>
                <w:sz w:val="24"/>
                <w:szCs w:val="24"/>
              </w:rPr>
            </w:pPr>
          </w:p>
        </w:tc>
        <w:tc>
          <w:tcPr>
            <w:tcW w:w="1124" w:type="dxa"/>
            <w:vMerge w:val="continue"/>
            <w:vAlign w:val="center"/>
          </w:tcPr>
          <w:p w14:paraId="328E5180">
            <w:pPr>
              <w:pStyle w:val="136"/>
              <w:widowControl w:val="0"/>
              <w:spacing w:line="288" w:lineRule="auto"/>
              <w:jc w:val="center"/>
              <w:rPr>
                <w:rFonts w:hint="eastAsia" w:ascii="宋体" w:hAnsi="宋体" w:eastAsia="宋体" w:cs="宋体"/>
                <w:sz w:val="24"/>
                <w:szCs w:val="24"/>
              </w:rPr>
            </w:pPr>
          </w:p>
        </w:tc>
        <w:tc>
          <w:tcPr>
            <w:tcW w:w="1481" w:type="dxa"/>
            <w:vMerge w:val="continue"/>
            <w:vAlign w:val="center"/>
          </w:tcPr>
          <w:p w14:paraId="7D5D0A56">
            <w:pPr>
              <w:pStyle w:val="136"/>
              <w:widowControl w:val="0"/>
              <w:spacing w:line="288" w:lineRule="auto"/>
              <w:jc w:val="center"/>
              <w:rPr>
                <w:rFonts w:hint="eastAsia" w:ascii="宋体" w:hAnsi="宋体" w:eastAsia="宋体" w:cs="宋体"/>
                <w:color w:val="000000"/>
                <w:sz w:val="24"/>
                <w:szCs w:val="24"/>
              </w:rPr>
            </w:pPr>
          </w:p>
        </w:tc>
        <w:tc>
          <w:tcPr>
            <w:tcW w:w="1411" w:type="dxa"/>
            <w:vAlign w:val="center"/>
          </w:tcPr>
          <w:p w14:paraId="2088ABD6">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数据质量水平</w:t>
            </w:r>
          </w:p>
        </w:tc>
        <w:tc>
          <w:tcPr>
            <w:tcW w:w="2255" w:type="dxa"/>
            <w:vAlign w:val="center"/>
          </w:tcPr>
          <w:p w14:paraId="44DC8D6B">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核心数据缺失率</w:t>
            </w:r>
          </w:p>
        </w:tc>
        <w:tc>
          <w:tcPr>
            <w:tcW w:w="1283" w:type="dxa"/>
            <w:vAlign w:val="center"/>
          </w:tcPr>
          <w:p w14:paraId="4E053EF0">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0%</w:t>
            </w:r>
          </w:p>
        </w:tc>
      </w:tr>
      <w:tr w14:paraId="71ACEA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trPr>
        <w:tc>
          <w:tcPr>
            <w:tcW w:w="974" w:type="dxa"/>
            <w:vAlign w:val="center"/>
          </w:tcPr>
          <w:p w14:paraId="26BEE8D1">
            <w:pPr>
              <w:pStyle w:val="136"/>
              <w:widowControl w:val="0"/>
              <w:numPr>
                <w:ilvl w:val="0"/>
                <w:numId w:val="5"/>
              </w:numPr>
              <w:spacing w:line="288" w:lineRule="auto"/>
              <w:jc w:val="center"/>
              <w:rPr>
                <w:rFonts w:hint="eastAsia" w:ascii="宋体" w:hAnsi="宋体" w:eastAsia="宋体" w:cs="宋体"/>
                <w:sz w:val="24"/>
                <w:szCs w:val="24"/>
              </w:rPr>
            </w:pPr>
          </w:p>
        </w:tc>
        <w:tc>
          <w:tcPr>
            <w:tcW w:w="1124" w:type="dxa"/>
            <w:vMerge w:val="continue"/>
            <w:vAlign w:val="center"/>
          </w:tcPr>
          <w:p w14:paraId="2CDA7459">
            <w:pPr>
              <w:pStyle w:val="136"/>
              <w:widowControl w:val="0"/>
              <w:spacing w:line="288" w:lineRule="auto"/>
              <w:jc w:val="center"/>
              <w:rPr>
                <w:rFonts w:hint="eastAsia" w:ascii="宋体" w:hAnsi="宋体" w:eastAsia="宋体" w:cs="宋体"/>
                <w:sz w:val="24"/>
                <w:szCs w:val="24"/>
              </w:rPr>
            </w:pPr>
          </w:p>
        </w:tc>
        <w:tc>
          <w:tcPr>
            <w:tcW w:w="1481" w:type="dxa"/>
            <w:vMerge w:val="restart"/>
            <w:vAlign w:val="center"/>
          </w:tcPr>
          <w:p w14:paraId="748E07B4">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安全体系</w:t>
            </w:r>
          </w:p>
        </w:tc>
        <w:tc>
          <w:tcPr>
            <w:tcW w:w="1411" w:type="dxa"/>
            <w:vMerge w:val="restart"/>
            <w:vAlign w:val="center"/>
          </w:tcPr>
          <w:p w14:paraId="240E882B">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安全建设水平</w:t>
            </w:r>
          </w:p>
        </w:tc>
        <w:tc>
          <w:tcPr>
            <w:tcW w:w="2255" w:type="dxa"/>
            <w:vAlign w:val="center"/>
          </w:tcPr>
          <w:p w14:paraId="42D57447">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安全设备购置完成率</w:t>
            </w:r>
          </w:p>
        </w:tc>
        <w:tc>
          <w:tcPr>
            <w:tcW w:w="1283" w:type="dxa"/>
            <w:vAlign w:val="center"/>
          </w:tcPr>
          <w:p w14:paraId="5FCB480C">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100%</w:t>
            </w:r>
          </w:p>
        </w:tc>
      </w:tr>
      <w:tr w14:paraId="2334E7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trPr>
        <w:tc>
          <w:tcPr>
            <w:tcW w:w="974" w:type="dxa"/>
            <w:vAlign w:val="center"/>
          </w:tcPr>
          <w:p w14:paraId="17555E2B">
            <w:pPr>
              <w:pStyle w:val="136"/>
              <w:widowControl w:val="0"/>
              <w:numPr>
                <w:ilvl w:val="0"/>
                <w:numId w:val="5"/>
              </w:numPr>
              <w:spacing w:line="288" w:lineRule="auto"/>
              <w:jc w:val="center"/>
              <w:rPr>
                <w:rFonts w:hint="eastAsia" w:ascii="宋体" w:hAnsi="宋体" w:eastAsia="宋体" w:cs="宋体"/>
                <w:sz w:val="24"/>
                <w:szCs w:val="24"/>
              </w:rPr>
            </w:pPr>
          </w:p>
        </w:tc>
        <w:tc>
          <w:tcPr>
            <w:tcW w:w="1124" w:type="dxa"/>
            <w:vMerge w:val="continue"/>
            <w:vAlign w:val="center"/>
          </w:tcPr>
          <w:p w14:paraId="77046119">
            <w:pPr>
              <w:pStyle w:val="136"/>
              <w:widowControl w:val="0"/>
              <w:spacing w:line="288" w:lineRule="auto"/>
              <w:jc w:val="center"/>
              <w:rPr>
                <w:rFonts w:hint="eastAsia" w:ascii="宋体" w:hAnsi="宋体" w:eastAsia="宋体" w:cs="宋体"/>
                <w:sz w:val="24"/>
                <w:szCs w:val="24"/>
              </w:rPr>
            </w:pPr>
          </w:p>
        </w:tc>
        <w:tc>
          <w:tcPr>
            <w:tcW w:w="1481" w:type="dxa"/>
            <w:vMerge w:val="continue"/>
            <w:vAlign w:val="center"/>
          </w:tcPr>
          <w:p w14:paraId="4B3345FD">
            <w:pPr>
              <w:pStyle w:val="136"/>
              <w:widowControl w:val="0"/>
              <w:spacing w:line="288" w:lineRule="auto"/>
              <w:jc w:val="center"/>
              <w:rPr>
                <w:rFonts w:hint="eastAsia" w:ascii="宋体" w:hAnsi="宋体" w:eastAsia="宋体" w:cs="宋体"/>
                <w:color w:val="000000"/>
                <w:sz w:val="24"/>
                <w:szCs w:val="24"/>
              </w:rPr>
            </w:pPr>
          </w:p>
        </w:tc>
        <w:tc>
          <w:tcPr>
            <w:tcW w:w="1411" w:type="dxa"/>
            <w:vMerge w:val="continue"/>
            <w:vAlign w:val="center"/>
          </w:tcPr>
          <w:p w14:paraId="16AE6CA0">
            <w:pPr>
              <w:pStyle w:val="136"/>
              <w:widowControl w:val="0"/>
              <w:spacing w:line="288" w:lineRule="auto"/>
              <w:jc w:val="center"/>
              <w:rPr>
                <w:rFonts w:hint="eastAsia" w:ascii="宋体" w:hAnsi="宋体" w:eastAsia="宋体" w:cs="宋体"/>
                <w:color w:val="000000"/>
                <w:sz w:val="24"/>
                <w:szCs w:val="24"/>
              </w:rPr>
            </w:pPr>
          </w:p>
        </w:tc>
        <w:tc>
          <w:tcPr>
            <w:tcW w:w="2255" w:type="dxa"/>
            <w:vAlign w:val="center"/>
          </w:tcPr>
          <w:p w14:paraId="5C200F5B">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安全产品购置完成率</w:t>
            </w:r>
          </w:p>
        </w:tc>
        <w:tc>
          <w:tcPr>
            <w:tcW w:w="1283" w:type="dxa"/>
            <w:vAlign w:val="center"/>
          </w:tcPr>
          <w:p w14:paraId="5016323C">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100%</w:t>
            </w:r>
          </w:p>
        </w:tc>
      </w:tr>
      <w:tr w14:paraId="3A7ABB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trPr>
        <w:tc>
          <w:tcPr>
            <w:tcW w:w="974" w:type="dxa"/>
            <w:vAlign w:val="center"/>
          </w:tcPr>
          <w:p w14:paraId="1049BBE0">
            <w:pPr>
              <w:pStyle w:val="136"/>
              <w:widowControl w:val="0"/>
              <w:numPr>
                <w:ilvl w:val="0"/>
                <w:numId w:val="5"/>
              </w:numPr>
              <w:spacing w:line="288" w:lineRule="auto"/>
              <w:jc w:val="center"/>
              <w:rPr>
                <w:rFonts w:hint="eastAsia" w:ascii="宋体" w:hAnsi="宋体" w:eastAsia="宋体" w:cs="宋体"/>
                <w:sz w:val="24"/>
                <w:szCs w:val="24"/>
              </w:rPr>
            </w:pPr>
          </w:p>
        </w:tc>
        <w:tc>
          <w:tcPr>
            <w:tcW w:w="1124" w:type="dxa"/>
            <w:vMerge w:val="continue"/>
            <w:vAlign w:val="center"/>
          </w:tcPr>
          <w:p w14:paraId="12F86482">
            <w:pPr>
              <w:pStyle w:val="136"/>
              <w:widowControl w:val="0"/>
              <w:spacing w:line="288" w:lineRule="auto"/>
              <w:jc w:val="center"/>
              <w:rPr>
                <w:rFonts w:hint="eastAsia" w:ascii="宋体" w:hAnsi="宋体" w:eastAsia="宋体" w:cs="宋体"/>
                <w:sz w:val="24"/>
                <w:szCs w:val="24"/>
              </w:rPr>
            </w:pPr>
          </w:p>
        </w:tc>
        <w:tc>
          <w:tcPr>
            <w:tcW w:w="1481" w:type="dxa"/>
            <w:vMerge w:val="continue"/>
            <w:vAlign w:val="center"/>
          </w:tcPr>
          <w:p w14:paraId="2E596BB1">
            <w:pPr>
              <w:pStyle w:val="136"/>
              <w:widowControl w:val="0"/>
              <w:spacing w:line="288" w:lineRule="auto"/>
              <w:jc w:val="center"/>
              <w:rPr>
                <w:rFonts w:hint="eastAsia" w:ascii="宋体" w:hAnsi="宋体" w:eastAsia="宋体" w:cs="宋体"/>
                <w:color w:val="000000"/>
                <w:sz w:val="24"/>
                <w:szCs w:val="24"/>
              </w:rPr>
            </w:pPr>
          </w:p>
        </w:tc>
        <w:tc>
          <w:tcPr>
            <w:tcW w:w="1411" w:type="dxa"/>
            <w:vMerge w:val="continue"/>
            <w:vAlign w:val="center"/>
          </w:tcPr>
          <w:p w14:paraId="09AAEDD7">
            <w:pPr>
              <w:pStyle w:val="136"/>
              <w:widowControl w:val="0"/>
              <w:spacing w:line="288" w:lineRule="auto"/>
              <w:jc w:val="center"/>
              <w:rPr>
                <w:rFonts w:hint="eastAsia" w:ascii="宋体" w:hAnsi="宋体" w:eastAsia="宋体" w:cs="宋体"/>
                <w:color w:val="000000"/>
                <w:sz w:val="24"/>
                <w:szCs w:val="24"/>
              </w:rPr>
            </w:pPr>
          </w:p>
        </w:tc>
        <w:tc>
          <w:tcPr>
            <w:tcW w:w="2255" w:type="dxa"/>
            <w:vAlign w:val="center"/>
          </w:tcPr>
          <w:p w14:paraId="1ADFCF3D">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信息系统安全监管覆盖率</w:t>
            </w:r>
          </w:p>
        </w:tc>
        <w:tc>
          <w:tcPr>
            <w:tcW w:w="1283" w:type="dxa"/>
            <w:vAlign w:val="center"/>
          </w:tcPr>
          <w:p w14:paraId="044584AA">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100%</w:t>
            </w:r>
          </w:p>
        </w:tc>
      </w:tr>
      <w:tr w14:paraId="48222B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trPr>
        <w:tc>
          <w:tcPr>
            <w:tcW w:w="974" w:type="dxa"/>
            <w:vAlign w:val="center"/>
          </w:tcPr>
          <w:p w14:paraId="698A865D">
            <w:pPr>
              <w:pStyle w:val="136"/>
              <w:widowControl w:val="0"/>
              <w:numPr>
                <w:ilvl w:val="0"/>
                <w:numId w:val="5"/>
              </w:numPr>
              <w:spacing w:line="288" w:lineRule="auto"/>
              <w:jc w:val="center"/>
              <w:rPr>
                <w:rFonts w:hint="eastAsia" w:ascii="宋体" w:hAnsi="宋体" w:eastAsia="宋体" w:cs="宋体"/>
                <w:sz w:val="24"/>
                <w:szCs w:val="24"/>
              </w:rPr>
            </w:pPr>
          </w:p>
        </w:tc>
        <w:tc>
          <w:tcPr>
            <w:tcW w:w="1124" w:type="dxa"/>
            <w:vMerge w:val="continue"/>
            <w:vAlign w:val="center"/>
          </w:tcPr>
          <w:p w14:paraId="073587A3">
            <w:pPr>
              <w:pStyle w:val="136"/>
              <w:widowControl w:val="0"/>
              <w:spacing w:line="288" w:lineRule="auto"/>
              <w:jc w:val="center"/>
              <w:rPr>
                <w:rFonts w:hint="eastAsia" w:ascii="宋体" w:hAnsi="宋体" w:eastAsia="宋体" w:cs="宋体"/>
                <w:sz w:val="24"/>
                <w:szCs w:val="24"/>
              </w:rPr>
            </w:pPr>
          </w:p>
        </w:tc>
        <w:tc>
          <w:tcPr>
            <w:tcW w:w="1481" w:type="dxa"/>
            <w:vMerge w:val="continue"/>
            <w:vAlign w:val="center"/>
          </w:tcPr>
          <w:p w14:paraId="0E30BFCE">
            <w:pPr>
              <w:pStyle w:val="136"/>
              <w:widowControl w:val="0"/>
              <w:spacing w:line="288" w:lineRule="auto"/>
              <w:jc w:val="center"/>
              <w:rPr>
                <w:rFonts w:hint="eastAsia" w:ascii="宋体" w:hAnsi="宋体" w:eastAsia="宋体" w:cs="宋体"/>
                <w:color w:val="000000"/>
                <w:sz w:val="24"/>
                <w:szCs w:val="24"/>
              </w:rPr>
            </w:pPr>
          </w:p>
        </w:tc>
        <w:tc>
          <w:tcPr>
            <w:tcW w:w="1411" w:type="dxa"/>
            <w:vMerge w:val="continue"/>
            <w:vAlign w:val="center"/>
          </w:tcPr>
          <w:p w14:paraId="70B6780E">
            <w:pPr>
              <w:pStyle w:val="136"/>
              <w:widowControl w:val="0"/>
              <w:spacing w:line="288" w:lineRule="auto"/>
              <w:jc w:val="center"/>
              <w:rPr>
                <w:rFonts w:hint="eastAsia" w:ascii="宋体" w:hAnsi="宋体" w:eastAsia="宋体" w:cs="宋体"/>
                <w:color w:val="000000"/>
                <w:sz w:val="24"/>
                <w:szCs w:val="24"/>
              </w:rPr>
            </w:pPr>
          </w:p>
        </w:tc>
        <w:tc>
          <w:tcPr>
            <w:tcW w:w="2255" w:type="dxa"/>
            <w:vAlign w:val="center"/>
          </w:tcPr>
          <w:p w14:paraId="78CD4DE0">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数据风险监测</w:t>
            </w:r>
          </w:p>
          <w:p w14:paraId="57383109">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覆盖率</w:t>
            </w:r>
          </w:p>
        </w:tc>
        <w:tc>
          <w:tcPr>
            <w:tcW w:w="1283" w:type="dxa"/>
            <w:vAlign w:val="center"/>
          </w:tcPr>
          <w:p w14:paraId="51AC70F4">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100%</w:t>
            </w:r>
          </w:p>
        </w:tc>
      </w:tr>
      <w:tr w14:paraId="5858E7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trPr>
        <w:tc>
          <w:tcPr>
            <w:tcW w:w="974" w:type="dxa"/>
            <w:vAlign w:val="center"/>
          </w:tcPr>
          <w:p w14:paraId="38ABB694">
            <w:pPr>
              <w:pStyle w:val="136"/>
              <w:widowControl w:val="0"/>
              <w:numPr>
                <w:ilvl w:val="0"/>
                <w:numId w:val="5"/>
              </w:numPr>
              <w:spacing w:line="288" w:lineRule="auto"/>
              <w:jc w:val="center"/>
              <w:rPr>
                <w:rFonts w:hint="eastAsia" w:ascii="宋体" w:hAnsi="宋体" w:eastAsia="宋体" w:cs="宋体"/>
                <w:sz w:val="24"/>
                <w:szCs w:val="24"/>
              </w:rPr>
            </w:pPr>
          </w:p>
        </w:tc>
        <w:tc>
          <w:tcPr>
            <w:tcW w:w="1124" w:type="dxa"/>
            <w:vMerge w:val="continue"/>
            <w:vAlign w:val="center"/>
          </w:tcPr>
          <w:p w14:paraId="2D7974C9">
            <w:pPr>
              <w:pStyle w:val="136"/>
              <w:widowControl w:val="0"/>
              <w:spacing w:line="288" w:lineRule="auto"/>
              <w:jc w:val="center"/>
              <w:rPr>
                <w:rFonts w:hint="eastAsia" w:ascii="宋体" w:hAnsi="宋体" w:eastAsia="宋体" w:cs="宋体"/>
                <w:sz w:val="24"/>
                <w:szCs w:val="24"/>
              </w:rPr>
            </w:pPr>
          </w:p>
        </w:tc>
        <w:tc>
          <w:tcPr>
            <w:tcW w:w="1481" w:type="dxa"/>
            <w:vMerge w:val="continue"/>
            <w:vAlign w:val="center"/>
          </w:tcPr>
          <w:p w14:paraId="4D05C45D">
            <w:pPr>
              <w:pStyle w:val="136"/>
              <w:widowControl w:val="0"/>
              <w:spacing w:line="288" w:lineRule="auto"/>
              <w:jc w:val="center"/>
              <w:rPr>
                <w:rFonts w:hint="eastAsia" w:ascii="宋体" w:hAnsi="宋体" w:eastAsia="宋体" w:cs="宋体"/>
                <w:color w:val="000000"/>
                <w:sz w:val="24"/>
                <w:szCs w:val="24"/>
              </w:rPr>
            </w:pPr>
          </w:p>
        </w:tc>
        <w:tc>
          <w:tcPr>
            <w:tcW w:w="1411" w:type="dxa"/>
            <w:vMerge w:val="continue"/>
            <w:vAlign w:val="center"/>
          </w:tcPr>
          <w:p w14:paraId="06E259C2">
            <w:pPr>
              <w:pStyle w:val="136"/>
              <w:widowControl w:val="0"/>
              <w:spacing w:line="288" w:lineRule="auto"/>
              <w:jc w:val="center"/>
              <w:rPr>
                <w:rFonts w:hint="eastAsia" w:ascii="宋体" w:hAnsi="宋体" w:eastAsia="宋体" w:cs="宋体"/>
                <w:color w:val="000000"/>
                <w:sz w:val="24"/>
                <w:szCs w:val="24"/>
              </w:rPr>
            </w:pPr>
          </w:p>
        </w:tc>
        <w:tc>
          <w:tcPr>
            <w:tcW w:w="2255" w:type="dxa"/>
            <w:vAlign w:val="center"/>
          </w:tcPr>
          <w:p w14:paraId="71CA3177">
            <w:pPr>
              <w:pStyle w:val="136"/>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终端设备安全管理覆盖率</w:t>
            </w:r>
          </w:p>
        </w:tc>
        <w:tc>
          <w:tcPr>
            <w:tcW w:w="1283" w:type="dxa"/>
            <w:vAlign w:val="center"/>
          </w:tcPr>
          <w:p w14:paraId="29A0599A">
            <w:pPr>
              <w:pStyle w:val="136"/>
              <w:widowControl w:val="0"/>
              <w:spacing w:line="288"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100%</w:t>
            </w:r>
          </w:p>
        </w:tc>
      </w:tr>
    </w:tbl>
    <w:p w14:paraId="7C258B3B">
      <w:pPr>
        <w:ind w:left="0" w:leftChars="0" w:firstLine="0" w:firstLineChars="0"/>
        <w:rPr>
          <w:rFonts w:hint="eastAsia"/>
          <w:b/>
          <w:color w:val="000000"/>
        </w:rPr>
      </w:pPr>
    </w:p>
    <w:p w14:paraId="2152658A">
      <w:pPr>
        <w:pStyle w:val="2"/>
        <w:rPr>
          <w:rFonts w:hint="eastAsia"/>
        </w:rPr>
      </w:pPr>
      <w:bookmarkStart w:id="13" w:name="_Toc47533288"/>
      <w:bookmarkEnd w:id="13"/>
      <w:bookmarkStart w:id="14" w:name="_Toc47532923"/>
      <w:bookmarkEnd w:id="14"/>
      <w:bookmarkStart w:id="15" w:name="_Toc47536304"/>
      <w:bookmarkEnd w:id="15"/>
      <w:bookmarkStart w:id="16" w:name="_Toc47536676"/>
      <w:bookmarkEnd w:id="16"/>
      <w:bookmarkStart w:id="17" w:name="_Toc47537166"/>
      <w:bookmarkEnd w:id="17"/>
      <w:bookmarkStart w:id="18" w:name="_Toc47539102"/>
      <w:bookmarkEnd w:id="18"/>
      <w:r>
        <w:rPr>
          <w:rFonts w:hint="eastAsia"/>
        </w:rPr>
        <w:t>项目建设内容</w:t>
      </w:r>
    </w:p>
    <w:p w14:paraId="34214BC1">
      <w:pPr>
        <w:ind w:firstLine="482"/>
        <w:rPr>
          <w:rFonts w:hint="eastAsia"/>
          <w:b/>
          <w:bCs/>
        </w:rPr>
      </w:pPr>
      <w:r>
        <w:rPr>
          <w:rFonts w:hint="eastAsia"/>
          <w:b/>
          <w:bCs/>
        </w:rPr>
        <w:t>1.技术路线要求</w:t>
      </w:r>
    </w:p>
    <w:p w14:paraId="63B48DBB">
      <w:pPr>
        <w:rPr>
          <w:rFonts w:hint="eastAsia"/>
        </w:rPr>
      </w:pPr>
      <w:r>
        <w:rPr>
          <w:rFonts w:hint="eastAsia"/>
        </w:rPr>
        <w:t>（1）基于JavaEE规范的总体技术路线进行设计开发；</w:t>
      </w:r>
    </w:p>
    <w:p w14:paraId="053ED693">
      <w:pPr>
        <w:rPr>
          <w:rFonts w:hint="eastAsia"/>
        </w:rPr>
      </w:pPr>
      <w:r>
        <w:rPr>
          <w:rFonts w:hint="eastAsia"/>
        </w:rPr>
        <w:t>（2）采用基于B/S模式的三层/多层架构；</w:t>
      </w:r>
    </w:p>
    <w:p w14:paraId="4905B453">
      <w:pPr>
        <w:ind w:firstLine="482"/>
        <w:rPr>
          <w:rFonts w:hint="eastAsia"/>
          <w:b/>
          <w:bCs/>
        </w:rPr>
      </w:pPr>
      <w:r>
        <w:rPr>
          <w:rFonts w:hint="eastAsia"/>
          <w:b/>
          <w:bCs/>
        </w:rPr>
        <w:t>2.部署环境要求</w:t>
      </w:r>
    </w:p>
    <w:p w14:paraId="7D09DB2C">
      <w:pPr>
        <w:rPr>
          <w:rFonts w:hint="eastAsia"/>
        </w:rPr>
      </w:pPr>
      <w:r>
        <w:rPr>
          <w:rFonts w:hint="eastAsia"/>
        </w:rPr>
        <w:t>本项目为</w:t>
      </w:r>
      <w:r>
        <w:rPr>
          <w:rFonts w:hint="eastAsia"/>
          <w:lang w:eastAsia="zh-Hans"/>
        </w:rPr>
        <w:t>升级改造</w:t>
      </w:r>
      <w:r>
        <w:rPr>
          <w:rFonts w:hint="eastAsia"/>
        </w:rPr>
        <w:t>，依托市电子政务云平台信</w:t>
      </w:r>
      <w:r>
        <w:rPr>
          <w:rFonts w:hint="eastAsia"/>
          <w:lang w:val="en-US" w:eastAsia="zh-CN"/>
        </w:rPr>
        <w:t xml:space="preserve"> </w:t>
      </w:r>
      <w:r>
        <w:rPr>
          <w:rFonts w:hint="eastAsia"/>
        </w:rPr>
        <w:t>创环境开发部署，按照要求适配国产化环境，整体系统平台需满足能在信</w:t>
      </w:r>
      <w:r>
        <w:rPr>
          <w:rFonts w:hint="eastAsia"/>
          <w:lang w:val="en-US" w:eastAsia="zh-CN"/>
        </w:rPr>
        <w:t xml:space="preserve"> </w:t>
      </w:r>
      <w:r>
        <w:rPr>
          <w:rFonts w:hint="eastAsia"/>
        </w:rPr>
        <w:t>创环境下运行。</w:t>
      </w:r>
    </w:p>
    <w:p w14:paraId="338E2895">
      <w:pPr>
        <w:ind w:firstLine="482"/>
        <w:rPr>
          <w:rFonts w:hint="eastAsia"/>
          <w:b/>
        </w:rPr>
      </w:pPr>
      <w:r>
        <w:rPr>
          <w:rFonts w:hint="eastAsia"/>
          <w:b/>
        </w:rPr>
        <w:t>3.软件开发清单</w:t>
      </w:r>
    </w:p>
    <w:tbl>
      <w:tblPr>
        <w:tblStyle w:val="35"/>
        <w:tblW w:w="8099" w:type="dxa"/>
        <w:tblInd w:w="93" w:type="dxa"/>
        <w:tblLayout w:type="fixed"/>
        <w:tblCellMar>
          <w:top w:w="0" w:type="dxa"/>
          <w:left w:w="108" w:type="dxa"/>
          <w:bottom w:w="0" w:type="dxa"/>
          <w:right w:w="108" w:type="dxa"/>
        </w:tblCellMar>
      </w:tblPr>
      <w:tblGrid>
        <w:gridCol w:w="999"/>
        <w:gridCol w:w="898"/>
        <w:gridCol w:w="1677"/>
        <w:gridCol w:w="4525"/>
      </w:tblGrid>
      <w:tr w14:paraId="6E2090B5">
        <w:tblPrEx>
          <w:tblCellMar>
            <w:top w:w="0" w:type="dxa"/>
            <w:left w:w="108" w:type="dxa"/>
            <w:bottom w:w="0" w:type="dxa"/>
            <w:right w:w="108" w:type="dxa"/>
          </w:tblCellMar>
        </w:tblPrEx>
        <w:trPr>
          <w:trHeight w:val="270" w:hRule="atLeast"/>
        </w:trPr>
        <w:tc>
          <w:tcPr>
            <w:tcW w:w="999" w:type="dxa"/>
            <w:tcBorders>
              <w:top w:val="single" w:color="000000" w:sz="4" w:space="0"/>
              <w:left w:val="single" w:color="000000" w:sz="4" w:space="0"/>
              <w:bottom w:val="single" w:color="000000" w:sz="4" w:space="0"/>
              <w:right w:val="single" w:color="000000" w:sz="4" w:space="0"/>
            </w:tcBorders>
            <w:vAlign w:val="center"/>
          </w:tcPr>
          <w:p w14:paraId="5541C61E">
            <w:pPr>
              <w:widowControl/>
              <w:ind w:firstLine="0" w:firstLineChars="0"/>
              <w:jc w:val="left"/>
              <w:textAlignment w:val="center"/>
              <w:rPr>
                <w:rFonts w:hint="eastAsia" w:cs="宋体"/>
                <w:b/>
                <w:bCs/>
                <w:color w:val="000000"/>
              </w:rPr>
            </w:pPr>
            <w:r>
              <w:rPr>
                <w:rFonts w:hint="eastAsia" w:cs="宋体"/>
                <w:b/>
                <w:bCs/>
                <w:color w:val="000000"/>
                <w:kern w:val="0"/>
                <w:lang w:bidi="ar"/>
              </w:rPr>
              <w:t>序号</w:t>
            </w:r>
          </w:p>
        </w:tc>
        <w:tc>
          <w:tcPr>
            <w:tcW w:w="898" w:type="dxa"/>
            <w:tcBorders>
              <w:top w:val="single" w:color="000000" w:sz="4" w:space="0"/>
              <w:left w:val="single" w:color="000000" w:sz="4" w:space="0"/>
              <w:bottom w:val="single" w:color="000000" w:sz="4" w:space="0"/>
              <w:right w:val="single" w:color="000000" w:sz="4" w:space="0"/>
            </w:tcBorders>
            <w:vAlign w:val="center"/>
          </w:tcPr>
          <w:p w14:paraId="4212B2CD">
            <w:pPr>
              <w:widowControl/>
              <w:ind w:firstLine="0" w:firstLineChars="0"/>
              <w:jc w:val="left"/>
              <w:textAlignment w:val="center"/>
              <w:rPr>
                <w:rFonts w:hint="eastAsia" w:cs="宋体"/>
                <w:b/>
                <w:bCs/>
                <w:color w:val="000000"/>
              </w:rPr>
            </w:pPr>
            <w:r>
              <w:rPr>
                <w:rFonts w:hint="eastAsia" w:cs="宋体"/>
                <w:b/>
                <w:bCs/>
                <w:color w:val="000000"/>
                <w:kern w:val="0"/>
                <w:lang w:bidi="ar"/>
              </w:rPr>
              <w:t>应用系统名称</w:t>
            </w:r>
          </w:p>
        </w:tc>
        <w:tc>
          <w:tcPr>
            <w:tcW w:w="1677" w:type="dxa"/>
            <w:tcBorders>
              <w:top w:val="single" w:color="000000" w:sz="4" w:space="0"/>
              <w:left w:val="single" w:color="000000" w:sz="4" w:space="0"/>
              <w:bottom w:val="single" w:color="000000" w:sz="4" w:space="0"/>
              <w:right w:val="single" w:color="000000" w:sz="4" w:space="0"/>
            </w:tcBorders>
            <w:vAlign w:val="center"/>
          </w:tcPr>
          <w:p w14:paraId="43339C4A">
            <w:pPr>
              <w:widowControl/>
              <w:ind w:firstLine="0" w:firstLineChars="0"/>
              <w:jc w:val="left"/>
              <w:textAlignment w:val="center"/>
              <w:rPr>
                <w:rFonts w:hint="eastAsia" w:cs="宋体"/>
                <w:b/>
                <w:bCs/>
                <w:color w:val="000000"/>
              </w:rPr>
            </w:pPr>
            <w:r>
              <w:rPr>
                <w:rFonts w:hint="eastAsia" w:cs="宋体"/>
                <w:b/>
                <w:bCs/>
                <w:color w:val="000000"/>
                <w:kern w:val="0"/>
                <w:lang w:bidi="ar"/>
              </w:rPr>
              <w:t>模块名称</w:t>
            </w:r>
          </w:p>
        </w:tc>
        <w:tc>
          <w:tcPr>
            <w:tcW w:w="4525" w:type="dxa"/>
            <w:tcBorders>
              <w:top w:val="single" w:color="000000" w:sz="4" w:space="0"/>
              <w:left w:val="single" w:color="000000" w:sz="4" w:space="0"/>
              <w:bottom w:val="single" w:color="000000" w:sz="4" w:space="0"/>
              <w:right w:val="single" w:color="000000" w:sz="4" w:space="0"/>
            </w:tcBorders>
            <w:vAlign w:val="center"/>
          </w:tcPr>
          <w:p w14:paraId="6203A0E1">
            <w:pPr>
              <w:widowControl/>
              <w:ind w:firstLine="0" w:firstLineChars="0"/>
              <w:jc w:val="left"/>
              <w:textAlignment w:val="center"/>
              <w:rPr>
                <w:rFonts w:hint="eastAsia" w:cs="宋体"/>
                <w:b/>
                <w:bCs/>
                <w:color w:val="000000"/>
              </w:rPr>
            </w:pPr>
            <w:r>
              <w:rPr>
                <w:rFonts w:hint="eastAsia" w:cs="宋体"/>
                <w:b/>
                <w:bCs/>
                <w:color w:val="000000"/>
                <w:kern w:val="0"/>
                <w:lang w:bidi="ar"/>
              </w:rPr>
              <w:t>模块描述</w:t>
            </w:r>
          </w:p>
        </w:tc>
      </w:tr>
      <w:tr w14:paraId="5D3D3FAB">
        <w:tblPrEx>
          <w:tblCellMar>
            <w:top w:w="0" w:type="dxa"/>
            <w:left w:w="108" w:type="dxa"/>
            <w:bottom w:w="0" w:type="dxa"/>
            <w:right w:w="108" w:type="dxa"/>
          </w:tblCellMar>
        </w:tblPrEx>
        <w:trPr>
          <w:trHeight w:val="8190" w:hRule="atLeast"/>
        </w:trPr>
        <w:tc>
          <w:tcPr>
            <w:tcW w:w="999" w:type="dxa"/>
            <w:tcBorders>
              <w:top w:val="single" w:color="000000" w:sz="4" w:space="0"/>
              <w:left w:val="single" w:color="000000" w:sz="4" w:space="0"/>
              <w:bottom w:val="single" w:color="000000" w:sz="4" w:space="0"/>
              <w:right w:val="single" w:color="000000" w:sz="4" w:space="0"/>
            </w:tcBorders>
            <w:vAlign w:val="center"/>
          </w:tcPr>
          <w:p w14:paraId="6D7093C5">
            <w:pPr>
              <w:ind w:left="0" w:leftChars="0" w:firstLine="0" w:firstLineChars="0"/>
              <w:rPr>
                <w:rFonts w:hint="eastAsia"/>
              </w:rPr>
            </w:pPr>
            <w:r>
              <w:rPr>
                <w:rFonts w:hint="eastAsia"/>
              </w:rPr>
              <w:t>1</w:t>
            </w:r>
          </w:p>
        </w:tc>
        <w:tc>
          <w:tcPr>
            <w:tcW w:w="898" w:type="dxa"/>
            <w:tcBorders>
              <w:top w:val="single" w:color="000000" w:sz="4" w:space="0"/>
              <w:left w:val="single" w:color="000000" w:sz="4" w:space="0"/>
              <w:bottom w:val="single" w:color="000000" w:sz="4" w:space="0"/>
              <w:right w:val="single" w:color="000000" w:sz="4" w:space="0"/>
            </w:tcBorders>
            <w:vAlign w:val="center"/>
          </w:tcPr>
          <w:p w14:paraId="1889A800">
            <w:pPr>
              <w:ind w:left="0" w:leftChars="0" w:firstLine="0" w:firstLineChars="0"/>
              <w:rPr>
                <w:rFonts w:hint="eastAsia"/>
              </w:rPr>
            </w:pPr>
            <w:r>
              <w:rPr>
                <w:rFonts w:hint="eastAsia"/>
              </w:rPr>
              <w:t>依法治市大系统(2025年升级改造）</w:t>
            </w:r>
          </w:p>
        </w:tc>
        <w:tc>
          <w:tcPr>
            <w:tcW w:w="1677" w:type="dxa"/>
            <w:tcBorders>
              <w:top w:val="single" w:color="000000" w:sz="4" w:space="0"/>
              <w:left w:val="single" w:color="000000" w:sz="4" w:space="0"/>
              <w:bottom w:val="single" w:color="000000" w:sz="4" w:space="0"/>
              <w:right w:val="single" w:color="000000" w:sz="4" w:space="0"/>
            </w:tcBorders>
            <w:vAlign w:val="center"/>
          </w:tcPr>
          <w:p w14:paraId="4428054A">
            <w:pPr>
              <w:ind w:left="0" w:leftChars="0" w:firstLine="0" w:firstLineChars="0"/>
              <w:rPr>
                <w:rFonts w:hint="eastAsia"/>
              </w:rPr>
            </w:pPr>
            <w:r>
              <w:rPr>
                <w:rFonts w:hint="eastAsia"/>
              </w:rPr>
              <w:t>行政复议应诉功能优化（复议与应诉办案场景）-案件管理优化</w:t>
            </w:r>
          </w:p>
        </w:tc>
        <w:tc>
          <w:tcPr>
            <w:tcW w:w="4525" w:type="dxa"/>
            <w:tcBorders>
              <w:top w:val="single" w:color="000000" w:sz="4" w:space="0"/>
              <w:left w:val="single" w:color="000000" w:sz="4" w:space="0"/>
              <w:bottom w:val="single" w:color="000000" w:sz="4" w:space="0"/>
              <w:right w:val="single" w:color="000000" w:sz="4" w:space="0"/>
            </w:tcBorders>
            <w:vAlign w:val="center"/>
          </w:tcPr>
          <w:p w14:paraId="343EC399">
            <w:pPr>
              <w:ind w:left="0" w:leftChars="0" w:firstLine="0" w:firstLineChars="0"/>
              <w:rPr>
                <w:rFonts w:hint="eastAsia"/>
                <w:lang w:val="en-US" w:eastAsia="zh-CN"/>
              </w:rPr>
            </w:pPr>
            <w:r>
              <w:rPr>
                <w:rFonts w:hint="eastAsia"/>
              </w:rPr>
              <w:br w:type="textWrapping"/>
            </w:r>
            <w:r>
              <w:rPr>
                <w:rFonts w:hint="eastAsia"/>
              </w:rPr>
              <w:t>1、案件审核和分配优化</w:t>
            </w:r>
            <w:r>
              <w:rPr>
                <w:rFonts w:hint="eastAsia"/>
              </w:rPr>
              <w:br w:type="textWrapping"/>
            </w:r>
            <w:r>
              <w:rPr>
                <w:rFonts w:hint="eastAsia"/>
              </w:rPr>
              <w:t>2、案件分类优化</w:t>
            </w:r>
            <w:r>
              <w:rPr>
                <w:rFonts w:hint="eastAsia"/>
              </w:rPr>
              <w:br w:type="textWrapping"/>
            </w:r>
            <w:r>
              <w:rPr>
                <w:rFonts w:hint="eastAsia"/>
              </w:rPr>
              <w:t>3、案件标签</w:t>
            </w:r>
            <w:r>
              <w:rPr>
                <w:rFonts w:hint="eastAsia"/>
              </w:rPr>
              <w:br w:type="textWrapping"/>
            </w:r>
            <w:r>
              <w:rPr>
                <w:rFonts w:hint="eastAsia"/>
              </w:rPr>
              <w:t>4、案件归档</w:t>
            </w:r>
            <w:r>
              <w:rPr>
                <w:rFonts w:hint="eastAsia"/>
                <w:lang w:val="en-US" w:eastAsia="zh-CN"/>
              </w:rPr>
              <w:t>及电话音频转写存储</w:t>
            </w:r>
          </w:p>
          <w:p w14:paraId="2A0188E4">
            <w:pPr>
              <w:ind w:left="0" w:leftChars="0" w:firstLine="0" w:firstLineChars="0"/>
              <w:rPr>
                <w:rFonts w:hint="eastAsia"/>
                <w:lang w:val="en-US" w:eastAsia="zh-CN"/>
              </w:rPr>
            </w:pPr>
            <w:r>
              <w:rPr>
                <w:rFonts w:hint="eastAsia"/>
              </w:rPr>
              <w:t>根据案件性质、类型和领域，可对分类列表数据进行增删改查，其中领域可细分为三级。增加案件标签功能，可根据案件涉及主题、涉及法律条款等进行设置；在查询界面作为查询项可供查询。列表及标签的增删改查操作仅具有管理员权限的账户进行操作。</w:t>
            </w:r>
            <w:r>
              <w:rPr>
                <w:rFonts w:hint="eastAsia"/>
              </w:rPr>
              <w:br w:type="textWrapping"/>
            </w:r>
            <w:r>
              <w:rPr>
                <w:rFonts w:hint="eastAsia"/>
              </w:rPr>
              <w:t>完善案件归档功能，案件办理结束后进行归档，可对案件进行档案目录的编写、页码编写等操作。</w:t>
            </w:r>
          </w:p>
          <w:p w14:paraId="41FBC79C">
            <w:pPr>
              <w:rPr>
                <w:rFonts w:hint="eastAsia"/>
              </w:rPr>
            </w:pPr>
          </w:p>
        </w:tc>
      </w:tr>
      <w:tr w14:paraId="4A13634F">
        <w:tblPrEx>
          <w:tblCellMar>
            <w:top w:w="0" w:type="dxa"/>
            <w:left w:w="108" w:type="dxa"/>
            <w:bottom w:w="0" w:type="dxa"/>
            <w:right w:w="108" w:type="dxa"/>
          </w:tblCellMar>
        </w:tblPrEx>
        <w:trPr>
          <w:trHeight w:val="90" w:hRule="atLeast"/>
        </w:trPr>
        <w:tc>
          <w:tcPr>
            <w:tcW w:w="999" w:type="dxa"/>
            <w:tcBorders>
              <w:top w:val="single" w:color="000000" w:sz="4" w:space="0"/>
              <w:left w:val="single" w:color="000000" w:sz="4" w:space="0"/>
              <w:bottom w:val="single" w:color="000000" w:sz="4" w:space="0"/>
              <w:right w:val="single" w:color="000000" w:sz="4" w:space="0"/>
            </w:tcBorders>
            <w:vAlign w:val="center"/>
          </w:tcPr>
          <w:p w14:paraId="7B0A597D">
            <w:pPr>
              <w:ind w:left="0" w:leftChars="0" w:firstLine="0" w:firstLineChars="0"/>
              <w:rPr>
                <w:rFonts w:hint="eastAsia"/>
              </w:rPr>
            </w:pPr>
            <w:r>
              <w:rPr>
                <w:rFonts w:hint="eastAsia"/>
              </w:rPr>
              <w:t>2</w:t>
            </w:r>
          </w:p>
        </w:tc>
        <w:tc>
          <w:tcPr>
            <w:tcW w:w="898" w:type="dxa"/>
            <w:tcBorders>
              <w:top w:val="single" w:color="000000" w:sz="4" w:space="0"/>
              <w:left w:val="single" w:color="000000" w:sz="4" w:space="0"/>
              <w:bottom w:val="single" w:color="000000" w:sz="4" w:space="0"/>
              <w:right w:val="single" w:color="000000" w:sz="4" w:space="0"/>
            </w:tcBorders>
            <w:vAlign w:val="center"/>
          </w:tcPr>
          <w:p w14:paraId="28A25EEA">
            <w:pPr>
              <w:ind w:left="0" w:leftChars="0" w:firstLine="0" w:firstLineChars="0"/>
              <w:rPr>
                <w:rFonts w:hint="eastAsia"/>
              </w:rPr>
            </w:pPr>
            <w:r>
              <w:rPr>
                <w:rFonts w:hint="eastAsia"/>
              </w:rPr>
              <w:t>依法治市大系统(2025年升级改造）</w:t>
            </w:r>
          </w:p>
        </w:tc>
        <w:tc>
          <w:tcPr>
            <w:tcW w:w="1677" w:type="dxa"/>
            <w:tcBorders>
              <w:top w:val="single" w:color="000000" w:sz="4" w:space="0"/>
              <w:left w:val="single" w:color="000000" w:sz="4" w:space="0"/>
              <w:bottom w:val="single" w:color="000000" w:sz="4" w:space="0"/>
              <w:right w:val="single" w:color="000000" w:sz="4" w:space="0"/>
            </w:tcBorders>
            <w:vAlign w:val="center"/>
          </w:tcPr>
          <w:p w14:paraId="6AC8912F">
            <w:pPr>
              <w:ind w:left="0" w:leftChars="0" w:firstLine="0" w:firstLineChars="0"/>
              <w:rPr>
                <w:rFonts w:hint="eastAsia"/>
              </w:rPr>
            </w:pPr>
            <w:r>
              <w:rPr>
                <w:rFonts w:hint="eastAsia"/>
              </w:rPr>
              <w:t>行政复议应诉功能优化（复议与应诉办案场景）-流程优化-案件受理</w:t>
            </w:r>
          </w:p>
        </w:tc>
        <w:tc>
          <w:tcPr>
            <w:tcW w:w="4525" w:type="dxa"/>
            <w:tcBorders>
              <w:top w:val="single" w:color="000000" w:sz="4" w:space="0"/>
              <w:left w:val="single" w:color="000000" w:sz="4" w:space="0"/>
              <w:bottom w:val="single" w:color="000000" w:sz="4" w:space="0"/>
              <w:right w:val="single" w:color="000000" w:sz="4" w:space="0"/>
            </w:tcBorders>
            <w:vAlign w:val="center"/>
          </w:tcPr>
          <w:p w14:paraId="1912AE25">
            <w:pPr>
              <w:ind w:left="0" w:leftChars="0" w:firstLine="0" w:firstLineChars="0"/>
              <w:rPr>
                <w:rFonts w:hint="eastAsia"/>
              </w:rPr>
            </w:pPr>
            <w:r>
              <w:rPr>
                <w:rFonts w:hint="eastAsia"/>
              </w:rPr>
              <w:t>1智能预审</w:t>
            </w:r>
            <w:r>
              <w:rPr>
                <w:rFonts w:hint="eastAsia"/>
              </w:rPr>
              <w:br w:type="textWrapping"/>
            </w:r>
            <w:r>
              <w:rPr>
                <w:rFonts w:hint="eastAsia"/>
              </w:rPr>
              <w:t>系统可预置审查规则，并通过建设卷宗解析能力-语义理解能力实现自动对提交的案件进行初步审查，筛选出符合受理条件的案件。能够识别常见问题并提供处理建议，辅助工作人员做出决策</w:t>
            </w:r>
            <w:r>
              <w:rPr>
                <w:rFonts w:hint="eastAsia"/>
              </w:rPr>
              <w:br w:type="textWrapping"/>
            </w:r>
            <w:r>
              <w:rPr>
                <w:rFonts w:hint="eastAsia"/>
              </w:rPr>
              <w:t>2受理状态更新</w:t>
            </w:r>
            <w:r>
              <w:rPr>
                <w:rFonts w:hint="eastAsia"/>
              </w:rPr>
              <w:br w:type="textWrapping"/>
            </w:r>
            <w:r>
              <w:rPr>
                <w:rFonts w:hint="eastAsia"/>
              </w:rPr>
              <w:t>实时更新案件的受理状态，包括已接收、正在审查、已分配等。确保申请人和办案人员能够随时查看案件的最新进展。</w:t>
            </w:r>
            <w:r>
              <w:rPr>
                <w:rFonts w:hint="eastAsia"/>
              </w:rPr>
              <w:br w:type="textWrapping"/>
            </w:r>
            <w:r>
              <w:rPr>
                <w:rFonts w:hint="eastAsia"/>
              </w:rPr>
              <w:t>3案件分配</w:t>
            </w:r>
            <w:r>
              <w:rPr>
                <w:rFonts w:hint="eastAsia"/>
              </w:rPr>
              <w:br w:type="textWrapping"/>
            </w:r>
            <w:r>
              <w:rPr>
                <w:rFonts w:hint="eastAsia"/>
              </w:rPr>
              <w:t>根据办案人员的专长、工作量和案件复杂度，智能分配案件至合适的办案人员。优化分配算法，提高资源利用效率，缩短案件受理时间。</w:t>
            </w:r>
            <w:r>
              <w:rPr>
                <w:rFonts w:hint="eastAsia"/>
              </w:rPr>
              <w:br w:type="textWrapping"/>
            </w:r>
          </w:p>
        </w:tc>
      </w:tr>
      <w:tr w14:paraId="33BAA2D0">
        <w:tblPrEx>
          <w:tblCellMar>
            <w:top w:w="0" w:type="dxa"/>
            <w:left w:w="108" w:type="dxa"/>
            <w:bottom w:w="0" w:type="dxa"/>
            <w:right w:w="108" w:type="dxa"/>
          </w:tblCellMar>
        </w:tblPrEx>
        <w:trPr>
          <w:trHeight w:val="2886" w:hRule="atLeast"/>
        </w:trPr>
        <w:tc>
          <w:tcPr>
            <w:tcW w:w="999" w:type="dxa"/>
            <w:tcBorders>
              <w:top w:val="single" w:color="000000" w:sz="4" w:space="0"/>
              <w:left w:val="single" w:color="000000" w:sz="4" w:space="0"/>
              <w:bottom w:val="single" w:color="000000" w:sz="4" w:space="0"/>
              <w:right w:val="single" w:color="000000" w:sz="4" w:space="0"/>
            </w:tcBorders>
            <w:vAlign w:val="center"/>
          </w:tcPr>
          <w:p w14:paraId="33FD777C">
            <w:pPr>
              <w:ind w:left="0" w:leftChars="0" w:firstLine="0" w:firstLineChars="0"/>
              <w:rPr>
                <w:rFonts w:hint="eastAsia"/>
              </w:rPr>
            </w:pPr>
            <w:r>
              <w:rPr>
                <w:rFonts w:hint="eastAsia"/>
              </w:rPr>
              <w:t>3</w:t>
            </w:r>
          </w:p>
        </w:tc>
        <w:tc>
          <w:tcPr>
            <w:tcW w:w="898" w:type="dxa"/>
            <w:tcBorders>
              <w:top w:val="single" w:color="000000" w:sz="4" w:space="0"/>
              <w:left w:val="single" w:color="000000" w:sz="4" w:space="0"/>
              <w:bottom w:val="single" w:color="000000" w:sz="4" w:space="0"/>
              <w:right w:val="single" w:color="000000" w:sz="4" w:space="0"/>
            </w:tcBorders>
            <w:vAlign w:val="center"/>
          </w:tcPr>
          <w:p w14:paraId="30C69EC1">
            <w:pPr>
              <w:ind w:left="0" w:leftChars="0" w:firstLine="0" w:firstLineChars="0"/>
              <w:rPr>
                <w:rFonts w:hint="eastAsia"/>
              </w:rPr>
            </w:pPr>
            <w:r>
              <w:rPr>
                <w:rFonts w:hint="eastAsia"/>
              </w:rPr>
              <w:t>依法治市大系统(2025年升级改造）</w:t>
            </w:r>
          </w:p>
        </w:tc>
        <w:tc>
          <w:tcPr>
            <w:tcW w:w="1677" w:type="dxa"/>
            <w:tcBorders>
              <w:top w:val="single" w:color="000000" w:sz="4" w:space="0"/>
              <w:left w:val="single" w:color="000000" w:sz="4" w:space="0"/>
              <w:bottom w:val="single" w:color="000000" w:sz="4" w:space="0"/>
              <w:right w:val="single" w:color="000000" w:sz="4" w:space="0"/>
            </w:tcBorders>
            <w:vAlign w:val="center"/>
          </w:tcPr>
          <w:p w14:paraId="72CE0978">
            <w:pPr>
              <w:ind w:left="0" w:leftChars="0" w:firstLine="0" w:firstLineChars="0"/>
              <w:rPr>
                <w:rFonts w:hint="eastAsia"/>
              </w:rPr>
            </w:pPr>
            <w:r>
              <w:rPr>
                <w:rFonts w:hint="eastAsia"/>
              </w:rPr>
              <w:t>行政复议应诉功能优化（复议与应诉办案场景）-移动端适配</w:t>
            </w:r>
          </w:p>
        </w:tc>
        <w:tc>
          <w:tcPr>
            <w:tcW w:w="4525" w:type="dxa"/>
            <w:tcBorders>
              <w:top w:val="single" w:color="000000" w:sz="4" w:space="0"/>
              <w:left w:val="single" w:color="000000" w:sz="4" w:space="0"/>
              <w:bottom w:val="single" w:color="000000" w:sz="4" w:space="0"/>
              <w:right w:val="single" w:color="000000" w:sz="4" w:space="0"/>
            </w:tcBorders>
            <w:vAlign w:val="center"/>
          </w:tcPr>
          <w:p w14:paraId="4DC05D65">
            <w:pPr>
              <w:ind w:left="0" w:leftChars="0" w:firstLine="0" w:firstLineChars="0"/>
              <w:rPr>
                <w:rFonts w:hint="eastAsia"/>
              </w:rPr>
            </w:pPr>
            <w:r>
              <w:rPr>
                <w:rFonts w:hint="eastAsia"/>
              </w:rPr>
              <w:t>一、移动审批</w:t>
            </w:r>
            <w:r>
              <w:rPr>
                <w:rFonts w:hint="eastAsia"/>
              </w:rPr>
              <w:br w:type="textWrapping"/>
            </w:r>
            <w:r>
              <w:rPr>
                <w:rFonts w:hint="eastAsia"/>
              </w:rPr>
              <w:t>支持办案人员在移动端对案件信息进行审核，并对案件信息进行查看，包含附件查看和基础信息查看。</w:t>
            </w:r>
            <w:r>
              <w:rPr>
                <w:rFonts w:hint="eastAsia"/>
              </w:rPr>
              <w:br w:type="textWrapping"/>
            </w:r>
            <w:r>
              <w:rPr>
                <w:rFonts w:hint="eastAsia"/>
              </w:rPr>
              <w:t>1审批信息查看</w:t>
            </w:r>
            <w:r>
              <w:rPr>
                <w:rFonts w:hint="eastAsia"/>
              </w:rPr>
              <w:br w:type="textWrapping"/>
            </w:r>
            <w:r>
              <w:rPr>
                <w:rFonts w:hint="eastAsia"/>
              </w:rPr>
              <w:t>用户在进行审核时，可对历史审核信息进行查看，查看过往的审核情况及备注信息。</w:t>
            </w:r>
            <w:r>
              <w:rPr>
                <w:rFonts w:hint="eastAsia"/>
              </w:rPr>
              <w:br w:type="textWrapping"/>
            </w:r>
            <w:r>
              <w:rPr>
                <w:rFonts w:hint="eastAsia"/>
              </w:rPr>
              <w:t>2案件详情查看</w:t>
            </w:r>
            <w:r>
              <w:rPr>
                <w:rFonts w:hint="eastAsia"/>
              </w:rPr>
              <w:br w:type="textWrapping"/>
            </w:r>
            <w:r>
              <w:rPr>
                <w:rFonts w:hint="eastAsia"/>
              </w:rPr>
              <w:t>用户在进行审核时，可对案件详情进行查看，包含案件的人员信息、案件的基础信息介绍等内容。</w:t>
            </w:r>
            <w:r>
              <w:rPr>
                <w:rFonts w:hint="eastAsia"/>
              </w:rPr>
              <w:br w:type="textWrapping"/>
            </w:r>
            <w:r>
              <w:rPr>
                <w:rFonts w:hint="eastAsia"/>
              </w:rPr>
              <w:t>3附件信息查看</w:t>
            </w:r>
            <w:r>
              <w:rPr>
                <w:rFonts w:hint="eastAsia"/>
              </w:rPr>
              <w:br w:type="textWrapping"/>
            </w:r>
            <w:r>
              <w:rPr>
                <w:rFonts w:hint="eastAsia"/>
              </w:rPr>
              <w:t>用户在进行审核时，可对案件附件信息进行查看，可点开附件进行预览。</w:t>
            </w:r>
            <w:r>
              <w:rPr>
                <w:rFonts w:hint="eastAsia"/>
              </w:rPr>
              <w:br w:type="textWrapping"/>
            </w:r>
            <w:r>
              <w:rPr>
                <w:rFonts w:hint="eastAsia"/>
              </w:rPr>
              <w:t>二、界面优化</w:t>
            </w:r>
            <w:r>
              <w:rPr>
                <w:rFonts w:hint="eastAsia"/>
              </w:rPr>
              <w:br w:type="textWrapping"/>
            </w:r>
            <w:r>
              <w:rPr>
                <w:rFonts w:hint="eastAsia"/>
              </w:rPr>
              <w:t>设计响应式的用户界面，确保应用程序在不同尺寸的移动设备上都能提供良好的用户体验。优化导航和布局，减少用户操作的复杂性，提高易用性。</w:t>
            </w:r>
            <w:r>
              <w:rPr>
                <w:rFonts w:hint="eastAsia"/>
              </w:rPr>
              <w:br w:type="textWrapping"/>
            </w:r>
            <w:r>
              <w:rPr>
                <w:rFonts w:hint="eastAsia"/>
              </w:rPr>
              <w:t>三、在线咨询</w:t>
            </w:r>
            <w:r>
              <w:rPr>
                <w:rFonts w:hint="eastAsia"/>
              </w:rPr>
              <w:br w:type="textWrapping"/>
            </w:r>
            <w:r>
              <w:rPr>
                <w:rFonts w:hint="eastAsia"/>
              </w:rPr>
              <w:t>用户可以通过移动端的在线沟通功能，与复议机关的工作人员进行实时交流，咨询复议相关问题。复议机关人员可对用户咨询内容进行回复。</w:t>
            </w:r>
            <w:r>
              <w:rPr>
                <w:rFonts w:hint="eastAsia"/>
              </w:rPr>
              <w:br w:type="textWrapping"/>
            </w:r>
            <w:r>
              <w:rPr>
                <w:rFonts w:hint="eastAsia"/>
              </w:rPr>
              <w:t>四、文书查看与编辑</w:t>
            </w:r>
            <w:r>
              <w:rPr>
                <w:rFonts w:hint="eastAsia"/>
              </w:rPr>
              <w:br w:type="textWrapping"/>
            </w:r>
            <w:r>
              <w:rPr>
                <w:rFonts w:hint="eastAsia"/>
              </w:rPr>
              <w:t>允许用户在移动端查看和编辑案件相关的法律文书。提供文书模板，支持在移动端生成标准格式的法律文书，并支持</w:t>
            </w:r>
            <w:r>
              <w:rPr>
                <w:rFonts w:hint="eastAsia"/>
                <w:lang w:val="en-US" w:eastAsia="zh-CN"/>
              </w:rPr>
              <w:t>相关案例</w:t>
            </w:r>
            <w:r>
              <w:rPr>
                <w:rFonts w:hint="eastAsia"/>
              </w:rPr>
              <w:t>推送、</w:t>
            </w:r>
            <w:r>
              <w:rPr>
                <w:rFonts w:hint="eastAsia"/>
                <w:lang w:val="en-US" w:eastAsia="zh-CN"/>
              </w:rPr>
              <w:t>生成</w:t>
            </w:r>
            <w:r>
              <w:rPr>
                <w:rFonts w:hint="eastAsia"/>
              </w:rPr>
              <w:t>共同被告和信息公开</w:t>
            </w:r>
            <w:r>
              <w:rPr>
                <w:rFonts w:hint="eastAsia"/>
                <w:lang w:val="en-US" w:eastAsia="zh-CN"/>
              </w:rPr>
              <w:t>案件</w:t>
            </w:r>
            <w:r>
              <w:rPr>
                <w:rFonts w:hint="eastAsia"/>
              </w:rPr>
              <w:t>文书。</w:t>
            </w:r>
            <w:r>
              <w:rPr>
                <w:rFonts w:hint="eastAsia"/>
              </w:rPr>
              <w:br w:type="textWrapping"/>
            </w:r>
            <w:r>
              <w:rPr>
                <w:rFonts w:hint="eastAsia"/>
              </w:rPr>
              <w:t>五、数据统计分析</w:t>
            </w:r>
            <w:r>
              <w:rPr>
                <w:rFonts w:hint="eastAsia"/>
              </w:rPr>
              <w:br w:type="textWrapping"/>
            </w:r>
            <w:r>
              <w:rPr>
                <w:rFonts w:hint="eastAsia"/>
              </w:rPr>
              <w:t>在移动端展示关键数据统计信息，如案件数量、审理时长、胜诉率等。提供简单的数据分析功能，帮助办理人员快速把握工作概况。</w:t>
            </w:r>
          </w:p>
        </w:tc>
      </w:tr>
      <w:tr w14:paraId="601967AB">
        <w:tblPrEx>
          <w:tblCellMar>
            <w:top w:w="0" w:type="dxa"/>
            <w:left w:w="108" w:type="dxa"/>
            <w:bottom w:w="0" w:type="dxa"/>
            <w:right w:w="108" w:type="dxa"/>
          </w:tblCellMar>
        </w:tblPrEx>
        <w:trPr>
          <w:trHeight w:val="90" w:hRule="atLeast"/>
        </w:trPr>
        <w:tc>
          <w:tcPr>
            <w:tcW w:w="999" w:type="dxa"/>
            <w:tcBorders>
              <w:top w:val="single" w:color="000000" w:sz="4" w:space="0"/>
              <w:left w:val="single" w:color="000000" w:sz="4" w:space="0"/>
              <w:bottom w:val="single" w:color="000000" w:sz="4" w:space="0"/>
              <w:right w:val="single" w:color="000000" w:sz="4" w:space="0"/>
            </w:tcBorders>
            <w:vAlign w:val="center"/>
          </w:tcPr>
          <w:p w14:paraId="6F519263">
            <w:pPr>
              <w:ind w:left="0" w:leftChars="0" w:firstLine="0" w:firstLineChars="0"/>
              <w:rPr>
                <w:rFonts w:hint="eastAsia"/>
              </w:rPr>
            </w:pPr>
            <w:r>
              <w:rPr>
                <w:rFonts w:hint="eastAsia"/>
              </w:rPr>
              <w:t>4</w:t>
            </w:r>
          </w:p>
        </w:tc>
        <w:tc>
          <w:tcPr>
            <w:tcW w:w="898" w:type="dxa"/>
            <w:tcBorders>
              <w:top w:val="single" w:color="000000" w:sz="4" w:space="0"/>
              <w:left w:val="single" w:color="000000" w:sz="4" w:space="0"/>
              <w:bottom w:val="single" w:color="000000" w:sz="4" w:space="0"/>
              <w:right w:val="single" w:color="000000" w:sz="4" w:space="0"/>
            </w:tcBorders>
            <w:vAlign w:val="center"/>
          </w:tcPr>
          <w:p w14:paraId="51C80C3A">
            <w:pPr>
              <w:ind w:left="0" w:leftChars="0" w:firstLine="0" w:firstLineChars="0"/>
              <w:rPr>
                <w:rFonts w:hint="eastAsia"/>
              </w:rPr>
            </w:pPr>
            <w:r>
              <w:rPr>
                <w:rFonts w:hint="eastAsia"/>
              </w:rPr>
              <w:t>依法治市大系统(2025年升级改造）</w:t>
            </w:r>
          </w:p>
        </w:tc>
        <w:tc>
          <w:tcPr>
            <w:tcW w:w="1677" w:type="dxa"/>
            <w:tcBorders>
              <w:top w:val="single" w:color="000000" w:sz="4" w:space="0"/>
              <w:left w:val="single" w:color="000000" w:sz="4" w:space="0"/>
              <w:bottom w:val="single" w:color="000000" w:sz="4" w:space="0"/>
              <w:right w:val="single" w:color="000000" w:sz="4" w:space="0"/>
            </w:tcBorders>
            <w:vAlign w:val="center"/>
          </w:tcPr>
          <w:p w14:paraId="30E470FB">
            <w:pPr>
              <w:ind w:left="0" w:leftChars="0" w:firstLine="0" w:firstLineChars="0"/>
              <w:rPr>
                <w:rFonts w:hint="eastAsia"/>
              </w:rPr>
            </w:pPr>
            <w:r>
              <w:rPr>
                <w:rFonts w:hint="eastAsia"/>
              </w:rPr>
              <w:t>行政复议案件审理智能化应用（智能审理场景）-个案评查</w:t>
            </w:r>
          </w:p>
        </w:tc>
        <w:tc>
          <w:tcPr>
            <w:tcW w:w="4525" w:type="dxa"/>
            <w:tcBorders>
              <w:top w:val="single" w:color="000000" w:sz="4" w:space="0"/>
              <w:left w:val="single" w:color="000000" w:sz="4" w:space="0"/>
              <w:bottom w:val="single" w:color="000000" w:sz="4" w:space="0"/>
              <w:right w:val="single" w:color="000000" w:sz="4" w:space="0"/>
            </w:tcBorders>
            <w:vAlign w:val="center"/>
          </w:tcPr>
          <w:p w14:paraId="3C73B14B">
            <w:pPr>
              <w:ind w:left="0" w:leftChars="0" w:firstLine="0" w:firstLineChars="0"/>
              <w:rPr>
                <w:rFonts w:hint="eastAsia"/>
              </w:rPr>
            </w:pPr>
            <w:r>
              <w:rPr>
                <w:rFonts w:hint="eastAsia"/>
              </w:rPr>
              <w:t>1字段抓取</w:t>
            </w:r>
            <w:r>
              <w:rPr>
                <w:rFonts w:hint="eastAsia"/>
              </w:rPr>
              <w:br w:type="textWrapping"/>
            </w:r>
            <w:r>
              <w:rPr>
                <w:rFonts w:hint="eastAsia"/>
              </w:rPr>
              <w:t>系统可以根据专项监督、年度常规评查的要求，利用大数据技术，自动从案件管理系统中抓取与评查相关的关键信息，案件要素</w:t>
            </w:r>
            <w:r>
              <w:rPr>
                <w:rFonts w:hint="eastAsia"/>
                <w:lang w:val="en-US" w:eastAsia="zh-CN"/>
              </w:rPr>
              <w:t>识别提取</w:t>
            </w:r>
            <w:r>
              <w:rPr>
                <w:rFonts w:hint="eastAsia"/>
              </w:rPr>
              <w:t>，如案件名称、案件编号、当事人信息、审理人员、审理结果等，以便评查人员进行评查。</w:t>
            </w:r>
            <w:r>
              <w:rPr>
                <w:rFonts w:hint="eastAsia"/>
              </w:rPr>
              <w:br w:type="textWrapping"/>
            </w:r>
            <w:r>
              <w:rPr>
                <w:rFonts w:hint="eastAsia"/>
              </w:rPr>
              <w:t>2电子卷宗调阅服务</w:t>
            </w:r>
            <w:r>
              <w:rPr>
                <w:rFonts w:hint="eastAsia"/>
              </w:rPr>
              <w:br w:type="textWrapping"/>
            </w:r>
            <w:r>
              <w:rPr>
                <w:rFonts w:hint="eastAsia"/>
              </w:rPr>
              <w:t>系统为评查人员提供在线调阅电子卷宗的功能。评查人员可以在系统中直接查看案件的相关材料，如申请书、答辩状、证据材料等，无需线下查阅纸质卷宗，提高评查效率，并支持当事人</w:t>
            </w:r>
            <w:r>
              <w:rPr>
                <w:rFonts w:hint="eastAsia"/>
                <w:lang w:val="en-US" w:eastAsia="zh-CN"/>
              </w:rPr>
              <w:t>查阅案卷</w:t>
            </w:r>
            <w:r>
              <w:rPr>
                <w:rFonts w:hint="eastAsia"/>
              </w:rPr>
              <w:br w:type="textWrapping"/>
            </w:r>
            <w:r>
              <w:rPr>
                <w:rFonts w:hint="eastAsia"/>
              </w:rPr>
              <w:t>3评查结果录入</w:t>
            </w:r>
            <w:r>
              <w:rPr>
                <w:rFonts w:hint="eastAsia"/>
              </w:rPr>
              <w:br w:type="textWrapping"/>
            </w:r>
            <w:r>
              <w:rPr>
                <w:rFonts w:hint="eastAsia"/>
              </w:rPr>
              <w:t>评查人员在完成对案件的评查后，可以在系统中录入评查结果，包括评查结论、评查意见等。系统会自动生成评查报告，方便评查人员进行总结和汇报。</w:t>
            </w:r>
            <w:r>
              <w:rPr>
                <w:rFonts w:hint="eastAsia"/>
              </w:rPr>
              <w:br w:type="textWrapping"/>
            </w:r>
            <w:r>
              <w:rPr>
                <w:rFonts w:hint="eastAsia"/>
              </w:rPr>
              <w:t>4被评查人员在线反馈申辩</w:t>
            </w:r>
            <w:r>
              <w:rPr>
                <w:rFonts w:hint="eastAsia"/>
              </w:rPr>
              <w:br w:type="textWrapping"/>
            </w:r>
            <w:r>
              <w:rPr>
                <w:rFonts w:hint="eastAsia"/>
              </w:rPr>
              <w:t>系统为被评查的复议案件审理人员提供在线反馈申辩的功能。被评查人员可以在系统中查看评查结果，并提出自己的意见和申辩。这有助于评查人员更全面地了解案件情况，确保评查结果的公正性和准确性。</w:t>
            </w:r>
            <w:r>
              <w:rPr>
                <w:rFonts w:hint="eastAsia"/>
              </w:rPr>
              <w:br w:type="textWrapping"/>
            </w:r>
            <w:r>
              <w:rPr>
                <w:rFonts w:hint="eastAsia"/>
              </w:rPr>
              <w:t>5评查流程管理</w:t>
            </w:r>
            <w:r>
              <w:rPr>
                <w:rFonts w:hint="eastAsia"/>
              </w:rPr>
              <w:br w:type="textWrapping"/>
            </w:r>
            <w:r>
              <w:rPr>
                <w:rFonts w:hint="eastAsia"/>
              </w:rPr>
              <w:t>系统可以对评查流程进行管理，包括评查任务的分配、评查进度的跟踪、评查结果的审核等。通过流程管理功能，确保评查工作按照既定的程序和要求进行，提高评查工作的规范性和效率。</w:t>
            </w:r>
            <w:r>
              <w:rPr>
                <w:rFonts w:hint="eastAsia"/>
              </w:rPr>
              <w:br w:type="textWrapping"/>
            </w:r>
            <w:r>
              <w:rPr>
                <w:rFonts w:hint="eastAsia"/>
              </w:rPr>
              <w:t>6监督与统计功能</w:t>
            </w:r>
            <w:r>
              <w:rPr>
                <w:rFonts w:hint="eastAsia"/>
              </w:rPr>
              <w:br w:type="textWrapping"/>
            </w:r>
            <w:r>
              <w:rPr>
                <w:rFonts w:hint="eastAsia"/>
              </w:rPr>
              <w:t>应用还具备监督与统计功能，能够实时追踪评查工作的进展情况，对评查结果进行汇总和分析。监督人员可以通过系统界面查看评查工作的实时数据，包括评查数量、评查质量、问题分布等，为改进评查工作提供有力支持。同时，应用还支持数据导出功能，方便用户进行更深入的分析和研究。</w:t>
            </w:r>
          </w:p>
        </w:tc>
      </w:tr>
      <w:tr w14:paraId="2F99FCFB">
        <w:tblPrEx>
          <w:tblCellMar>
            <w:top w:w="0" w:type="dxa"/>
            <w:left w:w="108" w:type="dxa"/>
            <w:bottom w:w="0" w:type="dxa"/>
            <w:right w:w="108" w:type="dxa"/>
          </w:tblCellMar>
        </w:tblPrEx>
        <w:trPr>
          <w:trHeight w:val="4356" w:hRule="atLeast"/>
        </w:trPr>
        <w:tc>
          <w:tcPr>
            <w:tcW w:w="999" w:type="dxa"/>
            <w:tcBorders>
              <w:top w:val="single" w:color="000000" w:sz="4" w:space="0"/>
              <w:left w:val="single" w:color="000000" w:sz="4" w:space="0"/>
              <w:bottom w:val="single" w:color="000000" w:sz="4" w:space="0"/>
              <w:right w:val="single" w:color="000000" w:sz="4" w:space="0"/>
            </w:tcBorders>
            <w:vAlign w:val="center"/>
          </w:tcPr>
          <w:p w14:paraId="04C6F30E">
            <w:pPr>
              <w:ind w:left="0" w:leftChars="0" w:firstLine="0" w:firstLineChars="0"/>
              <w:rPr>
                <w:rFonts w:hint="eastAsia"/>
              </w:rPr>
            </w:pPr>
            <w:r>
              <w:rPr>
                <w:rFonts w:hint="eastAsia"/>
              </w:rPr>
              <w:t>5</w:t>
            </w:r>
          </w:p>
        </w:tc>
        <w:tc>
          <w:tcPr>
            <w:tcW w:w="898" w:type="dxa"/>
            <w:tcBorders>
              <w:top w:val="single" w:color="000000" w:sz="4" w:space="0"/>
              <w:left w:val="single" w:color="000000" w:sz="4" w:space="0"/>
              <w:bottom w:val="single" w:color="000000" w:sz="4" w:space="0"/>
              <w:right w:val="single" w:color="000000" w:sz="4" w:space="0"/>
            </w:tcBorders>
            <w:vAlign w:val="center"/>
          </w:tcPr>
          <w:p w14:paraId="787E7044">
            <w:pPr>
              <w:ind w:left="0" w:leftChars="0" w:firstLine="0" w:firstLineChars="0"/>
              <w:rPr>
                <w:rFonts w:hint="eastAsia"/>
              </w:rPr>
            </w:pPr>
            <w:r>
              <w:rPr>
                <w:rFonts w:hint="eastAsia"/>
              </w:rPr>
              <w:t>依法治市大系统(2025年升级改造）</w:t>
            </w:r>
          </w:p>
        </w:tc>
        <w:tc>
          <w:tcPr>
            <w:tcW w:w="1677" w:type="dxa"/>
            <w:tcBorders>
              <w:top w:val="single" w:color="000000" w:sz="4" w:space="0"/>
              <w:left w:val="single" w:color="000000" w:sz="4" w:space="0"/>
              <w:bottom w:val="single" w:color="000000" w:sz="4" w:space="0"/>
              <w:right w:val="single" w:color="000000" w:sz="4" w:space="0"/>
            </w:tcBorders>
            <w:vAlign w:val="center"/>
          </w:tcPr>
          <w:p w14:paraId="48C30349">
            <w:pPr>
              <w:ind w:left="0" w:leftChars="0" w:firstLine="0" w:firstLineChars="0"/>
              <w:rPr>
                <w:rFonts w:hint="eastAsia"/>
              </w:rPr>
            </w:pPr>
            <w:r>
              <w:rPr>
                <w:rFonts w:hint="eastAsia"/>
              </w:rPr>
              <w:t>行政复议案件审理智能化应用（智能审理场景）-应诉在线审批</w:t>
            </w:r>
          </w:p>
        </w:tc>
        <w:tc>
          <w:tcPr>
            <w:tcW w:w="4525" w:type="dxa"/>
            <w:tcBorders>
              <w:top w:val="single" w:color="000000" w:sz="4" w:space="0"/>
              <w:left w:val="single" w:color="000000" w:sz="4" w:space="0"/>
              <w:bottom w:val="single" w:color="000000" w:sz="4" w:space="0"/>
              <w:right w:val="single" w:color="000000" w:sz="4" w:space="0"/>
            </w:tcBorders>
            <w:vAlign w:val="center"/>
          </w:tcPr>
          <w:p w14:paraId="3C16514A">
            <w:pPr>
              <w:ind w:left="0" w:leftChars="0" w:firstLine="0" w:firstLineChars="0"/>
              <w:rPr>
                <w:rFonts w:hint="eastAsia"/>
              </w:rPr>
            </w:pPr>
            <w:r>
              <w:rPr>
                <w:rFonts w:hint="eastAsia"/>
              </w:rPr>
              <w:t>1分办审批</w:t>
            </w:r>
            <w:r>
              <w:rPr>
                <w:rFonts w:hint="eastAsia"/>
              </w:rPr>
              <w:br w:type="textWrapping"/>
            </w:r>
            <w:r>
              <w:rPr>
                <w:rFonts w:hint="eastAsia"/>
              </w:rPr>
              <w:t>分办审批是应诉流程的第一步，主要负责对接收到的应诉案件进行初步分类和分配。系统或管理员根据案件性质、领域等因素，将案件分配给相应的处理人员或团队，确保案件得到专业且及时的处理。</w:t>
            </w:r>
            <w:r>
              <w:rPr>
                <w:rFonts w:hint="eastAsia"/>
              </w:rPr>
              <w:br w:type="textWrapping"/>
            </w:r>
            <w:r>
              <w:rPr>
                <w:rFonts w:hint="eastAsia"/>
              </w:rPr>
              <w:t>2司法建议书审批</w:t>
            </w:r>
            <w:r>
              <w:rPr>
                <w:rFonts w:hint="eastAsia"/>
              </w:rPr>
              <w:br w:type="textWrapping"/>
            </w:r>
            <w:r>
              <w:rPr>
                <w:rFonts w:hint="eastAsia"/>
              </w:rPr>
              <w:t>若在审理过程中发现某些问题或需要改进的地方，可能需要向相关部门或单位发出司法建议书。司法建议书审批就是对这类建议书的内容进行审查，确保其合理性、针对性和可行性，以促进司法公正和提高司法效率。</w:t>
            </w:r>
            <w:r>
              <w:rPr>
                <w:rFonts w:hint="eastAsia"/>
              </w:rPr>
              <w:br w:type="textWrapping"/>
            </w:r>
            <w:r>
              <w:rPr>
                <w:rFonts w:hint="eastAsia"/>
              </w:rPr>
              <w:t>3上诉审批</w:t>
            </w:r>
            <w:r>
              <w:rPr>
                <w:rFonts w:hint="eastAsia"/>
              </w:rPr>
              <w:br w:type="textWrapping"/>
            </w:r>
            <w:r>
              <w:rPr>
                <w:rFonts w:hint="eastAsia"/>
              </w:rPr>
              <w:t>当一方当事人对裁判结果不服时，可能会提起上诉。上诉审批就是对应诉机关是否接受上诉进行审查，同时分析上诉理由和依据，为后续的上诉审理做好准备。</w:t>
            </w:r>
            <w:r>
              <w:rPr>
                <w:rFonts w:hint="eastAsia"/>
              </w:rPr>
              <w:br w:type="textWrapping"/>
            </w:r>
            <w:r>
              <w:rPr>
                <w:rFonts w:hint="eastAsia"/>
              </w:rPr>
              <w:t>4再审审批</w:t>
            </w:r>
            <w:r>
              <w:rPr>
                <w:rFonts w:hint="eastAsia"/>
              </w:rPr>
              <w:br w:type="textWrapping"/>
            </w:r>
            <w:r>
              <w:rPr>
                <w:rFonts w:hint="eastAsia"/>
              </w:rPr>
              <w:t>再审审批是对已经生效的裁判进行再次审理的审批过程。审批人员需评估案件是否有再审的必要性和可能性，以及再审的理由和依据是否充分。此阶段的目标是确保裁判的正确性和公正性。</w:t>
            </w:r>
            <w:r>
              <w:rPr>
                <w:rFonts w:hint="eastAsia"/>
              </w:rPr>
              <w:br w:type="textWrapping"/>
            </w:r>
            <w:r>
              <w:rPr>
                <w:rFonts w:hint="eastAsia"/>
              </w:rPr>
              <w:t>5抗诉审批</w:t>
            </w:r>
            <w:r>
              <w:rPr>
                <w:rFonts w:hint="eastAsia"/>
              </w:rPr>
              <w:br w:type="textWrapping"/>
            </w:r>
            <w:r>
              <w:rPr>
                <w:rFonts w:hint="eastAsia"/>
              </w:rPr>
              <w:t>抗诉审批主要发生在检察机关对下级法院的裁判认为有错误时，依法提出抗诉的情况。抗诉审批就是对检察机关的抗诉请求进行审查，分析抗诉理由和依据是否成立，以及是否需要启动抗诉程序。</w:t>
            </w:r>
            <w:r>
              <w:rPr>
                <w:rFonts w:hint="eastAsia"/>
              </w:rPr>
              <w:br w:type="textWrapping"/>
            </w:r>
            <w:r>
              <w:rPr>
                <w:rFonts w:hint="eastAsia"/>
              </w:rPr>
              <w:t>6归档审批</w:t>
            </w:r>
            <w:r>
              <w:rPr>
                <w:rFonts w:hint="eastAsia"/>
              </w:rPr>
              <w:br w:type="textWrapping"/>
            </w:r>
            <w:r>
              <w:rPr>
                <w:rFonts w:hint="eastAsia"/>
              </w:rPr>
              <w:t>归档审批是应诉流程的最后一步，主要是对已结案的案件进行归档管理。审批人员需检查案件材料的完整性和规范性，确保案件能够按照规定的程序和要求进行归档保存。归档审批完成后，案件将正式进入档案库进行管理。</w:t>
            </w:r>
            <w:r>
              <w:rPr>
                <w:rFonts w:hint="eastAsia"/>
              </w:rPr>
              <w:br w:type="textWrapping"/>
            </w:r>
          </w:p>
        </w:tc>
      </w:tr>
      <w:tr w14:paraId="757FF8FD">
        <w:tblPrEx>
          <w:tblCellMar>
            <w:top w:w="0" w:type="dxa"/>
            <w:left w:w="108" w:type="dxa"/>
            <w:bottom w:w="0" w:type="dxa"/>
            <w:right w:w="108" w:type="dxa"/>
          </w:tblCellMar>
        </w:tblPrEx>
        <w:trPr>
          <w:trHeight w:val="2023" w:hRule="atLeast"/>
        </w:trPr>
        <w:tc>
          <w:tcPr>
            <w:tcW w:w="999" w:type="dxa"/>
            <w:tcBorders>
              <w:top w:val="single" w:color="000000" w:sz="4" w:space="0"/>
              <w:left w:val="single" w:color="000000" w:sz="4" w:space="0"/>
              <w:bottom w:val="single" w:color="000000" w:sz="4" w:space="0"/>
              <w:right w:val="single" w:color="000000" w:sz="4" w:space="0"/>
            </w:tcBorders>
            <w:vAlign w:val="center"/>
          </w:tcPr>
          <w:p w14:paraId="54BED685">
            <w:pPr>
              <w:ind w:left="0" w:leftChars="0" w:firstLine="0" w:firstLineChars="0"/>
              <w:rPr>
                <w:rFonts w:hint="eastAsia"/>
              </w:rPr>
            </w:pPr>
            <w:r>
              <w:rPr>
                <w:rFonts w:hint="eastAsia"/>
              </w:rPr>
              <w:t>6</w:t>
            </w:r>
          </w:p>
        </w:tc>
        <w:tc>
          <w:tcPr>
            <w:tcW w:w="898" w:type="dxa"/>
            <w:tcBorders>
              <w:top w:val="single" w:color="000000" w:sz="4" w:space="0"/>
              <w:left w:val="single" w:color="000000" w:sz="4" w:space="0"/>
              <w:bottom w:val="single" w:color="000000" w:sz="4" w:space="0"/>
              <w:right w:val="single" w:color="000000" w:sz="4" w:space="0"/>
            </w:tcBorders>
            <w:vAlign w:val="center"/>
          </w:tcPr>
          <w:p w14:paraId="5D7F7618">
            <w:pPr>
              <w:ind w:left="0" w:leftChars="0" w:firstLine="0" w:firstLineChars="0"/>
              <w:rPr>
                <w:rFonts w:hint="eastAsia"/>
              </w:rPr>
            </w:pPr>
            <w:r>
              <w:rPr>
                <w:rFonts w:hint="eastAsia"/>
              </w:rPr>
              <w:t>依法治市大系统(2025年升级改造）</w:t>
            </w:r>
          </w:p>
        </w:tc>
        <w:tc>
          <w:tcPr>
            <w:tcW w:w="1677" w:type="dxa"/>
            <w:tcBorders>
              <w:top w:val="single" w:color="000000" w:sz="4" w:space="0"/>
              <w:left w:val="single" w:color="000000" w:sz="4" w:space="0"/>
              <w:bottom w:val="single" w:color="000000" w:sz="4" w:space="0"/>
              <w:right w:val="single" w:color="000000" w:sz="4" w:space="0"/>
            </w:tcBorders>
            <w:vAlign w:val="center"/>
          </w:tcPr>
          <w:p w14:paraId="0E6DEB7F">
            <w:pPr>
              <w:ind w:left="0" w:leftChars="0" w:firstLine="0" w:firstLineChars="0"/>
              <w:rPr>
                <w:rFonts w:hint="eastAsia"/>
              </w:rPr>
            </w:pPr>
            <w:r>
              <w:rPr>
                <w:rFonts w:hint="eastAsia"/>
              </w:rPr>
              <w:t>行政复议案件审理智能化应用（智能审理场景）-行政复议机构及复议人员管理、考核评价</w:t>
            </w:r>
          </w:p>
        </w:tc>
        <w:tc>
          <w:tcPr>
            <w:tcW w:w="4525" w:type="dxa"/>
            <w:tcBorders>
              <w:top w:val="single" w:color="000000" w:sz="4" w:space="0"/>
              <w:left w:val="single" w:color="000000" w:sz="4" w:space="0"/>
              <w:bottom w:val="single" w:color="000000" w:sz="4" w:space="0"/>
              <w:right w:val="single" w:color="000000" w:sz="4" w:space="0"/>
            </w:tcBorders>
            <w:vAlign w:val="center"/>
          </w:tcPr>
          <w:p w14:paraId="724AA13E">
            <w:pPr>
              <w:ind w:left="0" w:leftChars="0" w:firstLine="0" w:firstLineChars="0"/>
              <w:rPr>
                <w:rFonts w:hint="eastAsia"/>
              </w:rPr>
            </w:pPr>
            <w:r>
              <w:rPr>
                <w:rFonts w:hint="eastAsia"/>
              </w:rPr>
              <w:t>一、行政复议机构及复议人员管理</w:t>
            </w:r>
            <w:r>
              <w:rPr>
                <w:rFonts w:hint="eastAsia"/>
              </w:rPr>
              <w:br w:type="textWrapping"/>
            </w:r>
            <w:r>
              <w:rPr>
                <w:rFonts w:hint="eastAsia"/>
              </w:rPr>
              <w:t>建立统一的、基于用户角色的、个性化的信息访问集成平台，对接现有系统人员用户系统的基础上，构建单位用户库、申请人库、被申请人库等机构及人员库，用于后续管理及考核评价。</w:t>
            </w:r>
            <w:r>
              <w:rPr>
                <w:rFonts w:hint="eastAsia"/>
              </w:rPr>
              <w:br w:type="textWrapping"/>
            </w:r>
            <w:r>
              <w:rPr>
                <w:rFonts w:hint="eastAsia"/>
              </w:rPr>
              <w:t>1用户管理</w:t>
            </w:r>
            <w:r>
              <w:rPr>
                <w:rFonts w:hint="eastAsia"/>
              </w:rPr>
              <w:br w:type="textWrapping"/>
            </w:r>
            <w:r>
              <w:rPr>
                <w:rFonts w:hint="eastAsia"/>
              </w:rPr>
              <w:t>（1）单位用户</w:t>
            </w:r>
            <w:r>
              <w:rPr>
                <w:rFonts w:hint="eastAsia"/>
              </w:rPr>
              <w:br w:type="textWrapping"/>
            </w:r>
            <w:r>
              <w:rPr>
                <w:rFonts w:hint="eastAsia"/>
              </w:rPr>
              <w:t>用户中心平台提供机构管理和用户信息管理两项功能，用于管理和展示机构信息、用户信息以及机构与用户的关联关系。</w:t>
            </w:r>
            <w:r>
              <w:rPr>
                <w:rFonts w:hint="eastAsia"/>
              </w:rPr>
              <w:br w:type="textWrapping"/>
            </w:r>
            <w:r>
              <w:rPr>
                <w:rFonts w:hint="eastAsia"/>
              </w:rPr>
              <w:t>（2）第三人库</w:t>
            </w:r>
            <w:r>
              <w:rPr>
                <w:rFonts w:hint="eastAsia"/>
              </w:rPr>
              <w:br w:type="textWrapping"/>
            </w:r>
            <w:r>
              <w:rPr>
                <w:rFonts w:hint="eastAsia"/>
              </w:rPr>
              <w:t>系统通过对平台中所有复议案件涉及到第三人进行信息记录，实现行政复议与应诉第三人的统一管理，支持对各第三人的用户进行统一的维护和管理，包括用户新增、删除、禁用、设定授权访问时间等操作。第三人可通过统一登录入口，访问当前用户所分配数据访问权限的数据，实现第三人用户的访问数据可控、访问时间段可控。</w:t>
            </w:r>
            <w:r>
              <w:rPr>
                <w:rFonts w:hint="eastAsia"/>
              </w:rPr>
              <w:br w:type="textWrapping"/>
            </w:r>
            <w:r>
              <w:rPr>
                <w:rFonts w:hint="eastAsia"/>
              </w:rPr>
              <w:t>（3）代理人库</w:t>
            </w:r>
            <w:r>
              <w:rPr>
                <w:rFonts w:hint="eastAsia"/>
              </w:rPr>
              <w:br w:type="textWrapping"/>
            </w:r>
            <w:r>
              <w:rPr>
                <w:rFonts w:hint="eastAsia"/>
              </w:rPr>
              <w:t>系统通过对平台中所有复议案件涉及到第三人进行信息记录，实现行政复议与应诉第三人的统一管理，支持对各第三人的用户进行统一的维护和管理，包括用户新增、删除、禁用、设定授权访问时间等操作。第三人可通过统一登录入口，访问当前用户所分配数据访问权限的数据，实现第三人用户的访问数据可控、访问时间段可控。</w:t>
            </w:r>
            <w:r>
              <w:rPr>
                <w:rFonts w:hint="eastAsia"/>
              </w:rPr>
              <w:br w:type="textWrapping"/>
            </w:r>
            <w:r>
              <w:rPr>
                <w:rFonts w:hint="eastAsia"/>
              </w:rPr>
              <w:t>（4）案外人库</w:t>
            </w:r>
            <w:r>
              <w:rPr>
                <w:rFonts w:hint="eastAsia"/>
              </w:rPr>
              <w:br w:type="textWrapping"/>
            </w:r>
            <w:r>
              <w:rPr>
                <w:rFonts w:hint="eastAsia"/>
              </w:rPr>
              <w:t>系统通过对平台中所有复议案件涉及到案外人进行信息记录，实现行政复议与应诉案外人的统一管理，支持对各案外人的用户进行统一的维护和管理，包括用户新增、删除、禁用、设定授权访问时间等操作。案外人可通过统一登录入口，访问当前用户所分配数据访问权限的数据，实现案外人用户的访问数据可控、访问时间段可控。</w:t>
            </w:r>
            <w:r>
              <w:rPr>
                <w:rFonts w:hint="eastAsia"/>
              </w:rPr>
              <w:br w:type="textWrapping"/>
            </w:r>
            <w:r>
              <w:rPr>
                <w:rFonts w:hint="eastAsia"/>
              </w:rPr>
              <w:t>（5）咨询专家库</w:t>
            </w:r>
            <w:r>
              <w:rPr>
                <w:rFonts w:hint="eastAsia"/>
              </w:rPr>
              <w:br w:type="textWrapping"/>
            </w:r>
            <w:r>
              <w:rPr>
                <w:rFonts w:hint="eastAsia"/>
              </w:rPr>
              <w:t>系统将机关内所有的咨询委员会专家收录到系统中，实现咨询专家信息的统一维护和管理，并对咨询专家添加标签，对咨询专家信息及特长进行标注，为复议办案过程中的案件咨询等提供信息支撑。</w:t>
            </w:r>
            <w:r>
              <w:rPr>
                <w:rFonts w:hint="eastAsia"/>
              </w:rPr>
              <w:br w:type="textWrapping"/>
            </w:r>
            <w:r>
              <w:rPr>
                <w:rFonts w:hint="eastAsia"/>
              </w:rPr>
              <w:t>2角色管理</w:t>
            </w:r>
            <w:r>
              <w:rPr>
                <w:rFonts w:hint="eastAsia"/>
              </w:rPr>
              <w:br w:type="textWrapping"/>
            </w:r>
            <w:r>
              <w:rPr>
                <w:rFonts w:hint="eastAsia"/>
              </w:rPr>
              <w:t>角色是基于某个应用，角色可与功能权限、数据权限进行关联，并与用户进行绑定，在用户绑定某个角色时，这个用户便拥有了这个角色的功能权限和数据权限。</w:t>
            </w:r>
            <w:r>
              <w:rPr>
                <w:rFonts w:hint="eastAsia"/>
              </w:rPr>
              <w:br w:type="textWrapping"/>
            </w:r>
            <w:r>
              <w:rPr>
                <w:rFonts w:hint="eastAsia"/>
              </w:rPr>
              <w:t>3权限管理</w:t>
            </w:r>
            <w:r>
              <w:rPr>
                <w:rFonts w:hint="eastAsia"/>
              </w:rPr>
              <w:br w:type="textWrapping"/>
            </w:r>
            <w:r>
              <w:rPr>
                <w:rFonts w:hint="eastAsia"/>
              </w:rPr>
              <w:t>权限管理主要包含两部分：功能权限管理和数据权限管理。</w:t>
            </w:r>
            <w:r>
              <w:rPr>
                <w:rFonts w:hint="eastAsia"/>
              </w:rPr>
              <w:br w:type="textWrapping"/>
            </w:r>
            <w:r>
              <w:rPr>
                <w:rFonts w:hint="eastAsia"/>
              </w:rPr>
              <w:t>4复议机构管理（对接市局统一用户系统）</w:t>
            </w:r>
            <w:r>
              <w:rPr>
                <w:rFonts w:hint="eastAsia"/>
              </w:rPr>
              <w:br w:type="textWrapping"/>
            </w:r>
            <w:r>
              <w:rPr>
                <w:rFonts w:hint="eastAsia"/>
              </w:rPr>
              <w:t>针对18家复议机构信息的维护、调整维护、查询。功能包括机构信息维护、调整、查询。</w:t>
            </w:r>
            <w:r>
              <w:rPr>
                <w:rFonts w:hint="eastAsia"/>
              </w:rPr>
              <w:br w:type="textWrapping"/>
            </w:r>
            <w:r>
              <w:rPr>
                <w:rFonts w:hint="eastAsia"/>
              </w:rPr>
              <w:t>（1）复议机构信息维护</w:t>
            </w:r>
            <w:r>
              <w:rPr>
                <w:rFonts w:hint="eastAsia"/>
              </w:rPr>
              <w:br w:type="textWrapping"/>
            </w:r>
            <w:r>
              <w:rPr>
                <w:rFonts w:hint="eastAsia"/>
              </w:rPr>
              <w:t>新增组织机构时用户要定义组织机构的名称、编码、职能描述、层次结构等信息。组织机构添加成功后，用户再为组织机构分配用户。</w:t>
            </w:r>
            <w:r>
              <w:rPr>
                <w:rFonts w:hint="eastAsia"/>
              </w:rPr>
              <w:br w:type="textWrapping"/>
            </w:r>
            <w:r>
              <w:rPr>
                <w:rFonts w:hint="eastAsia"/>
              </w:rPr>
              <w:t>对于组织机构信息的修改，不需要审批，修改后立即生效。</w:t>
            </w:r>
            <w:r>
              <w:rPr>
                <w:rFonts w:hint="eastAsia"/>
              </w:rPr>
              <w:br w:type="textWrapping"/>
            </w:r>
            <w:r>
              <w:rPr>
                <w:rFonts w:hint="eastAsia"/>
              </w:rPr>
              <w:t>（2）复议机构调整</w:t>
            </w:r>
            <w:r>
              <w:rPr>
                <w:rFonts w:hint="eastAsia"/>
              </w:rPr>
              <w:br w:type="textWrapping"/>
            </w:r>
            <w:r>
              <w:rPr>
                <w:rFonts w:hint="eastAsia"/>
              </w:rPr>
              <w:t>当用户需要调整组织机构的层次关系时，系统提供调整组织结构层次管理的功能，组织机构以树形结构展示，用户可以逐层展开，查看每层中的组织机构，将要调整的组织机构以拖拽的方式拖到调整后的位置即可。</w:t>
            </w:r>
            <w:r>
              <w:rPr>
                <w:rFonts w:hint="eastAsia"/>
              </w:rPr>
              <w:br w:type="textWrapping"/>
            </w:r>
            <w:r>
              <w:rPr>
                <w:rFonts w:hint="eastAsia"/>
              </w:rPr>
              <w:t>（3）复议机构查询</w:t>
            </w:r>
            <w:r>
              <w:rPr>
                <w:rFonts w:hint="eastAsia"/>
              </w:rPr>
              <w:br w:type="textWrapping"/>
            </w:r>
            <w:r>
              <w:rPr>
                <w:rFonts w:hint="eastAsia"/>
              </w:rPr>
              <w:t>提供对组织机构的查询功能。可以按照各单位来查询，也可以按组织机构编码或名称来查询，还可以查看到每个组织机构下所包含的用户信息。</w:t>
            </w:r>
            <w:r>
              <w:rPr>
                <w:rFonts w:hint="eastAsia"/>
              </w:rPr>
              <w:br w:type="textWrapping"/>
            </w:r>
            <w:r>
              <w:rPr>
                <w:rFonts w:hint="eastAsia"/>
              </w:rPr>
              <w:t>二、考核评价</w:t>
            </w:r>
            <w:r>
              <w:rPr>
                <w:rFonts w:hint="eastAsia"/>
              </w:rPr>
              <w:br w:type="textWrapping"/>
            </w:r>
            <w:r>
              <w:rPr>
                <w:rFonts w:hint="eastAsia"/>
              </w:rPr>
              <w:t>1办案质效指标（今年已有相关建设内容）</w:t>
            </w:r>
            <w:r>
              <w:rPr>
                <w:rFonts w:hint="eastAsia"/>
              </w:rPr>
              <w:br w:type="textWrapping"/>
            </w:r>
            <w:r>
              <w:rPr>
                <w:rFonts w:hint="eastAsia"/>
              </w:rPr>
              <w:t>通过对平台中办案数据的分析，统计出办结率、超限未结率、平均审理时长等案件办理需要的质效指标数据；</w:t>
            </w:r>
            <w:r>
              <w:rPr>
                <w:rFonts w:hint="eastAsia"/>
              </w:rPr>
              <w:br w:type="textWrapping"/>
            </w:r>
            <w:r>
              <w:rPr>
                <w:rFonts w:hint="eastAsia"/>
              </w:rPr>
              <w:t>2办案绩效报表</w:t>
            </w:r>
            <w:r>
              <w:rPr>
                <w:rFonts w:hint="eastAsia"/>
              </w:rPr>
              <w:br w:type="textWrapping"/>
            </w:r>
            <w:r>
              <w:rPr>
                <w:rFonts w:hint="eastAsia"/>
              </w:rPr>
              <w:t>支持对局、处科、个人等级别行政复议工作人员办案绩效进行报表分析，并支持报表生成和打印。</w:t>
            </w:r>
            <w:r>
              <w:rPr>
                <w:rFonts w:hint="eastAsia"/>
              </w:rPr>
              <w:br w:type="textWrapping"/>
            </w:r>
            <w:r>
              <w:rPr>
                <w:rFonts w:hint="eastAsia"/>
              </w:rPr>
              <w:t>3个人办案绩效</w:t>
            </w:r>
            <w:r>
              <w:rPr>
                <w:rFonts w:hint="eastAsia"/>
              </w:rPr>
              <w:br w:type="textWrapping"/>
            </w:r>
            <w:r>
              <w:rPr>
                <w:rFonts w:hint="eastAsia"/>
              </w:rPr>
              <w:t>根据账号的权限，支持展示个人办案数据统计，让办案人员的绩效情况一目了然。</w:t>
            </w:r>
          </w:p>
        </w:tc>
      </w:tr>
      <w:tr w14:paraId="6B4BAD7F">
        <w:tblPrEx>
          <w:tblCellMar>
            <w:top w:w="0" w:type="dxa"/>
            <w:left w:w="108" w:type="dxa"/>
            <w:bottom w:w="0" w:type="dxa"/>
            <w:right w:w="108" w:type="dxa"/>
          </w:tblCellMar>
        </w:tblPrEx>
        <w:trPr>
          <w:trHeight w:val="4845" w:hRule="atLeast"/>
        </w:trPr>
        <w:tc>
          <w:tcPr>
            <w:tcW w:w="999" w:type="dxa"/>
            <w:tcBorders>
              <w:top w:val="single" w:color="000000" w:sz="4" w:space="0"/>
              <w:left w:val="single" w:color="000000" w:sz="4" w:space="0"/>
              <w:bottom w:val="single" w:color="000000" w:sz="4" w:space="0"/>
              <w:right w:val="single" w:color="000000" w:sz="4" w:space="0"/>
            </w:tcBorders>
            <w:vAlign w:val="center"/>
          </w:tcPr>
          <w:p w14:paraId="6CC70E98">
            <w:pPr>
              <w:ind w:left="0" w:leftChars="0" w:firstLine="0" w:firstLineChars="0"/>
              <w:rPr>
                <w:rFonts w:hint="eastAsia"/>
              </w:rPr>
            </w:pPr>
            <w:r>
              <w:rPr>
                <w:rFonts w:hint="eastAsia"/>
              </w:rPr>
              <w:t>7</w:t>
            </w:r>
          </w:p>
        </w:tc>
        <w:tc>
          <w:tcPr>
            <w:tcW w:w="898" w:type="dxa"/>
            <w:tcBorders>
              <w:top w:val="single" w:color="000000" w:sz="4" w:space="0"/>
              <w:left w:val="single" w:color="000000" w:sz="4" w:space="0"/>
              <w:bottom w:val="single" w:color="000000" w:sz="4" w:space="0"/>
              <w:right w:val="single" w:color="000000" w:sz="4" w:space="0"/>
            </w:tcBorders>
            <w:vAlign w:val="center"/>
          </w:tcPr>
          <w:p w14:paraId="7936E764">
            <w:pPr>
              <w:ind w:left="0" w:leftChars="0" w:firstLine="0" w:firstLineChars="0"/>
              <w:rPr>
                <w:rFonts w:hint="eastAsia"/>
              </w:rPr>
            </w:pPr>
            <w:r>
              <w:rPr>
                <w:rFonts w:hint="eastAsia"/>
              </w:rPr>
              <w:t>依法治市大系统(2025年升级改造）</w:t>
            </w:r>
          </w:p>
        </w:tc>
        <w:tc>
          <w:tcPr>
            <w:tcW w:w="1677" w:type="dxa"/>
            <w:tcBorders>
              <w:top w:val="single" w:color="000000" w:sz="4" w:space="0"/>
              <w:left w:val="single" w:color="000000" w:sz="4" w:space="0"/>
              <w:bottom w:val="single" w:color="000000" w:sz="4" w:space="0"/>
              <w:right w:val="single" w:color="000000" w:sz="4" w:space="0"/>
            </w:tcBorders>
            <w:vAlign w:val="center"/>
          </w:tcPr>
          <w:p w14:paraId="5DFBD89C">
            <w:pPr>
              <w:ind w:left="0" w:leftChars="0" w:firstLine="0" w:firstLineChars="0"/>
              <w:rPr>
                <w:rFonts w:hint="eastAsia"/>
              </w:rPr>
            </w:pPr>
            <w:r>
              <w:rPr>
                <w:rFonts w:hint="eastAsia"/>
              </w:rPr>
              <w:t>行政复议数据汇聚分析（数字监管场景）-案件多维分析</w:t>
            </w:r>
          </w:p>
        </w:tc>
        <w:tc>
          <w:tcPr>
            <w:tcW w:w="4525" w:type="dxa"/>
            <w:tcBorders>
              <w:top w:val="single" w:color="000000" w:sz="4" w:space="0"/>
              <w:left w:val="single" w:color="000000" w:sz="4" w:space="0"/>
              <w:bottom w:val="single" w:color="000000" w:sz="4" w:space="0"/>
              <w:right w:val="single" w:color="000000" w:sz="4" w:space="0"/>
            </w:tcBorders>
            <w:vAlign w:val="center"/>
          </w:tcPr>
          <w:p w14:paraId="2219C168">
            <w:pPr>
              <w:ind w:left="0" w:leftChars="0" w:firstLine="0" w:firstLineChars="0"/>
              <w:rPr>
                <w:rFonts w:hint="eastAsia"/>
              </w:rPr>
            </w:pPr>
            <w:r>
              <w:rPr>
                <w:rFonts w:hint="eastAsia"/>
              </w:rPr>
              <w:t>行政复议案件多维度分析功能，旨在为复议人员提供一套全面、精细的案件分析工具，以提高其专业办案能力和决策效率。</w:t>
            </w:r>
            <w:r>
              <w:rPr>
                <w:rFonts w:hint="eastAsia"/>
              </w:rPr>
              <w:br w:type="textWrapping"/>
            </w:r>
            <w:r>
              <w:rPr>
                <w:rFonts w:hint="eastAsia"/>
              </w:rPr>
              <w:t>1案件分类与标签化</w:t>
            </w:r>
            <w:r>
              <w:rPr>
                <w:rFonts w:hint="eastAsia"/>
              </w:rPr>
              <w:br w:type="textWrapping"/>
            </w:r>
            <w:r>
              <w:rPr>
                <w:rFonts w:hint="eastAsia"/>
              </w:rPr>
              <w:t>根据案件性质、类型、紧急程度等标准对案件进行自动分类和标签化。通过标签系统，快速检索和分析特定类型的案件。</w:t>
            </w:r>
            <w:r>
              <w:rPr>
                <w:rFonts w:hint="eastAsia"/>
              </w:rPr>
              <w:br w:type="textWrapping"/>
            </w:r>
            <w:r>
              <w:rPr>
                <w:rFonts w:hint="eastAsia"/>
              </w:rPr>
              <w:t>2趋势分析与预测</w:t>
            </w:r>
            <w:r>
              <w:rPr>
                <w:rFonts w:hint="eastAsia"/>
              </w:rPr>
              <w:br w:type="textWrapping"/>
            </w:r>
            <w:r>
              <w:rPr>
                <w:rFonts w:hint="eastAsia"/>
              </w:rPr>
              <w:t>分析案件数量、处理时长、胜诉率等关键指标的变化趋势。利用历史数据进行预测分析，为未来的案件量和可能的挑战提供参考。</w:t>
            </w:r>
            <w:r>
              <w:rPr>
                <w:rFonts w:hint="eastAsia"/>
              </w:rPr>
              <w:br w:type="textWrapping"/>
            </w:r>
            <w:r>
              <w:rPr>
                <w:rFonts w:hint="eastAsia"/>
              </w:rPr>
              <w:t>3区域分布与热点问题分布</w:t>
            </w:r>
            <w:r>
              <w:rPr>
                <w:rFonts w:hint="eastAsia"/>
              </w:rPr>
              <w:br w:type="textWrapping"/>
            </w:r>
            <w:r>
              <w:rPr>
                <w:rFonts w:hint="eastAsia"/>
              </w:rPr>
              <w:t>统计分析案件在不同地区的分布情况，识别案件高发地区。识别和分析案件中的热点问题，如特定法律条款的争议、特定类型的案件集中等。</w:t>
            </w:r>
            <w:r>
              <w:rPr>
                <w:rFonts w:hint="eastAsia"/>
              </w:rPr>
              <w:br w:type="textWrapping"/>
            </w:r>
            <w:r>
              <w:rPr>
                <w:rFonts w:hint="eastAsia"/>
              </w:rPr>
              <w:t>4可视化展示</w:t>
            </w:r>
            <w:r>
              <w:rPr>
                <w:rFonts w:hint="eastAsia"/>
              </w:rPr>
              <w:br w:type="textWrapping"/>
            </w:r>
            <w:r>
              <w:rPr>
                <w:rFonts w:hint="eastAsia"/>
              </w:rPr>
              <w:t>利用图表、仪表盘等可视化工具，直观展示多维分析结果。支持用户与可视化结果的交互，如缩放、筛选等。</w:t>
            </w:r>
            <w:r>
              <w:rPr>
                <w:rFonts w:hint="eastAsia"/>
              </w:rPr>
              <w:br w:type="textWrapping"/>
            </w:r>
            <w:r>
              <w:rPr>
                <w:rFonts w:hint="eastAsia"/>
              </w:rPr>
              <w:t>5报表生成与分享</w:t>
            </w:r>
            <w:r>
              <w:rPr>
                <w:rFonts w:hint="eastAsia"/>
              </w:rPr>
              <w:br w:type="textWrapping"/>
            </w:r>
            <w:r>
              <w:rPr>
                <w:rFonts w:hint="eastAsia"/>
              </w:rPr>
              <w:t>根据筛选条件自动生成分析报告，总结多维分析的关键发现和结论。支持报告的导出和分享。</w:t>
            </w:r>
          </w:p>
        </w:tc>
      </w:tr>
      <w:tr w14:paraId="6AA3343B">
        <w:tblPrEx>
          <w:tblCellMar>
            <w:top w:w="0" w:type="dxa"/>
            <w:left w:w="108" w:type="dxa"/>
            <w:bottom w:w="0" w:type="dxa"/>
            <w:right w:w="108" w:type="dxa"/>
          </w:tblCellMar>
        </w:tblPrEx>
        <w:trPr>
          <w:trHeight w:val="4065" w:hRule="atLeast"/>
        </w:trPr>
        <w:tc>
          <w:tcPr>
            <w:tcW w:w="999" w:type="dxa"/>
            <w:tcBorders>
              <w:top w:val="single" w:color="000000" w:sz="4" w:space="0"/>
              <w:left w:val="single" w:color="000000" w:sz="4" w:space="0"/>
              <w:bottom w:val="single" w:color="000000" w:sz="4" w:space="0"/>
              <w:right w:val="single" w:color="000000" w:sz="4" w:space="0"/>
            </w:tcBorders>
            <w:vAlign w:val="center"/>
          </w:tcPr>
          <w:p w14:paraId="547C22FF">
            <w:pPr>
              <w:ind w:left="0" w:leftChars="0" w:firstLine="0" w:firstLineChars="0"/>
              <w:rPr>
                <w:rFonts w:hint="eastAsia"/>
              </w:rPr>
            </w:pPr>
            <w:r>
              <w:rPr>
                <w:rFonts w:hint="eastAsia"/>
              </w:rPr>
              <w:t>8</w:t>
            </w:r>
          </w:p>
        </w:tc>
        <w:tc>
          <w:tcPr>
            <w:tcW w:w="898" w:type="dxa"/>
            <w:tcBorders>
              <w:top w:val="single" w:color="000000" w:sz="4" w:space="0"/>
              <w:left w:val="single" w:color="000000" w:sz="4" w:space="0"/>
              <w:bottom w:val="single" w:color="000000" w:sz="4" w:space="0"/>
              <w:right w:val="single" w:color="000000" w:sz="4" w:space="0"/>
            </w:tcBorders>
            <w:vAlign w:val="center"/>
          </w:tcPr>
          <w:p w14:paraId="716C38E5">
            <w:pPr>
              <w:ind w:left="0" w:leftChars="0" w:firstLine="0" w:firstLineChars="0"/>
              <w:rPr>
                <w:rFonts w:hint="eastAsia"/>
              </w:rPr>
            </w:pPr>
            <w:r>
              <w:rPr>
                <w:rFonts w:hint="eastAsia"/>
              </w:rPr>
              <w:t>依法治市大系统(2025年升级改造）</w:t>
            </w:r>
          </w:p>
        </w:tc>
        <w:tc>
          <w:tcPr>
            <w:tcW w:w="1677" w:type="dxa"/>
            <w:tcBorders>
              <w:top w:val="single" w:color="000000" w:sz="4" w:space="0"/>
              <w:left w:val="single" w:color="000000" w:sz="4" w:space="0"/>
              <w:bottom w:val="single" w:color="000000" w:sz="4" w:space="0"/>
              <w:right w:val="single" w:color="000000" w:sz="4" w:space="0"/>
            </w:tcBorders>
            <w:vAlign w:val="center"/>
          </w:tcPr>
          <w:p w14:paraId="494BAA72">
            <w:pPr>
              <w:ind w:left="0" w:leftChars="0" w:firstLine="0" w:firstLineChars="0"/>
              <w:rPr>
                <w:rFonts w:hint="eastAsia"/>
              </w:rPr>
            </w:pPr>
            <w:r>
              <w:rPr>
                <w:rFonts w:hint="eastAsia"/>
              </w:rPr>
              <w:t>行政复议数据汇聚分析（数字监管场景）-案件质量评查</w:t>
            </w:r>
          </w:p>
        </w:tc>
        <w:tc>
          <w:tcPr>
            <w:tcW w:w="4525" w:type="dxa"/>
            <w:tcBorders>
              <w:top w:val="single" w:color="000000" w:sz="4" w:space="0"/>
              <w:left w:val="single" w:color="000000" w:sz="4" w:space="0"/>
              <w:bottom w:val="single" w:color="000000" w:sz="4" w:space="0"/>
              <w:right w:val="single" w:color="000000" w:sz="4" w:space="0"/>
            </w:tcBorders>
            <w:vAlign w:val="center"/>
          </w:tcPr>
          <w:p w14:paraId="352C51C9">
            <w:pPr>
              <w:ind w:left="0" w:leftChars="0" w:firstLine="0" w:firstLineChars="0"/>
              <w:rPr>
                <w:rFonts w:hint="eastAsia"/>
              </w:rPr>
            </w:pPr>
            <w:r>
              <w:rPr>
                <w:rFonts w:hint="eastAsia"/>
              </w:rPr>
              <w:t>案卷评查作为行政复议工作中的关键环节，旨在通过系统、全面的审查与评估，确保复议案件处理的公正性、合法性和规范性。</w:t>
            </w:r>
            <w:r>
              <w:rPr>
                <w:rFonts w:hint="eastAsia"/>
              </w:rPr>
              <w:br w:type="textWrapping"/>
            </w:r>
            <w:r>
              <w:rPr>
                <w:rFonts w:hint="eastAsia"/>
              </w:rPr>
              <w:t>1评查标准设置</w:t>
            </w:r>
            <w:r>
              <w:rPr>
                <w:rFonts w:hint="eastAsia"/>
              </w:rPr>
              <w:br w:type="textWrapping"/>
            </w:r>
            <w:r>
              <w:rPr>
                <w:rFonts w:hint="eastAsia"/>
              </w:rPr>
              <w:t>设定明确的案件质量评查标准和指标，如法律适用准确性、审理程序合法性、文书制作规范性等。根据不同的案件类型和特点，设定相应的评查重点和评分细则。可对评查标准进行新增修改删除和查询操作。</w:t>
            </w:r>
            <w:r>
              <w:rPr>
                <w:rFonts w:hint="eastAsia"/>
              </w:rPr>
              <w:br w:type="textWrapping"/>
            </w:r>
            <w:r>
              <w:rPr>
                <w:rFonts w:hint="eastAsia"/>
              </w:rPr>
              <w:t>2案件抽查</w:t>
            </w:r>
            <w:r>
              <w:rPr>
                <w:rFonts w:hint="eastAsia"/>
              </w:rPr>
              <w:br w:type="textWrapping"/>
            </w:r>
            <w:r>
              <w:rPr>
                <w:rFonts w:hint="eastAsia"/>
              </w:rPr>
              <w:t>支持随机抽取一定比例的已审结案件进行质量评查。设定抽查规则，如按时间范围、案件类型、审理结果等条件进行抽取。</w:t>
            </w:r>
            <w:r>
              <w:rPr>
                <w:rFonts w:hint="eastAsia"/>
              </w:rPr>
              <w:br w:type="textWrapping"/>
            </w:r>
            <w:r>
              <w:rPr>
                <w:rFonts w:hint="eastAsia"/>
              </w:rPr>
              <w:t>3评查流程</w:t>
            </w:r>
            <w:r>
              <w:rPr>
                <w:rFonts w:hint="eastAsia"/>
              </w:rPr>
              <w:br w:type="textWrapping"/>
            </w:r>
            <w:r>
              <w:rPr>
                <w:rFonts w:hint="eastAsia"/>
              </w:rPr>
              <w:t>设计案件质量评查的流程，包括评查准备、实施、反馈和改进等环节。环节一单设定不可随意更改。</w:t>
            </w:r>
            <w:r>
              <w:rPr>
                <w:rFonts w:hint="eastAsia"/>
              </w:rPr>
              <w:br w:type="textWrapping"/>
            </w:r>
            <w:r>
              <w:rPr>
                <w:rFonts w:hint="eastAsia"/>
              </w:rPr>
              <w:t>4评查表</w:t>
            </w:r>
            <w:r>
              <w:rPr>
                <w:rFonts w:hint="eastAsia"/>
              </w:rPr>
              <w:br w:type="textWrapping"/>
            </w:r>
            <w:r>
              <w:rPr>
                <w:rFonts w:hint="eastAsia"/>
              </w:rPr>
              <w:t>可新建评价表，设计评查内容及评分标准，评查人员可对照评分标准进行打分。评查表一旦生效不可修改删除，未生效的可删除编辑。</w:t>
            </w:r>
            <w:r>
              <w:rPr>
                <w:rFonts w:hint="eastAsia"/>
              </w:rPr>
              <w:br w:type="textWrapping"/>
            </w:r>
            <w:r>
              <w:rPr>
                <w:rFonts w:hint="eastAsia"/>
              </w:rPr>
              <w:t>5评查结果记录</w:t>
            </w:r>
            <w:r>
              <w:rPr>
                <w:rFonts w:hint="eastAsia"/>
              </w:rPr>
              <w:br w:type="textWrapping"/>
            </w:r>
            <w:r>
              <w:rPr>
                <w:rFonts w:hint="eastAsia"/>
              </w:rPr>
              <w:t>记录每个案件的评查结果，包括存在的问题、优点、改进建议等。办案人员可对评查结果进行查看。</w:t>
            </w:r>
            <w:r>
              <w:rPr>
                <w:rFonts w:hint="eastAsia"/>
              </w:rPr>
              <w:br w:type="textWrapping"/>
            </w:r>
            <w:r>
              <w:rPr>
                <w:rFonts w:hint="eastAsia"/>
              </w:rPr>
              <w:t>6评查报表生成</w:t>
            </w:r>
            <w:r>
              <w:rPr>
                <w:rFonts w:hint="eastAsia"/>
              </w:rPr>
              <w:br w:type="textWrapping"/>
            </w:r>
            <w:r>
              <w:rPr>
                <w:rFonts w:hint="eastAsia"/>
              </w:rPr>
              <w:t>自动生成案件质量评查报告，总结评查结果和发现的问题。报告可以包括统计数据、图表、典型案例等。</w:t>
            </w:r>
            <w:r>
              <w:rPr>
                <w:rFonts w:hint="eastAsia"/>
              </w:rPr>
              <w:br w:type="textWrapping"/>
            </w:r>
            <w:r>
              <w:rPr>
                <w:rFonts w:hint="eastAsia"/>
              </w:rPr>
              <w:t>7评查知识库</w:t>
            </w:r>
            <w:r>
              <w:rPr>
                <w:rFonts w:hint="eastAsia"/>
              </w:rPr>
              <w:br w:type="textWrapping"/>
            </w:r>
            <w:r>
              <w:rPr>
                <w:rFonts w:hint="eastAsia"/>
              </w:rPr>
              <w:t>建立评查知识库，收集和整理评查相关的法律法规、指导文件、典型案例等。可对评查知识库进行删除新增修改查询等操作。</w:t>
            </w:r>
          </w:p>
        </w:tc>
      </w:tr>
      <w:tr w14:paraId="4C4848DC">
        <w:tblPrEx>
          <w:tblCellMar>
            <w:top w:w="0" w:type="dxa"/>
            <w:left w:w="108" w:type="dxa"/>
            <w:bottom w:w="0" w:type="dxa"/>
            <w:right w:w="108" w:type="dxa"/>
          </w:tblCellMar>
        </w:tblPrEx>
        <w:trPr>
          <w:trHeight w:val="3420" w:hRule="atLeast"/>
        </w:trPr>
        <w:tc>
          <w:tcPr>
            <w:tcW w:w="999" w:type="dxa"/>
            <w:tcBorders>
              <w:top w:val="single" w:color="000000" w:sz="4" w:space="0"/>
              <w:left w:val="single" w:color="000000" w:sz="4" w:space="0"/>
              <w:bottom w:val="single" w:color="000000" w:sz="4" w:space="0"/>
              <w:right w:val="single" w:color="000000" w:sz="4" w:space="0"/>
            </w:tcBorders>
            <w:vAlign w:val="center"/>
          </w:tcPr>
          <w:p w14:paraId="4533EE56">
            <w:pPr>
              <w:ind w:left="0" w:leftChars="0" w:firstLine="0" w:firstLineChars="0"/>
              <w:rPr>
                <w:rFonts w:hint="eastAsia"/>
              </w:rPr>
            </w:pPr>
            <w:r>
              <w:rPr>
                <w:rFonts w:hint="eastAsia"/>
              </w:rPr>
              <w:t>9</w:t>
            </w:r>
          </w:p>
        </w:tc>
        <w:tc>
          <w:tcPr>
            <w:tcW w:w="898" w:type="dxa"/>
            <w:tcBorders>
              <w:top w:val="single" w:color="000000" w:sz="4" w:space="0"/>
              <w:left w:val="single" w:color="000000" w:sz="4" w:space="0"/>
              <w:bottom w:val="single" w:color="000000" w:sz="4" w:space="0"/>
              <w:right w:val="single" w:color="000000" w:sz="4" w:space="0"/>
            </w:tcBorders>
            <w:vAlign w:val="center"/>
          </w:tcPr>
          <w:p w14:paraId="5428268E">
            <w:pPr>
              <w:ind w:left="0" w:leftChars="0" w:firstLine="0" w:firstLineChars="0"/>
              <w:rPr>
                <w:rFonts w:hint="eastAsia"/>
              </w:rPr>
            </w:pPr>
            <w:r>
              <w:rPr>
                <w:rFonts w:hint="eastAsia"/>
              </w:rPr>
              <w:t>依法治市大系统(2025年升级改造）</w:t>
            </w:r>
          </w:p>
        </w:tc>
        <w:tc>
          <w:tcPr>
            <w:tcW w:w="1677" w:type="dxa"/>
            <w:tcBorders>
              <w:top w:val="single" w:color="000000" w:sz="4" w:space="0"/>
              <w:left w:val="single" w:color="000000" w:sz="4" w:space="0"/>
              <w:bottom w:val="single" w:color="000000" w:sz="4" w:space="0"/>
              <w:right w:val="single" w:color="000000" w:sz="4" w:space="0"/>
            </w:tcBorders>
            <w:vAlign w:val="center"/>
          </w:tcPr>
          <w:p w14:paraId="6B869A8C">
            <w:pPr>
              <w:ind w:left="0" w:leftChars="0" w:firstLine="0" w:firstLineChars="0"/>
              <w:rPr>
                <w:rFonts w:hint="eastAsia"/>
              </w:rPr>
            </w:pPr>
            <w:r>
              <w:rPr>
                <w:rFonts w:hint="eastAsia"/>
              </w:rPr>
              <w:t>行政复议数据汇聚分析（数字监管场景）-复议应诉专题分析</w:t>
            </w:r>
          </w:p>
        </w:tc>
        <w:tc>
          <w:tcPr>
            <w:tcW w:w="4525" w:type="dxa"/>
            <w:tcBorders>
              <w:top w:val="single" w:color="000000" w:sz="4" w:space="0"/>
              <w:left w:val="single" w:color="000000" w:sz="4" w:space="0"/>
              <w:bottom w:val="single" w:color="000000" w:sz="4" w:space="0"/>
              <w:right w:val="single" w:color="000000" w:sz="4" w:space="0"/>
            </w:tcBorders>
            <w:vAlign w:val="center"/>
          </w:tcPr>
          <w:p w14:paraId="10E6B0D5">
            <w:pPr>
              <w:ind w:left="0" w:leftChars="0" w:firstLine="0" w:firstLineChars="0"/>
              <w:rPr>
                <w:rFonts w:hint="eastAsia"/>
              </w:rPr>
            </w:pPr>
            <w:r>
              <w:rPr>
                <w:rFonts w:hint="eastAsia"/>
              </w:rPr>
              <w:t>1专题模板</w:t>
            </w:r>
            <w:r>
              <w:rPr>
                <w:rFonts w:hint="eastAsia"/>
              </w:rPr>
              <w:br w:type="textWrapping"/>
            </w:r>
            <w:r>
              <w:rPr>
                <w:rFonts w:hint="eastAsia"/>
              </w:rPr>
              <w:t>提供可选择的专题模板，包含模板使用方式说明等，模板信息不可被修改，用户可根据实际需要选择对应的专题模板进行专题分析。</w:t>
            </w:r>
            <w:r>
              <w:rPr>
                <w:rFonts w:hint="eastAsia"/>
              </w:rPr>
              <w:br w:type="textWrapping"/>
            </w:r>
            <w:r>
              <w:rPr>
                <w:rFonts w:hint="eastAsia"/>
              </w:rPr>
              <w:t>2深入分析与挖掘</w:t>
            </w:r>
            <w:r>
              <w:rPr>
                <w:rFonts w:hint="eastAsia"/>
              </w:rPr>
              <w:br w:type="textWrapping"/>
            </w:r>
            <w:r>
              <w:rPr>
                <w:rFonts w:hint="eastAsia"/>
              </w:rPr>
              <w:t>利用数据分析工具和技术，对专题数据进行分析和挖掘，发现数据背后的趋势和模式。应用统计分析方法，如描述性统计、推断性统计、相关性分析等。</w:t>
            </w:r>
            <w:r>
              <w:rPr>
                <w:rFonts w:hint="eastAsia"/>
              </w:rPr>
              <w:br w:type="textWrapping"/>
            </w:r>
            <w:r>
              <w:rPr>
                <w:rFonts w:hint="eastAsia"/>
              </w:rPr>
              <w:t>3专题报告生成</w:t>
            </w:r>
            <w:r>
              <w:rPr>
                <w:rFonts w:hint="eastAsia"/>
              </w:rPr>
              <w:br w:type="textWrapping"/>
            </w:r>
            <w:r>
              <w:rPr>
                <w:rFonts w:hint="eastAsia"/>
              </w:rPr>
              <w:t>自动生成专题分析报告，总结专题分析的关键发现和结论。报告可以包括统计数据、图表、典型案例等；提供专题报告的下载和预览功能。</w:t>
            </w:r>
            <w:r>
              <w:rPr>
                <w:rFonts w:hint="eastAsia"/>
              </w:rPr>
              <w:br w:type="textWrapping"/>
            </w:r>
            <w:r>
              <w:rPr>
                <w:rFonts w:hint="eastAsia"/>
              </w:rPr>
              <w:t>4可视化展示</w:t>
            </w:r>
            <w:r>
              <w:rPr>
                <w:rFonts w:hint="eastAsia"/>
              </w:rPr>
              <w:br w:type="textWrapping"/>
            </w:r>
            <w:r>
              <w:rPr>
                <w:rFonts w:hint="eastAsia"/>
              </w:rPr>
              <w:t>利用图表、仪表盘等可视化工具，直观展示专题分析结果。提供交互式可视化功能，可对图标进行缩放筛选等操作。</w:t>
            </w:r>
          </w:p>
        </w:tc>
      </w:tr>
      <w:tr w14:paraId="7F64D98C">
        <w:tblPrEx>
          <w:tblCellMar>
            <w:top w:w="0" w:type="dxa"/>
            <w:left w:w="108" w:type="dxa"/>
            <w:bottom w:w="0" w:type="dxa"/>
            <w:right w:w="108" w:type="dxa"/>
          </w:tblCellMar>
        </w:tblPrEx>
        <w:trPr>
          <w:trHeight w:val="90" w:hRule="atLeast"/>
        </w:trPr>
        <w:tc>
          <w:tcPr>
            <w:tcW w:w="999" w:type="dxa"/>
            <w:tcBorders>
              <w:top w:val="single" w:color="000000" w:sz="4" w:space="0"/>
              <w:left w:val="single" w:color="000000" w:sz="4" w:space="0"/>
              <w:bottom w:val="single" w:color="000000" w:sz="4" w:space="0"/>
              <w:right w:val="single" w:color="000000" w:sz="4" w:space="0"/>
            </w:tcBorders>
            <w:vAlign w:val="center"/>
          </w:tcPr>
          <w:p w14:paraId="2465D1E7">
            <w:pPr>
              <w:ind w:left="0" w:leftChars="0" w:firstLine="0" w:firstLineChars="0"/>
              <w:rPr>
                <w:rFonts w:hint="eastAsia"/>
              </w:rPr>
            </w:pPr>
            <w:r>
              <w:rPr>
                <w:rFonts w:hint="eastAsia"/>
              </w:rPr>
              <w:t>10</w:t>
            </w:r>
          </w:p>
        </w:tc>
        <w:tc>
          <w:tcPr>
            <w:tcW w:w="898" w:type="dxa"/>
            <w:tcBorders>
              <w:top w:val="single" w:color="000000" w:sz="4" w:space="0"/>
              <w:left w:val="single" w:color="000000" w:sz="4" w:space="0"/>
              <w:bottom w:val="single" w:color="000000" w:sz="4" w:space="0"/>
              <w:right w:val="single" w:color="000000" w:sz="4" w:space="0"/>
            </w:tcBorders>
            <w:vAlign w:val="center"/>
          </w:tcPr>
          <w:p w14:paraId="30302B02">
            <w:pPr>
              <w:ind w:left="0" w:leftChars="0" w:firstLine="0" w:firstLineChars="0"/>
              <w:rPr>
                <w:rFonts w:hint="eastAsia"/>
              </w:rPr>
            </w:pPr>
            <w:r>
              <w:rPr>
                <w:rFonts w:hint="eastAsia"/>
              </w:rPr>
              <w:t>依法治市大系统(2025年升级改造）</w:t>
            </w:r>
          </w:p>
        </w:tc>
        <w:tc>
          <w:tcPr>
            <w:tcW w:w="1677" w:type="dxa"/>
            <w:tcBorders>
              <w:top w:val="single" w:color="000000" w:sz="4" w:space="0"/>
              <w:left w:val="single" w:color="000000" w:sz="4" w:space="0"/>
              <w:bottom w:val="single" w:color="000000" w:sz="4" w:space="0"/>
              <w:right w:val="single" w:color="000000" w:sz="4" w:space="0"/>
            </w:tcBorders>
            <w:vAlign w:val="center"/>
          </w:tcPr>
          <w:p w14:paraId="55B2D7B0">
            <w:pPr>
              <w:ind w:left="0" w:leftChars="0" w:firstLine="0" w:firstLineChars="0"/>
              <w:rPr>
                <w:rFonts w:hint="eastAsia"/>
              </w:rPr>
            </w:pPr>
            <w:r>
              <w:rPr>
                <w:rFonts w:hint="eastAsia"/>
              </w:rPr>
              <w:t>课题管理及相关配置-课题管理及相关配置</w:t>
            </w:r>
          </w:p>
        </w:tc>
        <w:tc>
          <w:tcPr>
            <w:tcW w:w="4525" w:type="dxa"/>
            <w:tcBorders>
              <w:top w:val="single" w:color="000000" w:sz="4" w:space="0"/>
              <w:left w:val="single" w:color="000000" w:sz="4" w:space="0"/>
              <w:bottom w:val="single" w:color="000000" w:sz="4" w:space="0"/>
              <w:right w:val="single" w:color="000000" w:sz="4" w:space="0"/>
            </w:tcBorders>
            <w:vAlign w:val="center"/>
          </w:tcPr>
          <w:p w14:paraId="21FCDF73">
            <w:pPr>
              <w:ind w:left="0" w:leftChars="0" w:firstLine="0" w:firstLineChars="0"/>
              <w:rPr>
                <w:rFonts w:hint="eastAsia"/>
              </w:rPr>
            </w:pPr>
            <w:r>
              <w:rPr>
                <w:rFonts w:hint="eastAsia"/>
              </w:rPr>
              <w:t>1、课题填报："满足个人课题信息填写的要求，区别于部门机关填报，部分机关的填报信息，个人课题信息填报不再需要显示。在申请提交环节，成果提交环节，结项材料环节新增相关文件的上传功能。"</w:t>
            </w:r>
            <w:r>
              <w:rPr>
                <w:rFonts w:hint="eastAsia"/>
              </w:rPr>
              <w:br w:type="textWrapping"/>
            </w:r>
            <w:r>
              <w:rPr>
                <w:rFonts w:hint="eastAsia"/>
              </w:rPr>
              <w:t>2、课题退回："课题审核人，如发现申报的课题有问题，可对课题进行退回操作。退回操作需填写，操作人，操作人联系方式。系统给出常用退回理由。操作人及操作人联系方式系统给出默认登录人信息，可进行修改操作。</w:t>
            </w:r>
            <w:r>
              <w:rPr>
                <w:rFonts w:hint="eastAsia"/>
              </w:rPr>
              <w:br w:type="textWrapping"/>
            </w:r>
            <w:r>
              <w:rPr>
                <w:rFonts w:hint="eastAsia"/>
              </w:rPr>
              <w:t>3、联合课题：新增联合课题类型，联合课题信息维护，支持填写多个负责人。1到4个课题负责人， 1到8为课题成员。</w:t>
            </w:r>
            <w:r>
              <w:rPr>
                <w:rFonts w:hint="eastAsia"/>
              </w:rPr>
              <w:br w:type="textWrapping"/>
            </w:r>
            <w:r>
              <w:rPr>
                <w:rFonts w:hint="eastAsia"/>
              </w:rPr>
              <w:t>4、通知公告："通知公告展示，申请人登录系统，进入首页可查看各通知课题申报的基本信息及截止时间。对通知公告信息进行维护，包含通知年度，课题基本信息，课题申报开始时间，课题申报截止时间，备注信息，登记信息人员，登记信息联系方式，登记信息时间，通知公告发布开始时间，通知公告关闭时间，通知公告发送范围。"</w:t>
            </w:r>
            <w:r>
              <w:rPr>
                <w:rFonts w:hint="eastAsia"/>
              </w:rPr>
              <w:br w:type="textWrapping"/>
            </w:r>
            <w:r>
              <w:rPr>
                <w:rFonts w:hint="eastAsia"/>
              </w:rPr>
              <w:t>5、申报控制："课题申报通道启动时间与通知公告中记录的课题申报开始申报截止时间，保持一致。</w:t>
            </w:r>
            <w:r>
              <w:rPr>
                <w:rFonts w:hint="eastAsia"/>
              </w:rPr>
              <w:br w:type="textWrapping"/>
            </w:r>
            <w:r>
              <w:rPr>
                <w:rFonts w:hint="eastAsia"/>
              </w:rPr>
              <w:t>审核人员可启动或关闭课题申报通道，可全部启动关闭。可这个对于某个账号开启或停止申报入口。"</w:t>
            </w:r>
            <w:r>
              <w:rPr>
                <w:rFonts w:hint="eastAsia"/>
              </w:rPr>
              <w:br w:type="textWrapping"/>
            </w:r>
            <w:r>
              <w:rPr>
                <w:rFonts w:hint="eastAsia"/>
              </w:rPr>
              <w:t>6、材料管理："支持大批量课题相关材料的导出操作。支持多课题批量导出，某一类的材料文件。支持导出的材料文件文件名称格式化统一处理。例如XXXX课题XXX材料。支持页面筛选功能，筛选出相关的多条相关课题信息进行批量导出。"</w:t>
            </w:r>
            <w:r>
              <w:rPr>
                <w:rFonts w:hint="eastAsia"/>
              </w:rPr>
              <w:br w:type="textWrapping"/>
            </w:r>
            <w:r>
              <w:rPr>
                <w:rFonts w:hint="eastAsia"/>
              </w:rPr>
              <w:t>7、标签库："系统自动触发标签及人工维护标签。修改，调整。标签库管理，新增修改删除，配置标签，标签规则。"</w:t>
            </w:r>
            <w:r>
              <w:rPr>
                <w:rFonts w:hint="eastAsia"/>
              </w:rPr>
              <w:br w:type="textWrapping"/>
            </w:r>
            <w:r>
              <w:rPr>
                <w:rFonts w:hint="eastAsia"/>
              </w:rPr>
              <w:t>8、专家意见："评审过程中，专家可以填写专家意见信息。对评审过程中的专家意见进行分析汇总，汇总同个课题不同专家意见，方便审核人员进行分析评审。"</w:t>
            </w:r>
            <w:r>
              <w:rPr>
                <w:rFonts w:hint="eastAsia"/>
              </w:rPr>
              <w:br w:type="textWrapping"/>
            </w:r>
            <w:r>
              <w:rPr>
                <w:rFonts w:hint="eastAsia"/>
              </w:rPr>
              <w:t>9、评审等级：基于课题评奖机制，对课题进行自动的等级评审。</w:t>
            </w:r>
            <w:r>
              <w:rPr>
                <w:rFonts w:hint="eastAsia"/>
              </w:rPr>
              <w:br w:type="textWrapping"/>
            </w:r>
            <w:r>
              <w:rPr>
                <w:rFonts w:hint="eastAsia"/>
              </w:rPr>
              <w:t>10、课题评奖机制："列表方式展示课题评奖机制信息情况。包含年份，课题种类，课题占比，课题等级等信息展示。页面包含新增，修改等按钮。课题评奖机制的配置管理，年份，课题类型，课题等级，课题分值等信息。"</w:t>
            </w:r>
            <w:r>
              <w:rPr>
                <w:rFonts w:hint="eastAsia"/>
              </w:rPr>
              <w:br w:type="textWrapping"/>
            </w:r>
            <w:r>
              <w:rPr>
                <w:rFonts w:hint="eastAsia"/>
              </w:rPr>
              <w:t>11、结项证明："列表方式展示结项证明模板信息。包括年份，课题种类信息。页面包含新增修改删除等按钮。</w:t>
            </w:r>
            <w:r>
              <w:rPr>
                <w:rFonts w:hint="eastAsia"/>
              </w:rPr>
              <w:br w:type="textWrapping"/>
            </w:r>
            <w:r>
              <w:rPr>
                <w:rFonts w:hint="eastAsia"/>
              </w:rPr>
              <w:t>可进行结项证书模板的信息维护，可设置年份可上传相关模板文件。"</w:t>
            </w:r>
          </w:p>
        </w:tc>
      </w:tr>
      <w:tr w14:paraId="1D6A217C">
        <w:tblPrEx>
          <w:tblCellMar>
            <w:top w:w="0" w:type="dxa"/>
            <w:left w:w="108" w:type="dxa"/>
            <w:bottom w:w="0" w:type="dxa"/>
            <w:right w:w="108" w:type="dxa"/>
          </w:tblCellMar>
        </w:tblPrEx>
        <w:trPr>
          <w:trHeight w:val="3420" w:hRule="atLeast"/>
        </w:trPr>
        <w:tc>
          <w:tcPr>
            <w:tcW w:w="999" w:type="dxa"/>
            <w:tcBorders>
              <w:top w:val="single" w:color="000000" w:sz="4" w:space="0"/>
              <w:left w:val="single" w:color="000000" w:sz="4" w:space="0"/>
              <w:bottom w:val="single" w:color="000000" w:sz="4" w:space="0"/>
              <w:right w:val="single" w:color="000000" w:sz="4" w:space="0"/>
            </w:tcBorders>
            <w:vAlign w:val="center"/>
          </w:tcPr>
          <w:p w14:paraId="0063429F">
            <w:pPr>
              <w:ind w:left="0" w:leftChars="0" w:firstLine="0" w:firstLineChars="0"/>
              <w:rPr>
                <w:rFonts w:hint="eastAsia"/>
              </w:rPr>
            </w:pPr>
            <w:r>
              <w:rPr>
                <w:rFonts w:hint="eastAsia"/>
              </w:rPr>
              <w:t>11</w:t>
            </w:r>
          </w:p>
        </w:tc>
        <w:tc>
          <w:tcPr>
            <w:tcW w:w="898" w:type="dxa"/>
            <w:tcBorders>
              <w:top w:val="single" w:color="000000" w:sz="4" w:space="0"/>
              <w:left w:val="single" w:color="000000" w:sz="4" w:space="0"/>
              <w:bottom w:val="single" w:color="000000" w:sz="4" w:space="0"/>
              <w:right w:val="single" w:color="000000" w:sz="4" w:space="0"/>
            </w:tcBorders>
            <w:vAlign w:val="center"/>
          </w:tcPr>
          <w:p w14:paraId="7AC45709">
            <w:pPr>
              <w:ind w:left="0" w:leftChars="0" w:firstLine="0" w:firstLineChars="0"/>
              <w:rPr>
                <w:rFonts w:hint="eastAsia"/>
              </w:rPr>
            </w:pPr>
            <w:r>
              <w:rPr>
                <w:rFonts w:hint="eastAsia"/>
              </w:rPr>
              <w:t>依法治市大系统(2025年升级改造）</w:t>
            </w:r>
          </w:p>
        </w:tc>
        <w:tc>
          <w:tcPr>
            <w:tcW w:w="1677" w:type="dxa"/>
            <w:tcBorders>
              <w:top w:val="single" w:color="000000" w:sz="4" w:space="0"/>
              <w:left w:val="single" w:color="000000" w:sz="4" w:space="0"/>
              <w:bottom w:val="single" w:color="000000" w:sz="4" w:space="0"/>
              <w:right w:val="single" w:color="000000" w:sz="4" w:space="0"/>
            </w:tcBorders>
            <w:vAlign w:val="center"/>
          </w:tcPr>
          <w:p w14:paraId="7910CB07">
            <w:pPr>
              <w:ind w:left="0" w:leftChars="0" w:firstLine="0" w:firstLineChars="0"/>
              <w:rPr>
                <w:rFonts w:hint="eastAsia"/>
              </w:rPr>
            </w:pPr>
            <w:r>
              <w:rPr>
                <w:rFonts w:hint="eastAsia"/>
              </w:rPr>
              <w:t>课题成果分享-课题成果分享</w:t>
            </w:r>
          </w:p>
        </w:tc>
        <w:tc>
          <w:tcPr>
            <w:tcW w:w="4525" w:type="dxa"/>
            <w:tcBorders>
              <w:top w:val="single" w:color="000000" w:sz="4" w:space="0"/>
              <w:left w:val="single" w:color="000000" w:sz="4" w:space="0"/>
              <w:bottom w:val="single" w:color="000000" w:sz="4" w:space="0"/>
              <w:right w:val="single" w:color="000000" w:sz="4" w:space="0"/>
            </w:tcBorders>
            <w:vAlign w:val="center"/>
          </w:tcPr>
          <w:p w14:paraId="73179AC6">
            <w:pPr>
              <w:ind w:left="0" w:leftChars="0" w:firstLine="0" w:firstLineChars="0"/>
              <w:rPr>
                <w:rFonts w:hint="eastAsia"/>
              </w:rPr>
            </w:pPr>
            <w:r>
              <w:rPr>
                <w:rFonts w:hint="eastAsia"/>
              </w:rPr>
              <w:t>1、综合维护</w:t>
            </w:r>
            <w:r>
              <w:rPr>
                <w:rFonts w:hint="eastAsia"/>
              </w:rPr>
              <w:br w:type="textWrapping"/>
            </w:r>
            <w:r>
              <w:rPr>
                <w:rFonts w:hint="eastAsia"/>
              </w:rPr>
              <w:t>"列表方式展示所有的课题信息，可根据筛选条件，快速找出相关的课题，可进行修改等操作。</w:t>
            </w:r>
            <w:r>
              <w:rPr>
                <w:rFonts w:hint="eastAsia"/>
              </w:rPr>
              <w:br w:type="textWrapping"/>
            </w:r>
            <w:r>
              <w:rPr>
                <w:rFonts w:hint="eastAsia"/>
              </w:rPr>
              <w:t>课题申报的全流程过程中，审核人员可进行随时的补充维护。</w:t>
            </w:r>
            <w:r>
              <w:rPr>
                <w:rFonts w:hint="eastAsia"/>
              </w:rPr>
              <w:br w:type="textWrapping"/>
            </w:r>
            <w:r>
              <w:rPr>
                <w:rFonts w:hint="eastAsia"/>
              </w:rPr>
              <w:t>对于补充维护的课题的修改信息进行日志记录并可查看。"</w:t>
            </w:r>
            <w:r>
              <w:rPr>
                <w:rFonts w:hint="eastAsia"/>
              </w:rPr>
              <w:br w:type="textWrapping"/>
            </w:r>
            <w:r>
              <w:rPr>
                <w:rFonts w:hint="eastAsia"/>
              </w:rPr>
              <w:t>2、成果课题成果分享</w:t>
            </w:r>
            <w:r>
              <w:rPr>
                <w:rFonts w:hint="eastAsia"/>
              </w:rPr>
              <w:br w:type="textWrapping"/>
            </w:r>
            <w:r>
              <w:rPr>
                <w:rFonts w:hint="eastAsia"/>
              </w:rPr>
              <w:t>"列表方式展示所有可进行分享的课题，可以根据筛选条件筛选出需要的课题，可进行查看和相关文件下载。</w:t>
            </w:r>
            <w:r>
              <w:rPr>
                <w:rFonts w:hint="eastAsia"/>
              </w:rPr>
              <w:br w:type="textWrapping"/>
            </w:r>
            <w:r>
              <w:rPr>
                <w:rFonts w:hint="eastAsia"/>
              </w:rPr>
              <w:t>页面支持批量下载，可选择多个文件批量下载相关材料文件。</w:t>
            </w:r>
            <w:r>
              <w:rPr>
                <w:rFonts w:hint="eastAsia"/>
              </w:rPr>
              <w:br w:type="textWrapping"/>
            </w:r>
            <w:r>
              <w:rPr>
                <w:rFonts w:hint="eastAsia"/>
              </w:rPr>
              <w:t>课题分享获取相关信息时候，例如批量下载相关材料信息，需要填写运用领域使用方向等信息。</w:t>
            </w:r>
            <w:r>
              <w:rPr>
                <w:rFonts w:hint="eastAsia"/>
              </w:rPr>
              <w:br w:type="textWrapping"/>
            </w:r>
            <w:r>
              <w:rPr>
                <w:rFonts w:hint="eastAsia"/>
              </w:rPr>
              <w:t>分析展示成果课题的运用情况。运用机关情况，运用领域情况，效果情况。"</w:t>
            </w:r>
          </w:p>
        </w:tc>
      </w:tr>
      <w:tr w14:paraId="30CC26F5">
        <w:tblPrEx>
          <w:tblCellMar>
            <w:top w:w="0" w:type="dxa"/>
            <w:left w:w="108" w:type="dxa"/>
            <w:bottom w:w="0" w:type="dxa"/>
            <w:right w:w="108" w:type="dxa"/>
          </w:tblCellMar>
        </w:tblPrEx>
        <w:trPr>
          <w:trHeight w:val="90" w:hRule="atLeast"/>
        </w:trPr>
        <w:tc>
          <w:tcPr>
            <w:tcW w:w="999" w:type="dxa"/>
            <w:tcBorders>
              <w:top w:val="single" w:color="000000" w:sz="4" w:space="0"/>
              <w:left w:val="single" w:color="000000" w:sz="4" w:space="0"/>
              <w:bottom w:val="single" w:color="000000" w:sz="4" w:space="0"/>
              <w:right w:val="single" w:color="000000" w:sz="4" w:space="0"/>
            </w:tcBorders>
            <w:vAlign w:val="center"/>
          </w:tcPr>
          <w:p w14:paraId="6EACB074">
            <w:pPr>
              <w:ind w:left="0" w:leftChars="0" w:firstLine="0" w:firstLineChars="0"/>
              <w:rPr>
                <w:rFonts w:hint="eastAsia"/>
              </w:rPr>
            </w:pPr>
            <w:r>
              <w:rPr>
                <w:rFonts w:hint="eastAsia"/>
              </w:rPr>
              <w:t>12</w:t>
            </w:r>
          </w:p>
        </w:tc>
        <w:tc>
          <w:tcPr>
            <w:tcW w:w="898" w:type="dxa"/>
            <w:tcBorders>
              <w:top w:val="single" w:color="000000" w:sz="4" w:space="0"/>
              <w:left w:val="single" w:color="000000" w:sz="4" w:space="0"/>
              <w:bottom w:val="single" w:color="000000" w:sz="4" w:space="0"/>
              <w:right w:val="single" w:color="000000" w:sz="4" w:space="0"/>
            </w:tcBorders>
            <w:vAlign w:val="center"/>
          </w:tcPr>
          <w:p w14:paraId="5BC026DC">
            <w:pPr>
              <w:rPr>
                <w:rFonts w:hint="eastAsia"/>
              </w:rPr>
            </w:pPr>
            <w:r>
              <w:rPr>
                <w:rFonts w:hint="eastAsia"/>
              </w:rPr>
              <w:t>依法治市大系统(2025年升级改造）</w:t>
            </w:r>
          </w:p>
        </w:tc>
        <w:tc>
          <w:tcPr>
            <w:tcW w:w="1677" w:type="dxa"/>
            <w:tcBorders>
              <w:top w:val="single" w:color="000000" w:sz="4" w:space="0"/>
              <w:left w:val="single" w:color="000000" w:sz="4" w:space="0"/>
              <w:bottom w:val="single" w:color="000000" w:sz="4" w:space="0"/>
              <w:right w:val="single" w:color="000000" w:sz="4" w:space="0"/>
            </w:tcBorders>
            <w:vAlign w:val="center"/>
          </w:tcPr>
          <w:p w14:paraId="117FE0B3">
            <w:pPr>
              <w:rPr>
                <w:rFonts w:hint="eastAsia"/>
              </w:rPr>
            </w:pPr>
            <w:r>
              <w:rPr>
                <w:rFonts w:hint="eastAsia"/>
              </w:rPr>
              <w:t>智能辅助-智能辅助</w:t>
            </w:r>
          </w:p>
        </w:tc>
        <w:tc>
          <w:tcPr>
            <w:tcW w:w="4525" w:type="dxa"/>
            <w:tcBorders>
              <w:top w:val="single" w:color="000000" w:sz="4" w:space="0"/>
              <w:left w:val="single" w:color="000000" w:sz="4" w:space="0"/>
              <w:bottom w:val="single" w:color="000000" w:sz="4" w:space="0"/>
              <w:right w:val="single" w:color="000000" w:sz="4" w:space="0"/>
            </w:tcBorders>
            <w:vAlign w:val="center"/>
          </w:tcPr>
          <w:p w14:paraId="106E73AD">
            <w:pPr>
              <w:rPr>
                <w:rFonts w:hint="eastAsia"/>
              </w:rPr>
            </w:pPr>
            <w:r>
              <w:rPr>
                <w:rFonts w:hint="eastAsia"/>
              </w:rPr>
              <w:t>1、课题表生成</w:t>
            </w:r>
            <w:r>
              <w:rPr>
                <w:rFonts w:hint="eastAsia"/>
              </w:rPr>
              <w:br w:type="textWrapping"/>
            </w:r>
            <w:r>
              <w:rPr>
                <w:rFonts w:hint="eastAsia"/>
              </w:rPr>
              <w:t>生成word版本的课题表，并提示用户可以自动生成及下载。</w:t>
            </w:r>
            <w:r>
              <w:rPr>
                <w:rFonts w:hint="eastAsia"/>
              </w:rPr>
              <w:br w:type="textWrapping"/>
            </w:r>
            <w:r>
              <w:rPr>
                <w:rFonts w:hint="eastAsia"/>
              </w:rPr>
              <w:t>2、异常课题申报</w:t>
            </w:r>
            <w:r>
              <w:rPr>
                <w:rFonts w:hint="eastAsia"/>
              </w:rPr>
              <w:br w:type="textWrapping"/>
            </w:r>
            <w:r>
              <w:rPr>
                <w:rFonts w:hint="eastAsia"/>
              </w:rPr>
              <w:t>系统给出预警报警，如果课题包含特殊人群，例如评审专家。给出标签化的提醒。</w:t>
            </w:r>
            <w:r>
              <w:rPr>
                <w:rFonts w:hint="eastAsia"/>
              </w:rPr>
              <w:br w:type="textWrapping"/>
            </w:r>
            <w:r>
              <w:rPr>
                <w:rFonts w:hint="eastAsia"/>
              </w:rPr>
              <w:t>3、专家库</w:t>
            </w:r>
            <w:r>
              <w:rPr>
                <w:rFonts w:hint="eastAsia"/>
              </w:rPr>
              <w:br w:type="textWrapping"/>
            </w:r>
            <w:r>
              <w:rPr>
                <w:rFonts w:hint="eastAsia"/>
              </w:rPr>
              <w:t>"通过列表形式展示专家库中专家信息。专家名称，专家标签，专家单位。列表页面包含，新增，修改，删除等操作按钮。</w:t>
            </w:r>
            <w:r>
              <w:rPr>
                <w:rFonts w:hint="eastAsia"/>
              </w:rPr>
              <w:br w:type="textWrapping"/>
            </w:r>
            <w:r>
              <w:rPr>
                <w:rFonts w:hint="eastAsia"/>
              </w:rPr>
              <w:t>专家人员基本信息的维护，专家的姓名，年龄，机关单位等信息。</w:t>
            </w:r>
            <w:r>
              <w:rPr>
                <w:rFonts w:hint="eastAsia"/>
              </w:rPr>
              <w:br w:type="textWrapping"/>
            </w:r>
            <w:r>
              <w:rPr>
                <w:rFonts w:hint="eastAsia"/>
              </w:rPr>
              <w:t>可以分析专家的构成，专家的年龄分布，专家的专业领域分布，专家的机关分布情况。"</w:t>
            </w:r>
            <w:r>
              <w:rPr>
                <w:rFonts w:hint="eastAsia"/>
              </w:rPr>
              <w:br w:type="textWrapping"/>
            </w:r>
            <w:r>
              <w:rPr>
                <w:rFonts w:hint="eastAsia"/>
              </w:rPr>
              <w:t>4、评审课题推荐</w:t>
            </w:r>
            <w:r>
              <w:rPr>
                <w:rFonts w:hint="eastAsia"/>
              </w:rPr>
              <w:br w:type="textWrapping"/>
            </w:r>
            <w:r>
              <w:rPr>
                <w:rFonts w:hint="eastAsia"/>
              </w:rPr>
              <w:t>"根据推荐评审课题模型，给出审核人员建议。哪些专家适合评审哪些课题。</w:t>
            </w:r>
            <w:r>
              <w:rPr>
                <w:rFonts w:hint="eastAsia"/>
              </w:rPr>
              <w:br w:type="textWrapping"/>
            </w:r>
            <w:r>
              <w:rPr>
                <w:rFonts w:hint="eastAsia"/>
              </w:rPr>
              <w:t>展示课题推荐评审规则模型信息。可新增规则，修改规则。</w:t>
            </w:r>
            <w:r>
              <w:rPr>
                <w:rFonts w:hint="eastAsia"/>
              </w:rPr>
              <w:br w:type="textWrapping"/>
            </w:r>
            <w:r>
              <w:rPr>
                <w:rFonts w:hint="eastAsia"/>
              </w:rPr>
              <w:t>模型管理，可选择哪些专家使用这个推荐模型，可选择匹配哪些标签，选择课题信息范围等。"</w:t>
            </w:r>
            <w:r>
              <w:rPr>
                <w:rFonts w:hint="eastAsia"/>
              </w:rPr>
              <w:br w:type="textWrapping"/>
            </w:r>
            <w:r>
              <w:rPr>
                <w:rFonts w:hint="eastAsia"/>
              </w:rPr>
              <w:t>5、依法治市机关维护管理</w:t>
            </w:r>
            <w:r>
              <w:rPr>
                <w:rFonts w:hint="eastAsia"/>
              </w:rPr>
              <w:br w:type="textWrapping"/>
            </w:r>
            <w:r>
              <w:rPr>
                <w:rFonts w:hint="eastAsia"/>
              </w:rPr>
              <w:t>"配置维护依法治市机关的单位信息。</w:t>
            </w:r>
            <w:r>
              <w:rPr>
                <w:rFonts w:hint="eastAsia"/>
              </w:rPr>
              <w:br w:type="textWrapping"/>
            </w:r>
            <w:r>
              <w:rPr>
                <w:rFonts w:hint="eastAsia"/>
              </w:rPr>
              <w:t>配置维护机关单位对应的单位账号信息。</w:t>
            </w:r>
            <w:r>
              <w:rPr>
                <w:rFonts w:hint="eastAsia"/>
              </w:rPr>
              <w:br w:type="textWrapping"/>
            </w:r>
            <w:r>
              <w:rPr>
                <w:rFonts w:hint="eastAsia"/>
              </w:rPr>
              <w:t>依法治市机关汇总展示每年情况。"</w:t>
            </w:r>
            <w:r>
              <w:rPr>
                <w:rFonts w:hint="eastAsia"/>
              </w:rPr>
              <w:br w:type="textWrapping"/>
            </w:r>
            <w:r>
              <w:rPr>
                <w:rFonts w:hint="eastAsia"/>
              </w:rPr>
              <w:t>6、短信规则管理</w:t>
            </w:r>
            <w:r>
              <w:rPr>
                <w:rFonts w:hint="eastAsia"/>
              </w:rPr>
              <w:br w:type="textWrapping"/>
            </w:r>
            <w:r>
              <w:rPr>
                <w:rFonts w:hint="eastAsia"/>
              </w:rPr>
              <w:t>"可自定义短信模板信息。</w:t>
            </w:r>
            <w:r>
              <w:rPr>
                <w:rFonts w:hint="eastAsia"/>
              </w:rPr>
              <w:br w:type="textWrapping"/>
            </w:r>
            <w:r>
              <w:rPr>
                <w:rFonts w:hint="eastAsia"/>
              </w:rPr>
              <w:t>可管理短信发送规则。"</w:t>
            </w:r>
            <w:r>
              <w:rPr>
                <w:rFonts w:hint="eastAsia"/>
              </w:rPr>
              <w:br w:type="textWrapping"/>
            </w:r>
            <w:r>
              <w:rPr>
                <w:rFonts w:hint="eastAsia"/>
              </w:rPr>
              <w:t>7、短信发送</w:t>
            </w:r>
            <w:r>
              <w:rPr>
                <w:rFonts w:hint="eastAsia"/>
              </w:rPr>
              <w:br w:type="textWrapping"/>
            </w:r>
            <w:r>
              <w:rPr>
                <w:rFonts w:hint="eastAsia"/>
              </w:rPr>
              <w:t>"根据短信发送规则，自动发送短信信息。</w:t>
            </w:r>
            <w:r>
              <w:rPr>
                <w:rFonts w:hint="eastAsia"/>
              </w:rPr>
              <w:br w:type="textWrapping"/>
            </w:r>
            <w:r>
              <w:rPr>
                <w:rFonts w:hint="eastAsia"/>
              </w:rPr>
              <w:t>自定义短信信息进行发送操作。发送内容可以进行自定义编辑。"</w:t>
            </w:r>
          </w:p>
        </w:tc>
      </w:tr>
      <w:tr w14:paraId="467A1D1A">
        <w:tblPrEx>
          <w:tblCellMar>
            <w:top w:w="0" w:type="dxa"/>
            <w:left w:w="108" w:type="dxa"/>
            <w:bottom w:w="0" w:type="dxa"/>
            <w:right w:w="108" w:type="dxa"/>
          </w:tblCellMar>
        </w:tblPrEx>
        <w:trPr>
          <w:trHeight w:val="285" w:hRule="atLeast"/>
        </w:trPr>
        <w:tc>
          <w:tcPr>
            <w:tcW w:w="999" w:type="dxa"/>
            <w:tcBorders>
              <w:top w:val="single" w:color="000000" w:sz="4" w:space="0"/>
              <w:left w:val="single" w:color="000000" w:sz="4" w:space="0"/>
              <w:bottom w:val="single" w:color="000000" w:sz="4" w:space="0"/>
              <w:right w:val="single" w:color="000000" w:sz="4" w:space="0"/>
            </w:tcBorders>
            <w:vAlign w:val="center"/>
          </w:tcPr>
          <w:p w14:paraId="48775C52">
            <w:pPr>
              <w:ind w:left="0" w:leftChars="0" w:firstLine="0" w:firstLineChars="0"/>
              <w:rPr>
                <w:rFonts w:hint="eastAsia"/>
              </w:rPr>
            </w:pPr>
            <w:r>
              <w:rPr>
                <w:rFonts w:hint="eastAsia"/>
              </w:rPr>
              <w:t>13</w:t>
            </w:r>
          </w:p>
        </w:tc>
        <w:tc>
          <w:tcPr>
            <w:tcW w:w="898" w:type="dxa"/>
            <w:tcBorders>
              <w:top w:val="single" w:color="000000" w:sz="4" w:space="0"/>
              <w:left w:val="single" w:color="000000" w:sz="4" w:space="0"/>
              <w:bottom w:val="single" w:color="000000" w:sz="4" w:space="0"/>
              <w:right w:val="single" w:color="000000" w:sz="4" w:space="0"/>
            </w:tcBorders>
            <w:vAlign w:val="center"/>
          </w:tcPr>
          <w:p w14:paraId="617348FA">
            <w:pPr>
              <w:ind w:left="0" w:leftChars="0" w:firstLine="0" w:firstLineChars="0"/>
              <w:rPr>
                <w:rFonts w:hint="eastAsia"/>
              </w:rPr>
            </w:pPr>
            <w:r>
              <w:rPr>
                <w:rFonts w:hint="eastAsia"/>
              </w:rPr>
              <w:t>依法治市大系统(2025年升级改造）</w:t>
            </w:r>
          </w:p>
        </w:tc>
        <w:tc>
          <w:tcPr>
            <w:tcW w:w="1677" w:type="dxa"/>
            <w:tcBorders>
              <w:top w:val="single" w:color="000000" w:sz="4" w:space="0"/>
              <w:left w:val="single" w:color="000000" w:sz="4" w:space="0"/>
              <w:bottom w:val="single" w:color="000000" w:sz="4" w:space="0"/>
              <w:right w:val="single" w:color="000000" w:sz="4" w:space="0"/>
            </w:tcBorders>
            <w:vAlign w:val="center"/>
          </w:tcPr>
          <w:p w14:paraId="173710F1">
            <w:pPr>
              <w:ind w:left="0" w:leftChars="0" w:firstLine="0" w:firstLineChars="0"/>
              <w:rPr>
                <w:rFonts w:hint="eastAsia"/>
              </w:rPr>
            </w:pPr>
            <w:r>
              <w:rPr>
                <w:rFonts w:hint="eastAsia"/>
              </w:rPr>
              <w:t>密码应用改造-密码应用改造</w:t>
            </w:r>
          </w:p>
        </w:tc>
        <w:tc>
          <w:tcPr>
            <w:tcW w:w="4525" w:type="dxa"/>
            <w:tcBorders>
              <w:top w:val="single" w:color="000000" w:sz="4" w:space="0"/>
              <w:left w:val="single" w:color="000000" w:sz="4" w:space="0"/>
              <w:bottom w:val="single" w:color="000000" w:sz="4" w:space="0"/>
              <w:right w:val="single" w:color="000000" w:sz="4" w:space="0"/>
            </w:tcBorders>
            <w:vAlign w:val="center"/>
          </w:tcPr>
          <w:p w14:paraId="13F9FF52">
            <w:pPr>
              <w:ind w:left="0" w:leftChars="0" w:firstLine="0" w:firstLineChars="0"/>
              <w:rPr>
                <w:rFonts w:hint="eastAsia"/>
              </w:rPr>
            </w:pPr>
            <w:r>
              <w:rPr>
                <w:rFonts w:hint="eastAsia"/>
              </w:rPr>
              <w:t>安全网关对接、数据加密</w:t>
            </w:r>
          </w:p>
        </w:tc>
      </w:tr>
      <w:tr w14:paraId="6BD0B805">
        <w:tblPrEx>
          <w:tblCellMar>
            <w:top w:w="0" w:type="dxa"/>
            <w:left w:w="108" w:type="dxa"/>
            <w:bottom w:w="0" w:type="dxa"/>
            <w:right w:w="108" w:type="dxa"/>
          </w:tblCellMar>
        </w:tblPrEx>
        <w:trPr>
          <w:trHeight w:val="2116" w:hRule="atLeast"/>
        </w:trPr>
        <w:tc>
          <w:tcPr>
            <w:tcW w:w="999" w:type="dxa"/>
            <w:tcBorders>
              <w:top w:val="single" w:color="000000" w:sz="4" w:space="0"/>
              <w:left w:val="single" w:color="000000" w:sz="4" w:space="0"/>
              <w:bottom w:val="single" w:color="000000" w:sz="4" w:space="0"/>
              <w:right w:val="single" w:color="000000" w:sz="4" w:space="0"/>
            </w:tcBorders>
            <w:vAlign w:val="center"/>
          </w:tcPr>
          <w:p w14:paraId="66034789">
            <w:pPr>
              <w:ind w:left="0" w:leftChars="0" w:firstLine="0" w:firstLineChars="0"/>
              <w:rPr>
                <w:rFonts w:hint="eastAsia"/>
              </w:rPr>
            </w:pPr>
            <w:r>
              <w:rPr>
                <w:rFonts w:hint="eastAsia"/>
              </w:rPr>
              <w:t>14</w:t>
            </w:r>
          </w:p>
        </w:tc>
        <w:tc>
          <w:tcPr>
            <w:tcW w:w="898" w:type="dxa"/>
            <w:tcBorders>
              <w:top w:val="single" w:color="000000" w:sz="4" w:space="0"/>
              <w:left w:val="single" w:color="000000" w:sz="4" w:space="0"/>
              <w:bottom w:val="single" w:color="000000" w:sz="4" w:space="0"/>
              <w:right w:val="single" w:color="000000" w:sz="4" w:space="0"/>
            </w:tcBorders>
            <w:vAlign w:val="center"/>
          </w:tcPr>
          <w:p w14:paraId="430E19AC">
            <w:pPr>
              <w:ind w:left="0" w:leftChars="0" w:firstLine="0" w:firstLineChars="0"/>
              <w:rPr>
                <w:rFonts w:hint="eastAsia"/>
              </w:rPr>
            </w:pPr>
            <w:r>
              <w:rPr>
                <w:rFonts w:hint="eastAsia"/>
              </w:rPr>
              <w:t>依法治市大系统(2025年升级改造）</w:t>
            </w:r>
          </w:p>
        </w:tc>
        <w:tc>
          <w:tcPr>
            <w:tcW w:w="1677" w:type="dxa"/>
            <w:tcBorders>
              <w:top w:val="single" w:color="000000" w:sz="4" w:space="0"/>
              <w:left w:val="single" w:color="000000" w:sz="4" w:space="0"/>
              <w:bottom w:val="single" w:color="000000" w:sz="4" w:space="0"/>
              <w:right w:val="single" w:color="000000" w:sz="4" w:space="0"/>
            </w:tcBorders>
            <w:vAlign w:val="center"/>
          </w:tcPr>
          <w:p w14:paraId="4C1B751C">
            <w:pPr>
              <w:ind w:left="0" w:leftChars="0" w:firstLine="0" w:firstLineChars="0"/>
              <w:rPr>
                <w:rFonts w:hint="eastAsia"/>
              </w:rPr>
            </w:pPr>
            <w:r>
              <w:rPr>
                <w:rFonts w:hint="eastAsia"/>
              </w:rPr>
              <w:t>行政复议应诉功能优化（复议与应诉办案场景）-流程优化-案件补正</w:t>
            </w:r>
          </w:p>
        </w:tc>
        <w:tc>
          <w:tcPr>
            <w:tcW w:w="4525" w:type="dxa"/>
            <w:tcBorders>
              <w:top w:val="single" w:color="000000" w:sz="4" w:space="0"/>
              <w:left w:val="single" w:color="000000" w:sz="4" w:space="0"/>
              <w:bottom w:val="single" w:color="000000" w:sz="4" w:space="0"/>
              <w:right w:val="single" w:color="000000" w:sz="4" w:space="0"/>
            </w:tcBorders>
            <w:vAlign w:val="center"/>
          </w:tcPr>
          <w:p w14:paraId="2A627225">
            <w:pPr>
              <w:ind w:left="0" w:leftChars="0" w:firstLine="0" w:firstLineChars="0"/>
              <w:rPr>
                <w:rFonts w:hint="eastAsia"/>
              </w:rPr>
            </w:pPr>
            <w:r>
              <w:rPr>
                <w:rFonts w:hint="eastAsia"/>
              </w:rPr>
              <w:t>1补正进度跟踪</w:t>
            </w:r>
            <w:r>
              <w:rPr>
                <w:rFonts w:hint="eastAsia"/>
              </w:rPr>
              <w:br w:type="textWrapping"/>
            </w:r>
            <w:r>
              <w:rPr>
                <w:rFonts w:hint="eastAsia"/>
              </w:rPr>
              <w:t>提供补正进度查询功能，让申请人能够实时跟踪补正材料的处理状态。通过进度跟踪，申请人可以更好地安排自己的时间，减少不必要的等待。</w:t>
            </w:r>
            <w:r>
              <w:rPr>
                <w:rFonts w:hint="eastAsia"/>
              </w:rPr>
              <w:br w:type="textWrapping"/>
            </w:r>
            <w:r>
              <w:rPr>
                <w:rFonts w:hint="eastAsia"/>
              </w:rPr>
              <w:t>2补正结果反馈</w:t>
            </w:r>
            <w:r>
              <w:rPr>
                <w:rFonts w:hint="eastAsia"/>
              </w:rPr>
              <w:br w:type="textWrapping"/>
            </w:r>
            <w:r>
              <w:rPr>
                <w:rFonts w:hint="eastAsia"/>
              </w:rPr>
              <w:t>行政复议机关在收到补正材料后，及时反馈补正结果，明确是否接受补正。确保申请人对补正结果有明确的了解，避免因沟通不畅而产生误解。</w:t>
            </w:r>
            <w:r>
              <w:rPr>
                <w:rFonts w:hint="eastAsia"/>
              </w:rPr>
              <w:br w:type="textWrapping"/>
            </w:r>
            <w:r>
              <w:rPr>
                <w:rFonts w:hint="eastAsia"/>
              </w:rPr>
              <w:t>3补正通知与提醒</w:t>
            </w:r>
            <w:r>
              <w:rPr>
                <w:rFonts w:hint="eastAsia"/>
              </w:rPr>
              <w:br w:type="textWrapping"/>
            </w:r>
            <w:r>
              <w:rPr>
                <w:rFonts w:hint="eastAsia"/>
              </w:rPr>
              <w:t>系统可自动通知申请人或被申请人补正申请的结果。对于需要补充材料的补正申请，系统将提醒申请人及时提供相关依据。</w:t>
            </w:r>
            <w:r>
              <w:rPr>
                <w:rFonts w:hint="eastAsia"/>
              </w:rPr>
              <w:br w:type="textWrapping"/>
            </w:r>
            <w:r>
              <w:rPr>
                <w:rFonts w:hint="eastAsia"/>
              </w:rPr>
              <w:t>4补正规则设置</w:t>
            </w:r>
            <w:r>
              <w:rPr>
                <w:rFonts w:hint="eastAsia"/>
              </w:rPr>
              <w:br w:type="textWrapping"/>
            </w:r>
            <w:r>
              <w:rPr>
                <w:rFonts w:hint="eastAsia"/>
              </w:rPr>
              <w:t>用户可设定明确的补正规则，如补正申请的受理条件、补正材料的提交期限等。规则应符合法律法规要求，确保补正过程的合法性。</w:t>
            </w:r>
          </w:p>
        </w:tc>
      </w:tr>
      <w:tr w14:paraId="1100BF25">
        <w:tblPrEx>
          <w:tblCellMar>
            <w:top w:w="0" w:type="dxa"/>
            <w:left w:w="108" w:type="dxa"/>
            <w:bottom w:w="0" w:type="dxa"/>
            <w:right w:w="108" w:type="dxa"/>
          </w:tblCellMar>
        </w:tblPrEx>
        <w:trPr>
          <w:trHeight w:val="3420" w:hRule="atLeast"/>
        </w:trPr>
        <w:tc>
          <w:tcPr>
            <w:tcW w:w="999" w:type="dxa"/>
            <w:tcBorders>
              <w:top w:val="single" w:color="000000" w:sz="4" w:space="0"/>
              <w:left w:val="single" w:color="000000" w:sz="4" w:space="0"/>
              <w:bottom w:val="single" w:color="000000" w:sz="4" w:space="0"/>
              <w:right w:val="single" w:color="000000" w:sz="4" w:space="0"/>
            </w:tcBorders>
            <w:vAlign w:val="center"/>
          </w:tcPr>
          <w:p w14:paraId="0A83A59D">
            <w:pPr>
              <w:ind w:left="0" w:leftChars="0" w:firstLine="0" w:firstLineChars="0"/>
              <w:rPr>
                <w:rFonts w:hint="eastAsia"/>
              </w:rPr>
            </w:pPr>
            <w:r>
              <w:rPr>
                <w:rFonts w:hint="eastAsia"/>
              </w:rPr>
              <w:t>15</w:t>
            </w:r>
          </w:p>
        </w:tc>
        <w:tc>
          <w:tcPr>
            <w:tcW w:w="898" w:type="dxa"/>
            <w:tcBorders>
              <w:top w:val="single" w:color="000000" w:sz="4" w:space="0"/>
              <w:left w:val="single" w:color="000000" w:sz="4" w:space="0"/>
              <w:bottom w:val="single" w:color="000000" w:sz="4" w:space="0"/>
              <w:right w:val="single" w:color="000000" w:sz="4" w:space="0"/>
            </w:tcBorders>
            <w:vAlign w:val="center"/>
          </w:tcPr>
          <w:p w14:paraId="13A89842">
            <w:pPr>
              <w:ind w:left="0" w:leftChars="0" w:firstLine="0" w:firstLineChars="0"/>
              <w:rPr>
                <w:rFonts w:hint="eastAsia"/>
              </w:rPr>
            </w:pPr>
            <w:r>
              <w:rPr>
                <w:rFonts w:hint="eastAsia"/>
              </w:rPr>
              <w:t>依法治市大系统(2025年升级改造）</w:t>
            </w:r>
          </w:p>
        </w:tc>
        <w:tc>
          <w:tcPr>
            <w:tcW w:w="1677" w:type="dxa"/>
            <w:tcBorders>
              <w:top w:val="single" w:color="000000" w:sz="4" w:space="0"/>
              <w:left w:val="single" w:color="000000" w:sz="4" w:space="0"/>
              <w:bottom w:val="single" w:color="000000" w:sz="4" w:space="0"/>
              <w:right w:val="single" w:color="000000" w:sz="4" w:space="0"/>
            </w:tcBorders>
            <w:vAlign w:val="center"/>
          </w:tcPr>
          <w:p w14:paraId="6F6BCB08">
            <w:pPr>
              <w:ind w:left="0" w:leftChars="0" w:firstLine="0" w:firstLineChars="0"/>
              <w:rPr>
                <w:rFonts w:hint="eastAsia"/>
              </w:rPr>
            </w:pPr>
            <w:r>
              <w:rPr>
                <w:rFonts w:hint="eastAsia"/>
              </w:rPr>
              <w:t>行政复议应诉功能优化（复议与应诉办案场景）-流程优化-案件延期</w:t>
            </w:r>
          </w:p>
        </w:tc>
        <w:tc>
          <w:tcPr>
            <w:tcW w:w="4525" w:type="dxa"/>
            <w:tcBorders>
              <w:top w:val="single" w:color="000000" w:sz="4" w:space="0"/>
              <w:left w:val="single" w:color="000000" w:sz="4" w:space="0"/>
              <w:bottom w:val="single" w:color="000000" w:sz="4" w:space="0"/>
              <w:right w:val="single" w:color="000000" w:sz="4" w:space="0"/>
            </w:tcBorders>
            <w:vAlign w:val="center"/>
          </w:tcPr>
          <w:p w14:paraId="3952B1C3">
            <w:pPr>
              <w:ind w:left="0" w:leftChars="0" w:firstLine="0" w:firstLineChars="0"/>
              <w:rPr>
                <w:rFonts w:hint="eastAsia"/>
              </w:rPr>
            </w:pPr>
            <w:r>
              <w:rPr>
                <w:rFonts w:hint="eastAsia"/>
              </w:rPr>
              <w:t>1延期申请</w:t>
            </w:r>
            <w:r>
              <w:rPr>
                <w:rFonts w:hint="eastAsia"/>
              </w:rPr>
              <w:br w:type="textWrapping"/>
            </w:r>
            <w:r>
              <w:rPr>
                <w:rFonts w:hint="eastAsia"/>
              </w:rPr>
              <w:t>允许办案人员在遇到正当理由时提出延期申请。要求提供相关证明材料，如专家意见、突发事件证明等，以支持延期申请。</w:t>
            </w:r>
            <w:r>
              <w:rPr>
                <w:rFonts w:hint="eastAsia"/>
              </w:rPr>
              <w:br w:type="textWrapping"/>
            </w:r>
            <w:r>
              <w:rPr>
                <w:rFonts w:hint="eastAsia"/>
              </w:rPr>
              <w:t>2延期时限管理</w:t>
            </w:r>
            <w:r>
              <w:rPr>
                <w:rFonts w:hint="eastAsia"/>
              </w:rPr>
              <w:br w:type="textWrapping"/>
            </w:r>
            <w:r>
              <w:rPr>
                <w:rFonts w:hint="eastAsia"/>
              </w:rPr>
              <w:t>根据法律规定和案件具体情况，设定合理的延期时限。系统自动记录延期时长，确保总审理时间不超过法定上限。</w:t>
            </w:r>
            <w:r>
              <w:rPr>
                <w:rFonts w:hint="eastAsia"/>
              </w:rPr>
              <w:br w:type="textWrapping"/>
            </w:r>
            <w:r>
              <w:rPr>
                <w:rFonts w:hint="eastAsia"/>
              </w:rPr>
              <w:t>3延期消息提醒</w:t>
            </w:r>
            <w:r>
              <w:rPr>
                <w:rFonts w:hint="eastAsia"/>
              </w:rPr>
              <w:br w:type="textWrapping"/>
            </w:r>
            <w:r>
              <w:rPr>
                <w:rFonts w:hint="eastAsia"/>
              </w:rPr>
              <w:t>在批准延期后，系统自动通知所有相关方，包括申请人、被申请人和其他利益相关者。通过消息提醒方式，告知延期决定及新预计的审理完成时间。</w:t>
            </w:r>
            <w:r>
              <w:rPr>
                <w:rFonts w:hint="eastAsia"/>
              </w:rPr>
              <w:br w:type="textWrapping"/>
            </w:r>
            <w:r>
              <w:rPr>
                <w:rFonts w:hint="eastAsia"/>
              </w:rPr>
              <w:t>4延期审核</w:t>
            </w:r>
            <w:r>
              <w:rPr>
                <w:rFonts w:hint="eastAsia"/>
              </w:rPr>
              <w:br w:type="textWrapping"/>
            </w:r>
            <w:r>
              <w:rPr>
                <w:rFonts w:hint="eastAsia"/>
              </w:rPr>
              <w:t>管理人员可对用户发起的延期申请进行审核，根据申请事项和理由决定审核意见，审核意见有同意、拒绝和驳回三种方式。</w:t>
            </w:r>
          </w:p>
        </w:tc>
      </w:tr>
      <w:tr w14:paraId="5F483286">
        <w:tblPrEx>
          <w:tblCellMar>
            <w:top w:w="0" w:type="dxa"/>
            <w:left w:w="108" w:type="dxa"/>
            <w:bottom w:w="0" w:type="dxa"/>
            <w:right w:w="108" w:type="dxa"/>
          </w:tblCellMar>
        </w:tblPrEx>
        <w:trPr>
          <w:trHeight w:val="5415" w:hRule="atLeast"/>
        </w:trPr>
        <w:tc>
          <w:tcPr>
            <w:tcW w:w="999" w:type="dxa"/>
            <w:tcBorders>
              <w:top w:val="single" w:color="000000" w:sz="4" w:space="0"/>
              <w:left w:val="single" w:color="000000" w:sz="4" w:space="0"/>
              <w:bottom w:val="single" w:color="000000" w:sz="4" w:space="0"/>
              <w:right w:val="single" w:color="000000" w:sz="4" w:space="0"/>
            </w:tcBorders>
            <w:vAlign w:val="center"/>
          </w:tcPr>
          <w:p w14:paraId="51B0EBE3">
            <w:pPr>
              <w:ind w:left="0" w:leftChars="0" w:firstLine="0" w:firstLineChars="0"/>
              <w:rPr>
                <w:rFonts w:hint="eastAsia"/>
              </w:rPr>
            </w:pPr>
            <w:r>
              <w:rPr>
                <w:rFonts w:hint="eastAsia"/>
              </w:rPr>
              <w:t>16</w:t>
            </w:r>
          </w:p>
        </w:tc>
        <w:tc>
          <w:tcPr>
            <w:tcW w:w="898" w:type="dxa"/>
            <w:tcBorders>
              <w:top w:val="single" w:color="000000" w:sz="4" w:space="0"/>
              <w:left w:val="single" w:color="000000" w:sz="4" w:space="0"/>
              <w:bottom w:val="single" w:color="000000" w:sz="4" w:space="0"/>
              <w:right w:val="single" w:color="000000" w:sz="4" w:space="0"/>
            </w:tcBorders>
            <w:vAlign w:val="center"/>
          </w:tcPr>
          <w:p w14:paraId="4C621458">
            <w:pPr>
              <w:ind w:left="0" w:leftChars="0" w:firstLine="0" w:firstLineChars="0"/>
              <w:rPr>
                <w:rFonts w:hint="eastAsia"/>
              </w:rPr>
            </w:pPr>
            <w:r>
              <w:rPr>
                <w:rFonts w:hint="eastAsia"/>
              </w:rPr>
              <w:t>依法治市大系统(2025年升级改造）</w:t>
            </w:r>
          </w:p>
        </w:tc>
        <w:tc>
          <w:tcPr>
            <w:tcW w:w="1677" w:type="dxa"/>
            <w:tcBorders>
              <w:top w:val="single" w:color="000000" w:sz="4" w:space="0"/>
              <w:left w:val="single" w:color="000000" w:sz="4" w:space="0"/>
              <w:bottom w:val="single" w:color="000000" w:sz="4" w:space="0"/>
              <w:right w:val="single" w:color="000000" w:sz="4" w:space="0"/>
            </w:tcBorders>
            <w:vAlign w:val="center"/>
          </w:tcPr>
          <w:p w14:paraId="7513B9C1">
            <w:pPr>
              <w:ind w:left="0" w:leftChars="0" w:firstLine="0" w:firstLineChars="0"/>
              <w:rPr>
                <w:rFonts w:hint="eastAsia"/>
              </w:rPr>
            </w:pPr>
            <w:r>
              <w:rPr>
                <w:rFonts w:hint="eastAsia"/>
              </w:rPr>
              <w:t>行政复议应诉功能优化（复议与应诉办案场景）-流程优化-案件中止/恢复</w:t>
            </w:r>
          </w:p>
        </w:tc>
        <w:tc>
          <w:tcPr>
            <w:tcW w:w="4525" w:type="dxa"/>
            <w:tcBorders>
              <w:top w:val="single" w:color="000000" w:sz="4" w:space="0"/>
              <w:left w:val="single" w:color="000000" w:sz="4" w:space="0"/>
              <w:bottom w:val="single" w:color="000000" w:sz="4" w:space="0"/>
              <w:right w:val="single" w:color="000000" w:sz="4" w:space="0"/>
            </w:tcBorders>
            <w:vAlign w:val="center"/>
          </w:tcPr>
          <w:p w14:paraId="6B8A27B5">
            <w:pPr>
              <w:ind w:left="0" w:leftChars="0" w:firstLine="0" w:firstLineChars="0"/>
              <w:rPr>
                <w:rFonts w:hint="eastAsia"/>
              </w:rPr>
            </w:pPr>
            <w:r>
              <w:rPr>
                <w:rFonts w:hint="eastAsia"/>
              </w:rPr>
              <w:t>1案件中止/恢复申请</w:t>
            </w:r>
            <w:r>
              <w:rPr>
                <w:rFonts w:hint="eastAsia"/>
              </w:rPr>
              <w:br w:type="textWrapping"/>
            </w:r>
            <w:r>
              <w:rPr>
                <w:rFonts w:hint="eastAsia"/>
              </w:rPr>
              <w:t>允许办案人员或申请者在遇到不可控问题时提出案件中止申请。要求提供相关证明材料和相关情况说明，以支持案件中止申请；中止审核通过的案件可申请恢复，需要填写案件恢复说明和上传相关材料，以支持案件恢复申请。</w:t>
            </w:r>
            <w:r>
              <w:rPr>
                <w:rFonts w:hint="eastAsia"/>
              </w:rPr>
              <w:br w:type="textWrapping"/>
            </w:r>
            <w:r>
              <w:rPr>
                <w:rFonts w:hint="eastAsia"/>
              </w:rPr>
              <w:t>2案件中止/恢复时限管理</w:t>
            </w:r>
            <w:r>
              <w:rPr>
                <w:rFonts w:hint="eastAsia"/>
              </w:rPr>
              <w:br w:type="textWrapping"/>
            </w:r>
            <w:r>
              <w:rPr>
                <w:rFonts w:hint="eastAsia"/>
              </w:rPr>
              <w:t>根据法律规定和案件具体情况，设定合理的案件中止/恢复时限。系统自动记录中止/恢复时长，确保总审理时间不超过法定上限。</w:t>
            </w:r>
            <w:r>
              <w:rPr>
                <w:rFonts w:hint="eastAsia"/>
              </w:rPr>
              <w:br w:type="textWrapping"/>
            </w:r>
            <w:r>
              <w:rPr>
                <w:rFonts w:hint="eastAsia"/>
              </w:rPr>
              <w:t>3案件中止/恢复审核</w:t>
            </w:r>
            <w:r>
              <w:rPr>
                <w:rFonts w:hint="eastAsia"/>
              </w:rPr>
              <w:br w:type="textWrapping"/>
            </w:r>
            <w:r>
              <w:rPr>
                <w:rFonts w:hint="eastAsia"/>
              </w:rPr>
              <w:t>管理人员可对用户发起的中止恢复申请进行审核，根据申请事项和理由决定审核意见，审核意见有同意、拒绝和驳回三种方式。</w:t>
            </w:r>
            <w:r>
              <w:rPr>
                <w:rFonts w:hint="eastAsia"/>
              </w:rPr>
              <w:br w:type="textWrapping"/>
            </w:r>
            <w:r>
              <w:rPr>
                <w:rFonts w:hint="eastAsia"/>
              </w:rPr>
              <w:t>4案件中止/恢复归档</w:t>
            </w:r>
            <w:r>
              <w:rPr>
                <w:rFonts w:hint="eastAsia"/>
              </w:rPr>
              <w:br w:type="textWrapping"/>
            </w:r>
            <w:r>
              <w:rPr>
                <w:rFonts w:hint="eastAsia"/>
              </w:rPr>
              <w:t>所有中止恢复申请和审核决定在归档时，都需要进行归档，作为案件卷宗的一部分，可被查看和浏览。</w:t>
            </w:r>
            <w:r>
              <w:rPr>
                <w:rFonts w:hint="eastAsia"/>
              </w:rPr>
              <w:br w:type="textWrapping"/>
            </w:r>
            <w:r>
              <w:rPr>
                <w:rFonts w:hint="eastAsia"/>
              </w:rPr>
              <w:t>5案件分配</w:t>
            </w:r>
            <w:r>
              <w:rPr>
                <w:rFonts w:hint="eastAsia"/>
              </w:rPr>
              <w:br w:type="textWrapping"/>
            </w:r>
            <w:r>
              <w:rPr>
                <w:rFonts w:hint="eastAsia"/>
              </w:rPr>
              <w:t>根据案件涉及的人数及复杂程度，选择案件分配方式，简单案件实现系统自动分配。复杂案件需要人工分配案件。</w:t>
            </w:r>
            <w:r>
              <w:rPr>
                <w:rFonts w:hint="eastAsia"/>
              </w:rPr>
              <w:br w:type="textWrapping"/>
            </w:r>
            <w:r>
              <w:rPr>
                <w:rFonts w:hint="eastAsia"/>
              </w:rPr>
              <w:t>6进度查询</w:t>
            </w:r>
            <w:r>
              <w:rPr>
                <w:rFonts w:hint="eastAsia"/>
              </w:rPr>
              <w:br w:type="textWrapping"/>
            </w:r>
            <w:r>
              <w:rPr>
                <w:rFonts w:hint="eastAsia"/>
              </w:rPr>
              <w:t>案件相关人员，可随时随地实时查看案件的进度详情。包含案件的基础信息、材料信息和审核流转信息等。</w:t>
            </w:r>
          </w:p>
        </w:tc>
      </w:tr>
      <w:tr w14:paraId="6EED7EBB">
        <w:tblPrEx>
          <w:tblCellMar>
            <w:top w:w="0" w:type="dxa"/>
            <w:left w:w="108" w:type="dxa"/>
            <w:bottom w:w="0" w:type="dxa"/>
            <w:right w:w="108" w:type="dxa"/>
          </w:tblCellMar>
        </w:tblPrEx>
        <w:trPr>
          <w:trHeight w:val="2082" w:hRule="atLeast"/>
        </w:trPr>
        <w:tc>
          <w:tcPr>
            <w:tcW w:w="999" w:type="dxa"/>
            <w:tcBorders>
              <w:top w:val="single" w:color="000000" w:sz="4" w:space="0"/>
              <w:left w:val="single" w:color="000000" w:sz="4" w:space="0"/>
              <w:bottom w:val="single" w:color="000000" w:sz="4" w:space="0"/>
              <w:right w:val="single" w:color="000000" w:sz="4" w:space="0"/>
            </w:tcBorders>
            <w:vAlign w:val="center"/>
          </w:tcPr>
          <w:p w14:paraId="313E6AD9">
            <w:pPr>
              <w:ind w:left="0" w:leftChars="0" w:firstLine="0" w:firstLineChars="0"/>
              <w:rPr>
                <w:rFonts w:hint="eastAsia"/>
              </w:rPr>
            </w:pPr>
            <w:r>
              <w:rPr>
                <w:rFonts w:hint="eastAsia"/>
              </w:rPr>
              <w:t>17</w:t>
            </w:r>
          </w:p>
        </w:tc>
        <w:tc>
          <w:tcPr>
            <w:tcW w:w="898" w:type="dxa"/>
            <w:tcBorders>
              <w:top w:val="single" w:color="000000" w:sz="4" w:space="0"/>
              <w:left w:val="single" w:color="000000" w:sz="4" w:space="0"/>
              <w:bottom w:val="single" w:color="000000" w:sz="4" w:space="0"/>
              <w:right w:val="single" w:color="000000" w:sz="4" w:space="0"/>
            </w:tcBorders>
            <w:vAlign w:val="center"/>
          </w:tcPr>
          <w:p w14:paraId="2BBA797A">
            <w:pPr>
              <w:ind w:left="0" w:leftChars="0" w:firstLine="0" w:firstLineChars="0"/>
              <w:rPr>
                <w:rFonts w:hint="eastAsia"/>
              </w:rPr>
            </w:pPr>
            <w:r>
              <w:rPr>
                <w:rFonts w:hint="eastAsia"/>
              </w:rPr>
              <w:t>依法治市大系统(2025年升级改造）</w:t>
            </w:r>
          </w:p>
        </w:tc>
        <w:tc>
          <w:tcPr>
            <w:tcW w:w="1677" w:type="dxa"/>
            <w:tcBorders>
              <w:top w:val="single" w:color="000000" w:sz="4" w:space="0"/>
              <w:left w:val="single" w:color="000000" w:sz="4" w:space="0"/>
              <w:bottom w:val="single" w:color="000000" w:sz="4" w:space="0"/>
              <w:right w:val="single" w:color="000000" w:sz="4" w:space="0"/>
            </w:tcBorders>
            <w:vAlign w:val="center"/>
          </w:tcPr>
          <w:p w14:paraId="35D002B6">
            <w:pPr>
              <w:ind w:left="0" w:leftChars="0" w:firstLine="0" w:firstLineChars="0"/>
              <w:rPr>
                <w:rFonts w:hint="eastAsia"/>
              </w:rPr>
            </w:pPr>
            <w:r>
              <w:rPr>
                <w:rFonts w:hint="eastAsia"/>
              </w:rPr>
              <w:t>行政复议应诉功能优化（复议与应诉办案场景）-数据统计与分析</w:t>
            </w:r>
          </w:p>
        </w:tc>
        <w:tc>
          <w:tcPr>
            <w:tcW w:w="4525" w:type="dxa"/>
            <w:tcBorders>
              <w:top w:val="single" w:color="000000" w:sz="4" w:space="0"/>
              <w:left w:val="single" w:color="000000" w:sz="4" w:space="0"/>
              <w:bottom w:val="single" w:color="000000" w:sz="4" w:space="0"/>
              <w:right w:val="single" w:color="000000" w:sz="4" w:space="0"/>
            </w:tcBorders>
            <w:vAlign w:val="center"/>
          </w:tcPr>
          <w:p w14:paraId="73AA98AC">
            <w:pPr>
              <w:ind w:left="0" w:leftChars="0" w:firstLine="0" w:firstLineChars="0"/>
              <w:rPr>
                <w:rFonts w:hint="eastAsia"/>
              </w:rPr>
            </w:pPr>
            <w:r>
              <w:rPr>
                <w:rFonts w:hint="eastAsia"/>
              </w:rPr>
              <w:t>一、数据收集与整合</w:t>
            </w:r>
            <w:r>
              <w:rPr>
                <w:rFonts w:hint="eastAsia"/>
              </w:rPr>
              <w:br w:type="textWrapping"/>
            </w:r>
            <w:r>
              <w:rPr>
                <w:rFonts w:hint="eastAsia"/>
              </w:rPr>
              <w:t>收集行政复议业务相关的数据，包括案件数量、类型、处理时长、复议结果等。同时，对数据进行整合和清洗，确保数据的准确性和完整性，为后续的分析工作提供可靠的基础。</w:t>
            </w:r>
            <w:r>
              <w:rPr>
                <w:rFonts w:hint="eastAsia"/>
              </w:rPr>
              <w:br w:type="textWrapping"/>
            </w:r>
            <w:r>
              <w:rPr>
                <w:rFonts w:hint="eastAsia"/>
              </w:rPr>
              <w:t>二、案件数量统计</w:t>
            </w:r>
            <w:r>
              <w:rPr>
                <w:rFonts w:hint="eastAsia"/>
              </w:rPr>
              <w:br w:type="textWrapping"/>
            </w:r>
            <w:r>
              <w:rPr>
                <w:rFonts w:hint="eastAsia"/>
              </w:rPr>
              <w:t>对行政复议案件数量的实时统计和历史数据追踪，包括年度、季度和月度的案件接收量。提供案件类型分布统计，分析不同类型案件的数量变化趋势，识别案件增长的领域和潜在原因。</w:t>
            </w:r>
            <w:r>
              <w:rPr>
                <w:rFonts w:hint="eastAsia"/>
              </w:rPr>
              <w:br w:type="textWrapping"/>
            </w:r>
            <w:r>
              <w:rPr>
                <w:rFonts w:hint="eastAsia"/>
              </w:rPr>
              <w:t>三、处理时长分析</w:t>
            </w:r>
            <w:r>
              <w:rPr>
                <w:rFonts w:hint="eastAsia"/>
              </w:rPr>
              <w:br w:type="textWrapping"/>
            </w:r>
            <w:r>
              <w:rPr>
                <w:rFonts w:hint="eastAsia"/>
              </w:rPr>
              <w:t>记录并分析每一起行政复议案件从接收到结案的全过程时长，包括各个阶段的处理时间。通过对比不同案件、不同类型的案件以及不同时间段的处理时长，识别可能的效率瓶颈和延误原因。</w:t>
            </w:r>
            <w:r>
              <w:rPr>
                <w:rFonts w:hint="eastAsia"/>
              </w:rPr>
              <w:br w:type="textWrapping"/>
            </w:r>
            <w:r>
              <w:rPr>
                <w:rFonts w:hint="eastAsia"/>
              </w:rPr>
              <w:t>四、胜诉率分析</w:t>
            </w:r>
            <w:r>
              <w:rPr>
                <w:rFonts w:hint="eastAsia"/>
              </w:rPr>
              <w:br w:type="textWrapping"/>
            </w:r>
            <w:r>
              <w:rPr>
                <w:rFonts w:hint="eastAsia"/>
              </w:rPr>
              <w:t>统计和分析申请人在行政复议过程中的胜诉情况，包括胜诉案件的数量和比例。对比不同类型的案件胜诉率，分析影响胜诉率的因素，如案件性质、法律依据、证据质量等。</w:t>
            </w:r>
            <w:r>
              <w:rPr>
                <w:rFonts w:hint="eastAsia"/>
              </w:rPr>
              <w:br w:type="textWrapping"/>
            </w:r>
            <w:r>
              <w:rPr>
                <w:rFonts w:hint="eastAsia"/>
              </w:rPr>
              <w:t>五、区域分布分析</w:t>
            </w:r>
            <w:r>
              <w:rPr>
                <w:rFonts w:hint="eastAsia"/>
              </w:rPr>
              <w:br w:type="textWrapping"/>
            </w:r>
            <w:r>
              <w:rPr>
                <w:rFonts w:hint="eastAsia"/>
              </w:rPr>
              <w:t>统计分析案件在不同地区的分布情况。识别特定地区案件高发的原因，为地方政策提供数据支持。</w:t>
            </w:r>
            <w:r>
              <w:rPr>
                <w:rFonts w:hint="eastAsia"/>
              </w:rPr>
              <w:br w:type="textWrapping"/>
            </w:r>
            <w:r>
              <w:rPr>
                <w:rFonts w:hint="eastAsia"/>
              </w:rPr>
              <w:t>六、趋势分析</w:t>
            </w:r>
            <w:r>
              <w:rPr>
                <w:rFonts w:hint="eastAsia"/>
              </w:rPr>
              <w:br w:type="textWrapping"/>
            </w:r>
            <w:r>
              <w:rPr>
                <w:rFonts w:hint="eastAsia"/>
              </w:rPr>
              <w:t>分析案件数量、处理效率和结果的变化趋势，识别时间序列数据的模式和异常。通过趋势分析预测未来的案件量和可能的挑战，为资源配置和政策制定提供依据。</w:t>
            </w:r>
            <w:r>
              <w:rPr>
                <w:rFonts w:hint="eastAsia"/>
              </w:rPr>
              <w:br w:type="textWrapping"/>
            </w:r>
            <w:r>
              <w:rPr>
                <w:rFonts w:hint="eastAsia"/>
              </w:rPr>
              <w:t>七、案件处理效率评估</w:t>
            </w:r>
            <w:r>
              <w:rPr>
                <w:rFonts w:hint="eastAsia"/>
              </w:rPr>
              <w:br w:type="textWrapping"/>
            </w:r>
            <w:r>
              <w:rPr>
                <w:rFonts w:hint="eastAsia"/>
              </w:rPr>
              <w:t>评估案件从受理到结案的平均处理时间，识别效率低下的环节。通过效率评估推动流程优化和资源合理分配。</w:t>
            </w:r>
            <w:r>
              <w:rPr>
                <w:rFonts w:hint="eastAsia"/>
              </w:rPr>
              <w:br w:type="textWrapping"/>
            </w:r>
            <w:r>
              <w:rPr>
                <w:rFonts w:hint="eastAsia"/>
              </w:rPr>
              <w:t>八、自定义报表</w:t>
            </w:r>
            <w:r>
              <w:rPr>
                <w:rFonts w:hint="eastAsia"/>
              </w:rPr>
              <w:br w:type="textWrapping"/>
            </w:r>
            <w:r>
              <w:rPr>
                <w:rFonts w:hint="eastAsia"/>
              </w:rPr>
              <w:t>提供可选择的数据项和时间区间，用户可选择自己需要生成自定义报表。</w:t>
            </w:r>
            <w:r>
              <w:rPr>
                <w:rFonts w:hint="eastAsia"/>
              </w:rPr>
              <w:br w:type="textWrapping"/>
            </w:r>
            <w:r>
              <w:rPr>
                <w:rFonts w:hint="eastAsia"/>
              </w:rPr>
              <w:t>九、复议结果分析</w:t>
            </w:r>
            <w:r>
              <w:rPr>
                <w:rFonts w:hint="eastAsia"/>
              </w:rPr>
              <w:br w:type="textWrapping"/>
            </w:r>
            <w:r>
              <w:rPr>
                <w:rFonts w:hint="eastAsia"/>
              </w:rPr>
              <w:t>对复议结果进行深入地分析，包括维持、撤销、变更等不同类型的决定。通过分析复议结果的分布和变化趋势，复议机关可以评估复议工作的质量和效果，发现可能存在的问题和不足，进而制定改进措施。</w:t>
            </w:r>
            <w:r>
              <w:rPr>
                <w:rFonts w:hint="eastAsia"/>
              </w:rPr>
              <w:br w:type="textWrapping"/>
            </w:r>
            <w:r>
              <w:rPr>
                <w:rFonts w:hint="eastAsia"/>
              </w:rPr>
              <w:t>十、可视化报告与展示</w:t>
            </w:r>
            <w:r>
              <w:rPr>
                <w:rFonts w:hint="eastAsia"/>
              </w:rPr>
              <w:br w:type="textWrapping"/>
            </w:r>
            <w:r>
              <w:rPr>
                <w:rFonts w:hint="eastAsia"/>
              </w:rPr>
              <w:t>将统计分析结果以可视化的形式呈现，如图表、报告等。包含案件统计、趋势分析、区域分布分析、案件效率分析、复议结果分析、自定义报表等。</w:t>
            </w:r>
          </w:p>
        </w:tc>
      </w:tr>
      <w:tr w14:paraId="0CD95AA9">
        <w:tblPrEx>
          <w:tblCellMar>
            <w:top w:w="0" w:type="dxa"/>
            <w:left w:w="108" w:type="dxa"/>
            <w:bottom w:w="0" w:type="dxa"/>
            <w:right w:w="108" w:type="dxa"/>
          </w:tblCellMar>
        </w:tblPrEx>
        <w:trPr>
          <w:trHeight w:val="3705" w:hRule="atLeast"/>
        </w:trPr>
        <w:tc>
          <w:tcPr>
            <w:tcW w:w="999" w:type="dxa"/>
            <w:tcBorders>
              <w:top w:val="single" w:color="000000" w:sz="4" w:space="0"/>
              <w:left w:val="single" w:color="000000" w:sz="4" w:space="0"/>
              <w:bottom w:val="single" w:color="000000" w:sz="4" w:space="0"/>
              <w:right w:val="single" w:color="000000" w:sz="4" w:space="0"/>
            </w:tcBorders>
            <w:vAlign w:val="center"/>
          </w:tcPr>
          <w:p w14:paraId="557F63BC">
            <w:pPr>
              <w:ind w:left="0" w:leftChars="0" w:firstLine="0" w:firstLineChars="0"/>
              <w:rPr>
                <w:rFonts w:hint="eastAsia"/>
              </w:rPr>
            </w:pPr>
            <w:r>
              <w:rPr>
                <w:rFonts w:hint="eastAsia"/>
              </w:rPr>
              <w:t>18</w:t>
            </w:r>
          </w:p>
        </w:tc>
        <w:tc>
          <w:tcPr>
            <w:tcW w:w="898" w:type="dxa"/>
            <w:tcBorders>
              <w:top w:val="single" w:color="000000" w:sz="4" w:space="0"/>
              <w:left w:val="single" w:color="000000" w:sz="4" w:space="0"/>
              <w:bottom w:val="single" w:color="000000" w:sz="4" w:space="0"/>
              <w:right w:val="single" w:color="000000" w:sz="4" w:space="0"/>
            </w:tcBorders>
            <w:vAlign w:val="center"/>
          </w:tcPr>
          <w:p w14:paraId="506D1129">
            <w:pPr>
              <w:ind w:left="0" w:leftChars="0" w:firstLine="0" w:firstLineChars="0"/>
              <w:rPr>
                <w:rFonts w:hint="eastAsia"/>
              </w:rPr>
            </w:pPr>
            <w:r>
              <w:rPr>
                <w:rFonts w:hint="eastAsia"/>
              </w:rPr>
              <w:t>依法治市大系统(2025年升级改造）</w:t>
            </w:r>
          </w:p>
        </w:tc>
        <w:tc>
          <w:tcPr>
            <w:tcW w:w="1677" w:type="dxa"/>
            <w:tcBorders>
              <w:top w:val="single" w:color="000000" w:sz="4" w:space="0"/>
              <w:left w:val="single" w:color="000000" w:sz="4" w:space="0"/>
              <w:bottom w:val="single" w:color="000000" w:sz="4" w:space="0"/>
              <w:right w:val="single" w:color="000000" w:sz="4" w:space="0"/>
            </w:tcBorders>
            <w:vAlign w:val="center"/>
          </w:tcPr>
          <w:p w14:paraId="152497E2">
            <w:pPr>
              <w:ind w:left="0" w:leftChars="0" w:firstLine="0" w:firstLineChars="0"/>
              <w:rPr>
                <w:rFonts w:hint="eastAsia"/>
              </w:rPr>
            </w:pPr>
            <w:r>
              <w:rPr>
                <w:rFonts w:hint="eastAsia"/>
              </w:rPr>
              <w:t>行政复议应诉功能优化（复议与应诉办案场景）-听证系统优化</w:t>
            </w:r>
          </w:p>
        </w:tc>
        <w:tc>
          <w:tcPr>
            <w:tcW w:w="4525" w:type="dxa"/>
            <w:tcBorders>
              <w:top w:val="single" w:color="000000" w:sz="4" w:space="0"/>
              <w:left w:val="single" w:color="000000" w:sz="4" w:space="0"/>
              <w:bottom w:val="single" w:color="000000" w:sz="4" w:space="0"/>
              <w:right w:val="single" w:color="000000" w:sz="4" w:space="0"/>
            </w:tcBorders>
            <w:vAlign w:val="center"/>
          </w:tcPr>
          <w:p w14:paraId="5A06993C">
            <w:pPr>
              <w:ind w:left="0" w:leftChars="0" w:firstLine="0" w:firstLineChars="0"/>
              <w:rPr>
                <w:rFonts w:hint="eastAsia"/>
              </w:rPr>
            </w:pPr>
            <w:r>
              <w:rPr>
                <w:rFonts w:hint="eastAsia"/>
              </w:rPr>
              <w:t>一、听证系统与行政复议平台融合</w:t>
            </w:r>
            <w:r>
              <w:rPr>
                <w:rFonts w:hint="eastAsia"/>
              </w:rPr>
              <w:br w:type="textWrapping"/>
            </w:r>
            <w:r>
              <w:rPr>
                <w:rFonts w:hint="eastAsia"/>
              </w:rPr>
              <w:t>在申请人申请复议平台中嵌入申请人听证系统，方便申请人随时查看听证会的相关信息，包括排期、地点、听证记录、电子</w:t>
            </w:r>
            <w:r>
              <w:rPr>
                <w:rFonts w:hint="eastAsia"/>
                <w:lang w:val="en-US" w:eastAsia="zh-CN"/>
              </w:rPr>
              <w:t>材料</w:t>
            </w:r>
            <w:r>
              <w:rPr>
                <w:rFonts w:hint="eastAsia"/>
              </w:rPr>
              <w:t>送达等。实现听证系统与行政复议平台的无缝集成，确保听证活动可作为复议案件处理流程的一部分，提高案件处理的连贯性和效率。</w:t>
            </w:r>
            <w:r>
              <w:rPr>
                <w:rFonts w:hint="eastAsia"/>
              </w:rPr>
              <w:br w:type="textWrapping"/>
            </w:r>
            <w:r>
              <w:rPr>
                <w:rFonts w:hint="eastAsia"/>
              </w:rPr>
              <w:t>二、听证排期升级</w:t>
            </w:r>
            <w:r>
              <w:rPr>
                <w:rFonts w:hint="eastAsia"/>
              </w:rPr>
              <w:br w:type="textWrapping"/>
            </w:r>
            <w:r>
              <w:rPr>
                <w:rFonts w:hint="eastAsia"/>
              </w:rPr>
              <w:t>允许行政复议工作人员在接收到听证申请后，根据案件情况和资源可用性，为听证会议安排具体的日期和时间。排期信息将自动同步至申请人和被申请人的复议平台账户，确保信息的实时更新。</w:t>
            </w:r>
            <w:r>
              <w:rPr>
                <w:rFonts w:hint="eastAsia"/>
              </w:rPr>
              <w:br w:type="textWrapping"/>
            </w:r>
            <w:r>
              <w:rPr>
                <w:rFonts w:hint="eastAsia"/>
              </w:rPr>
              <w:t>三、排期修改与调整</w:t>
            </w:r>
            <w:r>
              <w:rPr>
                <w:rFonts w:hint="eastAsia"/>
              </w:rPr>
              <w:br w:type="textWrapping"/>
            </w:r>
            <w:r>
              <w:rPr>
                <w:rFonts w:hint="eastAsia"/>
              </w:rPr>
              <w:t>增设排期修改管理功能，允许在听证会开始前对排期信息进行必要的调整。系统应自动通知相关参与人员排期变更，并保存修改记录，以确保听证会信息的及时性和准确性。</w:t>
            </w:r>
            <w:r>
              <w:rPr>
                <w:rFonts w:hint="eastAsia"/>
              </w:rPr>
              <w:br w:type="textWrapping"/>
            </w:r>
            <w:r>
              <w:rPr>
                <w:rFonts w:hint="eastAsia"/>
              </w:rPr>
              <w:t>四、听证笔录回传</w:t>
            </w:r>
            <w:r>
              <w:rPr>
                <w:rFonts w:hint="eastAsia"/>
              </w:rPr>
              <w:br w:type="textWrapping"/>
            </w:r>
            <w:r>
              <w:rPr>
                <w:rFonts w:hint="eastAsia"/>
              </w:rPr>
              <w:t>在听证结束后，复议人员将听证笔录及其他相关材料，回传至业务系统。</w:t>
            </w:r>
          </w:p>
        </w:tc>
      </w:tr>
    </w:tbl>
    <w:p w14:paraId="1E5FC30E">
      <w:pPr>
        <w:ind w:firstLine="0" w:firstLineChars="0"/>
        <w:rPr>
          <w:rFonts w:hint="eastAsia"/>
        </w:rPr>
      </w:pPr>
    </w:p>
    <w:p w14:paraId="7E6CC165">
      <w:pPr>
        <w:pStyle w:val="2"/>
        <w:rPr>
          <w:rFonts w:hint="eastAsia"/>
        </w:rPr>
      </w:pPr>
      <w:bookmarkStart w:id="19" w:name="_Toc63785502"/>
      <w:r>
        <w:rPr>
          <w:rFonts w:hint="eastAsia"/>
        </w:rPr>
        <w:t>电子政务云资源需求</w:t>
      </w:r>
      <w:bookmarkEnd w:id="19"/>
    </w:p>
    <w:p w14:paraId="5902485B">
      <w:pPr>
        <w:ind w:firstLine="960" w:firstLineChars="400"/>
        <w:rPr>
          <w:rFonts w:hint="eastAsia"/>
        </w:rPr>
      </w:pPr>
      <w:r>
        <w:rPr>
          <w:rFonts w:hint="eastAsia"/>
        </w:rPr>
        <w:t>根据项目前期资源现状，本次建设根据估算拟向电子政务云申请</w:t>
      </w:r>
    </w:p>
    <w:p w14:paraId="1B6F4DCC">
      <w:pPr>
        <w:rPr>
          <w:rFonts w:hint="eastAsia"/>
        </w:rPr>
      </w:pPr>
      <w:r>
        <w:rPr>
          <w:rFonts w:hint="eastAsia"/>
        </w:rPr>
        <w:t>主机资源：3台虚拟机，CPU</w:t>
      </w:r>
      <w:r>
        <w:rPr>
          <w:rFonts w:hint="eastAsia"/>
          <w:lang w:val="en-US" w:eastAsia="zh-CN"/>
        </w:rPr>
        <w:t>44</w:t>
      </w:r>
      <w:r>
        <w:rPr>
          <w:rFonts w:hint="eastAsia"/>
        </w:rPr>
        <w:t>核 、内存</w:t>
      </w:r>
      <w:r>
        <w:rPr>
          <w:rFonts w:hint="eastAsia"/>
          <w:lang w:val="en-US" w:eastAsia="zh-CN"/>
        </w:rPr>
        <w:t>128</w:t>
      </w:r>
      <w:r>
        <w:rPr>
          <w:rFonts w:hint="eastAsia"/>
        </w:rPr>
        <w:t>G、存储</w:t>
      </w:r>
      <w:r>
        <w:rPr>
          <w:rFonts w:hint="eastAsia"/>
          <w:lang w:val="en-US" w:eastAsia="zh-CN"/>
        </w:rPr>
        <w:t>9200</w:t>
      </w:r>
      <w:r>
        <w:rPr>
          <w:rFonts w:hint="eastAsia"/>
        </w:rPr>
        <w:t>GB（约</w:t>
      </w:r>
      <w:r>
        <w:rPr>
          <w:rFonts w:hint="eastAsia"/>
          <w:lang w:val="en-US" w:eastAsia="zh-CN"/>
        </w:rPr>
        <w:t>8.98</w:t>
      </w:r>
      <w:r>
        <w:rPr>
          <w:rFonts w:hint="eastAsia"/>
        </w:rPr>
        <w:t>TB）。</w:t>
      </w:r>
    </w:p>
    <w:p w14:paraId="2824A635">
      <w:pPr>
        <w:rPr>
          <w:rFonts w:hint="eastAsia"/>
        </w:rPr>
      </w:pPr>
      <w:r>
        <w:rPr>
          <w:rFonts w:hint="eastAsia"/>
        </w:rPr>
        <w:t>PaaS服务资源：</w:t>
      </w:r>
    </w:p>
    <w:p w14:paraId="76A10E50">
      <w:pPr>
        <w:rPr>
          <w:rFonts w:hint="eastAsia"/>
        </w:rPr>
      </w:pPr>
      <w:r>
        <w:rPr>
          <w:rFonts w:hint="eastAsia"/>
        </w:rPr>
        <w:t>操作系统服务-中标麒麟、统信、麒麟信安</w:t>
      </w:r>
      <w:r>
        <w:rPr>
          <w:rFonts w:hint="eastAsia"/>
        </w:rPr>
        <w:tab/>
      </w:r>
      <w:r>
        <w:rPr>
          <w:rFonts w:hint="eastAsia"/>
        </w:rPr>
        <w:tab/>
      </w:r>
      <w:r>
        <w:rPr>
          <w:rFonts w:hint="eastAsia"/>
        </w:rPr>
        <w:t>3套</w:t>
      </w:r>
    </w:p>
    <w:p w14:paraId="2AB5DF5F">
      <w:pPr>
        <w:rPr>
          <w:rFonts w:hint="eastAsia"/>
        </w:rPr>
      </w:pPr>
      <w:r>
        <w:rPr>
          <w:rFonts w:hint="eastAsia"/>
        </w:rPr>
        <w:t>数据库服务-达梦、人大金仓</w:t>
      </w:r>
      <w:r>
        <w:rPr>
          <w:rFonts w:hint="eastAsia"/>
        </w:rPr>
        <w:tab/>
      </w:r>
      <w:r>
        <w:rPr>
          <w:rFonts w:hint="eastAsia"/>
        </w:rPr>
        <w:tab/>
      </w:r>
      <w:r>
        <w:rPr>
          <w:rFonts w:hint="eastAsia"/>
        </w:rPr>
        <w:tab/>
      </w:r>
      <w:bookmarkStart w:id="20" w:name="OLE_LINK1"/>
      <w:r>
        <w:rPr>
          <w:rFonts w:hint="eastAsia"/>
        </w:rPr>
        <w:t>1 套*年</w:t>
      </w:r>
    </w:p>
    <w:bookmarkEnd w:id="20"/>
    <w:p w14:paraId="4542340D">
      <w:pPr>
        <w:rPr>
          <w:rFonts w:hint="eastAsia"/>
        </w:rPr>
      </w:pPr>
      <w:r>
        <w:rPr>
          <w:rFonts w:hint="eastAsia"/>
        </w:rPr>
        <w:t>中间件-东方通、普元、金蝶</w:t>
      </w:r>
      <w:r>
        <w:rPr>
          <w:rFonts w:hint="eastAsia"/>
        </w:rPr>
        <w:tab/>
      </w:r>
      <w:r>
        <w:rPr>
          <w:rFonts w:hint="eastAsia"/>
        </w:rPr>
        <w:tab/>
      </w:r>
      <w:r>
        <w:rPr>
          <w:rFonts w:hint="eastAsia"/>
        </w:rPr>
        <w:tab/>
      </w:r>
      <w:r>
        <w:rPr>
          <w:rFonts w:hint="eastAsia"/>
        </w:rPr>
        <w:t>2 套*年</w:t>
      </w:r>
    </w:p>
    <w:p w14:paraId="319D860E">
      <w:pPr>
        <w:rPr>
          <w:rFonts w:hint="eastAsia"/>
        </w:rPr>
      </w:pPr>
      <w:r>
        <w:rPr>
          <w:rFonts w:hint="eastAsia"/>
        </w:rPr>
        <w:t>安全防病毒(服务器端)</w:t>
      </w:r>
      <w:r>
        <w:rPr>
          <w:rFonts w:hint="eastAsia"/>
        </w:rPr>
        <w:tab/>
      </w:r>
      <w:r>
        <w:rPr>
          <w:rFonts w:hint="eastAsia"/>
        </w:rPr>
        <w:tab/>
      </w:r>
      <w:r>
        <w:rPr>
          <w:rFonts w:hint="eastAsia"/>
        </w:rPr>
        <w:tab/>
      </w:r>
      <w:r>
        <w:rPr>
          <w:rFonts w:hint="eastAsia"/>
        </w:rPr>
        <w:t xml:space="preserve">       2套*年</w:t>
      </w:r>
    </w:p>
    <w:p w14:paraId="51E53B4B">
      <w:pPr>
        <w:rPr>
          <w:rFonts w:hint="eastAsia"/>
        </w:rPr>
      </w:pPr>
      <w:r>
        <w:rPr>
          <w:rFonts w:hint="eastAsia"/>
        </w:rPr>
        <w:t>安全认证网关服务</w:t>
      </w:r>
      <w:r>
        <w:rPr>
          <w:rFonts w:hint="eastAsia"/>
        </w:rPr>
        <w:tab/>
      </w:r>
      <w:r>
        <w:rPr>
          <w:rFonts w:hint="eastAsia"/>
        </w:rPr>
        <w:tab/>
      </w:r>
      <w:r>
        <w:rPr>
          <w:rFonts w:hint="eastAsia"/>
        </w:rPr>
        <w:tab/>
      </w:r>
      <w:r>
        <w:rPr>
          <w:rFonts w:hint="eastAsia"/>
        </w:rPr>
        <w:t xml:space="preserve">           2套*年</w:t>
      </w:r>
    </w:p>
    <w:p w14:paraId="3B76BFA3">
      <w:pPr>
        <w:rPr>
          <w:rFonts w:hint="eastAsia"/>
        </w:rPr>
      </w:pPr>
      <w:r>
        <w:rPr>
          <w:rFonts w:hint="eastAsia"/>
        </w:rPr>
        <w:t>可信密码服务</w:t>
      </w:r>
      <w:r>
        <w:rPr>
          <w:rFonts w:hint="eastAsia"/>
        </w:rPr>
        <w:tab/>
      </w:r>
      <w:r>
        <w:rPr>
          <w:rFonts w:hint="eastAsia"/>
        </w:rPr>
        <w:tab/>
      </w:r>
      <w:r>
        <w:rPr>
          <w:rFonts w:hint="eastAsia"/>
        </w:rPr>
        <w:tab/>
      </w:r>
      <w:r>
        <w:rPr>
          <w:rFonts w:hint="eastAsia"/>
        </w:rPr>
        <w:t xml:space="preserve">              2应用*年</w:t>
      </w:r>
    </w:p>
    <w:p w14:paraId="5DCCEFF0">
      <w:pPr>
        <w:rPr>
          <w:rFonts w:hint="eastAsia"/>
        </w:rPr>
      </w:pPr>
      <w:r>
        <w:rPr>
          <w:rFonts w:hint="eastAsia"/>
        </w:rPr>
        <w:t>数字证书服务 - SSL证书-通配符</w:t>
      </w:r>
      <w:r>
        <w:rPr>
          <w:rFonts w:hint="eastAsia"/>
        </w:rPr>
        <w:tab/>
      </w:r>
      <w:r>
        <w:rPr>
          <w:rFonts w:hint="eastAsia"/>
        </w:rPr>
        <w:tab/>
      </w:r>
      <w:r>
        <w:rPr>
          <w:rFonts w:hint="eastAsia"/>
        </w:rPr>
        <w:t>2张*年</w:t>
      </w:r>
    </w:p>
    <w:p w14:paraId="24E6DA1B">
      <w:pPr>
        <w:rPr>
          <w:rFonts w:hint="eastAsia"/>
        </w:rPr>
      </w:pPr>
      <w:r>
        <w:rPr>
          <w:rFonts w:hint="eastAsia"/>
        </w:rPr>
        <w:tab/>
      </w:r>
    </w:p>
    <w:p w14:paraId="627B2552">
      <w:pPr>
        <w:rPr>
          <w:rFonts w:hint="eastAsia"/>
        </w:rPr>
      </w:pPr>
    </w:p>
    <w:p w14:paraId="05F99668">
      <w:pPr>
        <w:pStyle w:val="2"/>
        <w:rPr>
          <w:rFonts w:hint="eastAsia"/>
        </w:rPr>
      </w:pPr>
      <w:bookmarkStart w:id="21" w:name="_Toc63785503"/>
      <w:r>
        <w:rPr>
          <w:rFonts w:hint="eastAsia"/>
        </w:rPr>
        <w:t>其他工作要求</w:t>
      </w:r>
      <w:bookmarkEnd w:id="21"/>
    </w:p>
    <w:p w14:paraId="6163DA43">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系统整合与能力对接要求</w:t>
      </w:r>
    </w:p>
    <w:p w14:paraId="4A21A6EC">
      <w:pPr>
        <w:numPr>
          <w:ilvl w:val="0"/>
          <w:numId w:val="6"/>
        </w:numPr>
        <w:rPr>
          <w:rFonts w:hint="eastAsia" w:cs="宋体"/>
          <w:color w:val="000000" w:themeColor="text1"/>
          <w14:textFill>
            <w14:solidFill>
              <w14:schemeClr w14:val="tx1"/>
            </w14:solidFill>
          </w14:textFill>
        </w:rPr>
      </w:pPr>
      <w:r>
        <w:rPr>
          <w:rFonts w:hint="eastAsia"/>
          <w:color w:val="000000" w:themeColor="text1"/>
          <w14:textFill>
            <w14:solidFill>
              <w14:schemeClr w14:val="tx1"/>
            </w14:solidFill>
          </w14:textFill>
        </w:rPr>
        <w:t>本项目中复议应诉业务平台作为上海市行政复议应诉管理系统升级改造模块，为确保本项目新建模块与原有系统功能无缝耦合、整体不影响干警使用习惯，</w:t>
      </w: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需承诺该模块与原有系统整合运行，实现无缝对接。</w:t>
      </w:r>
    </w:p>
    <w:p w14:paraId="5AFBF0B4">
      <w:pPr>
        <w:numPr>
          <w:ilvl w:val="0"/>
          <w:numId w:val="6"/>
        </w:num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本项目中智能审理场景作为新建模块，该模块涉调用智能语音能力，为确保司法局语音资源的高效利用，</w:t>
      </w: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需承诺需对接上海市司法局智能语音平台获取训练成熟的行业应用语料包来提升行业术语的转写准确率，</w:t>
      </w: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需承诺完成系统对接。</w:t>
      </w:r>
    </w:p>
    <w:p w14:paraId="1B1CA2B9">
      <w:pPr>
        <w:numPr>
          <w:ilvl w:val="0"/>
          <w:numId w:val="6"/>
        </w:numPr>
        <w:rPr>
          <w:rFonts w:hint="eastAsia"/>
          <w:b/>
        </w:rPr>
      </w:pPr>
      <w:r>
        <w:rPr>
          <w:rFonts w:hint="eastAsia"/>
          <w:color w:val="000000" w:themeColor="text1"/>
          <w14:textFill>
            <w14:solidFill>
              <w14:schemeClr w14:val="tx1"/>
            </w14:solidFill>
          </w14:textFill>
        </w:rPr>
        <w:t>因本项目需求产生的所有系统对接费用包含在本次报价内。</w:t>
      </w:r>
    </w:p>
    <w:p w14:paraId="5DC456AE">
      <w:pPr>
        <w:numPr>
          <w:ilvl w:val="-1"/>
          <w:numId w:val="0"/>
        </w:numPr>
        <w:ind w:firstLine="0" w:firstLineChars="0"/>
        <w:rPr>
          <w:rFonts w:hint="eastAsia"/>
          <w:b/>
          <w:color w:val="FF0000"/>
          <w:lang w:val="en-US" w:eastAsia="zh-CN"/>
        </w:rPr>
      </w:pPr>
      <w:r>
        <w:rPr>
          <w:rFonts w:hint="eastAsia"/>
          <w:b/>
          <w:color w:val="FF0000"/>
          <w:lang w:val="en-US" w:eastAsia="zh-CN"/>
        </w:rPr>
        <w:t>原有系统功能说明：</w:t>
      </w:r>
    </w:p>
    <w:p w14:paraId="0552450A">
      <w:pPr>
        <w:pStyle w:val="106"/>
        <w:snapToGrid w:val="0"/>
        <w:spacing w:line="360" w:lineRule="auto"/>
        <w:ind w:firstLine="480"/>
        <w:rPr>
          <w:rFonts w:hint="eastAsia" w:ascii="宋体" w:hAnsi="宋体"/>
          <w:color w:val="FF0000"/>
          <w:sz w:val="24"/>
          <w:szCs w:val="24"/>
          <w:lang w:val="en-US" w:eastAsia="zh-CN"/>
        </w:rPr>
      </w:pPr>
      <w:r>
        <w:rPr>
          <w:rFonts w:hint="eastAsia" w:ascii="宋体" w:hAnsi="宋体"/>
          <w:color w:val="FF0000"/>
          <w:sz w:val="24"/>
          <w:szCs w:val="24"/>
          <w:lang w:val="en-US" w:eastAsia="zh-CN"/>
        </w:rPr>
        <w:t>行政复议应诉管理现有系统包括：掌上复议平台、复议智能听证平台、数字综合决策分析平台，数据服务中心，卷宗应用中心，智能阅卷应用中心，听证音视频管理中心。</w:t>
      </w:r>
    </w:p>
    <w:p w14:paraId="6C1DCCC9">
      <w:pPr>
        <w:pStyle w:val="106"/>
        <w:snapToGrid w:val="0"/>
        <w:spacing w:line="360" w:lineRule="auto"/>
        <w:ind w:firstLine="480"/>
        <w:rPr>
          <w:rFonts w:hint="eastAsia" w:ascii="宋体" w:hAnsi="宋体"/>
          <w:color w:val="FF0000"/>
          <w:sz w:val="24"/>
          <w:szCs w:val="24"/>
          <w:lang w:val="en-US" w:eastAsia="zh-CN"/>
        </w:rPr>
      </w:pPr>
      <w:r>
        <w:rPr>
          <w:rFonts w:hint="eastAsia" w:ascii="宋体" w:hAnsi="宋体"/>
          <w:color w:val="FF0000"/>
          <w:sz w:val="24"/>
          <w:szCs w:val="24"/>
          <w:lang w:val="en-US" w:eastAsia="zh-CN"/>
        </w:rPr>
        <w:t>上海市司法局智能语音平台功能包括：语音识别引擎，图文识别引擎等基础引擎能力。</w:t>
      </w:r>
    </w:p>
    <w:p w14:paraId="3ACE4511">
      <w:pPr>
        <w:pStyle w:val="106"/>
        <w:snapToGrid w:val="0"/>
        <w:spacing w:line="360" w:lineRule="auto"/>
        <w:ind w:firstLine="0" w:firstLineChars="0"/>
        <w:rPr>
          <w:rFonts w:hint="eastAsia" w:ascii="宋体" w:hAnsi="宋体"/>
          <w:b/>
          <w:bCs/>
          <w:color w:val="FF0000"/>
          <w:sz w:val="24"/>
          <w:szCs w:val="24"/>
          <w:lang w:val="en-US" w:eastAsia="zh-CN"/>
        </w:rPr>
      </w:pPr>
      <w:r>
        <w:rPr>
          <w:rFonts w:hint="eastAsia" w:ascii="宋体" w:hAnsi="宋体"/>
          <w:b/>
          <w:bCs/>
          <w:color w:val="FF0000"/>
          <w:sz w:val="24"/>
          <w:szCs w:val="24"/>
          <w:lang w:val="en-US" w:eastAsia="zh-CN"/>
        </w:rPr>
        <w:t>对接接口规范说明：</w:t>
      </w:r>
    </w:p>
    <w:p w14:paraId="6B13A1DA">
      <w:pPr>
        <w:pStyle w:val="106"/>
        <w:snapToGrid w:val="0"/>
        <w:spacing w:line="360" w:lineRule="auto"/>
        <w:ind w:firstLine="480"/>
        <w:rPr>
          <w:rFonts w:hint="eastAsia" w:ascii="宋体" w:hAnsi="宋体"/>
          <w:color w:val="FF0000"/>
          <w:sz w:val="24"/>
          <w:szCs w:val="24"/>
          <w:lang w:val="en-US"/>
        </w:rPr>
      </w:pPr>
      <w:r>
        <w:rPr>
          <w:rFonts w:hint="eastAsia" w:ascii="宋体" w:hAnsi="宋体" w:cs="Times New Roman"/>
          <w:color w:val="FF0000"/>
          <w:sz w:val="24"/>
          <w:szCs w:val="24"/>
          <w:lang w:val="en-US" w:eastAsia="zh-CN" w:bidi="ar"/>
        </w:rPr>
        <w:t>1）</w:t>
      </w:r>
      <w:r>
        <w:rPr>
          <w:rFonts w:hint="eastAsia" w:ascii="宋体" w:hAnsi="宋体" w:cs="Times New Roman"/>
          <w:color w:val="FF0000"/>
          <w:sz w:val="24"/>
          <w:szCs w:val="24"/>
          <w:lang w:bidi="ar"/>
        </w:rPr>
        <w:t>接口协议</w:t>
      </w:r>
    </w:p>
    <w:p w14:paraId="73511493">
      <w:pPr>
        <w:pStyle w:val="106"/>
        <w:snapToGrid w:val="0"/>
        <w:spacing w:line="360" w:lineRule="auto"/>
        <w:ind w:firstLine="480"/>
        <w:rPr>
          <w:rFonts w:hint="eastAsia" w:ascii="宋体" w:hAnsi="宋体"/>
          <w:color w:val="FF0000"/>
          <w:sz w:val="24"/>
          <w:szCs w:val="24"/>
          <w:lang w:val="en-US"/>
        </w:rPr>
      </w:pPr>
      <w:r>
        <w:rPr>
          <w:rFonts w:hint="eastAsia" w:ascii="宋体" w:hAnsi="宋体" w:cs="Times New Roman"/>
          <w:color w:val="FF0000"/>
          <w:sz w:val="24"/>
          <w:szCs w:val="24"/>
          <w:lang w:val="en-US" w:bidi="ar"/>
        </w:rPr>
        <w:t>接口传输协议：</w:t>
      </w:r>
      <w:r>
        <w:rPr>
          <w:rFonts w:hint="eastAsia" w:ascii="宋体" w:hAnsi="宋体"/>
          <w:color w:val="FF0000"/>
          <w:sz w:val="24"/>
          <w:szCs w:val="24"/>
          <w:lang w:val="en-US" w:bidi="ar"/>
        </w:rPr>
        <w:t>HTTP</w:t>
      </w:r>
      <w:bookmarkStart w:id="22" w:name="_Toc80969422"/>
    </w:p>
    <w:p w14:paraId="2B199B5C">
      <w:pPr>
        <w:pStyle w:val="106"/>
        <w:snapToGrid w:val="0"/>
        <w:spacing w:line="360" w:lineRule="auto"/>
        <w:ind w:firstLine="480"/>
        <w:rPr>
          <w:rFonts w:hint="eastAsia" w:ascii="宋体" w:hAnsi="宋体"/>
          <w:color w:val="FF0000"/>
          <w:sz w:val="24"/>
          <w:szCs w:val="24"/>
        </w:rPr>
      </w:pPr>
      <w:r>
        <w:rPr>
          <w:rFonts w:hint="eastAsia" w:ascii="宋体" w:hAnsi="宋体" w:cs="Times New Roman"/>
          <w:color w:val="FF0000"/>
          <w:sz w:val="24"/>
          <w:szCs w:val="24"/>
          <w:lang w:val="en-US" w:eastAsia="zh-CN" w:bidi="ar"/>
        </w:rPr>
        <w:t>2)</w:t>
      </w:r>
      <w:r>
        <w:rPr>
          <w:rFonts w:hint="eastAsia" w:ascii="宋体" w:hAnsi="宋体" w:cs="Times New Roman"/>
          <w:color w:val="FF0000"/>
          <w:sz w:val="24"/>
          <w:szCs w:val="24"/>
          <w:lang w:bidi="ar"/>
        </w:rPr>
        <w:t>数据传输格式</w:t>
      </w:r>
      <w:bookmarkEnd w:id="22"/>
    </w:p>
    <w:p w14:paraId="32450A8D">
      <w:pPr>
        <w:pStyle w:val="106"/>
        <w:snapToGrid w:val="0"/>
        <w:spacing w:line="360" w:lineRule="auto"/>
        <w:ind w:firstLine="480"/>
        <w:rPr>
          <w:rFonts w:hint="eastAsia" w:ascii="宋体" w:hAnsi="宋体"/>
          <w:color w:val="FF0000"/>
          <w:sz w:val="24"/>
          <w:szCs w:val="24"/>
          <w:lang w:val="en-US"/>
        </w:rPr>
      </w:pPr>
      <w:r>
        <w:rPr>
          <w:rFonts w:hint="eastAsia" w:ascii="宋体" w:hAnsi="宋体" w:cs="Times New Roman"/>
          <w:color w:val="FF0000"/>
          <w:sz w:val="24"/>
          <w:szCs w:val="24"/>
          <w:lang w:val="en-US" w:bidi="ar"/>
        </w:rPr>
        <w:t>接口数据传输格式：</w:t>
      </w:r>
      <w:r>
        <w:rPr>
          <w:rFonts w:hint="eastAsia" w:ascii="宋体" w:hAnsi="宋体"/>
          <w:color w:val="FF0000"/>
          <w:sz w:val="24"/>
          <w:szCs w:val="24"/>
          <w:lang w:val="en-US" w:bidi="ar"/>
        </w:rPr>
        <w:t>JSON</w:t>
      </w:r>
    </w:p>
    <w:p w14:paraId="5B08DE67">
      <w:pPr>
        <w:pStyle w:val="106"/>
        <w:snapToGrid w:val="0"/>
        <w:spacing w:line="360" w:lineRule="auto"/>
        <w:ind w:firstLine="480"/>
        <w:rPr>
          <w:rFonts w:hint="eastAsia" w:ascii="宋体" w:hAnsi="宋体"/>
          <w:color w:val="FF0000"/>
          <w:sz w:val="24"/>
          <w:szCs w:val="24"/>
        </w:rPr>
      </w:pPr>
      <w:bookmarkStart w:id="23" w:name="_Toc80969423"/>
      <w:r>
        <w:rPr>
          <w:rFonts w:hint="eastAsia" w:ascii="宋体" w:hAnsi="宋体" w:cs="Times New Roman"/>
          <w:color w:val="FF0000"/>
          <w:sz w:val="24"/>
          <w:szCs w:val="24"/>
          <w:lang w:val="en-US" w:eastAsia="zh-CN" w:bidi="ar"/>
        </w:rPr>
        <w:t>3)</w:t>
      </w:r>
      <w:r>
        <w:rPr>
          <w:rFonts w:hint="eastAsia" w:ascii="宋体" w:hAnsi="宋体" w:cs="Times New Roman"/>
          <w:color w:val="FF0000"/>
          <w:sz w:val="24"/>
          <w:szCs w:val="24"/>
          <w:lang w:bidi="ar"/>
        </w:rPr>
        <w:t>数据编码</w:t>
      </w:r>
      <w:bookmarkEnd w:id="23"/>
    </w:p>
    <w:p w14:paraId="7E4F7225">
      <w:pPr>
        <w:pStyle w:val="106"/>
        <w:snapToGrid w:val="0"/>
        <w:spacing w:line="360" w:lineRule="auto"/>
        <w:ind w:firstLine="480"/>
        <w:rPr>
          <w:rFonts w:hint="eastAsia" w:ascii="宋体" w:hAnsi="宋体"/>
          <w:color w:val="FF0000"/>
          <w:sz w:val="24"/>
          <w:szCs w:val="24"/>
          <w:lang w:val="en-US"/>
        </w:rPr>
      </w:pPr>
      <w:r>
        <w:rPr>
          <w:rFonts w:hint="eastAsia" w:ascii="宋体" w:hAnsi="宋体" w:cs="Times New Roman"/>
          <w:color w:val="FF0000"/>
          <w:sz w:val="24"/>
          <w:szCs w:val="24"/>
          <w:lang w:val="en-US" w:bidi="ar"/>
        </w:rPr>
        <w:t>接口接收请求及响应的数据编码均为</w:t>
      </w:r>
      <w:r>
        <w:rPr>
          <w:rFonts w:hint="eastAsia" w:ascii="宋体" w:hAnsi="宋体"/>
          <w:color w:val="FF0000"/>
          <w:sz w:val="24"/>
          <w:szCs w:val="24"/>
          <w:lang w:val="en-US" w:bidi="ar"/>
        </w:rPr>
        <w:t>UTF-8</w:t>
      </w:r>
      <w:r>
        <w:rPr>
          <w:rFonts w:hint="eastAsia" w:ascii="宋体" w:hAnsi="宋体" w:cs="Times New Roman"/>
          <w:color w:val="FF0000"/>
          <w:sz w:val="24"/>
          <w:szCs w:val="24"/>
          <w:lang w:val="en-US" w:bidi="ar"/>
        </w:rPr>
        <w:t>（有特殊要求在接口定义中标明）。</w:t>
      </w:r>
    </w:p>
    <w:p w14:paraId="7DC797D6">
      <w:pPr>
        <w:pStyle w:val="106"/>
        <w:snapToGrid w:val="0"/>
        <w:spacing w:line="360" w:lineRule="auto"/>
        <w:ind w:firstLine="480"/>
        <w:rPr>
          <w:rFonts w:hint="eastAsia" w:ascii="宋体" w:hAnsi="宋体"/>
          <w:color w:val="FF0000"/>
          <w:sz w:val="24"/>
          <w:szCs w:val="24"/>
        </w:rPr>
      </w:pPr>
      <w:bookmarkStart w:id="24" w:name="_Toc80969424"/>
      <w:r>
        <w:rPr>
          <w:rFonts w:hint="eastAsia" w:ascii="宋体" w:hAnsi="宋体" w:cs="Times New Roman"/>
          <w:color w:val="FF0000"/>
          <w:sz w:val="24"/>
          <w:szCs w:val="24"/>
          <w:lang w:val="en-US" w:eastAsia="zh-CN" w:bidi="ar"/>
        </w:rPr>
        <w:t>4)</w:t>
      </w:r>
      <w:r>
        <w:rPr>
          <w:rFonts w:hint="eastAsia" w:ascii="宋体" w:hAnsi="宋体" w:cs="Times New Roman"/>
          <w:color w:val="FF0000"/>
          <w:sz w:val="24"/>
          <w:szCs w:val="24"/>
          <w:lang w:bidi="ar"/>
        </w:rPr>
        <w:t>标点符号</w:t>
      </w:r>
      <w:bookmarkEnd w:id="24"/>
    </w:p>
    <w:p w14:paraId="6F21608A">
      <w:pPr>
        <w:pStyle w:val="106"/>
        <w:snapToGrid w:val="0"/>
        <w:spacing w:line="360" w:lineRule="auto"/>
        <w:ind w:firstLine="480"/>
        <w:rPr>
          <w:rFonts w:hint="eastAsia" w:ascii="宋体" w:hAnsi="宋体"/>
          <w:color w:val="FF0000"/>
          <w:sz w:val="24"/>
          <w:szCs w:val="24"/>
          <w:lang w:val="en-US"/>
        </w:rPr>
      </w:pPr>
      <w:r>
        <w:rPr>
          <w:rFonts w:hint="eastAsia" w:ascii="宋体" w:hAnsi="宋体" w:cs="Times New Roman"/>
          <w:color w:val="FF0000"/>
          <w:sz w:val="24"/>
          <w:szCs w:val="24"/>
          <w:lang w:val="en-US" w:bidi="ar"/>
        </w:rPr>
        <w:t>数据中用户分割的标点符号均为英文状态下的标点符号。</w:t>
      </w:r>
    </w:p>
    <w:p w14:paraId="3A015F3F">
      <w:pPr>
        <w:pStyle w:val="106"/>
        <w:snapToGrid w:val="0"/>
        <w:spacing w:line="360" w:lineRule="auto"/>
        <w:ind w:firstLine="480"/>
        <w:rPr>
          <w:rFonts w:hint="eastAsia" w:ascii="宋体" w:hAnsi="宋体"/>
          <w:color w:val="FF0000"/>
          <w:sz w:val="24"/>
          <w:szCs w:val="24"/>
        </w:rPr>
      </w:pPr>
      <w:bookmarkStart w:id="25" w:name="_Toc80969427"/>
      <w:r>
        <w:rPr>
          <w:rFonts w:hint="eastAsia" w:ascii="宋体" w:hAnsi="宋体" w:cs="Times New Roman"/>
          <w:color w:val="FF0000"/>
          <w:sz w:val="24"/>
          <w:szCs w:val="24"/>
          <w:lang w:val="en-US" w:eastAsia="zh-CN" w:bidi="ar"/>
        </w:rPr>
        <w:t>5)</w:t>
      </w:r>
      <w:r>
        <w:rPr>
          <w:rFonts w:hint="eastAsia" w:ascii="宋体" w:hAnsi="宋体" w:cs="Times New Roman"/>
          <w:color w:val="FF0000"/>
          <w:sz w:val="24"/>
          <w:szCs w:val="24"/>
          <w:lang w:bidi="ar"/>
        </w:rPr>
        <w:t>日期格式</w:t>
      </w:r>
      <w:bookmarkEnd w:id="25"/>
    </w:p>
    <w:p w14:paraId="4617FA3E">
      <w:pPr>
        <w:pStyle w:val="106"/>
        <w:snapToGrid w:val="0"/>
        <w:spacing w:line="360" w:lineRule="auto"/>
        <w:ind w:firstLine="480"/>
        <w:rPr>
          <w:rFonts w:hint="eastAsia" w:ascii="宋体" w:hAnsi="宋体" w:cs="Times New Roman"/>
          <w:color w:val="FF0000"/>
          <w:sz w:val="24"/>
          <w:szCs w:val="24"/>
          <w:lang w:val="en-US" w:bidi="ar"/>
        </w:rPr>
      </w:pPr>
      <w:r>
        <w:rPr>
          <w:rFonts w:hint="eastAsia" w:ascii="宋体" w:hAnsi="宋体" w:cs="Times New Roman"/>
          <w:color w:val="FF0000"/>
          <w:sz w:val="24"/>
          <w:szCs w:val="24"/>
          <w:lang w:val="en-US" w:bidi="ar"/>
        </w:rPr>
        <w:t>接口涉及到日期类型的参数均使用字符串传输，如果没有特别标注，格式统一为</w:t>
      </w:r>
      <w:r>
        <w:rPr>
          <w:rFonts w:hint="eastAsia" w:ascii="宋体" w:hAnsi="宋体"/>
          <w:color w:val="FF0000"/>
          <w:sz w:val="24"/>
          <w:szCs w:val="24"/>
          <w:lang w:val="en-US" w:bidi="ar"/>
        </w:rPr>
        <w:t>"yyyy-MM-dd HH:mm:ss"</w:t>
      </w:r>
      <w:r>
        <w:rPr>
          <w:rFonts w:hint="eastAsia" w:ascii="宋体" w:hAnsi="宋体" w:cs="Times New Roman"/>
          <w:color w:val="FF0000"/>
          <w:sz w:val="24"/>
          <w:szCs w:val="24"/>
          <w:lang w:val="en-US" w:bidi="ar"/>
        </w:rPr>
        <w:t>，例</w:t>
      </w:r>
      <w:r>
        <w:rPr>
          <w:rFonts w:hint="eastAsia" w:ascii="宋体" w:hAnsi="宋体"/>
          <w:color w:val="FF0000"/>
          <w:sz w:val="24"/>
          <w:szCs w:val="24"/>
          <w:lang w:val="en-US" w:bidi="ar"/>
        </w:rPr>
        <w:t>"20</w:t>
      </w:r>
      <w:r>
        <w:rPr>
          <w:rFonts w:hint="eastAsia" w:ascii="宋体" w:hAnsi="宋体"/>
          <w:color w:val="FF0000"/>
          <w:sz w:val="24"/>
          <w:szCs w:val="24"/>
          <w:lang w:bidi="ar"/>
        </w:rPr>
        <w:t>22</w:t>
      </w:r>
      <w:r>
        <w:rPr>
          <w:rFonts w:hint="eastAsia" w:ascii="宋体" w:hAnsi="宋体"/>
          <w:color w:val="FF0000"/>
          <w:sz w:val="24"/>
          <w:szCs w:val="24"/>
          <w:lang w:val="en-US" w:bidi="ar"/>
        </w:rPr>
        <w:t>-01-01 01:01:01"</w:t>
      </w:r>
    </w:p>
    <w:p w14:paraId="62D9EDEC">
      <w:pPr>
        <w:numPr>
          <w:ilvl w:val="-1"/>
          <w:numId w:val="0"/>
        </w:numPr>
        <w:ind w:firstLine="0" w:firstLineChars="0"/>
        <w:rPr>
          <w:rFonts w:hint="default"/>
          <w:b/>
          <w:lang w:val="en-US" w:eastAsia="zh-CN"/>
        </w:rPr>
      </w:pPr>
    </w:p>
    <w:p w14:paraId="5AF31835">
      <w:pPr>
        <w:keepNext/>
        <w:keepLines/>
        <w:numPr>
          <w:ilvl w:val="1"/>
          <w:numId w:val="7"/>
        </w:numPr>
        <w:tabs>
          <w:tab w:val="left" w:pos="360"/>
        </w:tabs>
        <w:spacing w:before="120" w:line="240" w:lineRule="auto"/>
        <w:ind w:left="0" w:firstLine="0" w:firstLineChars="0"/>
        <w:outlineLvl w:val="1"/>
        <w:rPr>
          <w:rFonts w:hint="eastAsia" w:ascii="仿宋" w:hAnsi="仿宋" w:eastAsia="仿宋"/>
          <w:b/>
          <w:vanish/>
          <w:color w:val="000000"/>
          <w:sz w:val="28"/>
          <w:szCs w:val="20"/>
        </w:rPr>
      </w:pPr>
      <w:bookmarkStart w:id="26" w:name="_Toc62219358"/>
      <w:bookmarkEnd w:id="26"/>
      <w:bookmarkStart w:id="27" w:name="_Toc63785439"/>
      <w:bookmarkEnd w:id="27"/>
      <w:bookmarkStart w:id="28" w:name="_Toc63151871"/>
      <w:bookmarkEnd w:id="28"/>
      <w:bookmarkStart w:id="29" w:name="_Toc63585480"/>
      <w:bookmarkEnd w:id="29"/>
      <w:bookmarkStart w:id="30" w:name="_Toc63785504"/>
      <w:bookmarkEnd w:id="30"/>
      <w:bookmarkStart w:id="31" w:name="_Toc62209488"/>
      <w:bookmarkEnd w:id="31"/>
      <w:bookmarkStart w:id="32" w:name="_Toc63762370"/>
      <w:bookmarkEnd w:id="32"/>
      <w:bookmarkStart w:id="33" w:name="_Toc61968111"/>
      <w:bookmarkEnd w:id="33"/>
    </w:p>
    <w:p w14:paraId="284BF44B">
      <w:pPr>
        <w:pStyle w:val="3"/>
        <w:rPr>
          <w:rFonts w:hint="eastAsia"/>
        </w:rPr>
      </w:pPr>
      <w:bookmarkStart w:id="34" w:name="_Toc63785505"/>
      <w:r>
        <w:rPr>
          <w:rFonts w:hint="eastAsia"/>
        </w:rPr>
        <w:t>售后服务要求</w:t>
      </w:r>
      <w:bookmarkEnd w:id="34"/>
    </w:p>
    <w:p w14:paraId="03D24522">
      <w:pPr>
        <w:pStyle w:val="106"/>
        <w:snapToGrid w:val="0"/>
        <w:spacing w:line="360" w:lineRule="auto"/>
        <w:ind w:firstLine="480"/>
        <w:rPr>
          <w:rFonts w:hint="eastAsia" w:ascii="宋体" w:hAnsi="宋体"/>
          <w:sz w:val="24"/>
          <w:szCs w:val="24"/>
        </w:rPr>
      </w:pPr>
      <w:r>
        <w:rPr>
          <w:rFonts w:hint="eastAsia" w:ascii="宋体" w:hAnsi="宋体"/>
          <w:sz w:val="24"/>
          <w:szCs w:val="24"/>
        </w:rPr>
        <w:t>（1）基本服务要求</w:t>
      </w:r>
    </w:p>
    <w:p w14:paraId="3F136EAF">
      <w:pPr>
        <w:pStyle w:val="106"/>
        <w:snapToGrid w:val="0"/>
        <w:spacing w:line="360" w:lineRule="auto"/>
        <w:ind w:firstLine="480"/>
        <w:rPr>
          <w:rFonts w:hint="eastAsia" w:ascii="宋体" w:hAnsi="宋体"/>
          <w:sz w:val="24"/>
          <w:szCs w:val="24"/>
        </w:rPr>
      </w:pPr>
      <w:r>
        <w:rPr>
          <w:rFonts w:hint="eastAsia" w:ascii="宋体" w:hAnsi="宋体"/>
          <w:sz w:val="24"/>
          <w:szCs w:val="24"/>
          <w:lang w:eastAsia="zh-CN"/>
        </w:rPr>
        <w:t>供应商</w:t>
      </w:r>
      <w:r>
        <w:rPr>
          <w:rFonts w:hint="eastAsia" w:ascii="宋体" w:hAnsi="宋体"/>
          <w:sz w:val="24"/>
          <w:szCs w:val="24"/>
        </w:rPr>
        <w:t>需具有较强的系统集成能力，熟悉系统，并能够就系统的研发、测试及系统与硬件设备、系统软件之间的联调配备现场技术服务团队。</w:t>
      </w:r>
    </w:p>
    <w:p w14:paraId="4D17FA99">
      <w:pPr>
        <w:pStyle w:val="106"/>
        <w:snapToGrid w:val="0"/>
        <w:spacing w:line="360" w:lineRule="auto"/>
        <w:ind w:firstLine="480"/>
        <w:rPr>
          <w:rFonts w:hint="eastAsia" w:ascii="宋体" w:hAnsi="宋体"/>
          <w:sz w:val="24"/>
          <w:szCs w:val="24"/>
        </w:rPr>
      </w:pPr>
      <w:r>
        <w:rPr>
          <w:rFonts w:hint="eastAsia" w:ascii="宋体" w:hAnsi="宋体"/>
          <w:sz w:val="24"/>
          <w:szCs w:val="24"/>
        </w:rPr>
        <w:t>系统上线后提供现场运维服务，保障系统的正常运行。应用软件免费质保1年。质量保质期从项目验收通过之日起计。</w:t>
      </w:r>
    </w:p>
    <w:p w14:paraId="57597174">
      <w:pPr>
        <w:pStyle w:val="106"/>
        <w:snapToGrid w:val="0"/>
        <w:spacing w:line="360" w:lineRule="auto"/>
        <w:ind w:firstLine="480"/>
        <w:rPr>
          <w:rFonts w:hint="eastAsia" w:ascii="宋体" w:hAnsi="宋体"/>
          <w:sz w:val="24"/>
          <w:szCs w:val="24"/>
        </w:rPr>
      </w:pPr>
      <w:r>
        <w:rPr>
          <w:rFonts w:hint="eastAsia" w:ascii="宋体" w:hAnsi="宋体"/>
          <w:sz w:val="24"/>
          <w:szCs w:val="24"/>
        </w:rPr>
        <w:t>提供限时修复服务：系统软件原因引起的故障，1个工作日内恢复使用。</w:t>
      </w:r>
    </w:p>
    <w:p w14:paraId="037944CC">
      <w:pPr>
        <w:pStyle w:val="106"/>
        <w:snapToGrid w:val="0"/>
        <w:spacing w:line="360" w:lineRule="auto"/>
        <w:ind w:firstLine="480"/>
        <w:rPr>
          <w:rFonts w:hint="eastAsia" w:ascii="宋体" w:hAnsi="宋体"/>
          <w:sz w:val="24"/>
          <w:szCs w:val="24"/>
        </w:rPr>
      </w:pPr>
      <w:r>
        <w:rPr>
          <w:rFonts w:hint="eastAsia" w:ascii="宋体" w:hAnsi="宋体"/>
          <w:sz w:val="24"/>
          <w:szCs w:val="24"/>
        </w:rPr>
        <w:t>（2）电话支持要求</w:t>
      </w:r>
    </w:p>
    <w:p w14:paraId="49DED35A">
      <w:pPr>
        <w:pStyle w:val="106"/>
        <w:snapToGrid w:val="0"/>
        <w:spacing w:line="360" w:lineRule="auto"/>
        <w:ind w:firstLine="480"/>
        <w:rPr>
          <w:rFonts w:hint="eastAsia" w:ascii="宋体" w:hAnsi="宋体"/>
          <w:sz w:val="24"/>
          <w:szCs w:val="24"/>
        </w:rPr>
      </w:pPr>
      <w:r>
        <w:rPr>
          <w:rFonts w:hint="eastAsia" w:ascii="宋体" w:hAnsi="宋体"/>
          <w:sz w:val="24"/>
          <w:szCs w:val="24"/>
        </w:rPr>
        <w:t>提供7*24电话支持，包含原厂支持中心的电话技术支持服务。</w:t>
      </w:r>
    </w:p>
    <w:p w14:paraId="5D38DEF8">
      <w:pPr>
        <w:pStyle w:val="106"/>
        <w:snapToGrid w:val="0"/>
        <w:spacing w:line="360" w:lineRule="auto"/>
        <w:ind w:firstLine="480"/>
        <w:rPr>
          <w:rFonts w:hint="eastAsia" w:ascii="宋体" w:hAnsi="宋体"/>
          <w:sz w:val="24"/>
          <w:szCs w:val="24"/>
        </w:rPr>
      </w:pPr>
      <w:r>
        <w:rPr>
          <w:rFonts w:hint="eastAsia" w:ascii="宋体" w:hAnsi="宋体"/>
          <w:sz w:val="24"/>
          <w:szCs w:val="24"/>
        </w:rPr>
        <w:t>（3）现场服务要求</w:t>
      </w:r>
    </w:p>
    <w:p w14:paraId="1CEB6BF0">
      <w:pPr>
        <w:pStyle w:val="106"/>
        <w:snapToGrid w:val="0"/>
        <w:spacing w:line="360" w:lineRule="auto"/>
        <w:ind w:firstLine="480"/>
        <w:rPr>
          <w:rFonts w:hint="eastAsia" w:ascii="宋体" w:hAnsi="宋体"/>
          <w:sz w:val="24"/>
          <w:szCs w:val="24"/>
        </w:rPr>
      </w:pPr>
      <w:r>
        <w:rPr>
          <w:rFonts w:hint="eastAsia" w:ascii="宋体" w:hAnsi="宋体"/>
          <w:sz w:val="24"/>
          <w:szCs w:val="24"/>
        </w:rPr>
        <w:t>提供5*9现场支持。</w:t>
      </w:r>
    </w:p>
    <w:p w14:paraId="594361E9">
      <w:pPr>
        <w:pStyle w:val="106"/>
        <w:snapToGrid w:val="0"/>
        <w:spacing w:line="360" w:lineRule="auto"/>
        <w:ind w:firstLine="480"/>
        <w:rPr>
          <w:rFonts w:hint="eastAsia" w:ascii="宋体" w:hAnsi="宋体"/>
          <w:sz w:val="24"/>
          <w:szCs w:val="24"/>
        </w:rPr>
      </w:pPr>
      <w:r>
        <w:rPr>
          <w:rFonts w:hint="eastAsia" w:ascii="宋体" w:hAnsi="宋体"/>
          <w:sz w:val="24"/>
          <w:szCs w:val="24"/>
        </w:rPr>
        <w:t>（4）非工作时间应急服务要求</w:t>
      </w:r>
    </w:p>
    <w:p w14:paraId="74440F2C">
      <w:pPr>
        <w:pStyle w:val="106"/>
        <w:snapToGrid w:val="0"/>
        <w:spacing w:line="360" w:lineRule="auto"/>
        <w:ind w:firstLine="480"/>
        <w:rPr>
          <w:rFonts w:hint="eastAsia" w:ascii="宋体" w:hAnsi="宋体"/>
          <w:sz w:val="24"/>
          <w:szCs w:val="24"/>
        </w:rPr>
      </w:pPr>
      <w:r>
        <w:rPr>
          <w:rFonts w:hint="eastAsia" w:ascii="宋体" w:hAnsi="宋体"/>
          <w:sz w:val="24"/>
          <w:szCs w:val="24"/>
        </w:rPr>
        <w:t>遇突发故障，工作时间需半小时响应，如有紧急或重大情况发生，根据甲方要求增派工程师提供现场服务。</w:t>
      </w:r>
    </w:p>
    <w:p w14:paraId="61B12D20">
      <w:pPr>
        <w:pStyle w:val="106"/>
        <w:snapToGrid w:val="0"/>
        <w:spacing w:line="360" w:lineRule="auto"/>
        <w:ind w:firstLine="480"/>
        <w:rPr>
          <w:rFonts w:hint="eastAsia" w:ascii="宋体" w:hAnsi="宋体"/>
          <w:sz w:val="24"/>
          <w:szCs w:val="24"/>
        </w:rPr>
      </w:pPr>
      <w:r>
        <w:rPr>
          <w:rFonts w:hint="eastAsia" w:ascii="宋体" w:hAnsi="宋体"/>
          <w:sz w:val="24"/>
          <w:szCs w:val="24"/>
        </w:rPr>
        <w:t>（5）特定活动保障</w:t>
      </w:r>
    </w:p>
    <w:p w14:paraId="39BF44FF">
      <w:pPr>
        <w:pStyle w:val="106"/>
        <w:snapToGrid w:val="0"/>
        <w:spacing w:line="360" w:lineRule="auto"/>
        <w:ind w:firstLine="480"/>
        <w:rPr>
          <w:rFonts w:hint="eastAsia" w:ascii="宋体" w:hAnsi="宋体"/>
          <w:sz w:val="24"/>
          <w:szCs w:val="24"/>
        </w:rPr>
      </w:pPr>
      <w:r>
        <w:rPr>
          <w:rFonts w:hint="eastAsia" w:ascii="宋体" w:hAnsi="宋体"/>
          <w:sz w:val="24"/>
          <w:szCs w:val="24"/>
          <w:lang w:eastAsia="zh-CN"/>
        </w:rPr>
        <w:t>供应商</w:t>
      </w:r>
      <w:r>
        <w:rPr>
          <w:rFonts w:hint="eastAsia" w:ascii="宋体" w:hAnsi="宋体"/>
          <w:sz w:val="24"/>
          <w:szCs w:val="24"/>
        </w:rPr>
        <w:t>应承诺在招标单位特定活动时期,按照招标单位要求，提供专人进行活动保障。</w:t>
      </w:r>
    </w:p>
    <w:p w14:paraId="21018FEB">
      <w:pPr>
        <w:pStyle w:val="3"/>
        <w:rPr>
          <w:rFonts w:hint="eastAsia"/>
        </w:rPr>
      </w:pPr>
      <w:bookmarkStart w:id="35" w:name="_Toc63785506"/>
      <w:r>
        <w:rPr>
          <w:rFonts w:hint="eastAsia"/>
        </w:rPr>
        <w:t>应急响应要求</w:t>
      </w:r>
      <w:bookmarkEnd w:id="35"/>
    </w:p>
    <w:p w14:paraId="74AD0928">
      <w:pPr>
        <w:pStyle w:val="106"/>
        <w:snapToGrid w:val="0"/>
        <w:spacing w:line="360" w:lineRule="auto"/>
        <w:ind w:firstLine="480"/>
        <w:rPr>
          <w:rFonts w:hint="eastAsia" w:ascii="宋体" w:hAnsi="宋体"/>
          <w:sz w:val="24"/>
          <w:szCs w:val="24"/>
        </w:rPr>
      </w:pPr>
      <w:r>
        <w:rPr>
          <w:rFonts w:hint="eastAsia" w:ascii="宋体" w:hAnsi="宋体"/>
          <w:sz w:val="24"/>
          <w:szCs w:val="24"/>
        </w:rPr>
        <w:t>供应商对系统故障应能够实时响应，若系统发生故障，接到通知后</w:t>
      </w:r>
      <w:r>
        <w:rPr>
          <w:rFonts w:ascii="宋体" w:hAnsi="宋体"/>
          <w:sz w:val="24"/>
          <w:szCs w:val="24"/>
        </w:rPr>
        <w:t>30分钟之内响应，专业工程师2小时内到达现场</w:t>
      </w:r>
      <w:r>
        <w:rPr>
          <w:rFonts w:hint="eastAsia" w:ascii="宋体" w:hAnsi="宋体"/>
          <w:sz w:val="24"/>
          <w:szCs w:val="24"/>
        </w:rPr>
        <w:t>。特殊故障与客户沟通协商后，按照协商的方式制定解决方案并进行处理。</w:t>
      </w:r>
    </w:p>
    <w:p w14:paraId="120ACBCD">
      <w:pPr>
        <w:pStyle w:val="106"/>
        <w:snapToGrid w:val="0"/>
        <w:spacing w:line="360" w:lineRule="auto"/>
        <w:ind w:firstLine="480"/>
        <w:rPr>
          <w:rFonts w:hint="eastAsia" w:ascii="宋体" w:hAnsi="宋体"/>
          <w:sz w:val="24"/>
          <w:szCs w:val="24"/>
        </w:rPr>
      </w:pPr>
      <w:r>
        <w:rPr>
          <w:rFonts w:hint="eastAsia" w:ascii="宋体" w:hAnsi="宋体"/>
          <w:sz w:val="24"/>
          <w:szCs w:val="24"/>
        </w:rPr>
        <w:t>具体故障级别及对应的应急响应要求如下：</w:t>
      </w:r>
    </w:p>
    <w:p w14:paraId="2B3F4509">
      <w:pPr>
        <w:pStyle w:val="106"/>
        <w:snapToGrid w:val="0"/>
        <w:spacing w:line="360" w:lineRule="auto"/>
        <w:ind w:firstLine="480"/>
        <w:rPr>
          <w:rFonts w:hint="eastAsia" w:ascii="宋体" w:hAnsi="宋体"/>
          <w:sz w:val="24"/>
          <w:szCs w:val="24"/>
        </w:rPr>
      </w:pPr>
      <w:r>
        <w:rPr>
          <w:rFonts w:hint="eastAsia" w:ascii="宋体" w:hAnsi="宋体"/>
          <w:sz w:val="24"/>
          <w:szCs w:val="24"/>
        </w:rPr>
        <w:t>一级故障：在</w:t>
      </w:r>
      <w:r>
        <w:rPr>
          <w:rFonts w:ascii="宋体" w:hAnsi="宋体"/>
          <w:sz w:val="24"/>
          <w:szCs w:val="24"/>
        </w:rPr>
        <w:t>1小时内确诊，总故障解决时间不超过4小时。</w:t>
      </w:r>
    </w:p>
    <w:p w14:paraId="60ACD185">
      <w:pPr>
        <w:pStyle w:val="106"/>
        <w:snapToGrid w:val="0"/>
        <w:spacing w:line="360" w:lineRule="auto"/>
        <w:ind w:firstLine="480"/>
        <w:rPr>
          <w:rFonts w:hint="eastAsia" w:ascii="宋体" w:hAnsi="宋体"/>
          <w:sz w:val="24"/>
          <w:szCs w:val="24"/>
        </w:rPr>
      </w:pPr>
      <w:r>
        <w:rPr>
          <w:rFonts w:hint="eastAsia" w:ascii="宋体" w:hAnsi="宋体"/>
          <w:sz w:val="24"/>
          <w:szCs w:val="24"/>
        </w:rPr>
        <w:t>二级故障：在</w:t>
      </w:r>
      <w:r>
        <w:rPr>
          <w:rFonts w:ascii="宋体" w:hAnsi="宋体"/>
          <w:sz w:val="24"/>
          <w:szCs w:val="24"/>
        </w:rPr>
        <w:t>2小时内确诊，并在4小时内由专家到达现场确诊并解决，总故障解决时间不超过8小时；</w:t>
      </w:r>
    </w:p>
    <w:p w14:paraId="6A6F8D8E">
      <w:pPr>
        <w:pStyle w:val="106"/>
        <w:snapToGrid w:val="0"/>
        <w:spacing w:line="360" w:lineRule="auto"/>
        <w:ind w:firstLine="480"/>
        <w:rPr>
          <w:rFonts w:hint="eastAsia" w:ascii="宋体" w:hAnsi="宋体"/>
          <w:sz w:val="24"/>
          <w:szCs w:val="24"/>
        </w:rPr>
      </w:pPr>
      <w:r>
        <w:rPr>
          <w:rFonts w:hint="eastAsia" w:ascii="宋体" w:hAnsi="宋体"/>
          <w:sz w:val="24"/>
          <w:szCs w:val="24"/>
        </w:rPr>
        <w:t>三、四级故障：在</w:t>
      </w:r>
      <w:r>
        <w:rPr>
          <w:rFonts w:ascii="宋体" w:hAnsi="宋体"/>
          <w:sz w:val="24"/>
          <w:szCs w:val="24"/>
        </w:rPr>
        <w:t>4小时内确诊故障，总故障解决时间不超过16小时。</w:t>
      </w:r>
    </w:p>
    <w:p w14:paraId="7FE0B332">
      <w:pPr>
        <w:pStyle w:val="3"/>
        <w:rPr>
          <w:rFonts w:hint="eastAsia"/>
        </w:rPr>
      </w:pPr>
      <w:bookmarkStart w:id="36" w:name="_Toc63785507"/>
      <w:r>
        <w:rPr>
          <w:rFonts w:hint="eastAsia"/>
        </w:rPr>
        <w:t>培训要求</w:t>
      </w:r>
      <w:bookmarkEnd w:id="36"/>
    </w:p>
    <w:p w14:paraId="16E44594">
      <w:pPr>
        <w:rPr>
          <w:rFonts w:hint="eastAsia"/>
        </w:rPr>
      </w:pPr>
      <w:r>
        <w:rPr>
          <w:rFonts w:hint="eastAsia"/>
        </w:rPr>
        <w:t>对系统使用单位提供业务操作培训，应提供详细培训方案。</w:t>
      </w:r>
    </w:p>
    <w:p w14:paraId="46EBD357">
      <w:pPr>
        <w:rPr>
          <w:rFonts w:hint="eastAsia"/>
        </w:rPr>
      </w:pPr>
      <w:r>
        <w:rPr>
          <w:rFonts w:hint="eastAsia"/>
        </w:rPr>
        <w:t>(1)在12个月的质量保证期内，提供2次与项目相关的必要培训。</w:t>
      </w:r>
    </w:p>
    <w:p w14:paraId="030394C6">
      <w:pPr>
        <w:rPr>
          <w:rFonts w:hint="eastAsia"/>
        </w:rPr>
      </w:pPr>
      <w:r>
        <w:rPr>
          <w:rFonts w:hint="eastAsia"/>
        </w:rPr>
        <w:t>(2)供应商需要开展分层次的人员培训工作，每次培训后应对参加培训人员进行测试，评估培训成果。培训应具有培训教材、培训环境和高水平的培训讲师。</w:t>
      </w:r>
    </w:p>
    <w:p w14:paraId="12C5FCF9">
      <w:pPr>
        <w:rPr>
          <w:rFonts w:hint="eastAsia"/>
        </w:rPr>
      </w:pPr>
      <w:r>
        <w:rPr>
          <w:rFonts w:hint="eastAsia"/>
        </w:rPr>
        <w:t>(3)供应商应提供一般用户的基础操作培训和部门信息管理员的日常应用维护的培训，确保用户对象能够掌握对应的操作技能。</w:t>
      </w:r>
    </w:p>
    <w:p w14:paraId="057ACF94">
      <w:pPr>
        <w:pStyle w:val="3"/>
        <w:rPr>
          <w:rFonts w:hint="eastAsia"/>
        </w:rPr>
      </w:pPr>
      <w:bookmarkStart w:id="37" w:name="_Toc63785508"/>
      <w:r>
        <w:rPr>
          <w:rFonts w:hint="eastAsia"/>
        </w:rPr>
        <w:t>验收要求</w:t>
      </w:r>
      <w:bookmarkEnd w:id="37"/>
    </w:p>
    <w:p w14:paraId="7AEF8398">
      <w:pPr>
        <w:rPr>
          <w:rFonts w:hint="eastAsia"/>
          <w:szCs w:val="21"/>
        </w:rPr>
      </w:pPr>
      <w:r>
        <w:rPr>
          <w:rFonts w:hint="eastAsia"/>
          <w:szCs w:val="21"/>
        </w:rPr>
        <w:t>本项目按下述方式开展验收。</w:t>
      </w:r>
    </w:p>
    <w:p w14:paraId="51291F8B">
      <w:pPr>
        <w:rPr>
          <w:rFonts w:hint="eastAsia"/>
          <w:szCs w:val="21"/>
        </w:rPr>
      </w:pPr>
      <w:r>
        <w:rPr>
          <w:rFonts w:hint="eastAsia"/>
          <w:szCs w:val="21"/>
        </w:rPr>
        <w:t>（</w:t>
      </w:r>
      <w:r>
        <w:rPr>
          <w:szCs w:val="21"/>
        </w:rPr>
        <w:t>1）验收分初验和终验。</w:t>
      </w:r>
    </w:p>
    <w:p w14:paraId="3A8DF98D">
      <w:pPr>
        <w:rPr>
          <w:rFonts w:hint="eastAsia"/>
          <w:szCs w:val="21"/>
        </w:rPr>
      </w:pPr>
      <w:r>
        <w:rPr>
          <w:rFonts w:hint="eastAsia"/>
          <w:szCs w:val="21"/>
        </w:rPr>
        <w:t>（</w:t>
      </w:r>
      <w:r>
        <w:rPr>
          <w:szCs w:val="21"/>
        </w:rPr>
        <w:t>2）初验前，供应商</w:t>
      </w:r>
      <w:r>
        <w:rPr>
          <w:rFonts w:hint="eastAsia"/>
          <w:szCs w:val="21"/>
          <w:lang w:eastAsia="zh-CN"/>
        </w:rPr>
        <w:t>需</w:t>
      </w:r>
      <w:r>
        <w:rPr>
          <w:szCs w:val="21"/>
        </w:rPr>
        <w:t>完成软件开发、软硬件安装和信息系统的调试等，并对本项目进行功能和运行检测，确保所有信息系统功能模块能够正常运行且已达到本项目约定的各类标准要求。供应商应以书面形式向</w:t>
      </w:r>
      <w:r>
        <w:rPr>
          <w:rFonts w:hint="eastAsia"/>
          <w:szCs w:val="21"/>
          <w:lang w:eastAsia="zh-CN"/>
        </w:rPr>
        <w:t>采购人</w:t>
      </w:r>
      <w:r>
        <w:rPr>
          <w:szCs w:val="21"/>
        </w:rPr>
        <w:t>递交初验通知书。</w:t>
      </w:r>
      <w:r>
        <w:rPr>
          <w:rFonts w:hint="eastAsia"/>
          <w:szCs w:val="21"/>
          <w:lang w:eastAsia="zh-CN"/>
        </w:rPr>
        <w:t>采购人</w:t>
      </w:r>
      <w:r>
        <w:rPr>
          <w:szCs w:val="21"/>
        </w:rPr>
        <w:t>应当在接到通知后的5个工作日内确定初验的具体日期，由双方按照本项目的约定完成本项目的初验。</w:t>
      </w:r>
      <w:r>
        <w:rPr>
          <w:rFonts w:hint="eastAsia"/>
          <w:szCs w:val="21"/>
          <w:lang w:eastAsia="zh-CN"/>
        </w:rPr>
        <w:t>采购人</w:t>
      </w:r>
      <w:r>
        <w:rPr>
          <w:szCs w:val="21"/>
        </w:rPr>
        <w:t>有权委托第三方检测机构进行验收，对此供应商应当配合。</w:t>
      </w:r>
    </w:p>
    <w:p w14:paraId="5C9232D1">
      <w:pPr>
        <w:rPr>
          <w:rFonts w:hint="eastAsia"/>
          <w:szCs w:val="21"/>
        </w:rPr>
      </w:pPr>
      <w:r>
        <w:rPr>
          <w:rFonts w:hint="eastAsia"/>
          <w:szCs w:val="21"/>
        </w:rPr>
        <w:t>（</w:t>
      </w:r>
      <w:r>
        <w:rPr>
          <w:szCs w:val="21"/>
        </w:rPr>
        <w:t>3）初验时，供应商</w:t>
      </w:r>
      <w:r>
        <w:rPr>
          <w:rFonts w:hint="eastAsia"/>
          <w:szCs w:val="21"/>
          <w:lang w:eastAsia="zh-CN"/>
        </w:rPr>
        <w:t>需</w:t>
      </w:r>
      <w:r>
        <w:rPr>
          <w:szCs w:val="21"/>
        </w:rPr>
        <w:t>提供软件文档包括《用户需求说明书》、《系统概要设计说明书》、《系统详细设计说明书》、</w:t>
      </w:r>
      <w:r>
        <w:rPr>
          <w:rFonts w:hint="eastAsia"/>
          <w:szCs w:val="21"/>
        </w:rPr>
        <w:t>《三方功能需求确认单》、</w:t>
      </w:r>
      <w:r>
        <w:rPr>
          <w:szCs w:val="21"/>
        </w:rPr>
        <w:t>《测试报告》、《用户使用手册》、《系统部署文档》等）及可安装的程序运行文件。所交付的文档与文件应当是可供自然人阅读的书面和电子文档。软件文档及可安装的程序运行文件验收通过后，视为初验通过。如有缺陷，</w:t>
      </w:r>
      <w:r>
        <w:rPr>
          <w:rFonts w:hint="eastAsia"/>
          <w:szCs w:val="21"/>
          <w:lang w:eastAsia="zh-CN"/>
        </w:rPr>
        <w:t>采购人</w:t>
      </w:r>
      <w:r>
        <w:rPr>
          <w:szCs w:val="21"/>
        </w:rPr>
        <w:t>应向供应商出具书面报告，陈述需要改进的缺陷。供应商应立即严格依照</w:t>
      </w:r>
      <w:r>
        <w:rPr>
          <w:rFonts w:hint="eastAsia"/>
          <w:szCs w:val="21"/>
          <w:lang w:eastAsia="zh-CN"/>
        </w:rPr>
        <w:t>采购人</w:t>
      </w:r>
      <w:r>
        <w:rPr>
          <w:szCs w:val="21"/>
        </w:rPr>
        <w:t>的书面报告中的要求改进缺陷，并再次进行初验。</w:t>
      </w:r>
    </w:p>
    <w:p w14:paraId="0BCC2718">
      <w:pPr>
        <w:rPr>
          <w:rFonts w:hint="eastAsia"/>
          <w:szCs w:val="21"/>
        </w:rPr>
      </w:pPr>
      <w:r>
        <w:rPr>
          <w:rFonts w:hint="eastAsia"/>
          <w:szCs w:val="21"/>
        </w:rPr>
        <w:t>（</w:t>
      </w:r>
      <w:r>
        <w:rPr>
          <w:szCs w:val="21"/>
        </w:rPr>
        <w:t>4）自初验通过之日起，</w:t>
      </w:r>
      <w:r>
        <w:rPr>
          <w:rFonts w:hint="eastAsia"/>
          <w:szCs w:val="21"/>
          <w:lang w:eastAsia="zh-CN"/>
        </w:rPr>
        <w:t>采购人</w:t>
      </w:r>
      <w:r>
        <w:rPr>
          <w:szCs w:val="21"/>
        </w:rPr>
        <w:t>享有供应商免费提供的</w:t>
      </w:r>
      <w:r>
        <w:rPr>
          <w:rFonts w:hint="eastAsia"/>
          <w:color w:val="FF0000"/>
          <w:szCs w:val="21"/>
          <w:lang w:val="en-US" w:eastAsia="zh-CN"/>
        </w:rPr>
        <w:t>30</w:t>
      </w:r>
      <w:r>
        <w:rPr>
          <w:szCs w:val="21"/>
        </w:rPr>
        <w:t>天的信息系统试运行现场驻场服务期。该期间内，供应商应当按照</w:t>
      </w:r>
      <w:r>
        <w:rPr>
          <w:rFonts w:hint="eastAsia"/>
          <w:szCs w:val="21"/>
          <w:lang w:eastAsia="zh-CN"/>
        </w:rPr>
        <w:t>采购人</w:t>
      </w:r>
      <w:r>
        <w:rPr>
          <w:szCs w:val="21"/>
        </w:rPr>
        <w:t>的要求提供现场技术支持服务，解决信息系统试运行期间可能出现的各类问题，或进一步提高与完善信息系统运行水平。</w:t>
      </w:r>
    </w:p>
    <w:p w14:paraId="604754A8">
      <w:pPr>
        <w:rPr>
          <w:rFonts w:hint="eastAsia"/>
          <w:szCs w:val="21"/>
        </w:rPr>
      </w:pPr>
      <w:r>
        <w:rPr>
          <w:rFonts w:hint="eastAsia"/>
          <w:szCs w:val="21"/>
        </w:rPr>
        <w:t>（</w:t>
      </w:r>
      <w:r>
        <w:rPr>
          <w:szCs w:val="21"/>
        </w:rPr>
        <w:t>5）初验通过且信息系统试运行期已经达到本项目约定的时间，经供应商确认信息系统具备正常运行条件，且信息系统通过运行测试，供应商应以书面形式通知</w:t>
      </w:r>
      <w:r>
        <w:rPr>
          <w:rFonts w:hint="eastAsia"/>
          <w:szCs w:val="21"/>
          <w:lang w:eastAsia="zh-CN"/>
        </w:rPr>
        <w:t>采购人</w:t>
      </w:r>
      <w:r>
        <w:rPr>
          <w:szCs w:val="21"/>
        </w:rPr>
        <w:t>信息系统已准备就绪等待终验。</w:t>
      </w:r>
      <w:r>
        <w:rPr>
          <w:rFonts w:hint="eastAsia"/>
          <w:szCs w:val="21"/>
          <w:lang w:eastAsia="zh-CN"/>
        </w:rPr>
        <w:t>采购人</w:t>
      </w:r>
      <w:r>
        <w:rPr>
          <w:szCs w:val="21"/>
        </w:rPr>
        <w:t>在收到终验通知后的x个工作日内发起组织专家验收会。</w:t>
      </w:r>
    </w:p>
    <w:p w14:paraId="5314C452">
      <w:pPr>
        <w:rPr>
          <w:rFonts w:hint="eastAsia"/>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14:paraId="1D452DF2">
      <w:pPr>
        <w:rPr>
          <w:rFonts w:hint="eastAsia"/>
          <w:szCs w:val="21"/>
        </w:rPr>
      </w:pPr>
      <w:r>
        <w:rPr>
          <w:rFonts w:hint="eastAsia"/>
          <w:szCs w:val="21"/>
        </w:rPr>
        <w:t>（7</w:t>
      </w:r>
      <w:r>
        <w:rPr>
          <w:szCs w:val="21"/>
        </w:rPr>
        <w:t>）如果由于</w:t>
      </w:r>
      <w:r>
        <w:rPr>
          <w:rFonts w:hint="eastAsia"/>
          <w:szCs w:val="21"/>
          <w:lang w:eastAsia="zh-CN"/>
        </w:rPr>
        <w:t>采购人</w:t>
      </w:r>
      <w:r>
        <w:rPr>
          <w:szCs w:val="21"/>
        </w:rPr>
        <w:t>原因导致本项目在终验通过前出现故障或问题，供应商应及时配合排除该方面的故障或问题。</w:t>
      </w:r>
    </w:p>
    <w:p w14:paraId="437C5A1B">
      <w:pPr>
        <w:rPr>
          <w:rFonts w:hint="eastAsia"/>
          <w:szCs w:val="21"/>
        </w:rPr>
      </w:pPr>
      <w:r>
        <w:rPr>
          <w:rFonts w:hint="eastAsia"/>
          <w:szCs w:val="21"/>
        </w:rPr>
        <w:t>（8</w:t>
      </w:r>
      <w:r>
        <w:rPr>
          <w:szCs w:val="21"/>
        </w:rPr>
        <w:t>）如本项目连续3次验收未通过（含初验未通过或终验未通过），</w:t>
      </w:r>
      <w:r>
        <w:rPr>
          <w:rFonts w:hint="eastAsia"/>
          <w:szCs w:val="21"/>
          <w:lang w:eastAsia="zh-CN"/>
        </w:rPr>
        <w:t>采购人</w:t>
      </w:r>
      <w:r>
        <w:rPr>
          <w:szCs w:val="21"/>
        </w:rPr>
        <w:t>有权解除项目，并有权依照本项目约定的违约条款追究供应商的违约责任。</w:t>
      </w:r>
    </w:p>
    <w:p w14:paraId="42F4F073">
      <w:pPr>
        <w:pStyle w:val="3"/>
        <w:rPr>
          <w:rFonts w:hint="eastAsia"/>
        </w:rPr>
      </w:pPr>
      <w:bookmarkStart w:id="38" w:name="_Toc63785509"/>
      <w:r>
        <w:rPr>
          <w:rFonts w:hint="eastAsia"/>
        </w:rPr>
        <w:t>进度要求</w:t>
      </w:r>
      <w:bookmarkEnd w:id="38"/>
    </w:p>
    <w:p w14:paraId="61ECB642">
      <w:pPr>
        <w:rPr>
          <w:rFonts w:hint="eastAsia"/>
        </w:rPr>
      </w:pPr>
      <w:r>
        <w:rPr>
          <w:rFonts w:hint="eastAsia"/>
          <w:lang w:eastAsia="zh-CN"/>
        </w:rPr>
        <w:t>供应商</w:t>
      </w:r>
      <w:r>
        <w:rPr>
          <w:rFonts w:hint="eastAsia"/>
        </w:rPr>
        <w:t>应根据建设内容，分阶段制定合理的时间进度，并且应根据</w:t>
      </w:r>
      <w:r>
        <w:rPr>
          <w:rFonts w:hint="eastAsia"/>
          <w:lang w:eastAsia="zh-CN"/>
        </w:rPr>
        <w:t>采购人</w:t>
      </w:r>
      <w:r>
        <w:rPr>
          <w:rFonts w:hint="eastAsia"/>
        </w:rPr>
        <w:t>要求进行调整和细化。</w:t>
      </w:r>
    </w:p>
    <w:p w14:paraId="2D098542">
      <w:pPr>
        <w:rPr>
          <w:rFonts w:hint="eastAsia"/>
        </w:rPr>
      </w:pPr>
      <w:r>
        <w:rPr>
          <w:rFonts w:hint="eastAsia"/>
          <w:lang w:eastAsia="zh-CN"/>
        </w:rPr>
        <w:t>供应商</w:t>
      </w:r>
      <w:r>
        <w:rPr>
          <w:rFonts w:hint="eastAsia"/>
        </w:rPr>
        <w:t>应根据建设内容，分阶段制定合理的时间进度，并且应根据</w:t>
      </w:r>
      <w:r>
        <w:rPr>
          <w:rFonts w:hint="eastAsia"/>
          <w:lang w:eastAsia="zh-CN"/>
        </w:rPr>
        <w:t>采购人</w:t>
      </w:r>
      <w:r>
        <w:rPr>
          <w:rFonts w:hint="eastAsia"/>
        </w:rPr>
        <w:t>要求进行调整和细化。</w:t>
      </w:r>
    </w:p>
    <w:p w14:paraId="74B073CF">
      <w:pPr>
        <w:rPr>
          <w:rFonts w:hint="eastAsia"/>
        </w:rPr>
      </w:pPr>
      <w:r>
        <w:rPr>
          <w:rFonts w:hint="eastAsia"/>
        </w:rPr>
        <w:t>总建设周期为自合同签订之日起至2026年6月30日全部建设工作，分为4个阶段。</w:t>
      </w:r>
    </w:p>
    <w:p w14:paraId="4DA1E09C">
      <w:pPr>
        <w:rPr>
          <w:rFonts w:hint="eastAsia"/>
        </w:rPr>
      </w:pPr>
      <w:r>
        <w:rPr>
          <w:rFonts w:hint="eastAsia"/>
        </w:rPr>
        <w:t>第一阶段（</w:t>
      </w:r>
      <w:r>
        <w:rPr>
          <w:rFonts w:hint="eastAsia"/>
          <w:lang w:val="en-US" w:eastAsia="zh-CN"/>
        </w:rPr>
        <w:t>30</w:t>
      </w:r>
      <w:r>
        <w:rPr>
          <w:rFonts w:hint="eastAsia"/>
        </w:rPr>
        <w:t>天），合同签订，完成系统设计。</w:t>
      </w:r>
    </w:p>
    <w:p w14:paraId="5D1BE2E0">
      <w:pPr>
        <w:rPr>
          <w:rFonts w:hint="eastAsia"/>
        </w:rPr>
      </w:pPr>
      <w:r>
        <w:rPr>
          <w:rFonts w:hint="eastAsia"/>
        </w:rPr>
        <w:t>第二阶段（</w:t>
      </w:r>
      <w:r>
        <w:rPr>
          <w:rFonts w:hint="eastAsia"/>
          <w:lang w:val="en-US" w:eastAsia="zh-CN"/>
        </w:rPr>
        <w:t>150</w:t>
      </w:r>
      <w:r>
        <w:rPr>
          <w:rFonts w:hint="eastAsia"/>
        </w:rPr>
        <w:t>天），完成系统开发，系统部署。</w:t>
      </w:r>
    </w:p>
    <w:p w14:paraId="3F5AD6F0">
      <w:pPr>
        <w:rPr>
          <w:rFonts w:hint="eastAsia"/>
        </w:rPr>
      </w:pPr>
      <w:r>
        <w:rPr>
          <w:rFonts w:hint="eastAsia"/>
        </w:rPr>
        <w:t>第三阶段（</w:t>
      </w:r>
      <w:r>
        <w:rPr>
          <w:rFonts w:hint="eastAsia"/>
          <w:lang w:val="en-US" w:eastAsia="zh-CN"/>
        </w:rPr>
        <w:t>30</w:t>
      </w:r>
      <w:r>
        <w:rPr>
          <w:rFonts w:hint="eastAsia"/>
        </w:rPr>
        <w:t>天），系统测试，系统试运行。</w:t>
      </w:r>
    </w:p>
    <w:p w14:paraId="013CF566">
      <w:pPr>
        <w:rPr>
          <w:rFonts w:hint="eastAsia"/>
        </w:rPr>
      </w:pPr>
      <w:r>
        <w:rPr>
          <w:rFonts w:hint="eastAsia"/>
        </w:rPr>
        <w:t>第四阶段（2026年6月30日前），试运行完成后，完成验收。</w:t>
      </w:r>
    </w:p>
    <w:p w14:paraId="4EBC38BF">
      <w:pPr>
        <w:pStyle w:val="3"/>
        <w:rPr>
          <w:rFonts w:hint="eastAsia"/>
        </w:rPr>
      </w:pPr>
      <w:bookmarkStart w:id="39" w:name="_Toc63785510"/>
      <w:r>
        <w:rPr>
          <w:rFonts w:hint="eastAsia"/>
        </w:rPr>
        <w:t>项目团队及驻场人员要求</w:t>
      </w:r>
      <w:bookmarkEnd w:id="39"/>
    </w:p>
    <w:p w14:paraId="59DF2640">
      <w:pPr>
        <w:rPr>
          <w:rFonts w:hint="eastAsia"/>
        </w:rPr>
      </w:pPr>
      <w:r>
        <w:t>1）</w:t>
      </w:r>
      <w:r>
        <w:rPr>
          <w:rFonts w:hint="eastAsia"/>
          <w:lang w:eastAsia="zh-CN"/>
        </w:rPr>
        <w:t>供应商需</w:t>
      </w:r>
      <w:r>
        <w:t>具有稳定的在职技术保障力量，能够提供及时的技术支援或服务，应针对本项目提供不少于</w:t>
      </w:r>
      <w:r>
        <w:rPr>
          <w:rFonts w:hint="eastAsia"/>
        </w:rPr>
        <w:t>10</w:t>
      </w:r>
      <w:r>
        <w:t>人的项目服务团队（包括项目经理、产品经理、技术负责人、研发等），</w:t>
      </w:r>
      <w:r>
        <w:rPr>
          <w:rFonts w:hint="eastAsia"/>
          <w:lang w:eastAsia="zh-CN"/>
        </w:rPr>
        <w:t>供应商</w:t>
      </w:r>
      <w:r>
        <w:t>的相关服务人员需具备相应的服务能力，需提供相关证明。</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2656"/>
        <w:gridCol w:w="1501"/>
        <w:gridCol w:w="2371"/>
        <w:gridCol w:w="1199"/>
      </w:tblGrid>
      <w:tr w14:paraId="3F27B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01" w:type="dxa"/>
            <w:vAlign w:val="center"/>
          </w:tcPr>
          <w:p w14:paraId="3EFC5DEC">
            <w:pPr>
              <w:widowControl/>
              <w:spacing w:line="240" w:lineRule="auto"/>
              <w:ind w:firstLine="0" w:firstLineChars="0"/>
              <w:jc w:val="center"/>
              <w:rPr>
                <w:rFonts w:hint="eastAsia"/>
                <w:b/>
                <w:sz w:val="24"/>
                <w:szCs w:val="24"/>
              </w:rPr>
            </w:pPr>
            <w:r>
              <w:rPr>
                <w:rFonts w:hint="eastAsia"/>
                <w:b/>
                <w:sz w:val="24"/>
                <w:szCs w:val="24"/>
              </w:rPr>
              <w:t>角色</w:t>
            </w:r>
          </w:p>
        </w:tc>
        <w:tc>
          <w:tcPr>
            <w:tcW w:w="2656" w:type="dxa"/>
            <w:vAlign w:val="center"/>
          </w:tcPr>
          <w:p w14:paraId="02127AF2">
            <w:pPr>
              <w:widowControl/>
              <w:spacing w:line="240" w:lineRule="auto"/>
              <w:ind w:firstLine="0" w:firstLineChars="0"/>
              <w:jc w:val="center"/>
              <w:rPr>
                <w:rFonts w:hint="eastAsia"/>
                <w:b/>
                <w:sz w:val="24"/>
                <w:szCs w:val="24"/>
              </w:rPr>
            </w:pPr>
            <w:r>
              <w:rPr>
                <w:rFonts w:hint="eastAsia"/>
                <w:b/>
                <w:sz w:val="24"/>
                <w:szCs w:val="24"/>
              </w:rPr>
              <w:t>主要职责</w:t>
            </w:r>
          </w:p>
        </w:tc>
        <w:tc>
          <w:tcPr>
            <w:tcW w:w="1501" w:type="dxa"/>
            <w:vAlign w:val="center"/>
          </w:tcPr>
          <w:p w14:paraId="4005959B">
            <w:pPr>
              <w:widowControl/>
              <w:spacing w:line="240" w:lineRule="auto"/>
              <w:ind w:firstLine="0" w:firstLineChars="0"/>
              <w:jc w:val="center"/>
              <w:rPr>
                <w:rFonts w:hint="eastAsia"/>
                <w:b/>
                <w:sz w:val="24"/>
                <w:szCs w:val="24"/>
              </w:rPr>
            </w:pPr>
            <w:r>
              <w:rPr>
                <w:rFonts w:hint="eastAsia"/>
                <w:b/>
                <w:sz w:val="24"/>
                <w:szCs w:val="24"/>
              </w:rPr>
              <w:t>人员数量</w:t>
            </w:r>
          </w:p>
        </w:tc>
        <w:tc>
          <w:tcPr>
            <w:tcW w:w="2371" w:type="dxa"/>
            <w:vAlign w:val="center"/>
          </w:tcPr>
          <w:p w14:paraId="7EF66DC5">
            <w:pPr>
              <w:widowControl/>
              <w:spacing w:line="240" w:lineRule="auto"/>
              <w:ind w:firstLine="0" w:firstLineChars="0"/>
              <w:jc w:val="center"/>
              <w:rPr>
                <w:rFonts w:hint="eastAsia"/>
                <w:b/>
                <w:sz w:val="24"/>
                <w:szCs w:val="24"/>
              </w:rPr>
            </w:pPr>
            <w:r>
              <w:rPr>
                <w:rFonts w:hint="eastAsia"/>
                <w:b/>
                <w:sz w:val="24"/>
                <w:szCs w:val="24"/>
              </w:rPr>
              <w:t>人员要求</w:t>
            </w:r>
          </w:p>
        </w:tc>
        <w:tc>
          <w:tcPr>
            <w:tcW w:w="1199" w:type="dxa"/>
            <w:vAlign w:val="center"/>
          </w:tcPr>
          <w:p w14:paraId="314DBCE9">
            <w:pPr>
              <w:widowControl/>
              <w:spacing w:line="240" w:lineRule="auto"/>
              <w:ind w:firstLine="0" w:firstLineChars="0"/>
              <w:jc w:val="center"/>
              <w:rPr>
                <w:rFonts w:hint="eastAsia"/>
                <w:b/>
                <w:sz w:val="24"/>
                <w:szCs w:val="24"/>
              </w:rPr>
            </w:pPr>
            <w:r>
              <w:rPr>
                <w:rFonts w:hint="eastAsia"/>
                <w:b/>
                <w:sz w:val="24"/>
                <w:szCs w:val="24"/>
              </w:rPr>
              <w:t>驻场要求</w:t>
            </w:r>
          </w:p>
        </w:tc>
      </w:tr>
      <w:tr w14:paraId="480C8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01" w:type="dxa"/>
            <w:vAlign w:val="center"/>
          </w:tcPr>
          <w:p w14:paraId="27A6F05D">
            <w:pPr>
              <w:ind w:left="0" w:leftChars="0" w:firstLine="0" w:firstLineChars="0"/>
              <w:rPr>
                <w:rFonts w:hint="eastAsia"/>
              </w:rPr>
            </w:pPr>
            <w:r>
              <w:rPr>
                <w:rFonts w:hint="eastAsia"/>
              </w:rPr>
              <w:t>项目负责人</w:t>
            </w:r>
          </w:p>
        </w:tc>
        <w:tc>
          <w:tcPr>
            <w:tcW w:w="2656" w:type="dxa"/>
            <w:vAlign w:val="center"/>
          </w:tcPr>
          <w:p w14:paraId="30598136">
            <w:pPr>
              <w:ind w:left="0" w:leftChars="0" w:firstLine="0" w:firstLineChars="0"/>
              <w:rPr>
                <w:rFonts w:hint="eastAsia"/>
              </w:rPr>
            </w:pPr>
            <w:r>
              <w:rPr>
                <w:rFonts w:hint="eastAsia"/>
              </w:rPr>
              <w:t>负责对项目实行质量、安全、进度、成本管理等</w:t>
            </w:r>
          </w:p>
        </w:tc>
        <w:tc>
          <w:tcPr>
            <w:tcW w:w="1501" w:type="dxa"/>
            <w:vAlign w:val="center"/>
          </w:tcPr>
          <w:p w14:paraId="7D007B72">
            <w:pPr>
              <w:ind w:left="0" w:leftChars="0" w:firstLine="0" w:firstLineChars="0"/>
              <w:rPr>
                <w:rFonts w:hint="eastAsia"/>
              </w:rPr>
            </w:pPr>
            <w:r>
              <w:rPr>
                <w:rFonts w:hint="eastAsia"/>
              </w:rPr>
              <w:t>1人</w:t>
            </w:r>
          </w:p>
        </w:tc>
        <w:tc>
          <w:tcPr>
            <w:tcW w:w="2371" w:type="dxa"/>
            <w:vAlign w:val="center"/>
          </w:tcPr>
          <w:p w14:paraId="461882C0">
            <w:pPr>
              <w:ind w:left="0" w:leftChars="0" w:firstLine="0" w:firstLineChars="0"/>
              <w:rPr>
                <w:rFonts w:hint="eastAsia" w:eastAsia="宋体"/>
                <w:lang w:eastAsia="zh-CN"/>
              </w:rPr>
            </w:pPr>
            <w:r>
              <w:rPr>
                <w:rFonts w:hint="eastAsia"/>
              </w:rPr>
              <w:t>具有信息系统项目管理师证书</w:t>
            </w:r>
            <w:r>
              <w:rPr>
                <w:rFonts w:hint="eastAsia"/>
                <w:lang w:eastAsia="zh-CN"/>
              </w:rPr>
              <w:t>、</w:t>
            </w:r>
            <w:r>
              <w:rPr>
                <w:rFonts w:hint="eastAsia"/>
              </w:rPr>
              <w:t>注册信息安全专业人员证书（CISP）</w:t>
            </w:r>
            <w:r>
              <w:rPr>
                <w:rFonts w:hint="eastAsia"/>
                <w:lang w:eastAsia="zh-CN"/>
              </w:rPr>
              <w:t>、</w:t>
            </w:r>
            <w:r>
              <w:rPr>
                <w:rFonts w:hint="eastAsia"/>
              </w:rPr>
              <w:t>信息安全保障人员认证证书（CISAW）</w:t>
            </w:r>
            <w:r>
              <w:rPr>
                <w:rFonts w:hint="eastAsia"/>
                <w:lang w:eastAsia="zh-CN"/>
              </w:rPr>
              <w:t>；专科及以上学历，三年以上类似项目合作经验</w:t>
            </w:r>
          </w:p>
        </w:tc>
        <w:tc>
          <w:tcPr>
            <w:tcW w:w="1199" w:type="dxa"/>
            <w:vAlign w:val="center"/>
          </w:tcPr>
          <w:p w14:paraId="3B7D9F28">
            <w:pPr>
              <w:ind w:left="0" w:leftChars="0" w:firstLine="0" w:firstLineChars="0"/>
              <w:rPr>
                <w:rFonts w:hint="eastAsia"/>
              </w:rPr>
            </w:pPr>
            <w:r>
              <w:rPr>
                <w:rFonts w:hint="eastAsia"/>
              </w:rPr>
              <w:t>驻场</w:t>
            </w:r>
          </w:p>
        </w:tc>
      </w:tr>
      <w:tr w14:paraId="77C57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01" w:type="dxa"/>
            <w:vAlign w:val="center"/>
          </w:tcPr>
          <w:p w14:paraId="51611DE3">
            <w:pPr>
              <w:ind w:left="0" w:leftChars="0" w:firstLine="0" w:firstLineChars="0"/>
              <w:rPr>
                <w:rFonts w:hint="eastAsia"/>
              </w:rPr>
            </w:pPr>
            <w:r>
              <w:rPr>
                <w:rFonts w:hint="eastAsia"/>
              </w:rPr>
              <w:t>技术负责人</w:t>
            </w:r>
          </w:p>
        </w:tc>
        <w:tc>
          <w:tcPr>
            <w:tcW w:w="2656" w:type="dxa"/>
            <w:vAlign w:val="center"/>
          </w:tcPr>
          <w:p w14:paraId="269EFB4F">
            <w:pPr>
              <w:ind w:left="0" w:leftChars="0" w:firstLine="0" w:firstLineChars="0"/>
              <w:rPr>
                <w:rFonts w:hint="eastAsia"/>
              </w:rPr>
            </w:pPr>
            <w:r>
              <w:rPr>
                <w:rFonts w:hint="eastAsia"/>
              </w:rPr>
              <w:t>负责对项目整体技术架构规划设计</w:t>
            </w:r>
          </w:p>
        </w:tc>
        <w:tc>
          <w:tcPr>
            <w:tcW w:w="1501" w:type="dxa"/>
            <w:vAlign w:val="center"/>
          </w:tcPr>
          <w:p w14:paraId="6D3A5E61">
            <w:pPr>
              <w:ind w:left="0" w:leftChars="0" w:firstLine="0" w:firstLineChars="0"/>
              <w:rPr>
                <w:rFonts w:hint="eastAsia"/>
              </w:rPr>
            </w:pPr>
            <w:r>
              <w:rPr>
                <w:rFonts w:hint="eastAsia"/>
              </w:rPr>
              <w:t>1人</w:t>
            </w:r>
          </w:p>
        </w:tc>
        <w:tc>
          <w:tcPr>
            <w:tcW w:w="2371" w:type="dxa"/>
            <w:vAlign w:val="center"/>
          </w:tcPr>
          <w:p w14:paraId="65C24F42">
            <w:pPr>
              <w:ind w:left="0" w:leftChars="0" w:firstLine="0" w:firstLineChars="0"/>
              <w:rPr>
                <w:rFonts w:hint="eastAsia"/>
              </w:rPr>
            </w:pPr>
            <w:r>
              <w:rPr>
                <w:rFonts w:hint="eastAsia"/>
              </w:rPr>
              <w:t>通信工程类高级工程师职称</w:t>
            </w:r>
            <w:r>
              <w:rPr>
                <w:rFonts w:hint="eastAsia"/>
                <w:lang w:eastAsia="zh-CN"/>
              </w:rPr>
              <w:t>，</w:t>
            </w:r>
            <w:r>
              <w:rPr>
                <w:rFonts w:hint="eastAsia"/>
              </w:rPr>
              <w:t>网络规划设计师证书</w:t>
            </w:r>
            <w:r>
              <w:rPr>
                <w:rFonts w:hint="eastAsia"/>
                <w:lang w:eastAsia="zh-CN"/>
              </w:rPr>
              <w:t>、</w:t>
            </w:r>
            <w:r>
              <w:rPr>
                <w:rFonts w:hint="eastAsia"/>
              </w:rPr>
              <w:t>信息安全保障人员认证证书</w:t>
            </w:r>
            <w:r>
              <w:rPr>
                <w:rFonts w:hint="eastAsia"/>
                <w:lang w:eastAsia="zh-CN"/>
              </w:rPr>
              <w:t>；</w:t>
            </w:r>
            <w:r>
              <w:rPr>
                <w:rFonts w:hint="eastAsia"/>
              </w:rPr>
              <w:t>专科及以上学历，三年以上类似项目合作经验</w:t>
            </w:r>
          </w:p>
        </w:tc>
        <w:tc>
          <w:tcPr>
            <w:tcW w:w="1199" w:type="dxa"/>
            <w:vAlign w:val="center"/>
          </w:tcPr>
          <w:p w14:paraId="69E89B9A">
            <w:pPr>
              <w:ind w:left="0" w:leftChars="0" w:firstLine="0" w:firstLineChars="0"/>
              <w:rPr>
                <w:rFonts w:hint="eastAsia"/>
              </w:rPr>
            </w:pPr>
            <w:r>
              <w:rPr>
                <w:rFonts w:hint="eastAsia"/>
              </w:rPr>
              <w:t>驻场</w:t>
            </w:r>
          </w:p>
        </w:tc>
      </w:tr>
      <w:tr w14:paraId="052B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01" w:type="dxa"/>
            <w:vAlign w:val="center"/>
          </w:tcPr>
          <w:p w14:paraId="0C57511E">
            <w:pPr>
              <w:ind w:left="0" w:leftChars="0" w:firstLine="0" w:firstLineChars="0"/>
              <w:rPr>
                <w:rFonts w:hint="eastAsia"/>
              </w:rPr>
            </w:pPr>
            <w:r>
              <w:rPr>
                <w:rFonts w:hint="eastAsia"/>
              </w:rPr>
              <w:t>商务经理</w:t>
            </w:r>
          </w:p>
        </w:tc>
        <w:tc>
          <w:tcPr>
            <w:tcW w:w="2656" w:type="dxa"/>
            <w:vAlign w:val="center"/>
          </w:tcPr>
          <w:p w14:paraId="62576F47">
            <w:pPr>
              <w:ind w:left="0" w:leftChars="0" w:firstLine="0" w:firstLineChars="0"/>
              <w:rPr>
                <w:rFonts w:hint="eastAsia"/>
              </w:rPr>
            </w:pPr>
            <w:r>
              <w:rPr>
                <w:rFonts w:hint="eastAsia"/>
              </w:rPr>
              <w:t>负责与招标单位进行商务对接，发现合作中的问题并提出解决建议</w:t>
            </w:r>
          </w:p>
        </w:tc>
        <w:tc>
          <w:tcPr>
            <w:tcW w:w="1501" w:type="dxa"/>
            <w:vAlign w:val="center"/>
          </w:tcPr>
          <w:p w14:paraId="0FC5A1C0">
            <w:pPr>
              <w:ind w:left="0" w:leftChars="0" w:firstLine="0" w:firstLineChars="0"/>
              <w:rPr>
                <w:rFonts w:hint="eastAsia"/>
              </w:rPr>
            </w:pPr>
            <w:r>
              <w:rPr>
                <w:rFonts w:hint="eastAsia"/>
              </w:rPr>
              <w:t>1人</w:t>
            </w:r>
          </w:p>
        </w:tc>
        <w:tc>
          <w:tcPr>
            <w:tcW w:w="2371" w:type="dxa"/>
            <w:vAlign w:val="center"/>
          </w:tcPr>
          <w:p w14:paraId="76ACF625">
            <w:pPr>
              <w:ind w:left="0" w:leftChars="0" w:firstLine="0" w:firstLineChars="0"/>
              <w:rPr>
                <w:rFonts w:hint="eastAsia"/>
              </w:rPr>
            </w:pPr>
            <w:r>
              <w:rPr>
                <w:rFonts w:hint="eastAsia"/>
              </w:rPr>
              <w:t>专科及以上学历，三年以上类似项目合作经验</w:t>
            </w:r>
          </w:p>
        </w:tc>
        <w:tc>
          <w:tcPr>
            <w:tcW w:w="1199" w:type="dxa"/>
            <w:vAlign w:val="center"/>
          </w:tcPr>
          <w:p w14:paraId="0D91DF83">
            <w:pPr>
              <w:ind w:left="0" w:leftChars="0" w:firstLine="0" w:firstLineChars="0"/>
              <w:rPr>
                <w:rFonts w:hint="eastAsia"/>
              </w:rPr>
            </w:pPr>
            <w:r>
              <w:rPr>
                <w:rFonts w:hint="eastAsia"/>
              </w:rPr>
              <w:t>不驻场</w:t>
            </w:r>
          </w:p>
        </w:tc>
      </w:tr>
      <w:tr w14:paraId="1575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01" w:type="dxa"/>
            <w:vAlign w:val="center"/>
          </w:tcPr>
          <w:p w14:paraId="1E107F2F">
            <w:pPr>
              <w:ind w:left="0" w:leftChars="0" w:firstLine="0" w:firstLineChars="0"/>
              <w:rPr>
                <w:rFonts w:hint="eastAsia"/>
              </w:rPr>
            </w:pPr>
            <w:r>
              <w:rPr>
                <w:rFonts w:hint="eastAsia"/>
              </w:rPr>
              <w:t>软件开发人员</w:t>
            </w:r>
          </w:p>
        </w:tc>
        <w:tc>
          <w:tcPr>
            <w:tcW w:w="2656" w:type="dxa"/>
            <w:vAlign w:val="center"/>
          </w:tcPr>
          <w:p w14:paraId="6317FF45">
            <w:pPr>
              <w:ind w:left="0" w:leftChars="0" w:firstLine="0" w:firstLineChars="0"/>
              <w:rPr>
                <w:rFonts w:hint="eastAsia"/>
              </w:rPr>
            </w:pPr>
            <w:r>
              <w:rPr>
                <w:rFonts w:hint="eastAsia"/>
              </w:rPr>
              <w:t>负责根据用户要求，进行需求分析、设计、实现和测试等工作</w:t>
            </w:r>
          </w:p>
        </w:tc>
        <w:tc>
          <w:tcPr>
            <w:tcW w:w="1501" w:type="dxa"/>
            <w:vAlign w:val="center"/>
          </w:tcPr>
          <w:p w14:paraId="4A4663E4">
            <w:pPr>
              <w:ind w:left="0" w:leftChars="0" w:firstLine="0" w:firstLineChars="0"/>
              <w:rPr>
                <w:rFonts w:hint="eastAsia"/>
              </w:rPr>
            </w:pPr>
            <w:r>
              <w:rPr>
                <w:rFonts w:hint="eastAsia"/>
              </w:rPr>
              <w:t>3人</w:t>
            </w:r>
          </w:p>
        </w:tc>
        <w:tc>
          <w:tcPr>
            <w:tcW w:w="2371" w:type="dxa"/>
            <w:vAlign w:val="center"/>
          </w:tcPr>
          <w:p w14:paraId="1C8BD982">
            <w:pPr>
              <w:ind w:left="0" w:leftChars="0" w:firstLine="0" w:firstLineChars="0"/>
              <w:rPr>
                <w:rFonts w:hint="eastAsia"/>
              </w:rPr>
            </w:pPr>
            <w:r>
              <w:rPr>
                <w:rFonts w:hint="eastAsia"/>
              </w:rPr>
              <w:t>专科及以上学历，三年以上类似项目合作经验</w:t>
            </w:r>
          </w:p>
        </w:tc>
        <w:tc>
          <w:tcPr>
            <w:tcW w:w="1199" w:type="dxa"/>
            <w:vAlign w:val="center"/>
          </w:tcPr>
          <w:p w14:paraId="085523BA">
            <w:pPr>
              <w:ind w:left="0" w:leftChars="0" w:firstLine="0" w:firstLineChars="0"/>
              <w:rPr>
                <w:rFonts w:hint="eastAsia"/>
              </w:rPr>
            </w:pPr>
            <w:r>
              <w:rPr>
                <w:rFonts w:hint="eastAsia"/>
              </w:rPr>
              <w:t>不驻场</w:t>
            </w:r>
          </w:p>
        </w:tc>
      </w:tr>
      <w:tr w14:paraId="7EDEF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01" w:type="dxa"/>
            <w:vAlign w:val="center"/>
          </w:tcPr>
          <w:p w14:paraId="2A678BE0">
            <w:pPr>
              <w:ind w:left="0" w:leftChars="0" w:firstLine="0" w:firstLineChars="0"/>
              <w:rPr>
                <w:rFonts w:hint="eastAsia"/>
              </w:rPr>
            </w:pPr>
            <w:r>
              <w:rPr>
                <w:rFonts w:hint="eastAsia"/>
              </w:rPr>
              <w:t>技术支持人员</w:t>
            </w:r>
          </w:p>
        </w:tc>
        <w:tc>
          <w:tcPr>
            <w:tcW w:w="2656" w:type="dxa"/>
            <w:vAlign w:val="center"/>
          </w:tcPr>
          <w:p w14:paraId="750F9F9B">
            <w:pPr>
              <w:ind w:left="0" w:leftChars="0" w:firstLine="0" w:firstLineChars="0"/>
              <w:rPr>
                <w:rFonts w:hint="eastAsia"/>
              </w:rPr>
            </w:pPr>
            <w:r>
              <w:rPr>
                <w:rFonts w:hint="eastAsia"/>
              </w:rPr>
              <w:t>负责为本项目相关系统提供售后服务，帮助用户诊断并解决其在使用系统过程中出现的有明显症状的，可能由系统导致的技术问题</w:t>
            </w:r>
          </w:p>
        </w:tc>
        <w:tc>
          <w:tcPr>
            <w:tcW w:w="1501" w:type="dxa"/>
            <w:vAlign w:val="center"/>
          </w:tcPr>
          <w:p w14:paraId="0856C170">
            <w:pPr>
              <w:ind w:left="0" w:leftChars="0" w:firstLine="0" w:firstLineChars="0"/>
              <w:rPr>
                <w:rFonts w:hint="eastAsia"/>
              </w:rPr>
            </w:pPr>
            <w:r>
              <w:rPr>
                <w:rFonts w:hint="eastAsia"/>
              </w:rPr>
              <w:t>4人</w:t>
            </w:r>
          </w:p>
        </w:tc>
        <w:tc>
          <w:tcPr>
            <w:tcW w:w="2371" w:type="dxa"/>
            <w:vAlign w:val="center"/>
          </w:tcPr>
          <w:p w14:paraId="3943E680">
            <w:pPr>
              <w:ind w:left="0" w:leftChars="0" w:firstLine="0" w:firstLineChars="0"/>
              <w:rPr>
                <w:rFonts w:hint="eastAsia"/>
              </w:rPr>
            </w:pPr>
            <w:r>
              <w:rPr>
                <w:rFonts w:hint="eastAsia"/>
              </w:rPr>
              <w:t>专科及以上学历，三年以上类似项目合作经验</w:t>
            </w:r>
          </w:p>
        </w:tc>
        <w:tc>
          <w:tcPr>
            <w:tcW w:w="1199" w:type="dxa"/>
            <w:vAlign w:val="center"/>
          </w:tcPr>
          <w:p w14:paraId="25FDE5E9">
            <w:pPr>
              <w:ind w:left="0" w:leftChars="0" w:firstLine="0" w:firstLineChars="0"/>
              <w:rPr>
                <w:rFonts w:hint="eastAsia"/>
              </w:rPr>
            </w:pPr>
            <w:r>
              <w:rPr>
                <w:rFonts w:hint="eastAsia"/>
              </w:rPr>
              <w:t>不驻场</w:t>
            </w:r>
          </w:p>
        </w:tc>
      </w:tr>
    </w:tbl>
    <w:p w14:paraId="0FAA7292">
      <w:pPr>
        <w:rPr>
          <w:rFonts w:hint="eastAsia"/>
        </w:rPr>
      </w:pPr>
      <w:r>
        <w:rPr>
          <w:rFonts w:hint="eastAsia"/>
        </w:rPr>
        <w:t>提供</w:t>
      </w:r>
      <w:r>
        <w:rPr>
          <w:rFonts w:hint="eastAsia"/>
          <w:lang w:eastAsia="zh-CN"/>
        </w:rPr>
        <w:t>供应商</w:t>
      </w:r>
      <w:r>
        <w:rPr>
          <w:rFonts w:hint="eastAsia"/>
        </w:rPr>
        <w:t>为以上技术人员依法缴纳社保费的证明。</w:t>
      </w:r>
    </w:p>
    <w:p w14:paraId="09AE5A59">
      <w:pPr>
        <w:rPr>
          <w:rFonts w:hint="eastAsia"/>
        </w:rPr>
      </w:pPr>
      <w:r>
        <w:rPr>
          <w:rFonts w:hint="eastAsia"/>
          <w:lang w:eastAsia="zh-CN"/>
        </w:rPr>
        <w:t>供应商</w:t>
      </w:r>
      <w:r>
        <w:rPr>
          <w:rFonts w:hint="eastAsia"/>
        </w:rPr>
        <w:t>应保证，在本项目建设期间，应保持持续稳定的人力投入。其中应承诺项目实施期间项目主要负责人（项目负责人、技术负责人）90%以上时间在本项目现场。组织或参与项目例会、项目协调会等项目相关会议。</w:t>
      </w:r>
    </w:p>
    <w:p w14:paraId="6D78916E">
      <w:pPr>
        <w:rPr>
          <w:rFonts w:hint="eastAsia"/>
        </w:rPr>
      </w:pPr>
      <w:r>
        <w:rPr>
          <w:rFonts w:hint="eastAsia"/>
        </w:rPr>
        <w:t>指定一名项目经理和客户经理建立与招标单位对口联系。</w:t>
      </w:r>
    </w:p>
    <w:p w14:paraId="6EDBD1F1">
      <w:pPr>
        <w:rPr>
          <w:rFonts w:hint="eastAsia"/>
        </w:rPr>
      </w:pPr>
      <w:r>
        <w:rPr>
          <w:rFonts w:hint="eastAsia"/>
        </w:rPr>
        <w:t>项目在初验前，项目负责人不能撤离，在初验后根据需要有专业的维护团队在岗。</w:t>
      </w:r>
    </w:p>
    <w:p w14:paraId="7A2190B5">
      <w:pPr>
        <w:rPr>
          <w:rFonts w:hint="eastAsia"/>
        </w:rPr>
      </w:pPr>
      <w:r>
        <w:rPr>
          <w:rFonts w:hint="eastAsia"/>
          <w:lang w:eastAsia="zh-CN"/>
        </w:rPr>
        <w:t>供应商</w:t>
      </w:r>
      <w:r>
        <w:rPr>
          <w:rFonts w:hint="eastAsia"/>
        </w:rPr>
        <w:t>应提供整体的项目系统集成、设备安装及实施管理方案。</w:t>
      </w:r>
    </w:p>
    <w:p w14:paraId="2023F0BB">
      <w:pPr>
        <w:rPr>
          <w:rFonts w:hint="eastAsia"/>
        </w:rPr>
      </w:pPr>
      <w:r>
        <w:t>2）</w:t>
      </w:r>
      <w:r>
        <w:rPr>
          <w:rFonts w:hint="eastAsia"/>
          <w:lang w:eastAsia="zh-CN"/>
        </w:rPr>
        <w:t>供应商</w:t>
      </w:r>
      <w:r>
        <w:t>应针对本项目提供不少于</w:t>
      </w:r>
      <w:r>
        <w:rPr>
          <w:rFonts w:hint="eastAsia"/>
        </w:rPr>
        <w:t>4</w:t>
      </w:r>
      <w:r>
        <w:t>人的质保期间支撑团队（其中</w:t>
      </w:r>
      <w:r>
        <w:rPr>
          <w:rFonts w:hint="eastAsia"/>
        </w:rPr>
        <w:t>项目</w:t>
      </w:r>
      <w:r>
        <w:t>经理</w:t>
      </w:r>
      <w:r>
        <w:rPr>
          <w:rFonts w:hint="eastAsia"/>
        </w:rPr>
        <w:t>1</w:t>
      </w:r>
      <w:r>
        <w:t>人，产品经理</w:t>
      </w:r>
      <w:r>
        <w:rPr>
          <w:rFonts w:hint="eastAsia"/>
        </w:rPr>
        <w:t>1</w:t>
      </w:r>
      <w:r>
        <w:t>人，技术工程师不少于</w:t>
      </w:r>
      <w:r>
        <w:rPr>
          <w:rFonts w:hint="eastAsia"/>
        </w:rPr>
        <w:t>2</w:t>
      </w:r>
      <w:r>
        <w:t>人）；</w:t>
      </w:r>
      <w:r>
        <w:rPr>
          <w:rFonts w:hint="eastAsia"/>
          <w:lang w:eastAsia="zh-CN"/>
        </w:rPr>
        <w:t>供应商</w:t>
      </w:r>
      <w:r>
        <w:t>的相关服务人员需具备相应的服务能力，需提供相关证明（最近一个季度依法缴纳社保费的证明）。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553"/>
        <w:gridCol w:w="1180"/>
        <w:gridCol w:w="2199"/>
        <w:gridCol w:w="1180"/>
      </w:tblGrid>
      <w:tr w14:paraId="7557B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vAlign w:val="center"/>
          </w:tcPr>
          <w:p w14:paraId="7664F3C2">
            <w:pPr>
              <w:widowControl/>
              <w:spacing w:line="240" w:lineRule="auto"/>
              <w:ind w:firstLine="0" w:firstLineChars="0"/>
              <w:jc w:val="center"/>
              <w:rPr>
                <w:rFonts w:hint="eastAsia"/>
                <w:b/>
              </w:rPr>
            </w:pPr>
            <w:r>
              <w:rPr>
                <w:rFonts w:hint="eastAsia"/>
                <w:b/>
              </w:rPr>
              <w:t>角色</w:t>
            </w:r>
          </w:p>
        </w:tc>
        <w:tc>
          <w:tcPr>
            <w:tcW w:w="2553" w:type="dxa"/>
            <w:vAlign w:val="center"/>
          </w:tcPr>
          <w:p w14:paraId="1B0ABB33">
            <w:pPr>
              <w:widowControl/>
              <w:spacing w:line="240" w:lineRule="auto"/>
              <w:ind w:firstLine="0" w:firstLineChars="0"/>
              <w:jc w:val="center"/>
              <w:rPr>
                <w:rFonts w:hint="eastAsia"/>
                <w:b/>
              </w:rPr>
            </w:pPr>
            <w:r>
              <w:rPr>
                <w:rFonts w:hint="eastAsia"/>
                <w:b/>
              </w:rPr>
              <w:t>主要职责</w:t>
            </w:r>
          </w:p>
        </w:tc>
        <w:tc>
          <w:tcPr>
            <w:tcW w:w="1180" w:type="dxa"/>
            <w:vAlign w:val="center"/>
          </w:tcPr>
          <w:p w14:paraId="383529B6">
            <w:pPr>
              <w:widowControl/>
              <w:spacing w:line="240" w:lineRule="auto"/>
              <w:ind w:firstLine="0" w:firstLineChars="0"/>
              <w:jc w:val="center"/>
              <w:rPr>
                <w:rFonts w:hint="eastAsia"/>
                <w:b/>
              </w:rPr>
            </w:pPr>
            <w:r>
              <w:rPr>
                <w:rFonts w:hint="eastAsia"/>
                <w:b/>
              </w:rPr>
              <w:t>人员数量</w:t>
            </w:r>
          </w:p>
        </w:tc>
        <w:tc>
          <w:tcPr>
            <w:tcW w:w="2199" w:type="dxa"/>
            <w:vAlign w:val="center"/>
          </w:tcPr>
          <w:p w14:paraId="555931DC">
            <w:pPr>
              <w:widowControl/>
              <w:spacing w:line="240" w:lineRule="auto"/>
              <w:ind w:firstLine="0" w:firstLineChars="0"/>
              <w:jc w:val="center"/>
              <w:rPr>
                <w:rFonts w:hint="eastAsia"/>
                <w:b/>
              </w:rPr>
            </w:pPr>
            <w:r>
              <w:rPr>
                <w:rFonts w:hint="eastAsia"/>
                <w:b/>
              </w:rPr>
              <w:t>人员要求</w:t>
            </w:r>
          </w:p>
        </w:tc>
        <w:tc>
          <w:tcPr>
            <w:tcW w:w="1180" w:type="dxa"/>
            <w:vAlign w:val="center"/>
          </w:tcPr>
          <w:p w14:paraId="6CBE472A">
            <w:pPr>
              <w:widowControl/>
              <w:spacing w:line="240" w:lineRule="auto"/>
              <w:ind w:firstLine="0" w:firstLineChars="0"/>
              <w:jc w:val="center"/>
              <w:rPr>
                <w:rFonts w:hint="eastAsia"/>
                <w:b/>
              </w:rPr>
            </w:pPr>
            <w:r>
              <w:rPr>
                <w:rFonts w:hint="eastAsia"/>
                <w:b/>
              </w:rPr>
              <w:t>驻场要求</w:t>
            </w:r>
          </w:p>
        </w:tc>
      </w:tr>
      <w:tr w14:paraId="6884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vAlign w:val="center"/>
          </w:tcPr>
          <w:p w14:paraId="20F8A5E3">
            <w:pPr>
              <w:ind w:left="0" w:leftChars="0" w:firstLine="0" w:firstLineChars="0"/>
              <w:rPr>
                <w:rFonts w:hint="eastAsia"/>
              </w:rPr>
            </w:pPr>
            <w:r>
              <w:rPr>
                <w:rFonts w:hint="eastAsia"/>
              </w:rPr>
              <w:t>项目经理</w:t>
            </w:r>
          </w:p>
        </w:tc>
        <w:tc>
          <w:tcPr>
            <w:tcW w:w="2553" w:type="dxa"/>
            <w:vAlign w:val="center"/>
          </w:tcPr>
          <w:p w14:paraId="02AF03B2">
            <w:pPr>
              <w:ind w:left="0" w:leftChars="0" w:firstLine="0" w:firstLineChars="0"/>
              <w:rPr>
                <w:rFonts w:hint="eastAsia"/>
              </w:rPr>
            </w:pPr>
            <w:r>
              <w:rPr>
                <w:rFonts w:hint="eastAsia"/>
              </w:rPr>
              <w:t>负责项目质量和进度控制</w:t>
            </w:r>
          </w:p>
        </w:tc>
        <w:tc>
          <w:tcPr>
            <w:tcW w:w="1180" w:type="dxa"/>
            <w:vAlign w:val="center"/>
          </w:tcPr>
          <w:p w14:paraId="56254B0E">
            <w:pPr>
              <w:ind w:left="0" w:leftChars="0" w:firstLine="0" w:firstLineChars="0"/>
              <w:rPr>
                <w:rFonts w:hint="eastAsia"/>
              </w:rPr>
            </w:pPr>
            <w:r>
              <w:rPr>
                <w:rFonts w:hint="eastAsia"/>
              </w:rPr>
              <w:t>1人</w:t>
            </w:r>
          </w:p>
        </w:tc>
        <w:tc>
          <w:tcPr>
            <w:tcW w:w="2199" w:type="dxa"/>
            <w:vAlign w:val="center"/>
          </w:tcPr>
          <w:p w14:paraId="303AAD6D">
            <w:pPr>
              <w:ind w:left="0" w:leftChars="0" w:firstLine="0" w:firstLineChars="0"/>
              <w:rPr>
                <w:rFonts w:hint="eastAsia"/>
              </w:rPr>
            </w:pPr>
            <w:r>
              <w:rPr>
                <w:rFonts w:hint="eastAsia"/>
              </w:rPr>
              <w:t>具有信息系统项目管理师证书</w:t>
            </w:r>
          </w:p>
        </w:tc>
        <w:tc>
          <w:tcPr>
            <w:tcW w:w="1180" w:type="dxa"/>
            <w:vAlign w:val="center"/>
          </w:tcPr>
          <w:p w14:paraId="56DE2B9B">
            <w:pPr>
              <w:ind w:left="0" w:leftChars="0" w:firstLine="0" w:firstLineChars="0"/>
              <w:rPr>
                <w:rFonts w:hint="eastAsia"/>
              </w:rPr>
            </w:pPr>
            <w:r>
              <w:rPr>
                <w:rFonts w:hint="eastAsia"/>
              </w:rPr>
              <w:t>不驻场</w:t>
            </w:r>
          </w:p>
        </w:tc>
      </w:tr>
      <w:tr w14:paraId="285D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vAlign w:val="center"/>
          </w:tcPr>
          <w:p w14:paraId="31765305">
            <w:pPr>
              <w:ind w:left="0" w:leftChars="0" w:firstLine="0" w:firstLineChars="0"/>
              <w:rPr>
                <w:rFonts w:hint="eastAsia"/>
              </w:rPr>
            </w:pPr>
            <w:r>
              <w:rPr>
                <w:rFonts w:hint="eastAsia"/>
              </w:rPr>
              <w:t>产品经理</w:t>
            </w:r>
          </w:p>
        </w:tc>
        <w:tc>
          <w:tcPr>
            <w:tcW w:w="2553" w:type="dxa"/>
            <w:vAlign w:val="center"/>
          </w:tcPr>
          <w:p w14:paraId="36F655EE">
            <w:pPr>
              <w:ind w:left="0" w:leftChars="0" w:firstLine="0" w:firstLineChars="0"/>
              <w:rPr>
                <w:rFonts w:hint="eastAsia"/>
              </w:rPr>
            </w:pPr>
            <w:r>
              <w:rPr>
                <w:rFonts w:hint="eastAsia"/>
              </w:rPr>
              <w:t>负责项目需求评估与产品设计</w:t>
            </w:r>
          </w:p>
        </w:tc>
        <w:tc>
          <w:tcPr>
            <w:tcW w:w="1180" w:type="dxa"/>
            <w:vAlign w:val="center"/>
          </w:tcPr>
          <w:p w14:paraId="56B64ABA">
            <w:pPr>
              <w:ind w:left="0" w:leftChars="0" w:firstLine="0" w:firstLineChars="0"/>
              <w:rPr>
                <w:rFonts w:hint="eastAsia"/>
              </w:rPr>
            </w:pPr>
            <w:r>
              <w:rPr>
                <w:rFonts w:hint="eastAsia"/>
              </w:rPr>
              <w:t>1人</w:t>
            </w:r>
          </w:p>
        </w:tc>
        <w:tc>
          <w:tcPr>
            <w:tcW w:w="2199" w:type="dxa"/>
            <w:vAlign w:val="center"/>
          </w:tcPr>
          <w:p w14:paraId="44276D69">
            <w:pPr>
              <w:ind w:left="0" w:leftChars="0" w:firstLine="0" w:firstLineChars="0"/>
              <w:rPr>
                <w:rFonts w:hint="eastAsia"/>
              </w:rPr>
            </w:pPr>
            <w:r>
              <w:rPr>
                <w:rFonts w:hint="eastAsia"/>
              </w:rPr>
              <w:t>专科及以上学历，三年以上类似项目合作经验</w:t>
            </w:r>
          </w:p>
        </w:tc>
        <w:tc>
          <w:tcPr>
            <w:tcW w:w="1180" w:type="dxa"/>
            <w:vAlign w:val="center"/>
          </w:tcPr>
          <w:p w14:paraId="38D5C9ED">
            <w:pPr>
              <w:ind w:left="0" w:leftChars="0" w:firstLine="0" w:firstLineChars="0"/>
              <w:rPr>
                <w:rFonts w:hint="eastAsia"/>
              </w:rPr>
            </w:pPr>
            <w:r>
              <w:rPr>
                <w:rFonts w:hint="eastAsia"/>
              </w:rPr>
              <w:t>不驻场</w:t>
            </w:r>
          </w:p>
        </w:tc>
      </w:tr>
      <w:tr w14:paraId="6E2D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vAlign w:val="center"/>
          </w:tcPr>
          <w:p w14:paraId="30E9B2FD">
            <w:pPr>
              <w:ind w:left="0" w:leftChars="0" w:firstLine="0" w:firstLineChars="0"/>
              <w:rPr>
                <w:rFonts w:hint="eastAsia"/>
              </w:rPr>
            </w:pPr>
            <w:r>
              <w:rPr>
                <w:rFonts w:hint="eastAsia"/>
              </w:rPr>
              <w:t>技术工程师</w:t>
            </w:r>
          </w:p>
        </w:tc>
        <w:tc>
          <w:tcPr>
            <w:tcW w:w="2553" w:type="dxa"/>
            <w:vAlign w:val="center"/>
          </w:tcPr>
          <w:p w14:paraId="16B127BC">
            <w:pPr>
              <w:ind w:left="0" w:leftChars="0" w:firstLine="0" w:firstLineChars="0"/>
              <w:rPr>
                <w:rFonts w:hint="eastAsia"/>
              </w:rPr>
            </w:pPr>
            <w:r>
              <w:rPr>
                <w:rFonts w:hint="eastAsia"/>
              </w:rPr>
              <w:t>负责项目运行维护</w:t>
            </w:r>
          </w:p>
        </w:tc>
        <w:tc>
          <w:tcPr>
            <w:tcW w:w="1180" w:type="dxa"/>
            <w:vAlign w:val="center"/>
          </w:tcPr>
          <w:p w14:paraId="792BFEB3">
            <w:pPr>
              <w:ind w:left="0" w:leftChars="0" w:firstLine="0" w:firstLineChars="0"/>
              <w:rPr>
                <w:rFonts w:hint="eastAsia"/>
              </w:rPr>
            </w:pPr>
            <w:r>
              <w:rPr>
                <w:rFonts w:hint="eastAsia"/>
                <w:lang w:val="en-US" w:eastAsia="zh-CN"/>
              </w:rPr>
              <w:t>1</w:t>
            </w:r>
            <w:r>
              <w:rPr>
                <w:rFonts w:hint="eastAsia"/>
              </w:rPr>
              <w:t>人</w:t>
            </w:r>
          </w:p>
        </w:tc>
        <w:tc>
          <w:tcPr>
            <w:tcW w:w="2199" w:type="dxa"/>
            <w:vAlign w:val="center"/>
          </w:tcPr>
          <w:p w14:paraId="234B4D27">
            <w:pPr>
              <w:ind w:left="0" w:leftChars="0" w:firstLine="0" w:firstLineChars="0"/>
              <w:rPr>
                <w:rFonts w:hint="eastAsia"/>
              </w:rPr>
            </w:pPr>
            <w:r>
              <w:rPr>
                <w:rFonts w:hint="eastAsia"/>
              </w:rPr>
              <w:t>专科及以上学历，三年以上类似项目合作经验</w:t>
            </w:r>
          </w:p>
        </w:tc>
        <w:tc>
          <w:tcPr>
            <w:tcW w:w="1180" w:type="dxa"/>
            <w:vAlign w:val="center"/>
          </w:tcPr>
          <w:p w14:paraId="13C83646">
            <w:pPr>
              <w:ind w:left="0" w:leftChars="0" w:firstLine="0" w:firstLineChars="0"/>
              <w:rPr>
                <w:rFonts w:hint="eastAsia"/>
              </w:rPr>
            </w:pPr>
            <w:r>
              <w:rPr>
                <w:rFonts w:hint="eastAsia"/>
              </w:rPr>
              <w:t>驻场</w:t>
            </w:r>
          </w:p>
        </w:tc>
      </w:tr>
      <w:tr w14:paraId="6D8F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vAlign w:val="center"/>
          </w:tcPr>
          <w:p w14:paraId="55F258CA">
            <w:pPr>
              <w:ind w:left="0" w:leftChars="0" w:firstLine="0" w:firstLineChars="0"/>
              <w:rPr>
                <w:rFonts w:hint="eastAsia" w:ascii="宋体" w:hAnsi="宋体" w:eastAsia="宋体" w:cs="Times New Roman"/>
                <w:kern w:val="2"/>
                <w:sz w:val="24"/>
                <w:szCs w:val="24"/>
                <w:lang w:val="en-US" w:eastAsia="zh-CN" w:bidi="ar-SA"/>
              </w:rPr>
            </w:pPr>
            <w:r>
              <w:rPr>
                <w:rFonts w:hint="eastAsia"/>
              </w:rPr>
              <w:t>技术工程师</w:t>
            </w:r>
          </w:p>
        </w:tc>
        <w:tc>
          <w:tcPr>
            <w:tcW w:w="2553" w:type="dxa"/>
            <w:vAlign w:val="center"/>
          </w:tcPr>
          <w:p w14:paraId="063EA645">
            <w:pPr>
              <w:ind w:left="0" w:leftChars="0" w:firstLine="0" w:firstLineChars="0"/>
              <w:rPr>
                <w:rFonts w:hint="eastAsia" w:ascii="宋体" w:hAnsi="宋体" w:eastAsia="宋体" w:cs="Times New Roman"/>
                <w:kern w:val="2"/>
                <w:sz w:val="24"/>
                <w:szCs w:val="24"/>
                <w:lang w:val="en-US" w:eastAsia="zh-CN" w:bidi="ar-SA"/>
              </w:rPr>
            </w:pPr>
            <w:r>
              <w:rPr>
                <w:rFonts w:hint="eastAsia"/>
              </w:rPr>
              <w:t>负责项目运行维护</w:t>
            </w:r>
          </w:p>
        </w:tc>
        <w:tc>
          <w:tcPr>
            <w:tcW w:w="1180" w:type="dxa"/>
            <w:vAlign w:val="center"/>
          </w:tcPr>
          <w:p w14:paraId="3FC97A08">
            <w:pPr>
              <w:ind w:left="0" w:leftChars="0" w:firstLine="0" w:firstLineChars="0"/>
              <w:rPr>
                <w:rFonts w:hint="eastAsia" w:ascii="宋体" w:hAnsi="宋体" w:eastAsia="宋体" w:cs="Times New Roman"/>
                <w:kern w:val="2"/>
                <w:sz w:val="24"/>
                <w:szCs w:val="24"/>
                <w:lang w:val="en-US" w:eastAsia="zh-CN" w:bidi="ar-SA"/>
              </w:rPr>
            </w:pPr>
            <w:r>
              <w:rPr>
                <w:rFonts w:hint="eastAsia"/>
                <w:lang w:val="en-US" w:eastAsia="zh-CN"/>
              </w:rPr>
              <w:t>1</w:t>
            </w:r>
            <w:r>
              <w:rPr>
                <w:rFonts w:hint="eastAsia"/>
              </w:rPr>
              <w:t>人</w:t>
            </w:r>
          </w:p>
        </w:tc>
        <w:tc>
          <w:tcPr>
            <w:tcW w:w="2199" w:type="dxa"/>
            <w:vAlign w:val="center"/>
          </w:tcPr>
          <w:p w14:paraId="12D6A7DA">
            <w:pPr>
              <w:ind w:left="0" w:leftChars="0" w:firstLine="0" w:firstLineChars="0"/>
              <w:rPr>
                <w:rFonts w:hint="eastAsia" w:ascii="宋体" w:hAnsi="宋体" w:eastAsia="宋体" w:cs="Times New Roman"/>
                <w:kern w:val="2"/>
                <w:sz w:val="24"/>
                <w:szCs w:val="24"/>
                <w:lang w:val="en-US" w:eastAsia="zh-CN" w:bidi="ar-SA"/>
              </w:rPr>
            </w:pPr>
            <w:r>
              <w:rPr>
                <w:rFonts w:hint="eastAsia"/>
              </w:rPr>
              <w:t>专科及以上学历，三年以上类似项目合作经验</w:t>
            </w:r>
          </w:p>
        </w:tc>
        <w:tc>
          <w:tcPr>
            <w:tcW w:w="1180" w:type="dxa"/>
            <w:vAlign w:val="center"/>
          </w:tcPr>
          <w:p w14:paraId="36C43F8A">
            <w:pPr>
              <w:ind w:left="0" w:leftChars="0" w:firstLine="0" w:firstLineChars="0"/>
              <w:rPr>
                <w:rFonts w:hint="eastAsia" w:ascii="宋体" w:hAnsi="宋体" w:eastAsia="宋体" w:cs="Times New Roman"/>
                <w:kern w:val="2"/>
                <w:sz w:val="24"/>
                <w:szCs w:val="24"/>
                <w:lang w:val="en-US" w:eastAsia="zh-CN" w:bidi="ar-SA"/>
              </w:rPr>
            </w:pPr>
            <w:r>
              <w:rPr>
                <w:rFonts w:hint="eastAsia"/>
              </w:rPr>
              <w:t>不驻场</w:t>
            </w:r>
          </w:p>
        </w:tc>
      </w:tr>
    </w:tbl>
    <w:p w14:paraId="764BD882">
      <w:pPr>
        <w:pStyle w:val="16"/>
      </w:pPr>
    </w:p>
    <w:p w14:paraId="63466705">
      <w:pPr>
        <w:pStyle w:val="3"/>
        <w:rPr>
          <w:rFonts w:hint="eastAsia"/>
        </w:rPr>
      </w:pPr>
      <w:bookmarkStart w:id="40" w:name="_Toc63785511"/>
      <w:r>
        <w:t>等级保护要求</w:t>
      </w:r>
      <w:bookmarkEnd w:id="40"/>
    </w:p>
    <w:p w14:paraId="278126D2">
      <w:pPr>
        <w:rPr>
          <w:rFonts w:hint="eastAsia" w:ascii="仿宋_GB2312" w:eastAsia="仿宋_GB2312" w:cs="仿宋_GB2312"/>
          <w:color w:val="000000"/>
          <w:kern w:val="0"/>
          <w:sz w:val="28"/>
          <w:szCs w:val="28"/>
        </w:rPr>
      </w:pPr>
      <w:r>
        <w:rPr>
          <w:rFonts w:hint="eastAsia"/>
        </w:rPr>
        <w:t>本项目等级保护要求：参照等保三级要求建设，需配合项目建设单位及具有资质的第三方测评机构完成等保三级的测评，以第三方测评机构出具的安全测评报告为准</w:t>
      </w:r>
      <w:r>
        <w:rPr>
          <w:rFonts w:hint="eastAsia" w:ascii="仿宋_GB2312" w:eastAsia="仿宋_GB2312" w:cs="仿宋_GB2312"/>
          <w:color w:val="000000"/>
          <w:kern w:val="0"/>
          <w:sz w:val="28"/>
          <w:szCs w:val="28"/>
        </w:rPr>
        <w:t>。</w:t>
      </w:r>
    </w:p>
    <w:p w14:paraId="68613C19">
      <w:pPr>
        <w:pStyle w:val="3"/>
        <w:rPr>
          <w:rFonts w:hint="eastAsia"/>
        </w:rPr>
      </w:pPr>
      <w:r>
        <w:rPr>
          <w:rFonts w:hint="eastAsia"/>
        </w:rPr>
        <w:t>商业密码应用需求</w:t>
      </w:r>
    </w:p>
    <w:p w14:paraId="5C5B2812">
      <w:pPr>
        <w:ind w:firstLine="560"/>
        <w:rPr>
          <w:rFonts w:hint="eastAsia" w:ascii="仿宋_GB2312" w:eastAsia="仿宋_GB2312" w:cs="仿宋_GB2312"/>
          <w:color w:val="000000"/>
          <w:kern w:val="0"/>
          <w:sz w:val="28"/>
          <w:szCs w:val="28"/>
        </w:rPr>
      </w:pPr>
      <w:r>
        <w:rPr>
          <w:rFonts w:hint="eastAsia" w:ascii="仿宋_GB2312" w:eastAsia="仿宋_GB2312" w:cs="仿宋_GB2312"/>
          <w:color w:val="000000"/>
          <w:kern w:val="0"/>
          <w:sz w:val="28"/>
          <w:szCs w:val="28"/>
        </w:rPr>
        <w:t>本系统拟参照等级保护第三级进行建设。依据GB/T39786—2021《信息安全技术信息系统密码应用基本要求》，本系统对密码应用安全需求的满足情况包括物理和环境安全、网络和通信安全、设备和计算安全、应用和数据安全。对照如下：</w:t>
      </w:r>
    </w:p>
    <w:tbl>
      <w:tblPr>
        <w:tblStyle w:val="35"/>
        <w:tblW w:w="5000" w:type="pct"/>
        <w:jc w:val="center"/>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1486"/>
        <w:gridCol w:w="2523"/>
        <w:gridCol w:w="1857"/>
        <w:gridCol w:w="1503"/>
      </w:tblGrid>
      <w:tr w14:paraId="48881680">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159" w:type="dxa"/>
            <w:shd w:val="clear" w:color="auto" w:fill="D9D9D9"/>
            <w:vAlign w:val="center"/>
          </w:tcPr>
          <w:p w14:paraId="00E3A1E4">
            <w:pPr>
              <w:widowControl/>
              <w:spacing w:line="240" w:lineRule="auto"/>
              <w:ind w:firstLine="0" w:firstLineChars="0"/>
              <w:jc w:val="center"/>
              <w:rPr>
                <w:rFonts w:hint="eastAsia"/>
                <w:b/>
                <w:bCs/>
                <w:kern w:val="0"/>
                <w:sz w:val="24"/>
                <w:szCs w:val="24"/>
              </w:rPr>
            </w:pPr>
            <w:r>
              <w:rPr>
                <w:b/>
                <w:bCs/>
                <w:kern w:val="0"/>
                <w:sz w:val="24"/>
                <w:szCs w:val="24"/>
              </w:rPr>
              <w:t>指标要求</w:t>
            </w:r>
          </w:p>
        </w:tc>
        <w:tc>
          <w:tcPr>
            <w:tcW w:w="1486" w:type="dxa"/>
            <w:shd w:val="clear" w:color="auto" w:fill="D9D9D9"/>
            <w:vAlign w:val="center"/>
          </w:tcPr>
          <w:p w14:paraId="02933423">
            <w:pPr>
              <w:widowControl/>
              <w:spacing w:line="240" w:lineRule="auto"/>
              <w:ind w:firstLine="0" w:firstLineChars="0"/>
              <w:jc w:val="center"/>
              <w:rPr>
                <w:rFonts w:hint="eastAsia"/>
                <w:b/>
                <w:bCs/>
                <w:kern w:val="0"/>
                <w:sz w:val="24"/>
                <w:szCs w:val="24"/>
              </w:rPr>
            </w:pPr>
            <w:r>
              <w:rPr>
                <w:b/>
                <w:bCs/>
                <w:kern w:val="0"/>
                <w:sz w:val="24"/>
                <w:szCs w:val="24"/>
              </w:rPr>
              <w:t>密码技术应用点</w:t>
            </w:r>
          </w:p>
        </w:tc>
        <w:tc>
          <w:tcPr>
            <w:tcW w:w="2523" w:type="dxa"/>
            <w:shd w:val="clear" w:color="auto" w:fill="D9D9D9"/>
            <w:vAlign w:val="center"/>
          </w:tcPr>
          <w:p w14:paraId="4EDBAC17">
            <w:pPr>
              <w:widowControl/>
              <w:spacing w:line="240" w:lineRule="auto"/>
              <w:ind w:firstLine="0" w:firstLineChars="0"/>
              <w:jc w:val="center"/>
              <w:rPr>
                <w:rFonts w:hint="eastAsia"/>
                <w:b/>
                <w:bCs/>
                <w:kern w:val="0"/>
                <w:sz w:val="24"/>
                <w:szCs w:val="24"/>
              </w:rPr>
            </w:pPr>
            <w:r>
              <w:rPr>
                <w:b/>
                <w:bCs/>
                <w:kern w:val="0"/>
                <w:sz w:val="24"/>
                <w:szCs w:val="24"/>
              </w:rPr>
              <w:t>采取措施</w:t>
            </w:r>
          </w:p>
        </w:tc>
        <w:tc>
          <w:tcPr>
            <w:tcW w:w="1857" w:type="dxa"/>
            <w:shd w:val="clear" w:color="auto" w:fill="D9D9D9"/>
            <w:vAlign w:val="center"/>
          </w:tcPr>
          <w:p w14:paraId="1EB56263">
            <w:pPr>
              <w:widowControl/>
              <w:spacing w:line="240" w:lineRule="auto"/>
              <w:ind w:firstLine="0" w:firstLineChars="0"/>
              <w:jc w:val="center"/>
              <w:rPr>
                <w:rFonts w:hint="eastAsia"/>
                <w:b/>
                <w:bCs/>
                <w:kern w:val="0"/>
                <w:sz w:val="24"/>
                <w:szCs w:val="24"/>
              </w:rPr>
            </w:pPr>
            <w:r>
              <w:rPr>
                <w:b/>
                <w:bCs/>
                <w:kern w:val="0"/>
                <w:sz w:val="24"/>
                <w:szCs w:val="24"/>
              </w:rPr>
              <w:t>标准符合性</w:t>
            </w:r>
          </w:p>
          <w:p w14:paraId="7638EF48">
            <w:pPr>
              <w:widowControl/>
              <w:spacing w:line="240" w:lineRule="auto"/>
              <w:ind w:firstLine="0" w:firstLineChars="0"/>
              <w:jc w:val="center"/>
              <w:rPr>
                <w:rFonts w:hint="eastAsia"/>
                <w:b/>
                <w:bCs/>
                <w:kern w:val="0"/>
                <w:sz w:val="24"/>
                <w:szCs w:val="24"/>
              </w:rPr>
            </w:pPr>
            <w:r>
              <w:rPr>
                <w:kern w:val="0"/>
                <w:sz w:val="24"/>
                <w:szCs w:val="24"/>
              </w:rPr>
              <w:t>（符合/</w:t>
            </w:r>
            <w:r>
              <w:rPr>
                <w:rFonts w:hint="eastAsia"/>
                <w:kern w:val="0"/>
                <w:sz w:val="24"/>
                <w:szCs w:val="24"/>
              </w:rPr>
              <w:t>部分符合</w:t>
            </w:r>
            <w:r>
              <w:rPr>
                <w:kern w:val="0"/>
                <w:sz w:val="24"/>
                <w:szCs w:val="24"/>
              </w:rPr>
              <w:t>/</w:t>
            </w:r>
            <w:r>
              <w:rPr>
                <w:rFonts w:hint="eastAsia"/>
                <w:kern w:val="0"/>
                <w:sz w:val="24"/>
                <w:szCs w:val="24"/>
              </w:rPr>
              <w:t>不符合</w:t>
            </w:r>
            <w:r>
              <w:rPr>
                <w:kern w:val="0"/>
                <w:sz w:val="24"/>
                <w:szCs w:val="24"/>
              </w:rPr>
              <w:t>/不适用）</w:t>
            </w:r>
          </w:p>
        </w:tc>
        <w:tc>
          <w:tcPr>
            <w:tcW w:w="1503" w:type="dxa"/>
            <w:shd w:val="clear" w:color="auto" w:fill="D9D9D9"/>
            <w:vAlign w:val="center"/>
          </w:tcPr>
          <w:p w14:paraId="619A5E4E">
            <w:pPr>
              <w:widowControl/>
              <w:spacing w:line="240" w:lineRule="auto"/>
              <w:ind w:firstLine="0" w:firstLineChars="0"/>
              <w:jc w:val="center"/>
              <w:rPr>
                <w:rFonts w:hint="eastAsia"/>
                <w:b/>
                <w:bCs/>
                <w:kern w:val="0"/>
                <w:sz w:val="24"/>
                <w:szCs w:val="24"/>
              </w:rPr>
            </w:pPr>
            <w:r>
              <w:rPr>
                <w:b/>
                <w:bCs/>
                <w:kern w:val="0"/>
                <w:sz w:val="24"/>
                <w:szCs w:val="24"/>
              </w:rPr>
              <w:t>说明</w:t>
            </w:r>
          </w:p>
          <w:p w14:paraId="5B0BCB5E">
            <w:pPr>
              <w:widowControl/>
              <w:spacing w:line="240" w:lineRule="auto"/>
              <w:ind w:firstLine="0" w:firstLineChars="0"/>
              <w:jc w:val="center"/>
              <w:rPr>
                <w:rFonts w:hint="eastAsia"/>
                <w:b/>
                <w:bCs/>
                <w:kern w:val="0"/>
                <w:sz w:val="24"/>
                <w:szCs w:val="24"/>
              </w:rPr>
            </w:pPr>
            <w:r>
              <w:rPr>
                <w:kern w:val="0"/>
                <w:sz w:val="24"/>
                <w:szCs w:val="24"/>
              </w:rPr>
              <w:t>（针对不适用项说明原因及替代性措施）</w:t>
            </w:r>
          </w:p>
        </w:tc>
      </w:tr>
      <w:tr w14:paraId="245763D2">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restart"/>
            <w:vAlign w:val="center"/>
          </w:tcPr>
          <w:p w14:paraId="112CD7FE">
            <w:pPr>
              <w:ind w:left="0" w:leftChars="0" w:firstLine="0" w:firstLineChars="0"/>
              <w:rPr>
                <w:rFonts w:hint="eastAsia"/>
              </w:rPr>
            </w:pPr>
            <w:r>
              <w:rPr>
                <w:rFonts w:hint="eastAsia"/>
              </w:rPr>
              <w:t>物理和环境安全</w:t>
            </w:r>
          </w:p>
        </w:tc>
        <w:tc>
          <w:tcPr>
            <w:tcW w:w="1486" w:type="dxa"/>
            <w:vAlign w:val="center"/>
          </w:tcPr>
          <w:p w14:paraId="3E4D1B89">
            <w:pPr>
              <w:ind w:left="0" w:leftChars="0" w:firstLine="0" w:firstLineChars="0"/>
              <w:rPr>
                <w:rFonts w:hint="eastAsia"/>
              </w:rPr>
            </w:pPr>
            <w:r>
              <w:rPr>
                <w:rFonts w:hint="eastAsia"/>
              </w:rPr>
              <w:t>身份鉴别</w:t>
            </w:r>
          </w:p>
        </w:tc>
        <w:tc>
          <w:tcPr>
            <w:tcW w:w="2523" w:type="dxa"/>
            <w:vMerge w:val="restart"/>
            <w:vAlign w:val="center"/>
          </w:tcPr>
          <w:p w14:paraId="5D70DB88">
            <w:pPr>
              <w:ind w:left="0" w:leftChars="0" w:firstLine="0" w:firstLineChars="0"/>
              <w:rPr>
                <w:rFonts w:hint="eastAsia"/>
              </w:rPr>
            </w:pPr>
            <w:r>
              <w:rPr>
                <w:rFonts w:hint="eastAsia"/>
              </w:rPr>
              <w:t>物理和环境安全由政务云机房服务方实现</w:t>
            </w:r>
          </w:p>
        </w:tc>
        <w:tc>
          <w:tcPr>
            <w:tcW w:w="1857" w:type="dxa"/>
            <w:vMerge w:val="restart"/>
            <w:vAlign w:val="center"/>
          </w:tcPr>
          <w:p w14:paraId="17F451D5">
            <w:pPr>
              <w:ind w:left="0" w:leftChars="0" w:firstLine="0" w:firstLineChars="0"/>
              <w:rPr>
                <w:rFonts w:hint="eastAsia"/>
              </w:rPr>
            </w:pPr>
            <w:r>
              <w:rPr>
                <w:rFonts w:hint="eastAsia"/>
              </w:rPr>
              <w:t>符合</w:t>
            </w:r>
          </w:p>
        </w:tc>
        <w:tc>
          <w:tcPr>
            <w:tcW w:w="1503" w:type="dxa"/>
            <w:vMerge w:val="restart"/>
            <w:vAlign w:val="center"/>
          </w:tcPr>
          <w:p w14:paraId="26B70222">
            <w:pPr>
              <w:ind w:left="0" w:leftChars="0" w:firstLine="0" w:firstLineChars="0"/>
              <w:rPr>
                <w:rFonts w:hint="eastAsia"/>
              </w:rPr>
            </w:pPr>
            <w:r>
              <w:rPr>
                <w:rFonts w:hint="eastAsia"/>
              </w:rPr>
              <w:t>物理和环境安全由政务云机房服务方已实现</w:t>
            </w:r>
          </w:p>
        </w:tc>
      </w:tr>
      <w:tr w14:paraId="73799065">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continue"/>
            <w:vAlign w:val="center"/>
          </w:tcPr>
          <w:p w14:paraId="32FFADA4">
            <w:pPr>
              <w:widowControl/>
              <w:spacing w:line="240" w:lineRule="auto"/>
              <w:ind w:firstLine="0" w:firstLineChars="0"/>
              <w:jc w:val="left"/>
              <w:rPr>
                <w:rFonts w:hint="eastAsia"/>
                <w:kern w:val="0"/>
                <w:sz w:val="18"/>
                <w:szCs w:val="18"/>
              </w:rPr>
            </w:pPr>
          </w:p>
        </w:tc>
        <w:tc>
          <w:tcPr>
            <w:tcW w:w="1486" w:type="dxa"/>
            <w:vAlign w:val="center"/>
          </w:tcPr>
          <w:p w14:paraId="03FAA8DC">
            <w:pPr>
              <w:ind w:left="0" w:leftChars="0" w:firstLine="0" w:firstLineChars="0"/>
              <w:rPr>
                <w:rFonts w:hint="eastAsia"/>
              </w:rPr>
            </w:pPr>
            <w:r>
              <w:rPr>
                <w:rFonts w:hint="eastAsia"/>
              </w:rPr>
              <w:t>电子门禁记录数据存储完整性</w:t>
            </w:r>
          </w:p>
        </w:tc>
        <w:tc>
          <w:tcPr>
            <w:tcW w:w="2523" w:type="dxa"/>
            <w:vMerge w:val="continue"/>
            <w:vAlign w:val="center"/>
          </w:tcPr>
          <w:p w14:paraId="79D27A11">
            <w:pPr>
              <w:ind w:left="0" w:leftChars="0" w:firstLine="0" w:firstLineChars="0"/>
              <w:rPr>
                <w:rFonts w:hint="eastAsia"/>
              </w:rPr>
            </w:pPr>
          </w:p>
        </w:tc>
        <w:tc>
          <w:tcPr>
            <w:tcW w:w="1857" w:type="dxa"/>
            <w:vMerge w:val="continue"/>
            <w:vAlign w:val="center"/>
          </w:tcPr>
          <w:p w14:paraId="42A9F9B9">
            <w:pPr>
              <w:widowControl/>
              <w:spacing w:line="240" w:lineRule="auto"/>
              <w:ind w:firstLine="0" w:firstLineChars="0"/>
              <w:jc w:val="center"/>
              <w:rPr>
                <w:rFonts w:hint="eastAsia"/>
                <w:kern w:val="0"/>
                <w:sz w:val="18"/>
                <w:szCs w:val="18"/>
              </w:rPr>
            </w:pPr>
          </w:p>
        </w:tc>
        <w:tc>
          <w:tcPr>
            <w:tcW w:w="1503" w:type="dxa"/>
            <w:vMerge w:val="continue"/>
            <w:vAlign w:val="center"/>
          </w:tcPr>
          <w:p w14:paraId="14B1A0F7">
            <w:pPr>
              <w:widowControl/>
              <w:spacing w:line="240" w:lineRule="auto"/>
              <w:ind w:firstLine="0" w:firstLineChars="0"/>
              <w:jc w:val="center"/>
              <w:rPr>
                <w:rFonts w:hint="eastAsia"/>
                <w:kern w:val="0"/>
                <w:sz w:val="18"/>
                <w:szCs w:val="18"/>
              </w:rPr>
            </w:pPr>
          </w:p>
        </w:tc>
      </w:tr>
      <w:tr w14:paraId="577D53A9">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continue"/>
            <w:vAlign w:val="center"/>
          </w:tcPr>
          <w:p w14:paraId="60991A7D">
            <w:pPr>
              <w:widowControl/>
              <w:spacing w:line="240" w:lineRule="auto"/>
              <w:ind w:firstLine="0" w:firstLineChars="0"/>
              <w:jc w:val="left"/>
              <w:rPr>
                <w:rFonts w:hint="eastAsia"/>
                <w:kern w:val="0"/>
                <w:sz w:val="18"/>
                <w:szCs w:val="18"/>
              </w:rPr>
            </w:pPr>
          </w:p>
        </w:tc>
        <w:tc>
          <w:tcPr>
            <w:tcW w:w="1486" w:type="dxa"/>
            <w:vAlign w:val="center"/>
          </w:tcPr>
          <w:p w14:paraId="596F8128">
            <w:pPr>
              <w:ind w:left="0" w:leftChars="0" w:firstLine="0" w:firstLineChars="0"/>
              <w:rPr>
                <w:rFonts w:hint="eastAsia"/>
              </w:rPr>
            </w:pPr>
            <w:r>
              <w:rPr>
                <w:rFonts w:hint="eastAsia"/>
              </w:rPr>
              <w:t>视频监控记录数据存储完整性</w:t>
            </w:r>
          </w:p>
        </w:tc>
        <w:tc>
          <w:tcPr>
            <w:tcW w:w="2523" w:type="dxa"/>
            <w:vMerge w:val="continue"/>
            <w:vAlign w:val="center"/>
          </w:tcPr>
          <w:p w14:paraId="11DD77CC">
            <w:pPr>
              <w:ind w:left="0" w:leftChars="0" w:firstLine="0" w:firstLineChars="0"/>
              <w:rPr>
                <w:rFonts w:hint="eastAsia"/>
              </w:rPr>
            </w:pPr>
          </w:p>
        </w:tc>
        <w:tc>
          <w:tcPr>
            <w:tcW w:w="1857" w:type="dxa"/>
            <w:vMerge w:val="continue"/>
            <w:vAlign w:val="center"/>
          </w:tcPr>
          <w:p w14:paraId="3B587A8E">
            <w:pPr>
              <w:ind w:left="0" w:leftChars="0" w:firstLine="0" w:firstLineChars="0"/>
              <w:rPr>
                <w:rFonts w:hint="eastAsia"/>
              </w:rPr>
            </w:pPr>
          </w:p>
        </w:tc>
        <w:tc>
          <w:tcPr>
            <w:tcW w:w="1503" w:type="dxa"/>
            <w:vMerge w:val="continue"/>
            <w:vAlign w:val="center"/>
          </w:tcPr>
          <w:p w14:paraId="6D969C38">
            <w:pPr>
              <w:ind w:left="0" w:leftChars="0" w:firstLine="0" w:firstLineChars="0"/>
              <w:rPr>
                <w:rFonts w:hint="eastAsia"/>
              </w:rPr>
            </w:pPr>
          </w:p>
        </w:tc>
      </w:tr>
      <w:tr w14:paraId="3713BBC3">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restart"/>
            <w:vAlign w:val="center"/>
          </w:tcPr>
          <w:p w14:paraId="470AD28D">
            <w:pPr>
              <w:ind w:left="0" w:leftChars="0" w:firstLine="0" w:firstLineChars="0"/>
              <w:rPr>
                <w:rFonts w:hint="eastAsia"/>
                <w:kern w:val="0"/>
                <w:sz w:val="18"/>
                <w:szCs w:val="18"/>
              </w:rPr>
            </w:pPr>
            <w:r>
              <w:rPr>
                <w:rFonts w:hint="eastAsia"/>
              </w:rPr>
              <w:t>网络和通信安全</w:t>
            </w:r>
          </w:p>
        </w:tc>
        <w:tc>
          <w:tcPr>
            <w:tcW w:w="1486" w:type="dxa"/>
            <w:vAlign w:val="center"/>
          </w:tcPr>
          <w:p w14:paraId="3F34E32D">
            <w:pPr>
              <w:ind w:left="0" w:leftChars="0" w:firstLine="0" w:firstLineChars="0"/>
              <w:rPr>
                <w:rFonts w:hint="eastAsia"/>
              </w:rPr>
            </w:pPr>
            <w:r>
              <w:rPr>
                <w:rFonts w:hint="eastAsia"/>
              </w:rPr>
              <w:t>身份鉴别</w:t>
            </w:r>
          </w:p>
        </w:tc>
        <w:tc>
          <w:tcPr>
            <w:tcW w:w="2523" w:type="dxa"/>
            <w:vAlign w:val="center"/>
          </w:tcPr>
          <w:p w14:paraId="6179574B">
            <w:pPr>
              <w:ind w:left="0" w:leftChars="0" w:firstLine="0" w:firstLineChars="0"/>
              <w:rPr>
                <w:rFonts w:hint="eastAsia"/>
              </w:rPr>
            </w:pPr>
            <w:r>
              <w:rPr>
                <w:rFonts w:hint="eastAsia"/>
              </w:rPr>
              <w:t>采用安全认证网关，结合SM2算法的数字证书访问认证实现身份鉴别</w:t>
            </w:r>
          </w:p>
        </w:tc>
        <w:tc>
          <w:tcPr>
            <w:tcW w:w="1857" w:type="dxa"/>
            <w:vAlign w:val="center"/>
          </w:tcPr>
          <w:p w14:paraId="53016425">
            <w:pPr>
              <w:ind w:left="0" w:leftChars="0" w:firstLine="0" w:firstLineChars="0"/>
              <w:rPr>
                <w:rFonts w:hint="eastAsia"/>
              </w:rPr>
            </w:pPr>
            <w:r>
              <w:rPr>
                <w:rFonts w:hint="eastAsia"/>
              </w:rPr>
              <w:t>符合</w:t>
            </w:r>
          </w:p>
        </w:tc>
        <w:tc>
          <w:tcPr>
            <w:tcW w:w="1503" w:type="dxa"/>
            <w:vAlign w:val="center"/>
          </w:tcPr>
          <w:p w14:paraId="7CE46673">
            <w:pPr>
              <w:ind w:left="0" w:leftChars="0" w:firstLine="0" w:firstLineChars="0"/>
              <w:rPr>
                <w:rFonts w:hint="eastAsia"/>
              </w:rPr>
            </w:pPr>
          </w:p>
        </w:tc>
      </w:tr>
      <w:tr w14:paraId="42910868">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continue"/>
            <w:vAlign w:val="center"/>
          </w:tcPr>
          <w:p w14:paraId="2676BCEE">
            <w:pPr>
              <w:widowControl/>
              <w:spacing w:line="240" w:lineRule="auto"/>
              <w:ind w:firstLine="0" w:firstLineChars="0"/>
              <w:jc w:val="left"/>
              <w:rPr>
                <w:rFonts w:hint="eastAsia"/>
                <w:kern w:val="0"/>
                <w:sz w:val="18"/>
                <w:szCs w:val="18"/>
              </w:rPr>
            </w:pPr>
          </w:p>
        </w:tc>
        <w:tc>
          <w:tcPr>
            <w:tcW w:w="1486" w:type="dxa"/>
            <w:vAlign w:val="center"/>
          </w:tcPr>
          <w:p w14:paraId="4073752C">
            <w:pPr>
              <w:ind w:left="0" w:leftChars="0" w:firstLine="0" w:firstLineChars="0"/>
              <w:rPr>
                <w:rFonts w:hint="eastAsia"/>
              </w:rPr>
            </w:pPr>
            <w:r>
              <w:rPr>
                <w:rFonts w:hint="eastAsia"/>
              </w:rPr>
              <w:t>通信数据完整性</w:t>
            </w:r>
          </w:p>
        </w:tc>
        <w:tc>
          <w:tcPr>
            <w:tcW w:w="2523" w:type="dxa"/>
            <w:vAlign w:val="center"/>
          </w:tcPr>
          <w:p w14:paraId="62215692">
            <w:pPr>
              <w:ind w:left="0" w:leftChars="0" w:firstLine="0" w:firstLineChars="0"/>
              <w:rPr>
                <w:rFonts w:hint="eastAsia"/>
              </w:rPr>
            </w:pPr>
            <w:r>
              <w:rPr>
                <w:rFonts w:hint="eastAsia"/>
              </w:rPr>
              <w:t>采用安全认证网关，建立GMSSL安全信道结合数字签名技术保证数据完整性</w:t>
            </w:r>
          </w:p>
        </w:tc>
        <w:tc>
          <w:tcPr>
            <w:tcW w:w="1857" w:type="dxa"/>
            <w:vAlign w:val="center"/>
          </w:tcPr>
          <w:p w14:paraId="64E34AA9">
            <w:pPr>
              <w:ind w:left="0" w:leftChars="0" w:firstLine="0" w:firstLineChars="0"/>
              <w:rPr>
                <w:rFonts w:hint="eastAsia"/>
              </w:rPr>
            </w:pPr>
            <w:r>
              <w:rPr>
                <w:rFonts w:hint="eastAsia"/>
              </w:rPr>
              <w:t>符合</w:t>
            </w:r>
          </w:p>
        </w:tc>
        <w:tc>
          <w:tcPr>
            <w:tcW w:w="1503" w:type="dxa"/>
            <w:vAlign w:val="center"/>
          </w:tcPr>
          <w:p w14:paraId="4E48B848">
            <w:pPr>
              <w:ind w:left="0" w:leftChars="0" w:firstLine="0" w:firstLineChars="0"/>
              <w:rPr>
                <w:rFonts w:hint="eastAsia"/>
              </w:rPr>
            </w:pPr>
          </w:p>
        </w:tc>
      </w:tr>
      <w:tr w14:paraId="15245F5F">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continue"/>
            <w:vAlign w:val="center"/>
          </w:tcPr>
          <w:p w14:paraId="6413CEE9">
            <w:pPr>
              <w:widowControl/>
              <w:spacing w:line="240" w:lineRule="auto"/>
              <w:ind w:firstLine="0" w:firstLineChars="0"/>
              <w:jc w:val="left"/>
              <w:rPr>
                <w:rFonts w:hint="eastAsia"/>
                <w:kern w:val="0"/>
                <w:sz w:val="18"/>
                <w:szCs w:val="18"/>
              </w:rPr>
            </w:pPr>
          </w:p>
        </w:tc>
        <w:tc>
          <w:tcPr>
            <w:tcW w:w="1486" w:type="dxa"/>
            <w:vAlign w:val="center"/>
          </w:tcPr>
          <w:p w14:paraId="4A85015C">
            <w:pPr>
              <w:ind w:left="0" w:leftChars="0" w:firstLine="0" w:firstLineChars="0"/>
              <w:rPr>
                <w:rFonts w:hint="eastAsia"/>
              </w:rPr>
            </w:pPr>
            <w:r>
              <w:rPr>
                <w:rFonts w:hint="eastAsia"/>
              </w:rPr>
              <w:t>通信过程中重要数据的机密性</w:t>
            </w:r>
          </w:p>
        </w:tc>
        <w:tc>
          <w:tcPr>
            <w:tcW w:w="2523" w:type="dxa"/>
            <w:vAlign w:val="center"/>
          </w:tcPr>
          <w:p w14:paraId="6070A058">
            <w:pPr>
              <w:ind w:left="0" w:leftChars="0" w:firstLine="0" w:firstLineChars="0"/>
              <w:rPr>
                <w:rFonts w:hint="eastAsia"/>
              </w:rPr>
            </w:pPr>
            <w:r>
              <w:rPr>
                <w:rFonts w:hint="eastAsia"/>
              </w:rPr>
              <w:t>采用安全认证网关，建立GMSSL安全信道实现机密性</w:t>
            </w:r>
          </w:p>
        </w:tc>
        <w:tc>
          <w:tcPr>
            <w:tcW w:w="1857" w:type="dxa"/>
            <w:vAlign w:val="center"/>
          </w:tcPr>
          <w:p w14:paraId="4D3B8E32">
            <w:pPr>
              <w:ind w:left="0" w:leftChars="0" w:firstLine="0" w:firstLineChars="0"/>
              <w:rPr>
                <w:rFonts w:hint="eastAsia"/>
              </w:rPr>
            </w:pPr>
            <w:r>
              <w:rPr>
                <w:rFonts w:hint="eastAsia"/>
              </w:rPr>
              <w:t>符合</w:t>
            </w:r>
          </w:p>
        </w:tc>
        <w:tc>
          <w:tcPr>
            <w:tcW w:w="1503" w:type="dxa"/>
            <w:vAlign w:val="center"/>
          </w:tcPr>
          <w:p w14:paraId="555995E8">
            <w:pPr>
              <w:ind w:left="0" w:leftChars="0" w:firstLine="0" w:firstLineChars="0"/>
              <w:rPr>
                <w:rFonts w:hint="eastAsia"/>
              </w:rPr>
            </w:pPr>
          </w:p>
        </w:tc>
      </w:tr>
      <w:tr w14:paraId="07A86092">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continue"/>
            <w:vAlign w:val="center"/>
          </w:tcPr>
          <w:p w14:paraId="2D13C045">
            <w:pPr>
              <w:widowControl/>
              <w:spacing w:line="240" w:lineRule="auto"/>
              <w:ind w:firstLine="0" w:firstLineChars="0"/>
              <w:jc w:val="left"/>
              <w:rPr>
                <w:rFonts w:hint="eastAsia"/>
                <w:kern w:val="0"/>
                <w:sz w:val="18"/>
                <w:szCs w:val="18"/>
              </w:rPr>
            </w:pPr>
          </w:p>
        </w:tc>
        <w:tc>
          <w:tcPr>
            <w:tcW w:w="1486" w:type="dxa"/>
            <w:vAlign w:val="center"/>
          </w:tcPr>
          <w:p w14:paraId="5283E713">
            <w:pPr>
              <w:ind w:left="0" w:leftChars="0" w:firstLine="0" w:firstLineChars="0"/>
              <w:rPr>
                <w:rFonts w:hint="eastAsia"/>
              </w:rPr>
            </w:pPr>
            <w:r>
              <w:rPr>
                <w:rFonts w:hint="eastAsia"/>
              </w:rPr>
              <w:t>网络边界访问控制信息的完整性</w:t>
            </w:r>
          </w:p>
        </w:tc>
        <w:tc>
          <w:tcPr>
            <w:tcW w:w="2523" w:type="dxa"/>
            <w:vAlign w:val="center"/>
          </w:tcPr>
          <w:p w14:paraId="210BFBFB">
            <w:pPr>
              <w:ind w:left="0" w:leftChars="0" w:firstLine="0" w:firstLineChars="0"/>
              <w:rPr>
                <w:rFonts w:hint="eastAsia"/>
              </w:rPr>
            </w:pPr>
            <w:r>
              <w:rPr>
                <w:rFonts w:hint="eastAsia"/>
              </w:rPr>
              <w:t>基于安全认证网关产品自身机制实现网络边界访问控制信息完整性</w:t>
            </w:r>
          </w:p>
        </w:tc>
        <w:tc>
          <w:tcPr>
            <w:tcW w:w="1857" w:type="dxa"/>
            <w:vAlign w:val="center"/>
          </w:tcPr>
          <w:p w14:paraId="111584F0">
            <w:pPr>
              <w:ind w:left="0" w:leftChars="0" w:firstLine="0" w:firstLineChars="0"/>
              <w:rPr>
                <w:rFonts w:hint="eastAsia"/>
              </w:rPr>
            </w:pPr>
            <w:r>
              <w:rPr>
                <w:rFonts w:hint="eastAsia"/>
              </w:rPr>
              <w:t>不适用</w:t>
            </w:r>
          </w:p>
        </w:tc>
        <w:tc>
          <w:tcPr>
            <w:tcW w:w="1503" w:type="dxa"/>
            <w:vAlign w:val="center"/>
          </w:tcPr>
          <w:p w14:paraId="4A54AD4C">
            <w:pPr>
              <w:ind w:left="0" w:leftChars="0" w:firstLine="0" w:firstLineChars="0"/>
              <w:rPr>
                <w:rFonts w:hint="eastAsia"/>
              </w:rPr>
            </w:pPr>
            <w:r>
              <w:rPr>
                <w:rFonts w:hint="eastAsia"/>
              </w:rPr>
              <w:t>由边界访问控制设备自身机制实现</w:t>
            </w:r>
          </w:p>
        </w:tc>
      </w:tr>
      <w:tr w14:paraId="333A1A11">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continue"/>
            <w:vAlign w:val="center"/>
          </w:tcPr>
          <w:p w14:paraId="52A2E553">
            <w:pPr>
              <w:widowControl/>
              <w:spacing w:line="240" w:lineRule="auto"/>
              <w:ind w:firstLine="0" w:firstLineChars="0"/>
              <w:jc w:val="left"/>
              <w:rPr>
                <w:rFonts w:hint="eastAsia"/>
                <w:kern w:val="0"/>
                <w:sz w:val="18"/>
                <w:szCs w:val="18"/>
              </w:rPr>
            </w:pPr>
          </w:p>
        </w:tc>
        <w:tc>
          <w:tcPr>
            <w:tcW w:w="1486" w:type="dxa"/>
            <w:vAlign w:val="center"/>
          </w:tcPr>
          <w:p w14:paraId="1F3B74C8">
            <w:pPr>
              <w:ind w:left="0" w:leftChars="0" w:firstLine="0" w:firstLineChars="0"/>
              <w:rPr>
                <w:rFonts w:hint="eastAsia"/>
              </w:rPr>
            </w:pPr>
            <w:r>
              <w:rPr>
                <w:rFonts w:hint="eastAsia"/>
              </w:rPr>
              <w:t>安全接入认证</w:t>
            </w:r>
          </w:p>
        </w:tc>
        <w:tc>
          <w:tcPr>
            <w:tcW w:w="2523" w:type="dxa"/>
            <w:vAlign w:val="center"/>
          </w:tcPr>
          <w:p w14:paraId="2B8EBABD">
            <w:pPr>
              <w:ind w:left="0" w:leftChars="0" w:firstLine="0" w:firstLineChars="0"/>
              <w:rPr>
                <w:rFonts w:hint="eastAsia"/>
              </w:rPr>
            </w:pPr>
          </w:p>
        </w:tc>
        <w:tc>
          <w:tcPr>
            <w:tcW w:w="1857" w:type="dxa"/>
            <w:vAlign w:val="center"/>
          </w:tcPr>
          <w:p w14:paraId="563D1903">
            <w:pPr>
              <w:ind w:left="0" w:leftChars="0" w:firstLine="0" w:firstLineChars="0"/>
              <w:rPr>
                <w:rFonts w:hint="eastAsia"/>
              </w:rPr>
            </w:pPr>
            <w:r>
              <w:rPr>
                <w:rFonts w:hint="eastAsia"/>
              </w:rPr>
              <w:t>不适用</w:t>
            </w:r>
          </w:p>
        </w:tc>
        <w:tc>
          <w:tcPr>
            <w:tcW w:w="1503" w:type="dxa"/>
            <w:vAlign w:val="center"/>
          </w:tcPr>
          <w:p w14:paraId="18B2E6B8">
            <w:pPr>
              <w:ind w:left="0" w:leftChars="0" w:firstLine="0" w:firstLineChars="0"/>
              <w:rPr>
                <w:rFonts w:hint="eastAsia"/>
              </w:rPr>
            </w:pPr>
            <w:r>
              <w:rPr>
                <w:rFonts w:hint="eastAsia"/>
              </w:rPr>
              <w:t>无外部接入设备</w:t>
            </w:r>
          </w:p>
        </w:tc>
      </w:tr>
      <w:tr w14:paraId="74AEBEC2">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restart"/>
            <w:vAlign w:val="center"/>
          </w:tcPr>
          <w:p w14:paraId="2B06FDBC">
            <w:pPr>
              <w:ind w:left="0" w:leftChars="0" w:firstLine="0" w:firstLineChars="0"/>
              <w:rPr>
                <w:rFonts w:hint="eastAsia"/>
                <w:kern w:val="0"/>
                <w:sz w:val="18"/>
                <w:szCs w:val="18"/>
              </w:rPr>
            </w:pPr>
            <w:r>
              <w:rPr>
                <w:rFonts w:hint="eastAsia"/>
              </w:rPr>
              <w:t>设备和计算安全</w:t>
            </w:r>
          </w:p>
        </w:tc>
        <w:tc>
          <w:tcPr>
            <w:tcW w:w="1486" w:type="dxa"/>
            <w:vAlign w:val="center"/>
          </w:tcPr>
          <w:p w14:paraId="2E8CDB15">
            <w:pPr>
              <w:ind w:left="0" w:leftChars="0" w:firstLine="0" w:firstLineChars="0"/>
              <w:rPr>
                <w:rFonts w:hint="eastAsia"/>
              </w:rPr>
            </w:pPr>
            <w:r>
              <w:rPr>
                <w:rFonts w:hint="eastAsia"/>
              </w:rPr>
              <w:t>身份鉴别</w:t>
            </w:r>
          </w:p>
        </w:tc>
        <w:tc>
          <w:tcPr>
            <w:tcW w:w="2523" w:type="dxa"/>
            <w:vAlign w:val="center"/>
          </w:tcPr>
          <w:p w14:paraId="568A1877">
            <w:pPr>
              <w:ind w:left="0" w:leftChars="0" w:firstLine="0" w:firstLineChars="0"/>
              <w:rPr>
                <w:rFonts w:hint="eastAsia"/>
              </w:rPr>
            </w:pPr>
            <w:r>
              <w:rPr>
                <w:rFonts w:hint="eastAsia"/>
              </w:rPr>
              <w:t>采用SM2数字证书实现身份鉴别</w:t>
            </w:r>
          </w:p>
        </w:tc>
        <w:tc>
          <w:tcPr>
            <w:tcW w:w="1857" w:type="dxa"/>
            <w:vAlign w:val="center"/>
          </w:tcPr>
          <w:p w14:paraId="64F8826F">
            <w:pPr>
              <w:ind w:left="0" w:leftChars="0" w:firstLine="0" w:firstLineChars="0"/>
              <w:rPr>
                <w:rFonts w:hint="eastAsia"/>
              </w:rPr>
            </w:pPr>
            <w:r>
              <w:rPr>
                <w:rFonts w:hint="eastAsia"/>
              </w:rPr>
              <w:t>符合</w:t>
            </w:r>
          </w:p>
        </w:tc>
        <w:tc>
          <w:tcPr>
            <w:tcW w:w="1503" w:type="dxa"/>
            <w:vAlign w:val="center"/>
          </w:tcPr>
          <w:p w14:paraId="4B737908">
            <w:pPr>
              <w:ind w:left="0" w:leftChars="0" w:firstLine="0" w:firstLineChars="0"/>
              <w:rPr>
                <w:rFonts w:hint="eastAsia"/>
              </w:rPr>
            </w:pPr>
          </w:p>
        </w:tc>
      </w:tr>
      <w:tr w14:paraId="69BD2646">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continue"/>
            <w:vAlign w:val="center"/>
          </w:tcPr>
          <w:p w14:paraId="6D6E865C">
            <w:pPr>
              <w:widowControl/>
              <w:spacing w:line="240" w:lineRule="auto"/>
              <w:ind w:firstLine="0" w:firstLineChars="0"/>
              <w:jc w:val="left"/>
              <w:rPr>
                <w:rFonts w:hint="eastAsia"/>
                <w:kern w:val="0"/>
                <w:sz w:val="18"/>
                <w:szCs w:val="18"/>
              </w:rPr>
            </w:pPr>
          </w:p>
        </w:tc>
        <w:tc>
          <w:tcPr>
            <w:tcW w:w="1486" w:type="dxa"/>
            <w:vAlign w:val="center"/>
          </w:tcPr>
          <w:p w14:paraId="6F2A1134">
            <w:pPr>
              <w:ind w:left="0" w:leftChars="0" w:firstLine="0" w:firstLineChars="0"/>
              <w:rPr>
                <w:rFonts w:hint="eastAsia"/>
              </w:rPr>
            </w:pPr>
            <w:r>
              <w:rPr>
                <w:rFonts w:hint="eastAsia"/>
              </w:rPr>
              <w:t>远程管理通道安全</w:t>
            </w:r>
          </w:p>
        </w:tc>
        <w:tc>
          <w:tcPr>
            <w:tcW w:w="2523" w:type="dxa"/>
            <w:vAlign w:val="center"/>
          </w:tcPr>
          <w:p w14:paraId="02A113BF">
            <w:pPr>
              <w:ind w:left="0" w:leftChars="0" w:firstLine="0" w:firstLineChars="0"/>
              <w:rPr>
                <w:rFonts w:hint="eastAsia"/>
              </w:rPr>
            </w:pPr>
            <w:r>
              <w:rPr>
                <w:rFonts w:hint="eastAsia"/>
              </w:rPr>
              <w:t>通过SSLVPN建立安全信道登录堡垒机实现远程运维</w:t>
            </w:r>
          </w:p>
        </w:tc>
        <w:tc>
          <w:tcPr>
            <w:tcW w:w="1857" w:type="dxa"/>
            <w:vAlign w:val="center"/>
          </w:tcPr>
          <w:p w14:paraId="1E3C6BE3">
            <w:pPr>
              <w:ind w:left="0" w:leftChars="0" w:firstLine="0" w:firstLineChars="0"/>
              <w:rPr>
                <w:rFonts w:hint="eastAsia"/>
              </w:rPr>
            </w:pPr>
            <w:r>
              <w:rPr>
                <w:rFonts w:hint="eastAsia"/>
              </w:rPr>
              <w:t>符合</w:t>
            </w:r>
          </w:p>
        </w:tc>
        <w:tc>
          <w:tcPr>
            <w:tcW w:w="1503" w:type="dxa"/>
            <w:vAlign w:val="center"/>
          </w:tcPr>
          <w:p w14:paraId="09F0E711">
            <w:pPr>
              <w:ind w:left="0" w:leftChars="0" w:firstLine="0" w:firstLineChars="0"/>
              <w:rPr>
                <w:rFonts w:hint="eastAsia"/>
              </w:rPr>
            </w:pPr>
          </w:p>
        </w:tc>
      </w:tr>
      <w:tr w14:paraId="33BD5400">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continue"/>
            <w:vAlign w:val="center"/>
          </w:tcPr>
          <w:p w14:paraId="040BDEA5">
            <w:pPr>
              <w:widowControl/>
              <w:spacing w:line="240" w:lineRule="auto"/>
              <w:ind w:firstLine="0" w:firstLineChars="0"/>
              <w:jc w:val="left"/>
              <w:rPr>
                <w:rFonts w:hint="eastAsia"/>
                <w:kern w:val="0"/>
                <w:sz w:val="18"/>
                <w:szCs w:val="18"/>
              </w:rPr>
            </w:pPr>
          </w:p>
        </w:tc>
        <w:tc>
          <w:tcPr>
            <w:tcW w:w="1486" w:type="dxa"/>
            <w:vAlign w:val="center"/>
          </w:tcPr>
          <w:p w14:paraId="390153FF">
            <w:pPr>
              <w:ind w:left="0" w:leftChars="0" w:firstLine="0" w:firstLineChars="0"/>
              <w:rPr>
                <w:rFonts w:hint="eastAsia"/>
              </w:rPr>
            </w:pPr>
            <w:r>
              <w:rPr>
                <w:rFonts w:hint="eastAsia"/>
              </w:rPr>
              <w:t>系统资源访问控制信息完整性</w:t>
            </w:r>
          </w:p>
        </w:tc>
        <w:tc>
          <w:tcPr>
            <w:tcW w:w="2523" w:type="dxa"/>
            <w:vAlign w:val="center"/>
          </w:tcPr>
          <w:p w14:paraId="028EC17C">
            <w:pPr>
              <w:ind w:left="0" w:leftChars="0" w:firstLine="0" w:firstLineChars="0"/>
              <w:rPr>
                <w:rFonts w:hint="eastAsia"/>
              </w:rPr>
            </w:pPr>
            <w:r>
              <w:rPr>
                <w:rFonts w:hint="eastAsia"/>
              </w:rPr>
              <w:t>采用数字签名技术保证服务器访问控制信息的完整性</w:t>
            </w:r>
          </w:p>
        </w:tc>
        <w:tc>
          <w:tcPr>
            <w:tcW w:w="1857" w:type="dxa"/>
            <w:vAlign w:val="center"/>
          </w:tcPr>
          <w:p w14:paraId="4B2E52CD">
            <w:pPr>
              <w:ind w:left="0" w:leftChars="0" w:firstLine="0" w:firstLineChars="0"/>
              <w:rPr>
                <w:rFonts w:hint="eastAsia"/>
              </w:rPr>
            </w:pPr>
            <w:r>
              <w:rPr>
                <w:rFonts w:hint="eastAsia"/>
              </w:rPr>
              <w:t>符合</w:t>
            </w:r>
          </w:p>
        </w:tc>
        <w:tc>
          <w:tcPr>
            <w:tcW w:w="1503" w:type="dxa"/>
            <w:vAlign w:val="center"/>
          </w:tcPr>
          <w:p w14:paraId="320A718E">
            <w:pPr>
              <w:ind w:left="0" w:leftChars="0" w:firstLine="0" w:firstLineChars="0"/>
              <w:rPr>
                <w:rFonts w:hint="eastAsia"/>
              </w:rPr>
            </w:pPr>
          </w:p>
        </w:tc>
      </w:tr>
      <w:tr w14:paraId="6711BB0D">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continue"/>
            <w:vAlign w:val="center"/>
          </w:tcPr>
          <w:p w14:paraId="02F14348">
            <w:pPr>
              <w:widowControl/>
              <w:spacing w:line="240" w:lineRule="auto"/>
              <w:ind w:firstLine="0" w:firstLineChars="0"/>
              <w:jc w:val="left"/>
              <w:rPr>
                <w:rFonts w:hint="eastAsia"/>
                <w:kern w:val="0"/>
                <w:sz w:val="18"/>
                <w:szCs w:val="18"/>
              </w:rPr>
            </w:pPr>
          </w:p>
        </w:tc>
        <w:tc>
          <w:tcPr>
            <w:tcW w:w="1486" w:type="dxa"/>
            <w:vAlign w:val="center"/>
          </w:tcPr>
          <w:p w14:paraId="43A8D5A7">
            <w:pPr>
              <w:ind w:left="0" w:leftChars="0" w:firstLine="0" w:firstLineChars="0"/>
              <w:rPr>
                <w:rFonts w:hint="eastAsia"/>
              </w:rPr>
            </w:pPr>
            <w:r>
              <w:rPr>
                <w:rFonts w:hint="eastAsia"/>
              </w:rPr>
              <w:t>重要信息资源安全标记的完整性</w:t>
            </w:r>
          </w:p>
        </w:tc>
        <w:tc>
          <w:tcPr>
            <w:tcW w:w="2523" w:type="dxa"/>
            <w:vAlign w:val="center"/>
          </w:tcPr>
          <w:p w14:paraId="472F6251">
            <w:pPr>
              <w:ind w:left="0" w:leftChars="0" w:firstLine="0" w:firstLineChars="0"/>
              <w:rPr>
                <w:rFonts w:hint="eastAsia"/>
              </w:rPr>
            </w:pPr>
          </w:p>
        </w:tc>
        <w:tc>
          <w:tcPr>
            <w:tcW w:w="1857" w:type="dxa"/>
            <w:vAlign w:val="center"/>
          </w:tcPr>
          <w:p w14:paraId="57DD9D1B">
            <w:pPr>
              <w:ind w:left="0" w:leftChars="0" w:firstLine="0" w:firstLineChars="0"/>
              <w:rPr>
                <w:rFonts w:hint="eastAsia"/>
              </w:rPr>
            </w:pPr>
            <w:r>
              <w:rPr>
                <w:rFonts w:hint="eastAsia"/>
              </w:rPr>
              <w:t>不适用</w:t>
            </w:r>
          </w:p>
        </w:tc>
        <w:tc>
          <w:tcPr>
            <w:tcW w:w="1503" w:type="dxa"/>
            <w:vAlign w:val="center"/>
          </w:tcPr>
          <w:p w14:paraId="524DAB7A">
            <w:pPr>
              <w:ind w:left="0" w:leftChars="0" w:firstLine="0" w:firstLineChars="0"/>
              <w:rPr>
                <w:rFonts w:hint="eastAsia"/>
              </w:rPr>
            </w:pPr>
            <w:r>
              <w:rPr>
                <w:rFonts w:hint="eastAsia"/>
              </w:rPr>
              <w:t>无重要信息资源安全标记</w:t>
            </w:r>
          </w:p>
        </w:tc>
      </w:tr>
      <w:tr w14:paraId="519D7D34">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continue"/>
            <w:vAlign w:val="center"/>
          </w:tcPr>
          <w:p w14:paraId="7D2DD87F">
            <w:pPr>
              <w:widowControl/>
              <w:spacing w:line="240" w:lineRule="auto"/>
              <w:ind w:firstLine="0" w:firstLineChars="0"/>
              <w:jc w:val="left"/>
              <w:rPr>
                <w:rFonts w:hint="eastAsia"/>
                <w:kern w:val="0"/>
                <w:sz w:val="18"/>
                <w:szCs w:val="18"/>
              </w:rPr>
            </w:pPr>
          </w:p>
        </w:tc>
        <w:tc>
          <w:tcPr>
            <w:tcW w:w="1486" w:type="dxa"/>
            <w:vAlign w:val="center"/>
          </w:tcPr>
          <w:p w14:paraId="0134C3FD">
            <w:pPr>
              <w:ind w:left="0" w:leftChars="0" w:firstLine="0" w:firstLineChars="0"/>
              <w:rPr>
                <w:rFonts w:hint="eastAsia"/>
              </w:rPr>
            </w:pPr>
            <w:r>
              <w:rPr>
                <w:rFonts w:hint="eastAsia"/>
              </w:rPr>
              <w:t>日志记录完整性</w:t>
            </w:r>
          </w:p>
        </w:tc>
        <w:tc>
          <w:tcPr>
            <w:tcW w:w="2523" w:type="dxa"/>
            <w:vAlign w:val="center"/>
          </w:tcPr>
          <w:p w14:paraId="3EE38ACE">
            <w:pPr>
              <w:ind w:left="0" w:leftChars="0" w:firstLine="0" w:firstLineChars="0"/>
              <w:rPr>
                <w:rFonts w:hint="eastAsia"/>
              </w:rPr>
            </w:pPr>
            <w:r>
              <w:rPr>
                <w:rFonts w:hint="eastAsia"/>
              </w:rPr>
              <w:t>采用数字签名技术保证服务器日志记录的完整性</w:t>
            </w:r>
          </w:p>
        </w:tc>
        <w:tc>
          <w:tcPr>
            <w:tcW w:w="1857" w:type="dxa"/>
            <w:vAlign w:val="center"/>
          </w:tcPr>
          <w:p w14:paraId="5B932D65">
            <w:pPr>
              <w:ind w:left="0" w:leftChars="0" w:firstLine="0" w:firstLineChars="0"/>
              <w:rPr>
                <w:rFonts w:hint="eastAsia"/>
              </w:rPr>
            </w:pPr>
            <w:r>
              <w:rPr>
                <w:rFonts w:hint="eastAsia"/>
              </w:rPr>
              <w:t>符合</w:t>
            </w:r>
          </w:p>
        </w:tc>
        <w:tc>
          <w:tcPr>
            <w:tcW w:w="1503" w:type="dxa"/>
            <w:vAlign w:val="center"/>
          </w:tcPr>
          <w:p w14:paraId="22C11EAE">
            <w:pPr>
              <w:ind w:left="0" w:leftChars="0" w:firstLine="0" w:firstLineChars="0"/>
              <w:rPr>
                <w:rFonts w:hint="eastAsia"/>
              </w:rPr>
            </w:pPr>
          </w:p>
        </w:tc>
      </w:tr>
      <w:tr w14:paraId="14A1D227">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continue"/>
            <w:vAlign w:val="center"/>
          </w:tcPr>
          <w:p w14:paraId="5F26273C">
            <w:pPr>
              <w:widowControl/>
              <w:spacing w:line="240" w:lineRule="auto"/>
              <w:ind w:firstLine="0" w:firstLineChars="0"/>
              <w:jc w:val="left"/>
              <w:rPr>
                <w:rFonts w:hint="eastAsia"/>
                <w:kern w:val="0"/>
                <w:sz w:val="18"/>
                <w:szCs w:val="18"/>
              </w:rPr>
            </w:pPr>
          </w:p>
        </w:tc>
        <w:tc>
          <w:tcPr>
            <w:tcW w:w="1486" w:type="dxa"/>
            <w:vAlign w:val="center"/>
          </w:tcPr>
          <w:p w14:paraId="3C7680FF">
            <w:pPr>
              <w:ind w:left="0" w:leftChars="0" w:firstLine="0" w:firstLineChars="0"/>
              <w:rPr>
                <w:rFonts w:hint="eastAsia"/>
              </w:rPr>
            </w:pPr>
            <w:r>
              <w:rPr>
                <w:rFonts w:hint="eastAsia"/>
              </w:rPr>
              <w:t>重要可执行程序完整性、重要可执行程序来源真实性</w:t>
            </w:r>
          </w:p>
        </w:tc>
        <w:tc>
          <w:tcPr>
            <w:tcW w:w="2523" w:type="dxa"/>
            <w:vAlign w:val="center"/>
          </w:tcPr>
          <w:p w14:paraId="076ABF22">
            <w:pPr>
              <w:ind w:left="0" w:leftChars="0" w:firstLine="0" w:firstLineChars="0"/>
              <w:rPr>
                <w:rFonts w:hint="eastAsia"/>
              </w:rPr>
            </w:pPr>
            <w:r>
              <w:rPr>
                <w:rFonts w:hint="eastAsia"/>
              </w:rPr>
              <w:t>无</w:t>
            </w:r>
          </w:p>
        </w:tc>
        <w:tc>
          <w:tcPr>
            <w:tcW w:w="1857" w:type="dxa"/>
            <w:vAlign w:val="center"/>
          </w:tcPr>
          <w:p w14:paraId="3F58CD22">
            <w:pPr>
              <w:ind w:left="0" w:leftChars="0" w:firstLine="0" w:firstLineChars="0"/>
              <w:rPr>
                <w:rFonts w:hint="eastAsia"/>
              </w:rPr>
            </w:pPr>
            <w:r>
              <w:rPr>
                <w:rFonts w:hint="eastAsia"/>
              </w:rPr>
              <w:t>不符合</w:t>
            </w:r>
          </w:p>
        </w:tc>
        <w:tc>
          <w:tcPr>
            <w:tcW w:w="1503" w:type="dxa"/>
            <w:vAlign w:val="center"/>
          </w:tcPr>
          <w:p w14:paraId="15DEAF57">
            <w:pPr>
              <w:ind w:left="0" w:leftChars="0" w:firstLine="0" w:firstLineChars="0"/>
              <w:rPr>
                <w:rFonts w:hint="eastAsia"/>
              </w:rPr>
            </w:pPr>
          </w:p>
        </w:tc>
      </w:tr>
      <w:tr w14:paraId="48922C00">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restart"/>
            <w:vAlign w:val="center"/>
          </w:tcPr>
          <w:p w14:paraId="0B287001">
            <w:pPr>
              <w:ind w:left="0" w:leftChars="0" w:firstLine="0" w:firstLineChars="0"/>
              <w:rPr>
                <w:rFonts w:hint="eastAsia"/>
              </w:rPr>
            </w:pPr>
            <w:r>
              <w:rPr>
                <w:rFonts w:hint="eastAsia"/>
              </w:rPr>
              <w:t>应用和数据安全</w:t>
            </w:r>
          </w:p>
        </w:tc>
        <w:tc>
          <w:tcPr>
            <w:tcW w:w="1486" w:type="dxa"/>
            <w:vAlign w:val="center"/>
          </w:tcPr>
          <w:p w14:paraId="6D5CE768">
            <w:pPr>
              <w:ind w:left="0" w:leftChars="0" w:firstLine="0" w:firstLineChars="0"/>
              <w:rPr>
                <w:rFonts w:hint="eastAsia"/>
              </w:rPr>
            </w:pPr>
            <w:r>
              <w:rPr>
                <w:rFonts w:hint="eastAsia"/>
              </w:rPr>
              <w:t>身份鉴别</w:t>
            </w:r>
          </w:p>
        </w:tc>
        <w:tc>
          <w:tcPr>
            <w:tcW w:w="2523" w:type="dxa"/>
            <w:vAlign w:val="center"/>
          </w:tcPr>
          <w:p w14:paraId="5F30B618">
            <w:pPr>
              <w:ind w:left="0" w:leftChars="0" w:firstLine="0" w:firstLineChars="0"/>
              <w:rPr>
                <w:rFonts w:hint="eastAsia"/>
              </w:rPr>
            </w:pPr>
            <w:r>
              <w:rPr>
                <w:rFonts w:hint="eastAsia"/>
              </w:rPr>
              <w:t>基于安全认证网关，采用SM2算法的数字证书实现身份鉴别</w:t>
            </w:r>
          </w:p>
        </w:tc>
        <w:tc>
          <w:tcPr>
            <w:tcW w:w="1857" w:type="dxa"/>
            <w:vAlign w:val="center"/>
          </w:tcPr>
          <w:p w14:paraId="6B3BDA5F">
            <w:pPr>
              <w:ind w:left="0" w:leftChars="0" w:firstLine="0" w:firstLineChars="0"/>
              <w:rPr>
                <w:rFonts w:hint="eastAsia"/>
              </w:rPr>
            </w:pPr>
            <w:r>
              <w:rPr>
                <w:rFonts w:hint="eastAsia"/>
              </w:rPr>
              <w:t>符合</w:t>
            </w:r>
          </w:p>
        </w:tc>
        <w:tc>
          <w:tcPr>
            <w:tcW w:w="1503" w:type="dxa"/>
            <w:vAlign w:val="center"/>
          </w:tcPr>
          <w:p w14:paraId="5F103AD9">
            <w:pPr>
              <w:ind w:left="0" w:leftChars="0" w:firstLine="0" w:firstLineChars="0"/>
              <w:rPr>
                <w:rFonts w:hint="eastAsia"/>
              </w:rPr>
            </w:pPr>
          </w:p>
        </w:tc>
      </w:tr>
      <w:tr w14:paraId="722BB5EA">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continue"/>
            <w:vAlign w:val="center"/>
          </w:tcPr>
          <w:p w14:paraId="54C83A43">
            <w:pPr>
              <w:ind w:left="0" w:leftChars="0" w:firstLine="0" w:firstLineChars="0"/>
              <w:rPr>
                <w:rFonts w:hint="eastAsia"/>
              </w:rPr>
            </w:pPr>
          </w:p>
        </w:tc>
        <w:tc>
          <w:tcPr>
            <w:tcW w:w="1486" w:type="dxa"/>
            <w:vAlign w:val="center"/>
          </w:tcPr>
          <w:p w14:paraId="7FD2AB82">
            <w:pPr>
              <w:ind w:left="0" w:leftChars="0" w:firstLine="0" w:firstLineChars="0"/>
              <w:rPr>
                <w:rFonts w:hint="eastAsia"/>
              </w:rPr>
            </w:pPr>
            <w:r>
              <w:rPr>
                <w:rFonts w:hint="eastAsia"/>
              </w:rPr>
              <w:t>访问控制信息完整性</w:t>
            </w:r>
          </w:p>
        </w:tc>
        <w:tc>
          <w:tcPr>
            <w:tcW w:w="2523" w:type="dxa"/>
            <w:vAlign w:val="center"/>
          </w:tcPr>
          <w:p w14:paraId="3C476092">
            <w:pPr>
              <w:ind w:left="0" w:leftChars="0" w:firstLine="0" w:firstLineChars="0"/>
              <w:rPr>
                <w:rFonts w:hint="eastAsia"/>
              </w:rPr>
            </w:pPr>
            <w:r>
              <w:rPr>
                <w:rFonts w:hint="eastAsia"/>
              </w:rPr>
              <w:t>基于签名验签服务，采用SM2算法数字签名进行完整性保护</w:t>
            </w:r>
          </w:p>
        </w:tc>
        <w:tc>
          <w:tcPr>
            <w:tcW w:w="1857" w:type="dxa"/>
            <w:vAlign w:val="center"/>
          </w:tcPr>
          <w:p w14:paraId="117D729D">
            <w:pPr>
              <w:ind w:left="0" w:leftChars="0" w:firstLine="0" w:firstLineChars="0"/>
              <w:rPr>
                <w:rFonts w:hint="eastAsia"/>
              </w:rPr>
            </w:pPr>
            <w:r>
              <w:rPr>
                <w:rFonts w:hint="eastAsia"/>
              </w:rPr>
              <w:t>符合</w:t>
            </w:r>
          </w:p>
        </w:tc>
        <w:tc>
          <w:tcPr>
            <w:tcW w:w="1503" w:type="dxa"/>
            <w:vAlign w:val="center"/>
          </w:tcPr>
          <w:p w14:paraId="15D3BBA3">
            <w:pPr>
              <w:ind w:left="0" w:leftChars="0" w:firstLine="0" w:firstLineChars="0"/>
              <w:rPr>
                <w:rFonts w:hint="eastAsia"/>
              </w:rPr>
            </w:pPr>
          </w:p>
        </w:tc>
      </w:tr>
      <w:tr w14:paraId="2B11EC1A">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continue"/>
            <w:vAlign w:val="center"/>
          </w:tcPr>
          <w:p w14:paraId="41145211">
            <w:pPr>
              <w:ind w:left="0" w:leftChars="0" w:firstLine="0" w:firstLineChars="0"/>
              <w:rPr>
                <w:rFonts w:hint="eastAsia"/>
              </w:rPr>
            </w:pPr>
          </w:p>
        </w:tc>
        <w:tc>
          <w:tcPr>
            <w:tcW w:w="1486" w:type="dxa"/>
            <w:vAlign w:val="center"/>
          </w:tcPr>
          <w:p w14:paraId="4381A7AA">
            <w:pPr>
              <w:ind w:left="0" w:leftChars="0" w:firstLine="0" w:firstLineChars="0"/>
              <w:rPr>
                <w:rFonts w:hint="eastAsia"/>
              </w:rPr>
            </w:pPr>
            <w:r>
              <w:rPr>
                <w:rFonts w:hint="eastAsia"/>
              </w:rPr>
              <w:t>重要信息资源安全标记完整性</w:t>
            </w:r>
          </w:p>
        </w:tc>
        <w:tc>
          <w:tcPr>
            <w:tcW w:w="2523" w:type="dxa"/>
            <w:vAlign w:val="center"/>
          </w:tcPr>
          <w:p w14:paraId="5EBFFFF3">
            <w:pPr>
              <w:ind w:left="0" w:leftChars="0" w:firstLine="0" w:firstLineChars="0"/>
              <w:rPr>
                <w:rFonts w:hint="eastAsia"/>
              </w:rPr>
            </w:pPr>
            <w:r>
              <w:rPr>
                <w:rFonts w:hint="eastAsia"/>
              </w:rPr>
              <w:t>基于签名验签服务，采用SM2算法数字签名进行完整性保护</w:t>
            </w:r>
          </w:p>
        </w:tc>
        <w:tc>
          <w:tcPr>
            <w:tcW w:w="1857" w:type="dxa"/>
            <w:vAlign w:val="center"/>
          </w:tcPr>
          <w:p w14:paraId="2628ACF9">
            <w:pPr>
              <w:ind w:left="0" w:leftChars="0" w:firstLine="0" w:firstLineChars="0"/>
              <w:rPr>
                <w:rFonts w:hint="eastAsia"/>
              </w:rPr>
            </w:pPr>
            <w:r>
              <w:rPr>
                <w:rFonts w:hint="eastAsia"/>
              </w:rPr>
              <w:t>符合</w:t>
            </w:r>
          </w:p>
        </w:tc>
        <w:tc>
          <w:tcPr>
            <w:tcW w:w="1503" w:type="dxa"/>
            <w:vAlign w:val="center"/>
          </w:tcPr>
          <w:p w14:paraId="3A43639D">
            <w:pPr>
              <w:ind w:left="0" w:leftChars="0" w:firstLine="0" w:firstLineChars="0"/>
              <w:rPr>
                <w:rFonts w:hint="eastAsia"/>
              </w:rPr>
            </w:pPr>
          </w:p>
        </w:tc>
      </w:tr>
      <w:tr w14:paraId="410AD81E">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continue"/>
            <w:vAlign w:val="center"/>
          </w:tcPr>
          <w:p w14:paraId="71D82530">
            <w:pPr>
              <w:widowControl/>
              <w:spacing w:line="240" w:lineRule="auto"/>
              <w:ind w:firstLine="0" w:firstLineChars="0"/>
              <w:jc w:val="left"/>
              <w:rPr>
                <w:rFonts w:hint="eastAsia"/>
                <w:kern w:val="0"/>
                <w:sz w:val="18"/>
                <w:szCs w:val="18"/>
              </w:rPr>
            </w:pPr>
          </w:p>
        </w:tc>
        <w:tc>
          <w:tcPr>
            <w:tcW w:w="1486" w:type="dxa"/>
            <w:vAlign w:val="center"/>
          </w:tcPr>
          <w:p w14:paraId="4612FC81">
            <w:pPr>
              <w:ind w:left="0" w:leftChars="0" w:firstLine="0" w:firstLineChars="0"/>
              <w:rPr>
                <w:rFonts w:hint="eastAsia"/>
              </w:rPr>
            </w:pPr>
            <w:r>
              <w:rPr>
                <w:rFonts w:hint="eastAsia"/>
              </w:rPr>
              <w:t>重要数据传输机密性</w:t>
            </w:r>
          </w:p>
        </w:tc>
        <w:tc>
          <w:tcPr>
            <w:tcW w:w="2523" w:type="dxa"/>
            <w:vAlign w:val="center"/>
          </w:tcPr>
          <w:p w14:paraId="00DCDCEC">
            <w:pPr>
              <w:ind w:left="0" w:leftChars="0" w:firstLine="0" w:firstLineChars="0"/>
              <w:rPr>
                <w:rFonts w:hint="eastAsia"/>
              </w:rPr>
            </w:pPr>
            <w:r>
              <w:rPr>
                <w:rFonts w:hint="eastAsia"/>
              </w:rPr>
              <w:t>基于安全认证网关，建立GMSSL安全信道保护重要数据传输机密性。</w:t>
            </w:r>
          </w:p>
        </w:tc>
        <w:tc>
          <w:tcPr>
            <w:tcW w:w="1857" w:type="dxa"/>
            <w:vAlign w:val="center"/>
          </w:tcPr>
          <w:p w14:paraId="11E32644">
            <w:pPr>
              <w:ind w:left="0" w:leftChars="0" w:firstLine="0" w:firstLineChars="0"/>
              <w:rPr>
                <w:rFonts w:hint="eastAsia"/>
              </w:rPr>
            </w:pPr>
            <w:r>
              <w:rPr>
                <w:rFonts w:hint="eastAsia"/>
              </w:rPr>
              <w:t>符合</w:t>
            </w:r>
          </w:p>
        </w:tc>
        <w:tc>
          <w:tcPr>
            <w:tcW w:w="1503" w:type="dxa"/>
            <w:vAlign w:val="center"/>
          </w:tcPr>
          <w:p w14:paraId="137FA8C7">
            <w:pPr>
              <w:ind w:left="0" w:leftChars="0" w:firstLine="0" w:firstLineChars="0"/>
              <w:rPr>
                <w:rFonts w:hint="eastAsia"/>
              </w:rPr>
            </w:pPr>
          </w:p>
        </w:tc>
      </w:tr>
      <w:tr w14:paraId="79987D92">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continue"/>
            <w:vAlign w:val="center"/>
          </w:tcPr>
          <w:p w14:paraId="5D7EDE43">
            <w:pPr>
              <w:widowControl/>
              <w:spacing w:line="240" w:lineRule="auto"/>
              <w:ind w:firstLine="0" w:firstLineChars="0"/>
              <w:jc w:val="left"/>
              <w:rPr>
                <w:rFonts w:hint="eastAsia"/>
                <w:kern w:val="0"/>
                <w:sz w:val="18"/>
                <w:szCs w:val="18"/>
              </w:rPr>
            </w:pPr>
          </w:p>
        </w:tc>
        <w:tc>
          <w:tcPr>
            <w:tcW w:w="1486" w:type="dxa"/>
            <w:vAlign w:val="center"/>
          </w:tcPr>
          <w:p w14:paraId="7E0F84EE">
            <w:pPr>
              <w:ind w:left="0" w:leftChars="0" w:firstLine="0" w:firstLineChars="0"/>
              <w:rPr>
                <w:rFonts w:hint="eastAsia"/>
              </w:rPr>
            </w:pPr>
            <w:r>
              <w:rPr>
                <w:rFonts w:hint="eastAsia"/>
              </w:rPr>
              <w:t>重要数据存储机密性</w:t>
            </w:r>
          </w:p>
        </w:tc>
        <w:tc>
          <w:tcPr>
            <w:tcW w:w="2523" w:type="dxa"/>
            <w:vAlign w:val="center"/>
          </w:tcPr>
          <w:p w14:paraId="4ADC0F94">
            <w:pPr>
              <w:ind w:left="0" w:leftChars="0" w:firstLine="0" w:firstLineChars="0"/>
              <w:rPr>
                <w:rFonts w:hint="eastAsia"/>
              </w:rPr>
            </w:pPr>
            <w:r>
              <w:rPr>
                <w:rFonts w:hint="eastAsia"/>
              </w:rPr>
              <w:t>基于密码机服务，采用SM4算法的加密服务实现加密存储</w:t>
            </w:r>
          </w:p>
        </w:tc>
        <w:tc>
          <w:tcPr>
            <w:tcW w:w="1857" w:type="dxa"/>
            <w:vAlign w:val="center"/>
          </w:tcPr>
          <w:p w14:paraId="29D21FD9">
            <w:pPr>
              <w:ind w:left="0" w:leftChars="0" w:firstLine="0" w:firstLineChars="0"/>
              <w:rPr>
                <w:rFonts w:hint="eastAsia"/>
              </w:rPr>
            </w:pPr>
            <w:r>
              <w:rPr>
                <w:rFonts w:hint="eastAsia"/>
              </w:rPr>
              <w:t>符合</w:t>
            </w:r>
          </w:p>
        </w:tc>
        <w:tc>
          <w:tcPr>
            <w:tcW w:w="1503" w:type="dxa"/>
            <w:vAlign w:val="center"/>
          </w:tcPr>
          <w:p w14:paraId="7E930A29">
            <w:pPr>
              <w:ind w:left="0" w:leftChars="0" w:firstLine="0" w:firstLineChars="0"/>
              <w:rPr>
                <w:rFonts w:hint="eastAsia"/>
              </w:rPr>
            </w:pPr>
          </w:p>
        </w:tc>
      </w:tr>
      <w:tr w14:paraId="5F40C0E1">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continue"/>
            <w:vAlign w:val="center"/>
          </w:tcPr>
          <w:p w14:paraId="27A7B100">
            <w:pPr>
              <w:widowControl/>
              <w:spacing w:line="240" w:lineRule="auto"/>
              <w:ind w:firstLine="0" w:firstLineChars="0"/>
              <w:jc w:val="left"/>
              <w:rPr>
                <w:rFonts w:hint="eastAsia"/>
                <w:kern w:val="0"/>
                <w:sz w:val="18"/>
                <w:szCs w:val="18"/>
              </w:rPr>
            </w:pPr>
          </w:p>
        </w:tc>
        <w:tc>
          <w:tcPr>
            <w:tcW w:w="1486" w:type="dxa"/>
            <w:vAlign w:val="center"/>
          </w:tcPr>
          <w:p w14:paraId="14CB4D32">
            <w:pPr>
              <w:ind w:left="0" w:leftChars="0" w:firstLine="0" w:firstLineChars="0"/>
              <w:rPr>
                <w:rFonts w:hint="eastAsia"/>
              </w:rPr>
            </w:pPr>
            <w:r>
              <w:rPr>
                <w:rFonts w:hint="eastAsia"/>
              </w:rPr>
              <w:t>重要数据传输完整性</w:t>
            </w:r>
          </w:p>
        </w:tc>
        <w:tc>
          <w:tcPr>
            <w:tcW w:w="2523" w:type="dxa"/>
            <w:vAlign w:val="center"/>
          </w:tcPr>
          <w:p w14:paraId="56D31FF4">
            <w:pPr>
              <w:ind w:left="0" w:leftChars="0" w:firstLine="0" w:firstLineChars="0"/>
              <w:rPr>
                <w:rFonts w:hint="eastAsia"/>
              </w:rPr>
            </w:pPr>
            <w:r>
              <w:rPr>
                <w:rFonts w:hint="eastAsia"/>
              </w:rPr>
              <w:t>基于安全认证网关，建立GMSSL安全信道并结合数字签名技术保证重要数据传输完整性。</w:t>
            </w:r>
          </w:p>
        </w:tc>
        <w:tc>
          <w:tcPr>
            <w:tcW w:w="1857" w:type="dxa"/>
            <w:vAlign w:val="center"/>
          </w:tcPr>
          <w:p w14:paraId="10E2BB4D">
            <w:pPr>
              <w:ind w:left="0" w:leftChars="0" w:firstLine="0" w:firstLineChars="0"/>
              <w:rPr>
                <w:rFonts w:hint="eastAsia"/>
              </w:rPr>
            </w:pPr>
            <w:r>
              <w:rPr>
                <w:rFonts w:hint="eastAsia"/>
              </w:rPr>
              <w:t>符合</w:t>
            </w:r>
          </w:p>
        </w:tc>
        <w:tc>
          <w:tcPr>
            <w:tcW w:w="1503" w:type="dxa"/>
            <w:vAlign w:val="center"/>
          </w:tcPr>
          <w:p w14:paraId="1A2A03EE">
            <w:pPr>
              <w:ind w:left="0" w:leftChars="0" w:firstLine="0" w:firstLineChars="0"/>
              <w:rPr>
                <w:rFonts w:hint="eastAsia"/>
              </w:rPr>
            </w:pPr>
          </w:p>
        </w:tc>
      </w:tr>
      <w:tr w14:paraId="20D3435C">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continue"/>
            <w:vAlign w:val="center"/>
          </w:tcPr>
          <w:p w14:paraId="37829D3E">
            <w:pPr>
              <w:widowControl/>
              <w:spacing w:line="240" w:lineRule="auto"/>
              <w:ind w:firstLine="0" w:firstLineChars="0"/>
              <w:jc w:val="left"/>
              <w:rPr>
                <w:rFonts w:hint="eastAsia"/>
                <w:kern w:val="0"/>
                <w:sz w:val="18"/>
                <w:szCs w:val="18"/>
              </w:rPr>
            </w:pPr>
          </w:p>
        </w:tc>
        <w:tc>
          <w:tcPr>
            <w:tcW w:w="1486" w:type="dxa"/>
            <w:vAlign w:val="center"/>
          </w:tcPr>
          <w:p w14:paraId="5692D8A1">
            <w:pPr>
              <w:ind w:left="0" w:leftChars="0" w:firstLine="0" w:firstLineChars="0"/>
              <w:rPr>
                <w:rFonts w:hint="eastAsia"/>
              </w:rPr>
            </w:pPr>
            <w:r>
              <w:rPr>
                <w:rFonts w:hint="eastAsia"/>
              </w:rPr>
              <w:t>重要数据存储完整性</w:t>
            </w:r>
          </w:p>
        </w:tc>
        <w:tc>
          <w:tcPr>
            <w:tcW w:w="2523" w:type="dxa"/>
            <w:vAlign w:val="center"/>
          </w:tcPr>
          <w:p w14:paraId="735FC6C3">
            <w:pPr>
              <w:ind w:left="0" w:leftChars="0" w:firstLine="0" w:firstLineChars="0"/>
              <w:rPr>
                <w:rFonts w:hint="eastAsia"/>
              </w:rPr>
            </w:pPr>
            <w:r>
              <w:rPr>
                <w:rFonts w:hint="eastAsia"/>
              </w:rPr>
              <w:t>基于签名验签服务，采用SM2算法数字签名进行完整性校验</w:t>
            </w:r>
          </w:p>
        </w:tc>
        <w:tc>
          <w:tcPr>
            <w:tcW w:w="1857" w:type="dxa"/>
            <w:vAlign w:val="center"/>
          </w:tcPr>
          <w:p w14:paraId="2CC4F193">
            <w:pPr>
              <w:ind w:left="0" w:leftChars="0" w:firstLine="0" w:firstLineChars="0"/>
              <w:rPr>
                <w:rFonts w:hint="eastAsia"/>
              </w:rPr>
            </w:pPr>
            <w:r>
              <w:rPr>
                <w:rFonts w:hint="eastAsia"/>
              </w:rPr>
              <w:t>符合</w:t>
            </w:r>
          </w:p>
        </w:tc>
        <w:tc>
          <w:tcPr>
            <w:tcW w:w="1503" w:type="dxa"/>
            <w:vAlign w:val="center"/>
          </w:tcPr>
          <w:p w14:paraId="3A569F12">
            <w:pPr>
              <w:ind w:left="0" w:leftChars="0" w:firstLine="0" w:firstLineChars="0"/>
              <w:rPr>
                <w:rFonts w:hint="eastAsia"/>
              </w:rPr>
            </w:pPr>
          </w:p>
        </w:tc>
      </w:tr>
      <w:tr w14:paraId="5C26D935">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continue"/>
            <w:vAlign w:val="center"/>
          </w:tcPr>
          <w:p w14:paraId="4B7D5FE8">
            <w:pPr>
              <w:widowControl/>
              <w:spacing w:line="240" w:lineRule="auto"/>
              <w:ind w:firstLine="0" w:firstLineChars="0"/>
              <w:jc w:val="left"/>
              <w:rPr>
                <w:rFonts w:hint="eastAsia"/>
                <w:kern w:val="0"/>
                <w:sz w:val="18"/>
                <w:szCs w:val="18"/>
              </w:rPr>
            </w:pPr>
          </w:p>
        </w:tc>
        <w:tc>
          <w:tcPr>
            <w:tcW w:w="1486" w:type="dxa"/>
            <w:vAlign w:val="center"/>
          </w:tcPr>
          <w:p w14:paraId="267A88C1">
            <w:pPr>
              <w:ind w:left="0" w:leftChars="0" w:firstLine="0" w:firstLineChars="0"/>
              <w:rPr>
                <w:rFonts w:hint="eastAsia"/>
              </w:rPr>
            </w:pPr>
            <w:r>
              <w:rPr>
                <w:rFonts w:hint="eastAsia"/>
              </w:rPr>
              <w:t>不可否认性</w:t>
            </w:r>
          </w:p>
        </w:tc>
        <w:tc>
          <w:tcPr>
            <w:tcW w:w="2523" w:type="dxa"/>
            <w:vAlign w:val="center"/>
          </w:tcPr>
          <w:p w14:paraId="4CDE2321">
            <w:pPr>
              <w:ind w:left="0" w:leftChars="0" w:firstLine="0" w:firstLineChars="0"/>
              <w:rPr>
                <w:rFonts w:hint="eastAsia"/>
              </w:rPr>
            </w:pPr>
            <w:r>
              <w:rPr>
                <w:rFonts w:hint="eastAsia"/>
              </w:rPr>
              <w:t>关键操作行为采用SM2算法数字签名实现其不可否认性</w:t>
            </w:r>
          </w:p>
        </w:tc>
        <w:tc>
          <w:tcPr>
            <w:tcW w:w="1857" w:type="dxa"/>
            <w:vAlign w:val="center"/>
          </w:tcPr>
          <w:p w14:paraId="53728BBC">
            <w:pPr>
              <w:ind w:left="0" w:leftChars="0" w:firstLine="0" w:firstLineChars="0"/>
              <w:rPr>
                <w:rFonts w:hint="eastAsia"/>
              </w:rPr>
            </w:pPr>
            <w:r>
              <w:rPr>
                <w:rFonts w:hint="eastAsia"/>
              </w:rPr>
              <w:t>符合</w:t>
            </w:r>
          </w:p>
        </w:tc>
        <w:tc>
          <w:tcPr>
            <w:tcW w:w="1503" w:type="dxa"/>
            <w:vAlign w:val="center"/>
          </w:tcPr>
          <w:p w14:paraId="1EB5E8D6">
            <w:pPr>
              <w:ind w:left="0" w:leftChars="0" w:firstLine="0" w:firstLineChars="0"/>
              <w:rPr>
                <w:rFonts w:hint="eastAsia"/>
              </w:rPr>
            </w:pPr>
          </w:p>
        </w:tc>
      </w:tr>
    </w:tbl>
    <w:p w14:paraId="7C364EBD">
      <w:pPr>
        <w:ind w:firstLine="0" w:firstLineChars="0"/>
        <w:rPr>
          <w:rFonts w:hint="eastAsia" w:ascii="仿宋_GB2312" w:eastAsia="仿宋_GB2312" w:cs="仿宋_GB2312"/>
          <w:color w:val="000000"/>
          <w:kern w:val="0"/>
          <w:sz w:val="28"/>
          <w:szCs w:val="28"/>
        </w:rPr>
      </w:pPr>
    </w:p>
    <w:p w14:paraId="501BC630">
      <w:pPr>
        <w:pStyle w:val="3"/>
        <w:rPr>
          <w:rFonts w:hint="eastAsia"/>
        </w:rPr>
      </w:pPr>
      <w:bookmarkStart w:id="41" w:name="_Toc63785512"/>
      <w:r>
        <w:rPr>
          <w:rFonts w:hint="eastAsia"/>
        </w:rPr>
        <w:t>技术文件要求</w:t>
      </w:r>
    </w:p>
    <w:p w14:paraId="1D0E32A5">
      <w:pPr>
        <w:rPr>
          <w:rFonts w:hint="eastAsia"/>
        </w:rPr>
      </w:pPr>
      <w:r>
        <w:rPr>
          <w:rFonts w:hint="eastAsia"/>
          <w:lang w:eastAsia="zh-CN"/>
        </w:rPr>
        <w:t>供应商</w:t>
      </w:r>
      <w:r>
        <w:rPr>
          <w:rFonts w:hint="eastAsia"/>
        </w:rPr>
        <w:t>提供的书面技术资料应能确保系统正常运行所需的管理、运营及维护有关的全套文件。技术文件应该全面、完整、详细。</w:t>
      </w:r>
      <w:r>
        <w:rPr>
          <w:rFonts w:hint="eastAsia"/>
          <w:lang w:eastAsia="zh-CN"/>
        </w:rPr>
        <w:t>供应商</w:t>
      </w:r>
      <w:r>
        <w:rPr>
          <w:rFonts w:hint="eastAsia"/>
        </w:rPr>
        <w:t>提供的技术文件至少应包括：</w:t>
      </w:r>
    </w:p>
    <w:p w14:paraId="766544C6">
      <w:pPr>
        <w:rPr>
          <w:rFonts w:hint="eastAsia"/>
        </w:rPr>
      </w:pPr>
      <w:r>
        <w:rPr>
          <w:rFonts w:hint="eastAsia"/>
        </w:rPr>
        <w:t>－</w:t>
      </w:r>
      <w:r>
        <w:t xml:space="preserve"> 系统说明文件； </w:t>
      </w:r>
    </w:p>
    <w:p w14:paraId="66C8F829">
      <w:pPr>
        <w:rPr>
          <w:rFonts w:hint="eastAsia"/>
        </w:rPr>
      </w:pPr>
      <w:r>
        <w:rPr>
          <w:rFonts w:hint="eastAsia"/>
        </w:rPr>
        <w:t>－</w:t>
      </w:r>
      <w:r>
        <w:t xml:space="preserve"> 技术手册(安装、测试、操作、维护、故障排除等)； </w:t>
      </w:r>
    </w:p>
    <w:p w14:paraId="034B4323">
      <w:pPr>
        <w:rPr>
          <w:rFonts w:hint="eastAsia"/>
        </w:rPr>
      </w:pPr>
      <w:r>
        <w:rPr>
          <w:rFonts w:hint="eastAsia"/>
        </w:rPr>
        <w:t>－</w:t>
      </w:r>
      <w:r>
        <w:t xml:space="preserve"> 项目文档，应该包括：</w:t>
      </w:r>
    </w:p>
    <w:p w14:paraId="0C6BD6F0">
      <w:pPr>
        <w:ind w:left="360"/>
        <w:rPr>
          <w:rFonts w:hint="eastAsia"/>
        </w:rPr>
      </w:pPr>
      <w:r>
        <w:t>(1)软件需求说明书</w:t>
      </w:r>
    </w:p>
    <w:p w14:paraId="466CC089">
      <w:pPr>
        <w:ind w:left="360"/>
        <w:rPr>
          <w:rFonts w:hint="eastAsia"/>
        </w:rPr>
      </w:pPr>
      <w:r>
        <w:t>(2)</w:t>
      </w:r>
      <w:r>
        <w:tab/>
      </w:r>
      <w:r>
        <w:t>系统总体设计说明书</w:t>
      </w:r>
    </w:p>
    <w:p w14:paraId="3980D067">
      <w:pPr>
        <w:ind w:left="360"/>
        <w:rPr>
          <w:rFonts w:hint="eastAsia"/>
        </w:rPr>
      </w:pPr>
      <w:r>
        <w:t>(3)</w:t>
      </w:r>
      <w:r>
        <w:tab/>
      </w:r>
      <w:r>
        <w:t>应用软件功能清单</w:t>
      </w:r>
    </w:p>
    <w:p w14:paraId="0CF41185">
      <w:pPr>
        <w:rPr>
          <w:rFonts w:hint="eastAsia"/>
        </w:rPr>
      </w:pPr>
      <w:r>
        <w:rPr>
          <w:rFonts w:hint="eastAsia"/>
        </w:rPr>
        <w:t>提供全套技术文件纸介质</w:t>
      </w:r>
      <w:r>
        <w:t>3套以及电子文件1套。</w:t>
      </w:r>
    </w:p>
    <w:p w14:paraId="038B572B">
      <w:pPr>
        <w:pStyle w:val="2"/>
        <w:rPr>
          <w:rFonts w:hint="eastAsia"/>
        </w:rPr>
      </w:pPr>
      <w:r>
        <w:rPr>
          <w:rFonts w:hint="eastAsia"/>
        </w:rPr>
        <w:t>供应商管理要求</w:t>
      </w:r>
      <w:bookmarkEnd w:id="41"/>
    </w:p>
    <w:p w14:paraId="34A25A71">
      <w:pPr>
        <w:pStyle w:val="80"/>
        <w:ind w:firstLine="480"/>
        <w:rPr>
          <w:rFonts w:hint="eastAsia"/>
          <w:sz w:val="24"/>
          <w:szCs w:val="24"/>
        </w:rPr>
      </w:pPr>
      <w:r>
        <w:rPr>
          <w:rFonts w:hint="eastAsia"/>
          <w:sz w:val="24"/>
          <w:szCs w:val="24"/>
        </w:rPr>
        <w:t>1、在项目实施期间，</w:t>
      </w:r>
      <w:r>
        <w:rPr>
          <w:rFonts w:hint="eastAsia"/>
          <w:sz w:val="24"/>
          <w:szCs w:val="24"/>
          <w:lang w:eastAsia="zh-CN"/>
        </w:rPr>
        <w:t>成交供应商</w:t>
      </w:r>
      <w:r>
        <w:rPr>
          <w:rFonts w:hint="eastAsia"/>
          <w:sz w:val="24"/>
          <w:szCs w:val="24"/>
        </w:rPr>
        <w:t>应严格执行国家、地方、行业有关本项目业务管理和安全作业的法律、法规和制度并按规定承担相应的费用。</w:t>
      </w:r>
      <w:r>
        <w:rPr>
          <w:rFonts w:hint="eastAsia"/>
          <w:sz w:val="24"/>
          <w:szCs w:val="24"/>
          <w:lang w:eastAsia="zh-CN"/>
        </w:rPr>
        <w:t>成交供应商</w:t>
      </w:r>
      <w:r>
        <w:rPr>
          <w:rFonts w:hint="eastAsia"/>
          <w:sz w:val="24"/>
          <w:szCs w:val="24"/>
        </w:rPr>
        <w:t>因违反规定等原因造成的一切损失和责任由</w:t>
      </w:r>
      <w:r>
        <w:rPr>
          <w:rFonts w:hint="eastAsia"/>
          <w:sz w:val="24"/>
          <w:szCs w:val="24"/>
          <w:lang w:eastAsia="zh-CN"/>
        </w:rPr>
        <w:t>成交供应商</w:t>
      </w:r>
      <w:r>
        <w:rPr>
          <w:rFonts w:hint="eastAsia"/>
          <w:sz w:val="24"/>
          <w:szCs w:val="24"/>
        </w:rPr>
        <w:t>自行承担。</w:t>
      </w:r>
    </w:p>
    <w:p w14:paraId="1479AF19">
      <w:pPr>
        <w:pStyle w:val="80"/>
        <w:ind w:firstLine="480"/>
        <w:rPr>
          <w:rFonts w:hint="eastAsia"/>
          <w:sz w:val="24"/>
          <w:szCs w:val="24"/>
        </w:rPr>
      </w:pPr>
      <w:r>
        <w:rPr>
          <w:rFonts w:hint="eastAsia"/>
          <w:sz w:val="24"/>
          <w:szCs w:val="24"/>
        </w:rPr>
        <w:t>2、</w:t>
      </w:r>
      <w:r>
        <w:rPr>
          <w:rFonts w:hint="eastAsia"/>
          <w:sz w:val="24"/>
          <w:szCs w:val="24"/>
          <w:lang w:eastAsia="zh-CN"/>
        </w:rPr>
        <w:t>成交供应商</w:t>
      </w:r>
      <w:r>
        <w:rPr>
          <w:rFonts w:hint="eastAsia"/>
          <w:sz w:val="24"/>
          <w:szCs w:val="24"/>
        </w:rPr>
        <w:t>在</w:t>
      </w:r>
      <w:r>
        <w:rPr>
          <w:rFonts w:hint="eastAsia"/>
          <w:sz w:val="24"/>
          <w:szCs w:val="24"/>
          <w:lang w:eastAsia="zh-CN"/>
        </w:rPr>
        <w:t>响应文件</w:t>
      </w:r>
      <w:r>
        <w:rPr>
          <w:rFonts w:hint="eastAsia"/>
          <w:sz w:val="24"/>
          <w:szCs w:val="24"/>
        </w:rPr>
        <w:t>中承诺并经</w:t>
      </w:r>
      <w:r>
        <w:rPr>
          <w:rFonts w:hint="eastAsia"/>
          <w:sz w:val="24"/>
          <w:szCs w:val="24"/>
          <w:lang w:eastAsia="zh-CN"/>
        </w:rPr>
        <w:t>采购人</w:t>
      </w:r>
      <w:r>
        <w:rPr>
          <w:rFonts w:hint="eastAsia"/>
          <w:sz w:val="24"/>
          <w:szCs w:val="24"/>
        </w:rPr>
        <w:t>认定的项目负责人及专业技术人员</w:t>
      </w:r>
      <w:r>
        <w:rPr>
          <w:rFonts w:hint="eastAsia"/>
          <w:sz w:val="24"/>
          <w:szCs w:val="24"/>
          <w:lang w:eastAsia="zh-CN"/>
        </w:rPr>
        <w:t>需</w:t>
      </w:r>
      <w:r>
        <w:rPr>
          <w:rFonts w:hint="eastAsia"/>
          <w:sz w:val="24"/>
          <w:szCs w:val="24"/>
        </w:rPr>
        <w:t>是本单位职工（在本单位缴纳社会保障金）和该项目实施现场的实际操作者，应具有类似本项目的实施经验，并应在软件应用调研、安装、试运行等期间常驻项目现场。未经采购人同意，</w:t>
      </w:r>
      <w:r>
        <w:rPr>
          <w:rFonts w:hint="eastAsia"/>
          <w:sz w:val="24"/>
          <w:szCs w:val="24"/>
          <w:lang w:eastAsia="zh-CN"/>
        </w:rPr>
        <w:t>成交供应商</w:t>
      </w:r>
      <w:r>
        <w:rPr>
          <w:rFonts w:hint="eastAsia"/>
          <w:sz w:val="24"/>
          <w:szCs w:val="24"/>
        </w:rPr>
        <w:t>不得调换或撤离上述人员。如采购人认为有必要，可要求</w:t>
      </w:r>
      <w:r>
        <w:rPr>
          <w:rFonts w:hint="eastAsia"/>
          <w:sz w:val="24"/>
          <w:szCs w:val="24"/>
          <w:lang w:eastAsia="zh-CN"/>
        </w:rPr>
        <w:t>成交供应商</w:t>
      </w:r>
      <w:r>
        <w:rPr>
          <w:rFonts w:hint="eastAsia"/>
          <w:sz w:val="24"/>
          <w:szCs w:val="24"/>
        </w:rPr>
        <w:t>对上述人员中的部分人员作出更好的调整。</w:t>
      </w:r>
    </w:p>
    <w:p w14:paraId="70A8D6FB">
      <w:pPr>
        <w:pStyle w:val="80"/>
        <w:ind w:firstLine="480"/>
        <w:rPr>
          <w:rFonts w:hint="eastAsia"/>
          <w:sz w:val="24"/>
          <w:szCs w:val="24"/>
        </w:rPr>
      </w:pPr>
      <w:r>
        <w:rPr>
          <w:rFonts w:hint="eastAsia"/>
          <w:sz w:val="24"/>
          <w:szCs w:val="24"/>
        </w:rPr>
        <w:t>3、</w:t>
      </w:r>
      <w:r>
        <w:rPr>
          <w:rFonts w:hint="eastAsia"/>
          <w:sz w:val="24"/>
          <w:szCs w:val="24"/>
          <w:lang w:eastAsia="zh-CN"/>
        </w:rPr>
        <w:t>成交供应商</w:t>
      </w:r>
      <w:r>
        <w:rPr>
          <w:rFonts w:hint="eastAsia"/>
          <w:sz w:val="24"/>
          <w:szCs w:val="24"/>
        </w:rPr>
        <w:t>在项目实施期间，应按项目实际进度与环节落实所对应项目整体及各环节管理工作，按照规范做好项目实施期间相关管理与实施记录。</w:t>
      </w:r>
    </w:p>
    <w:p w14:paraId="5DFBD79E">
      <w:pPr>
        <w:pStyle w:val="80"/>
        <w:ind w:firstLine="480"/>
        <w:rPr>
          <w:rFonts w:hint="eastAsia"/>
          <w:sz w:val="24"/>
          <w:szCs w:val="24"/>
        </w:rPr>
      </w:pPr>
      <w:r>
        <w:rPr>
          <w:rFonts w:hint="eastAsia"/>
          <w:sz w:val="24"/>
          <w:szCs w:val="24"/>
        </w:rPr>
        <w:t>4、参与本项目的工作人员应严格遵循采购人的安全制度，保障采购人资料和设备的安全。</w:t>
      </w:r>
      <w:r>
        <w:rPr>
          <w:rFonts w:hint="eastAsia"/>
          <w:sz w:val="24"/>
          <w:szCs w:val="24"/>
          <w:lang w:eastAsia="zh-CN"/>
        </w:rPr>
        <w:t>成交供应商</w:t>
      </w:r>
      <w:r>
        <w:rPr>
          <w:rFonts w:hint="eastAsia"/>
          <w:sz w:val="24"/>
          <w:szCs w:val="24"/>
        </w:rPr>
        <w:t>如需进入采购人机房工作，只能在采购人规定的工作区域内对项目涉及的设备进行操作，严禁触动与项目无关的任何设备（包括任何操作行为），如需跨区操作</w:t>
      </w:r>
      <w:r>
        <w:rPr>
          <w:rFonts w:hint="eastAsia"/>
          <w:sz w:val="24"/>
          <w:szCs w:val="24"/>
          <w:lang w:eastAsia="zh-CN"/>
        </w:rPr>
        <w:t>需</w:t>
      </w:r>
      <w:r>
        <w:rPr>
          <w:rFonts w:hint="eastAsia"/>
          <w:sz w:val="24"/>
          <w:szCs w:val="24"/>
        </w:rPr>
        <w:t>得到采购人项目联系人确认。</w:t>
      </w:r>
    </w:p>
    <w:p w14:paraId="5E6CF2DF">
      <w:pPr>
        <w:pStyle w:val="80"/>
        <w:ind w:firstLine="480"/>
        <w:rPr>
          <w:rFonts w:hint="eastAsia"/>
          <w:sz w:val="24"/>
          <w:szCs w:val="24"/>
        </w:rPr>
      </w:pPr>
      <w:r>
        <w:rPr>
          <w:rFonts w:hint="eastAsia"/>
          <w:sz w:val="24"/>
          <w:szCs w:val="24"/>
        </w:rPr>
        <w:t>5、</w:t>
      </w:r>
      <w:r>
        <w:rPr>
          <w:rFonts w:hint="eastAsia"/>
          <w:sz w:val="24"/>
          <w:szCs w:val="24"/>
          <w:lang w:eastAsia="zh-CN"/>
        </w:rPr>
        <w:t>成交供应商</w:t>
      </w:r>
      <w:r>
        <w:rPr>
          <w:rFonts w:hint="eastAsia"/>
          <w:sz w:val="24"/>
          <w:szCs w:val="24"/>
        </w:rPr>
        <w:t>在项目实施期间</w:t>
      </w:r>
      <w:r>
        <w:rPr>
          <w:rFonts w:hint="eastAsia"/>
          <w:sz w:val="24"/>
          <w:szCs w:val="24"/>
          <w:lang w:eastAsia="zh-CN"/>
        </w:rPr>
        <w:t>需</w:t>
      </w:r>
      <w:r>
        <w:rPr>
          <w:rFonts w:hint="eastAsia"/>
          <w:sz w:val="24"/>
          <w:szCs w:val="24"/>
        </w:rPr>
        <w:t>遵守采购人的规章制度并提供实施人员名单。</w:t>
      </w:r>
    </w:p>
    <w:p w14:paraId="37E10E77">
      <w:pPr>
        <w:pStyle w:val="80"/>
        <w:ind w:firstLine="480"/>
        <w:rPr>
          <w:rFonts w:hint="eastAsia"/>
          <w:sz w:val="24"/>
          <w:szCs w:val="24"/>
        </w:rPr>
      </w:pPr>
      <w:r>
        <w:rPr>
          <w:rFonts w:hint="eastAsia"/>
          <w:sz w:val="24"/>
          <w:szCs w:val="24"/>
        </w:rPr>
        <w:t>6、各</w:t>
      </w:r>
      <w:r>
        <w:rPr>
          <w:rFonts w:hint="eastAsia"/>
          <w:sz w:val="24"/>
          <w:szCs w:val="24"/>
          <w:lang w:eastAsia="zh-CN"/>
        </w:rPr>
        <w:t>供应商</w:t>
      </w:r>
      <w:r>
        <w:rPr>
          <w:rFonts w:hint="eastAsia"/>
          <w:sz w:val="24"/>
          <w:szCs w:val="24"/>
        </w:rPr>
        <w:t>在</w:t>
      </w:r>
      <w:r>
        <w:rPr>
          <w:rFonts w:hint="eastAsia"/>
          <w:sz w:val="24"/>
          <w:szCs w:val="24"/>
          <w:lang w:eastAsia="zh-CN"/>
        </w:rPr>
        <w:t>响应文件</w:t>
      </w:r>
      <w:r>
        <w:rPr>
          <w:rFonts w:hint="eastAsia"/>
          <w:sz w:val="24"/>
          <w:szCs w:val="24"/>
        </w:rPr>
        <w:t>中要结合本项目的特点和采购人上述的具体要求制定相应的管理措施，并在报价中列支相应的费用清单，</w:t>
      </w:r>
      <w:r>
        <w:rPr>
          <w:rFonts w:hint="eastAsia"/>
          <w:sz w:val="24"/>
          <w:szCs w:val="24"/>
          <w:lang w:eastAsia="zh-CN"/>
        </w:rPr>
        <w:t>供应商</w:t>
      </w:r>
      <w:r>
        <w:rPr>
          <w:rFonts w:hint="eastAsia"/>
          <w:sz w:val="24"/>
          <w:szCs w:val="24"/>
        </w:rPr>
        <w:t>报价中未列支上述费用清单的，上述费用视为已包含在</w:t>
      </w:r>
      <w:r>
        <w:rPr>
          <w:rFonts w:hint="eastAsia"/>
          <w:sz w:val="24"/>
          <w:szCs w:val="24"/>
          <w:lang w:eastAsia="zh-CN"/>
        </w:rPr>
        <w:t>供应商</w:t>
      </w:r>
      <w:r>
        <w:rPr>
          <w:rFonts w:hint="eastAsia"/>
          <w:sz w:val="24"/>
          <w:szCs w:val="24"/>
        </w:rPr>
        <w:t>的总报价中。</w:t>
      </w:r>
    </w:p>
    <w:p w14:paraId="6ABDD718">
      <w:pPr>
        <w:pStyle w:val="80"/>
        <w:ind w:firstLine="480"/>
        <w:rPr>
          <w:rFonts w:hint="eastAsia"/>
          <w:sz w:val="24"/>
          <w:szCs w:val="24"/>
        </w:rPr>
      </w:pPr>
      <w:r>
        <w:rPr>
          <w:rFonts w:hint="eastAsia"/>
          <w:sz w:val="24"/>
          <w:szCs w:val="24"/>
        </w:rPr>
        <w:t>7、本项目软件开发及调试将纳入采购人的管理范围，</w:t>
      </w:r>
      <w:r>
        <w:rPr>
          <w:rFonts w:hint="eastAsia"/>
          <w:sz w:val="24"/>
          <w:szCs w:val="24"/>
          <w:lang w:eastAsia="zh-CN"/>
        </w:rPr>
        <w:t>成交供应商</w:t>
      </w:r>
      <w:r>
        <w:rPr>
          <w:rFonts w:hint="eastAsia"/>
          <w:sz w:val="24"/>
          <w:szCs w:val="24"/>
        </w:rPr>
        <w:t>在此过程中</w:t>
      </w:r>
      <w:r>
        <w:rPr>
          <w:rFonts w:hint="eastAsia"/>
          <w:sz w:val="24"/>
          <w:szCs w:val="24"/>
          <w:lang w:eastAsia="zh-CN"/>
        </w:rPr>
        <w:t>需</w:t>
      </w:r>
      <w:r>
        <w:rPr>
          <w:rFonts w:hint="eastAsia"/>
          <w:sz w:val="24"/>
          <w:szCs w:val="24"/>
        </w:rPr>
        <w:t>服从上述单位的管理协调。</w:t>
      </w:r>
    </w:p>
    <w:p w14:paraId="3EEDF50C">
      <w:pPr>
        <w:pStyle w:val="80"/>
        <w:ind w:firstLine="480"/>
        <w:rPr>
          <w:rFonts w:hint="eastAsia" w:eastAsia="宋体"/>
          <w:sz w:val="24"/>
          <w:szCs w:val="24"/>
          <w:lang w:eastAsia="zh-CN"/>
        </w:rPr>
      </w:pPr>
      <w:r>
        <w:rPr>
          <w:rFonts w:hint="eastAsia"/>
          <w:sz w:val="24"/>
          <w:szCs w:val="24"/>
        </w:rPr>
        <w:t>供应商具有ISO20000信息技术服务管理体系认证证书、CCRC 信息安全服务资质认证证书、信息系统建设和服务能力等级证书、ITSS信息技术服务运行维护标准符合性证书</w:t>
      </w:r>
      <w:r>
        <w:rPr>
          <w:rFonts w:hint="eastAsia"/>
          <w:sz w:val="24"/>
          <w:szCs w:val="24"/>
          <w:lang w:eastAsia="zh-CN"/>
        </w:rPr>
        <w:t>。</w:t>
      </w:r>
    </w:p>
    <w:p w14:paraId="628A7189">
      <w:pPr>
        <w:pStyle w:val="80"/>
        <w:ind w:firstLine="420"/>
        <w:rPr>
          <w:rFonts w:hint="eastAsia"/>
        </w:rPr>
      </w:pPr>
    </w:p>
    <w:p w14:paraId="2A67B8FE">
      <w:pPr>
        <w:pStyle w:val="2"/>
        <w:rPr>
          <w:rFonts w:hint="eastAsia"/>
        </w:rPr>
      </w:pPr>
      <w:bookmarkStart w:id="42" w:name="_Toc63785513"/>
      <w:r>
        <w:rPr>
          <w:rFonts w:hint="eastAsia"/>
        </w:rPr>
        <w:t>关于转让和分包的规定</w:t>
      </w:r>
    </w:p>
    <w:p w14:paraId="1C8A2B22">
      <w:pPr>
        <w:rPr>
          <w:rFonts w:hint="eastAsia" w:cs="宋体"/>
        </w:rPr>
      </w:pPr>
      <w:r>
        <w:rPr>
          <w:rFonts w:hint="eastAsia" w:cs="宋体"/>
        </w:rPr>
        <w:t>本项目不得转让分包。</w:t>
      </w:r>
    </w:p>
    <w:p w14:paraId="3D406F71">
      <w:pPr>
        <w:pStyle w:val="2"/>
        <w:rPr>
          <w:rFonts w:hint="eastAsia"/>
        </w:rPr>
      </w:pPr>
      <w:r>
        <w:rPr>
          <w:rFonts w:hint="eastAsia"/>
        </w:rPr>
        <w:t>知识产权及保密要求</w:t>
      </w:r>
      <w:bookmarkEnd w:id="42"/>
    </w:p>
    <w:p w14:paraId="14B0AFCE">
      <w:pPr>
        <w:ind w:firstLine="482"/>
        <w:rPr>
          <w:rFonts w:hint="eastAsia"/>
          <w:b/>
        </w:rPr>
      </w:pPr>
      <w:r>
        <w:rPr>
          <w:b/>
        </w:rPr>
        <w:t>1、</w:t>
      </w:r>
      <w:r>
        <w:rPr>
          <w:rFonts w:hint="eastAsia"/>
          <w:b/>
          <w:lang w:eastAsia="zh-CN"/>
        </w:rPr>
        <w:t>成交供应商</w:t>
      </w:r>
      <w:r>
        <w:rPr>
          <w:b/>
        </w:rPr>
        <w:t>数据、文件、资料知识产权</w:t>
      </w:r>
    </w:p>
    <w:p w14:paraId="56433FBF">
      <w:pPr>
        <w:rPr>
          <w:rFonts w:hint="eastAsia"/>
        </w:rPr>
      </w:pPr>
      <w:r>
        <w:rPr>
          <w:rFonts w:hint="eastAsia"/>
          <w:lang w:eastAsia="zh-CN"/>
        </w:rPr>
        <w:t>成交供应商</w:t>
      </w:r>
      <w:r>
        <w:rPr>
          <w:rFonts w:hint="eastAsia"/>
        </w:rPr>
        <w:t>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w:t>
      </w:r>
      <w:r>
        <w:rPr>
          <w:rFonts w:hint="eastAsia"/>
          <w:lang w:eastAsia="zh-CN"/>
        </w:rPr>
        <w:t>成交供应商</w:t>
      </w:r>
      <w:r>
        <w:rPr>
          <w:rFonts w:hint="eastAsia"/>
        </w:rPr>
        <w:t>应负责与第三方解决纠纷，若因此导致采购人损失的，采购人有权要求</w:t>
      </w:r>
      <w:r>
        <w:rPr>
          <w:rFonts w:hint="eastAsia"/>
          <w:lang w:eastAsia="zh-CN"/>
        </w:rPr>
        <w:t>成交供应商</w:t>
      </w:r>
      <w:r>
        <w:rPr>
          <w:rFonts w:hint="eastAsia"/>
        </w:rPr>
        <w:t>赔偿采购人因此遭受的全部损失，包括但不限于直接损失、间接损失、诉讼费／仲裁费、律师费、公证费、鉴定费等。</w:t>
      </w:r>
    </w:p>
    <w:p w14:paraId="0A642C2E">
      <w:pPr>
        <w:rPr>
          <w:rFonts w:hint="eastAsia"/>
        </w:rPr>
      </w:pPr>
      <w:r>
        <w:rPr>
          <w:rFonts w:hint="eastAsia"/>
          <w:lang w:eastAsia="zh-CN"/>
        </w:rPr>
        <w:t>成交供应商</w:t>
      </w:r>
      <w:r>
        <w:rPr>
          <w:rFonts w:hint="eastAsia"/>
        </w:rPr>
        <w:t>因履行本项目而产生的所有成果的知识产权等权利均归采购人所有，</w:t>
      </w:r>
      <w:r>
        <w:rPr>
          <w:rFonts w:hint="eastAsia"/>
          <w:lang w:eastAsia="zh-CN"/>
        </w:rPr>
        <w:t>成交供应商</w:t>
      </w:r>
      <w:r>
        <w:rPr>
          <w:rFonts w:hint="eastAsia"/>
        </w:rPr>
        <w:t>应配合采购人进行相关权利登记或申请。未经采购人书面同意，</w:t>
      </w:r>
      <w:r>
        <w:rPr>
          <w:rFonts w:hint="eastAsia"/>
          <w:lang w:eastAsia="zh-CN"/>
        </w:rPr>
        <w:t>成交供应商</w:t>
      </w:r>
      <w:r>
        <w:rPr>
          <w:rFonts w:hint="eastAsia"/>
        </w:rPr>
        <w:t>不得以任何形式使用或许可他人使用本项目成果的相关内容，不得擅自对外公开发表或向任何第三方透露。</w:t>
      </w:r>
    </w:p>
    <w:p w14:paraId="2731533E">
      <w:pPr>
        <w:rPr>
          <w:rFonts w:hint="eastAsia"/>
        </w:rPr>
      </w:pPr>
      <w:r>
        <w:rPr>
          <w:rFonts w:hint="eastAsia"/>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65F14E1D">
      <w:pPr>
        <w:ind w:firstLine="482"/>
        <w:rPr>
          <w:rFonts w:hint="eastAsia"/>
          <w:b/>
        </w:rPr>
      </w:pPr>
      <w:r>
        <w:rPr>
          <w:b/>
        </w:rPr>
        <w:t>2、项目保密要求</w:t>
      </w:r>
    </w:p>
    <w:p w14:paraId="6B60A5E3">
      <w:pPr>
        <w:rPr>
          <w:rFonts w:hint="eastAsia"/>
        </w:rPr>
      </w:pPr>
      <w:r>
        <w:rPr>
          <w:rFonts w:hint="eastAsia"/>
          <w:lang w:eastAsia="zh-CN"/>
        </w:rPr>
        <w:t>成交供应商</w:t>
      </w:r>
      <w:r>
        <w:rPr>
          <w:rFonts w:hint="eastAsia"/>
        </w:rPr>
        <w:t>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w:t>
      </w:r>
      <w:r>
        <w:rPr>
          <w:rFonts w:hint="eastAsia"/>
          <w:lang w:eastAsia="zh-CN"/>
        </w:rPr>
        <w:t>成交供应商</w:t>
      </w:r>
      <w:r>
        <w:rPr>
          <w:rFonts w:hint="eastAsia"/>
        </w:rPr>
        <w:t>不得对外泄露采购人要求保密的信息，不得用于其他用途，否则</w:t>
      </w:r>
      <w:r>
        <w:rPr>
          <w:rFonts w:hint="eastAsia"/>
          <w:lang w:eastAsia="zh-CN"/>
        </w:rPr>
        <w:t>成交供应商</w:t>
      </w:r>
      <w:r>
        <w:rPr>
          <w:rFonts w:hint="eastAsia"/>
        </w:rPr>
        <w:t>需承担由此引起的法律责任和经济责任，包括但不限于直接损失、间接损失、律师费、诉讼费/仲裁费、调查费、公证费等。</w:t>
      </w:r>
    </w:p>
    <w:p w14:paraId="1D764133">
      <w:pPr>
        <w:rPr>
          <w:rFonts w:hint="eastAsia"/>
        </w:rPr>
      </w:pPr>
      <w:r>
        <w:rPr>
          <w:rFonts w:hint="eastAsia"/>
          <w:lang w:eastAsia="zh-CN"/>
        </w:rPr>
        <w:t>成交供应商</w:t>
      </w:r>
      <w:r>
        <w:rPr>
          <w:rFonts w:hint="eastAsia"/>
        </w:rPr>
        <w:t>应采取必要的有效措施保证其参与本项目的人员（包括</w:t>
      </w:r>
      <w:r>
        <w:rPr>
          <w:rFonts w:hint="eastAsia"/>
          <w:lang w:eastAsia="zh-CN"/>
        </w:rPr>
        <w:t>成交供应商</w:t>
      </w:r>
      <w:r>
        <w:rPr>
          <w:rFonts w:hint="eastAsia"/>
        </w:rPr>
        <w:t>聘用的人员、借调的人员、实习的人员）无论是在职或离职后，以及</w:t>
      </w:r>
      <w:r>
        <w:rPr>
          <w:rFonts w:hint="eastAsia"/>
          <w:lang w:eastAsia="zh-CN"/>
        </w:rPr>
        <w:t>成交供应商</w:t>
      </w:r>
      <w:r>
        <w:rPr>
          <w:rFonts w:hint="eastAsia"/>
        </w:rPr>
        <w:t>的合作方无论是合作中或合作终止后，都能够履行本项目约定的保密义务。若</w:t>
      </w:r>
      <w:r>
        <w:rPr>
          <w:rFonts w:hint="eastAsia"/>
          <w:lang w:eastAsia="zh-CN"/>
        </w:rPr>
        <w:t>成交供应商</w:t>
      </w:r>
      <w:r>
        <w:rPr>
          <w:rFonts w:hint="eastAsia"/>
        </w:rPr>
        <w:t>人员或</w:t>
      </w:r>
      <w:r>
        <w:rPr>
          <w:rFonts w:hint="eastAsia"/>
          <w:lang w:eastAsia="zh-CN"/>
        </w:rPr>
        <w:t>成交供应商</w:t>
      </w:r>
      <w:r>
        <w:rPr>
          <w:rFonts w:hint="eastAsia"/>
        </w:rPr>
        <w:t>合作方违反保密规定，</w:t>
      </w:r>
      <w:r>
        <w:rPr>
          <w:rFonts w:hint="eastAsia"/>
          <w:lang w:eastAsia="zh-CN"/>
        </w:rPr>
        <w:t>成交供应商</w:t>
      </w:r>
      <w:r>
        <w:rPr>
          <w:rFonts w:hint="eastAsia"/>
        </w:rPr>
        <w:t>应承担连带责任。</w:t>
      </w:r>
    </w:p>
    <w:p w14:paraId="0B2238EF">
      <w:pPr>
        <w:rPr>
          <w:rFonts w:hint="eastAsia"/>
        </w:rPr>
      </w:pPr>
      <w:r>
        <w:rPr>
          <w:rFonts w:hint="eastAsia"/>
          <w:lang w:eastAsia="zh-CN"/>
        </w:rPr>
        <w:t>成交供应商</w:t>
      </w:r>
      <w:r>
        <w:rPr>
          <w:rFonts w:hint="eastAsia"/>
        </w:rPr>
        <w:t>（含</w:t>
      </w:r>
      <w:r>
        <w:rPr>
          <w:rFonts w:hint="eastAsia"/>
          <w:lang w:eastAsia="zh-CN"/>
        </w:rPr>
        <w:t>成交供应商</w:t>
      </w:r>
      <w:r>
        <w:rPr>
          <w:rFonts w:hint="eastAsia"/>
        </w:rPr>
        <w:t>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59EA6498">
      <w:pPr>
        <w:rPr>
          <w:rFonts w:hint="eastAsia"/>
        </w:rPr>
      </w:pPr>
      <w:r>
        <w:rPr>
          <w:rFonts w:hint="eastAsia"/>
        </w:rPr>
        <w:t>以上内容的保密期限自</w:t>
      </w:r>
      <w:r>
        <w:rPr>
          <w:rFonts w:hint="eastAsia"/>
          <w:lang w:eastAsia="zh-CN"/>
        </w:rPr>
        <w:t>成交供应商</w:t>
      </w:r>
      <w:r>
        <w:rPr>
          <w:rFonts w:hint="eastAsia"/>
        </w:rPr>
        <w:t>知悉保密信息起始至保密信息被合法公开之日止。</w:t>
      </w:r>
    </w:p>
    <w:p w14:paraId="1888D166">
      <w:pPr>
        <w:ind w:firstLine="482"/>
        <w:rPr>
          <w:rFonts w:hint="eastAsia"/>
          <w:b/>
        </w:rPr>
      </w:pPr>
      <w:r>
        <w:rPr>
          <w:b/>
        </w:rPr>
        <w:t>3、临时账号等使用要求</w:t>
      </w:r>
    </w:p>
    <w:p w14:paraId="6883EF1F">
      <w:pPr>
        <w:rPr>
          <w:rFonts w:hint="eastAsia"/>
        </w:rPr>
      </w:pPr>
      <w:r>
        <w:rPr>
          <w:rFonts w:hint="eastAsia"/>
          <w:lang w:eastAsia="zh-CN"/>
        </w:rPr>
        <w:t>成交供应商</w:t>
      </w:r>
      <w:r>
        <w:rPr>
          <w:rFonts w:hint="eastAsia"/>
        </w:rPr>
        <w:t>对采购人提拱的临时使用账号要保密，不得公开，对组件开发的账号密码需进行加密，避免信息安全的泄露。未经采购人的同意不得利用采购人的网络及平台进行短信、彩信、微信发送</w:t>
      </w:r>
      <w:r>
        <w:t>,造成的一切后果由</w:t>
      </w:r>
      <w:r>
        <w:rPr>
          <w:rFonts w:hint="eastAsia"/>
          <w:lang w:eastAsia="zh-CN"/>
        </w:rPr>
        <w:t>成交供应商</w:t>
      </w:r>
      <w:r>
        <w:t>负责。</w:t>
      </w:r>
    </w:p>
    <w:p w14:paraId="649FB563">
      <w:pPr>
        <w:pStyle w:val="2"/>
        <w:rPr>
          <w:rFonts w:hint="eastAsia"/>
        </w:rPr>
      </w:pPr>
      <w:bookmarkStart w:id="43" w:name="_Toc65170093"/>
      <w:r>
        <w:t>项目的变更、解除和终止</w:t>
      </w:r>
    </w:p>
    <w:p w14:paraId="3D06845D">
      <w:pPr>
        <w:rPr>
          <w:rFonts w:hint="eastAsia"/>
        </w:rPr>
      </w:pPr>
      <w:r>
        <w:rPr>
          <w:rFonts w:hint="eastAsia"/>
        </w:rPr>
        <w:t>如果</w:t>
      </w:r>
      <w:r>
        <w:rPr>
          <w:rFonts w:hint="eastAsia"/>
          <w:lang w:eastAsia="zh-CN"/>
        </w:rPr>
        <w:t>成交供应商</w:t>
      </w:r>
      <w:r>
        <w:rPr>
          <w:rFonts w:hint="eastAsia"/>
        </w:rPr>
        <w:t>丧失履约能力、发生资不抵债或进入破产程序，采购人可在任何时候以书面形式通知</w:t>
      </w:r>
      <w:r>
        <w:rPr>
          <w:rFonts w:hint="eastAsia"/>
          <w:lang w:eastAsia="zh-CN"/>
        </w:rPr>
        <w:t>成交供应商</w:t>
      </w:r>
      <w:r>
        <w:rPr>
          <w:rFonts w:hint="eastAsia"/>
        </w:rPr>
        <w:t>终止本项目的执行而不给予</w:t>
      </w:r>
      <w:r>
        <w:rPr>
          <w:rFonts w:hint="eastAsia"/>
          <w:lang w:eastAsia="zh-CN"/>
        </w:rPr>
        <w:t>成交供应商</w:t>
      </w:r>
      <w:r>
        <w:rPr>
          <w:rFonts w:hint="eastAsia"/>
        </w:rPr>
        <w:t>补偿。该终止本项目将不损害或影响采购人已经采取或将要采取任何行动或补救措施的权利。</w:t>
      </w:r>
    </w:p>
    <w:p w14:paraId="18B9A225">
      <w:pPr>
        <w:rPr>
          <w:rFonts w:hint="eastAsia"/>
        </w:rPr>
      </w:pPr>
      <w:r>
        <w:rPr>
          <w:rFonts w:hint="eastAsia"/>
        </w:rPr>
        <w:t>如遇国家、行业管理部门等机构的有关标准和规定调整的，导致本项目内容</w:t>
      </w:r>
      <w:r>
        <w:rPr>
          <w:rFonts w:hint="eastAsia"/>
          <w:lang w:eastAsia="zh-CN"/>
        </w:rPr>
        <w:t>需</w:t>
      </w:r>
      <w:r>
        <w:rPr>
          <w:rFonts w:hint="eastAsia"/>
        </w:rPr>
        <w:t>做相应调整时，双方应按照公平、合理的原则共同协商修改本项目对应的合同的相关条款。</w:t>
      </w:r>
    </w:p>
    <w:p w14:paraId="45DD4AD8">
      <w:pPr>
        <w:pStyle w:val="2"/>
        <w:rPr>
          <w:rFonts w:hint="eastAsia"/>
        </w:rPr>
      </w:pPr>
      <w:r>
        <w:rPr>
          <w:rFonts w:hint="eastAsia"/>
        </w:rPr>
        <w:t>违约责任</w:t>
      </w:r>
      <w:bookmarkEnd w:id="43"/>
    </w:p>
    <w:p w14:paraId="65F0051E">
      <w:pPr>
        <w:rPr>
          <w:rFonts w:hint="eastAsia"/>
        </w:rPr>
      </w:pPr>
      <w:r>
        <w:t>1、如</w:t>
      </w:r>
      <w:r>
        <w:rPr>
          <w:rFonts w:hint="eastAsia"/>
          <w:lang w:eastAsia="zh-CN"/>
        </w:rPr>
        <w:t>成交供应商</w:t>
      </w:r>
      <w:r>
        <w:t>未按约定的时间或服务标准完成建设工作，采购人可要求</w:t>
      </w:r>
      <w:r>
        <w:rPr>
          <w:rFonts w:hint="eastAsia"/>
          <w:lang w:eastAsia="zh-CN"/>
        </w:rPr>
        <w:t>成交供应商</w:t>
      </w:r>
      <w:r>
        <w:t>在规定的时间内采取补救措施。</w:t>
      </w:r>
      <w:r>
        <w:rPr>
          <w:rFonts w:hint="eastAsia"/>
          <w:lang w:eastAsia="zh-CN"/>
        </w:rPr>
        <w:t>成交供应商</w:t>
      </w:r>
      <w:r>
        <w:t>还应向采购人支付本项目费用总额30%的违约金，违约金不足以弥补采购人损失的，采购人有权要求</w:t>
      </w:r>
      <w:r>
        <w:rPr>
          <w:rFonts w:hint="eastAsia"/>
          <w:lang w:eastAsia="zh-CN"/>
        </w:rPr>
        <w:t>成交供应商</w:t>
      </w:r>
      <w:r>
        <w:t>赔偿超过部分。</w:t>
      </w:r>
    </w:p>
    <w:p w14:paraId="7C096F12">
      <w:pPr>
        <w:rPr>
          <w:rFonts w:hint="eastAsia"/>
        </w:rPr>
      </w:pPr>
      <w:r>
        <w:t>2、因</w:t>
      </w:r>
      <w:r>
        <w:rPr>
          <w:rFonts w:hint="eastAsia"/>
          <w:lang w:eastAsia="zh-CN"/>
        </w:rPr>
        <w:t>成交供应商</w:t>
      </w:r>
      <w:r>
        <w:t>违反保密义务或知识产权约定的，采购人有权要求</w:t>
      </w:r>
      <w:r>
        <w:rPr>
          <w:rFonts w:hint="eastAsia"/>
          <w:lang w:eastAsia="zh-CN"/>
        </w:rPr>
        <w:t>成交供应商</w:t>
      </w:r>
      <w:r>
        <w:t>支付本项目费用总额30%的违约金，违约金不足以弥补采购人损失的，采购人有权要求</w:t>
      </w:r>
      <w:r>
        <w:rPr>
          <w:rFonts w:hint="eastAsia"/>
          <w:lang w:eastAsia="zh-CN"/>
        </w:rPr>
        <w:t>成交供应商</w:t>
      </w:r>
      <w:r>
        <w:t>赔偿超过部分。若</w:t>
      </w:r>
      <w:r>
        <w:rPr>
          <w:rFonts w:hint="eastAsia"/>
          <w:lang w:eastAsia="zh-CN"/>
        </w:rPr>
        <w:t>成交供应商</w:t>
      </w:r>
      <w:r>
        <w:t>违反保密义务，采购人还有权立即单方解除合同而不承担任何违约责任。</w:t>
      </w:r>
    </w:p>
    <w:p w14:paraId="41B03ACC">
      <w:pPr>
        <w:rPr>
          <w:rFonts w:hint="eastAsia"/>
        </w:rPr>
      </w:pPr>
      <w:r>
        <w:t>3、</w:t>
      </w:r>
      <w:r>
        <w:rPr>
          <w:rFonts w:hint="eastAsia"/>
          <w:lang w:eastAsia="zh-CN"/>
        </w:rPr>
        <w:t>成交供应商</w:t>
      </w:r>
      <w:r>
        <w:t>有其他违反本项目合同约定的行为，</w:t>
      </w:r>
      <w:r>
        <w:rPr>
          <w:rFonts w:hint="eastAsia"/>
          <w:lang w:eastAsia="zh-CN"/>
        </w:rPr>
        <w:t>成交供应商</w:t>
      </w:r>
      <w:r>
        <w:t>应当支付本项目总价款金额的20%作为违约金，违约金不足以弥补采购人损失的，采购人有权要求</w:t>
      </w:r>
      <w:r>
        <w:rPr>
          <w:rFonts w:hint="eastAsia"/>
          <w:lang w:eastAsia="zh-CN"/>
        </w:rPr>
        <w:t>成交供应商</w:t>
      </w:r>
      <w:r>
        <w:t>赔偿超过部分。</w:t>
      </w:r>
    </w:p>
    <w:p w14:paraId="03255E9C">
      <w:pPr>
        <w:rPr>
          <w:rFonts w:hint="eastAsia"/>
        </w:rPr>
      </w:pPr>
      <w:r>
        <w:t>4、</w:t>
      </w:r>
      <w:r>
        <w:rPr>
          <w:rFonts w:hint="eastAsia"/>
          <w:lang w:eastAsia="zh-CN"/>
        </w:rPr>
        <w:t>成交供应商</w:t>
      </w:r>
      <w:r>
        <w:t>有下列情形之一，采购人有权解除合同：</w:t>
      </w:r>
    </w:p>
    <w:p w14:paraId="2A7CA1C8">
      <w:pPr>
        <w:rPr>
          <w:rFonts w:hint="eastAsia"/>
        </w:rPr>
      </w:pPr>
      <w:r>
        <w:rPr>
          <w:rFonts w:hint="eastAsia"/>
        </w:rPr>
        <w:t>（1</w:t>
      </w:r>
      <w:r>
        <w:t>）因</w:t>
      </w:r>
      <w:r>
        <w:rPr>
          <w:rFonts w:hint="eastAsia"/>
          <w:lang w:eastAsia="zh-CN"/>
        </w:rPr>
        <w:t>成交供应商</w:t>
      </w:r>
      <w:r>
        <w:t>服务质量问题导致采购人无法实现目的；</w:t>
      </w:r>
    </w:p>
    <w:p w14:paraId="2ED72EDD">
      <w:pPr>
        <w:rPr>
          <w:rFonts w:hint="eastAsia"/>
        </w:rPr>
      </w:pPr>
      <w:r>
        <w:rPr>
          <w:rFonts w:hint="eastAsia"/>
        </w:rPr>
        <w:t>（2</w:t>
      </w:r>
      <w:r>
        <w:t>）擅自转让或者分包其应履行的义务的；</w:t>
      </w:r>
    </w:p>
    <w:p w14:paraId="4E7B4260">
      <w:pPr>
        <w:rPr>
          <w:rFonts w:hint="eastAsia"/>
        </w:rPr>
      </w:pPr>
      <w:r>
        <w:rPr>
          <w:rFonts w:hint="eastAsia"/>
        </w:rPr>
        <w:t>（3</w:t>
      </w:r>
      <w:r>
        <w:t>）违反或者未履行本项目合同约定的其他相关义务，且在采购人要求的合理时间内未能纠正的。</w:t>
      </w:r>
    </w:p>
    <w:p w14:paraId="5C54F9E6">
      <w:pPr>
        <w:pStyle w:val="2"/>
        <w:rPr>
          <w:rFonts w:hint="eastAsia"/>
        </w:rPr>
      </w:pPr>
      <w:bookmarkStart w:id="44" w:name="_Toc63785514"/>
      <w:r>
        <w:rPr>
          <w:rFonts w:hint="eastAsia"/>
        </w:rPr>
        <w:t>付款</w:t>
      </w:r>
      <w:bookmarkEnd w:id="44"/>
      <w:r>
        <w:rPr>
          <w:rFonts w:hint="eastAsia"/>
        </w:rPr>
        <w:t>方式</w:t>
      </w:r>
    </w:p>
    <w:p w14:paraId="2A5AA7D8">
      <w:pPr>
        <w:rPr>
          <w:rFonts w:hint="eastAsia" w:cs="宋体"/>
        </w:rPr>
      </w:pPr>
      <w:bookmarkStart w:id="45" w:name="付款方法"/>
      <w:r>
        <w:rPr>
          <w:rFonts w:hint="eastAsia" w:cs="宋体"/>
        </w:rPr>
        <w:t>本项目采用两期分期付款方式付款。</w:t>
      </w:r>
    </w:p>
    <w:p w14:paraId="1DE1BFF5">
      <w:pPr>
        <w:rPr>
          <w:rFonts w:hint="eastAsia" w:cs="宋体"/>
        </w:rPr>
      </w:pPr>
      <w:r>
        <w:rPr>
          <w:rFonts w:hint="eastAsia" w:cs="宋体"/>
          <w:lang w:eastAsia="zh-CN"/>
        </w:rPr>
        <w:t>如果成交金额大于等于1500000元（注：2025年预算金额），a</w:t>
      </w:r>
      <w:r>
        <w:rPr>
          <w:rFonts w:hint="default" w:cs="宋体"/>
          <w:lang w:val="en-US" w:eastAsia="zh-CN"/>
        </w:rPr>
        <w:t>.</w:t>
      </w:r>
      <w:r>
        <w:rPr>
          <w:rFonts w:hint="eastAsia" w:cs="宋体"/>
          <w:lang w:val="en-US" w:eastAsia="zh-CN"/>
        </w:rPr>
        <w:t>合同签订生效后10个工作日内，支付1500000元；b</w:t>
      </w:r>
      <w:r>
        <w:rPr>
          <w:rFonts w:hint="default" w:cs="宋体"/>
          <w:lang w:val="en-US" w:eastAsia="zh-CN"/>
        </w:rPr>
        <w:t>.</w:t>
      </w:r>
      <w:r>
        <w:rPr>
          <w:rFonts w:hint="eastAsia" w:cs="宋体"/>
          <w:lang w:val="en-US" w:eastAsia="zh-CN"/>
        </w:rPr>
        <w:t>完成最终验收报告后10个工作日内，支付剩余合同款。</w:t>
      </w:r>
    </w:p>
    <w:p w14:paraId="023307CC">
      <w:pPr>
        <w:rPr>
          <w:rFonts w:hint="eastAsia" w:cs="宋体"/>
          <w:lang w:eastAsia="zh-CN"/>
        </w:rPr>
      </w:pPr>
      <w:r>
        <w:rPr>
          <w:rFonts w:hint="eastAsia" w:cs="宋体"/>
          <w:lang w:eastAsia="zh-CN"/>
        </w:rPr>
        <w:t>如果成交金额小于等于1500000元，合同签订10个工作日内一次性支付合同款。</w:t>
      </w:r>
    </w:p>
    <w:p w14:paraId="4134F41D">
      <w:pPr>
        <w:rPr>
          <w:rFonts w:hint="eastAsia" w:cs="宋体"/>
        </w:rPr>
      </w:pPr>
      <w:r>
        <w:rPr>
          <w:rFonts w:hint="eastAsia" w:cs="宋体"/>
        </w:rPr>
        <w:t>付款条件备注：服务提供方应当在采购方每次付款前提前至少10个工作日向采购方提供有效发票。</w:t>
      </w:r>
    </w:p>
    <w:bookmarkEnd w:id="45"/>
    <w:p w14:paraId="21D2A8AD">
      <w:pPr>
        <w:pStyle w:val="2"/>
        <w:rPr>
          <w:rFonts w:hint="eastAsia"/>
        </w:rPr>
      </w:pPr>
      <w:bookmarkStart w:id="46" w:name="_Toc68798863"/>
      <w:r>
        <w:rPr>
          <w:rFonts w:hint="eastAsia"/>
        </w:rPr>
        <w:t>附录</w:t>
      </w:r>
      <w:bookmarkEnd w:id="46"/>
    </w:p>
    <w:p w14:paraId="2CD7566C">
      <w:pPr>
        <w:ind w:firstLine="482"/>
        <w:rPr>
          <w:rFonts w:hint="eastAsia"/>
          <w:b/>
        </w:rPr>
      </w:pPr>
      <w:r>
        <w:rPr>
          <w:rFonts w:hint="eastAsia"/>
          <w:b/>
        </w:rPr>
        <w:t>若项目建设过程中需符合相关技术标准或规范文件的要求，请将相关文件作为附件列出。</w:t>
      </w:r>
    </w:p>
    <w:p w14:paraId="41C5FEF1">
      <w:pPr>
        <w:ind w:firstLine="482"/>
        <w:rPr>
          <w:rFonts w:hint="eastAsia"/>
        </w:rPr>
      </w:pPr>
      <w:r>
        <w:rPr>
          <w:rFonts w:hint="eastAsia"/>
          <w:b/>
        </w:rPr>
        <w:t>参考如下：</w:t>
      </w:r>
    </w:p>
    <w:p w14:paraId="48F20C8B">
      <w:pPr>
        <w:ind w:firstLine="0" w:firstLineChars="0"/>
        <w:rPr>
          <w:rFonts w:hint="eastAsia"/>
        </w:rPr>
      </w:pPr>
      <w:r>
        <w:rPr>
          <w:rFonts w:hint="eastAsia"/>
        </w:rPr>
        <w:t>1、</w:t>
      </w:r>
      <w:r>
        <w:t>《政务网络安全监测平台总体技术要求》</w:t>
      </w:r>
    </w:p>
    <w:p w14:paraId="76718D8C">
      <w:pPr>
        <w:ind w:firstLine="0" w:firstLineChars="0"/>
        <w:rPr>
          <w:rFonts w:hint="eastAsia"/>
        </w:rPr>
      </w:pPr>
      <w:r>
        <w:object>
          <v:shape id="_x0000_i1025" o:spt="75" type="#_x0000_t75" style="height:55.2pt;width:76.8pt;" o:ole="t" filled="f" o:preferrelative="t" stroked="f" coordsize="21600,21600">
            <v:path/>
            <v:fill on="f" focussize="0,0"/>
            <v:stroke on="f" joinstyle="miter"/>
            <v:imagedata r:id="rId14" o:title=""/>
            <o:lock v:ext="edit" aspectratio="t"/>
            <w10:wrap type="none"/>
            <w10:anchorlock/>
          </v:shape>
          <o:OLEObject Type="Embed" ProgID="Package" ShapeID="_x0000_i1025" DrawAspect="Icon" ObjectID="_1468075725" r:id="rId13">
            <o:LockedField>false</o:LockedField>
          </o:OLEObject>
        </w:object>
      </w:r>
    </w:p>
    <w:p w14:paraId="10A4B8FE">
      <w:pPr>
        <w:ind w:firstLine="0" w:firstLineChars="0"/>
        <w:jc w:val="left"/>
        <w:rPr>
          <w:rFonts w:hint="eastAsia"/>
        </w:rPr>
      </w:pPr>
      <w:r>
        <w:rPr>
          <w:rFonts w:hint="eastAsia"/>
        </w:rPr>
        <w:t>2、《上海市电子政务外网建设和运行管理指南（试行）》</w:t>
      </w:r>
    </w:p>
    <w:p w14:paraId="00703DF7">
      <w:pPr>
        <w:ind w:firstLine="0" w:firstLineChars="0"/>
        <w:jc w:val="left"/>
        <w:rPr>
          <w:rFonts w:hint="eastAsia"/>
        </w:rPr>
      </w:pPr>
      <w:r>
        <w:object>
          <v:shape id="_x0000_i1026" o:spt="75" type="#_x0000_t75" style="height:55.2pt;width:76.8pt;" o:ole="t" filled="f" o:preferrelative="t" stroked="f" coordsize="21600,21600">
            <v:path/>
            <v:fill on="f" focussize="0,0"/>
            <v:stroke on="f" joinstyle="miter"/>
            <v:imagedata r:id="rId16" o:title=""/>
            <o:lock v:ext="edit" aspectratio="t"/>
            <w10:wrap type="none"/>
            <w10:anchorlock/>
          </v:shape>
          <o:OLEObject Type="Embed" ProgID="Package" ShapeID="_x0000_i1026" DrawAspect="Icon" ObjectID="_1468075726" r:id="rId15">
            <o:LockedField>false</o:LockedField>
          </o:OLEObject>
        </w:object>
      </w:r>
    </w:p>
    <w:p w14:paraId="7E5CB70D">
      <w:pPr>
        <w:ind w:firstLine="0" w:firstLineChars="0"/>
        <w:jc w:val="left"/>
        <w:rPr>
          <w:rFonts w:hint="eastAsia"/>
          <w:b/>
          <w:bCs/>
        </w:rPr>
      </w:pPr>
      <w:r>
        <w:rPr>
          <w:rFonts w:hint="eastAsia"/>
        </w:rPr>
        <w:t>3、其他标准</w: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83" w:usb1="2BDF3C10" w:usb2="00000016" w:usb3="00000000" w:csb0="602E0107" w:csb1="00000000"/>
  </w:font>
  <w:font w:name="仿宋">
    <w:altName w:val="仿宋_GB2312"/>
    <w:panose1 w:val="02010609060101010101"/>
    <w:charset w:val="86"/>
    <w:family w:val="modern"/>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Liberation Sans"/>
    <w:panose1 w:val="020B0604020202020204"/>
    <w:charset w:val="00"/>
    <w:family w:val="swiss"/>
    <w:pitch w:val="default"/>
    <w:sig w:usb0="00000000" w:usb1="00000000" w:usb2="00000029" w:usb3="00000000" w:csb0="200101FF" w:csb1="2028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192B4">
    <w:pPr>
      <w:ind w:firstLine="0" w:firstLineChars="0"/>
      <w:jc w:val="center"/>
      <w:rPr>
        <w:rFonts w:hint="eastAsia"/>
      </w:rPr>
    </w:pPr>
    <w:r>
      <w:fldChar w:fldCharType="begin"/>
    </w:r>
    <w:r>
      <w:instrText xml:space="preserve">PAGE   \* MERGEFORMAT</w:instrText>
    </w:r>
    <w:r>
      <w:fldChar w:fldCharType="separate"/>
    </w:r>
    <w:r>
      <w:rPr>
        <w:lang w:val="zh-CN"/>
      </w:rPr>
      <w:t>11</w:t>
    </w:r>
    <w:r>
      <w:rPr>
        <w:lang w:val="zh-CN"/>
      </w:rPr>
      <w:fldChar w:fldCharType="end"/>
    </w:r>
  </w:p>
  <w:p w14:paraId="48D8CEF3">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EF4C4">
    <w:pPr>
      <w:rPr>
        <w:rFonts w:hint="eastAsia"/>
      </w:rPr>
    </w:pPr>
  </w:p>
  <w:p w14:paraId="68985549">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E26E1">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A1406">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02C10F22">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804CF">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060F4">
    <w:pPr>
      <w:rPr>
        <w:rFonts w:hint="eastAsia"/>
      </w:rPr>
    </w:pPr>
  </w:p>
  <w:p w14:paraId="42074EEA">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75D48">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19A876E8"/>
    <w:multiLevelType w:val="singleLevel"/>
    <w:tmpl w:val="19A876E8"/>
    <w:lvl w:ilvl="0" w:tentative="0">
      <w:start w:val="1"/>
      <w:numFmt w:val="decimal"/>
      <w:suff w:val="nothing"/>
      <w:lvlText w:val="（%1）"/>
      <w:lvlJc w:val="left"/>
    </w:lvl>
  </w:abstractNum>
  <w:abstractNum w:abstractNumId="2">
    <w:nsid w:val="3E7C667B"/>
    <w:multiLevelType w:val="multilevel"/>
    <w:tmpl w:val="3E7C667B"/>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5">
    <w:nsid w:val="73EB5D30"/>
    <w:multiLevelType w:val="multilevel"/>
    <w:tmpl w:val="73EB5D30"/>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7FAEBA00"/>
    <w:multiLevelType w:val="singleLevel"/>
    <w:tmpl w:val="7FAEBA00"/>
    <w:lvl w:ilvl="0" w:tentative="0">
      <w:start w:val="4"/>
      <w:numFmt w:val="decimal"/>
      <w:suff w:val="nothing"/>
      <w:lvlText w:val="（%1）"/>
      <w:lvlJc w:val="left"/>
    </w:lvl>
  </w:abstractNum>
  <w:num w:numId="1">
    <w:abstractNumId w:val="4"/>
  </w:num>
  <w:num w:numId="2">
    <w:abstractNumId w:val="3"/>
  </w:num>
  <w:num w:numId="3">
    <w:abstractNumId w:val="6"/>
  </w:num>
  <w:num w:numId="4">
    <w:abstractNumId w:val="5"/>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hYmEzMTNhMjdkYThkNDYyOTNhN2M4MTNhMDJiODcifQ=="/>
  </w:docVars>
  <w:rsids>
    <w:rsidRoot w:val="00000000"/>
    <w:rsid w:val="083F2F13"/>
    <w:rsid w:val="1FB76ABE"/>
    <w:rsid w:val="264C1A02"/>
    <w:rsid w:val="2CB301DD"/>
    <w:rsid w:val="3E1C17E0"/>
    <w:rsid w:val="3FF5B99C"/>
    <w:rsid w:val="5BB57D87"/>
    <w:rsid w:val="7B9B879E"/>
    <w:rsid w:val="7BEF5A40"/>
    <w:rsid w:val="7FF6CE19"/>
    <w:rsid w:val="7FFF1453"/>
    <w:rsid w:val="FDFD545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5"/>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1"/>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8"/>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unhideWhenUsed/>
    <w:qFormat/>
    <w:uiPriority w:val="1"/>
  </w:style>
  <w:style w:type="table" w:default="1" w:styleId="35">
    <w:name w:val="Normal Table"/>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0"/>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字符1"/>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字符1"/>
    <w:link w:val="22"/>
    <w:qFormat/>
    <w:uiPriority w:val="0"/>
    <w:rPr>
      <w:kern w:val="2"/>
      <w:sz w:val="21"/>
      <w:szCs w:val="24"/>
    </w:rPr>
  </w:style>
  <w:style w:type="character" w:customStyle="1" w:styleId="48">
    <w:name w:val="标题 9 字符"/>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字符"/>
    <w:link w:val="13"/>
    <w:qFormat/>
    <w:locked/>
    <w:uiPriority w:val="0"/>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字符1"/>
    <w:link w:val="5"/>
    <w:qFormat/>
    <w:uiPriority w:val="0"/>
    <w:rPr>
      <w:rFonts w:ascii="宋体" w:hAnsi="宋体"/>
      <w:b/>
      <w:bCs/>
      <w:kern w:val="2"/>
      <w:sz w:val="30"/>
      <w:szCs w:val="30"/>
    </w:rPr>
  </w:style>
  <w:style w:type="character" w:customStyle="1" w:styleId="59">
    <w:name w:val="正文文本 字符"/>
    <w:link w:val="16"/>
    <w:qFormat/>
    <w:uiPriority w:val="0"/>
    <w:rPr>
      <w:kern w:val="2"/>
      <w:sz w:val="21"/>
      <w:szCs w:val="24"/>
    </w:rPr>
  </w:style>
  <w:style w:type="character" w:customStyle="1" w:styleId="60">
    <w:name w:val="列表段落 字符1"/>
    <w:link w:val="61"/>
    <w:qFormat/>
    <w:uiPriority w:val="34"/>
    <w:rPr>
      <w:kern w:val="2"/>
      <w:sz w:val="21"/>
      <w:szCs w:val="24"/>
    </w:rPr>
  </w:style>
  <w:style w:type="paragraph" w:customStyle="1"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字符1"/>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字符"/>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字符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字符2"/>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字符1"/>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字符1"/>
    <w:link w:val="17"/>
    <w:qFormat/>
    <w:uiPriority w:val="0"/>
    <w:rPr>
      <w:kern w:val="2"/>
      <w:sz w:val="21"/>
    </w:rPr>
  </w:style>
  <w:style w:type="character" w:customStyle="1" w:styleId="86">
    <w:name w:val="标题 5 字符1"/>
    <w:link w:val="6"/>
    <w:qFormat/>
    <w:uiPriority w:val="0"/>
    <w:rPr>
      <w:rFonts w:ascii="宋体" w:hAnsi="宋体"/>
      <w:b/>
      <w:bCs/>
      <w:kern w:val="2"/>
      <w:sz w:val="24"/>
      <w:szCs w:val="28"/>
    </w:rPr>
  </w:style>
  <w:style w:type="character" w:customStyle="1" w:styleId="87">
    <w:name w:val="副标题 字符1"/>
    <w:link w:val="28"/>
    <w:qFormat/>
    <w:uiPriority w:val="0"/>
    <w:rPr>
      <w:rFonts w:ascii="Calibri Light" w:hAnsi="Calibri Light"/>
      <w:b/>
      <w:bCs/>
      <w:kern w:val="28"/>
      <w:sz w:val="32"/>
      <w:szCs w:val="32"/>
    </w:rPr>
  </w:style>
  <w:style w:type="character" w:customStyle="1" w:styleId="88">
    <w:name w:val="标题 2 字符1"/>
    <w:link w:val="3"/>
    <w:qFormat/>
    <w:uiPriority w:val="9"/>
    <w:rPr>
      <w:rFonts w:ascii="宋体" w:hAnsi="宋体"/>
      <w:b/>
      <w:bCs/>
      <w:kern w:val="2"/>
      <w:sz w:val="30"/>
      <w:szCs w:val="32"/>
    </w:rPr>
  </w:style>
  <w:style w:type="character" w:customStyle="1" w:styleId="89">
    <w:name w:val="页脚 字符1"/>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字符1"/>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字符1"/>
    <w:link w:val="33"/>
    <w:qFormat/>
    <w:uiPriority w:val="0"/>
    <w:rPr>
      <w:rFonts w:ascii="Cambria" w:hAnsi="Cambria" w:eastAsia="黑体"/>
      <w:b/>
      <w:bCs/>
      <w:kern w:val="2"/>
      <w:sz w:val="52"/>
      <w:szCs w:val="32"/>
    </w:rPr>
  </w:style>
  <w:style w:type="character" w:customStyle="1" w:styleId="96">
    <w:name w:val="批注框文本 字符1"/>
    <w:link w:val="23"/>
    <w:qFormat/>
    <w:uiPriority w:val="0"/>
    <w:rPr>
      <w:kern w:val="2"/>
      <w:sz w:val="18"/>
      <w:szCs w:val="18"/>
    </w:rPr>
  </w:style>
  <w:style w:type="character" w:customStyle="1" w:styleId="97">
    <w:name w:val="页眉 字符1"/>
    <w:link w:val="25"/>
    <w:qFormat/>
    <w:uiPriority w:val="99"/>
    <w:rPr>
      <w:kern w:val="2"/>
      <w:sz w:val="18"/>
      <w:szCs w:val="18"/>
    </w:rPr>
  </w:style>
  <w:style w:type="character" w:customStyle="1" w:styleId="98">
    <w:name w:val="标题 8 字符"/>
    <w:link w:val="9"/>
    <w:qFormat/>
    <w:uiPriority w:val="9"/>
    <w:rPr>
      <w:rFonts w:ascii="Cambria" w:hAnsi="Cambria"/>
      <w:kern w:val="2"/>
      <w:sz w:val="21"/>
      <w:szCs w:val="24"/>
    </w:rPr>
  </w:style>
  <w:style w:type="character" w:customStyle="1" w:styleId="99">
    <w:name w:val="标题 6 字符1"/>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 w:val="clear" w:pos="76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修订1"/>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paragraph" w:customStyle="1" w:styleId="134">
    <w:name w:val="列出段落1"/>
    <w:basedOn w:val="1"/>
    <w:qFormat/>
    <w:uiPriority w:val="34"/>
    <w:pPr>
      <w:spacing w:line="240" w:lineRule="auto"/>
      <w:ind w:firstLine="420"/>
    </w:pPr>
    <w:rPr>
      <w:rFonts w:ascii="Calibri" w:hAnsi="Calibri"/>
      <w:sz w:val="21"/>
      <w:szCs w:val="22"/>
    </w:rPr>
  </w:style>
  <w:style w:type="paragraph" w:customStyle="1" w:styleId="135">
    <w:name w:val="修订2"/>
    <w:hidden/>
    <w:unhideWhenUsed/>
    <w:qFormat/>
    <w:uiPriority w:val="99"/>
    <w:rPr>
      <w:rFonts w:ascii="宋体" w:hAnsi="宋体" w:eastAsia="宋体" w:cs="Times New Roman"/>
      <w:kern w:val="2"/>
      <w:sz w:val="24"/>
      <w:szCs w:val="24"/>
      <w:lang w:val="en-US" w:eastAsia="zh-CN" w:bidi="ar-SA"/>
    </w:rPr>
  </w:style>
  <w:style w:type="paragraph" w:customStyle="1" w:styleId="136">
    <w:name w:val="B-表正文"/>
    <w:qFormat/>
    <w:uiPriority w:val="0"/>
    <w:rPr>
      <w:rFonts w:ascii="Times New Roman" w:hAnsi="Times New Roman" w:eastAsia="仿宋" w:cstheme="minorBidi"/>
      <w:kern w:val="2"/>
      <w:sz w:val="21"/>
      <w:szCs w:val="24"/>
      <w:lang w:val="en-US" w:eastAsia="zh-CN" w:bidi="ar-SA"/>
    </w:rPr>
  </w:style>
  <w:style w:type="paragraph" w:customStyle="1" w:styleId="137">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40</Pages>
  <Words>19087</Words>
  <Characters>19524</Characters>
  <Lines>661</Lines>
  <Paragraphs>549</Paragraphs>
  <TotalTime>15</TotalTime>
  <ScaleCrop>false</ScaleCrop>
  <LinksUpToDate>false</LinksUpToDate>
  <CharactersWithSpaces>19595</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2025-10-12T14:12:00Z</dcterms:created>
  <dc:creator>gtig_tzb</dc:creator>
  <cp:lastModifiedBy>user</cp:lastModifiedBy>
  <cp:lastPrinted>2020-08-09T12:08:00Z</cp:lastPrinted>
  <dcterms:modified xsi:type="dcterms:W3CDTF">2025-10-30T14:18:56Z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6FECBFA92A0CF061470303690435E4F8_43</vt:lpwstr>
  </property>
  <property fmtid="{D5CDD505-2E9C-101B-9397-08002B2CF9AE}" pid="4" name="CWMf67cfc409dab11f080005d1000005c10">
    <vt:lpwstr>CWMfmkJFVjBcN5a+obPn4kGRdOmJr+N24iVC+CdY9fFMYDqwamgStNny8M47B0qPwLRWXYyfqoYbVmqgB4AQJdAwQ==</vt:lpwstr>
  </property>
  <property fmtid="{D5CDD505-2E9C-101B-9397-08002B2CF9AE}" pid="5" name="CWM49e8f560a4c211f08000093a0000093a">
    <vt:lpwstr>CWMo3zFFWqI8YwMgT5AE5mV/H3vbKc39UVvYoPvhR8iFGKxyGZiR3vO2JBOIEPodH5cAvmZmYKQjiCA2r2+oedwpw==</vt:lpwstr>
  </property>
  <property fmtid="{D5CDD505-2E9C-101B-9397-08002B2CF9AE}" pid="6" name="KSOTemplateDocerSaveRecord">
    <vt:lpwstr>eyJoZGlkIjoiNDI1NGQ4MDY4NjMxYWVlMzc3ODM2NDE0MmU1ODUxYzYiLCJ1c2VySWQiOiI2Mzc2ODI5MTMifQ==</vt:lpwstr>
  </property>
  <property fmtid="{D5CDD505-2E9C-101B-9397-08002B2CF9AE}" pid="7" name="CWMa89a3280a4e111f0800047aa000047aa">
    <vt:lpwstr>CWMGOqQ/feyyxwwkh1ssXgbiQQNUAuj5FVdT5+OXWOKpihhPezc/9vre/OD9wn1SeUKhm8GKR6cvPGqvP+NZw9lEg==</vt:lpwstr>
  </property>
</Properties>
</file>