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1"/>
          <w:numId w:val="3"/>
        </w:numPr>
        <w:rPr>
          <w:rFonts w:asciiTheme="minorEastAsia" w:hAnsiTheme="minorEastAsia" w:eastAsiaTheme="minorEastAsia"/>
          <w:color w:val="auto"/>
          <w:sz w:val="24"/>
          <w:szCs w:val="24"/>
        </w:rPr>
      </w:pPr>
      <w:bookmarkStart w:id="0" w:name="_Toc258006993"/>
      <w:r>
        <w:rPr>
          <w:rFonts w:hint="eastAsia" w:asciiTheme="minorEastAsia" w:hAnsiTheme="minorEastAsia" w:eastAsiaTheme="minorEastAsia"/>
          <w:color w:val="auto"/>
          <w:sz w:val="24"/>
          <w:szCs w:val="24"/>
        </w:rPr>
        <w:t>基础设施需求</w:t>
      </w:r>
      <w:bookmarkEnd w:id="0"/>
    </w:p>
    <w:p>
      <w:pPr>
        <w:pStyle w:val="4"/>
        <w:numPr>
          <w:ilvl w:val="2"/>
          <w:numId w:val="3"/>
        </w:numPr>
        <w:rPr>
          <w:rFonts w:ascii="宋体" w:hAnsi="宋体"/>
          <w:color w:val="auto"/>
          <w:sz w:val="24"/>
          <w:szCs w:val="24"/>
        </w:rPr>
      </w:pPr>
      <w:bookmarkStart w:id="1" w:name="_Toc554048058"/>
      <w:r>
        <w:rPr>
          <w:rFonts w:hint="eastAsia" w:asciiTheme="minorEastAsia" w:hAnsiTheme="minorEastAsia" w:eastAsiaTheme="minorEastAsia"/>
          <w:color w:val="auto"/>
          <w:sz w:val="24"/>
          <w:szCs w:val="24"/>
        </w:rPr>
        <w:t>基础硬件需求</w:t>
      </w:r>
      <w:bookmarkEnd w:id="1"/>
    </w:p>
    <w:p>
      <w:pPr>
        <w:spacing w:line="360" w:lineRule="auto"/>
        <w:ind w:firstLine="480" w:firstLineChars="200"/>
        <w:rPr>
          <w:rFonts w:asciiTheme="minorEastAsia" w:hAnsiTheme="minorEastAsia"/>
          <w:color w:val="auto"/>
          <w:sz w:val="24"/>
        </w:rPr>
      </w:pPr>
      <w:r>
        <w:rPr>
          <w:rFonts w:hint="eastAsia" w:asciiTheme="minorEastAsia" w:hAnsiTheme="minorEastAsia"/>
          <w:color w:val="auto"/>
          <w:sz w:val="24"/>
        </w:rPr>
        <w:t>通过采用集群、虚拟化等技术使得医院数据中心能最大化的为信息系统提供不间断平稳服务，采用软件定义存储的方式构建主机存储资源，在方案规划中采用虚拟化资源主机的CPU、内存配置构建虚拟化计算资源池，提供对上层应用的高可用性、安全性和可扩展性等的全面支持，以保证应用运行在一个安全、可靠、伸缩性强的平台之上，从而实现应用系统的双活架构。</w:t>
      </w:r>
    </w:p>
    <w:p>
      <w:pPr>
        <w:spacing w:line="360" w:lineRule="auto"/>
        <w:ind w:firstLine="480" w:firstLineChars="200"/>
        <w:rPr>
          <w:rFonts w:asciiTheme="minorEastAsia" w:hAnsiTheme="minorEastAsia"/>
          <w:color w:val="auto"/>
          <w:sz w:val="24"/>
        </w:rPr>
      </w:pPr>
      <w:r>
        <w:rPr>
          <w:rFonts w:hint="eastAsia" w:asciiTheme="minorEastAsia" w:hAnsiTheme="minorEastAsia"/>
          <w:color w:val="auto"/>
          <w:sz w:val="24"/>
        </w:rPr>
        <w:t>存储网络独立组网，与业务网络物理隔离，并通过双存储交换机实现多路径提供存储与服务器间的冗余链接。生产存储网络和灾备存储网络通过裸光纤连接，实现存储级的数据同步。</w:t>
      </w:r>
    </w:p>
    <w:p>
      <w:pPr>
        <w:spacing w:line="360" w:lineRule="auto"/>
        <w:ind w:firstLine="480" w:firstLineChars="200"/>
        <w:rPr>
          <w:rFonts w:asciiTheme="minorEastAsia" w:hAnsiTheme="minorEastAsia"/>
          <w:color w:val="auto"/>
          <w:sz w:val="24"/>
        </w:rPr>
      </w:pPr>
      <w:r>
        <w:rPr>
          <w:rFonts w:hint="eastAsia" w:asciiTheme="minorEastAsia" w:hAnsiTheme="minorEastAsia"/>
          <w:color w:val="auto"/>
          <w:sz w:val="24"/>
        </w:rPr>
        <w:t>数据库服务器、应用服务器拟采用虚拟机实现，因此需要大内存的虚拟化平台节点服务器和支持分层技术的存储以平衡性能及容量需求。虚拟化平台支持群集或同类技术，任意节点故障都不影响虚拟机正常运行。</w:t>
      </w:r>
    </w:p>
    <w:p>
      <w:pPr>
        <w:spacing w:line="360" w:lineRule="auto"/>
        <w:ind w:firstLine="480" w:firstLineChars="200"/>
        <w:rPr>
          <w:rFonts w:asciiTheme="minorEastAsia" w:hAnsiTheme="minorEastAsia"/>
          <w:color w:val="auto"/>
          <w:sz w:val="24"/>
        </w:rPr>
      </w:pPr>
      <w:r>
        <w:rPr>
          <w:rFonts w:hint="eastAsia" w:asciiTheme="minorEastAsia" w:hAnsiTheme="minorEastAsia"/>
          <w:color w:val="auto"/>
          <w:sz w:val="24"/>
        </w:rPr>
        <w:t>为保证系统稳定性，围绕张江院区各类业务系统配置相应的计算资源和存储空间，满足现有陆家嘴院区中心机房和张江新院区机房的跨院区双活灾备的需求。投标人需提供详细技术方案，相关设备需提供产品界面截图、产品彩页、产品说明书、产品白皮书或第三方检测机构出具的检测报告等证明材料，证明材料需加盖公章。</w:t>
      </w:r>
    </w:p>
    <w:p>
      <w:pPr>
        <w:spacing w:line="360" w:lineRule="auto"/>
        <w:ind w:firstLine="480" w:firstLineChars="200"/>
        <w:rPr>
          <w:rFonts w:asciiTheme="minorEastAsia" w:hAnsiTheme="minorEastAsia"/>
          <w:color w:val="auto"/>
          <w:sz w:val="24"/>
        </w:rPr>
      </w:pPr>
      <w:r>
        <w:rPr>
          <w:rFonts w:hint="eastAsia" w:asciiTheme="minorEastAsia" w:hAnsiTheme="minorEastAsia"/>
          <w:color w:val="auto"/>
          <w:sz w:val="24"/>
        </w:rPr>
        <w:t>科研算力与存储方面，计划采购管理服务器、CPU高性能计算科研服务器、大内存计算科研服务器、科研大数据存储及相应配套设备。</w:t>
      </w:r>
    </w:p>
    <w:p>
      <w:pPr>
        <w:spacing w:line="360" w:lineRule="auto"/>
        <w:ind w:firstLine="480" w:firstLineChars="200"/>
        <w:rPr>
          <w:rFonts w:hint="eastAsia" w:asciiTheme="minorEastAsia" w:hAnsiTheme="minorEastAsia"/>
          <w:color w:val="auto"/>
          <w:sz w:val="24"/>
        </w:rPr>
      </w:pPr>
      <w:r>
        <w:rPr>
          <w:rFonts w:hint="eastAsia" w:asciiTheme="minorEastAsia" w:hAnsiTheme="minorEastAsia"/>
          <w:color w:val="auto"/>
          <w:sz w:val="24"/>
        </w:rPr>
        <w:t>本项目服务器、存储需要与一期和二期服务器纳入统一管理平台管理，资源池进行统一调度。</w:t>
      </w:r>
    </w:p>
    <w:p>
      <w:pPr>
        <w:pStyle w:val="5"/>
        <w:numPr>
          <w:ilvl w:val="3"/>
          <w:numId w:val="3"/>
        </w:numPr>
        <w:spacing w:before="240" w:after="240" w:line="360" w:lineRule="auto"/>
        <w:ind w:left="0"/>
        <w:rPr>
          <w:rFonts w:ascii="宋体" w:hAnsi="宋体" w:eastAsia="宋体"/>
          <w:color w:val="auto"/>
          <w:sz w:val="24"/>
          <w:szCs w:val="24"/>
        </w:rPr>
      </w:pPr>
      <w:r>
        <w:rPr>
          <w:rFonts w:hint="eastAsia" w:ascii="宋体" w:hAnsi="宋体" w:eastAsia="宋体"/>
          <w:color w:val="auto"/>
          <w:sz w:val="24"/>
          <w:szCs w:val="24"/>
        </w:rPr>
        <w:t>设备清单</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3791"/>
        <w:gridCol w:w="1126"/>
        <w:gridCol w:w="1330"/>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44" w:type="pct"/>
            <w:shd w:val="clear" w:color="auto" w:fill="auto"/>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序号</w:t>
            </w:r>
          </w:p>
        </w:tc>
        <w:tc>
          <w:tcPr>
            <w:tcW w:w="2226" w:type="pct"/>
            <w:shd w:val="clear" w:color="auto" w:fill="auto"/>
            <w:vAlign w:val="center"/>
          </w:tcPr>
          <w:p>
            <w:pPr>
              <w:widowControl/>
              <w:jc w:val="center"/>
              <w:rPr>
                <w:rFonts w:ascii="宋体" w:hAnsi="宋体" w:cs="微软雅黑"/>
                <w:b/>
                <w:bCs/>
                <w:color w:val="auto"/>
                <w:kern w:val="0"/>
                <w:szCs w:val="21"/>
              </w:rPr>
            </w:pPr>
            <w:r>
              <w:rPr>
                <w:rFonts w:hint="eastAsia" w:ascii="宋体" w:hAnsi="宋体" w:cs="宋体"/>
                <w:b/>
                <w:bCs/>
                <w:color w:val="auto"/>
                <w:kern w:val="0"/>
                <w:szCs w:val="21"/>
              </w:rPr>
              <w:t>设备名称</w:t>
            </w:r>
          </w:p>
        </w:tc>
        <w:tc>
          <w:tcPr>
            <w:tcW w:w="661" w:type="pct"/>
            <w:shd w:val="clear" w:color="auto" w:fill="auto"/>
            <w:vAlign w:val="center"/>
          </w:tcPr>
          <w:p>
            <w:pPr>
              <w:widowControl/>
              <w:jc w:val="center"/>
              <w:rPr>
                <w:rFonts w:ascii="宋体" w:hAnsi="宋体" w:cs="宋体"/>
                <w:b/>
                <w:bCs/>
                <w:color w:val="auto"/>
                <w:kern w:val="0"/>
                <w:szCs w:val="21"/>
              </w:rPr>
            </w:pPr>
            <w:r>
              <w:rPr>
                <w:rFonts w:hint="eastAsia" w:ascii="宋体" w:hAnsi="宋体" w:cs="微软雅黑"/>
                <w:b/>
                <w:bCs/>
                <w:color w:val="auto"/>
                <w:kern w:val="0"/>
                <w:szCs w:val="21"/>
              </w:rPr>
              <w:t>单位</w:t>
            </w:r>
          </w:p>
        </w:tc>
        <w:tc>
          <w:tcPr>
            <w:tcW w:w="781" w:type="pct"/>
            <w:shd w:val="clear" w:color="auto" w:fill="auto"/>
            <w:vAlign w:val="center"/>
          </w:tcPr>
          <w:p>
            <w:pPr>
              <w:widowControl/>
              <w:jc w:val="center"/>
              <w:rPr>
                <w:rFonts w:ascii="宋体" w:hAnsi="宋体" w:cs="宋体"/>
                <w:b/>
                <w:bCs/>
                <w:color w:val="auto"/>
                <w:kern w:val="0"/>
                <w:szCs w:val="21"/>
              </w:rPr>
            </w:pPr>
            <w:r>
              <w:rPr>
                <w:rFonts w:hint="eastAsia" w:ascii="宋体" w:hAnsi="宋体" w:cs="微软雅黑"/>
                <w:b/>
                <w:bCs/>
                <w:color w:val="auto"/>
                <w:kern w:val="0"/>
                <w:szCs w:val="21"/>
              </w:rPr>
              <w:t>数量</w:t>
            </w:r>
          </w:p>
        </w:tc>
        <w:tc>
          <w:tcPr>
            <w:tcW w:w="688" w:type="pct"/>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000" w:type="pct"/>
            <w:gridSpan w:val="5"/>
            <w:shd w:val="clear" w:color="auto" w:fill="auto"/>
            <w:vAlign w:val="center"/>
          </w:tcPr>
          <w:p>
            <w:pPr>
              <w:jc w:val="left"/>
              <w:rPr>
                <w:rFonts w:ascii="宋体" w:hAnsi="宋体" w:cs="宋体"/>
                <w:color w:val="auto"/>
                <w:kern w:val="0"/>
                <w:sz w:val="24"/>
              </w:rPr>
            </w:pPr>
            <w:r>
              <w:rPr>
                <w:rFonts w:hint="eastAsia" w:ascii="宋体" w:hAnsi="宋体" w:cs="宋体"/>
                <w:b/>
                <w:bCs/>
                <w:color w:val="auto"/>
                <w:kern w:val="0"/>
                <w:sz w:val="24"/>
              </w:rPr>
              <w:t>基础硬件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4" w:type="pct"/>
            <w:shd w:val="clear" w:color="auto" w:fill="auto"/>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2226" w:type="pct"/>
            <w:shd w:val="clear" w:color="auto" w:fill="auto"/>
            <w:vAlign w:val="center"/>
          </w:tcPr>
          <w:p>
            <w:pPr>
              <w:widowControl/>
              <w:jc w:val="left"/>
              <w:textAlignment w:val="center"/>
              <w:rPr>
                <w:rFonts w:asciiTheme="minorEastAsia" w:hAnsiTheme="minorEastAsia" w:cstheme="minorEastAsia"/>
                <w:color w:val="auto"/>
                <w:kern w:val="0"/>
                <w:szCs w:val="21"/>
              </w:rPr>
            </w:pPr>
            <w:r>
              <w:rPr>
                <w:rFonts w:hint="eastAsia" w:asciiTheme="minorEastAsia" w:hAnsiTheme="minorEastAsia" w:cstheme="minorEastAsia"/>
                <w:color w:val="auto"/>
                <w:kern w:val="0"/>
                <w:szCs w:val="21"/>
                <w:lang w:bidi="ar"/>
              </w:rPr>
              <w:t>影像存储（</w:t>
            </w:r>
            <w:r>
              <w:rPr>
                <w:rFonts w:asciiTheme="minorEastAsia" w:hAnsiTheme="minorEastAsia" w:cstheme="minorEastAsia"/>
                <w:color w:val="auto"/>
                <w:kern w:val="0"/>
                <w:szCs w:val="21"/>
                <w:lang w:bidi="ar"/>
              </w:rPr>
              <w:t>1P</w:t>
            </w:r>
            <w:r>
              <w:rPr>
                <w:rFonts w:hint="eastAsia" w:asciiTheme="minorEastAsia" w:hAnsiTheme="minorEastAsia" w:cstheme="minorEastAsia"/>
                <w:color w:val="auto"/>
                <w:kern w:val="0"/>
                <w:szCs w:val="21"/>
                <w:lang w:bidi="ar"/>
              </w:rPr>
              <w:t>）</w:t>
            </w:r>
          </w:p>
        </w:tc>
        <w:tc>
          <w:tcPr>
            <w:tcW w:w="661" w:type="pct"/>
            <w:shd w:val="clear" w:color="auto" w:fill="auto"/>
            <w:vAlign w:val="center"/>
          </w:tcPr>
          <w:p>
            <w:pPr>
              <w:widowControl/>
              <w:jc w:val="center"/>
              <w:rPr>
                <w:rFonts w:ascii="宋体" w:hAnsi="宋体" w:cs="宋体"/>
                <w:color w:val="auto"/>
                <w:kern w:val="0"/>
                <w:szCs w:val="21"/>
              </w:rPr>
            </w:pPr>
            <w:r>
              <w:rPr>
                <w:rFonts w:hint="eastAsia" w:ascii="宋体" w:hAnsi="宋体" w:cs="宋体"/>
                <w:color w:val="auto"/>
                <w:kern w:val="0"/>
                <w:szCs w:val="21"/>
              </w:rPr>
              <w:t>台</w:t>
            </w:r>
          </w:p>
        </w:tc>
        <w:tc>
          <w:tcPr>
            <w:tcW w:w="781" w:type="pct"/>
            <w:shd w:val="clear" w:color="auto" w:fill="auto"/>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688" w:type="pct"/>
            <w:vMerge w:val="restart"/>
            <w:vAlign w:val="center"/>
          </w:tcPr>
          <w:p>
            <w:pPr>
              <w:rPr>
                <w:rFonts w:hint="eastAsia" w:ascii="宋体" w:hAnsi="宋体" w:eastAsia="宋体" w:cs="宋体"/>
                <w:color w:val="auto"/>
                <w:kern w:val="0"/>
                <w:szCs w:val="21"/>
                <w:lang w:eastAsia="zh-CN"/>
              </w:rPr>
            </w:pPr>
            <w:r>
              <w:rPr>
                <w:rFonts w:hint="eastAsia" w:ascii="宋体" w:hAnsi="宋体" w:cs="宋体"/>
                <w:color w:val="auto"/>
                <w:kern w:val="0"/>
                <w:szCs w:val="21"/>
              </w:rPr>
              <w:t>原厂质保5年并出具原厂授权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4" w:type="pct"/>
            <w:shd w:val="clear" w:color="auto" w:fill="auto"/>
            <w:vAlign w:val="center"/>
          </w:tcPr>
          <w:p>
            <w:pPr>
              <w:widowControl/>
              <w:jc w:val="center"/>
              <w:rPr>
                <w:rFonts w:ascii="宋体" w:hAnsi="宋体" w:cs="宋体"/>
                <w:color w:val="auto"/>
                <w:kern w:val="0"/>
                <w:szCs w:val="21"/>
              </w:rPr>
            </w:pPr>
            <w:r>
              <w:rPr>
                <w:rFonts w:hint="eastAsia" w:ascii="宋体" w:hAnsi="宋体" w:cs="宋体"/>
                <w:color w:val="auto"/>
                <w:kern w:val="0"/>
                <w:szCs w:val="21"/>
              </w:rPr>
              <w:t>2</w:t>
            </w:r>
          </w:p>
        </w:tc>
        <w:tc>
          <w:tcPr>
            <w:tcW w:w="2226" w:type="pct"/>
            <w:shd w:val="clear" w:color="auto" w:fill="auto"/>
            <w:vAlign w:val="center"/>
          </w:tcPr>
          <w:p>
            <w:pPr>
              <w:widowControl/>
              <w:jc w:val="left"/>
              <w:textAlignment w:val="center"/>
              <w:rPr>
                <w:rFonts w:asciiTheme="minorEastAsia" w:hAnsiTheme="minorEastAsia" w:cstheme="minorEastAsia"/>
                <w:color w:val="auto"/>
                <w:kern w:val="0"/>
                <w:szCs w:val="21"/>
              </w:rPr>
            </w:pPr>
            <w:r>
              <w:rPr>
                <w:rFonts w:hint="eastAsia" w:asciiTheme="minorEastAsia" w:hAnsiTheme="minorEastAsia" w:cstheme="minorEastAsia"/>
                <w:color w:val="auto"/>
                <w:kern w:val="0"/>
                <w:szCs w:val="21"/>
                <w:lang w:bidi="ar"/>
              </w:rPr>
              <w:t>虚拟化服务器</w:t>
            </w:r>
          </w:p>
        </w:tc>
        <w:tc>
          <w:tcPr>
            <w:tcW w:w="661" w:type="pct"/>
            <w:shd w:val="clear" w:color="auto" w:fill="auto"/>
            <w:vAlign w:val="center"/>
          </w:tcPr>
          <w:p>
            <w:pPr>
              <w:widowControl/>
              <w:jc w:val="center"/>
              <w:rPr>
                <w:rFonts w:ascii="宋体" w:hAnsi="宋体" w:cs="宋体"/>
                <w:color w:val="auto"/>
                <w:kern w:val="0"/>
                <w:szCs w:val="21"/>
              </w:rPr>
            </w:pPr>
            <w:r>
              <w:rPr>
                <w:rFonts w:hint="eastAsia" w:ascii="宋体" w:hAnsi="宋体" w:cs="宋体"/>
                <w:color w:val="auto"/>
                <w:kern w:val="0"/>
                <w:szCs w:val="21"/>
              </w:rPr>
              <w:t>台</w:t>
            </w:r>
          </w:p>
        </w:tc>
        <w:tc>
          <w:tcPr>
            <w:tcW w:w="781" w:type="pct"/>
            <w:shd w:val="clear" w:color="auto" w:fill="auto"/>
            <w:vAlign w:val="center"/>
          </w:tcPr>
          <w:p>
            <w:pPr>
              <w:widowControl/>
              <w:jc w:val="center"/>
              <w:rPr>
                <w:rFonts w:ascii="宋体" w:hAnsi="宋体" w:cs="宋体"/>
                <w:color w:val="auto"/>
                <w:kern w:val="0"/>
                <w:szCs w:val="21"/>
              </w:rPr>
            </w:pPr>
            <w:r>
              <w:rPr>
                <w:rFonts w:hint="eastAsia" w:ascii="宋体" w:hAnsi="宋体" w:cs="宋体"/>
                <w:color w:val="auto"/>
                <w:kern w:val="0"/>
                <w:szCs w:val="21"/>
              </w:rPr>
              <w:t>5</w:t>
            </w:r>
          </w:p>
        </w:tc>
        <w:tc>
          <w:tcPr>
            <w:tcW w:w="688" w:type="pct"/>
            <w:vMerge w:val="continue"/>
            <w:vAlign w:val="center"/>
          </w:tcPr>
          <w:p>
            <w:pP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4" w:type="pct"/>
            <w:shd w:val="clear" w:color="auto" w:fill="auto"/>
            <w:vAlign w:val="center"/>
          </w:tcPr>
          <w:p>
            <w:pPr>
              <w:widowControl/>
              <w:jc w:val="center"/>
              <w:rPr>
                <w:rFonts w:ascii="宋体" w:hAnsi="宋体" w:cs="宋体"/>
                <w:color w:val="auto"/>
                <w:kern w:val="0"/>
                <w:szCs w:val="21"/>
              </w:rPr>
            </w:pPr>
            <w:r>
              <w:rPr>
                <w:rFonts w:hint="eastAsia" w:ascii="宋体" w:hAnsi="宋体" w:cs="宋体"/>
                <w:color w:val="auto"/>
                <w:kern w:val="0"/>
                <w:szCs w:val="21"/>
              </w:rPr>
              <w:t>3</w:t>
            </w:r>
          </w:p>
        </w:tc>
        <w:tc>
          <w:tcPr>
            <w:tcW w:w="2226" w:type="pct"/>
            <w:shd w:val="clear" w:color="auto" w:fill="auto"/>
            <w:vAlign w:val="center"/>
          </w:tcPr>
          <w:p>
            <w:pPr>
              <w:widowControl/>
              <w:jc w:val="left"/>
              <w:textAlignment w:val="center"/>
              <w:rPr>
                <w:rFonts w:asciiTheme="minorEastAsia" w:hAnsiTheme="minorEastAsia" w:cstheme="minorEastAsia"/>
                <w:color w:val="auto"/>
                <w:kern w:val="0"/>
                <w:szCs w:val="21"/>
              </w:rPr>
            </w:pPr>
            <w:r>
              <w:rPr>
                <w:rFonts w:hint="eastAsia" w:asciiTheme="minorEastAsia" w:hAnsiTheme="minorEastAsia" w:cstheme="minorEastAsia"/>
                <w:color w:val="auto"/>
                <w:kern w:val="0"/>
                <w:szCs w:val="21"/>
                <w:lang w:bidi="ar"/>
              </w:rPr>
              <w:t>高性能计算管理服务器</w:t>
            </w:r>
          </w:p>
        </w:tc>
        <w:tc>
          <w:tcPr>
            <w:tcW w:w="661" w:type="pct"/>
            <w:shd w:val="clear" w:color="auto" w:fill="auto"/>
            <w:vAlign w:val="center"/>
          </w:tcPr>
          <w:p>
            <w:pPr>
              <w:widowControl/>
              <w:jc w:val="center"/>
              <w:rPr>
                <w:rFonts w:ascii="宋体" w:hAnsi="宋体" w:cs="宋体"/>
                <w:color w:val="auto"/>
                <w:kern w:val="0"/>
                <w:szCs w:val="21"/>
              </w:rPr>
            </w:pPr>
            <w:r>
              <w:rPr>
                <w:rFonts w:hint="eastAsia" w:ascii="宋体" w:hAnsi="宋体" w:cs="宋体"/>
                <w:color w:val="auto"/>
                <w:kern w:val="0"/>
                <w:szCs w:val="21"/>
              </w:rPr>
              <w:t>台</w:t>
            </w:r>
          </w:p>
        </w:tc>
        <w:tc>
          <w:tcPr>
            <w:tcW w:w="781" w:type="pct"/>
            <w:shd w:val="clear" w:color="auto" w:fill="auto"/>
            <w:vAlign w:val="center"/>
          </w:tcPr>
          <w:p>
            <w:pPr>
              <w:widowControl/>
              <w:jc w:val="center"/>
              <w:rPr>
                <w:rFonts w:ascii="宋体" w:hAnsi="宋体" w:cs="宋体"/>
                <w:color w:val="auto"/>
                <w:kern w:val="0"/>
                <w:szCs w:val="21"/>
              </w:rPr>
            </w:pPr>
            <w:r>
              <w:rPr>
                <w:rFonts w:ascii="宋体" w:hAnsi="宋体" w:cs="宋体"/>
                <w:color w:val="auto"/>
                <w:kern w:val="0"/>
                <w:szCs w:val="21"/>
              </w:rPr>
              <w:t>1</w:t>
            </w:r>
          </w:p>
        </w:tc>
        <w:tc>
          <w:tcPr>
            <w:tcW w:w="688" w:type="pct"/>
            <w:vMerge w:val="continue"/>
            <w:vAlign w:val="center"/>
          </w:tcPr>
          <w:p>
            <w:pP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4" w:type="pct"/>
            <w:shd w:val="clear" w:color="auto" w:fill="auto"/>
            <w:vAlign w:val="center"/>
          </w:tcPr>
          <w:p>
            <w:pPr>
              <w:widowControl/>
              <w:jc w:val="center"/>
              <w:rPr>
                <w:rFonts w:ascii="宋体" w:hAnsi="宋体" w:cs="宋体"/>
                <w:color w:val="auto"/>
                <w:kern w:val="0"/>
                <w:szCs w:val="21"/>
              </w:rPr>
            </w:pPr>
            <w:r>
              <w:rPr>
                <w:rFonts w:hint="eastAsia" w:ascii="宋体" w:hAnsi="宋体" w:cs="宋体"/>
                <w:color w:val="auto"/>
                <w:kern w:val="0"/>
                <w:szCs w:val="21"/>
              </w:rPr>
              <w:t>4</w:t>
            </w:r>
          </w:p>
        </w:tc>
        <w:tc>
          <w:tcPr>
            <w:tcW w:w="2226" w:type="pct"/>
            <w:shd w:val="clear" w:color="auto" w:fill="auto"/>
            <w:vAlign w:val="center"/>
          </w:tcPr>
          <w:p>
            <w:pPr>
              <w:widowControl/>
              <w:jc w:val="left"/>
              <w:textAlignment w:val="center"/>
              <w:rPr>
                <w:rFonts w:asciiTheme="minorEastAsia" w:hAnsiTheme="minorEastAsia" w:cstheme="minorEastAsia"/>
                <w:color w:val="auto"/>
                <w:kern w:val="0"/>
                <w:szCs w:val="21"/>
              </w:rPr>
            </w:pPr>
            <w:r>
              <w:rPr>
                <w:rFonts w:hint="eastAsia" w:asciiTheme="minorEastAsia" w:hAnsiTheme="minorEastAsia" w:cstheme="minorEastAsia"/>
                <w:color w:val="auto"/>
                <w:kern w:val="0"/>
                <w:szCs w:val="21"/>
                <w:lang w:bidi="ar"/>
              </w:rPr>
              <w:t>CPU高性能计算科研服务器</w:t>
            </w:r>
          </w:p>
        </w:tc>
        <w:tc>
          <w:tcPr>
            <w:tcW w:w="661" w:type="pct"/>
            <w:shd w:val="clear" w:color="auto" w:fill="auto"/>
            <w:vAlign w:val="center"/>
          </w:tcPr>
          <w:p>
            <w:pPr>
              <w:widowControl/>
              <w:jc w:val="center"/>
              <w:rPr>
                <w:rFonts w:ascii="宋体" w:hAnsi="宋体" w:cs="宋体"/>
                <w:color w:val="auto"/>
                <w:kern w:val="0"/>
                <w:szCs w:val="21"/>
              </w:rPr>
            </w:pPr>
            <w:r>
              <w:rPr>
                <w:rFonts w:hint="eastAsia" w:ascii="宋体" w:hAnsi="宋体" w:cs="宋体"/>
                <w:color w:val="auto"/>
                <w:kern w:val="0"/>
                <w:szCs w:val="21"/>
              </w:rPr>
              <w:t>台</w:t>
            </w:r>
          </w:p>
        </w:tc>
        <w:tc>
          <w:tcPr>
            <w:tcW w:w="781" w:type="pct"/>
            <w:shd w:val="clear" w:color="auto" w:fill="auto"/>
            <w:vAlign w:val="center"/>
          </w:tcPr>
          <w:p>
            <w:pPr>
              <w:widowControl/>
              <w:jc w:val="center"/>
              <w:rPr>
                <w:rFonts w:ascii="宋体" w:hAnsi="宋体" w:cs="宋体"/>
                <w:color w:val="auto"/>
                <w:kern w:val="0"/>
                <w:szCs w:val="21"/>
              </w:rPr>
            </w:pPr>
            <w:r>
              <w:rPr>
                <w:rFonts w:ascii="宋体" w:hAnsi="宋体" w:cs="宋体"/>
                <w:color w:val="auto"/>
                <w:kern w:val="0"/>
                <w:szCs w:val="21"/>
              </w:rPr>
              <w:t>23</w:t>
            </w:r>
          </w:p>
        </w:tc>
        <w:tc>
          <w:tcPr>
            <w:tcW w:w="688" w:type="pct"/>
            <w:vMerge w:val="continue"/>
            <w:vAlign w:val="center"/>
          </w:tcPr>
          <w:p>
            <w:pP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644" w:type="pct"/>
            <w:shd w:val="clear" w:color="auto" w:fill="auto"/>
            <w:vAlign w:val="center"/>
          </w:tcPr>
          <w:p>
            <w:pPr>
              <w:widowControl/>
              <w:jc w:val="center"/>
              <w:rPr>
                <w:rFonts w:ascii="宋体" w:hAnsi="宋体" w:cs="宋体"/>
                <w:color w:val="auto"/>
                <w:kern w:val="0"/>
                <w:szCs w:val="21"/>
              </w:rPr>
            </w:pPr>
            <w:r>
              <w:rPr>
                <w:rFonts w:hint="eastAsia" w:ascii="宋体" w:hAnsi="宋体" w:cs="宋体"/>
                <w:color w:val="auto"/>
                <w:kern w:val="0"/>
                <w:szCs w:val="21"/>
              </w:rPr>
              <w:t>5</w:t>
            </w:r>
          </w:p>
        </w:tc>
        <w:tc>
          <w:tcPr>
            <w:tcW w:w="2226" w:type="pct"/>
            <w:shd w:val="clear" w:color="auto" w:fill="auto"/>
            <w:vAlign w:val="center"/>
          </w:tcPr>
          <w:p>
            <w:pPr>
              <w:widowControl/>
              <w:jc w:val="left"/>
              <w:textAlignment w:val="center"/>
              <w:rPr>
                <w:rFonts w:asciiTheme="minorEastAsia" w:hAnsiTheme="minorEastAsia" w:cstheme="minorEastAsia"/>
                <w:color w:val="auto"/>
                <w:kern w:val="0"/>
                <w:szCs w:val="21"/>
              </w:rPr>
            </w:pPr>
            <w:r>
              <w:rPr>
                <w:rFonts w:hint="eastAsia" w:asciiTheme="minorEastAsia" w:hAnsiTheme="minorEastAsia" w:cstheme="minorEastAsia"/>
                <w:color w:val="auto"/>
                <w:kern w:val="0"/>
                <w:szCs w:val="21"/>
                <w:lang w:bidi="ar"/>
              </w:rPr>
              <w:t>大内存计算科研服务器</w:t>
            </w:r>
          </w:p>
        </w:tc>
        <w:tc>
          <w:tcPr>
            <w:tcW w:w="661" w:type="pct"/>
            <w:shd w:val="clear" w:color="auto" w:fill="auto"/>
            <w:vAlign w:val="center"/>
          </w:tcPr>
          <w:p>
            <w:pPr>
              <w:widowControl/>
              <w:jc w:val="center"/>
              <w:rPr>
                <w:rFonts w:ascii="宋体" w:hAnsi="宋体" w:cs="宋体"/>
                <w:color w:val="auto"/>
                <w:kern w:val="0"/>
                <w:szCs w:val="21"/>
              </w:rPr>
            </w:pPr>
            <w:r>
              <w:rPr>
                <w:rFonts w:hint="eastAsia" w:ascii="宋体" w:hAnsi="宋体" w:cs="宋体"/>
                <w:color w:val="auto"/>
                <w:kern w:val="0"/>
                <w:szCs w:val="21"/>
              </w:rPr>
              <w:t>台</w:t>
            </w:r>
          </w:p>
        </w:tc>
        <w:tc>
          <w:tcPr>
            <w:tcW w:w="781" w:type="pct"/>
            <w:shd w:val="clear" w:color="auto" w:fill="auto"/>
            <w:vAlign w:val="center"/>
          </w:tcPr>
          <w:p>
            <w:pPr>
              <w:widowControl/>
              <w:jc w:val="center"/>
              <w:rPr>
                <w:rFonts w:ascii="宋体" w:hAnsi="宋体" w:cs="宋体"/>
                <w:color w:val="auto"/>
                <w:kern w:val="0"/>
                <w:szCs w:val="21"/>
              </w:rPr>
            </w:pPr>
            <w:r>
              <w:rPr>
                <w:rFonts w:hint="eastAsia" w:ascii="宋体" w:hAnsi="宋体" w:cs="宋体"/>
                <w:color w:val="auto"/>
                <w:kern w:val="0"/>
                <w:szCs w:val="21"/>
              </w:rPr>
              <w:t>3</w:t>
            </w:r>
          </w:p>
        </w:tc>
        <w:tc>
          <w:tcPr>
            <w:tcW w:w="688" w:type="pct"/>
            <w:vMerge w:val="continue"/>
            <w:vAlign w:val="center"/>
          </w:tcPr>
          <w:p>
            <w:pP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4" w:type="pct"/>
            <w:shd w:val="clear" w:color="auto" w:fill="auto"/>
            <w:vAlign w:val="center"/>
          </w:tcPr>
          <w:p>
            <w:pPr>
              <w:widowControl/>
              <w:jc w:val="center"/>
              <w:rPr>
                <w:rFonts w:ascii="宋体" w:hAnsi="宋体" w:cs="宋体"/>
                <w:color w:val="auto"/>
                <w:kern w:val="0"/>
                <w:szCs w:val="21"/>
              </w:rPr>
            </w:pPr>
            <w:r>
              <w:rPr>
                <w:rFonts w:hint="eastAsia" w:ascii="宋体" w:hAnsi="宋体" w:cs="宋体"/>
                <w:color w:val="auto"/>
                <w:kern w:val="0"/>
                <w:szCs w:val="21"/>
              </w:rPr>
              <w:t>6</w:t>
            </w:r>
          </w:p>
        </w:tc>
        <w:tc>
          <w:tcPr>
            <w:tcW w:w="2226" w:type="pct"/>
            <w:shd w:val="clear" w:color="auto" w:fill="auto"/>
            <w:vAlign w:val="center"/>
          </w:tcPr>
          <w:p>
            <w:pPr>
              <w:widowControl/>
              <w:jc w:val="left"/>
              <w:textAlignment w:val="center"/>
              <w:rPr>
                <w:rFonts w:asciiTheme="minorEastAsia" w:hAnsiTheme="minorEastAsia" w:cstheme="minorEastAsia"/>
                <w:color w:val="auto"/>
                <w:kern w:val="0"/>
                <w:szCs w:val="21"/>
                <w:lang w:bidi="ar"/>
              </w:rPr>
            </w:pPr>
            <w:r>
              <w:rPr>
                <w:rFonts w:hint="eastAsia" w:asciiTheme="minorEastAsia" w:hAnsiTheme="minorEastAsia" w:cstheme="minorEastAsia"/>
                <w:color w:val="auto"/>
                <w:kern w:val="0"/>
                <w:szCs w:val="21"/>
                <w:lang w:bidi="ar"/>
              </w:rPr>
              <w:t>GPU高性能计算科研服务器</w:t>
            </w:r>
          </w:p>
        </w:tc>
        <w:tc>
          <w:tcPr>
            <w:tcW w:w="661" w:type="pct"/>
            <w:shd w:val="clear" w:color="auto" w:fill="auto"/>
            <w:vAlign w:val="center"/>
          </w:tcPr>
          <w:p>
            <w:pPr>
              <w:widowControl/>
              <w:jc w:val="center"/>
              <w:rPr>
                <w:rFonts w:ascii="宋体" w:hAnsi="宋体" w:cs="宋体"/>
                <w:color w:val="auto"/>
                <w:kern w:val="0"/>
                <w:szCs w:val="21"/>
              </w:rPr>
            </w:pPr>
            <w:r>
              <w:rPr>
                <w:rFonts w:hint="eastAsia" w:ascii="宋体" w:hAnsi="宋体" w:cs="宋体"/>
                <w:color w:val="auto"/>
                <w:kern w:val="0"/>
                <w:szCs w:val="21"/>
              </w:rPr>
              <w:t>套</w:t>
            </w:r>
          </w:p>
        </w:tc>
        <w:tc>
          <w:tcPr>
            <w:tcW w:w="781" w:type="pct"/>
            <w:shd w:val="clear" w:color="auto" w:fill="auto"/>
            <w:vAlign w:val="center"/>
          </w:tcPr>
          <w:p>
            <w:pPr>
              <w:widowControl/>
              <w:jc w:val="center"/>
              <w:rPr>
                <w:rFonts w:ascii="宋体" w:hAnsi="宋体" w:cs="宋体"/>
                <w:color w:val="auto"/>
                <w:kern w:val="0"/>
                <w:szCs w:val="21"/>
              </w:rPr>
            </w:pPr>
            <w:r>
              <w:rPr>
                <w:rFonts w:ascii="宋体" w:hAnsi="宋体" w:cs="宋体"/>
                <w:color w:val="auto"/>
                <w:kern w:val="0"/>
                <w:szCs w:val="21"/>
              </w:rPr>
              <w:t>2</w:t>
            </w:r>
          </w:p>
        </w:tc>
        <w:tc>
          <w:tcPr>
            <w:tcW w:w="688" w:type="pct"/>
            <w:vMerge w:val="continue"/>
            <w:vAlign w:val="center"/>
          </w:tcPr>
          <w:p>
            <w:pP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4" w:type="pct"/>
            <w:shd w:val="clear" w:color="auto" w:fill="auto"/>
            <w:vAlign w:val="center"/>
          </w:tcPr>
          <w:p>
            <w:pPr>
              <w:widowControl/>
              <w:jc w:val="center"/>
              <w:rPr>
                <w:rFonts w:ascii="宋体" w:hAnsi="宋体" w:cs="宋体"/>
                <w:color w:val="auto"/>
                <w:kern w:val="0"/>
                <w:szCs w:val="21"/>
              </w:rPr>
            </w:pPr>
            <w:r>
              <w:rPr>
                <w:rFonts w:hint="eastAsia" w:ascii="宋体" w:hAnsi="宋体" w:cs="宋体"/>
                <w:color w:val="auto"/>
                <w:kern w:val="0"/>
                <w:szCs w:val="21"/>
              </w:rPr>
              <w:t>7</w:t>
            </w:r>
          </w:p>
        </w:tc>
        <w:tc>
          <w:tcPr>
            <w:tcW w:w="2226" w:type="pct"/>
            <w:shd w:val="clear" w:color="auto" w:fill="auto"/>
            <w:vAlign w:val="center"/>
          </w:tcPr>
          <w:p>
            <w:pPr>
              <w:widowControl/>
              <w:jc w:val="left"/>
              <w:textAlignment w:val="center"/>
              <w:rPr>
                <w:rFonts w:asciiTheme="minorEastAsia" w:hAnsiTheme="minorEastAsia" w:cstheme="minorEastAsia"/>
                <w:color w:val="auto"/>
                <w:kern w:val="0"/>
                <w:szCs w:val="21"/>
              </w:rPr>
            </w:pPr>
            <w:r>
              <w:rPr>
                <w:rFonts w:hint="eastAsia" w:asciiTheme="minorEastAsia" w:hAnsiTheme="minorEastAsia" w:cstheme="minorEastAsia"/>
                <w:color w:val="auto"/>
                <w:kern w:val="0"/>
                <w:szCs w:val="21"/>
                <w:lang w:bidi="ar"/>
              </w:rPr>
              <w:t>IB交换机</w:t>
            </w:r>
          </w:p>
        </w:tc>
        <w:tc>
          <w:tcPr>
            <w:tcW w:w="661" w:type="pct"/>
            <w:shd w:val="clear" w:color="auto" w:fill="auto"/>
            <w:vAlign w:val="center"/>
          </w:tcPr>
          <w:p>
            <w:pPr>
              <w:widowControl/>
              <w:jc w:val="center"/>
              <w:rPr>
                <w:rFonts w:ascii="宋体" w:hAnsi="宋体" w:cs="宋体"/>
                <w:color w:val="auto"/>
                <w:kern w:val="0"/>
                <w:szCs w:val="21"/>
              </w:rPr>
            </w:pPr>
            <w:r>
              <w:rPr>
                <w:rFonts w:hint="eastAsia" w:ascii="宋体" w:hAnsi="宋体" w:cs="宋体"/>
                <w:color w:val="auto"/>
                <w:kern w:val="0"/>
                <w:szCs w:val="21"/>
              </w:rPr>
              <w:t>台</w:t>
            </w:r>
          </w:p>
        </w:tc>
        <w:tc>
          <w:tcPr>
            <w:tcW w:w="781" w:type="pct"/>
            <w:shd w:val="clear" w:color="auto" w:fill="auto"/>
            <w:vAlign w:val="center"/>
          </w:tcPr>
          <w:p>
            <w:pPr>
              <w:widowControl/>
              <w:jc w:val="center"/>
              <w:rPr>
                <w:rFonts w:ascii="宋体" w:hAnsi="宋体" w:cs="宋体"/>
                <w:color w:val="auto"/>
                <w:kern w:val="0"/>
                <w:szCs w:val="21"/>
              </w:rPr>
            </w:pPr>
            <w:r>
              <w:rPr>
                <w:rFonts w:hint="eastAsia" w:ascii="宋体" w:hAnsi="宋体" w:cs="宋体"/>
                <w:color w:val="auto"/>
                <w:kern w:val="0"/>
                <w:szCs w:val="21"/>
              </w:rPr>
              <w:t>4</w:t>
            </w:r>
          </w:p>
        </w:tc>
        <w:tc>
          <w:tcPr>
            <w:tcW w:w="688" w:type="pct"/>
            <w:vMerge w:val="continue"/>
            <w:vAlign w:val="center"/>
          </w:tcPr>
          <w:p>
            <w:pP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644" w:type="pct"/>
            <w:shd w:val="clear" w:color="auto" w:fill="auto"/>
            <w:vAlign w:val="center"/>
          </w:tcPr>
          <w:p>
            <w:pPr>
              <w:widowControl/>
              <w:jc w:val="center"/>
              <w:rPr>
                <w:rFonts w:ascii="宋体" w:hAnsi="宋体" w:cs="宋体"/>
                <w:color w:val="auto"/>
                <w:kern w:val="0"/>
                <w:szCs w:val="21"/>
              </w:rPr>
            </w:pPr>
            <w:r>
              <w:rPr>
                <w:rFonts w:hint="eastAsia" w:ascii="宋体" w:hAnsi="宋体" w:cs="宋体"/>
                <w:color w:val="auto"/>
                <w:kern w:val="0"/>
                <w:szCs w:val="21"/>
              </w:rPr>
              <w:t>8</w:t>
            </w:r>
          </w:p>
        </w:tc>
        <w:tc>
          <w:tcPr>
            <w:tcW w:w="2226" w:type="pct"/>
            <w:shd w:val="clear" w:color="auto" w:fill="auto"/>
            <w:vAlign w:val="center"/>
          </w:tcPr>
          <w:p>
            <w:pPr>
              <w:widowControl/>
              <w:jc w:val="left"/>
              <w:textAlignment w:val="center"/>
              <w:rPr>
                <w:rFonts w:asciiTheme="minorEastAsia" w:hAnsiTheme="minorEastAsia" w:cstheme="minorEastAsia"/>
                <w:color w:val="auto"/>
                <w:kern w:val="0"/>
                <w:szCs w:val="21"/>
              </w:rPr>
            </w:pPr>
            <w:r>
              <w:rPr>
                <w:rFonts w:hint="eastAsia" w:asciiTheme="minorEastAsia" w:hAnsiTheme="minorEastAsia" w:cstheme="minorEastAsia"/>
                <w:color w:val="auto"/>
                <w:kern w:val="0"/>
                <w:szCs w:val="21"/>
                <w:lang w:bidi="ar"/>
              </w:rPr>
              <w:t>管理网络交换机</w:t>
            </w:r>
          </w:p>
        </w:tc>
        <w:tc>
          <w:tcPr>
            <w:tcW w:w="661" w:type="pct"/>
            <w:shd w:val="clear" w:color="auto" w:fill="auto"/>
            <w:vAlign w:val="center"/>
          </w:tcPr>
          <w:p>
            <w:pPr>
              <w:widowControl/>
              <w:jc w:val="center"/>
              <w:rPr>
                <w:rFonts w:ascii="宋体" w:hAnsi="宋体" w:cs="宋体"/>
                <w:color w:val="auto"/>
                <w:kern w:val="0"/>
                <w:szCs w:val="21"/>
              </w:rPr>
            </w:pPr>
            <w:r>
              <w:rPr>
                <w:rFonts w:hint="eastAsia" w:ascii="宋体" w:hAnsi="宋体" w:cs="宋体"/>
                <w:color w:val="auto"/>
                <w:kern w:val="0"/>
                <w:szCs w:val="21"/>
              </w:rPr>
              <w:t>台</w:t>
            </w:r>
          </w:p>
        </w:tc>
        <w:tc>
          <w:tcPr>
            <w:tcW w:w="781" w:type="pct"/>
            <w:shd w:val="clear" w:color="auto" w:fill="auto"/>
            <w:vAlign w:val="center"/>
          </w:tcPr>
          <w:p>
            <w:pPr>
              <w:widowControl/>
              <w:jc w:val="center"/>
              <w:rPr>
                <w:rFonts w:ascii="宋体" w:hAnsi="宋体" w:cs="宋体"/>
                <w:color w:val="auto"/>
                <w:kern w:val="0"/>
                <w:szCs w:val="21"/>
              </w:rPr>
            </w:pPr>
            <w:r>
              <w:rPr>
                <w:rFonts w:hint="eastAsia" w:ascii="宋体" w:hAnsi="宋体" w:cs="宋体"/>
                <w:color w:val="auto"/>
                <w:kern w:val="0"/>
                <w:szCs w:val="21"/>
              </w:rPr>
              <w:t>2</w:t>
            </w:r>
          </w:p>
        </w:tc>
        <w:tc>
          <w:tcPr>
            <w:tcW w:w="688" w:type="pct"/>
            <w:vMerge w:val="continue"/>
            <w:vAlign w:val="center"/>
          </w:tcPr>
          <w:p>
            <w:pPr>
              <w:rPr>
                <w:rFonts w:ascii="宋体" w:hAnsi="宋体" w:cs="宋体"/>
                <w:color w:val="auto"/>
                <w:kern w:val="0"/>
                <w:szCs w:val="21"/>
              </w:rPr>
            </w:pPr>
          </w:p>
        </w:tc>
      </w:tr>
    </w:tbl>
    <w:p>
      <w:pPr>
        <w:pStyle w:val="5"/>
        <w:numPr>
          <w:ilvl w:val="3"/>
          <w:numId w:val="3"/>
        </w:numPr>
        <w:spacing w:before="240" w:after="240" w:line="360" w:lineRule="auto"/>
        <w:ind w:left="0"/>
        <w:rPr>
          <w:rFonts w:ascii="宋体" w:hAnsi="宋体" w:eastAsia="宋体"/>
          <w:color w:val="auto"/>
          <w:sz w:val="24"/>
          <w:szCs w:val="24"/>
        </w:rPr>
      </w:pPr>
      <w:r>
        <w:rPr>
          <w:rFonts w:hint="eastAsia" w:ascii="宋体" w:hAnsi="宋体" w:eastAsia="宋体"/>
          <w:color w:val="auto"/>
          <w:sz w:val="24"/>
          <w:szCs w:val="24"/>
        </w:rPr>
        <w:t>主要技术参数</w:t>
      </w:r>
    </w:p>
    <w:p>
      <w:pPr>
        <w:pStyle w:val="31"/>
        <w:keepNext/>
        <w:keepLines/>
        <w:numPr>
          <w:ilvl w:val="0"/>
          <w:numId w:val="4"/>
        </w:numPr>
        <w:spacing w:line="360" w:lineRule="auto"/>
        <w:ind w:firstLineChars="0"/>
        <w:outlineLvl w:val="2"/>
        <w:rPr>
          <w:rFonts w:ascii="宋体" w:hAnsi="宋体" w:cs="宋体"/>
          <w:color w:val="auto"/>
          <w:kern w:val="0"/>
          <w:sz w:val="24"/>
        </w:rPr>
      </w:pPr>
      <w:bookmarkStart w:id="2" w:name="_Toc396617414"/>
      <w:r>
        <w:rPr>
          <w:rFonts w:hint="eastAsia" w:asciiTheme="minorEastAsia" w:hAnsiTheme="minorEastAsia" w:cstheme="minorEastAsia"/>
          <w:color w:val="auto"/>
          <w:kern w:val="0"/>
          <w:szCs w:val="21"/>
          <w:lang w:bidi="ar"/>
        </w:rPr>
        <w:t>影像存储（</w:t>
      </w:r>
      <w:r>
        <w:rPr>
          <w:rFonts w:asciiTheme="minorEastAsia" w:hAnsiTheme="minorEastAsia" w:cstheme="minorEastAsia"/>
          <w:color w:val="auto"/>
          <w:kern w:val="0"/>
          <w:szCs w:val="21"/>
          <w:lang w:bidi="ar"/>
        </w:rPr>
        <w:t>1P</w:t>
      </w:r>
      <w:r>
        <w:rPr>
          <w:rFonts w:hint="eastAsia" w:asciiTheme="minorEastAsia" w:hAnsiTheme="minorEastAsia" w:cstheme="minorEastAsia"/>
          <w:color w:val="auto"/>
          <w:kern w:val="0"/>
          <w:szCs w:val="21"/>
          <w:lang w:bidi="ar"/>
        </w:rPr>
        <w:t>）</w:t>
      </w:r>
      <w:r>
        <w:rPr>
          <w:rFonts w:hint="eastAsia" w:ascii="宋体" w:hAnsi="宋体" w:cs="宋体"/>
          <w:color w:val="auto"/>
          <w:kern w:val="0"/>
          <w:sz w:val="24"/>
        </w:rPr>
        <w:t>，数量：1台</w:t>
      </w:r>
      <w:bookmarkEnd w:id="2"/>
    </w:p>
    <w:tbl>
      <w:tblPr>
        <w:tblStyle w:val="19"/>
        <w:tblW w:w="5000" w:type="pct"/>
        <w:tblInd w:w="0" w:type="dxa"/>
        <w:tblLayout w:type="autofit"/>
        <w:tblCellMar>
          <w:top w:w="0" w:type="dxa"/>
          <w:left w:w="108" w:type="dxa"/>
          <w:bottom w:w="0" w:type="dxa"/>
          <w:right w:w="108" w:type="dxa"/>
        </w:tblCellMar>
      </w:tblPr>
      <w:tblGrid>
        <w:gridCol w:w="1081"/>
        <w:gridCol w:w="1276"/>
        <w:gridCol w:w="6159"/>
      </w:tblGrid>
      <w:tr>
        <w:tblPrEx>
          <w:tblCellMar>
            <w:top w:w="0" w:type="dxa"/>
            <w:left w:w="108" w:type="dxa"/>
            <w:bottom w:w="0" w:type="dxa"/>
            <w:right w:w="108" w:type="dxa"/>
          </w:tblCellMar>
        </w:tblPrEx>
        <w:trPr>
          <w:trHeight w:val="622" w:hRule="atLeast"/>
        </w:trPr>
        <w:tc>
          <w:tcPr>
            <w:tcW w:w="63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楷体"/>
                <w:b/>
                <w:bCs/>
                <w:color w:val="auto"/>
                <w:sz w:val="22"/>
              </w:rPr>
            </w:pPr>
            <w:r>
              <w:rPr>
                <w:rFonts w:hint="eastAsia" w:ascii="宋体" w:hAnsi="宋体" w:cs="楷体"/>
                <w:b/>
                <w:bCs/>
                <w:color w:val="auto"/>
                <w:kern w:val="0"/>
                <w:sz w:val="22"/>
                <w:lang w:bidi="ar"/>
              </w:rPr>
              <w:t>分类</w:t>
            </w: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楷体"/>
                <w:b/>
                <w:bCs/>
                <w:color w:val="auto"/>
                <w:sz w:val="22"/>
              </w:rPr>
            </w:pPr>
            <w:r>
              <w:rPr>
                <w:rFonts w:hint="eastAsia" w:ascii="宋体" w:hAnsi="宋体" w:cs="楷体"/>
                <w:b/>
                <w:bCs/>
                <w:color w:val="auto"/>
                <w:kern w:val="0"/>
                <w:sz w:val="22"/>
                <w:lang w:bidi="ar"/>
              </w:rPr>
              <w:t>指标项</w:t>
            </w:r>
          </w:p>
        </w:tc>
        <w:tc>
          <w:tcPr>
            <w:tcW w:w="361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楷体"/>
                <w:b/>
                <w:bCs/>
                <w:color w:val="auto"/>
                <w:sz w:val="22"/>
              </w:rPr>
            </w:pPr>
            <w:r>
              <w:rPr>
                <w:rFonts w:hint="eastAsia" w:ascii="宋体" w:hAnsi="宋体" w:cs="楷体"/>
                <w:b/>
                <w:bCs/>
                <w:color w:val="auto"/>
                <w:kern w:val="0"/>
                <w:sz w:val="22"/>
                <w:lang w:bidi="ar"/>
              </w:rPr>
              <w:t>技术规格要求</w:t>
            </w:r>
          </w:p>
        </w:tc>
      </w:tr>
      <w:tr>
        <w:tblPrEx>
          <w:tblCellMar>
            <w:top w:w="0" w:type="dxa"/>
            <w:left w:w="108" w:type="dxa"/>
            <w:bottom w:w="0" w:type="dxa"/>
            <w:right w:w="108" w:type="dxa"/>
          </w:tblCellMar>
        </w:tblPrEx>
        <w:trPr>
          <w:trHeight w:val="1422" w:hRule="atLeast"/>
        </w:trPr>
        <w:tc>
          <w:tcPr>
            <w:tcW w:w="635" w:type="pc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楷体"/>
                <w:color w:val="auto"/>
                <w:sz w:val="22"/>
              </w:rPr>
            </w:pPr>
            <w:r>
              <w:rPr>
                <w:rFonts w:hint="eastAsia" w:ascii="宋体" w:hAnsi="宋体" w:cs="楷体"/>
                <w:color w:val="auto"/>
                <w:kern w:val="0"/>
                <w:sz w:val="22"/>
                <w:lang w:bidi="ar"/>
              </w:rPr>
              <w:t>品牌</w:t>
            </w:r>
          </w:p>
        </w:tc>
        <w:tc>
          <w:tcPr>
            <w:tcW w:w="749" w:type="pc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楷体"/>
                <w:color w:val="auto"/>
                <w:sz w:val="22"/>
              </w:rPr>
            </w:pPr>
            <w:r>
              <w:rPr>
                <w:rFonts w:hint="eastAsia" w:ascii="宋体" w:hAnsi="宋体" w:cs="楷体"/>
                <w:color w:val="auto"/>
                <w:kern w:val="0"/>
                <w:sz w:val="22"/>
                <w:lang w:bidi="ar"/>
              </w:rPr>
              <w:t>品牌</w:t>
            </w:r>
          </w:p>
        </w:tc>
        <w:tc>
          <w:tcPr>
            <w:tcW w:w="361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楷体"/>
                <w:color w:val="auto"/>
                <w:kern w:val="0"/>
                <w:sz w:val="22"/>
                <w:lang w:bidi="ar"/>
              </w:rPr>
            </w:pPr>
            <w:r>
              <w:rPr>
                <w:rFonts w:hint="eastAsia" w:ascii="宋体" w:hAnsi="宋体" w:cs="楷体"/>
                <w:color w:val="auto"/>
                <w:kern w:val="0"/>
                <w:sz w:val="22"/>
                <w:lang w:bidi="ar"/>
              </w:rPr>
              <w:t>国产品牌，原厂商对分布式存储系统具有完全自主知识产权；</w:t>
            </w:r>
          </w:p>
          <w:p>
            <w:pPr>
              <w:widowControl/>
              <w:textAlignment w:val="center"/>
              <w:rPr>
                <w:rFonts w:ascii="宋体" w:hAnsi="宋体" w:cs="楷体"/>
                <w:color w:val="auto"/>
                <w:kern w:val="0"/>
                <w:sz w:val="22"/>
                <w:lang w:bidi="ar"/>
              </w:rPr>
            </w:pPr>
            <w:r>
              <w:rPr>
                <w:rFonts w:hint="eastAsia" w:ascii="宋体" w:hAnsi="宋体" w:cs="楷体"/>
                <w:color w:val="auto"/>
                <w:kern w:val="0"/>
                <w:sz w:val="22"/>
                <w:lang w:bidi="ar"/>
              </w:rPr>
              <w:t>为保证系统稳定性，本次采购不接受国外开源软件（如Ceph、GFS等）的调优产品；原厂商无任何采用开源软件调优的公开报道；</w:t>
            </w:r>
          </w:p>
          <w:p>
            <w:pPr>
              <w:widowControl/>
              <w:textAlignment w:val="center"/>
              <w:rPr>
                <w:rFonts w:ascii="宋体" w:hAnsi="宋体" w:cs="楷体"/>
                <w:color w:val="auto"/>
                <w:sz w:val="22"/>
              </w:rPr>
            </w:pPr>
          </w:p>
        </w:tc>
      </w:tr>
      <w:tr>
        <w:tblPrEx>
          <w:tblCellMar>
            <w:top w:w="0" w:type="dxa"/>
            <w:left w:w="108" w:type="dxa"/>
            <w:bottom w:w="0" w:type="dxa"/>
            <w:right w:w="108" w:type="dxa"/>
          </w:tblCellMar>
        </w:tblPrEx>
        <w:trPr>
          <w:trHeight w:val="560" w:hRule="atLeast"/>
        </w:trPr>
        <w:tc>
          <w:tcPr>
            <w:tcW w:w="635"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楷体"/>
                <w:color w:val="auto"/>
                <w:sz w:val="22"/>
              </w:rPr>
            </w:pPr>
            <w:r>
              <w:rPr>
                <w:rFonts w:hint="eastAsia" w:ascii="宋体" w:hAnsi="宋体" w:cs="楷体"/>
                <w:color w:val="auto"/>
                <w:kern w:val="0"/>
                <w:sz w:val="22"/>
                <w:lang w:bidi="ar"/>
              </w:rPr>
              <w:t>系统架构</w:t>
            </w: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楷体"/>
                <w:color w:val="auto"/>
                <w:sz w:val="22"/>
              </w:rPr>
            </w:pPr>
            <w:r>
              <w:rPr>
                <w:rFonts w:hint="eastAsia" w:ascii="宋体" w:hAnsi="宋体" w:cs="楷体"/>
                <w:color w:val="auto"/>
                <w:kern w:val="0"/>
                <w:sz w:val="22"/>
                <w:lang w:bidi="ar"/>
              </w:rPr>
              <w:t>产品架构</w:t>
            </w:r>
          </w:p>
        </w:tc>
        <w:tc>
          <w:tcPr>
            <w:tcW w:w="361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楷体"/>
                <w:color w:val="auto"/>
                <w:sz w:val="22"/>
              </w:rPr>
            </w:pPr>
            <w:r>
              <w:rPr>
                <w:rFonts w:hint="eastAsia" w:ascii="宋体" w:hAnsi="宋体" w:cs="楷体"/>
                <w:color w:val="auto"/>
                <w:kern w:val="0"/>
                <w:sz w:val="22"/>
                <w:lang w:bidi="ar"/>
              </w:rPr>
              <w:t>具有Scale-out横向扩展能力，软件定义分布式存储架构；系统软、硬件无绑定，可采用普通信</w:t>
            </w:r>
            <w:r>
              <w:rPr>
                <w:rFonts w:hint="eastAsia" w:ascii="宋体" w:hAnsi="宋体" w:cs="楷体"/>
                <w:color w:val="auto"/>
                <w:kern w:val="0"/>
                <w:sz w:val="22"/>
                <w:lang w:val="en-US" w:eastAsia="zh-CN" w:bidi="ar"/>
              </w:rPr>
              <w:t xml:space="preserve"> </w:t>
            </w:r>
            <w:r>
              <w:rPr>
                <w:rFonts w:hint="eastAsia" w:ascii="宋体" w:hAnsi="宋体" w:cs="楷体"/>
                <w:color w:val="auto"/>
                <w:kern w:val="0"/>
                <w:sz w:val="22"/>
                <w:lang w:bidi="ar"/>
              </w:rPr>
              <w:t>创</w:t>
            </w:r>
            <w:r>
              <w:rPr>
                <w:rFonts w:hint="eastAsia" w:ascii="宋体" w:hAnsi="宋体" w:cs="楷体"/>
                <w:color w:val="auto"/>
                <w:kern w:val="0"/>
                <w:sz w:val="22"/>
                <w:lang w:val="en-US" w:eastAsia="zh-CN" w:bidi="ar"/>
              </w:rPr>
              <w:t xml:space="preserve"> </w:t>
            </w:r>
            <w:bookmarkStart w:id="83" w:name="_GoBack"/>
            <w:bookmarkEnd w:id="83"/>
            <w:r>
              <w:rPr>
                <w:rFonts w:hint="eastAsia" w:ascii="宋体" w:hAnsi="宋体" w:cs="楷体"/>
                <w:color w:val="auto"/>
                <w:kern w:val="0"/>
                <w:sz w:val="22"/>
                <w:lang w:bidi="ar"/>
              </w:rPr>
              <w:t>服务器架构；</w:t>
            </w:r>
          </w:p>
        </w:tc>
      </w:tr>
      <w:tr>
        <w:tblPrEx>
          <w:tblCellMar>
            <w:top w:w="0" w:type="dxa"/>
            <w:left w:w="108" w:type="dxa"/>
            <w:bottom w:w="0" w:type="dxa"/>
            <w:right w:w="108" w:type="dxa"/>
          </w:tblCellMar>
        </w:tblPrEx>
        <w:trPr>
          <w:trHeight w:val="560" w:hRule="atLeast"/>
        </w:trPr>
        <w:tc>
          <w:tcPr>
            <w:tcW w:w="635"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楷体"/>
                <w:color w:val="auto"/>
                <w:sz w:val="22"/>
              </w:rPr>
            </w:pP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楷体"/>
                <w:color w:val="auto"/>
                <w:sz w:val="22"/>
              </w:rPr>
            </w:pPr>
            <w:r>
              <w:rPr>
                <w:rFonts w:hint="eastAsia" w:ascii="宋体" w:hAnsi="宋体" w:cs="楷体"/>
                <w:color w:val="auto"/>
                <w:kern w:val="0"/>
                <w:sz w:val="22"/>
                <w:lang w:bidi="ar"/>
              </w:rPr>
              <w:t>统一存储</w:t>
            </w:r>
          </w:p>
        </w:tc>
        <w:tc>
          <w:tcPr>
            <w:tcW w:w="361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楷体"/>
                <w:color w:val="auto"/>
                <w:sz w:val="22"/>
              </w:rPr>
            </w:pPr>
            <w:r>
              <w:rPr>
                <w:rFonts w:hint="eastAsia" w:ascii="宋体" w:hAnsi="宋体" w:cs="楷体"/>
                <w:color w:val="auto"/>
                <w:kern w:val="0"/>
                <w:sz w:val="22"/>
                <w:lang w:bidi="ar"/>
              </w:rPr>
              <w:t>分布式存储系统在同一管理平台内，支持文件存储、对象存储及块存储的统一配置与管理</w:t>
            </w:r>
          </w:p>
        </w:tc>
      </w:tr>
      <w:tr>
        <w:tblPrEx>
          <w:tblCellMar>
            <w:top w:w="0" w:type="dxa"/>
            <w:left w:w="108" w:type="dxa"/>
            <w:bottom w:w="0" w:type="dxa"/>
            <w:right w:w="108" w:type="dxa"/>
          </w:tblCellMar>
        </w:tblPrEx>
        <w:trPr>
          <w:trHeight w:val="560" w:hRule="atLeast"/>
        </w:trPr>
        <w:tc>
          <w:tcPr>
            <w:tcW w:w="635"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楷体"/>
                <w:color w:val="auto"/>
                <w:sz w:val="22"/>
              </w:rPr>
            </w:pPr>
          </w:p>
        </w:tc>
        <w:tc>
          <w:tcPr>
            <w:tcW w:w="74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楷体"/>
                <w:color w:val="auto"/>
                <w:sz w:val="22"/>
              </w:rPr>
            </w:pPr>
            <w:r>
              <w:rPr>
                <w:rFonts w:hint="eastAsia" w:ascii="宋体" w:hAnsi="宋体" w:cs="楷体"/>
                <w:color w:val="auto"/>
                <w:kern w:val="0"/>
                <w:sz w:val="22"/>
                <w:lang w:bidi="ar"/>
              </w:rPr>
              <w:t>数据冗余</w:t>
            </w:r>
          </w:p>
        </w:tc>
        <w:tc>
          <w:tcPr>
            <w:tcW w:w="361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楷体"/>
                <w:color w:val="auto"/>
                <w:sz w:val="22"/>
              </w:rPr>
            </w:pPr>
            <w:r>
              <w:rPr>
                <w:rFonts w:hint="eastAsia" w:ascii="宋体" w:hAnsi="宋体" w:cs="楷体"/>
                <w:color w:val="auto"/>
                <w:kern w:val="0"/>
                <w:sz w:val="22"/>
                <w:lang w:bidi="ar"/>
              </w:rPr>
              <w:t>▲可按照不同目录设定不同副本数的数据保护，支持在线修改副本数；并支持纠删码；(提供软件截图证明并加盖公章)</w:t>
            </w:r>
          </w:p>
        </w:tc>
      </w:tr>
      <w:tr>
        <w:tblPrEx>
          <w:tblCellMar>
            <w:top w:w="0" w:type="dxa"/>
            <w:left w:w="108" w:type="dxa"/>
            <w:bottom w:w="0" w:type="dxa"/>
            <w:right w:w="108" w:type="dxa"/>
          </w:tblCellMar>
        </w:tblPrEx>
        <w:trPr>
          <w:trHeight w:val="280" w:hRule="atLeast"/>
        </w:trPr>
        <w:tc>
          <w:tcPr>
            <w:tcW w:w="635"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楷体"/>
                <w:color w:val="auto"/>
                <w:sz w:val="22"/>
              </w:rPr>
            </w:pPr>
          </w:p>
        </w:tc>
        <w:tc>
          <w:tcPr>
            <w:tcW w:w="74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楷体"/>
                <w:color w:val="auto"/>
                <w:sz w:val="22"/>
              </w:rPr>
            </w:pPr>
          </w:p>
        </w:tc>
        <w:tc>
          <w:tcPr>
            <w:tcW w:w="361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楷体"/>
                <w:color w:val="auto"/>
                <w:sz w:val="22"/>
              </w:rPr>
            </w:pPr>
            <w:r>
              <w:rPr>
                <w:rFonts w:hint="eastAsia" w:ascii="宋体" w:hAnsi="宋体" w:cs="楷体"/>
                <w:color w:val="auto"/>
                <w:kern w:val="0"/>
                <w:sz w:val="22"/>
                <w:lang w:bidi="ar"/>
              </w:rPr>
              <w:t>存储系统中任何一个存储节点出现故障，不影响数据的正常访问；</w:t>
            </w:r>
          </w:p>
        </w:tc>
      </w:tr>
      <w:tr>
        <w:tblPrEx>
          <w:tblCellMar>
            <w:top w:w="0" w:type="dxa"/>
            <w:left w:w="108" w:type="dxa"/>
            <w:bottom w:w="0" w:type="dxa"/>
            <w:right w:w="108" w:type="dxa"/>
          </w:tblCellMar>
        </w:tblPrEx>
        <w:trPr>
          <w:trHeight w:val="560" w:hRule="atLeast"/>
        </w:trPr>
        <w:tc>
          <w:tcPr>
            <w:tcW w:w="635"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楷体"/>
                <w:color w:val="auto"/>
                <w:sz w:val="22"/>
              </w:rPr>
            </w:pP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楷体"/>
                <w:color w:val="auto"/>
                <w:sz w:val="22"/>
              </w:rPr>
            </w:pPr>
            <w:r>
              <w:rPr>
                <w:rFonts w:hint="eastAsia" w:ascii="宋体" w:hAnsi="宋体" w:cs="楷体"/>
                <w:color w:val="auto"/>
                <w:kern w:val="0"/>
                <w:sz w:val="22"/>
                <w:lang w:bidi="ar"/>
              </w:rPr>
              <w:t>资源池划分</w:t>
            </w:r>
          </w:p>
        </w:tc>
        <w:tc>
          <w:tcPr>
            <w:tcW w:w="361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楷体"/>
                <w:color w:val="auto"/>
                <w:sz w:val="22"/>
              </w:rPr>
            </w:pPr>
            <w:r>
              <w:rPr>
                <w:rFonts w:hint="eastAsia" w:ascii="宋体" w:hAnsi="宋体" w:cs="楷体"/>
                <w:color w:val="auto"/>
                <w:kern w:val="0"/>
                <w:sz w:val="22"/>
                <w:lang w:bidi="ar"/>
              </w:rPr>
              <w:t>不限定划分资源池数量，可按实际需要灵活配置资源池</w:t>
            </w:r>
          </w:p>
        </w:tc>
      </w:tr>
      <w:tr>
        <w:tblPrEx>
          <w:tblCellMar>
            <w:top w:w="0" w:type="dxa"/>
            <w:left w:w="108" w:type="dxa"/>
            <w:bottom w:w="0" w:type="dxa"/>
            <w:right w:w="108" w:type="dxa"/>
          </w:tblCellMar>
        </w:tblPrEx>
        <w:trPr>
          <w:trHeight w:val="560" w:hRule="atLeast"/>
        </w:trPr>
        <w:tc>
          <w:tcPr>
            <w:tcW w:w="635" w:type="pct"/>
            <w:vMerge w:val="restart"/>
            <w:tcBorders>
              <w:top w:val="single" w:color="000000" w:sz="4" w:space="0"/>
              <w:left w:val="single" w:color="000000" w:sz="4" w:space="0"/>
              <w:right w:val="single" w:color="000000" w:sz="4" w:space="0"/>
            </w:tcBorders>
            <w:vAlign w:val="center"/>
          </w:tcPr>
          <w:p>
            <w:pPr>
              <w:rPr>
                <w:rFonts w:ascii="宋体" w:hAnsi="宋体" w:cs="楷体"/>
                <w:color w:val="auto"/>
                <w:sz w:val="22"/>
              </w:rPr>
            </w:pPr>
            <w:r>
              <w:rPr>
                <w:rFonts w:hint="eastAsia" w:ascii="宋体" w:hAnsi="宋体" w:cs="楷体"/>
                <w:color w:val="auto"/>
                <w:sz w:val="22"/>
              </w:rPr>
              <w:t>硬件配置</w:t>
            </w:r>
          </w:p>
        </w:tc>
        <w:tc>
          <w:tcPr>
            <w:tcW w:w="749"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楷体"/>
                <w:color w:val="auto"/>
                <w:kern w:val="0"/>
                <w:sz w:val="22"/>
                <w:lang w:bidi="ar"/>
              </w:rPr>
            </w:pPr>
            <w:r>
              <w:rPr>
                <w:rFonts w:hint="eastAsia" w:ascii="宋体" w:hAnsi="宋体" w:cs="宋体"/>
                <w:color w:val="auto"/>
                <w:kern w:val="0"/>
                <w:szCs w:val="21"/>
                <w:lang w:bidi="ar"/>
              </w:rPr>
              <w:t>分布式全闪缓存节点</w:t>
            </w:r>
          </w:p>
        </w:tc>
        <w:tc>
          <w:tcPr>
            <w:tcW w:w="361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szCs w:val="21"/>
              </w:rPr>
            </w:pPr>
            <w:r>
              <w:rPr>
                <w:rFonts w:hint="eastAsia" w:ascii="宋体" w:hAnsi="宋体" w:cs="宋体"/>
                <w:color w:val="auto"/>
                <w:szCs w:val="21"/>
              </w:rPr>
              <w:t>本次配置不少于2台存储节点，节点配置如下：</w:t>
            </w:r>
          </w:p>
        </w:tc>
      </w:tr>
      <w:tr>
        <w:tblPrEx>
          <w:tblCellMar>
            <w:top w:w="0" w:type="dxa"/>
            <w:left w:w="108" w:type="dxa"/>
            <w:bottom w:w="0" w:type="dxa"/>
            <w:right w:w="108" w:type="dxa"/>
          </w:tblCellMar>
        </w:tblPrEx>
        <w:trPr>
          <w:trHeight w:val="560" w:hRule="atLeast"/>
        </w:trPr>
        <w:tc>
          <w:tcPr>
            <w:tcW w:w="635" w:type="pct"/>
            <w:vMerge w:val="continue"/>
            <w:tcBorders>
              <w:left w:val="single" w:color="000000" w:sz="4" w:space="0"/>
              <w:right w:val="single" w:color="000000" w:sz="4" w:space="0"/>
            </w:tcBorders>
            <w:vAlign w:val="center"/>
          </w:tcPr>
          <w:p>
            <w:pPr>
              <w:jc w:val="center"/>
              <w:rPr>
                <w:rFonts w:ascii="宋体" w:hAnsi="宋体" w:cs="楷体"/>
                <w:color w:val="auto"/>
                <w:sz w:val="22"/>
              </w:rPr>
            </w:pPr>
          </w:p>
        </w:tc>
        <w:tc>
          <w:tcPr>
            <w:tcW w:w="749" w:type="pct"/>
            <w:vMerge w:val="continue"/>
            <w:tcBorders>
              <w:left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361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szCs w:val="21"/>
              </w:rPr>
            </w:pPr>
            <w:r>
              <w:rPr>
                <w:rFonts w:hint="eastAsia" w:ascii="宋体" w:hAnsi="宋体" w:cs="宋体"/>
                <w:color w:val="auto"/>
                <w:kern w:val="0"/>
                <w:szCs w:val="21"/>
                <w:lang w:bidi="ar"/>
              </w:rPr>
              <w:t>CPU：每节点配置≥2颗CPU，单颗CPU核心数≥16，线程数≥32，主频≥</w:t>
            </w:r>
            <w:r>
              <w:rPr>
                <w:rStyle w:val="50"/>
                <w:rFonts w:hint="default" w:ascii="宋体" w:hAnsi="宋体" w:cs="宋体"/>
                <w:color w:val="auto"/>
                <w:szCs w:val="21"/>
                <w:lang w:bidi="ar"/>
              </w:rPr>
              <w:t>2.4GHz；</w:t>
            </w:r>
          </w:p>
        </w:tc>
      </w:tr>
      <w:tr>
        <w:trPr>
          <w:trHeight w:val="560" w:hRule="atLeast"/>
        </w:trPr>
        <w:tc>
          <w:tcPr>
            <w:tcW w:w="635" w:type="pct"/>
            <w:vMerge w:val="continue"/>
            <w:tcBorders>
              <w:left w:val="single" w:color="000000" w:sz="4" w:space="0"/>
              <w:right w:val="single" w:color="000000" w:sz="4" w:space="0"/>
            </w:tcBorders>
            <w:vAlign w:val="center"/>
          </w:tcPr>
          <w:p>
            <w:pPr>
              <w:jc w:val="center"/>
              <w:rPr>
                <w:rFonts w:ascii="宋体" w:hAnsi="宋体" w:cs="楷体"/>
                <w:color w:val="auto"/>
                <w:sz w:val="22"/>
              </w:rPr>
            </w:pPr>
          </w:p>
        </w:tc>
        <w:tc>
          <w:tcPr>
            <w:tcW w:w="749" w:type="pct"/>
            <w:vMerge w:val="continue"/>
            <w:tcBorders>
              <w:left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361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szCs w:val="21"/>
              </w:rPr>
            </w:pPr>
            <w:r>
              <w:rPr>
                <w:rFonts w:hint="eastAsia" w:ascii="宋体" w:hAnsi="宋体" w:cs="宋体"/>
                <w:color w:val="auto"/>
                <w:kern w:val="0"/>
                <w:szCs w:val="21"/>
                <w:lang w:bidi="ar"/>
              </w:rPr>
              <w:t>内存：每节点≥128GB；</w:t>
            </w:r>
          </w:p>
        </w:tc>
      </w:tr>
      <w:tr>
        <w:trPr>
          <w:trHeight w:val="560" w:hRule="atLeast"/>
        </w:trPr>
        <w:tc>
          <w:tcPr>
            <w:tcW w:w="635" w:type="pct"/>
            <w:vMerge w:val="continue"/>
            <w:tcBorders>
              <w:left w:val="single" w:color="000000" w:sz="4" w:space="0"/>
              <w:right w:val="single" w:color="000000" w:sz="4" w:space="0"/>
            </w:tcBorders>
            <w:vAlign w:val="center"/>
          </w:tcPr>
          <w:p>
            <w:pPr>
              <w:jc w:val="center"/>
              <w:rPr>
                <w:rFonts w:ascii="宋体" w:hAnsi="宋体" w:cs="楷体"/>
                <w:color w:val="auto"/>
                <w:sz w:val="22"/>
              </w:rPr>
            </w:pPr>
          </w:p>
        </w:tc>
        <w:tc>
          <w:tcPr>
            <w:tcW w:w="749" w:type="pct"/>
            <w:vMerge w:val="continue"/>
            <w:tcBorders>
              <w:left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361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szCs w:val="21"/>
              </w:rPr>
            </w:pPr>
            <w:r>
              <w:rPr>
                <w:rFonts w:hint="eastAsia" w:ascii="宋体" w:hAnsi="宋体" w:cs="宋体"/>
                <w:color w:val="auto"/>
                <w:kern w:val="0"/>
                <w:szCs w:val="21"/>
                <w:lang w:bidi="ar"/>
              </w:rPr>
              <w:t>每节点配置≥2块480GB企业级读写混合型SSD；</w:t>
            </w:r>
          </w:p>
        </w:tc>
      </w:tr>
      <w:tr>
        <w:trPr>
          <w:trHeight w:val="560" w:hRule="atLeast"/>
        </w:trPr>
        <w:tc>
          <w:tcPr>
            <w:tcW w:w="635" w:type="pct"/>
            <w:vMerge w:val="continue"/>
            <w:tcBorders>
              <w:left w:val="single" w:color="000000" w:sz="4" w:space="0"/>
              <w:right w:val="single" w:color="000000" w:sz="4" w:space="0"/>
            </w:tcBorders>
            <w:vAlign w:val="center"/>
          </w:tcPr>
          <w:p>
            <w:pPr>
              <w:jc w:val="center"/>
              <w:rPr>
                <w:rFonts w:ascii="宋体" w:hAnsi="宋体" w:cs="楷体"/>
                <w:color w:val="auto"/>
                <w:sz w:val="22"/>
              </w:rPr>
            </w:pPr>
          </w:p>
        </w:tc>
        <w:tc>
          <w:tcPr>
            <w:tcW w:w="749" w:type="pct"/>
            <w:vMerge w:val="continue"/>
            <w:tcBorders>
              <w:left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361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lang w:bidi="ar"/>
              </w:rPr>
            </w:pPr>
            <w:r>
              <w:rPr>
                <w:rFonts w:hint="eastAsia" w:ascii="宋体" w:hAnsi="宋体" w:cs="宋体"/>
                <w:color w:val="auto"/>
                <w:kern w:val="0"/>
                <w:szCs w:val="21"/>
                <w:lang w:bidi="ar"/>
              </w:rPr>
              <w:t>每节点配置≥6块6.4TB企业级读写混合型NVMe SSD；</w:t>
            </w:r>
          </w:p>
        </w:tc>
      </w:tr>
      <w:tr>
        <w:trPr>
          <w:trHeight w:val="560" w:hRule="atLeast"/>
        </w:trPr>
        <w:tc>
          <w:tcPr>
            <w:tcW w:w="635" w:type="pct"/>
            <w:vMerge w:val="continue"/>
            <w:tcBorders>
              <w:left w:val="single" w:color="000000" w:sz="4" w:space="0"/>
              <w:right w:val="single" w:color="000000" w:sz="4" w:space="0"/>
            </w:tcBorders>
            <w:vAlign w:val="center"/>
          </w:tcPr>
          <w:p>
            <w:pPr>
              <w:jc w:val="center"/>
              <w:rPr>
                <w:rFonts w:ascii="宋体" w:hAnsi="宋体" w:cs="楷体"/>
                <w:color w:val="auto"/>
                <w:sz w:val="22"/>
              </w:rPr>
            </w:pPr>
          </w:p>
        </w:tc>
        <w:tc>
          <w:tcPr>
            <w:tcW w:w="749" w:type="pct"/>
            <w:vMerge w:val="continue"/>
            <w:tcBorders>
              <w:left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3616" w:type="pct"/>
            <w:tcBorders>
              <w:top w:val="single" w:color="000000" w:sz="4" w:space="0"/>
              <w:left w:val="single" w:color="000000" w:sz="4" w:space="0"/>
              <w:bottom w:val="single" w:color="000000" w:sz="4" w:space="0"/>
              <w:right w:val="single" w:color="000000" w:sz="4" w:space="0"/>
            </w:tcBorders>
            <w:vAlign w:val="center"/>
          </w:tcPr>
          <w:p>
            <w:pPr>
              <w:pStyle w:val="31"/>
              <w:widowControl/>
              <w:ind w:firstLine="0" w:firstLineChars="0"/>
              <w:textAlignment w:val="center"/>
              <w:rPr>
                <w:rFonts w:ascii="宋体" w:hAnsi="宋体" w:cs="宋体"/>
                <w:color w:val="auto"/>
                <w:kern w:val="0"/>
                <w:szCs w:val="21"/>
                <w:lang w:bidi="ar"/>
              </w:rPr>
            </w:pPr>
            <w:r>
              <w:rPr>
                <w:rFonts w:hint="eastAsia" w:ascii="宋体" w:hAnsi="宋体" w:cs="宋体"/>
                <w:color w:val="auto"/>
                <w:kern w:val="0"/>
                <w:szCs w:val="21"/>
                <w:lang w:bidi="ar"/>
              </w:rPr>
              <w:t>每节点配置≥2块双端口10GE SFP+ 网卡（含模块）；</w:t>
            </w:r>
          </w:p>
        </w:tc>
      </w:tr>
      <w:tr>
        <w:trPr>
          <w:trHeight w:val="560" w:hRule="atLeast"/>
        </w:trPr>
        <w:tc>
          <w:tcPr>
            <w:tcW w:w="635" w:type="pct"/>
            <w:vMerge w:val="continue"/>
            <w:tcBorders>
              <w:left w:val="single" w:color="000000" w:sz="4" w:space="0"/>
              <w:right w:val="single" w:color="000000" w:sz="4" w:space="0"/>
            </w:tcBorders>
            <w:vAlign w:val="center"/>
          </w:tcPr>
          <w:p>
            <w:pPr>
              <w:jc w:val="center"/>
              <w:rPr>
                <w:rFonts w:ascii="宋体" w:hAnsi="宋体" w:cs="楷体"/>
                <w:color w:val="auto"/>
                <w:sz w:val="22"/>
              </w:rPr>
            </w:pPr>
          </w:p>
        </w:tc>
        <w:tc>
          <w:tcPr>
            <w:tcW w:w="749" w:type="pct"/>
            <w:vMerge w:val="continue"/>
            <w:tcBorders>
              <w:left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361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szCs w:val="21"/>
              </w:rPr>
            </w:pPr>
            <w:r>
              <w:rPr>
                <w:rFonts w:hint="eastAsia" w:ascii="宋体" w:hAnsi="宋体" w:cs="宋体"/>
                <w:color w:val="auto"/>
                <w:kern w:val="0"/>
                <w:szCs w:val="21"/>
                <w:lang w:bidi="ar"/>
              </w:rPr>
              <w:t>每节点配置≥1块双端口千兆以太网卡；</w:t>
            </w:r>
          </w:p>
        </w:tc>
      </w:tr>
      <w:tr>
        <w:trPr>
          <w:trHeight w:val="560" w:hRule="atLeast"/>
        </w:trPr>
        <w:tc>
          <w:tcPr>
            <w:tcW w:w="635" w:type="pct"/>
            <w:vMerge w:val="continue"/>
            <w:tcBorders>
              <w:left w:val="single" w:color="000000" w:sz="4" w:space="0"/>
              <w:right w:val="single" w:color="000000" w:sz="4" w:space="0"/>
            </w:tcBorders>
            <w:vAlign w:val="center"/>
          </w:tcPr>
          <w:p>
            <w:pPr>
              <w:jc w:val="center"/>
              <w:rPr>
                <w:rFonts w:ascii="宋体" w:hAnsi="宋体" w:cs="楷体"/>
                <w:color w:val="auto"/>
                <w:sz w:val="22"/>
              </w:rPr>
            </w:pPr>
          </w:p>
        </w:tc>
        <w:tc>
          <w:tcPr>
            <w:tcW w:w="749"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楷体"/>
                <w:color w:val="auto"/>
                <w:kern w:val="0"/>
                <w:sz w:val="22"/>
                <w:lang w:bidi="ar"/>
              </w:rPr>
            </w:pPr>
          </w:p>
        </w:tc>
        <w:tc>
          <w:tcPr>
            <w:tcW w:w="361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楷体"/>
                <w:color w:val="auto"/>
                <w:kern w:val="0"/>
                <w:sz w:val="22"/>
                <w:lang w:bidi="ar"/>
              </w:rPr>
            </w:pPr>
            <w:r>
              <w:rPr>
                <w:rFonts w:hint="eastAsia" w:ascii="宋体" w:hAnsi="宋体" w:cs="宋体"/>
                <w:color w:val="auto"/>
                <w:kern w:val="0"/>
                <w:szCs w:val="21"/>
                <w:lang w:bidi="ar"/>
              </w:rPr>
              <w:t>每节点配置≥2个热插拔冗余电源；</w:t>
            </w:r>
          </w:p>
        </w:tc>
      </w:tr>
      <w:tr>
        <w:trPr>
          <w:trHeight w:val="560" w:hRule="atLeast"/>
        </w:trPr>
        <w:tc>
          <w:tcPr>
            <w:tcW w:w="635" w:type="pct"/>
            <w:vMerge w:val="continue"/>
            <w:tcBorders>
              <w:left w:val="single" w:color="000000" w:sz="4" w:space="0"/>
              <w:right w:val="single" w:color="000000" w:sz="4" w:space="0"/>
            </w:tcBorders>
            <w:vAlign w:val="center"/>
          </w:tcPr>
          <w:p>
            <w:pPr>
              <w:jc w:val="center"/>
              <w:rPr>
                <w:rFonts w:ascii="宋体" w:hAnsi="宋体" w:cs="楷体"/>
                <w:color w:val="auto"/>
                <w:sz w:val="22"/>
              </w:rPr>
            </w:pPr>
          </w:p>
        </w:tc>
        <w:tc>
          <w:tcPr>
            <w:tcW w:w="749"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楷体"/>
                <w:color w:val="auto"/>
                <w:kern w:val="0"/>
                <w:sz w:val="22"/>
                <w:lang w:bidi="ar"/>
              </w:rPr>
            </w:pPr>
            <w:r>
              <w:rPr>
                <w:rFonts w:hint="eastAsia" w:ascii="宋体" w:hAnsi="宋体" w:cs="宋体"/>
                <w:color w:val="auto"/>
                <w:kern w:val="0"/>
                <w:szCs w:val="21"/>
                <w:lang w:bidi="ar"/>
              </w:rPr>
              <w:t>分布式混闪存储节点</w:t>
            </w:r>
          </w:p>
        </w:tc>
        <w:tc>
          <w:tcPr>
            <w:tcW w:w="361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szCs w:val="21"/>
              </w:rPr>
            </w:pPr>
            <w:r>
              <w:rPr>
                <w:rFonts w:hint="eastAsia" w:ascii="宋体" w:hAnsi="宋体" w:cs="宋体"/>
                <w:color w:val="auto"/>
                <w:szCs w:val="21"/>
              </w:rPr>
              <w:t>本次配置不少于6台存储节点，节点配置如下：</w:t>
            </w:r>
          </w:p>
        </w:tc>
      </w:tr>
      <w:tr>
        <w:trPr>
          <w:trHeight w:val="560" w:hRule="atLeast"/>
        </w:trPr>
        <w:tc>
          <w:tcPr>
            <w:tcW w:w="635" w:type="pct"/>
            <w:vMerge w:val="continue"/>
            <w:tcBorders>
              <w:left w:val="single" w:color="000000" w:sz="4" w:space="0"/>
              <w:right w:val="single" w:color="000000" w:sz="4" w:space="0"/>
            </w:tcBorders>
            <w:vAlign w:val="center"/>
          </w:tcPr>
          <w:p>
            <w:pPr>
              <w:jc w:val="center"/>
              <w:rPr>
                <w:rFonts w:ascii="宋体" w:hAnsi="宋体" w:cs="楷体"/>
                <w:color w:val="auto"/>
                <w:sz w:val="22"/>
              </w:rPr>
            </w:pPr>
          </w:p>
        </w:tc>
        <w:tc>
          <w:tcPr>
            <w:tcW w:w="749" w:type="pct"/>
            <w:vMerge w:val="continue"/>
            <w:tcBorders>
              <w:left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361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szCs w:val="21"/>
              </w:rPr>
            </w:pPr>
            <w:r>
              <w:rPr>
                <w:rFonts w:hint="eastAsia" w:ascii="宋体" w:hAnsi="宋体" w:cs="宋体"/>
                <w:color w:val="auto"/>
                <w:kern w:val="0"/>
                <w:szCs w:val="21"/>
                <w:lang w:bidi="ar"/>
              </w:rPr>
              <w:t>CPU：每节点配置≥2颗CPU，单颗CPU核心数≥16，线程数≥32，主频≥</w:t>
            </w:r>
            <w:r>
              <w:rPr>
                <w:rStyle w:val="50"/>
                <w:rFonts w:hint="default" w:ascii="宋体" w:hAnsi="宋体" w:cs="宋体"/>
                <w:color w:val="auto"/>
                <w:szCs w:val="21"/>
                <w:lang w:bidi="ar"/>
              </w:rPr>
              <w:t>2.4GHz；</w:t>
            </w:r>
          </w:p>
        </w:tc>
      </w:tr>
      <w:tr>
        <w:tblPrEx>
          <w:tblCellMar>
            <w:top w:w="0" w:type="dxa"/>
            <w:left w:w="108" w:type="dxa"/>
            <w:bottom w:w="0" w:type="dxa"/>
            <w:right w:w="108" w:type="dxa"/>
          </w:tblCellMar>
        </w:tblPrEx>
        <w:trPr>
          <w:trHeight w:val="560" w:hRule="atLeast"/>
        </w:trPr>
        <w:tc>
          <w:tcPr>
            <w:tcW w:w="635" w:type="pct"/>
            <w:vMerge w:val="continue"/>
            <w:tcBorders>
              <w:left w:val="single" w:color="000000" w:sz="4" w:space="0"/>
              <w:right w:val="single" w:color="000000" w:sz="4" w:space="0"/>
            </w:tcBorders>
            <w:vAlign w:val="center"/>
          </w:tcPr>
          <w:p>
            <w:pPr>
              <w:jc w:val="center"/>
              <w:rPr>
                <w:rFonts w:ascii="宋体" w:hAnsi="宋体" w:cs="楷体"/>
                <w:color w:val="auto"/>
                <w:sz w:val="22"/>
              </w:rPr>
            </w:pPr>
          </w:p>
        </w:tc>
        <w:tc>
          <w:tcPr>
            <w:tcW w:w="749" w:type="pct"/>
            <w:vMerge w:val="continue"/>
            <w:tcBorders>
              <w:left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361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szCs w:val="21"/>
              </w:rPr>
            </w:pPr>
            <w:r>
              <w:rPr>
                <w:rFonts w:hint="eastAsia" w:ascii="宋体" w:hAnsi="宋体" w:cs="宋体"/>
                <w:color w:val="auto"/>
                <w:kern w:val="0"/>
                <w:szCs w:val="21"/>
                <w:lang w:bidi="ar"/>
              </w:rPr>
              <w:t>内存：每节点≥256GB；</w:t>
            </w:r>
          </w:p>
        </w:tc>
      </w:tr>
      <w:tr>
        <w:tblPrEx>
          <w:tblCellMar>
            <w:top w:w="0" w:type="dxa"/>
            <w:left w:w="108" w:type="dxa"/>
            <w:bottom w:w="0" w:type="dxa"/>
            <w:right w:w="108" w:type="dxa"/>
          </w:tblCellMar>
        </w:tblPrEx>
        <w:trPr>
          <w:trHeight w:val="560" w:hRule="atLeast"/>
        </w:trPr>
        <w:tc>
          <w:tcPr>
            <w:tcW w:w="635" w:type="pct"/>
            <w:vMerge w:val="continue"/>
            <w:tcBorders>
              <w:left w:val="single" w:color="000000" w:sz="4" w:space="0"/>
              <w:right w:val="single" w:color="000000" w:sz="4" w:space="0"/>
            </w:tcBorders>
            <w:vAlign w:val="center"/>
          </w:tcPr>
          <w:p>
            <w:pPr>
              <w:jc w:val="center"/>
              <w:rPr>
                <w:rFonts w:ascii="宋体" w:hAnsi="宋体" w:cs="楷体"/>
                <w:color w:val="auto"/>
                <w:sz w:val="22"/>
              </w:rPr>
            </w:pPr>
          </w:p>
        </w:tc>
        <w:tc>
          <w:tcPr>
            <w:tcW w:w="749" w:type="pct"/>
            <w:vMerge w:val="continue"/>
            <w:tcBorders>
              <w:left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361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szCs w:val="21"/>
              </w:rPr>
            </w:pPr>
            <w:r>
              <w:rPr>
                <w:rFonts w:hint="eastAsia" w:ascii="宋体" w:hAnsi="宋体" w:cs="宋体"/>
                <w:color w:val="auto"/>
                <w:kern w:val="0"/>
                <w:szCs w:val="21"/>
                <w:lang w:bidi="ar"/>
              </w:rPr>
              <w:t>每节点配置≥2块480GB企业级读写混合型SSD；</w:t>
            </w:r>
          </w:p>
        </w:tc>
      </w:tr>
      <w:tr>
        <w:tblPrEx>
          <w:tblCellMar>
            <w:top w:w="0" w:type="dxa"/>
            <w:left w:w="108" w:type="dxa"/>
            <w:bottom w:w="0" w:type="dxa"/>
            <w:right w:w="108" w:type="dxa"/>
          </w:tblCellMar>
        </w:tblPrEx>
        <w:trPr>
          <w:trHeight w:val="560" w:hRule="atLeast"/>
        </w:trPr>
        <w:tc>
          <w:tcPr>
            <w:tcW w:w="635" w:type="pct"/>
            <w:vMerge w:val="continue"/>
            <w:tcBorders>
              <w:left w:val="single" w:color="000000" w:sz="4" w:space="0"/>
              <w:right w:val="single" w:color="000000" w:sz="4" w:space="0"/>
            </w:tcBorders>
            <w:vAlign w:val="center"/>
          </w:tcPr>
          <w:p>
            <w:pPr>
              <w:jc w:val="center"/>
              <w:rPr>
                <w:rFonts w:ascii="宋体" w:hAnsi="宋体" w:cs="楷体"/>
                <w:color w:val="auto"/>
                <w:sz w:val="22"/>
              </w:rPr>
            </w:pPr>
          </w:p>
        </w:tc>
        <w:tc>
          <w:tcPr>
            <w:tcW w:w="749" w:type="pct"/>
            <w:vMerge w:val="continue"/>
            <w:tcBorders>
              <w:left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3616" w:type="pct"/>
            <w:tcBorders>
              <w:top w:val="single" w:color="000000" w:sz="4" w:space="0"/>
              <w:left w:val="single" w:color="000000" w:sz="4" w:space="0"/>
              <w:bottom w:val="single" w:color="000000" w:sz="4" w:space="0"/>
              <w:right w:val="single" w:color="000000" w:sz="4" w:space="0"/>
            </w:tcBorders>
            <w:vAlign w:val="center"/>
          </w:tcPr>
          <w:p>
            <w:pPr>
              <w:widowControl/>
              <w:tabs>
                <w:tab w:val="right" w:pos="5738"/>
              </w:tabs>
              <w:textAlignment w:val="center"/>
              <w:rPr>
                <w:rFonts w:ascii="宋体" w:hAnsi="宋体" w:cs="宋体"/>
                <w:color w:val="auto"/>
                <w:kern w:val="0"/>
                <w:szCs w:val="21"/>
                <w:lang w:bidi="ar"/>
              </w:rPr>
            </w:pPr>
            <w:r>
              <w:rPr>
                <w:rFonts w:hint="eastAsia" w:ascii="宋体" w:hAnsi="宋体" w:cs="宋体"/>
                <w:color w:val="auto"/>
                <w:kern w:val="0"/>
                <w:szCs w:val="21"/>
                <w:lang w:bidi="ar"/>
              </w:rPr>
              <w:t>每节点配置≥2块3.2TB企业级读写混合型NVMe SSD；</w:t>
            </w:r>
            <w:r>
              <w:rPr>
                <w:rFonts w:hint="eastAsia" w:ascii="宋体" w:hAnsi="宋体" w:cs="宋体"/>
                <w:color w:val="auto"/>
                <w:kern w:val="0"/>
                <w:szCs w:val="21"/>
                <w:lang w:bidi="ar"/>
              </w:rPr>
              <w:tab/>
            </w:r>
          </w:p>
        </w:tc>
      </w:tr>
      <w:tr>
        <w:tblPrEx>
          <w:tblCellMar>
            <w:top w:w="0" w:type="dxa"/>
            <w:left w:w="108" w:type="dxa"/>
            <w:bottom w:w="0" w:type="dxa"/>
            <w:right w:w="108" w:type="dxa"/>
          </w:tblCellMar>
        </w:tblPrEx>
        <w:trPr>
          <w:trHeight w:val="560" w:hRule="atLeast"/>
        </w:trPr>
        <w:tc>
          <w:tcPr>
            <w:tcW w:w="635" w:type="pct"/>
            <w:vMerge w:val="continue"/>
            <w:tcBorders>
              <w:left w:val="single" w:color="000000" w:sz="4" w:space="0"/>
              <w:right w:val="single" w:color="000000" w:sz="4" w:space="0"/>
            </w:tcBorders>
            <w:vAlign w:val="center"/>
          </w:tcPr>
          <w:p>
            <w:pPr>
              <w:jc w:val="center"/>
              <w:rPr>
                <w:rFonts w:ascii="宋体" w:hAnsi="宋体" w:cs="楷体"/>
                <w:color w:val="auto"/>
                <w:sz w:val="22"/>
              </w:rPr>
            </w:pPr>
          </w:p>
        </w:tc>
        <w:tc>
          <w:tcPr>
            <w:tcW w:w="749" w:type="pct"/>
            <w:vMerge w:val="continue"/>
            <w:tcBorders>
              <w:left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361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szCs w:val="21"/>
              </w:rPr>
            </w:pPr>
            <w:r>
              <w:rPr>
                <w:rFonts w:hint="eastAsia" w:ascii="宋体" w:hAnsi="宋体" w:cs="宋体"/>
                <w:color w:val="auto"/>
                <w:kern w:val="0"/>
                <w:szCs w:val="21"/>
                <w:lang w:bidi="ar"/>
              </w:rPr>
              <w:t>每节点配置≥12块20TB SATA 7.2KRPM 企业级HDD盘；</w:t>
            </w:r>
          </w:p>
        </w:tc>
      </w:tr>
      <w:tr>
        <w:tblPrEx>
          <w:tblCellMar>
            <w:top w:w="0" w:type="dxa"/>
            <w:left w:w="108" w:type="dxa"/>
            <w:bottom w:w="0" w:type="dxa"/>
            <w:right w:w="108" w:type="dxa"/>
          </w:tblCellMar>
        </w:tblPrEx>
        <w:trPr>
          <w:trHeight w:val="560" w:hRule="atLeast"/>
        </w:trPr>
        <w:tc>
          <w:tcPr>
            <w:tcW w:w="635" w:type="pct"/>
            <w:vMerge w:val="continue"/>
            <w:tcBorders>
              <w:left w:val="single" w:color="000000" w:sz="4" w:space="0"/>
              <w:right w:val="single" w:color="000000" w:sz="4" w:space="0"/>
            </w:tcBorders>
            <w:vAlign w:val="center"/>
          </w:tcPr>
          <w:p>
            <w:pPr>
              <w:jc w:val="center"/>
              <w:rPr>
                <w:rFonts w:ascii="宋体" w:hAnsi="宋体" w:cs="楷体"/>
                <w:color w:val="auto"/>
                <w:sz w:val="22"/>
              </w:rPr>
            </w:pPr>
          </w:p>
        </w:tc>
        <w:tc>
          <w:tcPr>
            <w:tcW w:w="749" w:type="pct"/>
            <w:vMerge w:val="continue"/>
            <w:tcBorders>
              <w:left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3616" w:type="pct"/>
            <w:tcBorders>
              <w:top w:val="single" w:color="000000" w:sz="4" w:space="0"/>
              <w:left w:val="single" w:color="000000" w:sz="4" w:space="0"/>
              <w:bottom w:val="single" w:color="000000" w:sz="4" w:space="0"/>
              <w:right w:val="single" w:color="000000" w:sz="4" w:space="0"/>
            </w:tcBorders>
            <w:vAlign w:val="center"/>
          </w:tcPr>
          <w:p>
            <w:pPr>
              <w:pStyle w:val="31"/>
              <w:widowControl/>
              <w:ind w:firstLine="0" w:firstLineChars="0"/>
              <w:textAlignment w:val="center"/>
              <w:rPr>
                <w:rFonts w:ascii="宋体" w:hAnsi="宋体" w:cs="宋体"/>
                <w:color w:val="auto"/>
                <w:kern w:val="0"/>
                <w:szCs w:val="21"/>
                <w:lang w:bidi="ar"/>
              </w:rPr>
            </w:pPr>
            <w:r>
              <w:rPr>
                <w:rFonts w:hint="eastAsia" w:ascii="宋体" w:hAnsi="宋体" w:cs="宋体"/>
                <w:color w:val="auto"/>
                <w:kern w:val="0"/>
                <w:szCs w:val="21"/>
                <w:lang w:bidi="ar"/>
              </w:rPr>
              <w:t>每节点配置≥2块双端口10GE SFP+ 网卡（含模块）；</w:t>
            </w:r>
          </w:p>
        </w:tc>
      </w:tr>
      <w:tr>
        <w:tblPrEx>
          <w:tblCellMar>
            <w:top w:w="0" w:type="dxa"/>
            <w:left w:w="108" w:type="dxa"/>
            <w:bottom w:w="0" w:type="dxa"/>
            <w:right w:w="108" w:type="dxa"/>
          </w:tblCellMar>
        </w:tblPrEx>
        <w:trPr>
          <w:trHeight w:val="560" w:hRule="atLeast"/>
        </w:trPr>
        <w:tc>
          <w:tcPr>
            <w:tcW w:w="635" w:type="pct"/>
            <w:vMerge w:val="continue"/>
            <w:tcBorders>
              <w:left w:val="single" w:color="000000" w:sz="4" w:space="0"/>
              <w:right w:val="single" w:color="000000" w:sz="4" w:space="0"/>
            </w:tcBorders>
            <w:vAlign w:val="center"/>
          </w:tcPr>
          <w:p>
            <w:pPr>
              <w:jc w:val="center"/>
              <w:rPr>
                <w:rFonts w:ascii="宋体" w:hAnsi="宋体" w:cs="楷体"/>
                <w:color w:val="auto"/>
                <w:sz w:val="22"/>
              </w:rPr>
            </w:pPr>
          </w:p>
        </w:tc>
        <w:tc>
          <w:tcPr>
            <w:tcW w:w="749" w:type="pct"/>
            <w:vMerge w:val="continue"/>
            <w:tcBorders>
              <w:left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361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szCs w:val="21"/>
              </w:rPr>
            </w:pPr>
            <w:r>
              <w:rPr>
                <w:rFonts w:hint="eastAsia" w:ascii="宋体" w:hAnsi="宋体" w:cs="宋体"/>
                <w:color w:val="auto"/>
                <w:kern w:val="0"/>
                <w:szCs w:val="21"/>
                <w:lang w:bidi="ar"/>
              </w:rPr>
              <w:t>每节点配置≥1块双端口千兆以太网卡；</w:t>
            </w:r>
          </w:p>
        </w:tc>
      </w:tr>
      <w:tr>
        <w:tblPrEx>
          <w:tblCellMar>
            <w:top w:w="0" w:type="dxa"/>
            <w:left w:w="108" w:type="dxa"/>
            <w:bottom w:w="0" w:type="dxa"/>
            <w:right w:w="108" w:type="dxa"/>
          </w:tblCellMar>
        </w:tblPrEx>
        <w:trPr>
          <w:trHeight w:val="560" w:hRule="atLeast"/>
        </w:trPr>
        <w:tc>
          <w:tcPr>
            <w:tcW w:w="635" w:type="pct"/>
            <w:vMerge w:val="continue"/>
            <w:tcBorders>
              <w:left w:val="single" w:color="000000" w:sz="4" w:space="0"/>
              <w:bottom w:val="single" w:color="000000" w:sz="4" w:space="0"/>
              <w:right w:val="single" w:color="000000" w:sz="4" w:space="0"/>
            </w:tcBorders>
            <w:vAlign w:val="center"/>
          </w:tcPr>
          <w:p>
            <w:pPr>
              <w:jc w:val="center"/>
              <w:rPr>
                <w:rFonts w:ascii="宋体" w:hAnsi="宋体" w:cs="楷体"/>
                <w:color w:val="auto"/>
                <w:sz w:val="22"/>
              </w:rPr>
            </w:pPr>
          </w:p>
        </w:tc>
        <w:tc>
          <w:tcPr>
            <w:tcW w:w="749"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楷体"/>
                <w:color w:val="auto"/>
                <w:kern w:val="0"/>
                <w:sz w:val="22"/>
                <w:lang w:bidi="ar"/>
              </w:rPr>
            </w:pPr>
          </w:p>
        </w:tc>
        <w:tc>
          <w:tcPr>
            <w:tcW w:w="361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szCs w:val="21"/>
              </w:rPr>
            </w:pPr>
            <w:r>
              <w:rPr>
                <w:rFonts w:hint="eastAsia" w:ascii="宋体" w:hAnsi="宋体" w:cs="宋体"/>
                <w:color w:val="auto"/>
                <w:kern w:val="0"/>
                <w:szCs w:val="21"/>
                <w:lang w:bidi="ar"/>
              </w:rPr>
              <w:t>每节点配置≥2个热插拔冗余电源；</w:t>
            </w:r>
          </w:p>
        </w:tc>
      </w:tr>
      <w:tr>
        <w:tblPrEx>
          <w:tblCellMar>
            <w:top w:w="0" w:type="dxa"/>
            <w:left w:w="108" w:type="dxa"/>
            <w:bottom w:w="0" w:type="dxa"/>
            <w:right w:w="108" w:type="dxa"/>
          </w:tblCellMar>
        </w:tblPrEx>
        <w:trPr>
          <w:trHeight w:val="1230" w:hRule="atLeast"/>
        </w:trPr>
        <w:tc>
          <w:tcPr>
            <w:tcW w:w="63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楷体"/>
                <w:color w:val="auto"/>
                <w:sz w:val="22"/>
              </w:rPr>
            </w:pPr>
            <w:r>
              <w:rPr>
                <w:rFonts w:hint="eastAsia" w:ascii="宋体" w:hAnsi="宋体" w:cs="楷体"/>
                <w:color w:val="auto"/>
                <w:kern w:val="0"/>
                <w:sz w:val="22"/>
                <w:lang w:bidi="ar"/>
              </w:rPr>
              <w:t>软件许可</w:t>
            </w: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楷体"/>
                <w:color w:val="auto"/>
                <w:sz w:val="22"/>
              </w:rPr>
            </w:pPr>
            <w:r>
              <w:rPr>
                <w:rFonts w:hint="eastAsia" w:ascii="宋体" w:hAnsi="宋体" w:cs="楷体"/>
                <w:color w:val="auto"/>
                <w:kern w:val="0"/>
                <w:sz w:val="22"/>
                <w:lang w:bidi="ar"/>
              </w:rPr>
              <w:t>授权许可</w:t>
            </w:r>
          </w:p>
        </w:tc>
        <w:tc>
          <w:tcPr>
            <w:tcW w:w="361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楷体"/>
                <w:color w:val="auto"/>
                <w:kern w:val="0"/>
                <w:sz w:val="22"/>
                <w:lang w:bidi="ar"/>
              </w:rPr>
            </w:pPr>
            <w:r>
              <w:rPr>
                <w:rFonts w:hint="eastAsia" w:ascii="宋体" w:hAnsi="宋体" w:cs="楷体"/>
                <w:color w:val="auto"/>
                <w:kern w:val="0"/>
                <w:sz w:val="22"/>
                <w:lang w:bidi="ar"/>
              </w:rPr>
              <w:t>配置≥1400TB物理容量的分布式软件系统授权许可（license无功能控制或限制）</w:t>
            </w:r>
          </w:p>
        </w:tc>
      </w:tr>
      <w:tr>
        <w:tblPrEx>
          <w:tblCellMar>
            <w:top w:w="0" w:type="dxa"/>
            <w:left w:w="108" w:type="dxa"/>
            <w:bottom w:w="0" w:type="dxa"/>
            <w:right w:w="108" w:type="dxa"/>
          </w:tblCellMar>
        </w:tblPrEx>
        <w:trPr>
          <w:trHeight w:val="560" w:hRule="atLeast"/>
        </w:trPr>
        <w:tc>
          <w:tcPr>
            <w:tcW w:w="635"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楷体"/>
                <w:color w:val="auto"/>
                <w:sz w:val="22"/>
              </w:rPr>
            </w:pPr>
            <w:r>
              <w:rPr>
                <w:rFonts w:hint="eastAsia" w:ascii="宋体" w:hAnsi="宋体" w:cs="楷体"/>
                <w:color w:val="auto"/>
                <w:kern w:val="0"/>
                <w:sz w:val="22"/>
                <w:lang w:bidi="ar"/>
              </w:rPr>
              <w:t>块存储</w:t>
            </w: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楷体"/>
                <w:color w:val="auto"/>
                <w:sz w:val="22"/>
              </w:rPr>
            </w:pPr>
            <w:r>
              <w:rPr>
                <w:rFonts w:hint="eastAsia" w:ascii="宋体" w:hAnsi="宋体" w:cs="楷体"/>
                <w:color w:val="auto"/>
                <w:kern w:val="0"/>
                <w:sz w:val="22"/>
                <w:lang w:bidi="ar"/>
              </w:rPr>
              <w:t>块访问方式</w:t>
            </w:r>
          </w:p>
        </w:tc>
        <w:tc>
          <w:tcPr>
            <w:tcW w:w="361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楷体"/>
                <w:color w:val="auto"/>
                <w:sz w:val="22"/>
              </w:rPr>
            </w:pPr>
            <w:r>
              <w:rPr>
                <w:rFonts w:hint="eastAsia" w:ascii="宋体" w:hAnsi="宋体" w:cs="楷体"/>
                <w:color w:val="auto"/>
                <w:kern w:val="0"/>
                <w:sz w:val="22"/>
                <w:lang w:bidi="ar"/>
              </w:rPr>
              <w:t>支持iSCSI连接，支持主流操作系统，支持常用虚拟化平台；</w:t>
            </w:r>
          </w:p>
        </w:tc>
      </w:tr>
      <w:tr>
        <w:tblPrEx>
          <w:tblCellMar>
            <w:top w:w="0" w:type="dxa"/>
            <w:left w:w="108" w:type="dxa"/>
            <w:bottom w:w="0" w:type="dxa"/>
            <w:right w:w="108" w:type="dxa"/>
          </w:tblCellMar>
        </w:tblPrEx>
        <w:trPr>
          <w:trHeight w:val="560" w:hRule="atLeast"/>
        </w:trPr>
        <w:tc>
          <w:tcPr>
            <w:tcW w:w="635" w:type="pct"/>
            <w:vMerge w:val="continue"/>
            <w:tcBorders>
              <w:left w:val="single" w:color="000000" w:sz="4" w:space="0"/>
              <w:right w:val="single" w:color="000000" w:sz="4" w:space="0"/>
            </w:tcBorders>
            <w:vAlign w:val="center"/>
          </w:tcPr>
          <w:p>
            <w:pPr>
              <w:jc w:val="center"/>
              <w:rPr>
                <w:rFonts w:ascii="宋体" w:hAnsi="宋体" w:cs="楷体"/>
                <w:color w:val="auto"/>
                <w:sz w:val="22"/>
              </w:rPr>
            </w:pP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楷体"/>
                <w:color w:val="auto"/>
                <w:sz w:val="22"/>
              </w:rPr>
            </w:pPr>
            <w:r>
              <w:rPr>
                <w:rFonts w:hint="eastAsia" w:ascii="宋体" w:hAnsi="宋体" w:cs="楷体"/>
                <w:color w:val="auto"/>
                <w:kern w:val="0"/>
                <w:sz w:val="22"/>
                <w:lang w:bidi="ar"/>
              </w:rPr>
              <w:t>iSCSI多路径</w:t>
            </w:r>
          </w:p>
        </w:tc>
        <w:tc>
          <w:tcPr>
            <w:tcW w:w="361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楷体"/>
                <w:color w:val="auto"/>
                <w:sz w:val="22"/>
              </w:rPr>
            </w:pPr>
            <w:r>
              <w:rPr>
                <w:rFonts w:hint="eastAsia" w:ascii="宋体" w:hAnsi="宋体" w:cs="楷体"/>
                <w:color w:val="auto"/>
                <w:kern w:val="0"/>
                <w:sz w:val="22"/>
                <w:lang w:bidi="ar"/>
              </w:rPr>
              <w:t>支持 iSCSI多路径自动发现及访问控制;(提供软件截图证明并加盖公章)</w:t>
            </w:r>
          </w:p>
        </w:tc>
      </w:tr>
      <w:tr>
        <w:trPr>
          <w:trHeight w:val="560" w:hRule="atLeast"/>
        </w:trPr>
        <w:tc>
          <w:tcPr>
            <w:tcW w:w="635" w:type="pct"/>
            <w:vMerge w:val="continue"/>
            <w:tcBorders>
              <w:left w:val="single" w:color="000000" w:sz="4" w:space="0"/>
              <w:right w:val="single" w:color="000000" w:sz="4" w:space="0"/>
            </w:tcBorders>
            <w:vAlign w:val="center"/>
          </w:tcPr>
          <w:p>
            <w:pPr>
              <w:jc w:val="center"/>
              <w:rPr>
                <w:rFonts w:ascii="宋体" w:hAnsi="宋体" w:cs="楷体"/>
                <w:color w:val="auto"/>
                <w:sz w:val="22"/>
              </w:rPr>
            </w:pP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lang w:bidi="ar"/>
              </w:rPr>
            </w:pPr>
            <w:r>
              <w:rPr>
                <w:rFonts w:hint="eastAsia" w:ascii="宋体" w:hAnsi="宋体" w:cs="宋体"/>
                <w:color w:val="auto"/>
                <w:kern w:val="0"/>
                <w:szCs w:val="21"/>
                <w:lang w:bidi="ar"/>
              </w:rPr>
              <w:t>快照</w:t>
            </w:r>
          </w:p>
        </w:tc>
        <w:tc>
          <w:tcPr>
            <w:tcW w:w="361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lang w:bidi="ar"/>
              </w:rPr>
            </w:pPr>
            <w:r>
              <w:rPr>
                <w:rFonts w:hint="eastAsia" w:ascii="宋体" w:hAnsi="宋体" w:cs="宋体"/>
                <w:color w:val="auto"/>
                <w:kern w:val="0"/>
                <w:szCs w:val="21"/>
                <w:lang w:bidi="ar"/>
              </w:rPr>
              <w:t>支持增量快照、快照克隆、快照恢复功能，可自定义设置创建快照时间、周期以及保留期限等。10组快照批量创建时间在0.3秒以内，提供带有CNAS认可标识的CMA测试报告扫描件。</w:t>
            </w:r>
          </w:p>
        </w:tc>
      </w:tr>
      <w:tr>
        <w:trPr>
          <w:trHeight w:val="560" w:hRule="atLeast"/>
        </w:trPr>
        <w:tc>
          <w:tcPr>
            <w:tcW w:w="635" w:type="pct"/>
            <w:vMerge w:val="continue"/>
            <w:tcBorders>
              <w:left w:val="single" w:color="000000" w:sz="4" w:space="0"/>
              <w:bottom w:val="single" w:color="000000" w:sz="4" w:space="0"/>
              <w:right w:val="single" w:color="000000" w:sz="4" w:space="0"/>
            </w:tcBorders>
            <w:vAlign w:val="center"/>
          </w:tcPr>
          <w:p>
            <w:pPr>
              <w:jc w:val="center"/>
              <w:rPr>
                <w:rFonts w:ascii="宋体" w:hAnsi="宋体" w:cs="楷体"/>
                <w:color w:val="auto"/>
                <w:sz w:val="22"/>
              </w:rPr>
            </w:pP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lang w:bidi="ar"/>
              </w:rPr>
            </w:pPr>
            <w:r>
              <w:rPr>
                <w:rFonts w:hint="eastAsia" w:ascii="宋体" w:hAnsi="宋体" w:cs="宋体"/>
                <w:color w:val="auto"/>
                <w:kern w:val="0"/>
                <w:szCs w:val="21"/>
                <w:lang w:bidi="ar"/>
              </w:rPr>
              <w:t>非精简逻辑卷</w:t>
            </w:r>
          </w:p>
        </w:tc>
        <w:tc>
          <w:tcPr>
            <w:tcW w:w="361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lang w:bidi="ar"/>
              </w:rPr>
            </w:pPr>
            <w:r>
              <w:rPr>
                <w:rFonts w:hint="eastAsia" w:ascii="宋体" w:hAnsi="宋体" w:cs="宋体"/>
                <w:color w:val="auto"/>
                <w:kern w:val="0"/>
                <w:szCs w:val="21"/>
                <w:lang w:bidi="ar"/>
              </w:rPr>
              <w:t>支持同时提供iSCSI精简置备逻辑卷和非精简逻辑卷，可按需灵活进行空间分配。单个5TB大小iSCSI非精简逻辑卷创建时间在3分钟以内，提供带有CNAS认可标识的CMA测试报告扫描件。</w:t>
            </w:r>
          </w:p>
        </w:tc>
      </w:tr>
      <w:tr>
        <w:tblPrEx>
          <w:tblCellMar>
            <w:top w:w="0" w:type="dxa"/>
            <w:left w:w="108" w:type="dxa"/>
            <w:bottom w:w="0" w:type="dxa"/>
            <w:right w:w="108" w:type="dxa"/>
          </w:tblCellMar>
        </w:tblPrEx>
        <w:trPr>
          <w:trHeight w:val="560" w:hRule="atLeast"/>
        </w:trPr>
        <w:tc>
          <w:tcPr>
            <w:tcW w:w="635"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楷体"/>
                <w:color w:val="auto"/>
                <w:sz w:val="22"/>
              </w:rPr>
            </w:pPr>
            <w:r>
              <w:rPr>
                <w:rFonts w:hint="eastAsia" w:ascii="宋体" w:hAnsi="宋体" w:cs="楷体"/>
                <w:color w:val="auto"/>
                <w:kern w:val="0"/>
                <w:sz w:val="22"/>
                <w:lang w:bidi="ar"/>
              </w:rPr>
              <w:t>文件存储</w:t>
            </w: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楷体"/>
                <w:color w:val="auto"/>
                <w:sz w:val="22"/>
              </w:rPr>
            </w:pPr>
            <w:r>
              <w:rPr>
                <w:rFonts w:hint="eastAsia" w:ascii="宋体" w:hAnsi="宋体" w:cs="楷体"/>
                <w:color w:val="auto"/>
                <w:kern w:val="0"/>
                <w:sz w:val="22"/>
                <w:lang w:bidi="ar"/>
              </w:rPr>
              <w:t>NAS协议</w:t>
            </w:r>
          </w:p>
        </w:tc>
        <w:tc>
          <w:tcPr>
            <w:tcW w:w="361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楷体"/>
                <w:color w:val="auto"/>
                <w:sz w:val="22"/>
              </w:rPr>
            </w:pPr>
            <w:r>
              <w:rPr>
                <w:rFonts w:hint="eastAsia" w:ascii="宋体" w:hAnsi="宋体" w:cs="楷体"/>
                <w:color w:val="auto"/>
                <w:kern w:val="0"/>
                <w:sz w:val="22"/>
                <w:lang w:bidi="ar"/>
              </w:rPr>
              <w:t>支持主流的CIFS、NFS、FTP、WebDav等协议，同一份数据实现不同协议共享访问；</w:t>
            </w:r>
          </w:p>
        </w:tc>
      </w:tr>
      <w:tr>
        <w:trPr>
          <w:trHeight w:val="560" w:hRule="atLeast"/>
        </w:trPr>
        <w:tc>
          <w:tcPr>
            <w:tcW w:w="635"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楷体"/>
                <w:color w:val="auto"/>
                <w:sz w:val="22"/>
              </w:rPr>
            </w:pP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楷体"/>
                <w:color w:val="auto"/>
                <w:sz w:val="22"/>
              </w:rPr>
            </w:pPr>
            <w:r>
              <w:rPr>
                <w:rFonts w:hint="eastAsia" w:ascii="宋体" w:hAnsi="宋体" w:cs="楷体"/>
                <w:color w:val="auto"/>
                <w:kern w:val="0"/>
                <w:sz w:val="22"/>
                <w:lang w:bidi="ar"/>
              </w:rPr>
              <w:t>并发连接数</w:t>
            </w:r>
          </w:p>
        </w:tc>
        <w:tc>
          <w:tcPr>
            <w:tcW w:w="361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楷体"/>
                <w:color w:val="auto"/>
                <w:sz w:val="22"/>
              </w:rPr>
            </w:pPr>
            <w:r>
              <w:rPr>
                <w:rFonts w:hint="eastAsia" w:ascii="宋体" w:hAnsi="宋体" w:cs="楷体"/>
                <w:color w:val="auto"/>
                <w:kern w:val="0"/>
                <w:sz w:val="22"/>
                <w:lang w:bidi="ar"/>
              </w:rPr>
              <w:t>单节点FTP并发连接数不低于2000个(提供截图证明并加盖公章)</w:t>
            </w:r>
          </w:p>
        </w:tc>
      </w:tr>
      <w:tr>
        <w:tblPrEx>
          <w:tblCellMar>
            <w:top w:w="0" w:type="dxa"/>
            <w:left w:w="108" w:type="dxa"/>
            <w:bottom w:w="0" w:type="dxa"/>
            <w:right w:w="108" w:type="dxa"/>
          </w:tblCellMar>
        </w:tblPrEx>
        <w:trPr>
          <w:trHeight w:val="560" w:hRule="atLeast"/>
        </w:trPr>
        <w:tc>
          <w:tcPr>
            <w:tcW w:w="635"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楷体"/>
                <w:color w:val="auto"/>
                <w:sz w:val="22"/>
              </w:rPr>
            </w:pP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楷体"/>
                <w:color w:val="auto"/>
                <w:sz w:val="22"/>
              </w:rPr>
            </w:pPr>
            <w:r>
              <w:rPr>
                <w:rFonts w:hint="eastAsia" w:ascii="宋体" w:hAnsi="宋体" w:cs="楷体"/>
                <w:color w:val="auto"/>
                <w:kern w:val="0"/>
                <w:sz w:val="22"/>
                <w:lang w:bidi="ar"/>
              </w:rPr>
              <w:t>小文件优化</w:t>
            </w:r>
          </w:p>
        </w:tc>
        <w:tc>
          <w:tcPr>
            <w:tcW w:w="361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楷体"/>
                <w:color w:val="auto"/>
                <w:sz w:val="22"/>
              </w:rPr>
            </w:pPr>
            <w:r>
              <w:rPr>
                <w:rFonts w:hint="eastAsia" w:ascii="宋体" w:hAnsi="宋体" w:cs="楷体"/>
                <w:color w:val="auto"/>
                <w:kern w:val="0"/>
                <w:sz w:val="22"/>
                <w:lang w:bidi="ar"/>
              </w:rPr>
              <w:t>对所有文件协议和接口都支持小文件合并优化功能；可手动选择是否开启小文件合并功能；</w:t>
            </w:r>
          </w:p>
        </w:tc>
      </w:tr>
      <w:tr>
        <w:tblPrEx>
          <w:tblCellMar>
            <w:top w:w="0" w:type="dxa"/>
            <w:left w:w="108" w:type="dxa"/>
            <w:bottom w:w="0" w:type="dxa"/>
            <w:right w:w="108" w:type="dxa"/>
          </w:tblCellMar>
        </w:tblPrEx>
        <w:trPr>
          <w:trHeight w:val="560" w:hRule="atLeast"/>
        </w:trPr>
        <w:tc>
          <w:tcPr>
            <w:tcW w:w="635"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楷体"/>
                <w:color w:val="auto"/>
                <w:sz w:val="22"/>
              </w:rPr>
            </w:pP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楷体"/>
                <w:color w:val="auto"/>
                <w:sz w:val="22"/>
              </w:rPr>
            </w:pPr>
            <w:r>
              <w:rPr>
                <w:rFonts w:hint="eastAsia" w:ascii="宋体" w:hAnsi="宋体" w:cs="楷体"/>
                <w:color w:val="auto"/>
                <w:kern w:val="0"/>
                <w:sz w:val="22"/>
                <w:lang w:bidi="ar"/>
              </w:rPr>
              <w:t>数据管理能力</w:t>
            </w:r>
          </w:p>
        </w:tc>
        <w:tc>
          <w:tcPr>
            <w:tcW w:w="361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楷体"/>
                <w:color w:val="auto"/>
                <w:sz w:val="22"/>
              </w:rPr>
            </w:pPr>
            <w:r>
              <w:rPr>
                <w:rFonts w:hint="eastAsia" w:ascii="宋体" w:hAnsi="宋体" w:cs="楷体"/>
                <w:color w:val="auto"/>
                <w:kern w:val="0"/>
                <w:sz w:val="22"/>
                <w:lang w:bidi="ar"/>
              </w:rPr>
              <w:t>提供文件存储方式下，已存储文件数量达到10亿个的医疗用户案例；(提供该用户存储管理软件界面截图证明并加盖公章)</w:t>
            </w:r>
          </w:p>
        </w:tc>
      </w:tr>
      <w:tr>
        <w:tblPrEx>
          <w:tblCellMar>
            <w:top w:w="0" w:type="dxa"/>
            <w:left w:w="108" w:type="dxa"/>
            <w:bottom w:w="0" w:type="dxa"/>
            <w:right w:w="108" w:type="dxa"/>
          </w:tblCellMar>
        </w:tblPrEx>
        <w:trPr>
          <w:trHeight w:val="560" w:hRule="atLeast"/>
        </w:trPr>
        <w:tc>
          <w:tcPr>
            <w:tcW w:w="635"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楷体"/>
                <w:color w:val="auto"/>
                <w:sz w:val="22"/>
              </w:rPr>
            </w:pP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楷体"/>
                <w:color w:val="auto"/>
                <w:sz w:val="22"/>
              </w:rPr>
            </w:pPr>
            <w:r>
              <w:rPr>
                <w:rFonts w:hint="eastAsia" w:ascii="宋体" w:hAnsi="宋体" w:cs="楷体"/>
                <w:color w:val="auto"/>
                <w:kern w:val="0"/>
                <w:sz w:val="22"/>
                <w:lang w:bidi="ar"/>
              </w:rPr>
              <w:t>WORM功能</w:t>
            </w:r>
          </w:p>
        </w:tc>
        <w:tc>
          <w:tcPr>
            <w:tcW w:w="361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楷体"/>
                <w:color w:val="auto"/>
                <w:sz w:val="22"/>
              </w:rPr>
            </w:pPr>
            <w:r>
              <w:rPr>
                <w:rFonts w:hint="eastAsia" w:ascii="宋体" w:hAnsi="宋体" w:cs="楷体"/>
                <w:color w:val="auto"/>
                <w:kern w:val="0"/>
                <w:sz w:val="22"/>
                <w:lang w:bidi="ar"/>
              </w:rPr>
              <w:t>提供WORM功能，可按照目录选择是否开启WORM功能；(提供软件截图证明并加盖公章)</w:t>
            </w:r>
          </w:p>
        </w:tc>
      </w:tr>
      <w:tr>
        <w:tblPrEx>
          <w:tblCellMar>
            <w:top w:w="0" w:type="dxa"/>
            <w:left w:w="108" w:type="dxa"/>
            <w:bottom w:w="0" w:type="dxa"/>
            <w:right w:w="108" w:type="dxa"/>
          </w:tblCellMar>
        </w:tblPrEx>
        <w:trPr>
          <w:trHeight w:val="531" w:hRule="atLeast"/>
        </w:trPr>
        <w:tc>
          <w:tcPr>
            <w:tcW w:w="635"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楷体"/>
                <w:color w:val="auto"/>
                <w:sz w:val="22"/>
              </w:rPr>
            </w:pPr>
            <w:r>
              <w:rPr>
                <w:rFonts w:hint="eastAsia" w:ascii="宋体" w:hAnsi="宋体" w:cs="楷体"/>
                <w:color w:val="auto"/>
                <w:kern w:val="0"/>
                <w:sz w:val="22"/>
                <w:lang w:bidi="ar"/>
              </w:rPr>
              <w:t>对象存储</w:t>
            </w:r>
          </w:p>
        </w:tc>
        <w:tc>
          <w:tcPr>
            <w:tcW w:w="749" w:type="pc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楷体"/>
                <w:color w:val="auto"/>
                <w:sz w:val="22"/>
              </w:rPr>
            </w:pPr>
            <w:r>
              <w:rPr>
                <w:rFonts w:hint="eastAsia" w:ascii="宋体" w:hAnsi="宋体" w:cs="楷体"/>
                <w:color w:val="auto"/>
                <w:kern w:val="0"/>
                <w:sz w:val="22"/>
                <w:lang w:bidi="ar"/>
              </w:rPr>
              <w:t>对象协议</w:t>
            </w:r>
          </w:p>
        </w:tc>
        <w:tc>
          <w:tcPr>
            <w:tcW w:w="361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楷体"/>
                <w:color w:val="auto"/>
                <w:sz w:val="22"/>
              </w:rPr>
            </w:pPr>
            <w:r>
              <w:rPr>
                <w:rFonts w:hint="eastAsia" w:ascii="宋体" w:hAnsi="宋体" w:cs="楷体"/>
                <w:color w:val="auto"/>
                <w:kern w:val="0"/>
                <w:sz w:val="22"/>
                <w:lang w:bidi="ar"/>
              </w:rPr>
              <w:t>标准S3接口，支持通过HTTP或CLI进行管理；</w:t>
            </w:r>
          </w:p>
        </w:tc>
      </w:tr>
      <w:tr>
        <w:tblPrEx>
          <w:tblCellMar>
            <w:top w:w="0" w:type="dxa"/>
            <w:left w:w="108" w:type="dxa"/>
            <w:bottom w:w="0" w:type="dxa"/>
            <w:right w:w="108" w:type="dxa"/>
          </w:tblCellMar>
        </w:tblPrEx>
        <w:trPr>
          <w:trHeight w:val="560" w:hRule="atLeast"/>
        </w:trPr>
        <w:tc>
          <w:tcPr>
            <w:tcW w:w="635"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楷体"/>
                <w:color w:val="auto"/>
                <w:sz w:val="22"/>
              </w:rPr>
            </w:pP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楷体"/>
                <w:color w:val="auto"/>
                <w:sz w:val="22"/>
              </w:rPr>
            </w:pPr>
            <w:r>
              <w:rPr>
                <w:rFonts w:hint="eastAsia" w:ascii="宋体" w:hAnsi="宋体" w:cs="楷体"/>
                <w:color w:val="auto"/>
                <w:kern w:val="0"/>
                <w:sz w:val="22"/>
                <w:lang w:bidi="ar"/>
              </w:rPr>
              <w:t>审计服务</w:t>
            </w:r>
          </w:p>
        </w:tc>
        <w:tc>
          <w:tcPr>
            <w:tcW w:w="361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楷体"/>
                <w:color w:val="auto"/>
                <w:sz w:val="22"/>
              </w:rPr>
            </w:pPr>
            <w:r>
              <w:rPr>
                <w:rFonts w:hint="eastAsia" w:ascii="宋体" w:hAnsi="宋体" w:cs="楷体"/>
                <w:color w:val="auto"/>
                <w:kern w:val="0"/>
                <w:sz w:val="22"/>
                <w:lang w:bidi="ar"/>
              </w:rPr>
              <w:t>可设置审计服务是否开启，可设置审计桶及审计大小；(提供软件截图证明并加盖公章)</w:t>
            </w:r>
          </w:p>
        </w:tc>
      </w:tr>
      <w:tr>
        <w:tblPrEx>
          <w:tblCellMar>
            <w:top w:w="0" w:type="dxa"/>
            <w:left w:w="108" w:type="dxa"/>
            <w:bottom w:w="0" w:type="dxa"/>
            <w:right w:w="108" w:type="dxa"/>
          </w:tblCellMar>
        </w:tblPrEx>
        <w:trPr>
          <w:trHeight w:val="560" w:hRule="atLeast"/>
        </w:trPr>
        <w:tc>
          <w:tcPr>
            <w:tcW w:w="635"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楷体"/>
                <w:color w:val="auto"/>
                <w:sz w:val="22"/>
              </w:rPr>
            </w:pPr>
          </w:p>
        </w:tc>
        <w:tc>
          <w:tcPr>
            <w:tcW w:w="74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楷体"/>
                <w:color w:val="auto"/>
                <w:sz w:val="22"/>
              </w:rPr>
            </w:pPr>
            <w:r>
              <w:rPr>
                <w:rFonts w:hint="eastAsia" w:ascii="宋体" w:hAnsi="宋体" w:cs="楷体"/>
                <w:color w:val="auto"/>
                <w:kern w:val="0"/>
                <w:sz w:val="22"/>
                <w:lang w:bidi="ar"/>
              </w:rPr>
              <w:t>互通访问</w:t>
            </w:r>
          </w:p>
        </w:tc>
        <w:tc>
          <w:tcPr>
            <w:tcW w:w="361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楷体"/>
                <w:color w:val="auto"/>
                <w:sz w:val="22"/>
              </w:rPr>
            </w:pPr>
            <w:r>
              <w:rPr>
                <w:rFonts w:hint="eastAsia" w:ascii="宋体" w:hAnsi="宋体" w:cs="楷体"/>
                <w:color w:val="auto"/>
                <w:kern w:val="0"/>
                <w:sz w:val="22"/>
                <w:lang w:bidi="ar"/>
              </w:rPr>
              <w:t>文件和对象数据可以互通访问，元数据只保存一份，互通访问时性能衰减小于10%；</w:t>
            </w:r>
          </w:p>
        </w:tc>
      </w:tr>
      <w:tr>
        <w:tblPrEx>
          <w:tblCellMar>
            <w:top w:w="0" w:type="dxa"/>
            <w:left w:w="108" w:type="dxa"/>
            <w:bottom w:w="0" w:type="dxa"/>
            <w:right w:w="108" w:type="dxa"/>
          </w:tblCellMar>
        </w:tblPrEx>
        <w:trPr>
          <w:trHeight w:val="280" w:hRule="atLeast"/>
        </w:trPr>
        <w:tc>
          <w:tcPr>
            <w:tcW w:w="635"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楷体"/>
                <w:color w:val="auto"/>
                <w:sz w:val="22"/>
              </w:rPr>
            </w:pPr>
          </w:p>
        </w:tc>
        <w:tc>
          <w:tcPr>
            <w:tcW w:w="74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楷体"/>
                <w:color w:val="auto"/>
                <w:sz w:val="22"/>
              </w:rPr>
            </w:pPr>
          </w:p>
        </w:tc>
        <w:tc>
          <w:tcPr>
            <w:tcW w:w="361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楷体"/>
                <w:color w:val="auto"/>
                <w:sz w:val="22"/>
              </w:rPr>
            </w:pPr>
            <w:r>
              <w:rPr>
                <w:rFonts w:hint="eastAsia" w:ascii="宋体" w:hAnsi="宋体" w:cs="楷体"/>
                <w:color w:val="auto"/>
                <w:kern w:val="0"/>
                <w:sz w:val="22"/>
                <w:lang w:bidi="ar"/>
              </w:rPr>
              <w:t>支持同一个命名空间同时设置文件和对象协议访问方式；(提供软件截图证明并加盖公章)</w:t>
            </w:r>
          </w:p>
        </w:tc>
      </w:tr>
      <w:tr>
        <w:tblPrEx>
          <w:tblCellMar>
            <w:top w:w="0" w:type="dxa"/>
            <w:left w:w="108" w:type="dxa"/>
            <w:bottom w:w="0" w:type="dxa"/>
            <w:right w:w="108" w:type="dxa"/>
          </w:tblCellMar>
        </w:tblPrEx>
        <w:trPr>
          <w:trHeight w:val="280" w:hRule="atLeast"/>
        </w:trPr>
        <w:tc>
          <w:tcPr>
            <w:tcW w:w="635"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楷体"/>
                <w:color w:val="auto"/>
                <w:sz w:val="22"/>
              </w:rPr>
            </w:pPr>
            <w:r>
              <w:rPr>
                <w:rFonts w:hint="eastAsia" w:ascii="宋体" w:hAnsi="宋体" w:cs="楷体"/>
                <w:color w:val="auto"/>
                <w:kern w:val="0"/>
                <w:sz w:val="22"/>
                <w:lang w:bidi="ar"/>
              </w:rPr>
              <w:t>系统管理</w:t>
            </w: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楷体"/>
                <w:color w:val="auto"/>
                <w:sz w:val="22"/>
              </w:rPr>
            </w:pPr>
            <w:r>
              <w:rPr>
                <w:rFonts w:hint="eastAsia" w:ascii="宋体" w:hAnsi="宋体" w:cs="楷体"/>
                <w:color w:val="auto"/>
                <w:kern w:val="0"/>
                <w:sz w:val="22"/>
                <w:lang w:bidi="ar"/>
              </w:rPr>
              <w:t>在线扩展</w:t>
            </w:r>
          </w:p>
        </w:tc>
        <w:tc>
          <w:tcPr>
            <w:tcW w:w="361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楷体"/>
                <w:color w:val="auto"/>
                <w:sz w:val="22"/>
              </w:rPr>
            </w:pPr>
            <w:r>
              <w:rPr>
                <w:rFonts w:hint="eastAsia" w:ascii="宋体" w:hAnsi="宋体" w:cs="楷体"/>
                <w:color w:val="auto"/>
                <w:kern w:val="0"/>
                <w:sz w:val="22"/>
                <w:lang w:bidi="ar"/>
              </w:rPr>
              <w:t>支持对已有目录和对象桶的容量进行扩展，无需数据迁移；</w:t>
            </w:r>
          </w:p>
        </w:tc>
      </w:tr>
      <w:tr>
        <w:tblPrEx>
          <w:tblCellMar>
            <w:top w:w="0" w:type="dxa"/>
            <w:left w:w="108" w:type="dxa"/>
            <w:bottom w:w="0" w:type="dxa"/>
            <w:right w:w="108" w:type="dxa"/>
          </w:tblCellMar>
        </w:tblPrEx>
        <w:trPr>
          <w:trHeight w:val="280" w:hRule="atLeast"/>
        </w:trPr>
        <w:tc>
          <w:tcPr>
            <w:tcW w:w="635"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楷体"/>
                <w:color w:val="auto"/>
                <w:sz w:val="22"/>
              </w:rPr>
            </w:pP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楷体"/>
                <w:color w:val="auto"/>
                <w:sz w:val="22"/>
              </w:rPr>
            </w:pPr>
            <w:r>
              <w:rPr>
                <w:rFonts w:hint="eastAsia" w:ascii="宋体" w:hAnsi="宋体" w:cs="楷体"/>
                <w:color w:val="auto"/>
                <w:kern w:val="0"/>
                <w:sz w:val="22"/>
                <w:lang w:bidi="ar"/>
              </w:rPr>
              <w:t>在线扩容</w:t>
            </w:r>
          </w:p>
        </w:tc>
        <w:tc>
          <w:tcPr>
            <w:tcW w:w="361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楷体"/>
                <w:color w:val="auto"/>
                <w:sz w:val="22"/>
              </w:rPr>
            </w:pPr>
            <w:r>
              <w:rPr>
                <w:rFonts w:hint="eastAsia" w:ascii="宋体" w:hAnsi="宋体" w:cs="楷体"/>
                <w:color w:val="auto"/>
                <w:kern w:val="0"/>
                <w:sz w:val="22"/>
                <w:lang w:bidi="ar"/>
              </w:rPr>
              <w:t>支持通过增加节点的方式，对已有的数据池进行扩容（不得创建新数据池）</w:t>
            </w:r>
          </w:p>
        </w:tc>
      </w:tr>
      <w:tr>
        <w:tblPrEx>
          <w:tblCellMar>
            <w:top w:w="0" w:type="dxa"/>
            <w:left w:w="108" w:type="dxa"/>
            <w:bottom w:w="0" w:type="dxa"/>
            <w:right w:w="108" w:type="dxa"/>
          </w:tblCellMar>
        </w:tblPrEx>
        <w:trPr>
          <w:trHeight w:val="280" w:hRule="atLeast"/>
        </w:trPr>
        <w:tc>
          <w:tcPr>
            <w:tcW w:w="635"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楷体"/>
                <w:color w:val="auto"/>
                <w:sz w:val="22"/>
              </w:rPr>
            </w:pPr>
          </w:p>
        </w:tc>
        <w:tc>
          <w:tcPr>
            <w:tcW w:w="749"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楷体"/>
                <w:color w:val="auto"/>
                <w:sz w:val="22"/>
              </w:rPr>
            </w:pPr>
            <w:r>
              <w:rPr>
                <w:rFonts w:hint="eastAsia" w:ascii="宋体" w:hAnsi="宋体" w:cs="楷体"/>
                <w:color w:val="auto"/>
                <w:kern w:val="0"/>
                <w:sz w:val="22"/>
                <w:lang w:bidi="ar"/>
              </w:rPr>
              <w:t>可扩展性</w:t>
            </w:r>
          </w:p>
        </w:tc>
        <w:tc>
          <w:tcPr>
            <w:tcW w:w="361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楷体"/>
                <w:color w:val="auto"/>
                <w:sz w:val="22"/>
              </w:rPr>
            </w:pPr>
            <w:r>
              <w:rPr>
                <w:rFonts w:hint="eastAsia" w:ascii="宋体" w:hAnsi="宋体" w:cs="楷体"/>
                <w:color w:val="auto"/>
                <w:kern w:val="0"/>
                <w:sz w:val="22"/>
                <w:lang w:bidi="ar"/>
              </w:rPr>
              <w:t xml:space="preserve"> 按需扩展节点数量，扩展时命名空间无需改变；</w:t>
            </w:r>
          </w:p>
        </w:tc>
      </w:tr>
      <w:tr>
        <w:tblPrEx>
          <w:tblCellMar>
            <w:top w:w="0" w:type="dxa"/>
            <w:left w:w="108" w:type="dxa"/>
            <w:bottom w:w="0" w:type="dxa"/>
            <w:right w:w="108" w:type="dxa"/>
          </w:tblCellMar>
        </w:tblPrEx>
        <w:trPr>
          <w:trHeight w:val="560" w:hRule="atLeast"/>
        </w:trPr>
        <w:tc>
          <w:tcPr>
            <w:tcW w:w="635"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楷体"/>
                <w:color w:val="auto"/>
                <w:sz w:val="22"/>
              </w:rPr>
            </w:pPr>
          </w:p>
        </w:tc>
        <w:tc>
          <w:tcPr>
            <w:tcW w:w="749"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楷体"/>
                <w:color w:val="auto"/>
                <w:sz w:val="22"/>
              </w:rPr>
            </w:pPr>
          </w:p>
        </w:tc>
        <w:tc>
          <w:tcPr>
            <w:tcW w:w="361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楷体"/>
                <w:color w:val="auto"/>
                <w:sz w:val="22"/>
              </w:rPr>
            </w:pPr>
            <w:r>
              <w:rPr>
                <w:rFonts w:hint="eastAsia" w:ascii="宋体" w:hAnsi="宋体" w:cs="楷体"/>
                <w:color w:val="auto"/>
                <w:kern w:val="0"/>
                <w:sz w:val="22"/>
                <w:lang w:bidi="ar"/>
              </w:rPr>
              <w:t xml:space="preserve"> SSD盘与HDD盘无配比限制；扩展节点时，可不配置SSD数据盘。 </w:t>
            </w:r>
          </w:p>
        </w:tc>
      </w:tr>
      <w:tr>
        <w:tblPrEx>
          <w:tblCellMar>
            <w:top w:w="0" w:type="dxa"/>
            <w:left w:w="108" w:type="dxa"/>
            <w:bottom w:w="0" w:type="dxa"/>
            <w:right w:w="108" w:type="dxa"/>
          </w:tblCellMar>
        </w:tblPrEx>
        <w:trPr>
          <w:trHeight w:val="560" w:hRule="atLeast"/>
        </w:trPr>
        <w:tc>
          <w:tcPr>
            <w:tcW w:w="635"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楷体"/>
                <w:color w:val="auto"/>
                <w:sz w:val="22"/>
              </w:rPr>
            </w:pP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楷体"/>
                <w:color w:val="auto"/>
                <w:sz w:val="22"/>
              </w:rPr>
            </w:pPr>
            <w:r>
              <w:rPr>
                <w:rFonts w:hint="eastAsia" w:ascii="宋体" w:hAnsi="宋体" w:cs="楷体"/>
                <w:color w:val="auto"/>
                <w:kern w:val="0"/>
                <w:sz w:val="22"/>
                <w:lang w:bidi="ar"/>
              </w:rPr>
              <w:t>管理HA</w:t>
            </w:r>
          </w:p>
        </w:tc>
        <w:tc>
          <w:tcPr>
            <w:tcW w:w="361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楷体"/>
                <w:color w:val="auto"/>
                <w:sz w:val="22"/>
              </w:rPr>
            </w:pPr>
            <w:r>
              <w:rPr>
                <w:rFonts w:hint="eastAsia" w:ascii="宋体" w:hAnsi="宋体" w:cs="楷体"/>
                <w:color w:val="auto"/>
                <w:kern w:val="0"/>
                <w:sz w:val="22"/>
                <w:lang w:bidi="ar"/>
              </w:rPr>
              <w:t>支持管理节点集群方式高可用（不少于3节点），主节点故障时，自动完成主备切换；</w:t>
            </w:r>
          </w:p>
        </w:tc>
      </w:tr>
      <w:tr>
        <w:tblPrEx>
          <w:tblCellMar>
            <w:top w:w="0" w:type="dxa"/>
            <w:left w:w="108" w:type="dxa"/>
            <w:bottom w:w="0" w:type="dxa"/>
            <w:right w:w="108" w:type="dxa"/>
          </w:tblCellMar>
        </w:tblPrEx>
        <w:trPr>
          <w:trHeight w:val="560" w:hRule="atLeast"/>
        </w:trPr>
        <w:tc>
          <w:tcPr>
            <w:tcW w:w="635"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楷体"/>
                <w:color w:val="auto"/>
                <w:sz w:val="22"/>
              </w:rPr>
            </w:pP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楷体"/>
                <w:color w:val="auto"/>
                <w:sz w:val="22"/>
              </w:rPr>
            </w:pPr>
            <w:r>
              <w:rPr>
                <w:rFonts w:hint="eastAsia" w:ascii="宋体" w:hAnsi="宋体" w:cs="楷体"/>
                <w:color w:val="auto"/>
                <w:kern w:val="0"/>
                <w:sz w:val="22"/>
                <w:lang w:bidi="ar"/>
              </w:rPr>
              <w:t>系统监测</w:t>
            </w:r>
          </w:p>
        </w:tc>
        <w:tc>
          <w:tcPr>
            <w:tcW w:w="361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楷体"/>
                <w:color w:val="auto"/>
                <w:sz w:val="22"/>
              </w:rPr>
            </w:pPr>
            <w:r>
              <w:rPr>
                <w:rFonts w:hint="eastAsia" w:ascii="宋体" w:hAnsi="宋体" w:cs="楷体"/>
                <w:color w:val="auto"/>
                <w:kern w:val="0"/>
                <w:sz w:val="22"/>
                <w:lang w:bidi="ar"/>
              </w:rPr>
              <w:t>在同一管理界面内，实时显示存储空间、IOPS、吞吐率、延迟、数据读写、数据修复等关键数据；(提供软件截图证明并加盖公章)</w:t>
            </w:r>
          </w:p>
        </w:tc>
      </w:tr>
      <w:tr>
        <w:tblPrEx>
          <w:tblCellMar>
            <w:top w:w="0" w:type="dxa"/>
            <w:left w:w="108" w:type="dxa"/>
            <w:bottom w:w="0" w:type="dxa"/>
            <w:right w:w="108" w:type="dxa"/>
          </w:tblCellMar>
        </w:tblPrEx>
        <w:trPr>
          <w:trHeight w:val="560" w:hRule="atLeast"/>
        </w:trPr>
        <w:tc>
          <w:tcPr>
            <w:tcW w:w="635"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楷体"/>
                <w:color w:val="auto"/>
                <w:sz w:val="22"/>
              </w:rPr>
            </w:pP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楷体"/>
                <w:color w:val="auto"/>
                <w:sz w:val="22"/>
              </w:rPr>
            </w:pPr>
            <w:r>
              <w:rPr>
                <w:rFonts w:hint="eastAsia" w:ascii="宋体" w:hAnsi="宋体" w:cs="楷体"/>
                <w:color w:val="auto"/>
                <w:kern w:val="0"/>
                <w:sz w:val="22"/>
                <w:lang w:bidi="ar"/>
              </w:rPr>
              <w:t>数据监控</w:t>
            </w:r>
          </w:p>
        </w:tc>
        <w:tc>
          <w:tcPr>
            <w:tcW w:w="361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楷体"/>
                <w:color w:val="auto"/>
                <w:sz w:val="22"/>
              </w:rPr>
            </w:pPr>
            <w:r>
              <w:rPr>
                <w:rFonts w:hint="eastAsia" w:ascii="宋体" w:hAnsi="宋体" w:cs="楷体"/>
                <w:color w:val="auto"/>
                <w:kern w:val="0"/>
                <w:sz w:val="22"/>
                <w:lang w:bidi="ar"/>
              </w:rPr>
              <w:t>管理界面实时显示已存储文件总数量；(提供软件截图证明并加盖公章)</w:t>
            </w:r>
          </w:p>
        </w:tc>
      </w:tr>
      <w:tr>
        <w:tblPrEx>
          <w:tblCellMar>
            <w:top w:w="0" w:type="dxa"/>
            <w:left w:w="108" w:type="dxa"/>
            <w:bottom w:w="0" w:type="dxa"/>
            <w:right w:w="108" w:type="dxa"/>
          </w:tblCellMar>
        </w:tblPrEx>
        <w:trPr>
          <w:trHeight w:val="560" w:hRule="atLeast"/>
        </w:trPr>
        <w:tc>
          <w:tcPr>
            <w:tcW w:w="635"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楷体"/>
                <w:color w:val="auto"/>
                <w:sz w:val="22"/>
              </w:rPr>
            </w:pP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楷体"/>
                <w:color w:val="auto"/>
                <w:sz w:val="22"/>
              </w:rPr>
            </w:pPr>
            <w:r>
              <w:rPr>
                <w:rFonts w:hint="eastAsia" w:ascii="宋体" w:hAnsi="宋体" w:cs="楷体"/>
                <w:color w:val="auto"/>
                <w:kern w:val="0"/>
                <w:sz w:val="22"/>
                <w:lang w:bidi="ar"/>
              </w:rPr>
              <w:t>数据重构</w:t>
            </w:r>
          </w:p>
        </w:tc>
        <w:tc>
          <w:tcPr>
            <w:tcW w:w="361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楷体"/>
                <w:color w:val="auto"/>
                <w:sz w:val="22"/>
              </w:rPr>
            </w:pPr>
            <w:r>
              <w:rPr>
                <w:rFonts w:hint="eastAsia" w:ascii="宋体" w:hAnsi="宋体" w:cs="楷体"/>
                <w:color w:val="auto"/>
                <w:kern w:val="0"/>
                <w:sz w:val="22"/>
                <w:lang w:bidi="ar"/>
              </w:rPr>
              <w:t>可设定自适应速率数据修复策略，即根据业务系统负载大小自动调整数据重构速率，无需手动设置带宽规则；(提供软件截图证明并加盖公章)</w:t>
            </w:r>
          </w:p>
        </w:tc>
      </w:tr>
      <w:tr>
        <w:tblPrEx>
          <w:tblCellMar>
            <w:top w:w="0" w:type="dxa"/>
            <w:left w:w="108" w:type="dxa"/>
            <w:bottom w:w="0" w:type="dxa"/>
            <w:right w:w="108" w:type="dxa"/>
          </w:tblCellMar>
        </w:tblPrEx>
        <w:trPr>
          <w:trHeight w:val="560" w:hRule="atLeast"/>
        </w:trPr>
        <w:tc>
          <w:tcPr>
            <w:tcW w:w="635"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楷体"/>
                <w:color w:val="auto"/>
                <w:sz w:val="22"/>
              </w:rPr>
            </w:pP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楷体"/>
                <w:color w:val="auto"/>
                <w:sz w:val="22"/>
              </w:rPr>
            </w:pPr>
            <w:r>
              <w:rPr>
                <w:rFonts w:hint="eastAsia" w:ascii="宋体" w:hAnsi="宋体" w:cs="楷体"/>
                <w:color w:val="auto"/>
                <w:kern w:val="0"/>
                <w:sz w:val="22"/>
                <w:lang w:bidi="ar"/>
              </w:rPr>
              <w:t>历史性能监控</w:t>
            </w:r>
          </w:p>
        </w:tc>
        <w:tc>
          <w:tcPr>
            <w:tcW w:w="361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楷体"/>
                <w:color w:val="auto"/>
                <w:sz w:val="22"/>
              </w:rPr>
            </w:pPr>
            <w:r>
              <w:rPr>
                <w:rFonts w:hint="eastAsia" w:ascii="宋体" w:hAnsi="宋体" w:cs="楷体"/>
                <w:color w:val="auto"/>
                <w:kern w:val="0"/>
                <w:sz w:val="22"/>
                <w:lang w:bidi="ar"/>
              </w:rPr>
              <w:t>可查询单块硬盘、单节点、单存储池180天内的历史性能监控数据，包括IOPS、吞吐率、I/O大小、数据修复等重要信息；(提供软件截图证明并加盖公章)</w:t>
            </w:r>
          </w:p>
        </w:tc>
      </w:tr>
      <w:tr>
        <w:trPr>
          <w:trHeight w:val="560" w:hRule="atLeast"/>
        </w:trPr>
        <w:tc>
          <w:tcPr>
            <w:tcW w:w="635"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楷体"/>
                <w:color w:val="auto"/>
                <w:sz w:val="22"/>
              </w:rPr>
            </w:pP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楷体"/>
                <w:color w:val="auto"/>
                <w:sz w:val="22"/>
              </w:rPr>
            </w:pPr>
            <w:r>
              <w:rPr>
                <w:rFonts w:hint="eastAsia" w:ascii="宋体" w:hAnsi="宋体" w:cs="楷体"/>
                <w:color w:val="auto"/>
                <w:kern w:val="0"/>
                <w:sz w:val="22"/>
                <w:lang w:bidi="ar"/>
              </w:rPr>
              <w:t>性能自检</w:t>
            </w:r>
          </w:p>
        </w:tc>
        <w:tc>
          <w:tcPr>
            <w:tcW w:w="361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楷体"/>
                <w:color w:val="auto"/>
                <w:sz w:val="22"/>
              </w:rPr>
            </w:pPr>
            <w:r>
              <w:rPr>
                <w:rFonts w:hint="eastAsia" w:ascii="宋体" w:hAnsi="宋体" w:cs="楷体"/>
                <w:color w:val="auto"/>
                <w:kern w:val="0"/>
                <w:sz w:val="22"/>
                <w:lang w:bidi="ar"/>
              </w:rPr>
              <w:t>具有对存储系统功能和性能的一键自检功能，自检参数可手动设置。(提供软件截图证明并加盖公章)</w:t>
            </w:r>
          </w:p>
        </w:tc>
      </w:tr>
      <w:tr>
        <w:trPr>
          <w:trHeight w:val="280" w:hRule="atLeast"/>
        </w:trPr>
        <w:tc>
          <w:tcPr>
            <w:tcW w:w="635"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楷体"/>
                <w:color w:val="auto"/>
                <w:sz w:val="22"/>
              </w:rPr>
            </w:pP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楷体"/>
                <w:color w:val="auto"/>
                <w:sz w:val="22"/>
              </w:rPr>
            </w:pPr>
            <w:r>
              <w:rPr>
                <w:rFonts w:hint="eastAsia" w:ascii="宋体" w:hAnsi="宋体" w:cs="楷体"/>
                <w:color w:val="auto"/>
                <w:kern w:val="0"/>
                <w:sz w:val="22"/>
                <w:lang w:bidi="ar"/>
              </w:rPr>
              <w:t>异步复制</w:t>
            </w:r>
          </w:p>
        </w:tc>
        <w:tc>
          <w:tcPr>
            <w:tcW w:w="361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楷体"/>
                <w:color w:val="auto"/>
                <w:sz w:val="22"/>
              </w:rPr>
            </w:pPr>
            <w:r>
              <w:rPr>
                <w:rFonts w:hint="eastAsia" w:ascii="宋体" w:hAnsi="宋体" w:cs="楷体"/>
                <w:color w:val="auto"/>
                <w:kern w:val="0"/>
                <w:sz w:val="22"/>
                <w:lang w:bidi="ar"/>
              </w:rPr>
              <w:t>具有对异构存储内非结构化数据做异步复制的专用软件模块</w:t>
            </w:r>
          </w:p>
        </w:tc>
      </w:tr>
      <w:tr>
        <w:trPr>
          <w:trHeight w:val="280" w:hRule="atLeast"/>
        </w:trPr>
        <w:tc>
          <w:tcPr>
            <w:tcW w:w="635"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楷体"/>
                <w:color w:val="auto"/>
                <w:sz w:val="22"/>
              </w:rPr>
            </w:pPr>
            <w:r>
              <w:rPr>
                <w:rFonts w:hint="eastAsia" w:ascii="宋体" w:hAnsi="宋体" w:cs="楷体"/>
                <w:color w:val="auto"/>
                <w:sz w:val="22"/>
              </w:rPr>
              <w:t>交换机</w:t>
            </w: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楷体"/>
                <w:color w:val="auto"/>
                <w:kern w:val="0"/>
                <w:sz w:val="22"/>
                <w:lang w:bidi="ar"/>
              </w:rPr>
            </w:pPr>
            <w:r>
              <w:rPr>
                <w:rFonts w:hint="eastAsia" w:ascii="宋体" w:hAnsi="宋体" w:cs="楷体"/>
                <w:color w:val="auto"/>
                <w:kern w:val="0"/>
                <w:sz w:val="22"/>
                <w:lang w:bidi="ar"/>
              </w:rPr>
              <w:t>光纤交换机</w:t>
            </w:r>
          </w:p>
        </w:tc>
        <w:tc>
          <w:tcPr>
            <w:tcW w:w="361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楷体"/>
                <w:color w:val="auto"/>
                <w:kern w:val="0"/>
                <w:sz w:val="22"/>
                <w:lang w:bidi="ar"/>
              </w:rPr>
            </w:pPr>
            <w:r>
              <w:rPr>
                <w:rFonts w:hint="eastAsia" w:ascii="宋体" w:hAnsi="宋体" w:cs="楷体"/>
                <w:color w:val="auto"/>
                <w:kern w:val="0"/>
                <w:sz w:val="22"/>
                <w:lang w:bidi="ar"/>
              </w:rPr>
              <w:t>配置2台24口万兆以太网光纤交换机</w:t>
            </w:r>
          </w:p>
        </w:tc>
      </w:tr>
      <w:tr>
        <w:tblPrEx>
          <w:tblCellMar>
            <w:top w:w="0" w:type="dxa"/>
            <w:left w:w="108" w:type="dxa"/>
            <w:bottom w:w="0" w:type="dxa"/>
            <w:right w:w="108" w:type="dxa"/>
          </w:tblCellMar>
        </w:tblPrEx>
        <w:trPr>
          <w:trHeight w:val="560" w:hRule="atLeast"/>
        </w:trPr>
        <w:tc>
          <w:tcPr>
            <w:tcW w:w="635"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楷体"/>
                <w:color w:val="auto"/>
                <w:kern w:val="0"/>
                <w:sz w:val="22"/>
                <w:lang w:bidi="ar"/>
              </w:rPr>
            </w:pPr>
            <w:r>
              <w:rPr>
                <w:rFonts w:hint="eastAsia" w:ascii="宋体" w:hAnsi="宋体" w:cs="楷体"/>
                <w:color w:val="auto"/>
                <w:kern w:val="0"/>
                <w:sz w:val="22"/>
                <w:lang w:bidi="ar"/>
              </w:rPr>
              <w:t>光模块</w:t>
            </w: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楷体"/>
                <w:color w:val="auto"/>
                <w:kern w:val="0"/>
                <w:sz w:val="22"/>
                <w:lang w:bidi="ar"/>
              </w:rPr>
            </w:pPr>
            <w:r>
              <w:rPr>
                <w:rFonts w:hint="eastAsia" w:ascii="宋体" w:hAnsi="宋体" w:cs="楷体"/>
                <w:color w:val="auto"/>
                <w:kern w:val="0"/>
                <w:sz w:val="22"/>
                <w:lang w:bidi="ar"/>
              </w:rPr>
              <w:t>光纤模块</w:t>
            </w:r>
          </w:p>
        </w:tc>
        <w:tc>
          <w:tcPr>
            <w:tcW w:w="361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楷体"/>
                <w:color w:val="auto"/>
                <w:kern w:val="0"/>
                <w:sz w:val="22"/>
                <w:lang w:bidi="ar"/>
              </w:rPr>
            </w:pPr>
            <w:r>
              <w:rPr>
                <w:rFonts w:hint="eastAsia" w:ascii="宋体" w:hAnsi="宋体" w:cs="楷体"/>
                <w:color w:val="auto"/>
                <w:kern w:val="0"/>
                <w:sz w:val="22"/>
                <w:lang w:bidi="ar"/>
              </w:rPr>
              <w:t>配置</w:t>
            </w:r>
            <w:r>
              <w:rPr>
                <w:rFonts w:ascii="宋体" w:hAnsi="宋体" w:cs="楷体"/>
                <w:color w:val="auto"/>
                <w:kern w:val="0"/>
                <w:sz w:val="22"/>
                <w:lang w:bidi="ar"/>
              </w:rPr>
              <w:t>4</w:t>
            </w:r>
            <w:r>
              <w:rPr>
                <w:rFonts w:hint="eastAsia" w:ascii="宋体" w:hAnsi="宋体" w:cs="楷体"/>
                <w:color w:val="auto"/>
                <w:kern w:val="0"/>
                <w:sz w:val="22"/>
                <w:lang w:bidi="ar"/>
              </w:rPr>
              <w:t>0个SFP+万兆模块（850nm，300m，LC-LC)及相应光纤跳线</w:t>
            </w:r>
          </w:p>
        </w:tc>
      </w:tr>
      <w:tr>
        <w:tblPrEx>
          <w:tblCellMar>
            <w:top w:w="0" w:type="dxa"/>
            <w:left w:w="108" w:type="dxa"/>
            <w:bottom w:w="0" w:type="dxa"/>
            <w:right w:w="108" w:type="dxa"/>
          </w:tblCellMar>
        </w:tblPrEx>
        <w:trPr>
          <w:trHeight w:val="560" w:hRule="atLeast"/>
        </w:trPr>
        <w:tc>
          <w:tcPr>
            <w:tcW w:w="63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楷体"/>
                <w:color w:val="auto"/>
                <w:sz w:val="22"/>
              </w:rPr>
            </w:pPr>
            <w:r>
              <w:rPr>
                <w:rFonts w:hint="eastAsia" w:ascii="宋体" w:hAnsi="宋体" w:cs="楷体"/>
                <w:color w:val="auto"/>
                <w:kern w:val="0"/>
                <w:sz w:val="22"/>
                <w:lang w:bidi="ar"/>
              </w:rPr>
              <w:t>售后服务</w:t>
            </w: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楷体"/>
                <w:color w:val="auto"/>
                <w:sz w:val="22"/>
              </w:rPr>
            </w:pPr>
            <w:r>
              <w:rPr>
                <w:rFonts w:hint="eastAsia" w:ascii="宋体" w:hAnsi="宋体" w:cs="楷体"/>
                <w:color w:val="auto"/>
                <w:kern w:val="0"/>
                <w:sz w:val="22"/>
                <w:lang w:bidi="ar"/>
              </w:rPr>
              <w:t>服务级别</w:t>
            </w:r>
          </w:p>
        </w:tc>
        <w:tc>
          <w:tcPr>
            <w:tcW w:w="361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楷体"/>
                <w:color w:val="auto"/>
                <w:sz w:val="22"/>
              </w:rPr>
            </w:pPr>
            <w:r>
              <w:rPr>
                <w:rFonts w:hint="eastAsia" w:ascii="宋体" w:hAnsi="宋体" w:cs="楷体"/>
                <w:color w:val="auto"/>
                <w:kern w:val="0"/>
                <w:sz w:val="22"/>
                <w:lang w:bidi="ar"/>
              </w:rPr>
              <w:t>提供设备原厂工程师初次现场安装、培训、验收服务，软硬件维保（五年免费维保服务，7x24小时服务，包含每季度巡检服务一次）。</w:t>
            </w:r>
          </w:p>
        </w:tc>
      </w:tr>
    </w:tbl>
    <w:p>
      <w:pPr>
        <w:rPr>
          <w:color w:val="auto"/>
        </w:rPr>
      </w:pPr>
    </w:p>
    <w:p>
      <w:pPr>
        <w:pStyle w:val="31"/>
        <w:keepNext/>
        <w:keepLines/>
        <w:numPr>
          <w:ilvl w:val="0"/>
          <w:numId w:val="4"/>
        </w:numPr>
        <w:spacing w:line="360" w:lineRule="auto"/>
        <w:ind w:firstLineChars="0"/>
        <w:outlineLvl w:val="2"/>
        <w:rPr>
          <w:rFonts w:ascii="宋体" w:hAnsi="宋体" w:cs="宋体"/>
          <w:color w:val="auto"/>
          <w:kern w:val="0"/>
          <w:sz w:val="24"/>
        </w:rPr>
      </w:pPr>
      <w:bookmarkStart w:id="3" w:name="_Toc808790567"/>
      <w:r>
        <w:rPr>
          <w:rFonts w:hint="eastAsia" w:ascii="宋体" w:hAnsi="宋体" w:cs="宋体"/>
          <w:color w:val="auto"/>
          <w:kern w:val="0"/>
          <w:sz w:val="24"/>
        </w:rPr>
        <w:t>虚拟化服务器，数量：5台</w:t>
      </w:r>
      <w:bookmarkEnd w:id="3"/>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3"/>
        <w:gridCol w:w="6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405" w:type="pct"/>
          </w:tcPr>
          <w:p>
            <w:pPr>
              <w:widowControl/>
              <w:jc w:val="center"/>
              <w:rPr>
                <w:rFonts w:eastAsia="微软雅黑"/>
                <w:b/>
                <w:bCs/>
                <w:color w:val="auto"/>
                <w:kern w:val="0"/>
                <w:sz w:val="22"/>
              </w:rPr>
            </w:pPr>
            <w:r>
              <w:rPr>
                <w:rFonts w:eastAsia="微软雅黑"/>
                <w:b/>
                <w:bCs/>
                <w:color w:val="auto"/>
                <w:kern w:val="0"/>
                <w:sz w:val="22"/>
              </w:rPr>
              <w:t>参数项</w:t>
            </w:r>
          </w:p>
        </w:tc>
        <w:tc>
          <w:tcPr>
            <w:tcW w:w="3595" w:type="pct"/>
          </w:tcPr>
          <w:p>
            <w:pPr>
              <w:widowControl/>
              <w:jc w:val="center"/>
              <w:rPr>
                <w:rFonts w:eastAsia="微软雅黑"/>
                <w:b/>
                <w:bCs/>
                <w:color w:val="auto"/>
                <w:kern w:val="0"/>
                <w:sz w:val="22"/>
              </w:rPr>
            </w:pPr>
            <w:r>
              <w:rPr>
                <w:rFonts w:eastAsia="微软雅黑"/>
                <w:b/>
                <w:bCs/>
                <w:color w:val="auto"/>
                <w:kern w:val="0"/>
                <w:sz w:val="22"/>
              </w:rPr>
              <w:t>技术规格要求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405" w:type="pct"/>
          </w:tcPr>
          <w:p>
            <w:pPr>
              <w:widowControl/>
              <w:jc w:val="left"/>
              <w:rPr>
                <w:color w:val="auto"/>
                <w:kern w:val="0"/>
                <w:sz w:val="22"/>
              </w:rPr>
            </w:pPr>
            <w:r>
              <w:rPr>
                <w:color w:val="auto"/>
                <w:kern w:val="0"/>
                <w:sz w:val="22"/>
              </w:rPr>
              <w:t>服务器高度</w:t>
            </w:r>
          </w:p>
        </w:tc>
        <w:tc>
          <w:tcPr>
            <w:tcW w:w="3595" w:type="pct"/>
          </w:tcPr>
          <w:p>
            <w:pPr>
              <w:widowControl/>
              <w:jc w:val="left"/>
              <w:rPr>
                <w:color w:val="auto"/>
                <w:kern w:val="0"/>
                <w:sz w:val="22"/>
              </w:rPr>
            </w:pPr>
            <w:r>
              <w:rPr>
                <w:color w:val="auto"/>
                <w:kern w:val="0"/>
                <w:sz w:val="22"/>
              </w:rPr>
              <w:t>机架式，≤4U，标配原厂导轨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405" w:type="pct"/>
          </w:tcPr>
          <w:p>
            <w:pPr>
              <w:widowControl/>
              <w:jc w:val="left"/>
              <w:rPr>
                <w:color w:val="auto"/>
                <w:kern w:val="0"/>
                <w:sz w:val="22"/>
              </w:rPr>
            </w:pPr>
            <w:r>
              <w:rPr>
                <w:color w:val="auto"/>
                <w:kern w:val="0"/>
                <w:sz w:val="22"/>
              </w:rPr>
              <w:t>CPU实配规格</w:t>
            </w:r>
          </w:p>
        </w:tc>
        <w:tc>
          <w:tcPr>
            <w:tcW w:w="3595" w:type="pct"/>
          </w:tcPr>
          <w:p>
            <w:pPr>
              <w:widowControl/>
              <w:jc w:val="left"/>
              <w:rPr>
                <w:color w:val="auto"/>
                <w:kern w:val="0"/>
                <w:sz w:val="22"/>
              </w:rPr>
            </w:pPr>
            <w:r>
              <w:rPr>
                <w:color w:val="auto"/>
                <w:kern w:val="0"/>
                <w:sz w:val="22"/>
              </w:rPr>
              <w:t>≥4颗</w:t>
            </w:r>
            <w:r>
              <w:rPr>
                <w:rFonts w:hint="eastAsia"/>
                <w:color w:val="auto"/>
                <w:kern w:val="0"/>
                <w:sz w:val="22"/>
              </w:rPr>
              <w:t xml:space="preserve"> 2.5GHz/18核/24.75MB/150W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405" w:type="pct"/>
          </w:tcPr>
          <w:p>
            <w:pPr>
              <w:widowControl/>
              <w:jc w:val="left"/>
              <w:rPr>
                <w:color w:val="auto"/>
                <w:kern w:val="0"/>
                <w:sz w:val="22"/>
              </w:rPr>
            </w:pPr>
            <w:r>
              <w:rPr>
                <w:color w:val="auto"/>
                <w:kern w:val="0"/>
                <w:sz w:val="22"/>
              </w:rPr>
              <w:t>内存实配规格</w:t>
            </w:r>
          </w:p>
        </w:tc>
        <w:tc>
          <w:tcPr>
            <w:tcW w:w="3595" w:type="pct"/>
          </w:tcPr>
          <w:p>
            <w:pPr>
              <w:widowControl/>
              <w:jc w:val="left"/>
              <w:rPr>
                <w:color w:val="auto"/>
                <w:kern w:val="0"/>
                <w:sz w:val="22"/>
              </w:rPr>
            </w:pPr>
            <w:r>
              <w:rPr>
                <w:color w:val="auto"/>
                <w:kern w:val="0"/>
                <w:sz w:val="22"/>
              </w:rPr>
              <w:t>≥512GB DDR4 3200内存模块</w:t>
            </w:r>
            <w:r>
              <w:rPr>
                <w:rFonts w:hint="eastAsia"/>
                <w:color w:val="auto"/>
                <w:kern w:val="0"/>
                <w:sz w:val="22"/>
              </w:rPr>
              <w:t>，</w:t>
            </w:r>
            <w:r>
              <w:rPr>
                <w:rFonts w:hint="eastAsia" w:ascii="微软雅黑" w:hAnsi="微软雅黑" w:eastAsia="微软雅黑"/>
                <w:color w:val="auto"/>
                <w:kern w:val="0"/>
                <w:sz w:val="20"/>
                <w:szCs w:val="20"/>
              </w:rPr>
              <w:t>支持扩展≥32个DIMM槽位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405" w:type="pct"/>
          </w:tcPr>
          <w:p>
            <w:pPr>
              <w:widowControl/>
              <w:jc w:val="left"/>
              <w:rPr>
                <w:color w:val="auto"/>
                <w:kern w:val="0"/>
                <w:sz w:val="22"/>
              </w:rPr>
            </w:pPr>
            <w:r>
              <w:rPr>
                <w:color w:val="auto"/>
                <w:kern w:val="0"/>
                <w:sz w:val="22"/>
              </w:rPr>
              <w:t>内存可扩展数量</w:t>
            </w:r>
          </w:p>
        </w:tc>
        <w:tc>
          <w:tcPr>
            <w:tcW w:w="3595" w:type="pct"/>
          </w:tcPr>
          <w:p>
            <w:pPr>
              <w:widowControl/>
              <w:jc w:val="left"/>
              <w:rPr>
                <w:color w:val="auto"/>
                <w:kern w:val="0"/>
                <w:sz w:val="22"/>
              </w:rPr>
            </w:pPr>
            <w:r>
              <w:rPr>
                <w:color w:val="auto"/>
                <w:kern w:val="0"/>
                <w:sz w:val="22"/>
              </w:rPr>
              <w:t>本地提供≥48个内存槽位，最大支持18TB物理内存，12TB有效内存，支持24个Intel PMem 200数据中心级持久内存，单条 128/256/512GB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405" w:type="pct"/>
          </w:tcPr>
          <w:p>
            <w:pPr>
              <w:widowControl/>
              <w:jc w:val="left"/>
              <w:rPr>
                <w:color w:val="auto"/>
                <w:kern w:val="0"/>
                <w:sz w:val="22"/>
              </w:rPr>
            </w:pPr>
            <w:r>
              <w:rPr>
                <w:color w:val="auto"/>
                <w:kern w:val="0"/>
                <w:sz w:val="22"/>
              </w:rPr>
              <w:t>硬盘实配规格</w:t>
            </w:r>
          </w:p>
        </w:tc>
        <w:tc>
          <w:tcPr>
            <w:tcW w:w="3595" w:type="pct"/>
          </w:tcPr>
          <w:p>
            <w:pPr>
              <w:widowControl/>
              <w:jc w:val="left"/>
              <w:rPr>
                <w:color w:val="auto"/>
                <w:kern w:val="0"/>
                <w:sz w:val="22"/>
              </w:rPr>
            </w:pPr>
            <w:r>
              <w:rPr>
                <w:color w:val="auto"/>
                <w:kern w:val="0"/>
                <w:sz w:val="22"/>
              </w:rPr>
              <w:t>≥</w:t>
            </w:r>
            <w:r>
              <w:rPr>
                <w:rFonts w:hint="eastAsia"/>
                <w:color w:val="auto"/>
                <w:kern w:val="0"/>
                <w:sz w:val="22"/>
              </w:rPr>
              <w:t>2块480GB SSD，</w:t>
            </w:r>
            <w:r>
              <w:rPr>
                <w:color w:val="auto"/>
                <w:kern w:val="0"/>
                <w:sz w:val="22"/>
              </w:rPr>
              <w:t>≥</w:t>
            </w:r>
            <w:r>
              <w:rPr>
                <w:rFonts w:hint="eastAsia"/>
                <w:color w:val="auto"/>
                <w:kern w:val="0"/>
                <w:sz w:val="22"/>
              </w:rPr>
              <w:t>2块3.2TB NVMe SSD，</w:t>
            </w:r>
            <w:r>
              <w:rPr>
                <w:color w:val="auto"/>
                <w:kern w:val="0"/>
                <w:sz w:val="22"/>
              </w:rPr>
              <w:t>≥4</w:t>
            </w:r>
            <w:r>
              <w:rPr>
                <w:rFonts w:hint="eastAsia"/>
                <w:color w:val="auto"/>
                <w:kern w:val="0"/>
                <w:sz w:val="22"/>
              </w:rPr>
              <w:t>块2.4TB 10K SAS HDD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405" w:type="pct"/>
          </w:tcPr>
          <w:p>
            <w:pPr>
              <w:widowControl/>
              <w:jc w:val="left"/>
              <w:rPr>
                <w:color w:val="auto"/>
                <w:kern w:val="0"/>
                <w:sz w:val="22"/>
              </w:rPr>
            </w:pPr>
            <w:r>
              <w:rPr>
                <w:color w:val="auto"/>
                <w:kern w:val="0"/>
                <w:sz w:val="22"/>
              </w:rPr>
              <w:t>内置硬盘扩展</w:t>
            </w:r>
          </w:p>
        </w:tc>
        <w:tc>
          <w:tcPr>
            <w:tcW w:w="3595" w:type="pct"/>
          </w:tcPr>
          <w:p>
            <w:pPr>
              <w:widowControl/>
              <w:jc w:val="left"/>
              <w:rPr>
                <w:color w:val="auto"/>
                <w:kern w:val="0"/>
                <w:sz w:val="22"/>
              </w:rPr>
            </w:pPr>
            <w:r>
              <w:rPr>
                <w:color w:val="auto"/>
                <w:kern w:val="0"/>
                <w:sz w:val="22"/>
              </w:rPr>
              <w:t>本地提供≥8个2.5寸硬盘槽位，支持≥50块2.5寸热插拔硬盘；</w:t>
            </w:r>
            <w:r>
              <w:rPr>
                <w:rFonts w:hint="eastAsia"/>
                <w:color w:val="auto"/>
                <w:kern w:val="0"/>
                <w:sz w:val="22"/>
              </w:rPr>
              <w:t>配置NVMe时，支持</w:t>
            </w:r>
            <w:r>
              <w:rPr>
                <w:color w:val="auto"/>
                <w:kern w:val="0"/>
                <w:sz w:val="22"/>
              </w:rPr>
              <w:t>≥24个前置2.5寸可热插拔NVMe PCIe SSD硬盘，提供</w:t>
            </w:r>
            <w:r>
              <w:rPr>
                <w:rFonts w:hint="eastAsia"/>
                <w:color w:val="auto"/>
                <w:kern w:val="0"/>
                <w:sz w:val="22"/>
              </w:rPr>
              <w:t>官网</w:t>
            </w:r>
            <w:r>
              <w:rPr>
                <w:color w:val="auto"/>
                <w:kern w:val="0"/>
                <w:sz w:val="22"/>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405" w:type="pct"/>
          </w:tcPr>
          <w:p>
            <w:pPr>
              <w:widowControl/>
              <w:jc w:val="left"/>
              <w:rPr>
                <w:color w:val="auto"/>
                <w:kern w:val="0"/>
                <w:sz w:val="22"/>
              </w:rPr>
            </w:pPr>
            <w:r>
              <w:rPr>
                <w:color w:val="auto"/>
                <w:kern w:val="0"/>
                <w:sz w:val="22"/>
              </w:rPr>
              <w:t>阵列控制器</w:t>
            </w:r>
          </w:p>
        </w:tc>
        <w:tc>
          <w:tcPr>
            <w:tcW w:w="3595" w:type="pct"/>
          </w:tcPr>
          <w:p>
            <w:pPr>
              <w:widowControl/>
              <w:jc w:val="left"/>
              <w:rPr>
                <w:color w:val="auto"/>
                <w:kern w:val="0"/>
                <w:sz w:val="22"/>
              </w:rPr>
            </w:pPr>
            <w:r>
              <w:rPr>
                <w:color w:val="auto"/>
                <w:kern w:val="0"/>
                <w:sz w:val="22"/>
              </w:rPr>
              <w:t>≥2个阵列卡，配置12Gbps SAS磁盘阵列控制器，支持Raid0/1/10/5/50/6/60；≥</w:t>
            </w:r>
            <w:r>
              <w:rPr>
                <w:rFonts w:hint="eastAsia"/>
                <w:color w:val="auto"/>
                <w:kern w:val="0"/>
                <w:sz w:val="22"/>
              </w:rPr>
              <w:t>2GB缓存阵列卡（含掉电保护）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405" w:type="pct"/>
          </w:tcPr>
          <w:p>
            <w:pPr>
              <w:widowControl/>
              <w:jc w:val="left"/>
              <w:rPr>
                <w:color w:val="auto"/>
                <w:kern w:val="0"/>
                <w:sz w:val="22"/>
              </w:rPr>
            </w:pPr>
            <w:r>
              <w:rPr>
                <w:color w:val="auto"/>
                <w:kern w:val="0"/>
                <w:sz w:val="22"/>
              </w:rPr>
              <w:t>IO扩展插槽</w:t>
            </w:r>
          </w:p>
        </w:tc>
        <w:tc>
          <w:tcPr>
            <w:tcW w:w="3595" w:type="pct"/>
          </w:tcPr>
          <w:p>
            <w:pPr>
              <w:widowControl/>
              <w:jc w:val="left"/>
              <w:rPr>
                <w:color w:val="auto"/>
                <w:kern w:val="0"/>
                <w:sz w:val="22"/>
              </w:rPr>
            </w:pPr>
            <w:r>
              <w:rPr>
                <w:color w:val="auto"/>
                <w:kern w:val="0"/>
                <w:sz w:val="22"/>
              </w:rPr>
              <w:t>≥6个PCI-e 3.0全高插槽，可扩展至≥18个全高标准PCI-e插槽，提供</w:t>
            </w:r>
            <w:r>
              <w:rPr>
                <w:rFonts w:hint="eastAsia"/>
                <w:color w:val="auto"/>
                <w:kern w:val="0"/>
                <w:sz w:val="22"/>
              </w:rPr>
              <w:t>官网</w:t>
            </w:r>
            <w:r>
              <w:rPr>
                <w:color w:val="auto"/>
                <w:kern w:val="0"/>
                <w:sz w:val="22"/>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405" w:type="pct"/>
          </w:tcPr>
          <w:p>
            <w:pPr>
              <w:widowControl/>
              <w:jc w:val="left"/>
              <w:rPr>
                <w:color w:val="auto"/>
                <w:kern w:val="0"/>
                <w:sz w:val="22"/>
              </w:rPr>
            </w:pPr>
            <w:r>
              <w:rPr>
                <w:color w:val="auto"/>
                <w:kern w:val="0"/>
                <w:sz w:val="22"/>
              </w:rPr>
              <w:t>网卡</w:t>
            </w:r>
          </w:p>
        </w:tc>
        <w:tc>
          <w:tcPr>
            <w:tcW w:w="3595" w:type="pct"/>
          </w:tcPr>
          <w:p>
            <w:pPr>
              <w:widowControl/>
              <w:jc w:val="left"/>
              <w:rPr>
                <w:color w:val="auto"/>
                <w:kern w:val="0"/>
                <w:sz w:val="22"/>
              </w:rPr>
            </w:pPr>
            <w:r>
              <w:rPr>
                <w:color w:val="auto"/>
                <w:kern w:val="0"/>
                <w:sz w:val="22"/>
              </w:rPr>
              <w:t>可选基于标准PCIe插槽的网络适配器，支持1/10/25/40/100 GE网卡，IB卡；本次配置≥</w:t>
            </w:r>
            <w:r>
              <w:rPr>
                <w:rFonts w:hint="eastAsia"/>
                <w:color w:val="auto"/>
                <w:kern w:val="0"/>
                <w:sz w:val="22"/>
              </w:rPr>
              <w:t>2块2端口万兆网卡（含模块），</w:t>
            </w:r>
            <w:r>
              <w:rPr>
                <w:color w:val="auto"/>
                <w:kern w:val="0"/>
                <w:sz w:val="22"/>
              </w:rPr>
              <w:t>≥</w:t>
            </w:r>
            <w:r>
              <w:rPr>
                <w:rFonts w:hint="eastAsia"/>
                <w:color w:val="auto"/>
                <w:kern w:val="0"/>
                <w:sz w:val="22"/>
              </w:rPr>
              <w:t>2块单端口32GB FC HBA卡（含模块）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405" w:type="pct"/>
          </w:tcPr>
          <w:p>
            <w:pPr>
              <w:widowControl/>
              <w:jc w:val="left"/>
              <w:rPr>
                <w:color w:val="auto"/>
                <w:kern w:val="0"/>
                <w:sz w:val="22"/>
              </w:rPr>
            </w:pPr>
            <w:r>
              <w:rPr>
                <w:color w:val="auto"/>
                <w:kern w:val="0"/>
                <w:sz w:val="22"/>
              </w:rPr>
              <w:t>冗余电源</w:t>
            </w:r>
          </w:p>
        </w:tc>
        <w:tc>
          <w:tcPr>
            <w:tcW w:w="3595" w:type="pct"/>
          </w:tcPr>
          <w:p>
            <w:pPr>
              <w:widowControl/>
              <w:jc w:val="left"/>
              <w:rPr>
                <w:color w:val="auto"/>
                <w:kern w:val="0"/>
                <w:sz w:val="22"/>
              </w:rPr>
            </w:pPr>
            <w:r>
              <w:rPr>
                <w:color w:val="auto"/>
                <w:kern w:val="0"/>
                <w:sz w:val="22"/>
              </w:rPr>
              <w:t>≥4个1600W热插拔冗余电源；支持1+1/N+N冗余；支持240VDC，380VDC，48VDC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405" w:type="pct"/>
          </w:tcPr>
          <w:p>
            <w:pPr>
              <w:widowControl/>
              <w:jc w:val="left"/>
              <w:rPr>
                <w:color w:val="auto"/>
                <w:kern w:val="0"/>
                <w:sz w:val="22"/>
              </w:rPr>
            </w:pPr>
            <w:r>
              <w:rPr>
                <w:color w:val="auto"/>
                <w:kern w:val="0"/>
                <w:sz w:val="22"/>
              </w:rPr>
              <w:t>冗余风扇</w:t>
            </w:r>
          </w:p>
        </w:tc>
        <w:tc>
          <w:tcPr>
            <w:tcW w:w="3595" w:type="pct"/>
          </w:tcPr>
          <w:p>
            <w:pPr>
              <w:widowControl/>
              <w:jc w:val="left"/>
              <w:rPr>
                <w:color w:val="auto"/>
                <w:kern w:val="0"/>
                <w:sz w:val="22"/>
              </w:rPr>
            </w:pPr>
            <w:r>
              <w:rPr>
                <w:color w:val="auto"/>
                <w:kern w:val="0"/>
                <w:sz w:val="22"/>
              </w:rPr>
              <w:t>热插拔冗余风扇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405" w:type="pct"/>
          </w:tcPr>
          <w:p>
            <w:pPr>
              <w:widowControl/>
              <w:jc w:val="left"/>
              <w:rPr>
                <w:color w:val="auto"/>
                <w:kern w:val="0"/>
                <w:sz w:val="22"/>
              </w:rPr>
            </w:pPr>
            <w:r>
              <w:rPr>
                <w:color w:val="auto"/>
                <w:kern w:val="0"/>
                <w:sz w:val="22"/>
              </w:rPr>
              <w:t>工作温度</w:t>
            </w:r>
          </w:p>
        </w:tc>
        <w:tc>
          <w:tcPr>
            <w:tcW w:w="3595" w:type="pct"/>
          </w:tcPr>
          <w:p>
            <w:pPr>
              <w:widowControl/>
              <w:jc w:val="left"/>
              <w:rPr>
                <w:color w:val="auto"/>
                <w:kern w:val="0"/>
                <w:sz w:val="22"/>
              </w:rPr>
            </w:pPr>
            <w:r>
              <w:rPr>
                <w:color w:val="auto"/>
                <w:kern w:val="0"/>
                <w:sz w:val="22"/>
              </w:rPr>
              <w:t xml:space="preserve">5℃～45℃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405" w:type="pct"/>
          </w:tcPr>
          <w:p>
            <w:pPr>
              <w:widowControl/>
              <w:jc w:val="left"/>
              <w:rPr>
                <w:color w:val="auto"/>
                <w:kern w:val="0"/>
                <w:sz w:val="22"/>
              </w:rPr>
            </w:pPr>
            <w:r>
              <w:rPr>
                <w:color w:val="auto"/>
                <w:kern w:val="0"/>
                <w:sz w:val="22"/>
              </w:rPr>
              <w:t>远程管理功能</w:t>
            </w:r>
          </w:p>
        </w:tc>
        <w:tc>
          <w:tcPr>
            <w:tcW w:w="3595" w:type="pct"/>
          </w:tcPr>
          <w:p>
            <w:pPr>
              <w:widowControl/>
              <w:jc w:val="left"/>
              <w:rPr>
                <w:color w:val="auto"/>
                <w:kern w:val="0"/>
                <w:sz w:val="22"/>
              </w:rPr>
            </w:pPr>
            <w:r>
              <w:rPr>
                <w:color w:val="auto"/>
                <w:kern w:val="0"/>
                <w:sz w:val="22"/>
              </w:rPr>
              <w:t>配置≥1个1Gb独立的远程管理控制端口，配置虚拟KVM功能, 可实现与操作系统无关的远程对服务器的完全控制，包括远程的开机、关机、重启、更新Firmware、虚拟软驱、虚拟光驱、虚拟文件夹等操作，提供服务器健康日记、服务器控制台录屏/回放功能，能够提供电源监控，可支持动态功率封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405" w:type="pct"/>
          </w:tcPr>
          <w:p>
            <w:pPr>
              <w:widowControl/>
              <w:jc w:val="left"/>
              <w:rPr>
                <w:color w:val="auto"/>
                <w:kern w:val="0"/>
                <w:sz w:val="22"/>
              </w:rPr>
            </w:pPr>
            <w:r>
              <w:rPr>
                <w:color w:val="auto"/>
                <w:kern w:val="0"/>
                <w:sz w:val="22"/>
              </w:rPr>
              <w:t>安全性</w:t>
            </w:r>
          </w:p>
        </w:tc>
        <w:tc>
          <w:tcPr>
            <w:tcW w:w="3595" w:type="pct"/>
          </w:tcPr>
          <w:p>
            <w:pPr>
              <w:widowControl/>
              <w:jc w:val="left"/>
              <w:rPr>
                <w:color w:val="auto"/>
                <w:kern w:val="0"/>
                <w:sz w:val="22"/>
              </w:rPr>
            </w:pPr>
            <w:r>
              <w:rPr>
                <w:color w:val="auto"/>
                <w:kern w:val="0"/>
                <w:sz w:val="22"/>
              </w:rPr>
              <w:t>支持安全机箱，TCM/TPM安全模块，可选可信硅根固件保护模块，双因素认证；可选配置PCIe安全防护模块，提供防火墙、IPS、防病毒和QoS等安全防护功能，提供</w:t>
            </w:r>
            <w:r>
              <w:rPr>
                <w:rFonts w:hint="eastAsia"/>
                <w:color w:val="auto"/>
                <w:kern w:val="0"/>
                <w:sz w:val="22"/>
              </w:rPr>
              <w:t>官网</w:t>
            </w:r>
            <w:r>
              <w:rPr>
                <w:color w:val="auto"/>
                <w:kern w:val="0"/>
                <w:sz w:val="22"/>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405" w:type="pct"/>
          </w:tcPr>
          <w:p>
            <w:pPr>
              <w:widowControl/>
              <w:jc w:val="left"/>
              <w:rPr>
                <w:color w:val="auto"/>
                <w:kern w:val="0"/>
                <w:sz w:val="22"/>
              </w:rPr>
            </w:pPr>
            <w:r>
              <w:rPr>
                <w:color w:val="auto"/>
                <w:kern w:val="0"/>
                <w:sz w:val="22"/>
              </w:rPr>
              <w:t>售后服务</w:t>
            </w:r>
          </w:p>
        </w:tc>
        <w:tc>
          <w:tcPr>
            <w:tcW w:w="3595" w:type="pct"/>
          </w:tcPr>
          <w:p>
            <w:pPr>
              <w:widowControl/>
              <w:jc w:val="left"/>
              <w:rPr>
                <w:color w:val="auto"/>
                <w:kern w:val="0"/>
                <w:sz w:val="22"/>
              </w:rPr>
            </w:pPr>
            <w:r>
              <w:rPr>
                <w:rFonts w:hint="eastAsia"/>
                <w:color w:val="auto"/>
                <w:kern w:val="0"/>
                <w:sz w:val="22"/>
              </w:rPr>
              <w:t>5年7*24维保</w:t>
            </w:r>
            <w:r>
              <w:rPr>
                <w:color w:val="auto"/>
                <w:kern w:val="0"/>
                <w:sz w:val="22"/>
              </w:rPr>
              <w:t>，包含首次上门安装服务</w:t>
            </w:r>
          </w:p>
        </w:tc>
      </w:tr>
    </w:tbl>
    <w:p>
      <w:pPr>
        <w:pStyle w:val="31"/>
        <w:keepNext/>
        <w:keepLines/>
        <w:numPr>
          <w:ilvl w:val="0"/>
          <w:numId w:val="4"/>
        </w:numPr>
        <w:spacing w:line="360" w:lineRule="auto"/>
        <w:ind w:firstLineChars="0"/>
        <w:outlineLvl w:val="2"/>
        <w:rPr>
          <w:rFonts w:ascii="宋体" w:hAnsi="宋体" w:cs="宋体"/>
          <w:color w:val="auto"/>
          <w:kern w:val="0"/>
          <w:sz w:val="24"/>
        </w:rPr>
      </w:pPr>
      <w:bookmarkStart w:id="4" w:name="_Toc2075196359"/>
      <w:r>
        <w:rPr>
          <w:rFonts w:hint="eastAsia" w:ascii="宋体" w:hAnsi="宋体" w:cs="宋体"/>
          <w:color w:val="auto"/>
          <w:kern w:val="0"/>
          <w:sz w:val="24"/>
        </w:rPr>
        <w:t>高性能计算管理服务器，数量：1台</w:t>
      </w:r>
      <w:bookmarkEnd w:id="4"/>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7"/>
        <w:gridCol w:w="6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405" w:type="dxa"/>
          </w:tcPr>
          <w:p>
            <w:pPr>
              <w:widowControl/>
              <w:jc w:val="left"/>
              <w:rPr>
                <w:color w:val="auto"/>
                <w:kern w:val="0"/>
                <w:sz w:val="22"/>
              </w:rPr>
            </w:pPr>
            <w:bookmarkStart w:id="5" w:name="_Toc543294786"/>
            <w:r>
              <w:rPr>
                <w:rFonts w:hint="eastAsia"/>
                <w:color w:val="auto"/>
                <w:kern w:val="0"/>
                <w:sz w:val="22"/>
              </w:rPr>
              <w:t>指标项</w:t>
            </w:r>
          </w:p>
        </w:tc>
        <w:tc>
          <w:tcPr>
            <w:tcW w:w="6521" w:type="dxa"/>
          </w:tcPr>
          <w:p>
            <w:pPr>
              <w:widowControl/>
              <w:jc w:val="left"/>
              <w:rPr>
                <w:color w:val="auto"/>
                <w:kern w:val="0"/>
                <w:sz w:val="22"/>
              </w:rPr>
            </w:pPr>
            <w:r>
              <w:rPr>
                <w:rFonts w:hint="eastAsia"/>
                <w:color w:val="auto"/>
                <w:kern w:val="0"/>
                <w:sz w:val="22"/>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7" w:hRule="atLeast"/>
        </w:trPr>
        <w:tc>
          <w:tcPr>
            <w:tcW w:w="2405" w:type="dxa"/>
          </w:tcPr>
          <w:p>
            <w:pPr>
              <w:widowControl/>
              <w:jc w:val="left"/>
              <w:rPr>
                <w:color w:val="auto"/>
                <w:kern w:val="0"/>
                <w:sz w:val="22"/>
              </w:rPr>
            </w:pPr>
            <w:r>
              <w:rPr>
                <w:rFonts w:hint="eastAsia"/>
                <w:color w:val="auto"/>
                <w:kern w:val="0"/>
                <w:sz w:val="22"/>
              </w:rPr>
              <w:t>外观要求</w:t>
            </w:r>
          </w:p>
        </w:tc>
        <w:tc>
          <w:tcPr>
            <w:tcW w:w="6521" w:type="dxa"/>
          </w:tcPr>
          <w:p>
            <w:pPr>
              <w:widowControl/>
              <w:jc w:val="left"/>
              <w:rPr>
                <w:color w:val="auto"/>
                <w:kern w:val="0"/>
                <w:sz w:val="22"/>
              </w:rPr>
            </w:pPr>
            <w:r>
              <w:rPr>
                <w:rFonts w:hint="eastAsia"/>
                <w:color w:val="auto"/>
                <w:kern w:val="0"/>
                <w:sz w:val="22"/>
              </w:rPr>
              <w:t>至少2</w:t>
            </w:r>
            <w:r>
              <w:rPr>
                <w:color w:val="auto"/>
                <w:kern w:val="0"/>
                <w:sz w:val="22"/>
              </w:rPr>
              <w:t>U</w:t>
            </w:r>
            <w:r>
              <w:rPr>
                <w:rFonts w:hint="eastAsia"/>
                <w:color w:val="auto"/>
                <w:kern w:val="0"/>
                <w:sz w:val="22"/>
              </w:rPr>
              <w:t>，机架式服务器，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8" w:hRule="atLeast"/>
        </w:trPr>
        <w:tc>
          <w:tcPr>
            <w:tcW w:w="2405" w:type="dxa"/>
          </w:tcPr>
          <w:p>
            <w:pPr>
              <w:widowControl/>
              <w:jc w:val="left"/>
              <w:rPr>
                <w:color w:val="auto"/>
                <w:kern w:val="0"/>
                <w:sz w:val="22"/>
              </w:rPr>
            </w:pPr>
            <w:r>
              <w:rPr>
                <w:rFonts w:hint="eastAsia"/>
                <w:color w:val="auto"/>
                <w:kern w:val="0"/>
                <w:sz w:val="22"/>
              </w:rPr>
              <w:t>CPU</w:t>
            </w:r>
          </w:p>
        </w:tc>
        <w:tc>
          <w:tcPr>
            <w:tcW w:w="6521" w:type="dxa"/>
          </w:tcPr>
          <w:p>
            <w:pPr>
              <w:widowControl/>
              <w:jc w:val="left"/>
              <w:rPr>
                <w:color w:val="auto"/>
                <w:kern w:val="0"/>
                <w:sz w:val="22"/>
              </w:rPr>
            </w:pPr>
            <w:r>
              <w:rPr>
                <w:color w:val="auto"/>
                <w:kern w:val="0"/>
                <w:sz w:val="22"/>
              </w:rPr>
              <w:t>≥</w:t>
            </w:r>
            <w:r>
              <w:rPr>
                <w:rFonts w:hint="eastAsia"/>
                <w:color w:val="auto"/>
                <w:kern w:val="0"/>
                <w:sz w:val="22"/>
              </w:rPr>
              <w:t xml:space="preserve">2颗， </w:t>
            </w:r>
            <w:r>
              <w:rPr>
                <w:color w:val="auto"/>
                <w:kern w:val="0"/>
                <w:sz w:val="22"/>
              </w:rPr>
              <w:t>2.75GHz</w:t>
            </w:r>
            <w:r>
              <w:rPr>
                <w:rFonts w:hint="eastAsia"/>
                <w:color w:val="auto"/>
                <w:kern w:val="0"/>
                <w:sz w:val="22"/>
              </w:rPr>
              <w:t>/</w:t>
            </w:r>
            <w:r>
              <w:rPr>
                <w:color w:val="auto"/>
                <w:kern w:val="0"/>
                <w:sz w:val="22"/>
              </w:rPr>
              <w:t>28C/64M</w:t>
            </w:r>
            <w:r>
              <w:rPr>
                <w:rFonts w:hint="eastAsia"/>
                <w:color w:val="auto"/>
                <w:kern w:val="0"/>
                <w:sz w:val="22"/>
              </w:rPr>
              <w:t>缓存x</w:t>
            </w:r>
            <w:r>
              <w:rPr>
                <w:color w:val="auto"/>
                <w:kern w:val="0"/>
                <w:sz w:val="22"/>
              </w:rPr>
              <w:t>86</w:t>
            </w:r>
            <w:r>
              <w:rPr>
                <w:rFonts w:hint="eastAsia"/>
                <w:color w:val="auto"/>
                <w:kern w:val="0"/>
                <w:sz w:val="22"/>
              </w:rPr>
              <w:t>处理器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8" w:hRule="atLeast"/>
        </w:trPr>
        <w:tc>
          <w:tcPr>
            <w:tcW w:w="2405" w:type="dxa"/>
          </w:tcPr>
          <w:p>
            <w:pPr>
              <w:widowControl/>
              <w:jc w:val="left"/>
              <w:rPr>
                <w:color w:val="auto"/>
                <w:kern w:val="0"/>
                <w:sz w:val="22"/>
              </w:rPr>
            </w:pPr>
            <w:r>
              <w:rPr>
                <w:rFonts w:hint="eastAsia"/>
                <w:color w:val="auto"/>
                <w:kern w:val="0"/>
                <w:sz w:val="22"/>
              </w:rPr>
              <w:t>内存</w:t>
            </w:r>
          </w:p>
        </w:tc>
        <w:tc>
          <w:tcPr>
            <w:tcW w:w="6521" w:type="dxa"/>
          </w:tcPr>
          <w:p>
            <w:pPr>
              <w:widowControl/>
              <w:jc w:val="left"/>
              <w:rPr>
                <w:color w:val="auto"/>
                <w:kern w:val="0"/>
                <w:sz w:val="22"/>
              </w:rPr>
            </w:pPr>
            <w:r>
              <w:rPr>
                <w:color w:val="auto"/>
                <w:kern w:val="0"/>
                <w:sz w:val="22"/>
              </w:rPr>
              <w:t>512G DDR4 3</w:t>
            </w:r>
            <w:r>
              <w:rPr>
                <w:rFonts w:hint="eastAsia"/>
                <w:color w:val="auto"/>
                <w:kern w:val="0"/>
                <w:sz w:val="22"/>
              </w:rPr>
              <w:t>200MT/s DDR4内存，支持扩展≥32个DIMM槽位。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8" w:hRule="atLeast"/>
        </w:trPr>
        <w:tc>
          <w:tcPr>
            <w:tcW w:w="2405" w:type="dxa"/>
          </w:tcPr>
          <w:p>
            <w:pPr>
              <w:widowControl/>
              <w:jc w:val="left"/>
              <w:rPr>
                <w:color w:val="auto"/>
                <w:kern w:val="0"/>
                <w:sz w:val="22"/>
              </w:rPr>
            </w:pPr>
            <w:r>
              <w:rPr>
                <w:rFonts w:hint="eastAsia"/>
                <w:color w:val="auto"/>
                <w:kern w:val="0"/>
                <w:sz w:val="22"/>
              </w:rPr>
              <w:t>硬盘</w:t>
            </w:r>
          </w:p>
        </w:tc>
        <w:tc>
          <w:tcPr>
            <w:tcW w:w="6521" w:type="dxa"/>
          </w:tcPr>
          <w:p>
            <w:pPr>
              <w:widowControl/>
              <w:jc w:val="left"/>
              <w:rPr>
                <w:color w:val="auto"/>
                <w:kern w:val="0"/>
                <w:sz w:val="22"/>
              </w:rPr>
            </w:pPr>
            <w:r>
              <w:rPr>
                <w:rFonts w:hint="eastAsia"/>
                <w:color w:val="auto"/>
                <w:kern w:val="0"/>
                <w:sz w:val="22"/>
              </w:rPr>
              <w:t>2块9</w:t>
            </w:r>
            <w:r>
              <w:rPr>
                <w:color w:val="auto"/>
                <w:kern w:val="0"/>
                <w:sz w:val="22"/>
              </w:rPr>
              <w:t>60G SSD</w:t>
            </w:r>
            <w:r>
              <w:rPr>
                <w:rFonts w:hint="eastAsia"/>
                <w:color w:val="auto"/>
                <w:kern w:val="0"/>
                <w:sz w:val="22"/>
              </w:rPr>
              <w:t>硬盘RAID1，至少可扩展8块硬盘；配置一键删除硬盘/SSD所有信息功能，防止信息泄露，</w:t>
            </w:r>
            <w:r>
              <w:rPr>
                <w:color w:val="auto"/>
                <w:kern w:val="0"/>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 w:hRule="atLeast"/>
        </w:trPr>
        <w:tc>
          <w:tcPr>
            <w:tcW w:w="2405" w:type="dxa"/>
          </w:tcPr>
          <w:p>
            <w:pPr>
              <w:widowControl/>
              <w:jc w:val="left"/>
              <w:rPr>
                <w:color w:val="auto"/>
                <w:kern w:val="0"/>
                <w:sz w:val="22"/>
              </w:rPr>
            </w:pPr>
            <w:r>
              <w:rPr>
                <w:rFonts w:hint="eastAsia"/>
                <w:color w:val="auto"/>
                <w:kern w:val="0"/>
                <w:sz w:val="22"/>
              </w:rPr>
              <w:t>硬盘扩展支持</w:t>
            </w:r>
          </w:p>
        </w:tc>
        <w:tc>
          <w:tcPr>
            <w:tcW w:w="6521" w:type="dxa"/>
          </w:tcPr>
          <w:p>
            <w:pPr>
              <w:widowControl/>
              <w:jc w:val="left"/>
              <w:rPr>
                <w:color w:val="auto"/>
                <w:kern w:val="0"/>
                <w:sz w:val="22"/>
              </w:rPr>
            </w:pPr>
            <w:r>
              <w:rPr>
                <w:rFonts w:hint="eastAsia"/>
                <w:color w:val="auto"/>
                <w:kern w:val="0"/>
                <w:sz w:val="22"/>
              </w:rPr>
              <w:t>支持2块480G M.2 SSD配置硬件RAID1，可安装Windows，Linux，VMware  ESXi等系统；支持热插拔模式，在线更换M.2 SSD不影响系统运行。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 w:hRule="atLeast"/>
        </w:trPr>
        <w:tc>
          <w:tcPr>
            <w:tcW w:w="2405" w:type="dxa"/>
          </w:tcPr>
          <w:p>
            <w:pPr>
              <w:widowControl/>
              <w:jc w:val="left"/>
              <w:rPr>
                <w:color w:val="auto"/>
                <w:kern w:val="0"/>
                <w:sz w:val="22"/>
              </w:rPr>
            </w:pPr>
            <w:r>
              <w:rPr>
                <w:rFonts w:hint="eastAsia"/>
                <w:color w:val="auto"/>
                <w:kern w:val="0"/>
                <w:sz w:val="22"/>
              </w:rPr>
              <w:t>阵列卡</w:t>
            </w:r>
          </w:p>
        </w:tc>
        <w:tc>
          <w:tcPr>
            <w:tcW w:w="6521" w:type="dxa"/>
          </w:tcPr>
          <w:p>
            <w:pPr>
              <w:widowControl/>
              <w:jc w:val="left"/>
              <w:rPr>
                <w:color w:val="auto"/>
                <w:kern w:val="0"/>
                <w:sz w:val="22"/>
              </w:rPr>
            </w:pPr>
            <w:r>
              <w:rPr>
                <w:rFonts w:hint="eastAsia"/>
                <w:color w:val="auto"/>
                <w:kern w:val="0"/>
                <w:sz w:val="22"/>
              </w:rPr>
              <w:t>配置独立阵列卡，支持R</w:t>
            </w:r>
            <w:r>
              <w:rPr>
                <w:color w:val="auto"/>
                <w:kern w:val="0"/>
                <w:sz w:val="22"/>
              </w:rPr>
              <w:t>AID 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 w:hRule="atLeast"/>
        </w:trPr>
        <w:tc>
          <w:tcPr>
            <w:tcW w:w="2405" w:type="dxa"/>
          </w:tcPr>
          <w:p>
            <w:pPr>
              <w:widowControl/>
              <w:jc w:val="left"/>
              <w:rPr>
                <w:color w:val="auto"/>
                <w:kern w:val="0"/>
                <w:sz w:val="22"/>
              </w:rPr>
            </w:pPr>
            <w:r>
              <w:rPr>
                <w:rFonts w:hint="eastAsia"/>
                <w:color w:val="auto"/>
                <w:kern w:val="0"/>
                <w:sz w:val="22"/>
              </w:rPr>
              <w:t>安全特性</w:t>
            </w:r>
          </w:p>
        </w:tc>
        <w:tc>
          <w:tcPr>
            <w:tcW w:w="6521" w:type="dxa"/>
          </w:tcPr>
          <w:p>
            <w:pPr>
              <w:widowControl/>
              <w:jc w:val="left"/>
              <w:rPr>
                <w:color w:val="auto"/>
                <w:kern w:val="0"/>
                <w:sz w:val="22"/>
              </w:rPr>
            </w:pPr>
            <w:r>
              <w:rPr>
                <w:rFonts w:hint="eastAsia"/>
                <w:color w:val="auto"/>
                <w:kern w:val="0"/>
                <w:sz w:val="22"/>
              </w:rPr>
              <w:t>加密签名固件，硬件根信任，安全启动，自动BIOS恢复，快速OS恢复，系统一键锁定，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 w:hRule="atLeast"/>
        </w:trPr>
        <w:tc>
          <w:tcPr>
            <w:tcW w:w="2405" w:type="dxa"/>
          </w:tcPr>
          <w:p>
            <w:pPr>
              <w:widowControl/>
              <w:jc w:val="left"/>
              <w:rPr>
                <w:color w:val="auto"/>
                <w:kern w:val="0"/>
                <w:sz w:val="22"/>
              </w:rPr>
            </w:pPr>
            <w:r>
              <w:rPr>
                <w:rFonts w:hint="eastAsia"/>
                <w:color w:val="auto"/>
                <w:kern w:val="0"/>
                <w:sz w:val="22"/>
              </w:rPr>
              <w:t>管理</w:t>
            </w:r>
          </w:p>
        </w:tc>
        <w:tc>
          <w:tcPr>
            <w:tcW w:w="6521" w:type="dxa"/>
          </w:tcPr>
          <w:p>
            <w:pPr>
              <w:widowControl/>
              <w:jc w:val="left"/>
              <w:rPr>
                <w:color w:val="auto"/>
                <w:kern w:val="0"/>
                <w:sz w:val="22"/>
              </w:rPr>
            </w:pPr>
            <w:r>
              <w:rPr>
                <w:rFonts w:hint="eastAsia"/>
                <w:color w:val="auto"/>
                <w:kern w:val="0"/>
                <w:sz w:val="22"/>
              </w:rPr>
              <w:t>配置远程管理卡，具有单独的管理网口，可不依赖主机操作系统进行远程操作。提供远程监控图形界面, 可实现与操作系统无关的远程对服务器的完全控制，包括远程的开关机、重启、更新Firmware, 虚拟KVM, 虚拟软驱, 虚拟光驱、虚拟介质重定向等操作；支持SNMP，IPMI和Redfish；支持IPv6。</w:t>
            </w:r>
          </w:p>
          <w:p>
            <w:pPr>
              <w:widowControl/>
              <w:jc w:val="left"/>
              <w:rPr>
                <w:color w:val="auto"/>
                <w:kern w:val="0"/>
                <w:sz w:val="22"/>
              </w:rPr>
            </w:pPr>
            <w:r>
              <w:rPr>
                <w:rFonts w:hint="eastAsia"/>
                <w:color w:val="auto"/>
                <w:kern w:val="0"/>
                <w:sz w:val="22"/>
              </w:rPr>
              <w:t>远程管理卡配置组管理模式，通过一台服务器的远程管理卡统一管理多台服务器，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 w:hRule="atLeast"/>
        </w:trPr>
        <w:tc>
          <w:tcPr>
            <w:tcW w:w="2405" w:type="dxa"/>
          </w:tcPr>
          <w:p>
            <w:pPr>
              <w:widowControl/>
              <w:jc w:val="left"/>
              <w:rPr>
                <w:color w:val="auto"/>
                <w:kern w:val="0"/>
                <w:sz w:val="22"/>
              </w:rPr>
            </w:pPr>
            <w:r>
              <w:rPr>
                <w:rFonts w:hint="eastAsia"/>
                <w:color w:val="auto"/>
                <w:kern w:val="0"/>
                <w:sz w:val="22"/>
              </w:rPr>
              <w:t>液晶管理屏幕</w:t>
            </w:r>
          </w:p>
        </w:tc>
        <w:tc>
          <w:tcPr>
            <w:tcW w:w="6521" w:type="dxa"/>
          </w:tcPr>
          <w:p>
            <w:pPr>
              <w:widowControl/>
              <w:jc w:val="left"/>
              <w:rPr>
                <w:color w:val="auto"/>
                <w:kern w:val="0"/>
                <w:sz w:val="22"/>
              </w:rPr>
            </w:pPr>
            <w:r>
              <w:rPr>
                <w:rFonts w:hint="eastAsia"/>
                <w:color w:val="auto"/>
                <w:kern w:val="0"/>
                <w:sz w:val="22"/>
              </w:rPr>
              <w:t>配置安全前面板，内置LCD液晶屏（非外接方式），可显示默认或定制信息，包括IP地址、服务器名称、支持服务编号等。如果系统发生故障，该液晶屏上将显示关于故障的具体信息，可更改带外管理IP地址、网关、DNS地址等，提供LCD操作说明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 w:hRule="atLeast"/>
        </w:trPr>
        <w:tc>
          <w:tcPr>
            <w:tcW w:w="2405" w:type="dxa"/>
          </w:tcPr>
          <w:p>
            <w:pPr>
              <w:widowControl/>
              <w:jc w:val="left"/>
              <w:rPr>
                <w:color w:val="auto"/>
                <w:kern w:val="0"/>
                <w:sz w:val="22"/>
              </w:rPr>
            </w:pPr>
            <w:r>
              <w:rPr>
                <w:rFonts w:hint="eastAsia"/>
                <w:color w:val="auto"/>
                <w:kern w:val="0"/>
                <w:sz w:val="22"/>
              </w:rPr>
              <w:t>网络</w:t>
            </w:r>
          </w:p>
        </w:tc>
        <w:tc>
          <w:tcPr>
            <w:tcW w:w="6521" w:type="dxa"/>
          </w:tcPr>
          <w:p>
            <w:pPr>
              <w:widowControl/>
              <w:jc w:val="left"/>
              <w:rPr>
                <w:color w:val="auto"/>
                <w:kern w:val="0"/>
                <w:sz w:val="22"/>
              </w:rPr>
            </w:pPr>
            <w:r>
              <w:rPr>
                <w:rFonts w:hint="eastAsia"/>
                <w:color w:val="auto"/>
                <w:kern w:val="0"/>
                <w:sz w:val="22"/>
              </w:rPr>
              <w:t>配置</w:t>
            </w:r>
            <w:r>
              <w:rPr>
                <w:color w:val="auto"/>
                <w:kern w:val="0"/>
                <w:sz w:val="22"/>
              </w:rPr>
              <w:t>1</w:t>
            </w:r>
            <w:r>
              <w:rPr>
                <w:rFonts w:hint="eastAsia"/>
                <w:color w:val="auto"/>
                <w:kern w:val="0"/>
                <w:sz w:val="22"/>
              </w:rPr>
              <w:t>块单端口</w:t>
            </w:r>
            <w:r>
              <w:rPr>
                <w:color w:val="auto"/>
                <w:kern w:val="0"/>
                <w:sz w:val="22"/>
              </w:rPr>
              <w:t xml:space="preserve"> 100G IB </w:t>
            </w:r>
            <w:r>
              <w:rPr>
                <w:rFonts w:hint="eastAsia"/>
                <w:color w:val="auto"/>
                <w:kern w:val="0"/>
                <w:sz w:val="22"/>
              </w:rPr>
              <w:t>网卡，2块双口2</w:t>
            </w:r>
            <w:r>
              <w:rPr>
                <w:color w:val="auto"/>
                <w:kern w:val="0"/>
                <w:sz w:val="22"/>
              </w:rPr>
              <w:t>5G</w:t>
            </w:r>
            <w:r>
              <w:rPr>
                <w:rFonts w:hint="eastAsia"/>
                <w:color w:val="auto"/>
                <w:kern w:val="0"/>
                <w:sz w:val="22"/>
              </w:rPr>
              <w:t>网卡，4个千兆电口，独立网管卡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 w:hRule="atLeast"/>
        </w:trPr>
        <w:tc>
          <w:tcPr>
            <w:tcW w:w="2405" w:type="dxa"/>
          </w:tcPr>
          <w:p>
            <w:pPr>
              <w:widowControl/>
              <w:jc w:val="left"/>
              <w:rPr>
                <w:color w:val="auto"/>
                <w:kern w:val="0"/>
                <w:sz w:val="22"/>
              </w:rPr>
            </w:pPr>
            <w:r>
              <w:rPr>
                <w:rFonts w:hint="eastAsia"/>
                <w:color w:val="auto"/>
                <w:kern w:val="0"/>
                <w:sz w:val="22"/>
              </w:rPr>
              <w:t>性能监控软件</w:t>
            </w:r>
          </w:p>
        </w:tc>
        <w:tc>
          <w:tcPr>
            <w:tcW w:w="6521" w:type="dxa"/>
          </w:tcPr>
          <w:p>
            <w:pPr>
              <w:widowControl/>
              <w:jc w:val="left"/>
              <w:rPr>
                <w:color w:val="auto"/>
                <w:kern w:val="0"/>
                <w:sz w:val="22"/>
              </w:rPr>
            </w:pPr>
            <w:r>
              <w:rPr>
                <w:rFonts w:hint="eastAsia"/>
                <w:color w:val="auto"/>
                <w:kern w:val="0"/>
                <w:sz w:val="22"/>
              </w:rPr>
              <w:t>提供与服务器同品牌性能分析软件一套，软件无代理程序，可远程运行，并收集磁盘IO，吞吐量，容量，CPU，内存使用率，IO延时，队列深度，读写比例，等指标，能够监控管理Windows/Linux设备以及VMware虚拟机信息，提供原厂官网截图及链接（需体现厂商品牌），提供一份原厂性能分析报告样本加盖投标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 w:hRule="atLeast"/>
        </w:trPr>
        <w:tc>
          <w:tcPr>
            <w:tcW w:w="2405" w:type="dxa"/>
          </w:tcPr>
          <w:p>
            <w:pPr>
              <w:widowControl/>
              <w:jc w:val="left"/>
              <w:rPr>
                <w:color w:val="auto"/>
                <w:kern w:val="0"/>
                <w:sz w:val="22"/>
              </w:rPr>
            </w:pPr>
            <w:r>
              <w:rPr>
                <w:rFonts w:hint="eastAsia"/>
                <w:color w:val="auto"/>
                <w:kern w:val="0"/>
                <w:sz w:val="22"/>
              </w:rPr>
              <w:t>移动管理</w:t>
            </w:r>
          </w:p>
        </w:tc>
        <w:tc>
          <w:tcPr>
            <w:tcW w:w="6521" w:type="dxa"/>
          </w:tcPr>
          <w:p>
            <w:pPr>
              <w:widowControl/>
              <w:jc w:val="left"/>
              <w:rPr>
                <w:color w:val="auto"/>
                <w:kern w:val="0"/>
                <w:sz w:val="22"/>
              </w:rPr>
            </w:pPr>
            <w:r>
              <w:rPr>
                <w:rFonts w:hint="eastAsia"/>
                <w:color w:val="auto"/>
                <w:kern w:val="0"/>
                <w:sz w:val="22"/>
              </w:rPr>
              <w:t>提供手机和平板电脑APP，服务器配置无线蓝牙模块，可通过手机结合APP直接访问和配置服务器，提供手机App页面截图并加盖投标商公章。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7" w:hRule="atLeast"/>
        </w:trPr>
        <w:tc>
          <w:tcPr>
            <w:tcW w:w="2405" w:type="dxa"/>
          </w:tcPr>
          <w:p>
            <w:pPr>
              <w:widowControl/>
              <w:jc w:val="left"/>
              <w:rPr>
                <w:color w:val="auto"/>
                <w:kern w:val="0"/>
                <w:sz w:val="22"/>
              </w:rPr>
            </w:pPr>
            <w:r>
              <w:rPr>
                <w:rFonts w:hint="eastAsia"/>
                <w:color w:val="auto"/>
                <w:kern w:val="0"/>
                <w:sz w:val="22"/>
              </w:rPr>
              <w:t>电源</w:t>
            </w:r>
          </w:p>
        </w:tc>
        <w:tc>
          <w:tcPr>
            <w:tcW w:w="6521" w:type="dxa"/>
          </w:tcPr>
          <w:p>
            <w:pPr>
              <w:widowControl/>
              <w:jc w:val="left"/>
              <w:rPr>
                <w:color w:val="auto"/>
                <w:kern w:val="0"/>
                <w:sz w:val="22"/>
              </w:rPr>
            </w:pPr>
            <w:r>
              <w:rPr>
                <w:rFonts w:hint="eastAsia"/>
                <w:color w:val="auto"/>
                <w:kern w:val="0"/>
                <w:sz w:val="22"/>
              </w:rPr>
              <w:t>配置1</w:t>
            </w:r>
            <w:r>
              <w:rPr>
                <w:color w:val="auto"/>
                <w:kern w:val="0"/>
                <w:sz w:val="22"/>
              </w:rPr>
              <w:t>400W</w:t>
            </w:r>
            <w:r>
              <w:rPr>
                <w:rFonts w:hint="eastAsia"/>
                <w:color w:val="auto"/>
                <w:kern w:val="0"/>
                <w:sz w:val="22"/>
              </w:rPr>
              <w:t>冗余电源，含线缆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2405" w:type="dxa"/>
          </w:tcPr>
          <w:p>
            <w:pPr>
              <w:widowControl/>
              <w:jc w:val="left"/>
              <w:rPr>
                <w:color w:val="auto"/>
                <w:kern w:val="0"/>
                <w:sz w:val="22"/>
              </w:rPr>
            </w:pPr>
            <w:r>
              <w:rPr>
                <w:color w:val="auto"/>
                <w:kern w:val="0"/>
                <w:sz w:val="22"/>
              </w:rPr>
              <w:t>售后服务</w:t>
            </w:r>
          </w:p>
        </w:tc>
        <w:tc>
          <w:tcPr>
            <w:tcW w:w="6521" w:type="dxa"/>
          </w:tcPr>
          <w:p>
            <w:pPr>
              <w:widowControl/>
              <w:jc w:val="left"/>
              <w:rPr>
                <w:color w:val="auto"/>
                <w:kern w:val="0"/>
                <w:sz w:val="22"/>
              </w:rPr>
            </w:pPr>
            <w:r>
              <w:rPr>
                <w:rFonts w:hint="eastAsia"/>
                <w:color w:val="auto"/>
                <w:kern w:val="0"/>
                <w:sz w:val="22"/>
              </w:rPr>
              <w:t>5年7*24维保</w:t>
            </w:r>
            <w:r>
              <w:rPr>
                <w:color w:val="auto"/>
                <w:kern w:val="0"/>
                <w:sz w:val="22"/>
              </w:rPr>
              <w:t>，包含首次上门安装服务</w:t>
            </w:r>
          </w:p>
        </w:tc>
      </w:tr>
    </w:tbl>
    <w:p>
      <w:pPr>
        <w:widowControl/>
        <w:jc w:val="left"/>
        <w:rPr>
          <w:color w:val="auto"/>
          <w:kern w:val="0"/>
          <w:sz w:val="22"/>
        </w:rPr>
      </w:pPr>
      <w:r>
        <w:rPr>
          <w:color w:val="auto"/>
          <w:kern w:val="0"/>
          <w:sz w:val="22"/>
        </w:rPr>
        <w:t>CPU</w:t>
      </w:r>
      <w:r>
        <w:rPr>
          <w:rFonts w:hint="eastAsia"/>
          <w:color w:val="auto"/>
          <w:kern w:val="0"/>
          <w:sz w:val="22"/>
        </w:rPr>
        <w:t>高性能计算科研服务器，数量：2</w:t>
      </w:r>
      <w:r>
        <w:rPr>
          <w:color w:val="auto"/>
          <w:kern w:val="0"/>
          <w:sz w:val="22"/>
        </w:rPr>
        <w:t>3</w:t>
      </w:r>
      <w:r>
        <w:rPr>
          <w:rFonts w:hint="eastAsia"/>
          <w:color w:val="auto"/>
          <w:kern w:val="0"/>
          <w:sz w:val="22"/>
        </w:rPr>
        <w:t>台</w:t>
      </w:r>
      <w:bookmarkEnd w:id="5"/>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3"/>
        <w:gridCol w:w="6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05" w:type="dxa"/>
          </w:tcPr>
          <w:p>
            <w:pPr>
              <w:widowControl/>
              <w:jc w:val="left"/>
              <w:rPr>
                <w:color w:val="auto"/>
                <w:kern w:val="0"/>
                <w:sz w:val="22"/>
              </w:rPr>
            </w:pPr>
            <w:bookmarkStart w:id="6" w:name="_Toc55001258"/>
            <w:r>
              <w:rPr>
                <w:rFonts w:hint="eastAsia"/>
                <w:color w:val="auto"/>
                <w:kern w:val="0"/>
                <w:sz w:val="22"/>
              </w:rPr>
              <w:t>指标项</w:t>
            </w:r>
          </w:p>
        </w:tc>
        <w:tc>
          <w:tcPr>
            <w:tcW w:w="6521" w:type="dxa"/>
          </w:tcPr>
          <w:p>
            <w:pPr>
              <w:widowControl/>
              <w:jc w:val="left"/>
              <w:rPr>
                <w:color w:val="auto"/>
                <w:kern w:val="0"/>
                <w:sz w:val="22"/>
              </w:rPr>
            </w:pPr>
            <w:r>
              <w:rPr>
                <w:rFonts w:hint="eastAsia"/>
                <w:color w:val="auto"/>
                <w:kern w:val="0"/>
                <w:sz w:val="22"/>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405" w:type="dxa"/>
          </w:tcPr>
          <w:p>
            <w:pPr>
              <w:widowControl/>
              <w:jc w:val="left"/>
              <w:rPr>
                <w:color w:val="auto"/>
                <w:kern w:val="0"/>
                <w:sz w:val="22"/>
              </w:rPr>
            </w:pPr>
            <w:r>
              <w:rPr>
                <w:rFonts w:hint="eastAsia"/>
                <w:color w:val="auto"/>
                <w:kern w:val="0"/>
                <w:sz w:val="22"/>
              </w:rPr>
              <w:t>外观要求</w:t>
            </w:r>
          </w:p>
        </w:tc>
        <w:tc>
          <w:tcPr>
            <w:tcW w:w="6521" w:type="dxa"/>
          </w:tcPr>
          <w:p>
            <w:pPr>
              <w:widowControl/>
              <w:jc w:val="left"/>
              <w:rPr>
                <w:color w:val="auto"/>
                <w:kern w:val="0"/>
                <w:sz w:val="22"/>
              </w:rPr>
            </w:pPr>
            <w:r>
              <w:rPr>
                <w:rFonts w:hint="eastAsia"/>
                <w:color w:val="auto"/>
                <w:kern w:val="0"/>
                <w:sz w:val="22"/>
              </w:rPr>
              <w:t>机架式服务器，设备规格为≤2</w:t>
            </w:r>
            <w:r>
              <w:rPr>
                <w:color w:val="auto"/>
                <w:kern w:val="0"/>
                <w:sz w:val="22"/>
              </w:rPr>
              <w:t>U</w:t>
            </w:r>
            <w:r>
              <w:rPr>
                <w:rFonts w:hint="eastAsia"/>
                <w:color w:val="auto"/>
                <w:kern w:val="0"/>
                <w:sz w:val="22"/>
              </w:rPr>
              <w:t>机架式服务器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2405" w:type="dxa"/>
          </w:tcPr>
          <w:p>
            <w:pPr>
              <w:widowControl/>
              <w:jc w:val="left"/>
              <w:rPr>
                <w:color w:val="auto"/>
                <w:kern w:val="0"/>
                <w:sz w:val="22"/>
              </w:rPr>
            </w:pPr>
            <w:r>
              <w:rPr>
                <w:rFonts w:hint="eastAsia"/>
                <w:color w:val="auto"/>
                <w:kern w:val="0"/>
                <w:sz w:val="22"/>
              </w:rPr>
              <w:t>CPU</w:t>
            </w:r>
          </w:p>
        </w:tc>
        <w:tc>
          <w:tcPr>
            <w:tcW w:w="6521" w:type="dxa"/>
          </w:tcPr>
          <w:p>
            <w:pPr>
              <w:widowControl/>
              <w:jc w:val="left"/>
              <w:rPr>
                <w:color w:val="auto"/>
                <w:kern w:val="0"/>
                <w:sz w:val="22"/>
              </w:rPr>
            </w:pPr>
            <w:r>
              <w:rPr>
                <w:rFonts w:hint="eastAsia"/>
                <w:color w:val="auto"/>
                <w:kern w:val="0"/>
                <w:sz w:val="22"/>
              </w:rPr>
              <w:t>2颗处理器，每颗2.20G, 64C, 768M 缓存 x</w:t>
            </w:r>
            <w:r>
              <w:rPr>
                <w:color w:val="auto"/>
                <w:kern w:val="0"/>
                <w:sz w:val="22"/>
              </w:rPr>
              <w:t>86</w:t>
            </w:r>
            <w:r>
              <w:rPr>
                <w:rFonts w:hint="eastAsia"/>
                <w:color w:val="auto"/>
                <w:kern w:val="0"/>
                <w:sz w:val="22"/>
              </w:rPr>
              <w:t xml:space="preserve">处理器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8" w:hRule="atLeast"/>
        </w:trPr>
        <w:tc>
          <w:tcPr>
            <w:tcW w:w="2405" w:type="dxa"/>
          </w:tcPr>
          <w:p>
            <w:pPr>
              <w:widowControl/>
              <w:jc w:val="left"/>
              <w:rPr>
                <w:color w:val="auto"/>
                <w:kern w:val="0"/>
                <w:sz w:val="22"/>
              </w:rPr>
            </w:pPr>
            <w:r>
              <w:rPr>
                <w:rFonts w:hint="eastAsia"/>
                <w:color w:val="auto"/>
                <w:kern w:val="0"/>
                <w:sz w:val="22"/>
              </w:rPr>
              <w:t>内存</w:t>
            </w:r>
          </w:p>
        </w:tc>
        <w:tc>
          <w:tcPr>
            <w:tcW w:w="6521" w:type="dxa"/>
          </w:tcPr>
          <w:p>
            <w:pPr>
              <w:widowControl/>
              <w:jc w:val="left"/>
              <w:rPr>
                <w:color w:val="auto"/>
                <w:kern w:val="0"/>
                <w:sz w:val="22"/>
              </w:rPr>
            </w:pPr>
            <w:r>
              <w:rPr>
                <w:color w:val="auto"/>
                <w:kern w:val="0"/>
                <w:sz w:val="22"/>
              </w:rPr>
              <w:t>512G DDR4 3</w:t>
            </w:r>
            <w:r>
              <w:rPr>
                <w:rFonts w:hint="eastAsia"/>
                <w:color w:val="auto"/>
                <w:kern w:val="0"/>
                <w:sz w:val="22"/>
              </w:rPr>
              <w:t>200MT/s DDR4内存，支持扩展≥32个DIMM槽位。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2405" w:type="dxa"/>
          </w:tcPr>
          <w:p>
            <w:pPr>
              <w:widowControl/>
              <w:jc w:val="left"/>
              <w:rPr>
                <w:color w:val="auto"/>
                <w:kern w:val="0"/>
                <w:sz w:val="22"/>
              </w:rPr>
            </w:pPr>
            <w:r>
              <w:rPr>
                <w:rFonts w:hint="eastAsia"/>
                <w:color w:val="auto"/>
                <w:kern w:val="0"/>
                <w:sz w:val="22"/>
              </w:rPr>
              <w:t>硬盘</w:t>
            </w:r>
          </w:p>
        </w:tc>
        <w:tc>
          <w:tcPr>
            <w:tcW w:w="6521" w:type="dxa"/>
          </w:tcPr>
          <w:p>
            <w:pPr>
              <w:widowControl/>
              <w:jc w:val="left"/>
              <w:rPr>
                <w:color w:val="auto"/>
                <w:kern w:val="0"/>
                <w:sz w:val="22"/>
              </w:rPr>
            </w:pPr>
            <w:r>
              <w:rPr>
                <w:rFonts w:hint="eastAsia"/>
                <w:color w:val="auto"/>
                <w:kern w:val="0"/>
                <w:sz w:val="22"/>
              </w:rPr>
              <w:t>2块9</w:t>
            </w:r>
            <w:r>
              <w:rPr>
                <w:color w:val="auto"/>
                <w:kern w:val="0"/>
                <w:sz w:val="22"/>
              </w:rPr>
              <w:t>60G SSD</w:t>
            </w:r>
            <w:r>
              <w:rPr>
                <w:rFonts w:hint="eastAsia"/>
                <w:color w:val="auto"/>
                <w:kern w:val="0"/>
                <w:sz w:val="22"/>
              </w:rPr>
              <w:t>硬盘RAID1，至少可扩展8块硬盘；配置一键删除硬盘/SSD所有信息功能，防止信息泄露，</w:t>
            </w:r>
            <w:r>
              <w:rPr>
                <w:color w:val="auto"/>
                <w:kern w:val="0"/>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405" w:type="dxa"/>
          </w:tcPr>
          <w:p>
            <w:pPr>
              <w:widowControl/>
              <w:jc w:val="left"/>
              <w:rPr>
                <w:color w:val="auto"/>
                <w:kern w:val="0"/>
                <w:sz w:val="22"/>
              </w:rPr>
            </w:pPr>
            <w:r>
              <w:rPr>
                <w:rFonts w:hint="eastAsia"/>
                <w:color w:val="auto"/>
                <w:kern w:val="0"/>
                <w:sz w:val="22"/>
              </w:rPr>
              <w:t>硬盘扩展支持</w:t>
            </w:r>
          </w:p>
        </w:tc>
        <w:tc>
          <w:tcPr>
            <w:tcW w:w="6521" w:type="dxa"/>
          </w:tcPr>
          <w:p>
            <w:pPr>
              <w:widowControl/>
              <w:jc w:val="left"/>
              <w:rPr>
                <w:color w:val="auto"/>
                <w:kern w:val="0"/>
                <w:sz w:val="22"/>
              </w:rPr>
            </w:pPr>
            <w:r>
              <w:rPr>
                <w:rFonts w:hint="eastAsia"/>
                <w:color w:val="auto"/>
                <w:kern w:val="0"/>
                <w:sz w:val="22"/>
              </w:rPr>
              <w:t>支持2块480G M.2 SSD配置硬件RAID1，可安装Windows，Linux，VMware  ESXi等系统；支持热插拔模式，在线更换M.2 SSD不影响系统运行。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2405" w:type="dxa"/>
          </w:tcPr>
          <w:p>
            <w:pPr>
              <w:widowControl/>
              <w:jc w:val="left"/>
              <w:rPr>
                <w:color w:val="auto"/>
                <w:kern w:val="0"/>
                <w:sz w:val="22"/>
              </w:rPr>
            </w:pPr>
            <w:r>
              <w:rPr>
                <w:rFonts w:hint="eastAsia"/>
                <w:color w:val="auto"/>
                <w:kern w:val="0"/>
                <w:sz w:val="22"/>
              </w:rPr>
              <w:t>阵列卡</w:t>
            </w:r>
          </w:p>
        </w:tc>
        <w:tc>
          <w:tcPr>
            <w:tcW w:w="6521" w:type="dxa"/>
          </w:tcPr>
          <w:p>
            <w:pPr>
              <w:widowControl/>
              <w:jc w:val="left"/>
              <w:rPr>
                <w:color w:val="auto"/>
                <w:kern w:val="0"/>
                <w:sz w:val="22"/>
              </w:rPr>
            </w:pPr>
            <w:r>
              <w:rPr>
                <w:rFonts w:hint="eastAsia"/>
                <w:color w:val="auto"/>
                <w:kern w:val="0"/>
                <w:sz w:val="22"/>
              </w:rPr>
              <w:t>配置独立阵列卡，支持R</w:t>
            </w:r>
            <w:r>
              <w:rPr>
                <w:color w:val="auto"/>
                <w:kern w:val="0"/>
                <w:sz w:val="22"/>
              </w:rPr>
              <w:t>AID 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7" w:hRule="atLeast"/>
        </w:trPr>
        <w:tc>
          <w:tcPr>
            <w:tcW w:w="2405" w:type="dxa"/>
          </w:tcPr>
          <w:p>
            <w:pPr>
              <w:widowControl/>
              <w:jc w:val="left"/>
              <w:rPr>
                <w:color w:val="auto"/>
                <w:kern w:val="0"/>
                <w:sz w:val="22"/>
              </w:rPr>
            </w:pPr>
            <w:r>
              <w:rPr>
                <w:rFonts w:hint="eastAsia"/>
                <w:color w:val="auto"/>
                <w:kern w:val="0"/>
                <w:sz w:val="22"/>
              </w:rPr>
              <w:t>安全特性</w:t>
            </w:r>
          </w:p>
        </w:tc>
        <w:tc>
          <w:tcPr>
            <w:tcW w:w="6521" w:type="dxa"/>
          </w:tcPr>
          <w:p>
            <w:pPr>
              <w:widowControl/>
              <w:jc w:val="left"/>
              <w:rPr>
                <w:color w:val="auto"/>
                <w:kern w:val="0"/>
                <w:sz w:val="22"/>
              </w:rPr>
            </w:pPr>
            <w:r>
              <w:rPr>
                <w:rFonts w:hint="eastAsia"/>
                <w:color w:val="auto"/>
                <w:kern w:val="0"/>
                <w:sz w:val="22"/>
              </w:rPr>
              <w:t>加密签名固件，硬件根信任，安全启动，自动BIOS恢复，快速OS恢复，系统一键锁定，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2405" w:type="dxa"/>
          </w:tcPr>
          <w:p>
            <w:pPr>
              <w:widowControl/>
              <w:jc w:val="left"/>
              <w:rPr>
                <w:color w:val="auto"/>
                <w:kern w:val="0"/>
                <w:sz w:val="22"/>
              </w:rPr>
            </w:pPr>
            <w:r>
              <w:rPr>
                <w:rFonts w:hint="eastAsia"/>
                <w:color w:val="auto"/>
                <w:kern w:val="0"/>
                <w:sz w:val="22"/>
              </w:rPr>
              <w:t>管理</w:t>
            </w:r>
          </w:p>
        </w:tc>
        <w:tc>
          <w:tcPr>
            <w:tcW w:w="6521" w:type="dxa"/>
          </w:tcPr>
          <w:p>
            <w:pPr>
              <w:widowControl/>
              <w:jc w:val="left"/>
              <w:rPr>
                <w:color w:val="auto"/>
                <w:kern w:val="0"/>
                <w:sz w:val="22"/>
              </w:rPr>
            </w:pPr>
            <w:r>
              <w:rPr>
                <w:rFonts w:hint="eastAsia"/>
                <w:color w:val="auto"/>
                <w:kern w:val="0"/>
                <w:sz w:val="22"/>
              </w:rPr>
              <w:t>配置远程管理卡，具有单独的管理网口，可不依赖主机操作系统进行远程操作。提供远程监控图形界面, 可实现与操作系统无关的远程对服务器的完全控制，包括远程的开关机、重启、更新Firmware, 虚拟KVM, 虚拟软驱, 虚拟光驱、虚拟介质重定向等操作；支持SNMP，IPMI和Redfish；支持IPv6。</w:t>
            </w:r>
          </w:p>
          <w:p>
            <w:pPr>
              <w:widowControl/>
              <w:jc w:val="left"/>
              <w:rPr>
                <w:color w:val="auto"/>
                <w:kern w:val="0"/>
                <w:sz w:val="22"/>
              </w:rPr>
            </w:pPr>
            <w:r>
              <w:rPr>
                <w:rFonts w:hint="eastAsia"/>
                <w:color w:val="auto"/>
                <w:kern w:val="0"/>
                <w:sz w:val="22"/>
              </w:rPr>
              <w:t>远程管理卡配置组管理模式，通过一台服务器的远程管理卡统一管理多台服务器，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2405" w:type="dxa"/>
          </w:tcPr>
          <w:p>
            <w:pPr>
              <w:widowControl/>
              <w:jc w:val="left"/>
              <w:rPr>
                <w:color w:val="auto"/>
                <w:kern w:val="0"/>
                <w:sz w:val="22"/>
              </w:rPr>
            </w:pPr>
            <w:r>
              <w:rPr>
                <w:rFonts w:hint="eastAsia"/>
                <w:color w:val="auto"/>
                <w:kern w:val="0"/>
                <w:sz w:val="22"/>
              </w:rPr>
              <w:t>液晶管理屏幕</w:t>
            </w:r>
          </w:p>
        </w:tc>
        <w:tc>
          <w:tcPr>
            <w:tcW w:w="6521" w:type="dxa"/>
          </w:tcPr>
          <w:p>
            <w:pPr>
              <w:widowControl/>
              <w:jc w:val="left"/>
              <w:rPr>
                <w:color w:val="auto"/>
                <w:kern w:val="0"/>
                <w:sz w:val="22"/>
              </w:rPr>
            </w:pPr>
            <w:r>
              <w:rPr>
                <w:rFonts w:hint="eastAsia"/>
                <w:color w:val="auto"/>
                <w:kern w:val="0"/>
                <w:sz w:val="22"/>
              </w:rPr>
              <w:t>配置安全前面板，内置LCD液晶屏（非外接方式），可显示默认或定制信息，包括IP地址、服务器名称、支持服务编号等。如果系统发生故障，该液晶屏上将显示关于故障的具体信息，可更改带外管理IP地址、网关、DNS地址等，提供LCD操作说明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2405" w:type="dxa"/>
          </w:tcPr>
          <w:p>
            <w:pPr>
              <w:widowControl/>
              <w:jc w:val="left"/>
              <w:rPr>
                <w:color w:val="auto"/>
                <w:kern w:val="0"/>
                <w:sz w:val="22"/>
              </w:rPr>
            </w:pPr>
            <w:r>
              <w:rPr>
                <w:rFonts w:hint="eastAsia"/>
                <w:color w:val="auto"/>
                <w:kern w:val="0"/>
                <w:sz w:val="22"/>
              </w:rPr>
              <w:t>网络</w:t>
            </w:r>
          </w:p>
        </w:tc>
        <w:tc>
          <w:tcPr>
            <w:tcW w:w="6521" w:type="dxa"/>
          </w:tcPr>
          <w:p>
            <w:pPr>
              <w:widowControl/>
              <w:jc w:val="left"/>
              <w:rPr>
                <w:color w:val="auto"/>
                <w:kern w:val="0"/>
                <w:sz w:val="22"/>
              </w:rPr>
            </w:pPr>
            <w:r>
              <w:rPr>
                <w:rFonts w:hint="eastAsia"/>
                <w:color w:val="auto"/>
                <w:kern w:val="0"/>
                <w:sz w:val="22"/>
              </w:rPr>
              <w:t>配置</w:t>
            </w:r>
            <w:r>
              <w:rPr>
                <w:color w:val="auto"/>
                <w:kern w:val="0"/>
                <w:sz w:val="22"/>
              </w:rPr>
              <w:t>2</w:t>
            </w:r>
            <w:r>
              <w:rPr>
                <w:rFonts w:hint="eastAsia"/>
                <w:color w:val="auto"/>
                <w:kern w:val="0"/>
                <w:sz w:val="22"/>
              </w:rPr>
              <w:t>块单端口</w:t>
            </w:r>
            <w:r>
              <w:rPr>
                <w:color w:val="auto"/>
                <w:kern w:val="0"/>
                <w:sz w:val="22"/>
              </w:rPr>
              <w:t xml:space="preserve"> 100G Infiniband</w:t>
            </w:r>
            <w:r>
              <w:rPr>
                <w:rFonts w:hint="eastAsia"/>
                <w:color w:val="auto"/>
                <w:kern w:val="0"/>
                <w:sz w:val="22"/>
              </w:rPr>
              <w:t>网卡，2块双口2</w:t>
            </w:r>
            <w:r>
              <w:rPr>
                <w:color w:val="auto"/>
                <w:kern w:val="0"/>
                <w:sz w:val="22"/>
              </w:rPr>
              <w:t>5G</w:t>
            </w:r>
            <w:r>
              <w:rPr>
                <w:rFonts w:hint="eastAsia"/>
                <w:color w:val="auto"/>
                <w:kern w:val="0"/>
                <w:sz w:val="22"/>
              </w:rPr>
              <w:t>网卡，4个千兆电口，独立网管卡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7" w:hRule="atLeast"/>
        </w:trPr>
        <w:tc>
          <w:tcPr>
            <w:tcW w:w="2405" w:type="dxa"/>
          </w:tcPr>
          <w:p>
            <w:pPr>
              <w:widowControl/>
              <w:jc w:val="left"/>
              <w:rPr>
                <w:color w:val="auto"/>
                <w:kern w:val="0"/>
                <w:sz w:val="22"/>
              </w:rPr>
            </w:pPr>
            <w:r>
              <w:rPr>
                <w:rFonts w:hint="eastAsia"/>
                <w:color w:val="auto"/>
                <w:kern w:val="0"/>
                <w:sz w:val="22"/>
              </w:rPr>
              <w:t>电源</w:t>
            </w:r>
          </w:p>
        </w:tc>
        <w:tc>
          <w:tcPr>
            <w:tcW w:w="6521" w:type="dxa"/>
          </w:tcPr>
          <w:p>
            <w:pPr>
              <w:widowControl/>
              <w:jc w:val="left"/>
              <w:rPr>
                <w:color w:val="auto"/>
                <w:kern w:val="0"/>
                <w:sz w:val="22"/>
              </w:rPr>
            </w:pPr>
            <w:r>
              <w:rPr>
                <w:rFonts w:hint="eastAsia"/>
                <w:color w:val="auto"/>
                <w:kern w:val="0"/>
                <w:sz w:val="22"/>
              </w:rPr>
              <w:t>配置1</w:t>
            </w:r>
            <w:r>
              <w:rPr>
                <w:color w:val="auto"/>
                <w:kern w:val="0"/>
                <w:sz w:val="22"/>
              </w:rPr>
              <w:t>400W</w:t>
            </w:r>
            <w:r>
              <w:rPr>
                <w:rFonts w:hint="eastAsia"/>
                <w:color w:val="auto"/>
                <w:kern w:val="0"/>
                <w:sz w:val="22"/>
              </w:rPr>
              <w:t>冗余电源，含线缆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2405" w:type="dxa"/>
          </w:tcPr>
          <w:p>
            <w:pPr>
              <w:widowControl/>
              <w:jc w:val="left"/>
              <w:rPr>
                <w:color w:val="auto"/>
                <w:kern w:val="0"/>
                <w:sz w:val="22"/>
              </w:rPr>
            </w:pPr>
            <w:r>
              <w:rPr>
                <w:rFonts w:hint="eastAsia"/>
                <w:color w:val="auto"/>
                <w:kern w:val="0"/>
                <w:sz w:val="22"/>
              </w:rPr>
              <w:t>性能监控软件</w:t>
            </w:r>
          </w:p>
        </w:tc>
        <w:tc>
          <w:tcPr>
            <w:tcW w:w="6521" w:type="dxa"/>
          </w:tcPr>
          <w:p>
            <w:pPr>
              <w:widowControl/>
              <w:jc w:val="left"/>
              <w:rPr>
                <w:color w:val="auto"/>
                <w:kern w:val="0"/>
                <w:sz w:val="22"/>
              </w:rPr>
            </w:pPr>
            <w:r>
              <w:rPr>
                <w:rFonts w:hint="eastAsia"/>
                <w:color w:val="auto"/>
                <w:kern w:val="0"/>
                <w:sz w:val="22"/>
              </w:rPr>
              <w:t>提供与服务器同品牌性能分析软件一套，软件无代理程序，可远程运行，并收集磁盘IO，吞吐量，容量，CPU，内存使用率，IO延时，队列深度，读写比例，等指标，能够监控管理Windows/Linux设备以及VMware虚拟机信息，提供原厂官网截图及链接（需体现厂商品牌），提供一份原厂性能分析报告样本加盖投标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2405" w:type="dxa"/>
          </w:tcPr>
          <w:p>
            <w:pPr>
              <w:widowControl/>
              <w:jc w:val="left"/>
              <w:rPr>
                <w:color w:val="auto"/>
                <w:kern w:val="0"/>
                <w:sz w:val="22"/>
              </w:rPr>
            </w:pPr>
            <w:r>
              <w:rPr>
                <w:rFonts w:hint="eastAsia"/>
                <w:color w:val="auto"/>
                <w:kern w:val="0"/>
                <w:sz w:val="22"/>
              </w:rPr>
              <w:t>移动管理</w:t>
            </w:r>
          </w:p>
        </w:tc>
        <w:tc>
          <w:tcPr>
            <w:tcW w:w="6521" w:type="dxa"/>
          </w:tcPr>
          <w:p>
            <w:pPr>
              <w:widowControl/>
              <w:jc w:val="left"/>
              <w:rPr>
                <w:color w:val="auto"/>
                <w:kern w:val="0"/>
                <w:sz w:val="22"/>
              </w:rPr>
            </w:pPr>
            <w:r>
              <w:rPr>
                <w:rFonts w:hint="eastAsia"/>
                <w:color w:val="auto"/>
                <w:kern w:val="0"/>
                <w:sz w:val="22"/>
              </w:rPr>
              <w:t>提供手机和平板电脑APP，服务器配置无线蓝牙模块，可通过手机结合APP直接访问和配置服务器，提供手机App页面截图并加盖投标商公章。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2405" w:type="dxa"/>
          </w:tcPr>
          <w:p>
            <w:pPr>
              <w:widowControl/>
              <w:jc w:val="left"/>
              <w:rPr>
                <w:color w:val="auto"/>
                <w:kern w:val="0"/>
                <w:sz w:val="22"/>
              </w:rPr>
            </w:pPr>
            <w:r>
              <w:rPr>
                <w:rFonts w:hint="eastAsia"/>
                <w:color w:val="auto"/>
                <w:kern w:val="0"/>
                <w:sz w:val="22"/>
              </w:rPr>
              <w:t>售后服务</w:t>
            </w:r>
          </w:p>
        </w:tc>
        <w:tc>
          <w:tcPr>
            <w:tcW w:w="6521" w:type="dxa"/>
          </w:tcPr>
          <w:p>
            <w:pPr>
              <w:widowControl/>
              <w:jc w:val="left"/>
              <w:rPr>
                <w:color w:val="auto"/>
                <w:kern w:val="0"/>
                <w:sz w:val="22"/>
              </w:rPr>
            </w:pPr>
            <w:r>
              <w:rPr>
                <w:rFonts w:hint="eastAsia"/>
                <w:color w:val="auto"/>
                <w:kern w:val="0"/>
                <w:sz w:val="22"/>
              </w:rPr>
              <w:t>提供原厂</w:t>
            </w:r>
            <w:r>
              <w:rPr>
                <w:color w:val="auto"/>
                <w:kern w:val="0"/>
                <w:sz w:val="22"/>
              </w:rPr>
              <w:t>5</w:t>
            </w:r>
            <w:r>
              <w:rPr>
                <w:rFonts w:hint="eastAsia"/>
                <w:color w:val="auto"/>
                <w:kern w:val="0"/>
                <w:sz w:val="22"/>
              </w:rPr>
              <w:t>年7x24质保，当日4小时原厂备件上门更换服务，并提供厂商证明。提供官网自助服务链接，根据机器编码查询出厂配置及服务时限，</w:t>
            </w:r>
            <w:r>
              <w:rPr>
                <w:color w:val="auto"/>
                <w:kern w:val="0"/>
                <w:sz w:val="22"/>
              </w:rPr>
              <w:t>包含首次上门安装服务</w:t>
            </w:r>
          </w:p>
        </w:tc>
      </w:tr>
    </w:tbl>
    <w:p>
      <w:pPr>
        <w:widowControl/>
        <w:jc w:val="left"/>
        <w:rPr>
          <w:color w:val="auto"/>
          <w:kern w:val="0"/>
          <w:sz w:val="22"/>
        </w:rPr>
      </w:pPr>
      <w:r>
        <w:rPr>
          <w:rFonts w:hint="eastAsia"/>
          <w:color w:val="auto"/>
          <w:kern w:val="0"/>
          <w:sz w:val="22"/>
        </w:rPr>
        <w:t>大内存计算科研服务器，数量：3台</w:t>
      </w:r>
      <w:bookmarkEnd w:id="6"/>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3"/>
        <w:gridCol w:w="5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493" w:type="dxa"/>
          </w:tcPr>
          <w:p>
            <w:pPr>
              <w:widowControl/>
              <w:jc w:val="left"/>
              <w:rPr>
                <w:color w:val="auto"/>
                <w:kern w:val="0"/>
                <w:sz w:val="22"/>
              </w:rPr>
            </w:pPr>
            <w:bookmarkStart w:id="7" w:name="_Toc988174996"/>
            <w:r>
              <w:rPr>
                <w:rFonts w:hint="eastAsia"/>
                <w:color w:val="auto"/>
                <w:kern w:val="0"/>
                <w:sz w:val="22"/>
              </w:rPr>
              <w:t>指标项</w:t>
            </w:r>
          </w:p>
        </w:tc>
        <w:tc>
          <w:tcPr>
            <w:tcW w:w="5797" w:type="dxa"/>
          </w:tcPr>
          <w:p>
            <w:pPr>
              <w:widowControl/>
              <w:jc w:val="left"/>
              <w:rPr>
                <w:color w:val="auto"/>
                <w:kern w:val="0"/>
                <w:sz w:val="22"/>
              </w:rPr>
            </w:pPr>
            <w:r>
              <w:rPr>
                <w:rFonts w:hint="eastAsia"/>
                <w:color w:val="auto"/>
                <w:kern w:val="0"/>
                <w:sz w:val="22"/>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7" w:hRule="atLeast"/>
        </w:trPr>
        <w:tc>
          <w:tcPr>
            <w:tcW w:w="2493" w:type="dxa"/>
          </w:tcPr>
          <w:p>
            <w:pPr>
              <w:widowControl/>
              <w:jc w:val="left"/>
              <w:rPr>
                <w:color w:val="auto"/>
                <w:kern w:val="0"/>
                <w:sz w:val="22"/>
              </w:rPr>
            </w:pPr>
            <w:r>
              <w:rPr>
                <w:rFonts w:hint="eastAsia"/>
                <w:color w:val="auto"/>
                <w:kern w:val="0"/>
                <w:sz w:val="22"/>
              </w:rPr>
              <w:t>总体要求</w:t>
            </w:r>
          </w:p>
        </w:tc>
        <w:tc>
          <w:tcPr>
            <w:tcW w:w="5797" w:type="dxa"/>
          </w:tcPr>
          <w:p>
            <w:pPr>
              <w:widowControl/>
              <w:jc w:val="left"/>
              <w:rPr>
                <w:color w:val="auto"/>
                <w:kern w:val="0"/>
                <w:sz w:val="22"/>
              </w:rPr>
            </w:pPr>
            <w:r>
              <w:rPr>
                <w:rFonts w:hint="eastAsia"/>
                <w:color w:val="auto"/>
                <w:kern w:val="0"/>
                <w:sz w:val="22"/>
              </w:rPr>
              <w:t>设备规格为≤2</w:t>
            </w:r>
            <w:r>
              <w:rPr>
                <w:color w:val="auto"/>
                <w:kern w:val="0"/>
                <w:sz w:val="22"/>
              </w:rPr>
              <w:t>U</w:t>
            </w:r>
            <w:r>
              <w:rPr>
                <w:rFonts w:hint="eastAsia"/>
                <w:color w:val="auto"/>
                <w:kern w:val="0"/>
                <w:sz w:val="22"/>
              </w:rPr>
              <w:t>机架式服务器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8" w:hRule="atLeast"/>
        </w:trPr>
        <w:tc>
          <w:tcPr>
            <w:tcW w:w="2493" w:type="dxa"/>
          </w:tcPr>
          <w:p>
            <w:pPr>
              <w:widowControl/>
              <w:jc w:val="left"/>
              <w:rPr>
                <w:color w:val="auto"/>
                <w:kern w:val="0"/>
                <w:sz w:val="22"/>
              </w:rPr>
            </w:pPr>
            <w:r>
              <w:rPr>
                <w:rFonts w:hint="eastAsia"/>
                <w:color w:val="auto"/>
                <w:kern w:val="0"/>
                <w:sz w:val="22"/>
              </w:rPr>
              <w:t>CPU</w:t>
            </w:r>
          </w:p>
        </w:tc>
        <w:tc>
          <w:tcPr>
            <w:tcW w:w="5797" w:type="dxa"/>
          </w:tcPr>
          <w:p>
            <w:pPr>
              <w:widowControl/>
              <w:jc w:val="left"/>
              <w:rPr>
                <w:color w:val="auto"/>
                <w:kern w:val="0"/>
                <w:sz w:val="22"/>
              </w:rPr>
            </w:pPr>
            <w:r>
              <w:rPr>
                <w:color w:val="auto"/>
                <w:kern w:val="0"/>
                <w:sz w:val="22"/>
              </w:rPr>
              <w:t>4</w:t>
            </w:r>
            <w:r>
              <w:rPr>
                <w:rFonts w:hint="eastAsia"/>
                <w:color w:val="auto"/>
                <w:kern w:val="0"/>
                <w:sz w:val="22"/>
              </w:rPr>
              <w:t>颗处理器，每颗2.20G, 64C, 768M 缓存 x</w:t>
            </w:r>
            <w:r>
              <w:rPr>
                <w:color w:val="auto"/>
                <w:kern w:val="0"/>
                <w:sz w:val="22"/>
              </w:rPr>
              <w:t>86</w:t>
            </w:r>
            <w:r>
              <w:rPr>
                <w:rFonts w:hint="eastAsia"/>
                <w:color w:val="auto"/>
                <w:kern w:val="0"/>
                <w:sz w:val="22"/>
              </w:rPr>
              <w:t xml:space="preserve">处理器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8" w:hRule="atLeast"/>
        </w:trPr>
        <w:tc>
          <w:tcPr>
            <w:tcW w:w="2493" w:type="dxa"/>
          </w:tcPr>
          <w:p>
            <w:pPr>
              <w:widowControl/>
              <w:jc w:val="left"/>
              <w:rPr>
                <w:color w:val="auto"/>
                <w:kern w:val="0"/>
                <w:sz w:val="22"/>
              </w:rPr>
            </w:pPr>
            <w:r>
              <w:rPr>
                <w:rFonts w:hint="eastAsia"/>
                <w:color w:val="auto"/>
                <w:kern w:val="0"/>
                <w:sz w:val="22"/>
              </w:rPr>
              <w:t>内存</w:t>
            </w:r>
          </w:p>
        </w:tc>
        <w:tc>
          <w:tcPr>
            <w:tcW w:w="5797" w:type="dxa"/>
          </w:tcPr>
          <w:p>
            <w:pPr>
              <w:widowControl/>
              <w:jc w:val="left"/>
              <w:rPr>
                <w:color w:val="auto"/>
                <w:kern w:val="0"/>
                <w:sz w:val="22"/>
              </w:rPr>
            </w:pPr>
            <w:r>
              <w:rPr>
                <w:color w:val="auto"/>
                <w:kern w:val="0"/>
                <w:sz w:val="22"/>
              </w:rPr>
              <w:t>3TB DDR4 3</w:t>
            </w:r>
            <w:r>
              <w:rPr>
                <w:rFonts w:hint="eastAsia"/>
                <w:color w:val="auto"/>
                <w:kern w:val="0"/>
                <w:sz w:val="22"/>
              </w:rPr>
              <w:t>200MT/s DDR4内存，支持扩展≥32个DIMM槽位。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8" w:hRule="atLeast"/>
        </w:trPr>
        <w:tc>
          <w:tcPr>
            <w:tcW w:w="2493" w:type="dxa"/>
          </w:tcPr>
          <w:p>
            <w:pPr>
              <w:widowControl/>
              <w:jc w:val="left"/>
              <w:rPr>
                <w:color w:val="auto"/>
                <w:kern w:val="0"/>
                <w:sz w:val="22"/>
              </w:rPr>
            </w:pPr>
            <w:r>
              <w:rPr>
                <w:rFonts w:hint="eastAsia"/>
                <w:color w:val="auto"/>
                <w:kern w:val="0"/>
                <w:sz w:val="22"/>
              </w:rPr>
              <w:t>硬盘</w:t>
            </w:r>
          </w:p>
        </w:tc>
        <w:tc>
          <w:tcPr>
            <w:tcW w:w="5797" w:type="dxa"/>
          </w:tcPr>
          <w:p>
            <w:pPr>
              <w:widowControl/>
              <w:jc w:val="left"/>
              <w:rPr>
                <w:color w:val="auto"/>
                <w:kern w:val="0"/>
                <w:sz w:val="22"/>
              </w:rPr>
            </w:pPr>
            <w:r>
              <w:rPr>
                <w:rFonts w:hint="eastAsia"/>
                <w:color w:val="auto"/>
                <w:kern w:val="0"/>
                <w:sz w:val="22"/>
              </w:rPr>
              <w:t>2块9</w:t>
            </w:r>
            <w:r>
              <w:rPr>
                <w:color w:val="auto"/>
                <w:kern w:val="0"/>
                <w:sz w:val="22"/>
              </w:rPr>
              <w:t>60G SSD</w:t>
            </w:r>
            <w:r>
              <w:rPr>
                <w:rFonts w:hint="eastAsia"/>
                <w:color w:val="auto"/>
                <w:kern w:val="0"/>
                <w:sz w:val="22"/>
              </w:rPr>
              <w:t>硬盘RAID1，至少可扩展8块硬盘；配置一键删除硬盘/SSD所有信息功能，防止信息泄露，</w:t>
            </w:r>
            <w:r>
              <w:rPr>
                <w:color w:val="auto"/>
                <w:kern w:val="0"/>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 w:hRule="atLeast"/>
        </w:trPr>
        <w:tc>
          <w:tcPr>
            <w:tcW w:w="2493" w:type="dxa"/>
          </w:tcPr>
          <w:p>
            <w:pPr>
              <w:widowControl/>
              <w:jc w:val="left"/>
              <w:rPr>
                <w:color w:val="auto"/>
                <w:kern w:val="0"/>
                <w:sz w:val="22"/>
              </w:rPr>
            </w:pPr>
            <w:r>
              <w:rPr>
                <w:rFonts w:hint="eastAsia"/>
                <w:color w:val="auto"/>
                <w:kern w:val="0"/>
                <w:sz w:val="22"/>
              </w:rPr>
              <w:t>硬盘扩展支持</w:t>
            </w:r>
          </w:p>
        </w:tc>
        <w:tc>
          <w:tcPr>
            <w:tcW w:w="5797" w:type="dxa"/>
          </w:tcPr>
          <w:p>
            <w:pPr>
              <w:widowControl/>
              <w:jc w:val="left"/>
              <w:rPr>
                <w:color w:val="auto"/>
                <w:kern w:val="0"/>
                <w:sz w:val="22"/>
              </w:rPr>
            </w:pPr>
            <w:r>
              <w:rPr>
                <w:rFonts w:hint="eastAsia"/>
                <w:color w:val="auto"/>
                <w:kern w:val="0"/>
                <w:sz w:val="22"/>
              </w:rPr>
              <w:t>支持2块480G M.2 SSD配置硬件RAID1，可安装Windows，Linux，VMware  ESXi等系统；支持热插拔模式，在线更换M.2 SSD不影响系统运行。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 w:hRule="atLeast"/>
        </w:trPr>
        <w:tc>
          <w:tcPr>
            <w:tcW w:w="2493" w:type="dxa"/>
          </w:tcPr>
          <w:p>
            <w:pPr>
              <w:widowControl/>
              <w:jc w:val="left"/>
              <w:rPr>
                <w:color w:val="auto"/>
                <w:kern w:val="0"/>
                <w:sz w:val="22"/>
              </w:rPr>
            </w:pPr>
            <w:r>
              <w:rPr>
                <w:rFonts w:hint="eastAsia"/>
                <w:color w:val="auto"/>
                <w:kern w:val="0"/>
                <w:sz w:val="22"/>
              </w:rPr>
              <w:t>阵列卡</w:t>
            </w:r>
          </w:p>
        </w:tc>
        <w:tc>
          <w:tcPr>
            <w:tcW w:w="5797" w:type="dxa"/>
          </w:tcPr>
          <w:p>
            <w:pPr>
              <w:widowControl/>
              <w:jc w:val="left"/>
              <w:rPr>
                <w:color w:val="auto"/>
                <w:kern w:val="0"/>
                <w:sz w:val="22"/>
              </w:rPr>
            </w:pPr>
            <w:r>
              <w:rPr>
                <w:rFonts w:hint="eastAsia"/>
                <w:color w:val="auto"/>
                <w:kern w:val="0"/>
                <w:sz w:val="22"/>
              </w:rPr>
              <w:t>配置独立阵列卡，支持R</w:t>
            </w:r>
            <w:r>
              <w:rPr>
                <w:color w:val="auto"/>
                <w:kern w:val="0"/>
                <w:sz w:val="22"/>
              </w:rPr>
              <w:t>AID 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7" w:hRule="atLeast"/>
        </w:trPr>
        <w:tc>
          <w:tcPr>
            <w:tcW w:w="2493" w:type="dxa"/>
          </w:tcPr>
          <w:p>
            <w:pPr>
              <w:widowControl/>
              <w:jc w:val="left"/>
              <w:rPr>
                <w:color w:val="auto"/>
                <w:kern w:val="0"/>
                <w:sz w:val="22"/>
              </w:rPr>
            </w:pPr>
            <w:r>
              <w:rPr>
                <w:rFonts w:hint="eastAsia"/>
                <w:color w:val="auto"/>
                <w:kern w:val="0"/>
                <w:sz w:val="22"/>
              </w:rPr>
              <w:t>安全特性</w:t>
            </w:r>
          </w:p>
        </w:tc>
        <w:tc>
          <w:tcPr>
            <w:tcW w:w="5797" w:type="dxa"/>
          </w:tcPr>
          <w:p>
            <w:pPr>
              <w:widowControl/>
              <w:jc w:val="left"/>
              <w:rPr>
                <w:color w:val="auto"/>
                <w:kern w:val="0"/>
                <w:sz w:val="22"/>
              </w:rPr>
            </w:pPr>
            <w:r>
              <w:rPr>
                <w:rFonts w:hint="eastAsia"/>
                <w:color w:val="auto"/>
                <w:kern w:val="0"/>
                <w:sz w:val="22"/>
              </w:rPr>
              <w:t>加密签名固件，硬件根信任，安全启动，自动BIOS恢复，快速OS恢复，系统一键锁定，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7" w:hRule="atLeast"/>
        </w:trPr>
        <w:tc>
          <w:tcPr>
            <w:tcW w:w="2493" w:type="dxa"/>
          </w:tcPr>
          <w:p>
            <w:pPr>
              <w:widowControl/>
              <w:jc w:val="left"/>
              <w:rPr>
                <w:color w:val="auto"/>
                <w:kern w:val="0"/>
                <w:sz w:val="22"/>
              </w:rPr>
            </w:pPr>
            <w:r>
              <w:rPr>
                <w:rFonts w:hint="eastAsia"/>
                <w:color w:val="auto"/>
                <w:kern w:val="0"/>
                <w:sz w:val="22"/>
              </w:rPr>
              <w:t>管理</w:t>
            </w:r>
          </w:p>
        </w:tc>
        <w:tc>
          <w:tcPr>
            <w:tcW w:w="5797" w:type="dxa"/>
          </w:tcPr>
          <w:p>
            <w:pPr>
              <w:widowControl/>
              <w:jc w:val="left"/>
              <w:rPr>
                <w:color w:val="auto"/>
                <w:kern w:val="0"/>
                <w:sz w:val="22"/>
              </w:rPr>
            </w:pPr>
            <w:r>
              <w:rPr>
                <w:rFonts w:hint="eastAsia"/>
                <w:color w:val="auto"/>
                <w:kern w:val="0"/>
                <w:sz w:val="22"/>
              </w:rPr>
              <w:t>配置远程管理卡，具有单独的管理网口，可不依赖主机操作系统进行远程操作。提供远程监控图形界面, 可实现与操作系统无关的远程对服务器的完全控制，包括远程的开关机、重启、更新Firmware, 虚拟KVM, 虚拟软驱, 虚拟光驱、虚拟介质重定向等操作；支持SNMP，IPMI和Redfish；支持IPv6。</w:t>
            </w:r>
          </w:p>
          <w:p>
            <w:pPr>
              <w:widowControl/>
              <w:jc w:val="left"/>
              <w:rPr>
                <w:color w:val="auto"/>
                <w:kern w:val="0"/>
                <w:sz w:val="22"/>
              </w:rPr>
            </w:pPr>
            <w:r>
              <w:rPr>
                <w:rFonts w:hint="eastAsia"/>
                <w:color w:val="auto"/>
                <w:kern w:val="0"/>
                <w:sz w:val="22"/>
              </w:rPr>
              <w:t>远程管理卡配置组管理模式，通过一台服务器的远程管理卡统一管理多台服务器，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7" w:hRule="atLeast"/>
        </w:trPr>
        <w:tc>
          <w:tcPr>
            <w:tcW w:w="2493" w:type="dxa"/>
          </w:tcPr>
          <w:p>
            <w:pPr>
              <w:widowControl/>
              <w:jc w:val="left"/>
              <w:rPr>
                <w:color w:val="auto"/>
                <w:kern w:val="0"/>
                <w:sz w:val="22"/>
              </w:rPr>
            </w:pPr>
            <w:r>
              <w:rPr>
                <w:rFonts w:hint="eastAsia"/>
                <w:color w:val="auto"/>
                <w:kern w:val="0"/>
                <w:sz w:val="22"/>
              </w:rPr>
              <w:t>液晶管理屏幕</w:t>
            </w:r>
          </w:p>
        </w:tc>
        <w:tc>
          <w:tcPr>
            <w:tcW w:w="5797" w:type="dxa"/>
          </w:tcPr>
          <w:p>
            <w:pPr>
              <w:widowControl/>
              <w:jc w:val="left"/>
              <w:rPr>
                <w:color w:val="auto"/>
                <w:kern w:val="0"/>
                <w:sz w:val="22"/>
              </w:rPr>
            </w:pPr>
            <w:r>
              <w:rPr>
                <w:rFonts w:hint="eastAsia"/>
                <w:color w:val="auto"/>
                <w:kern w:val="0"/>
                <w:sz w:val="22"/>
              </w:rPr>
              <w:t>配置安全前面板，内置LCD液晶屏（非外接方式），可显示默认或定制信息，包括IP地址、服务器名称、支持服务编号等。如果系统发生故障，该液晶屏上将显示关于故障的具体信息，可更改带外管理IP地址、网关、DNS地址等，提供LCD操作说明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7" w:hRule="atLeast"/>
        </w:trPr>
        <w:tc>
          <w:tcPr>
            <w:tcW w:w="2493" w:type="dxa"/>
          </w:tcPr>
          <w:p>
            <w:pPr>
              <w:widowControl/>
              <w:jc w:val="left"/>
              <w:rPr>
                <w:color w:val="auto"/>
                <w:kern w:val="0"/>
                <w:sz w:val="22"/>
              </w:rPr>
            </w:pPr>
            <w:r>
              <w:rPr>
                <w:rFonts w:hint="eastAsia"/>
                <w:color w:val="auto"/>
                <w:kern w:val="0"/>
                <w:sz w:val="22"/>
              </w:rPr>
              <w:t>网络</w:t>
            </w:r>
          </w:p>
        </w:tc>
        <w:tc>
          <w:tcPr>
            <w:tcW w:w="5797" w:type="dxa"/>
          </w:tcPr>
          <w:p>
            <w:pPr>
              <w:widowControl/>
              <w:jc w:val="left"/>
              <w:rPr>
                <w:color w:val="auto"/>
                <w:kern w:val="0"/>
                <w:sz w:val="22"/>
              </w:rPr>
            </w:pPr>
            <w:r>
              <w:rPr>
                <w:rFonts w:hint="eastAsia"/>
                <w:color w:val="auto"/>
                <w:kern w:val="0"/>
                <w:sz w:val="22"/>
              </w:rPr>
              <w:t>配置</w:t>
            </w:r>
            <w:r>
              <w:rPr>
                <w:color w:val="auto"/>
                <w:kern w:val="0"/>
                <w:sz w:val="22"/>
              </w:rPr>
              <w:t>2</w:t>
            </w:r>
            <w:r>
              <w:rPr>
                <w:rFonts w:hint="eastAsia"/>
                <w:color w:val="auto"/>
                <w:kern w:val="0"/>
                <w:sz w:val="22"/>
              </w:rPr>
              <w:t>块单端口</w:t>
            </w:r>
            <w:r>
              <w:rPr>
                <w:color w:val="auto"/>
                <w:kern w:val="0"/>
                <w:sz w:val="22"/>
              </w:rPr>
              <w:t xml:space="preserve"> 100G Infiniband</w:t>
            </w:r>
            <w:r>
              <w:rPr>
                <w:rFonts w:hint="eastAsia"/>
                <w:color w:val="auto"/>
                <w:kern w:val="0"/>
                <w:sz w:val="22"/>
              </w:rPr>
              <w:t>网卡，2块双口2</w:t>
            </w:r>
            <w:r>
              <w:rPr>
                <w:color w:val="auto"/>
                <w:kern w:val="0"/>
                <w:sz w:val="22"/>
              </w:rPr>
              <w:t>5G</w:t>
            </w:r>
            <w:r>
              <w:rPr>
                <w:rFonts w:hint="eastAsia"/>
                <w:color w:val="auto"/>
                <w:kern w:val="0"/>
                <w:sz w:val="22"/>
              </w:rPr>
              <w:t>网卡，4个千兆电口，独立网管卡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7" w:hRule="atLeast"/>
        </w:trPr>
        <w:tc>
          <w:tcPr>
            <w:tcW w:w="2493" w:type="dxa"/>
          </w:tcPr>
          <w:p>
            <w:pPr>
              <w:widowControl/>
              <w:jc w:val="left"/>
              <w:rPr>
                <w:color w:val="auto"/>
                <w:kern w:val="0"/>
                <w:sz w:val="22"/>
              </w:rPr>
            </w:pPr>
            <w:r>
              <w:rPr>
                <w:rFonts w:hint="eastAsia"/>
                <w:color w:val="auto"/>
                <w:kern w:val="0"/>
                <w:sz w:val="22"/>
              </w:rPr>
              <w:t>性能监控软件</w:t>
            </w:r>
          </w:p>
        </w:tc>
        <w:tc>
          <w:tcPr>
            <w:tcW w:w="5797" w:type="dxa"/>
          </w:tcPr>
          <w:p>
            <w:pPr>
              <w:widowControl/>
              <w:jc w:val="left"/>
              <w:rPr>
                <w:color w:val="auto"/>
                <w:kern w:val="0"/>
                <w:sz w:val="22"/>
              </w:rPr>
            </w:pPr>
            <w:r>
              <w:rPr>
                <w:rFonts w:hint="eastAsia"/>
                <w:color w:val="auto"/>
                <w:kern w:val="0"/>
                <w:sz w:val="22"/>
              </w:rPr>
              <w:t>提供与服务器同品牌性能分析软件一套，软件无代理程序，可远程运行，并收集磁盘IO，吞吐量，容量，CPU，内存使用率，IO延时，队列深度，读写比例，等指标，能够监控管理Windows/Linux设备以及VMware虚拟机信息，提供原厂官网截图及链接（需体现厂商品牌），提供一份原厂性能分析报告样本加盖投标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7" w:hRule="atLeast"/>
        </w:trPr>
        <w:tc>
          <w:tcPr>
            <w:tcW w:w="2493" w:type="dxa"/>
          </w:tcPr>
          <w:p>
            <w:pPr>
              <w:widowControl/>
              <w:jc w:val="left"/>
              <w:rPr>
                <w:color w:val="auto"/>
                <w:kern w:val="0"/>
                <w:sz w:val="22"/>
              </w:rPr>
            </w:pPr>
            <w:r>
              <w:rPr>
                <w:rFonts w:hint="eastAsia"/>
                <w:color w:val="auto"/>
                <w:kern w:val="0"/>
                <w:sz w:val="22"/>
              </w:rPr>
              <w:t>移动管理</w:t>
            </w:r>
          </w:p>
        </w:tc>
        <w:tc>
          <w:tcPr>
            <w:tcW w:w="5797" w:type="dxa"/>
          </w:tcPr>
          <w:p>
            <w:pPr>
              <w:widowControl/>
              <w:jc w:val="left"/>
              <w:rPr>
                <w:color w:val="auto"/>
                <w:kern w:val="0"/>
                <w:sz w:val="22"/>
              </w:rPr>
            </w:pPr>
            <w:r>
              <w:rPr>
                <w:rFonts w:hint="eastAsia"/>
                <w:color w:val="auto"/>
                <w:kern w:val="0"/>
                <w:sz w:val="22"/>
              </w:rPr>
              <w:t>提供手机和平板电脑APP，服务器配置无线蓝牙模块，可通过手机结合APP直接访问和配置服务器，提供手机App页面截图并加盖投标商公章。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7" w:hRule="atLeast"/>
        </w:trPr>
        <w:tc>
          <w:tcPr>
            <w:tcW w:w="2493" w:type="dxa"/>
          </w:tcPr>
          <w:p>
            <w:pPr>
              <w:widowControl/>
              <w:jc w:val="left"/>
              <w:rPr>
                <w:color w:val="auto"/>
                <w:kern w:val="0"/>
                <w:sz w:val="22"/>
              </w:rPr>
            </w:pPr>
            <w:r>
              <w:rPr>
                <w:rFonts w:hint="eastAsia"/>
                <w:color w:val="auto"/>
                <w:kern w:val="0"/>
                <w:sz w:val="22"/>
              </w:rPr>
              <w:t>电源</w:t>
            </w:r>
          </w:p>
        </w:tc>
        <w:tc>
          <w:tcPr>
            <w:tcW w:w="5797" w:type="dxa"/>
          </w:tcPr>
          <w:p>
            <w:pPr>
              <w:widowControl/>
              <w:jc w:val="left"/>
              <w:rPr>
                <w:color w:val="auto"/>
                <w:kern w:val="0"/>
                <w:sz w:val="22"/>
              </w:rPr>
            </w:pPr>
            <w:r>
              <w:rPr>
                <w:rFonts w:hint="eastAsia"/>
                <w:color w:val="auto"/>
                <w:kern w:val="0"/>
                <w:sz w:val="22"/>
              </w:rPr>
              <w:t>配置1</w:t>
            </w:r>
            <w:r>
              <w:rPr>
                <w:color w:val="auto"/>
                <w:kern w:val="0"/>
                <w:sz w:val="22"/>
              </w:rPr>
              <w:t>400W</w:t>
            </w:r>
            <w:r>
              <w:rPr>
                <w:rFonts w:hint="eastAsia"/>
                <w:color w:val="auto"/>
                <w:kern w:val="0"/>
                <w:sz w:val="22"/>
              </w:rPr>
              <w:t>冗余电源，含线缆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7" w:hRule="atLeast"/>
        </w:trPr>
        <w:tc>
          <w:tcPr>
            <w:tcW w:w="2493" w:type="dxa"/>
          </w:tcPr>
          <w:p>
            <w:pPr>
              <w:widowControl/>
              <w:jc w:val="left"/>
              <w:rPr>
                <w:color w:val="auto"/>
                <w:kern w:val="0"/>
                <w:sz w:val="22"/>
              </w:rPr>
            </w:pPr>
            <w:r>
              <w:rPr>
                <w:rFonts w:hint="eastAsia"/>
                <w:color w:val="auto"/>
                <w:kern w:val="0"/>
                <w:sz w:val="22"/>
              </w:rPr>
              <w:t>售后服务</w:t>
            </w:r>
          </w:p>
        </w:tc>
        <w:tc>
          <w:tcPr>
            <w:tcW w:w="5797" w:type="dxa"/>
          </w:tcPr>
          <w:p>
            <w:pPr>
              <w:widowControl/>
              <w:jc w:val="left"/>
              <w:rPr>
                <w:color w:val="auto"/>
                <w:kern w:val="0"/>
                <w:sz w:val="22"/>
              </w:rPr>
            </w:pPr>
            <w:r>
              <w:rPr>
                <w:rFonts w:hint="eastAsia"/>
                <w:color w:val="auto"/>
                <w:kern w:val="0"/>
                <w:sz w:val="22"/>
              </w:rPr>
              <w:t>提供原厂</w:t>
            </w:r>
            <w:r>
              <w:rPr>
                <w:color w:val="auto"/>
                <w:kern w:val="0"/>
                <w:sz w:val="22"/>
              </w:rPr>
              <w:t>5</w:t>
            </w:r>
            <w:r>
              <w:rPr>
                <w:rFonts w:hint="eastAsia"/>
                <w:color w:val="auto"/>
                <w:kern w:val="0"/>
                <w:sz w:val="22"/>
              </w:rPr>
              <w:t>年7x24质保，当日4小时原厂备件上门更换服务，并提供厂商证明。提供官网自助服务链接，根据机器编码查询出厂配置及服务时限，</w:t>
            </w:r>
            <w:r>
              <w:rPr>
                <w:color w:val="auto"/>
                <w:kern w:val="0"/>
                <w:sz w:val="22"/>
              </w:rPr>
              <w:t>包含首次上门安装服务</w:t>
            </w:r>
          </w:p>
        </w:tc>
      </w:tr>
    </w:tbl>
    <w:p>
      <w:pPr>
        <w:pStyle w:val="31"/>
        <w:keepNext/>
        <w:keepLines/>
        <w:numPr>
          <w:ilvl w:val="0"/>
          <w:numId w:val="4"/>
        </w:numPr>
        <w:spacing w:line="360" w:lineRule="auto"/>
        <w:ind w:firstLineChars="0"/>
        <w:outlineLvl w:val="2"/>
        <w:rPr>
          <w:rFonts w:ascii="宋体" w:hAnsi="宋体" w:cs="宋体"/>
          <w:color w:val="auto"/>
          <w:kern w:val="0"/>
          <w:sz w:val="24"/>
        </w:rPr>
      </w:pPr>
      <w:r>
        <w:rPr>
          <w:rFonts w:hint="eastAsia" w:ascii="宋体" w:hAnsi="宋体" w:cs="宋体"/>
          <w:color w:val="auto"/>
          <w:kern w:val="0"/>
          <w:sz w:val="24"/>
        </w:rPr>
        <w:t>GPU高性能计算科研服务器，数量：</w:t>
      </w:r>
      <w:r>
        <w:rPr>
          <w:rFonts w:ascii="宋体" w:hAnsi="宋体" w:cs="宋体"/>
          <w:color w:val="auto"/>
          <w:kern w:val="0"/>
          <w:sz w:val="24"/>
        </w:rPr>
        <w:t>2</w:t>
      </w:r>
      <w:bookmarkEnd w:id="7"/>
      <w:r>
        <w:rPr>
          <w:rFonts w:hint="eastAsia" w:ascii="宋体" w:hAnsi="宋体" w:cs="宋体"/>
          <w:color w:val="auto"/>
          <w:kern w:val="0"/>
          <w:sz w:val="24"/>
        </w:rPr>
        <w:t>台</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5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jc w:val="left"/>
              <w:rPr>
                <w:rFonts w:ascii="宋体" w:hAnsi="宋体"/>
                <w:b/>
                <w:bCs/>
                <w:color w:val="auto"/>
                <w:kern w:val="0"/>
                <w:sz w:val="24"/>
                <w14:ligatures w14:val="standardContextual"/>
              </w:rPr>
            </w:pPr>
            <w:bookmarkStart w:id="8" w:name="_Toc1766115521"/>
            <w:r>
              <w:rPr>
                <w:rFonts w:hint="eastAsia" w:ascii="宋体" w:hAnsi="宋体"/>
                <w:b/>
                <w:bCs/>
                <w:color w:val="auto"/>
                <w:kern w:val="0"/>
                <w:sz w:val="24"/>
                <w14:ligatures w14:val="standardContextual"/>
              </w:rPr>
              <w:t>指标项</w:t>
            </w:r>
          </w:p>
        </w:tc>
        <w:tc>
          <w:tcPr>
            <w:tcW w:w="5749" w:type="dxa"/>
          </w:tcPr>
          <w:p>
            <w:pPr>
              <w:jc w:val="left"/>
              <w:rPr>
                <w:rFonts w:ascii="宋体" w:hAnsi="宋体"/>
                <w:b/>
                <w:bCs/>
                <w:color w:val="auto"/>
                <w:kern w:val="0"/>
                <w:sz w:val="24"/>
                <w14:ligatures w14:val="standardContextual"/>
              </w:rPr>
            </w:pPr>
            <w:r>
              <w:rPr>
                <w:rFonts w:hint="eastAsia" w:ascii="宋体" w:hAnsi="宋体"/>
                <w:b/>
                <w:bCs/>
                <w:color w:val="auto"/>
                <w:kern w:val="0"/>
                <w:sz w:val="24"/>
                <w14:ligatures w14:val="standardContextual"/>
              </w:rPr>
              <w:t>技术规格要求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jc w:val="left"/>
              <w:rPr>
                <w:rFonts w:ascii="宋体" w:hAnsi="宋体"/>
                <w:color w:val="auto"/>
                <w:kern w:val="0"/>
                <w:sz w:val="24"/>
                <w14:ligatures w14:val="standardContextual"/>
              </w:rPr>
            </w:pPr>
            <w:r>
              <w:rPr>
                <w:rFonts w:hint="eastAsia" w:ascii="宋体" w:hAnsi="宋体"/>
                <w:color w:val="auto"/>
                <w:kern w:val="0"/>
                <w:sz w:val="24"/>
                <w14:ligatures w14:val="standardContextual"/>
              </w:rPr>
              <w:t>总体要求</w:t>
            </w:r>
          </w:p>
        </w:tc>
        <w:tc>
          <w:tcPr>
            <w:tcW w:w="5749" w:type="dxa"/>
          </w:tcPr>
          <w:p>
            <w:pPr>
              <w:jc w:val="left"/>
              <w:rPr>
                <w:rFonts w:ascii="宋体" w:hAnsi="宋体"/>
                <w:color w:val="auto"/>
                <w:kern w:val="0"/>
                <w:sz w:val="24"/>
                <w14:ligatures w14:val="standardContextual"/>
              </w:rPr>
            </w:pPr>
            <w:r>
              <w:rPr>
                <w:rFonts w:hint="eastAsia" w:ascii="宋体" w:hAnsi="宋体"/>
                <w:color w:val="auto"/>
                <w:kern w:val="0"/>
                <w:sz w:val="24"/>
                <w14:ligatures w14:val="standardContextual"/>
              </w:rPr>
              <w:t>标准 8U 机架式服务器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jc w:val="left"/>
              <w:rPr>
                <w:rFonts w:ascii="宋体" w:hAnsi="宋体"/>
                <w:color w:val="auto"/>
                <w:kern w:val="0"/>
                <w:sz w:val="24"/>
                <w14:ligatures w14:val="standardContextual"/>
              </w:rPr>
            </w:pPr>
            <w:r>
              <w:rPr>
                <w:rFonts w:hint="eastAsia" w:ascii="宋体" w:hAnsi="宋体" w:cs="楷体"/>
                <w:color w:val="auto"/>
                <w:kern w:val="0"/>
                <w:sz w:val="22"/>
                <w:lang w:bidi="ar"/>
              </w:rPr>
              <w:t>▲</w:t>
            </w:r>
            <w:r>
              <w:rPr>
                <w:rFonts w:hint="eastAsia" w:ascii="宋体" w:hAnsi="宋体"/>
                <w:color w:val="auto"/>
                <w:kern w:val="0"/>
                <w:sz w:val="24"/>
                <w14:ligatures w14:val="standardContextual"/>
              </w:rPr>
              <w:t>高性能图像加速卡</w:t>
            </w:r>
          </w:p>
        </w:tc>
        <w:tc>
          <w:tcPr>
            <w:tcW w:w="5749" w:type="dxa"/>
          </w:tcPr>
          <w:p>
            <w:pPr>
              <w:jc w:val="left"/>
              <w:rPr>
                <w:rFonts w:ascii="宋体" w:hAnsi="宋体"/>
                <w:color w:val="auto"/>
                <w:kern w:val="0"/>
                <w:sz w:val="24"/>
                <w14:ligatures w14:val="standardContextual"/>
              </w:rPr>
            </w:pPr>
            <w:r>
              <w:rPr>
                <w:rFonts w:hint="eastAsia" w:ascii="宋体" w:hAnsi="宋体"/>
                <w:color w:val="auto"/>
                <w:kern w:val="0"/>
                <w:sz w:val="24"/>
                <w14:ligatures w14:val="standardContextual"/>
              </w:rPr>
              <w:t>每台服务器包含的高性能图形加速卡提供的单精度运算能力≥320TFLOPS，FP16（非稀疏）运算能力≥1170TFLOPS，FP16（非稀疏）运算能力≥2340TFLOPS，单块图形加速卡显存≥96GB，任意2张图形加速卡间通讯速度≥900GB/s。提供参数证明材料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2547" w:type="dxa"/>
          </w:tcPr>
          <w:p>
            <w:pPr>
              <w:jc w:val="left"/>
              <w:rPr>
                <w:rFonts w:ascii="宋体" w:hAnsi="宋体"/>
                <w:color w:val="auto"/>
                <w:kern w:val="0"/>
                <w:sz w:val="24"/>
                <w14:ligatures w14:val="standardContextual"/>
              </w:rPr>
            </w:pPr>
            <w:r>
              <w:rPr>
                <w:rFonts w:hint="eastAsia" w:ascii="宋体" w:hAnsi="宋体" w:cs="楷体"/>
                <w:color w:val="auto"/>
                <w:kern w:val="0"/>
                <w:sz w:val="22"/>
                <w:lang w:bidi="ar"/>
              </w:rPr>
              <w:t>▲</w:t>
            </w:r>
            <w:r>
              <w:rPr>
                <w:rFonts w:hint="eastAsia" w:ascii="宋体" w:hAnsi="宋体"/>
                <w:color w:val="auto"/>
                <w:kern w:val="0"/>
                <w:sz w:val="24"/>
                <w14:ligatures w14:val="standardContextual"/>
              </w:rPr>
              <w:t>CPU处理器</w:t>
            </w:r>
          </w:p>
        </w:tc>
        <w:tc>
          <w:tcPr>
            <w:tcW w:w="5749" w:type="dxa"/>
          </w:tcPr>
          <w:p>
            <w:pPr>
              <w:jc w:val="left"/>
              <w:rPr>
                <w:rFonts w:hint="eastAsia" w:ascii="宋体" w:hAnsi="宋体"/>
                <w:color w:val="auto"/>
                <w:kern w:val="0"/>
                <w:sz w:val="24"/>
                <w14:ligatures w14:val="standardContextual"/>
              </w:rPr>
            </w:pPr>
            <w:r>
              <w:rPr>
                <w:rFonts w:hint="eastAsia" w:ascii="宋体" w:hAnsi="宋体"/>
                <w:color w:val="auto"/>
                <w:kern w:val="0"/>
                <w:sz w:val="24"/>
                <w14:ligatures w14:val="standardContextual"/>
              </w:rPr>
              <w:t>每台服务器配置2颗Intel第4代CPU处理器或同性能的处理器，单颗CPU性能不低于：核心数≥56，主频≥2.0GHz，最大睿频≥3.8GHz，缓存≥105MB 的CPU处理器。提供参数证明材料并加盖公章。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547" w:type="dxa"/>
          </w:tcPr>
          <w:p>
            <w:pPr>
              <w:jc w:val="left"/>
              <w:rPr>
                <w:rFonts w:ascii="宋体" w:hAnsi="宋体"/>
                <w:color w:val="auto"/>
                <w:kern w:val="0"/>
                <w:sz w:val="24"/>
                <w14:ligatures w14:val="standardContextual"/>
              </w:rPr>
            </w:pPr>
            <w:r>
              <w:rPr>
                <w:rFonts w:hint="eastAsia" w:ascii="宋体" w:hAnsi="宋体"/>
                <w:color w:val="auto"/>
                <w:kern w:val="0"/>
                <w:sz w:val="24"/>
                <w14:ligatures w14:val="standardContextual"/>
              </w:rPr>
              <w:t>内存</w:t>
            </w:r>
          </w:p>
        </w:tc>
        <w:tc>
          <w:tcPr>
            <w:tcW w:w="5749" w:type="dxa"/>
          </w:tcPr>
          <w:p>
            <w:pPr>
              <w:jc w:val="left"/>
              <w:rPr>
                <w:rFonts w:ascii="宋体" w:hAnsi="宋体"/>
                <w:color w:val="auto"/>
                <w:kern w:val="0"/>
                <w:sz w:val="24"/>
                <w14:ligatures w14:val="standardContextual"/>
              </w:rPr>
            </w:pPr>
            <w:r>
              <w:rPr>
                <w:rFonts w:hint="eastAsia" w:ascii="宋体" w:hAnsi="宋体"/>
                <w:color w:val="auto"/>
                <w:kern w:val="0"/>
                <w:sz w:val="24"/>
                <w14:ligatures w14:val="standardContextual"/>
              </w:rPr>
              <w:t>每台服务器配置≥2TB DDR5内存，单条内存≥64GB，频率≥4800MHz，支持ECC功能。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2547" w:type="dxa"/>
          </w:tcPr>
          <w:p>
            <w:pPr>
              <w:jc w:val="left"/>
              <w:rPr>
                <w:rFonts w:ascii="宋体" w:hAnsi="宋体"/>
                <w:color w:val="auto"/>
                <w:kern w:val="0"/>
                <w:sz w:val="24"/>
                <w14:ligatures w14:val="standardContextual"/>
              </w:rPr>
            </w:pPr>
            <w:r>
              <w:rPr>
                <w:rFonts w:hint="eastAsia" w:ascii="宋体" w:hAnsi="宋体"/>
                <w:color w:val="auto"/>
                <w:kern w:val="0"/>
                <w:sz w:val="24"/>
                <w14:ligatures w14:val="standardContextual"/>
              </w:rPr>
              <w:t>硬盘</w:t>
            </w:r>
          </w:p>
        </w:tc>
        <w:tc>
          <w:tcPr>
            <w:tcW w:w="5749" w:type="dxa"/>
          </w:tcPr>
          <w:p>
            <w:pPr>
              <w:spacing w:line="360" w:lineRule="auto"/>
              <w:rPr>
                <w:rFonts w:ascii="宋体" w:hAnsi="宋体"/>
                <w:color w:val="auto"/>
                <w:kern w:val="0"/>
                <w:sz w:val="24"/>
                <w:u w:color="000000"/>
              </w:rPr>
            </w:pPr>
            <w:r>
              <w:rPr>
                <w:rFonts w:hint="eastAsia" w:ascii="宋体" w:hAnsi="宋体"/>
                <w:color w:val="auto"/>
                <w:kern w:val="0"/>
                <w:sz w:val="24"/>
                <w:u w:color="000000"/>
              </w:rPr>
              <w:t>每台服务器配置系统磁盘≥2块960G 2.5寸SATA SSD、存储磁盘≥4块 3.84T 2.5寸NVME U.2 SSD。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2547" w:type="dxa"/>
          </w:tcPr>
          <w:p>
            <w:pPr>
              <w:jc w:val="left"/>
              <w:rPr>
                <w:rFonts w:ascii="宋体" w:hAnsi="宋体"/>
                <w:color w:val="auto"/>
                <w:kern w:val="0"/>
                <w:sz w:val="24"/>
                <w14:ligatures w14:val="standardContextual"/>
              </w:rPr>
            </w:pPr>
            <w:r>
              <w:rPr>
                <w:rFonts w:hint="eastAsia" w:ascii="宋体" w:hAnsi="宋体" w:cs="楷体"/>
                <w:color w:val="auto"/>
                <w:kern w:val="0"/>
                <w:sz w:val="22"/>
                <w:lang w:bidi="ar"/>
              </w:rPr>
              <w:t>▲</w:t>
            </w:r>
            <w:r>
              <w:rPr>
                <w:rFonts w:hint="eastAsia" w:ascii="宋体" w:hAnsi="宋体" w:cs="宋体"/>
                <w:color w:val="auto"/>
                <w:kern w:val="0"/>
                <w:sz w:val="24"/>
                <w14:ligatures w14:val="standardContextual"/>
              </w:rPr>
              <w:t>计算网卡</w:t>
            </w:r>
          </w:p>
        </w:tc>
        <w:tc>
          <w:tcPr>
            <w:tcW w:w="5749" w:type="dxa"/>
          </w:tcPr>
          <w:p>
            <w:pPr>
              <w:spacing w:line="360" w:lineRule="auto"/>
              <w:rPr>
                <w:rFonts w:ascii="宋体" w:hAnsi="宋体"/>
                <w:color w:val="auto"/>
                <w:kern w:val="0"/>
                <w:sz w:val="24"/>
                <w:u w:color="000000"/>
              </w:rPr>
            </w:pPr>
            <w:r>
              <w:rPr>
                <w:rFonts w:hint="eastAsia" w:ascii="宋体" w:hAnsi="宋体"/>
                <w:color w:val="auto"/>
                <w:kern w:val="0"/>
                <w:sz w:val="24"/>
                <w:u w:color="000000"/>
              </w:rPr>
              <w:t>每台服务器配置≥4块单口NDR InfiniBand计算网卡，单个端口通讯速率≥</w:t>
            </w:r>
            <w:r>
              <w:rPr>
                <w:rFonts w:ascii="宋体" w:hAnsi="宋体"/>
                <w:color w:val="auto"/>
                <w:kern w:val="0"/>
                <w:sz w:val="24"/>
                <w:u w:color="000000"/>
              </w:rPr>
              <w:t>400Gb/s</w:t>
            </w:r>
            <w:r>
              <w:rPr>
                <w:rFonts w:hint="eastAsia" w:ascii="宋体" w:hAnsi="宋体"/>
                <w:color w:val="auto"/>
                <w:kern w:val="0"/>
                <w:sz w:val="24"/>
                <w:u w:color="000000"/>
              </w:rPr>
              <w:t>。</w:t>
            </w:r>
            <w:r>
              <w:rPr>
                <w:rFonts w:hint="eastAsia" w:ascii="宋体" w:hAnsi="宋体"/>
                <w:color w:val="auto"/>
                <w:kern w:val="0"/>
                <w:sz w:val="24"/>
                <w14:ligatures w14:val="standardContextual"/>
              </w:rPr>
              <w:t>提供参数证明材料并加盖公章。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2547" w:type="dxa"/>
          </w:tcPr>
          <w:p>
            <w:pPr>
              <w:jc w:val="left"/>
              <w:rPr>
                <w:rFonts w:ascii="宋体" w:hAnsi="宋体"/>
                <w:color w:val="auto"/>
                <w:kern w:val="0"/>
                <w:sz w:val="24"/>
                <w14:ligatures w14:val="standardContextual"/>
              </w:rPr>
            </w:pPr>
            <w:r>
              <w:rPr>
                <w:rFonts w:hint="eastAsia" w:ascii="宋体" w:hAnsi="宋体"/>
                <w:color w:val="auto"/>
                <w:kern w:val="0"/>
                <w:sz w:val="24"/>
                <w14:ligatures w14:val="standardContextual"/>
              </w:rPr>
              <w:t>业务网卡</w:t>
            </w:r>
          </w:p>
        </w:tc>
        <w:tc>
          <w:tcPr>
            <w:tcW w:w="5749" w:type="dxa"/>
          </w:tcPr>
          <w:p>
            <w:pPr>
              <w:spacing w:line="360" w:lineRule="auto"/>
              <w:rPr>
                <w:rFonts w:ascii="宋体" w:hAnsi="宋体"/>
                <w:color w:val="auto"/>
                <w:kern w:val="0"/>
                <w:sz w:val="24"/>
                <w:u w:color="000000"/>
              </w:rPr>
            </w:pPr>
            <w:r>
              <w:rPr>
                <w:rFonts w:hint="eastAsia" w:ascii="宋体" w:hAnsi="宋体"/>
                <w:color w:val="auto"/>
                <w:kern w:val="0"/>
                <w:sz w:val="24"/>
                <w:u w:color="000000"/>
              </w:rPr>
              <w:t>每台服务器配置1块双口以太网卡，单个端口通讯速率≥25Gb/s，含2个25Gb光模块。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2547" w:type="dxa"/>
          </w:tcPr>
          <w:p>
            <w:pPr>
              <w:jc w:val="left"/>
              <w:rPr>
                <w:rFonts w:ascii="宋体" w:hAnsi="宋体"/>
                <w:color w:val="auto"/>
                <w:kern w:val="0"/>
                <w:sz w:val="24"/>
                <w14:ligatures w14:val="standardContextual"/>
              </w:rPr>
            </w:pPr>
            <w:r>
              <w:rPr>
                <w:rFonts w:hint="eastAsia" w:ascii="宋体" w:hAnsi="宋体"/>
                <w:color w:val="auto"/>
                <w:kern w:val="0"/>
                <w:sz w:val="24"/>
                <w14:ligatures w14:val="standardContextual"/>
              </w:rPr>
              <w:t>硬盘控制器</w:t>
            </w:r>
          </w:p>
        </w:tc>
        <w:tc>
          <w:tcPr>
            <w:tcW w:w="5749" w:type="dxa"/>
          </w:tcPr>
          <w:p>
            <w:pPr>
              <w:spacing w:line="360" w:lineRule="auto"/>
              <w:rPr>
                <w:rFonts w:ascii="宋体" w:hAnsi="宋体"/>
                <w:color w:val="auto"/>
                <w:kern w:val="0"/>
                <w:sz w:val="24"/>
                <w:u w:color="000000"/>
              </w:rPr>
            </w:pPr>
            <w:r>
              <w:rPr>
                <w:rFonts w:hint="eastAsia" w:ascii="宋体" w:hAnsi="宋体"/>
                <w:color w:val="auto"/>
                <w:kern w:val="0"/>
                <w:sz w:val="24"/>
                <w:u w:color="000000"/>
              </w:rPr>
              <w:t>1块独立的RAID卡，缓存≥4GB，支持RAID 0,1,5等级别。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trPr>
        <w:tc>
          <w:tcPr>
            <w:tcW w:w="2547" w:type="dxa"/>
          </w:tcPr>
          <w:p>
            <w:pPr>
              <w:jc w:val="left"/>
              <w:rPr>
                <w:rFonts w:ascii="宋体" w:hAnsi="宋体"/>
                <w:color w:val="auto"/>
                <w:kern w:val="0"/>
                <w:sz w:val="24"/>
                <w14:ligatures w14:val="standardContextual"/>
              </w:rPr>
            </w:pPr>
            <w:r>
              <w:rPr>
                <w:rFonts w:hint="eastAsia" w:ascii="宋体" w:hAnsi="宋体"/>
                <w:color w:val="auto"/>
                <w:kern w:val="0"/>
                <w:sz w:val="24"/>
                <w14:ligatures w14:val="standardContextual"/>
              </w:rPr>
              <w:t>电源</w:t>
            </w:r>
          </w:p>
        </w:tc>
        <w:tc>
          <w:tcPr>
            <w:tcW w:w="5749" w:type="dxa"/>
          </w:tcPr>
          <w:p>
            <w:pPr>
              <w:spacing w:line="360" w:lineRule="auto"/>
              <w:rPr>
                <w:rFonts w:ascii="宋体" w:hAnsi="宋体"/>
                <w:color w:val="auto"/>
                <w:kern w:val="0"/>
                <w:sz w:val="24"/>
                <w:u w:color="000000"/>
              </w:rPr>
            </w:pPr>
            <w:r>
              <w:rPr>
                <w:rFonts w:hint="eastAsia" w:ascii="宋体" w:hAnsi="宋体"/>
                <w:color w:val="auto"/>
                <w:kern w:val="0"/>
                <w:sz w:val="24"/>
                <w:u w:color="000000"/>
              </w:rPr>
              <w:t>配置≥8个热插拔冗余电源，支持N+N冗余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2547" w:type="dxa"/>
          </w:tcPr>
          <w:p>
            <w:pPr>
              <w:jc w:val="left"/>
              <w:rPr>
                <w:rFonts w:ascii="宋体" w:hAnsi="宋体"/>
                <w:color w:val="auto"/>
                <w:kern w:val="0"/>
                <w:sz w:val="24"/>
                <w14:ligatures w14:val="standardContextual"/>
              </w:rPr>
            </w:pPr>
            <w:r>
              <w:rPr>
                <w:rFonts w:hint="eastAsia" w:ascii="宋体" w:hAnsi="宋体"/>
                <w:color w:val="auto"/>
                <w:kern w:val="0"/>
                <w:sz w:val="24"/>
                <w14:ligatures w14:val="standardContextual"/>
              </w:rPr>
              <w:t>质保要求</w:t>
            </w:r>
          </w:p>
        </w:tc>
        <w:tc>
          <w:tcPr>
            <w:tcW w:w="5749" w:type="dxa"/>
          </w:tcPr>
          <w:p>
            <w:pPr>
              <w:spacing w:line="360" w:lineRule="auto"/>
              <w:rPr>
                <w:rFonts w:ascii="宋体" w:hAnsi="宋体"/>
                <w:color w:val="auto"/>
                <w:kern w:val="0"/>
                <w:sz w:val="24"/>
                <w:u w:color="000000"/>
              </w:rPr>
            </w:pPr>
            <w:r>
              <w:rPr>
                <w:rFonts w:hint="eastAsia" w:ascii="宋体" w:hAnsi="宋体"/>
                <w:color w:val="auto"/>
                <w:kern w:val="0"/>
                <w:sz w:val="24"/>
                <w:u w:color="000000"/>
              </w:rPr>
              <w:t>提供不少于</w:t>
            </w:r>
            <w:r>
              <w:rPr>
                <w:rFonts w:hint="eastAsia" w:ascii="宋体" w:hAnsi="宋体"/>
                <w:color w:val="auto"/>
                <w:kern w:val="0"/>
                <w:sz w:val="24"/>
                <w:u w:color="000000"/>
                <w:lang w:val="en-US" w:eastAsia="zh-CN"/>
              </w:rPr>
              <w:t>5</w:t>
            </w:r>
            <w:r>
              <w:rPr>
                <w:rFonts w:hint="eastAsia" w:ascii="宋体" w:hAnsi="宋体"/>
                <w:color w:val="auto"/>
                <w:kern w:val="0"/>
                <w:sz w:val="24"/>
                <w:u w:color="000000"/>
              </w:rPr>
              <w:t>年GPU服务器原厂免费质保和升级服务。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2547" w:type="dxa"/>
            <w:vMerge w:val="restart"/>
          </w:tcPr>
          <w:p>
            <w:pPr>
              <w:jc w:val="left"/>
              <w:rPr>
                <w:rFonts w:ascii="宋体" w:hAnsi="宋体"/>
                <w:color w:val="auto"/>
                <w:kern w:val="0"/>
                <w:sz w:val="24"/>
                <w14:ligatures w14:val="standardContextual"/>
              </w:rPr>
            </w:pPr>
            <w:r>
              <w:rPr>
                <w:rFonts w:hint="eastAsia" w:ascii="宋体" w:hAnsi="宋体"/>
                <w:color w:val="auto"/>
                <w:kern w:val="0"/>
                <w:sz w:val="24"/>
                <w14:ligatures w14:val="standardContextual"/>
              </w:rPr>
              <w:t>售后服务</w:t>
            </w:r>
          </w:p>
        </w:tc>
        <w:tc>
          <w:tcPr>
            <w:tcW w:w="5749" w:type="dxa"/>
          </w:tcPr>
          <w:p>
            <w:pPr>
              <w:jc w:val="left"/>
              <w:rPr>
                <w:rFonts w:ascii="等线" w:hAnsi="等线" w:eastAsia="等线"/>
                <w:color w:val="auto"/>
                <w:kern w:val="0"/>
                <w:sz w:val="22"/>
                <w14:ligatures w14:val="standardContextual"/>
              </w:rPr>
            </w:pPr>
            <w:r>
              <w:rPr>
                <w:rFonts w:hint="eastAsia" w:ascii="宋体" w:hAnsi="宋体"/>
                <w:color w:val="auto"/>
                <w:kern w:val="0"/>
                <w:sz w:val="24"/>
                <w:u w:color="000000"/>
              </w:rPr>
              <w:t>投标人须提供高性能图像加速服务器的集成服务，包括但不限于：Ubuntu 22.04的图形化操作系统安装、DeepSeek-R1 671B大模型本地安装部署等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2547" w:type="dxa"/>
            <w:vMerge w:val="continue"/>
          </w:tcPr>
          <w:p>
            <w:pPr>
              <w:jc w:val="left"/>
              <w:rPr>
                <w:rFonts w:ascii="宋体" w:hAnsi="宋体"/>
                <w:color w:val="auto"/>
                <w:kern w:val="0"/>
                <w:sz w:val="24"/>
                <w14:ligatures w14:val="standardContextual"/>
              </w:rPr>
            </w:pPr>
          </w:p>
        </w:tc>
        <w:tc>
          <w:tcPr>
            <w:tcW w:w="5749" w:type="dxa"/>
          </w:tcPr>
          <w:p>
            <w:pPr>
              <w:jc w:val="left"/>
              <w:rPr>
                <w:rFonts w:ascii="等线" w:hAnsi="等线" w:eastAsia="等线"/>
                <w:color w:val="auto"/>
                <w:kern w:val="0"/>
                <w:sz w:val="22"/>
                <w14:ligatures w14:val="standardContextual"/>
              </w:rPr>
            </w:pPr>
            <w:r>
              <w:rPr>
                <w:rFonts w:hint="eastAsia" w:ascii="宋体" w:hAnsi="宋体"/>
                <w:color w:val="auto"/>
                <w:kern w:val="0"/>
                <w:sz w:val="24"/>
                <w:u w:color="000000"/>
              </w:rPr>
              <w:t>投标人须提供高性能图像加速服务器的部署实施服务，包括但不限于：硬件设备的上架安装、部署调试、硬件及大模型的使用培训等</w:t>
            </w:r>
          </w:p>
        </w:tc>
      </w:tr>
    </w:tbl>
    <w:p>
      <w:pPr>
        <w:rPr>
          <w:color w:val="auto"/>
        </w:rPr>
      </w:pPr>
    </w:p>
    <w:p>
      <w:pPr>
        <w:pStyle w:val="31"/>
        <w:keepNext/>
        <w:keepLines/>
        <w:numPr>
          <w:ilvl w:val="0"/>
          <w:numId w:val="4"/>
        </w:numPr>
        <w:spacing w:line="360" w:lineRule="auto"/>
        <w:ind w:firstLineChars="0"/>
        <w:outlineLvl w:val="2"/>
        <w:rPr>
          <w:rFonts w:ascii="宋体" w:hAnsi="宋体" w:cs="宋体"/>
          <w:color w:val="auto"/>
          <w:kern w:val="0"/>
          <w:sz w:val="24"/>
        </w:rPr>
      </w:pPr>
      <w:r>
        <w:rPr>
          <w:rFonts w:hint="eastAsia" w:ascii="宋体" w:hAnsi="宋体" w:cs="宋体"/>
          <w:color w:val="auto"/>
          <w:kern w:val="0"/>
          <w:sz w:val="24"/>
        </w:rPr>
        <w:t>I</w:t>
      </w:r>
      <w:r>
        <w:rPr>
          <w:rFonts w:ascii="宋体" w:hAnsi="宋体" w:cs="宋体"/>
          <w:color w:val="auto"/>
          <w:kern w:val="0"/>
          <w:sz w:val="24"/>
        </w:rPr>
        <w:t>B</w:t>
      </w:r>
      <w:r>
        <w:rPr>
          <w:rFonts w:hint="eastAsia" w:ascii="宋体" w:hAnsi="宋体" w:cs="宋体"/>
          <w:color w:val="auto"/>
          <w:kern w:val="0"/>
          <w:sz w:val="24"/>
        </w:rPr>
        <w:t>交换机，数量：4台</w:t>
      </w:r>
      <w:bookmarkEnd w:id="8"/>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0"/>
        <w:gridCol w:w="5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3118" w:type="dxa"/>
          </w:tcPr>
          <w:p>
            <w:pPr>
              <w:jc w:val="left"/>
              <w:rPr>
                <w:rFonts w:hint="eastAsia" w:ascii="宋体" w:hAnsi="宋体"/>
                <w:color w:val="auto"/>
                <w:kern w:val="0"/>
                <w:sz w:val="24"/>
                <w:u w:color="000000"/>
              </w:rPr>
            </w:pPr>
            <w:bookmarkStart w:id="9" w:name="_Toc584592613"/>
            <w:r>
              <w:rPr>
                <w:rFonts w:hint="eastAsia" w:ascii="宋体" w:hAnsi="宋体"/>
                <w:color w:val="auto"/>
                <w:kern w:val="0"/>
                <w:sz w:val="24"/>
                <w:u w:color="000000"/>
              </w:rPr>
              <w:t>指标项</w:t>
            </w:r>
          </w:p>
        </w:tc>
        <w:tc>
          <w:tcPr>
            <w:tcW w:w="5524" w:type="dxa"/>
          </w:tcPr>
          <w:p>
            <w:pPr>
              <w:jc w:val="left"/>
              <w:rPr>
                <w:rFonts w:hint="eastAsia" w:ascii="宋体" w:hAnsi="宋体"/>
                <w:color w:val="auto"/>
                <w:kern w:val="0"/>
                <w:sz w:val="24"/>
                <w:u w:color="000000"/>
              </w:rPr>
            </w:pPr>
            <w:r>
              <w:rPr>
                <w:rFonts w:hint="eastAsia" w:ascii="宋体" w:hAnsi="宋体"/>
                <w:color w:val="auto"/>
                <w:kern w:val="0"/>
                <w:sz w:val="24"/>
                <w:u w:color="000000"/>
              </w:rPr>
              <w:t>技术规格要求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7" w:hRule="atLeast"/>
        </w:trPr>
        <w:tc>
          <w:tcPr>
            <w:tcW w:w="3118" w:type="dxa"/>
          </w:tcPr>
          <w:p>
            <w:pPr>
              <w:jc w:val="left"/>
              <w:rPr>
                <w:rFonts w:hint="eastAsia" w:ascii="宋体" w:hAnsi="宋体"/>
                <w:color w:val="auto"/>
                <w:kern w:val="0"/>
                <w:sz w:val="24"/>
                <w:u w:color="000000"/>
              </w:rPr>
            </w:pPr>
            <w:r>
              <w:rPr>
                <w:rFonts w:hint="eastAsia" w:ascii="宋体" w:hAnsi="宋体"/>
                <w:color w:val="auto"/>
                <w:kern w:val="0"/>
                <w:sz w:val="24"/>
                <w:u w:color="000000"/>
              </w:rPr>
              <w:t>总体要求</w:t>
            </w:r>
          </w:p>
        </w:tc>
        <w:tc>
          <w:tcPr>
            <w:tcW w:w="5524" w:type="dxa"/>
          </w:tcPr>
          <w:p>
            <w:pPr>
              <w:jc w:val="left"/>
              <w:rPr>
                <w:rFonts w:hint="eastAsia" w:ascii="宋体" w:hAnsi="宋体"/>
                <w:color w:val="auto"/>
                <w:kern w:val="0"/>
                <w:sz w:val="24"/>
                <w:u w:color="000000"/>
              </w:rPr>
            </w:pPr>
            <w:r>
              <w:rPr>
                <w:rFonts w:hint="eastAsia" w:ascii="宋体" w:hAnsi="宋体"/>
                <w:color w:val="auto"/>
                <w:kern w:val="0"/>
                <w:sz w:val="24"/>
                <w:u w:color="000000"/>
              </w:rPr>
              <w:t>标准1U机架式设备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8" w:hRule="atLeast"/>
        </w:trPr>
        <w:tc>
          <w:tcPr>
            <w:tcW w:w="3118" w:type="dxa"/>
          </w:tcPr>
          <w:p>
            <w:pPr>
              <w:jc w:val="left"/>
              <w:rPr>
                <w:rFonts w:hint="eastAsia" w:ascii="宋体" w:hAnsi="宋体"/>
                <w:color w:val="auto"/>
                <w:kern w:val="0"/>
                <w:sz w:val="24"/>
                <w:u w:color="000000"/>
              </w:rPr>
            </w:pPr>
            <w:r>
              <w:rPr>
                <w:rFonts w:hint="eastAsia" w:ascii="宋体" w:hAnsi="宋体"/>
                <w:color w:val="auto"/>
                <w:kern w:val="0"/>
                <w:sz w:val="24"/>
                <w:u w:color="000000"/>
              </w:rPr>
              <w:t>高速计算网络</w:t>
            </w:r>
          </w:p>
        </w:tc>
        <w:tc>
          <w:tcPr>
            <w:tcW w:w="5524" w:type="dxa"/>
          </w:tcPr>
          <w:p>
            <w:pPr>
              <w:jc w:val="left"/>
              <w:rPr>
                <w:rFonts w:hint="eastAsia" w:ascii="宋体" w:hAnsi="宋体"/>
                <w:color w:val="auto"/>
                <w:kern w:val="0"/>
                <w:sz w:val="24"/>
                <w:u w:color="000000"/>
              </w:rPr>
            </w:pPr>
            <w:r>
              <w:rPr>
                <w:rFonts w:hint="eastAsia" w:ascii="宋体" w:hAnsi="宋体"/>
                <w:color w:val="auto"/>
                <w:kern w:val="0"/>
                <w:sz w:val="24"/>
                <w:u w:color="000000"/>
              </w:rPr>
              <w:t>40 个 QSFP56 infiniband 无阻塞端口，具有高达16 Tb/s (HDR) 的聚合数据吞吐量，配置项目所需线缆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7" w:hRule="atLeast"/>
        </w:trPr>
        <w:tc>
          <w:tcPr>
            <w:tcW w:w="3118" w:type="dxa"/>
          </w:tcPr>
          <w:p>
            <w:pPr>
              <w:jc w:val="left"/>
              <w:rPr>
                <w:rFonts w:hint="eastAsia" w:ascii="宋体" w:hAnsi="宋体"/>
                <w:color w:val="auto"/>
                <w:kern w:val="0"/>
                <w:sz w:val="24"/>
                <w:u w:color="000000"/>
              </w:rPr>
            </w:pPr>
            <w:r>
              <w:rPr>
                <w:rFonts w:hint="eastAsia" w:ascii="宋体" w:hAnsi="宋体"/>
                <w:color w:val="auto"/>
                <w:kern w:val="0"/>
                <w:sz w:val="24"/>
                <w:u w:color="000000"/>
              </w:rPr>
              <w:t>功能特性</w:t>
            </w:r>
          </w:p>
        </w:tc>
        <w:tc>
          <w:tcPr>
            <w:tcW w:w="5524" w:type="dxa"/>
          </w:tcPr>
          <w:p>
            <w:pPr>
              <w:jc w:val="left"/>
              <w:rPr>
                <w:rFonts w:hint="eastAsia" w:ascii="宋体" w:hAnsi="宋体"/>
                <w:color w:val="auto"/>
                <w:kern w:val="0"/>
                <w:sz w:val="24"/>
                <w:u w:color="000000"/>
              </w:rPr>
            </w:pPr>
            <w:r>
              <w:rPr>
                <w:rFonts w:hint="eastAsia" w:ascii="宋体" w:hAnsi="宋体"/>
                <w:color w:val="auto"/>
                <w:kern w:val="0"/>
                <w:sz w:val="24"/>
                <w:u w:color="000000"/>
              </w:rPr>
              <w:t>符合 IBTA 1.21 和 1.3， 9 个虚拟通道：8 个数据通道 + 1 个</w:t>
            </w:r>
          </w:p>
          <w:p>
            <w:pPr>
              <w:jc w:val="left"/>
              <w:rPr>
                <w:rFonts w:hint="eastAsia" w:ascii="宋体" w:hAnsi="宋体"/>
                <w:color w:val="auto"/>
                <w:kern w:val="0"/>
                <w:sz w:val="24"/>
                <w:u w:color="000000"/>
              </w:rPr>
            </w:pPr>
            <w:r>
              <w:rPr>
                <w:rFonts w:hint="eastAsia" w:ascii="宋体" w:hAnsi="宋体"/>
                <w:color w:val="auto"/>
                <w:kern w:val="0"/>
                <w:sz w:val="24"/>
                <w:u w:color="000000"/>
              </w:rPr>
              <w:t>管理通道，支持256 至 4K 字节 MTU，支持自适应路由， 拥塞控制，端口镜像，VL2VL 映射， 4X48K 入口线性转发数据库。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7" w:hRule="atLeast"/>
        </w:trPr>
        <w:tc>
          <w:tcPr>
            <w:tcW w:w="3118" w:type="dxa"/>
          </w:tcPr>
          <w:p>
            <w:pPr>
              <w:jc w:val="left"/>
              <w:rPr>
                <w:rFonts w:hint="eastAsia" w:ascii="宋体" w:hAnsi="宋体"/>
                <w:color w:val="auto"/>
                <w:kern w:val="0"/>
                <w:sz w:val="24"/>
                <w:u w:color="000000"/>
              </w:rPr>
            </w:pPr>
            <w:r>
              <w:rPr>
                <w:rFonts w:hint="eastAsia" w:ascii="宋体" w:hAnsi="宋体"/>
                <w:color w:val="auto"/>
                <w:kern w:val="0"/>
                <w:sz w:val="24"/>
                <w:u w:color="000000"/>
              </w:rPr>
              <w:t>售后服务</w:t>
            </w:r>
          </w:p>
        </w:tc>
        <w:tc>
          <w:tcPr>
            <w:tcW w:w="5524" w:type="dxa"/>
          </w:tcPr>
          <w:p>
            <w:pPr>
              <w:jc w:val="left"/>
              <w:rPr>
                <w:rFonts w:hint="eastAsia" w:ascii="宋体" w:hAnsi="宋体"/>
                <w:color w:val="auto"/>
                <w:kern w:val="0"/>
                <w:sz w:val="24"/>
                <w:u w:color="000000"/>
              </w:rPr>
            </w:pPr>
            <w:r>
              <w:rPr>
                <w:rFonts w:hint="eastAsia" w:ascii="宋体" w:hAnsi="宋体"/>
                <w:color w:val="auto"/>
                <w:kern w:val="0"/>
                <w:sz w:val="24"/>
                <w:u w:color="000000"/>
              </w:rPr>
              <w:t>5年原厂质保，包含首次上门安装服务</w:t>
            </w:r>
          </w:p>
        </w:tc>
      </w:tr>
    </w:tbl>
    <w:p>
      <w:pPr>
        <w:jc w:val="left"/>
        <w:rPr>
          <w:rFonts w:hint="eastAsia" w:ascii="宋体" w:hAnsi="宋体"/>
          <w:color w:val="auto"/>
          <w:kern w:val="0"/>
          <w:sz w:val="24"/>
          <w:u w:color="000000"/>
        </w:rPr>
      </w:pPr>
      <w:r>
        <w:rPr>
          <w:rFonts w:hint="eastAsia" w:ascii="宋体" w:hAnsi="宋体"/>
          <w:color w:val="auto"/>
          <w:kern w:val="0"/>
          <w:sz w:val="24"/>
          <w:u w:color="000000"/>
        </w:rPr>
        <w:t>管理网络交换机，数量：2台</w:t>
      </w:r>
      <w:bookmarkEnd w:id="9"/>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8"/>
        <w:gridCol w:w="4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118" w:type="dxa"/>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设备名称</w:t>
            </w:r>
          </w:p>
        </w:tc>
        <w:tc>
          <w:tcPr>
            <w:tcW w:w="4621" w:type="dxa"/>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设备参数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管理网络交换机</w:t>
            </w:r>
          </w:p>
        </w:tc>
        <w:tc>
          <w:tcPr>
            <w:tcW w:w="4621" w:type="dxa"/>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48端口万兆网络交换机，配置30个万兆多模光模块及线缆，5年原厂保修服务</w:t>
            </w:r>
          </w:p>
        </w:tc>
      </w:tr>
    </w:tbl>
    <w:p>
      <w:pPr>
        <w:rPr>
          <w:color w:val="auto"/>
        </w:rPr>
      </w:pPr>
    </w:p>
    <w:p>
      <w:pPr>
        <w:pStyle w:val="3"/>
        <w:numPr>
          <w:ilvl w:val="1"/>
          <w:numId w:val="3"/>
        </w:num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专用硬件需求</w:t>
      </w:r>
    </w:p>
    <w:p>
      <w:pPr>
        <w:spacing w:line="360" w:lineRule="auto"/>
        <w:ind w:firstLine="480" w:firstLineChars="200"/>
        <w:rPr>
          <w:rFonts w:asciiTheme="minorEastAsia" w:hAnsiTheme="minorEastAsia"/>
          <w:color w:val="auto"/>
          <w:sz w:val="24"/>
        </w:rPr>
      </w:pPr>
      <w:r>
        <w:rPr>
          <w:rFonts w:hint="eastAsia" w:asciiTheme="minorEastAsia" w:hAnsiTheme="minorEastAsia"/>
          <w:color w:val="auto"/>
          <w:sz w:val="24"/>
        </w:rPr>
        <w:t>主要根据医院现有终端设备采购情况对涉及医疗业务的终端进行扩容，主要包括业务终端等。</w:t>
      </w:r>
    </w:p>
    <w:p>
      <w:pPr>
        <w:spacing w:line="360" w:lineRule="auto"/>
        <w:ind w:firstLine="480" w:firstLineChars="200"/>
        <w:rPr>
          <w:rFonts w:asciiTheme="minorEastAsia" w:hAnsiTheme="minorEastAsia"/>
          <w:color w:val="auto"/>
          <w:sz w:val="24"/>
        </w:rPr>
      </w:pPr>
      <w:r>
        <w:rPr>
          <w:rFonts w:hint="eastAsia" w:asciiTheme="minorEastAsia" w:hAnsiTheme="minorEastAsia"/>
          <w:color w:val="auto"/>
          <w:sz w:val="24"/>
        </w:rPr>
        <w:t>其中业务终端设备包括PC终端</w:t>
      </w:r>
      <w:bookmarkStart w:id="10" w:name="_Toc1501392987"/>
    </w:p>
    <w:p>
      <w:pPr>
        <w:pStyle w:val="4"/>
        <w:numPr>
          <w:ilvl w:val="2"/>
          <w:numId w:val="3"/>
        </w:num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设备清单</w:t>
      </w:r>
      <w:bookmarkEnd w:id="10"/>
    </w:p>
    <w:tbl>
      <w:tblPr>
        <w:tblStyle w:val="19"/>
        <w:tblW w:w="5004" w:type="pct"/>
        <w:jc w:val="center"/>
        <w:tblLayout w:type="autofit"/>
        <w:tblCellMar>
          <w:top w:w="0" w:type="dxa"/>
          <w:left w:w="108" w:type="dxa"/>
          <w:bottom w:w="0" w:type="dxa"/>
          <w:right w:w="108" w:type="dxa"/>
        </w:tblCellMar>
      </w:tblPr>
      <w:tblGrid>
        <w:gridCol w:w="1440"/>
        <w:gridCol w:w="1254"/>
        <w:gridCol w:w="1378"/>
        <w:gridCol w:w="1165"/>
        <w:gridCol w:w="1165"/>
        <w:gridCol w:w="2121"/>
      </w:tblGrid>
      <w:tr>
        <w:tblPrEx>
          <w:tblCellMar>
            <w:top w:w="0" w:type="dxa"/>
            <w:left w:w="108" w:type="dxa"/>
            <w:bottom w:w="0" w:type="dxa"/>
            <w:right w:w="108" w:type="dxa"/>
          </w:tblCellMar>
        </w:tblPrEx>
        <w:trPr>
          <w:trHeight w:val="560" w:hRule="atLeast"/>
          <w:jc w:val="center"/>
        </w:trPr>
        <w:tc>
          <w:tcPr>
            <w:tcW w:w="8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auto"/>
                <w:kern w:val="0"/>
                <w:szCs w:val="21"/>
              </w:rPr>
            </w:pPr>
            <w:r>
              <w:rPr>
                <w:rFonts w:hint="eastAsia" w:ascii="宋体" w:hAnsi="宋体" w:cs="宋体"/>
                <w:b/>
                <w:bCs/>
                <w:color w:val="auto"/>
                <w:kern w:val="0"/>
                <w:szCs w:val="21"/>
              </w:rPr>
              <w:t>序号</w:t>
            </w:r>
          </w:p>
        </w:tc>
        <w:tc>
          <w:tcPr>
            <w:tcW w:w="1544" w:type="pct"/>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微软雅黑"/>
                <w:color w:val="auto"/>
                <w:kern w:val="0"/>
                <w:szCs w:val="21"/>
              </w:rPr>
            </w:pPr>
            <w:r>
              <w:rPr>
                <w:rFonts w:hint="eastAsia" w:ascii="宋体" w:hAnsi="宋体" w:cs="宋体"/>
                <w:b/>
                <w:bCs/>
                <w:color w:val="auto"/>
                <w:kern w:val="0"/>
                <w:szCs w:val="21"/>
              </w:rPr>
              <w:t>设备名称</w:t>
            </w:r>
          </w:p>
        </w:tc>
        <w:tc>
          <w:tcPr>
            <w:tcW w:w="68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rPr>
            </w:pPr>
            <w:r>
              <w:rPr>
                <w:rFonts w:hint="eastAsia" w:ascii="宋体" w:hAnsi="宋体" w:cs="微软雅黑"/>
                <w:b/>
                <w:bCs/>
                <w:color w:val="auto"/>
                <w:kern w:val="0"/>
                <w:szCs w:val="21"/>
              </w:rPr>
              <w:t>单位</w:t>
            </w:r>
          </w:p>
        </w:tc>
        <w:tc>
          <w:tcPr>
            <w:tcW w:w="68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rPr>
            </w:pPr>
            <w:r>
              <w:rPr>
                <w:rFonts w:hint="eastAsia" w:ascii="宋体" w:hAnsi="宋体" w:cs="微软雅黑"/>
                <w:b/>
                <w:bCs/>
                <w:color w:val="auto"/>
                <w:kern w:val="0"/>
                <w:szCs w:val="21"/>
              </w:rPr>
              <w:t>数量</w:t>
            </w:r>
          </w:p>
        </w:tc>
        <w:tc>
          <w:tcPr>
            <w:tcW w:w="1244"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Cs w:val="21"/>
              </w:rPr>
            </w:pPr>
            <w:r>
              <w:rPr>
                <w:rFonts w:hint="eastAsia" w:ascii="宋体" w:hAnsi="宋体" w:cs="宋体"/>
                <w:color w:val="auto"/>
                <w:kern w:val="0"/>
                <w:szCs w:val="21"/>
              </w:rPr>
              <w:t>质保期</w:t>
            </w:r>
          </w:p>
        </w:tc>
      </w:tr>
      <w:tr>
        <w:tblPrEx>
          <w:tblCellMar>
            <w:top w:w="0" w:type="dxa"/>
            <w:left w:w="108" w:type="dxa"/>
            <w:bottom w:w="0" w:type="dxa"/>
            <w:right w:w="108" w:type="dxa"/>
          </w:tblCellMar>
        </w:tblPrEx>
        <w:trPr>
          <w:trHeight w:val="275" w:hRule="atLeast"/>
          <w:jc w:val="center"/>
        </w:trPr>
        <w:tc>
          <w:tcPr>
            <w:tcW w:w="8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736" w:type="pct"/>
            <w:vMerge w:val="restart"/>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auto"/>
                <w:kern w:val="0"/>
                <w:szCs w:val="21"/>
              </w:rPr>
            </w:pPr>
            <w:r>
              <w:rPr>
                <w:rFonts w:hint="eastAsia" w:ascii="宋体" w:hAnsi="宋体" w:cs="宋体"/>
                <w:color w:val="auto"/>
                <w:kern w:val="0"/>
                <w:szCs w:val="21"/>
              </w:rPr>
              <w:t>PC终端</w:t>
            </w:r>
          </w:p>
        </w:tc>
        <w:tc>
          <w:tcPr>
            <w:tcW w:w="808" w:type="pct"/>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auto"/>
                <w:kern w:val="0"/>
                <w:szCs w:val="21"/>
              </w:rPr>
            </w:pPr>
            <w:r>
              <w:rPr>
                <w:rFonts w:hint="eastAsia" w:ascii="宋体" w:hAnsi="宋体" w:cs="宋体"/>
                <w:color w:val="auto"/>
                <w:kern w:val="0"/>
                <w:szCs w:val="21"/>
              </w:rPr>
              <w:t>配置一</w:t>
            </w:r>
          </w:p>
        </w:tc>
        <w:tc>
          <w:tcPr>
            <w:tcW w:w="68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rPr>
            </w:pPr>
            <w:r>
              <w:rPr>
                <w:rFonts w:hint="eastAsia" w:ascii="宋体" w:hAnsi="宋体" w:cs="宋体"/>
                <w:color w:val="auto"/>
                <w:kern w:val="0"/>
                <w:szCs w:val="21"/>
              </w:rPr>
              <w:t>台</w:t>
            </w:r>
          </w:p>
        </w:tc>
        <w:tc>
          <w:tcPr>
            <w:tcW w:w="68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rPr>
            </w:pPr>
            <w:r>
              <w:rPr>
                <w:rFonts w:ascii="宋体" w:hAnsi="宋体" w:cs="宋体"/>
                <w:color w:val="auto"/>
                <w:kern w:val="0"/>
                <w:szCs w:val="21"/>
              </w:rPr>
              <w:t>123</w:t>
            </w:r>
          </w:p>
        </w:tc>
        <w:tc>
          <w:tcPr>
            <w:tcW w:w="1244" w:type="pct"/>
            <w:vMerge w:val="restart"/>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rPr>
            </w:pPr>
            <w:r>
              <w:rPr>
                <w:rFonts w:hint="eastAsia" w:ascii="宋体" w:hAnsi="宋体" w:cs="宋体"/>
                <w:color w:val="auto"/>
                <w:kern w:val="0"/>
                <w:szCs w:val="21"/>
              </w:rPr>
              <w:t>质保3年并出具原厂质保和授权</w:t>
            </w:r>
          </w:p>
        </w:tc>
      </w:tr>
      <w:tr>
        <w:tblPrEx>
          <w:tblCellMar>
            <w:top w:w="0" w:type="dxa"/>
            <w:left w:w="108" w:type="dxa"/>
            <w:bottom w:w="0" w:type="dxa"/>
            <w:right w:w="108" w:type="dxa"/>
          </w:tblCellMar>
        </w:tblPrEx>
        <w:trPr>
          <w:trHeight w:val="190" w:hRule="atLeast"/>
          <w:jc w:val="center"/>
        </w:trPr>
        <w:tc>
          <w:tcPr>
            <w:tcW w:w="84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rPr>
            </w:pPr>
          </w:p>
        </w:tc>
        <w:tc>
          <w:tcPr>
            <w:tcW w:w="736" w:type="pct"/>
            <w:vMerge w:val="continue"/>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auto"/>
                <w:kern w:val="0"/>
                <w:szCs w:val="21"/>
              </w:rPr>
            </w:pPr>
          </w:p>
        </w:tc>
        <w:tc>
          <w:tcPr>
            <w:tcW w:w="808" w:type="pct"/>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auto"/>
                <w:kern w:val="0"/>
                <w:szCs w:val="21"/>
              </w:rPr>
            </w:pPr>
            <w:r>
              <w:rPr>
                <w:rFonts w:hint="eastAsia" w:ascii="宋体" w:hAnsi="宋体" w:cs="宋体"/>
                <w:color w:val="auto"/>
                <w:kern w:val="0"/>
                <w:szCs w:val="21"/>
              </w:rPr>
              <w:t>配置二</w:t>
            </w:r>
          </w:p>
        </w:tc>
        <w:tc>
          <w:tcPr>
            <w:tcW w:w="683"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auto"/>
                <w:kern w:val="0"/>
                <w:szCs w:val="21"/>
              </w:rPr>
            </w:pPr>
            <w:r>
              <w:rPr>
                <w:rFonts w:hint="eastAsia" w:ascii="宋体" w:hAnsi="宋体" w:cs="宋体"/>
                <w:color w:val="auto"/>
                <w:kern w:val="0"/>
                <w:szCs w:val="21"/>
              </w:rPr>
              <w:t>台</w:t>
            </w:r>
          </w:p>
        </w:tc>
        <w:tc>
          <w:tcPr>
            <w:tcW w:w="683"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auto"/>
                <w:kern w:val="0"/>
                <w:szCs w:val="21"/>
              </w:rPr>
            </w:pPr>
            <w:r>
              <w:rPr>
                <w:rFonts w:ascii="宋体" w:hAnsi="宋体" w:cs="宋体"/>
                <w:color w:val="auto"/>
                <w:kern w:val="0"/>
                <w:szCs w:val="21"/>
              </w:rPr>
              <w:t>400</w:t>
            </w:r>
          </w:p>
        </w:tc>
        <w:tc>
          <w:tcPr>
            <w:tcW w:w="1244" w:type="pct"/>
            <w:vMerge w:val="continue"/>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rPr>
            </w:pPr>
          </w:p>
        </w:tc>
      </w:tr>
    </w:tbl>
    <w:p>
      <w:pPr>
        <w:pStyle w:val="4"/>
        <w:numPr>
          <w:ilvl w:val="2"/>
          <w:numId w:val="3"/>
        </w:numPr>
        <w:rPr>
          <w:rFonts w:asciiTheme="minorEastAsia" w:hAnsiTheme="minorEastAsia" w:eastAsiaTheme="minorEastAsia"/>
          <w:color w:val="auto"/>
          <w:sz w:val="24"/>
          <w:szCs w:val="24"/>
        </w:rPr>
      </w:pPr>
      <w:bookmarkStart w:id="11" w:name="_Toc979080259"/>
      <w:r>
        <w:rPr>
          <w:rFonts w:hint="eastAsia" w:asciiTheme="minorEastAsia" w:hAnsiTheme="minorEastAsia" w:eastAsiaTheme="minorEastAsia"/>
          <w:color w:val="auto"/>
          <w:sz w:val="24"/>
          <w:szCs w:val="24"/>
        </w:rPr>
        <w:t>主要技术参数</w:t>
      </w:r>
      <w:bookmarkEnd w:id="11"/>
    </w:p>
    <w:p>
      <w:pPr>
        <w:pStyle w:val="5"/>
        <w:numPr>
          <w:ilvl w:val="3"/>
          <w:numId w:val="3"/>
        </w:numPr>
        <w:spacing w:before="240" w:after="240" w:line="360" w:lineRule="auto"/>
        <w:rPr>
          <w:rFonts w:ascii="宋体" w:hAnsi="宋体" w:eastAsia="宋体"/>
          <w:color w:val="auto"/>
          <w:sz w:val="24"/>
          <w:szCs w:val="24"/>
        </w:rPr>
      </w:pPr>
      <w:r>
        <w:rPr>
          <w:rFonts w:hint="eastAsia" w:ascii="宋体" w:hAnsi="宋体" w:eastAsia="宋体"/>
          <w:color w:val="auto"/>
          <w:sz w:val="24"/>
          <w:szCs w:val="24"/>
        </w:rPr>
        <w:t>P</w:t>
      </w:r>
      <w:r>
        <w:rPr>
          <w:rFonts w:ascii="宋体" w:hAnsi="宋体" w:eastAsia="宋体"/>
          <w:color w:val="auto"/>
          <w:sz w:val="24"/>
          <w:szCs w:val="24"/>
        </w:rPr>
        <w:t>C</w:t>
      </w:r>
      <w:r>
        <w:rPr>
          <w:rFonts w:hint="eastAsia" w:ascii="宋体" w:hAnsi="宋体" w:eastAsia="宋体"/>
          <w:color w:val="auto"/>
          <w:sz w:val="24"/>
          <w:szCs w:val="24"/>
        </w:rPr>
        <w:t>终端配置1：台式机（1</w:t>
      </w:r>
      <w:r>
        <w:rPr>
          <w:rFonts w:ascii="宋体" w:hAnsi="宋体" w:eastAsia="宋体"/>
          <w:color w:val="auto"/>
          <w:sz w:val="24"/>
          <w:szCs w:val="24"/>
        </w:rPr>
        <w:t>23</w:t>
      </w:r>
      <w:r>
        <w:rPr>
          <w:rFonts w:hint="eastAsia" w:ascii="宋体" w:hAnsi="宋体" w:eastAsia="宋体"/>
          <w:color w:val="auto"/>
          <w:sz w:val="24"/>
          <w:szCs w:val="24"/>
        </w:rPr>
        <w:t>台）</w:t>
      </w:r>
    </w:p>
    <w:tbl>
      <w:tblPr>
        <w:tblStyle w:val="19"/>
        <w:tblW w:w="0" w:type="auto"/>
        <w:tblInd w:w="0" w:type="dxa"/>
        <w:tblLayout w:type="autofit"/>
        <w:tblCellMar>
          <w:top w:w="0" w:type="dxa"/>
          <w:left w:w="108" w:type="dxa"/>
          <w:bottom w:w="0" w:type="dxa"/>
          <w:right w:w="108" w:type="dxa"/>
        </w:tblCellMar>
      </w:tblPr>
      <w:tblGrid>
        <w:gridCol w:w="1413"/>
        <w:gridCol w:w="6883"/>
      </w:tblGrid>
      <w:tr>
        <w:trPr>
          <w:trHeight w:val="330" w:hRule="atLeast"/>
        </w:trPr>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CPU</w:t>
            </w:r>
          </w:p>
        </w:tc>
        <w:tc>
          <w:tcPr>
            <w:tcW w:w="6883"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第12代英特尔处理器I5-12500或 AMD R5 处理器或同性能的处理器</w:t>
            </w:r>
          </w:p>
        </w:tc>
      </w:tr>
      <w:tr>
        <w:trPr>
          <w:trHeight w:val="330"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主板</w:t>
            </w:r>
          </w:p>
        </w:tc>
        <w:tc>
          <w:tcPr>
            <w:tcW w:w="6883" w:type="dxa"/>
            <w:tcBorders>
              <w:top w:val="nil"/>
              <w:left w:val="nil"/>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Intel B660芯片组及以上 或AMD芯片组或同性能的芯片组</w:t>
            </w:r>
          </w:p>
        </w:tc>
      </w:tr>
      <w:tr>
        <w:trPr>
          <w:trHeight w:val="330"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内存</w:t>
            </w:r>
          </w:p>
        </w:tc>
        <w:tc>
          <w:tcPr>
            <w:tcW w:w="6883" w:type="dxa"/>
            <w:tcBorders>
              <w:top w:val="nil"/>
              <w:left w:val="nil"/>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8G DDR4 3200Mhz内存或以上，最大可64GB</w:t>
            </w:r>
          </w:p>
        </w:tc>
      </w:tr>
      <w:tr>
        <w:trPr>
          <w:trHeight w:val="330"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显卡</w:t>
            </w:r>
          </w:p>
        </w:tc>
        <w:tc>
          <w:tcPr>
            <w:tcW w:w="6883" w:type="dxa"/>
            <w:tcBorders>
              <w:top w:val="nil"/>
              <w:left w:val="nil"/>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集成显卡</w:t>
            </w:r>
          </w:p>
        </w:tc>
      </w:tr>
      <w:tr>
        <w:trPr>
          <w:trHeight w:val="330"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声卡</w:t>
            </w:r>
          </w:p>
        </w:tc>
        <w:tc>
          <w:tcPr>
            <w:tcW w:w="6883" w:type="dxa"/>
            <w:tcBorders>
              <w:top w:val="nil"/>
              <w:left w:val="nil"/>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集成声卡，支持双音频端口（提供前1个通用音频接口后置1个音频输出接口）</w:t>
            </w:r>
          </w:p>
        </w:tc>
      </w:tr>
      <w:tr>
        <w:trPr>
          <w:trHeight w:val="512"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硬盘</w:t>
            </w:r>
          </w:p>
        </w:tc>
        <w:tc>
          <w:tcPr>
            <w:tcW w:w="6883" w:type="dxa"/>
            <w:tcBorders>
              <w:top w:val="nil"/>
              <w:left w:val="nil"/>
              <w:bottom w:val="single" w:color="auto" w:sz="4" w:space="0"/>
              <w:right w:val="single" w:color="auto" w:sz="4" w:space="0"/>
            </w:tcBorders>
            <w:shd w:val="clear" w:color="auto" w:fill="auto"/>
          </w:tcPr>
          <w:p>
            <w:pPr>
              <w:jc w:val="left"/>
              <w:rPr>
                <w:rFonts w:hint="eastAsia" w:ascii="宋体" w:hAnsi="宋体"/>
                <w:color w:val="auto"/>
                <w:kern w:val="0"/>
                <w:sz w:val="24"/>
                <w:u w:color="000000"/>
              </w:rPr>
            </w:pPr>
            <w:r>
              <w:rPr>
                <w:rFonts w:hint="eastAsia" w:ascii="宋体" w:hAnsi="宋体"/>
                <w:color w:val="auto"/>
                <w:kern w:val="0"/>
                <w:sz w:val="24"/>
                <w:u w:color="000000"/>
              </w:rPr>
              <w:t>256G PCIe NVME固态硬盘，1T SATA盘</w:t>
            </w:r>
          </w:p>
        </w:tc>
      </w:tr>
      <w:tr>
        <w:trPr>
          <w:trHeight w:val="330"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网卡</w:t>
            </w:r>
          </w:p>
        </w:tc>
        <w:tc>
          <w:tcPr>
            <w:tcW w:w="6883" w:type="dxa"/>
            <w:tcBorders>
              <w:top w:val="nil"/>
              <w:left w:val="nil"/>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集成10/100/1000M以太网卡；</w:t>
            </w:r>
          </w:p>
        </w:tc>
      </w:tr>
      <w:tr>
        <w:trPr>
          <w:trHeight w:val="330"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光驱</w:t>
            </w:r>
          </w:p>
        </w:tc>
        <w:tc>
          <w:tcPr>
            <w:tcW w:w="6883" w:type="dxa"/>
            <w:tcBorders>
              <w:top w:val="nil"/>
              <w:left w:val="nil"/>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可选DVD-RW 刻录光驱</w:t>
            </w:r>
          </w:p>
        </w:tc>
      </w:tr>
      <w:tr>
        <w:trPr>
          <w:trHeight w:val="330"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扩展槽</w:t>
            </w:r>
          </w:p>
        </w:tc>
        <w:tc>
          <w:tcPr>
            <w:tcW w:w="6883" w:type="dxa"/>
            <w:tcBorders>
              <w:top w:val="nil"/>
              <w:left w:val="nil"/>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1个PCI-E*16、2个PCI-E*1、 1个PCI槽位</w:t>
            </w:r>
          </w:p>
        </w:tc>
      </w:tr>
      <w:tr>
        <w:trPr>
          <w:trHeight w:val="330"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键盘、鼠标</w:t>
            </w:r>
          </w:p>
        </w:tc>
        <w:tc>
          <w:tcPr>
            <w:tcW w:w="6883" w:type="dxa"/>
            <w:tcBorders>
              <w:top w:val="nil"/>
              <w:left w:val="nil"/>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键鼠套件，支持键盘开机，与主机同一品牌</w:t>
            </w:r>
          </w:p>
        </w:tc>
      </w:tr>
      <w:tr>
        <w:trPr>
          <w:trHeight w:val="330"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显示器</w:t>
            </w:r>
          </w:p>
        </w:tc>
        <w:tc>
          <w:tcPr>
            <w:tcW w:w="6883" w:type="dxa"/>
            <w:tcBorders>
              <w:top w:val="nil"/>
              <w:left w:val="nil"/>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21.5英寸16:9宽屏或以上，分辨率1920*1080，DP+VGA 或 HDMI+VGA，与主机同一品牌</w:t>
            </w:r>
          </w:p>
        </w:tc>
      </w:tr>
      <w:tr>
        <w:trPr>
          <w:trHeight w:val="660"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接口</w:t>
            </w:r>
          </w:p>
        </w:tc>
        <w:tc>
          <w:tcPr>
            <w:tcW w:w="6883" w:type="dxa"/>
            <w:tcBorders>
              <w:top w:val="nil"/>
              <w:left w:val="nil"/>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8个USB 接口(前置4个USB 3.2 G1，后置4个USB 2.0)、1组PS/2接口、1个串口、VGA+HDMI接口</w:t>
            </w:r>
          </w:p>
        </w:tc>
      </w:tr>
      <w:tr>
        <w:trPr>
          <w:trHeight w:val="330"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电源</w:t>
            </w:r>
          </w:p>
        </w:tc>
        <w:tc>
          <w:tcPr>
            <w:tcW w:w="6883" w:type="dxa"/>
            <w:tcBorders>
              <w:top w:val="nil"/>
              <w:left w:val="nil"/>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 xml:space="preserve">&gt;=180W </w:t>
            </w:r>
          </w:p>
        </w:tc>
      </w:tr>
      <w:tr>
        <w:trPr>
          <w:trHeight w:val="330"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操作系统</w:t>
            </w:r>
          </w:p>
        </w:tc>
        <w:tc>
          <w:tcPr>
            <w:tcW w:w="6883" w:type="dxa"/>
            <w:tcBorders>
              <w:top w:val="nil"/>
              <w:left w:val="nil"/>
              <w:bottom w:val="single" w:color="auto" w:sz="4" w:space="0"/>
              <w:right w:val="single" w:color="auto" w:sz="4" w:space="0"/>
            </w:tcBorders>
            <w:shd w:val="clear" w:color="auto" w:fill="auto"/>
            <w:noWrap/>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预装Windows 11正版操作系统</w:t>
            </w:r>
          </w:p>
        </w:tc>
      </w:tr>
      <w:tr>
        <w:trPr>
          <w:trHeight w:val="660"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安全特性</w:t>
            </w:r>
          </w:p>
        </w:tc>
        <w:tc>
          <w:tcPr>
            <w:tcW w:w="6883" w:type="dxa"/>
            <w:tcBorders>
              <w:top w:val="nil"/>
              <w:left w:val="nil"/>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支持BIOS启用FTPM 2.0、Microsoft Windows Bitlocker、通过 BIOS 进行的本地硬盘数据擦除（“安全擦除”）、机箱锁插槽支持、机箱防盗开关、设置/BIOS 密码</w:t>
            </w:r>
          </w:p>
        </w:tc>
      </w:tr>
      <w:tr>
        <w:trPr>
          <w:trHeight w:val="427"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机箱</w:t>
            </w:r>
          </w:p>
        </w:tc>
        <w:tc>
          <w:tcPr>
            <w:tcW w:w="6883" w:type="dxa"/>
            <w:tcBorders>
              <w:top w:val="nil"/>
              <w:left w:val="nil"/>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电源诊断灯，方便诊断；</w:t>
            </w:r>
          </w:p>
        </w:tc>
      </w:tr>
      <w:tr>
        <w:trPr>
          <w:trHeight w:val="330"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保修</w:t>
            </w:r>
          </w:p>
        </w:tc>
        <w:tc>
          <w:tcPr>
            <w:tcW w:w="6883" w:type="dxa"/>
            <w:tcBorders>
              <w:top w:val="nil"/>
              <w:left w:val="nil"/>
              <w:bottom w:val="single" w:color="auto" w:sz="4" w:space="0"/>
              <w:right w:val="single" w:color="auto" w:sz="4" w:space="0"/>
            </w:tcBorders>
            <w:shd w:val="clear" w:color="auto" w:fill="auto"/>
            <w:noWrap/>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3年专业级保修，支持24*7原厂电话支持服务、所有部件（包括键盘鼠标显示器在内）的原厂商备件，起含下一工作日上门服务</w:t>
            </w:r>
          </w:p>
        </w:tc>
      </w:tr>
      <w:tr>
        <w:trPr>
          <w:trHeight w:val="330"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可靠性认证</w:t>
            </w:r>
          </w:p>
        </w:tc>
        <w:tc>
          <w:tcPr>
            <w:tcW w:w="6883" w:type="dxa"/>
            <w:tcBorders>
              <w:top w:val="nil"/>
              <w:left w:val="nil"/>
              <w:bottom w:val="single" w:color="auto" w:sz="4" w:space="0"/>
              <w:right w:val="single" w:color="auto" w:sz="4" w:space="0"/>
            </w:tcBorders>
            <w:shd w:val="clear" w:color="auto" w:fill="auto"/>
            <w:noWrap/>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平均无故障时间（MTBF）不低于10万小时，需提供产品界面截图、产品彩页、产品说明书、产品白皮书或第三方检测机构出具的检测报告等证明材料，证明材料需加盖公章。</w:t>
            </w:r>
          </w:p>
        </w:tc>
      </w:tr>
      <w:tr>
        <w:trPr>
          <w:trHeight w:val="330"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环保认证</w:t>
            </w:r>
          </w:p>
        </w:tc>
        <w:tc>
          <w:tcPr>
            <w:tcW w:w="6883" w:type="dxa"/>
            <w:tcBorders>
              <w:top w:val="nil"/>
              <w:left w:val="nil"/>
              <w:bottom w:val="single" w:color="auto" w:sz="4" w:space="0"/>
              <w:right w:val="single" w:color="auto" w:sz="4" w:space="0"/>
            </w:tcBorders>
            <w:shd w:val="clear" w:color="auto" w:fill="auto"/>
            <w:noWrap/>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国家环保总局十环认证；</w:t>
            </w:r>
          </w:p>
          <w:p>
            <w:pPr>
              <w:jc w:val="left"/>
              <w:rPr>
                <w:rFonts w:hint="eastAsia" w:ascii="宋体" w:hAnsi="宋体"/>
                <w:color w:val="auto"/>
                <w:kern w:val="0"/>
                <w:sz w:val="24"/>
                <w:u w:color="000000"/>
              </w:rPr>
            </w:pPr>
            <w:r>
              <w:rPr>
                <w:rFonts w:hint="eastAsia" w:ascii="宋体" w:hAnsi="宋体"/>
                <w:color w:val="auto"/>
                <w:kern w:val="0"/>
                <w:sz w:val="24"/>
                <w:u w:color="000000"/>
              </w:rPr>
              <w:t>符合中国/欧盟Rohs（无铅）标准；</w:t>
            </w:r>
          </w:p>
          <w:p>
            <w:pPr>
              <w:jc w:val="left"/>
              <w:rPr>
                <w:rFonts w:hint="eastAsia" w:ascii="宋体" w:hAnsi="宋体"/>
                <w:color w:val="auto"/>
                <w:kern w:val="0"/>
                <w:sz w:val="24"/>
                <w:u w:color="000000"/>
              </w:rPr>
            </w:pPr>
            <w:r>
              <w:rPr>
                <w:rFonts w:hint="eastAsia" w:ascii="宋体" w:hAnsi="宋体"/>
                <w:color w:val="auto"/>
                <w:kern w:val="0"/>
                <w:sz w:val="24"/>
                <w:u w:color="000000"/>
              </w:rPr>
              <w:t>国家电磁辐射最高标准（B级）。</w:t>
            </w:r>
          </w:p>
        </w:tc>
      </w:tr>
    </w:tbl>
    <w:p>
      <w:pPr>
        <w:rPr>
          <w:rFonts w:ascii="Museo Sans For Dell" w:hAnsi="Museo Sans For Dell"/>
          <w:b/>
          <w:bCs/>
          <w:color w:val="auto"/>
          <w:szCs w:val="20"/>
        </w:rPr>
      </w:pPr>
    </w:p>
    <w:p>
      <w:pPr>
        <w:ind w:firstLine="3162" w:firstLineChars="1500"/>
        <w:rPr>
          <w:rFonts w:ascii="Museo Sans For Dell" w:hAnsi="Museo Sans For Dell"/>
          <w:b/>
          <w:bCs/>
          <w:color w:val="auto"/>
          <w:szCs w:val="20"/>
        </w:rPr>
      </w:pPr>
    </w:p>
    <w:p>
      <w:pPr>
        <w:pStyle w:val="5"/>
        <w:numPr>
          <w:ilvl w:val="3"/>
          <w:numId w:val="3"/>
        </w:numPr>
        <w:spacing w:before="240" w:after="240" w:line="360" w:lineRule="auto"/>
        <w:rPr>
          <w:rFonts w:ascii="宋体" w:hAnsi="宋体" w:eastAsia="宋体"/>
          <w:color w:val="auto"/>
          <w:sz w:val="24"/>
          <w:szCs w:val="24"/>
        </w:rPr>
      </w:pPr>
      <w:r>
        <w:rPr>
          <w:rFonts w:hint="eastAsia" w:ascii="宋体" w:hAnsi="宋体" w:eastAsia="宋体"/>
          <w:color w:val="auto"/>
          <w:sz w:val="24"/>
          <w:szCs w:val="24"/>
        </w:rPr>
        <w:t>P</w:t>
      </w:r>
      <w:r>
        <w:rPr>
          <w:rFonts w:ascii="宋体" w:hAnsi="宋体" w:eastAsia="宋体"/>
          <w:color w:val="auto"/>
          <w:sz w:val="24"/>
          <w:szCs w:val="24"/>
        </w:rPr>
        <w:t>C</w:t>
      </w:r>
      <w:r>
        <w:rPr>
          <w:rFonts w:hint="eastAsia" w:ascii="宋体" w:hAnsi="宋体" w:eastAsia="宋体"/>
          <w:color w:val="auto"/>
          <w:sz w:val="24"/>
          <w:szCs w:val="24"/>
        </w:rPr>
        <w:t>终端配置</w:t>
      </w:r>
      <w:r>
        <w:rPr>
          <w:rFonts w:ascii="宋体" w:hAnsi="宋体" w:eastAsia="宋体"/>
          <w:color w:val="auto"/>
          <w:sz w:val="24"/>
          <w:szCs w:val="24"/>
        </w:rPr>
        <w:t>2</w:t>
      </w:r>
      <w:r>
        <w:rPr>
          <w:rFonts w:hint="eastAsia" w:ascii="宋体" w:hAnsi="宋体" w:eastAsia="宋体"/>
          <w:color w:val="auto"/>
          <w:sz w:val="24"/>
          <w:szCs w:val="24"/>
        </w:rPr>
        <w:t>：一体机（</w:t>
      </w:r>
      <w:r>
        <w:rPr>
          <w:rFonts w:ascii="宋体" w:hAnsi="宋体" w:eastAsia="宋体"/>
          <w:color w:val="auto"/>
          <w:sz w:val="24"/>
          <w:szCs w:val="24"/>
        </w:rPr>
        <w:t>400</w:t>
      </w:r>
      <w:r>
        <w:rPr>
          <w:rFonts w:hint="eastAsia" w:ascii="宋体" w:hAnsi="宋体" w:eastAsia="宋体"/>
          <w:color w:val="auto"/>
          <w:sz w:val="24"/>
          <w:szCs w:val="24"/>
        </w:rPr>
        <w:t>台）</w:t>
      </w:r>
    </w:p>
    <w:tbl>
      <w:tblPr>
        <w:tblStyle w:val="19"/>
        <w:tblW w:w="0" w:type="auto"/>
        <w:tblInd w:w="0" w:type="dxa"/>
        <w:tblLayout w:type="autofit"/>
        <w:tblCellMar>
          <w:top w:w="0" w:type="dxa"/>
          <w:left w:w="108" w:type="dxa"/>
          <w:bottom w:w="0" w:type="dxa"/>
          <w:right w:w="108" w:type="dxa"/>
        </w:tblCellMar>
      </w:tblPr>
      <w:tblGrid>
        <w:gridCol w:w="1413"/>
        <w:gridCol w:w="6883"/>
      </w:tblGrid>
      <w:tr>
        <w:tblPrEx>
          <w:tblCellMar>
            <w:top w:w="0" w:type="dxa"/>
            <w:left w:w="108" w:type="dxa"/>
            <w:bottom w:w="0" w:type="dxa"/>
            <w:right w:w="108" w:type="dxa"/>
          </w:tblCellMar>
        </w:tblPrEx>
        <w:trPr>
          <w:trHeight w:val="330" w:hRule="atLeast"/>
        </w:trPr>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CPU</w:t>
            </w:r>
          </w:p>
        </w:tc>
        <w:tc>
          <w:tcPr>
            <w:tcW w:w="6883"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第13代英特尔处理器I5-13500T及以上或AMD R5处理器或同性能的处理器</w:t>
            </w:r>
          </w:p>
        </w:tc>
      </w:tr>
      <w:tr>
        <w:tblPrEx>
          <w:tblCellMar>
            <w:top w:w="0" w:type="dxa"/>
            <w:left w:w="108" w:type="dxa"/>
            <w:bottom w:w="0" w:type="dxa"/>
            <w:right w:w="108" w:type="dxa"/>
          </w:tblCellMar>
        </w:tblPrEx>
        <w:trPr>
          <w:trHeight w:val="330"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主板</w:t>
            </w:r>
          </w:p>
        </w:tc>
        <w:tc>
          <w:tcPr>
            <w:tcW w:w="6883" w:type="dxa"/>
            <w:tcBorders>
              <w:top w:val="nil"/>
              <w:left w:val="nil"/>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Intel Q670芯片组或AMD芯片组或同性能的芯片组</w:t>
            </w:r>
          </w:p>
        </w:tc>
      </w:tr>
      <w:tr>
        <w:tblPrEx>
          <w:tblCellMar>
            <w:top w:w="0" w:type="dxa"/>
            <w:left w:w="108" w:type="dxa"/>
            <w:bottom w:w="0" w:type="dxa"/>
            <w:right w:w="108" w:type="dxa"/>
          </w:tblCellMar>
        </w:tblPrEx>
        <w:trPr>
          <w:trHeight w:val="330"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内存</w:t>
            </w:r>
          </w:p>
        </w:tc>
        <w:tc>
          <w:tcPr>
            <w:tcW w:w="6883" w:type="dxa"/>
            <w:tcBorders>
              <w:top w:val="nil"/>
              <w:left w:val="nil"/>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8G DDR4 3200Mhz内存或以上，最大可64GB</w:t>
            </w:r>
          </w:p>
        </w:tc>
      </w:tr>
      <w:tr>
        <w:trPr>
          <w:trHeight w:val="330"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显卡</w:t>
            </w:r>
          </w:p>
        </w:tc>
        <w:tc>
          <w:tcPr>
            <w:tcW w:w="6883" w:type="dxa"/>
            <w:tcBorders>
              <w:top w:val="nil"/>
              <w:left w:val="nil"/>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集成显卡</w:t>
            </w:r>
          </w:p>
        </w:tc>
      </w:tr>
      <w:tr>
        <w:tblPrEx>
          <w:tblCellMar>
            <w:top w:w="0" w:type="dxa"/>
            <w:left w:w="108" w:type="dxa"/>
            <w:bottom w:w="0" w:type="dxa"/>
            <w:right w:w="108" w:type="dxa"/>
          </w:tblCellMar>
        </w:tblPrEx>
        <w:trPr>
          <w:trHeight w:val="330"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声卡</w:t>
            </w:r>
          </w:p>
        </w:tc>
        <w:tc>
          <w:tcPr>
            <w:tcW w:w="6883" w:type="dxa"/>
            <w:tcBorders>
              <w:top w:val="nil"/>
              <w:left w:val="nil"/>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集成声卡(左侧1个音频通用插孔，背板1个输出音频端口)</w:t>
            </w:r>
          </w:p>
        </w:tc>
      </w:tr>
      <w:tr>
        <w:tblPrEx>
          <w:tblCellMar>
            <w:top w:w="0" w:type="dxa"/>
            <w:left w:w="108" w:type="dxa"/>
            <w:bottom w:w="0" w:type="dxa"/>
            <w:right w:w="108" w:type="dxa"/>
          </w:tblCellMar>
        </w:tblPrEx>
        <w:trPr>
          <w:trHeight w:val="330"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硬盘</w:t>
            </w:r>
          </w:p>
        </w:tc>
        <w:tc>
          <w:tcPr>
            <w:tcW w:w="6883" w:type="dxa"/>
            <w:tcBorders>
              <w:top w:val="nil"/>
              <w:left w:val="nil"/>
              <w:bottom w:val="single" w:color="auto" w:sz="4" w:space="0"/>
              <w:right w:val="single" w:color="auto" w:sz="4" w:space="0"/>
            </w:tcBorders>
            <w:shd w:val="clear" w:color="auto" w:fill="auto"/>
          </w:tcPr>
          <w:p>
            <w:pPr>
              <w:jc w:val="left"/>
              <w:rPr>
                <w:rFonts w:hint="eastAsia" w:ascii="宋体" w:hAnsi="宋体"/>
                <w:color w:val="auto"/>
                <w:kern w:val="0"/>
                <w:sz w:val="24"/>
                <w:u w:color="000000"/>
              </w:rPr>
            </w:pPr>
            <w:r>
              <w:rPr>
                <w:rFonts w:hint="eastAsia" w:ascii="宋体" w:hAnsi="宋体"/>
                <w:color w:val="auto"/>
                <w:kern w:val="0"/>
                <w:sz w:val="24"/>
                <w:u w:color="000000"/>
              </w:rPr>
              <w:t>256G PCIe NVME固态硬盘，1T SATA盘</w:t>
            </w:r>
          </w:p>
        </w:tc>
      </w:tr>
      <w:tr>
        <w:tblPrEx>
          <w:tblCellMar>
            <w:top w:w="0" w:type="dxa"/>
            <w:left w:w="108" w:type="dxa"/>
            <w:bottom w:w="0" w:type="dxa"/>
            <w:right w:w="108" w:type="dxa"/>
          </w:tblCellMar>
        </w:tblPrEx>
        <w:trPr>
          <w:trHeight w:val="330"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网卡</w:t>
            </w:r>
          </w:p>
        </w:tc>
        <w:tc>
          <w:tcPr>
            <w:tcW w:w="6883" w:type="dxa"/>
            <w:tcBorders>
              <w:top w:val="nil"/>
              <w:left w:val="nil"/>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集成10/100/1000M以太网卡；WIFI6无线网卡+蓝牙</w:t>
            </w:r>
          </w:p>
        </w:tc>
      </w:tr>
      <w:tr>
        <w:trPr>
          <w:trHeight w:val="330"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键盘、鼠标</w:t>
            </w:r>
          </w:p>
        </w:tc>
        <w:tc>
          <w:tcPr>
            <w:tcW w:w="6883" w:type="dxa"/>
            <w:tcBorders>
              <w:top w:val="nil"/>
              <w:left w:val="nil"/>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原厂键鼠套件</w:t>
            </w:r>
          </w:p>
        </w:tc>
      </w:tr>
      <w:tr>
        <w:tblPrEx>
          <w:tblCellMar>
            <w:top w:w="0" w:type="dxa"/>
            <w:left w:w="108" w:type="dxa"/>
            <w:bottom w:w="0" w:type="dxa"/>
            <w:right w:w="108" w:type="dxa"/>
          </w:tblCellMar>
        </w:tblPrEx>
        <w:trPr>
          <w:trHeight w:val="660"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接口</w:t>
            </w:r>
          </w:p>
        </w:tc>
        <w:tc>
          <w:tcPr>
            <w:tcW w:w="6883" w:type="dxa"/>
            <w:tcBorders>
              <w:top w:val="nil"/>
              <w:left w:val="nil"/>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6个USB接口(侧面1个USB3.2 Type-c G2X2,1个USB3.2G2后置4个USB3.2 G2)、1个DP；</w:t>
            </w:r>
          </w:p>
        </w:tc>
      </w:tr>
      <w:tr>
        <w:tblPrEx>
          <w:tblCellMar>
            <w:top w:w="0" w:type="dxa"/>
            <w:left w:w="108" w:type="dxa"/>
            <w:bottom w:w="0" w:type="dxa"/>
            <w:right w:w="108" w:type="dxa"/>
          </w:tblCellMar>
        </w:tblPrEx>
        <w:trPr>
          <w:trHeight w:val="330"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电源</w:t>
            </w:r>
          </w:p>
        </w:tc>
        <w:tc>
          <w:tcPr>
            <w:tcW w:w="6883" w:type="dxa"/>
            <w:tcBorders>
              <w:top w:val="nil"/>
              <w:left w:val="nil"/>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电源  130W及以上</w:t>
            </w:r>
          </w:p>
        </w:tc>
      </w:tr>
      <w:tr>
        <w:tblPrEx>
          <w:tblCellMar>
            <w:top w:w="0" w:type="dxa"/>
            <w:left w:w="108" w:type="dxa"/>
            <w:bottom w:w="0" w:type="dxa"/>
            <w:right w:w="108" w:type="dxa"/>
          </w:tblCellMar>
        </w:tblPrEx>
        <w:trPr>
          <w:trHeight w:val="330"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操作系统</w:t>
            </w:r>
          </w:p>
        </w:tc>
        <w:tc>
          <w:tcPr>
            <w:tcW w:w="6883" w:type="dxa"/>
            <w:tcBorders>
              <w:top w:val="nil"/>
              <w:left w:val="nil"/>
              <w:bottom w:val="single" w:color="auto" w:sz="4" w:space="0"/>
              <w:right w:val="single" w:color="auto" w:sz="4" w:space="0"/>
            </w:tcBorders>
            <w:shd w:val="clear" w:color="auto" w:fill="auto"/>
            <w:noWrap/>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预装Windows 11正版操作系统</w:t>
            </w:r>
          </w:p>
        </w:tc>
      </w:tr>
      <w:tr>
        <w:trPr>
          <w:trHeight w:val="660"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安全特性</w:t>
            </w:r>
          </w:p>
        </w:tc>
        <w:tc>
          <w:tcPr>
            <w:tcW w:w="6883" w:type="dxa"/>
            <w:tcBorders>
              <w:top w:val="nil"/>
              <w:left w:val="nil"/>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支持BIOS启用FTPM 2.0、Microsoft Windows Bitlocker、通过 BIOS 进行的本地硬盘数据擦除（“安全擦除”）、机箱锁插槽支持、机箱防盗开关、设置/BIOS 密码</w:t>
            </w:r>
          </w:p>
        </w:tc>
      </w:tr>
      <w:tr>
        <w:tblPrEx>
          <w:tblCellMar>
            <w:top w:w="0" w:type="dxa"/>
            <w:left w:w="108" w:type="dxa"/>
            <w:bottom w:w="0" w:type="dxa"/>
            <w:right w:w="108" w:type="dxa"/>
          </w:tblCellMar>
        </w:tblPrEx>
        <w:trPr>
          <w:trHeight w:val="330"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液晶屏</w:t>
            </w:r>
          </w:p>
        </w:tc>
        <w:tc>
          <w:tcPr>
            <w:tcW w:w="6883" w:type="dxa"/>
            <w:tcBorders>
              <w:top w:val="nil"/>
              <w:left w:val="nil"/>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23.8寸液晶屏；全高清 1920 x 1080，60 Hz，防眩光</w:t>
            </w:r>
          </w:p>
        </w:tc>
      </w:tr>
      <w:tr>
        <w:tblPrEx>
          <w:tblCellMar>
            <w:top w:w="0" w:type="dxa"/>
            <w:left w:w="108" w:type="dxa"/>
            <w:bottom w:w="0" w:type="dxa"/>
            <w:right w:w="108" w:type="dxa"/>
          </w:tblCellMar>
        </w:tblPrEx>
        <w:trPr>
          <w:trHeight w:val="330"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保修</w:t>
            </w:r>
          </w:p>
        </w:tc>
        <w:tc>
          <w:tcPr>
            <w:tcW w:w="6883" w:type="dxa"/>
            <w:tcBorders>
              <w:top w:val="nil"/>
              <w:left w:val="nil"/>
              <w:bottom w:val="single" w:color="auto" w:sz="4" w:space="0"/>
              <w:right w:val="single" w:color="auto" w:sz="4" w:space="0"/>
            </w:tcBorders>
            <w:shd w:val="clear" w:color="auto" w:fill="auto"/>
            <w:noWrap/>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3年专业级保修，支持24*7原厂电话支持服务、所有部件（包括键盘鼠标显示器在内）的原厂商备件，起含下一工作日上门服务</w:t>
            </w:r>
          </w:p>
        </w:tc>
      </w:tr>
      <w:tr>
        <w:tblPrEx>
          <w:tblCellMar>
            <w:top w:w="0" w:type="dxa"/>
            <w:left w:w="108" w:type="dxa"/>
            <w:bottom w:w="0" w:type="dxa"/>
            <w:right w:w="108" w:type="dxa"/>
          </w:tblCellMar>
        </w:tblPrEx>
        <w:trPr>
          <w:trHeight w:val="330"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可靠性认证</w:t>
            </w:r>
          </w:p>
        </w:tc>
        <w:tc>
          <w:tcPr>
            <w:tcW w:w="6883" w:type="dxa"/>
            <w:tcBorders>
              <w:top w:val="nil"/>
              <w:left w:val="nil"/>
              <w:bottom w:val="single" w:color="auto" w:sz="4" w:space="0"/>
              <w:right w:val="single" w:color="auto" w:sz="4" w:space="0"/>
            </w:tcBorders>
            <w:shd w:val="clear" w:color="auto" w:fill="auto"/>
            <w:noWrap/>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平均无故障时间（MTBF）不低于10万小时，需提供产品界面截图、产品彩页、产品说明书、产品白皮书或第三方检测机构出具的检测报告等证明材料，证明材料需加盖公章。</w:t>
            </w:r>
          </w:p>
        </w:tc>
      </w:tr>
      <w:tr>
        <w:trPr>
          <w:trHeight w:val="330"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环保认证</w:t>
            </w:r>
          </w:p>
        </w:tc>
        <w:tc>
          <w:tcPr>
            <w:tcW w:w="6883" w:type="dxa"/>
            <w:tcBorders>
              <w:top w:val="nil"/>
              <w:left w:val="nil"/>
              <w:bottom w:val="single" w:color="auto" w:sz="4" w:space="0"/>
              <w:right w:val="single" w:color="auto" w:sz="4" w:space="0"/>
            </w:tcBorders>
            <w:shd w:val="clear" w:color="auto" w:fill="auto"/>
            <w:noWrap/>
            <w:vAlign w:val="center"/>
          </w:tcPr>
          <w:p>
            <w:pPr>
              <w:jc w:val="left"/>
              <w:rPr>
                <w:rFonts w:hint="eastAsia" w:ascii="宋体" w:hAnsi="宋体"/>
                <w:color w:val="auto"/>
                <w:kern w:val="0"/>
                <w:sz w:val="24"/>
                <w:u w:color="000000"/>
              </w:rPr>
            </w:pPr>
            <w:r>
              <w:rPr>
                <w:rFonts w:hint="eastAsia" w:ascii="宋体" w:hAnsi="宋体"/>
                <w:color w:val="auto"/>
                <w:kern w:val="0"/>
                <w:sz w:val="24"/>
                <w:u w:color="000000"/>
              </w:rPr>
              <w:t>国家环保总局十环认证；</w:t>
            </w:r>
          </w:p>
          <w:p>
            <w:pPr>
              <w:jc w:val="left"/>
              <w:rPr>
                <w:rFonts w:hint="eastAsia" w:ascii="宋体" w:hAnsi="宋体"/>
                <w:color w:val="auto"/>
                <w:kern w:val="0"/>
                <w:sz w:val="24"/>
                <w:u w:color="000000"/>
              </w:rPr>
            </w:pPr>
            <w:r>
              <w:rPr>
                <w:rFonts w:hint="eastAsia" w:ascii="宋体" w:hAnsi="宋体"/>
                <w:color w:val="auto"/>
                <w:kern w:val="0"/>
                <w:sz w:val="24"/>
                <w:u w:color="000000"/>
              </w:rPr>
              <w:t>符合中国/欧盟Rohs（无铅）标准；</w:t>
            </w:r>
          </w:p>
          <w:p>
            <w:pPr>
              <w:jc w:val="left"/>
              <w:rPr>
                <w:rFonts w:hint="eastAsia" w:ascii="宋体" w:hAnsi="宋体"/>
                <w:color w:val="auto"/>
                <w:kern w:val="0"/>
                <w:sz w:val="24"/>
                <w:u w:color="000000"/>
              </w:rPr>
            </w:pPr>
            <w:r>
              <w:rPr>
                <w:rFonts w:hint="eastAsia" w:ascii="宋体" w:hAnsi="宋体"/>
                <w:color w:val="auto"/>
                <w:kern w:val="0"/>
                <w:sz w:val="24"/>
                <w:u w:color="000000"/>
              </w:rPr>
              <w:t>国家电磁辐射最高标准（B级）。</w:t>
            </w:r>
          </w:p>
        </w:tc>
      </w:tr>
    </w:tbl>
    <w:p>
      <w:pPr>
        <w:rPr>
          <w:color w:val="auto"/>
        </w:rPr>
      </w:pPr>
    </w:p>
    <w:p>
      <w:pPr>
        <w:pStyle w:val="3"/>
        <w:numPr>
          <w:ilvl w:val="1"/>
          <w:numId w:val="3"/>
        </w:numPr>
        <w:rPr>
          <w:rFonts w:asciiTheme="minorEastAsia" w:hAnsiTheme="minorEastAsia" w:eastAsiaTheme="minorEastAsia"/>
          <w:color w:val="auto"/>
          <w:sz w:val="24"/>
          <w:szCs w:val="24"/>
        </w:rPr>
      </w:pPr>
      <w:bookmarkStart w:id="12" w:name="_Toc148691908"/>
      <w:r>
        <w:rPr>
          <w:rFonts w:hint="eastAsia" w:asciiTheme="minorEastAsia" w:hAnsiTheme="minorEastAsia" w:eastAsiaTheme="minorEastAsia"/>
          <w:color w:val="auto"/>
          <w:sz w:val="24"/>
          <w:szCs w:val="24"/>
        </w:rPr>
        <w:t>应用软件需求</w:t>
      </w:r>
      <w:bookmarkEnd w:id="12"/>
    </w:p>
    <w:p>
      <w:pPr>
        <w:pStyle w:val="4"/>
        <w:numPr>
          <w:ilvl w:val="2"/>
          <w:numId w:val="3"/>
        </w:numPr>
        <w:rPr>
          <w:rFonts w:asciiTheme="minorEastAsia" w:hAnsiTheme="minorEastAsia" w:eastAsiaTheme="minorEastAsia"/>
          <w:color w:val="auto"/>
          <w:sz w:val="24"/>
          <w:szCs w:val="24"/>
        </w:rPr>
      </w:pPr>
      <w:bookmarkStart w:id="13" w:name="_Toc68225512"/>
      <w:bookmarkEnd w:id="13"/>
      <w:bookmarkStart w:id="14" w:name="_Toc78311061"/>
      <w:bookmarkEnd w:id="14"/>
      <w:bookmarkStart w:id="15" w:name="_Toc68225510"/>
      <w:bookmarkEnd w:id="15"/>
      <w:bookmarkStart w:id="16" w:name="_Toc78311058"/>
      <w:bookmarkEnd w:id="16"/>
      <w:bookmarkStart w:id="17" w:name="_Toc78310867"/>
      <w:bookmarkEnd w:id="17"/>
      <w:bookmarkStart w:id="18" w:name="_Toc78310977"/>
      <w:bookmarkEnd w:id="18"/>
      <w:bookmarkStart w:id="19" w:name="_Toc68225367"/>
      <w:bookmarkEnd w:id="19"/>
      <w:bookmarkStart w:id="20" w:name="_Toc76562951"/>
      <w:bookmarkEnd w:id="20"/>
      <w:bookmarkStart w:id="21" w:name="_Toc78310978"/>
      <w:bookmarkEnd w:id="21"/>
      <w:bookmarkStart w:id="22" w:name="_Toc78311060"/>
      <w:bookmarkEnd w:id="22"/>
      <w:bookmarkStart w:id="23" w:name="_Toc78311062"/>
      <w:bookmarkEnd w:id="23"/>
      <w:bookmarkStart w:id="24" w:name="_Toc76562950"/>
      <w:bookmarkEnd w:id="24"/>
      <w:bookmarkStart w:id="25" w:name="_Toc78311056"/>
      <w:bookmarkEnd w:id="25"/>
      <w:bookmarkStart w:id="26" w:name="_Toc68186090"/>
      <w:bookmarkEnd w:id="26"/>
      <w:bookmarkStart w:id="27" w:name="_Toc78311053"/>
      <w:bookmarkEnd w:id="27"/>
      <w:bookmarkStart w:id="28" w:name="_Toc68181486"/>
      <w:bookmarkEnd w:id="28"/>
      <w:bookmarkStart w:id="29" w:name="_Toc68225508"/>
      <w:bookmarkEnd w:id="29"/>
      <w:bookmarkStart w:id="30" w:name="_Toc78310865"/>
      <w:bookmarkEnd w:id="30"/>
      <w:bookmarkStart w:id="31" w:name="_Toc68182166"/>
      <w:bookmarkEnd w:id="31"/>
      <w:bookmarkStart w:id="32" w:name="_Toc68225086"/>
      <w:bookmarkEnd w:id="32"/>
      <w:bookmarkStart w:id="33" w:name="_Toc76562875"/>
      <w:bookmarkEnd w:id="33"/>
      <w:bookmarkStart w:id="34" w:name="_Toc76562874"/>
      <w:bookmarkEnd w:id="34"/>
      <w:bookmarkStart w:id="35" w:name="_Toc68164117"/>
      <w:bookmarkEnd w:id="35"/>
      <w:bookmarkStart w:id="36" w:name="_Toc68181619"/>
      <w:bookmarkEnd w:id="36"/>
      <w:bookmarkStart w:id="37" w:name="_Toc76562952"/>
      <w:bookmarkEnd w:id="37"/>
      <w:bookmarkStart w:id="38" w:name="_Toc68225511"/>
      <w:bookmarkEnd w:id="38"/>
      <w:bookmarkStart w:id="39" w:name="_Toc68225364"/>
      <w:bookmarkEnd w:id="39"/>
      <w:bookmarkStart w:id="40" w:name="_Toc78311059"/>
      <w:bookmarkEnd w:id="40"/>
      <w:bookmarkStart w:id="41" w:name="_Toc76562876"/>
      <w:bookmarkEnd w:id="41"/>
      <w:bookmarkStart w:id="42" w:name="_Toc78311057"/>
      <w:bookmarkEnd w:id="42"/>
      <w:bookmarkStart w:id="43" w:name="_Toc68164311"/>
      <w:bookmarkEnd w:id="43"/>
      <w:bookmarkStart w:id="44" w:name="_Toc76562953"/>
      <w:bookmarkEnd w:id="44"/>
      <w:bookmarkStart w:id="45" w:name="_Toc78310979"/>
      <w:bookmarkEnd w:id="45"/>
      <w:bookmarkStart w:id="46" w:name="_Toc68225737"/>
      <w:bookmarkEnd w:id="46"/>
      <w:bookmarkStart w:id="47" w:name="_Toc78310864"/>
      <w:bookmarkEnd w:id="47"/>
      <w:bookmarkStart w:id="48" w:name="_Toc68164235"/>
      <w:bookmarkEnd w:id="48"/>
      <w:bookmarkStart w:id="49" w:name="_Toc78310975"/>
      <w:bookmarkEnd w:id="49"/>
      <w:bookmarkStart w:id="50" w:name="_Toc68225741"/>
      <w:bookmarkEnd w:id="50"/>
      <w:bookmarkStart w:id="51" w:name="_Toc78310976"/>
      <w:bookmarkEnd w:id="51"/>
      <w:bookmarkStart w:id="52" w:name="_Toc78310866"/>
      <w:bookmarkEnd w:id="52"/>
      <w:bookmarkStart w:id="53" w:name="_Toc78311055"/>
      <w:bookmarkEnd w:id="53"/>
      <w:bookmarkStart w:id="54" w:name="_Toc68181751"/>
      <w:bookmarkEnd w:id="54"/>
      <w:bookmarkStart w:id="55" w:name="_Toc76562872"/>
      <w:bookmarkEnd w:id="55"/>
      <w:bookmarkStart w:id="56" w:name="_Toc78311054"/>
      <w:bookmarkEnd w:id="56"/>
      <w:bookmarkStart w:id="57" w:name="_Toc68225738"/>
      <w:bookmarkEnd w:id="57"/>
      <w:bookmarkStart w:id="58" w:name="_Toc76562954"/>
      <w:bookmarkEnd w:id="58"/>
      <w:bookmarkStart w:id="59" w:name="_Toc68225740"/>
      <w:bookmarkEnd w:id="59"/>
      <w:bookmarkStart w:id="60" w:name="_Toc68224942"/>
      <w:bookmarkEnd w:id="60"/>
      <w:bookmarkStart w:id="61" w:name="_Toc68225739"/>
      <w:bookmarkEnd w:id="61"/>
      <w:bookmarkStart w:id="62" w:name="_Toc68225368"/>
      <w:bookmarkEnd w:id="62"/>
      <w:bookmarkStart w:id="63" w:name="_Toc68225365"/>
      <w:bookmarkEnd w:id="63"/>
      <w:bookmarkStart w:id="64" w:name="_Toc76562873"/>
      <w:bookmarkEnd w:id="64"/>
      <w:bookmarkStart w:id="65" w:name="_Toc68225366"/>
      <w:bookmarkEnd w:id="65"/>
      <w:bookmarkStart w:id="66" w:name="_Toc68225509"/>
      <w:bookmarkEnd w:id="66"/>
      <w:bookmarkStart w:id="67" w:name="_Toc68224796"/>
      <w:bookmarkEnd w:id="67"/>
      <w:bookmarkStart w:id="68" w:name="_Toc78310868"/>
      <w:bookmarkEnd w:id="68"/>
      <w:bookmarkStart w:id="69" w:name="_Toc148691909"/>
      <w:r>
        <w:rPr>
          <w:rFonts w:hint="eastAsia" w:asciiTheme="minorEastAsia" w:hAnsiTheme="minorEastAsia" w:eastAsiaTheme="minorEastAsia"/>
          <w:color w:val="auto"/>
          <w:sz w:val="24"/>
          <w:szCs w:val="24"/>
        </w:rPr>
        <w:t>建设内容</w:t>
      </w:r>
      <w:bookmarkEnd w:id="69"/>
    </w:p>
    <w:p>
      <w:pPr>
        <w:pStyle w:val="5"/>
        <w:numPr>
          <w:ilvl w:val="3"/>
          <w:numId w:val="3"/>
        </w:numPr>
        <w:spacing w:before="240" w:after="240" w:line="360" w:lineRule="auto"/>
        <w:rPr>
          <w:rFonts w:ascii="宋体" w:hAnsi="宋体" w:eastAsia="宋体"/>
          <w:color w:val="auto"/>
          <w:sz w:val="24"/>
          <w:szCs w:val="24"/>
        </w:rPr>
      </w:pPr>
      <w:r>
        <w:rPr>
          <w:rFonts w:hint="eastAsia" w:ascii="宋体" w:hAnsi="宋体" w:eastAsia="宋体"/>
          <w:color w:val="auto"/>
          <w:sz w:val="24"/>
          <w:szCs w:val="24"/>
        </w:rPr>
        <w:t>应用软件部分</w:t>
      </w:r>
    </w:p>
    <w:p>
      <w:pPr>
        <w:pStyle w:val="39"/>
        <w:ind w:firstLine="170" w:firstLineChars="71"/>
        <w:rPr>
          <w:rFonts w:ascii="宋体" w:hAnsi="宋体" w:eastAsia="宋体"/>
          <w:color w:val="auto"/>
          <w:sz w:val="24"/>
          <w:szCs w:val="24"/>
        </w:rPr>
      </w:pPr>
      <w:r>
        <w:rPr>
          <w:rFonts w:hint="eastAsia" w:ascii="宋体" w:hAnsi="宋体" w:eastAsia="宋体"/>
          <w:color w:val="auto"/>
          <w:sz w:val="24"/>
          <w:szCs w:val="24"/>
        </w:rPr>
        <w:t>本项目新老院区软件需要兼容，并实现同质化管理</w:t>
      </w:r>
    </w:p>
    <w:tbl>
      <w:tblPr>
        <w:tblStyle w:val="19"/>
        <w:tblW w:w="8383" w:type="dxa"/>
        <w:tblInd w:w="98" w:type="dxa"/>
        <w:tblLayout w:type="fixed"/>
        <w:tblCellMar>
          <w:top w:w="0" w:type="dxa"/>
          <w:left w:w="108" w:type="dxa"/>
          <w:bottom w:w="0" w:type="dxa"/>
          <w:right w:w="108" w:type="dxa"/>
        </w:tblCellMar>
      </w:tblPr>
      <w:tblGrid>
        <w:gridCol w:w="707"/>
        <w:gridCol w:w="1640"/>
        <w:gridCol w:w="4354"/>
        <w:gridCol w:w="851"/>
        <w:gridCol w:w="831"/>
      </w:tblGrid>
      <w:tr>
        <w:trPr>
          <w:trHeight w:val="535" w:hRule="atLeast"/>
        </w:trPr>
        <w:tc>
          <w:tcPr>
            <w:tcW w:w="8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color w:val="auto"/>
                <w:sz w:val="24"/>
              </w:rPr>
            </w:pPr>
            <w:r>
              <w:rPr>
                <w:rFonts w:hint="eastAsia" w:ascii="宋体" w:hAnsi="宋体" w:cs="宋体"/>
                <w:b/>
                <w:bCs/>
                <w:color w:val="auto"/>
                <w:kern w:val="0"/>
                <w:sz w:val="24"/>
                <w:lang w:bidi="ar"/>
              </w:rPr>
              <w:t>上海交通大学医学院附属上海儿童医学中心国家儿童医学中心（张江新院区）</w:t>
            </w:r>
          </w:p>
        </w:tc>
      </w:tr>
      <w:tr>
        <w:trPr>
          <w:trHeight w:val="310" w:hRule="atLeast"/>
        </w:trPr>
        <w:tc>
          <w:tcPr>
            <w:tcW w:w="8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color w:val="auto"/>
                <w:sz w:val="24"/>
              </w:rPr>
            </w:pPr>
            <w:r>
              <w:rPr>
                <w:rFonts w:hint="eastAsia" w:ascii="宋体" w:hAnsi="宋体" w:cs="宋体"/>
                <w:b/>
                <w:bCs/>
                <w:color w:val="auto"/>
                <w:kern w:val="0"/>
                <w:sz w:val="24"/>
                <w:lang w:bidi="ar"/>
              </w:rPr>
              <w:t>开办配套信息化项目软件建设清单</w:t>
            </w:r>
          </w:p>
        </w:tc>
      </w:tr>
      <w:tr>
        <w:trPr>
          <w:trHeight w:val="280" w:hRule="atLeast"/>
        </w:trPr>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b/>
                <w:bCs/>
                <w:color w:val="auto"/>
                <w:sz w:val="24"/>
              </w:rPr>
            </w:pPr>
            <w:r>
              <w:rPr>
                <w:rFonts w:hint="eastAsia" w:ascii="宋体" w:hAnsi="宋体" w:cs="宋体"/>
                <w:b/>
                <w:bCs/>
                <w:color w:val="auto"/>
                <w:kern w:val="0"/>
                <w:sz w:val="24"/>
                <w:lang w:bidi="ar"/>
              </w:rPr>
              <w:t>序号</w:t>
            </w:r>
          </w:p>
        </w:tc>
        <w:tc>
          <w:tcPr>
            <w:tcW w:w="1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b/>
                <w:bCs/>
                <w:color w:val="auto"/>
                <w:sz w:val="24"/>
              </w:rPr>
            </w:pPr>
            <w:r>
              <w:rPr>
                <w:rFonts w:hint="eastAsia" w:ascii="宋体" w:hAnsi="宋体" w:cs="宋体"/>
                <w:b/>
                <w:bCs/>
                <w:color w:val="auto"/>
                <w:kern w:val="0"/>
                <w:sz w:val="24"/>
                <w:lang w:bidi="ar"/>
              </w:rPr>
              <w:t>建设内容</w:t>
            </w:r>
          </w:p>
        </w:tc>
        <w:tc>
          <w:tcPr>
            <w:tcW w:w="43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ascii="宋体" w:hAnsi="宋体" w:cs="宋体"/>
                <w:b/>
                <w:bCs/>
                <w:color w:val="auto"/>
                <w:sz w:val="24"/>
              </w:rPr>
            </w:pPr>
            <w:r>
              <w:rPr>
                <w:rFonts w:hint="eastAsia" w:ascii="宋体" w:hAnsi="宋体" w:cs="宋体"/>
                <w:b/>
                <w:bCs/>
                <w:color w:val="auto"/>
                <w:kern w:val="0"/>
                <w:sz w:val="24"/>
                <w:lang w:bidi="ar"/>
              </w:rPr>
              <w:t>模块名称</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b/>
                <w:bCs/>
                <w:color w:val="auto"/>
                <w:sz w:val="24"/>
              </w:rPr>
            </w:pPr>
            <w:r>
              <w:rPr>
                <w:rFonts w:hint="eastAsia" w:ascii="宋体" w:hAnsi="宋体" w:cs="宋体"/>
                <w:b/>
                <w:bCs/>
                <w:color w:val="auto"/>
                <w:kern w:val="0"/>
                <w:sz w:val="24"/>
                <w:lang w:bidi="ar"/>
              </w:rPr>
              <w:t>单位</w:t>
            </w:r>
          </w:p>
        </w:tc>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b/>
                <w:bCs/>
                <w:color w:val="auto"/>
                <w:sz w:val="24"/>
              </w:rPr>
            </w:pPr>
            <w:r>
              <w:rPr>
                <w:rFonts w:hint="eastAsia" w:ascii="宋体" w:hAnsi="宋体" w:cs="宋体"/>
                <w:b/>
                <w:bCs/>
                <w:color w:val="auto"/>
                <w:kern w:val="0"/>
                <w:sz w:val="24"/>
                <w:lang w:bidi="ar"/>
              </w:rPr>
              <w:t>数量</w:t>
            </w:r>
          </w:p>
        </w:tc>
      </w:tr>
      <w:tr>
        <w:trPr>
          <w:trHeight w:val="3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auto"/>
                <w:sz w:val="24"/>
              </w:rPr>
            </w:pPr>
            <w:r>
              <w:rPr>
                <w:rFonts w:ascii="宋体" w:hAnsi="宋体" w:cs="宋体"/>
                <w:color w:val="auto"/>
                <w:kern w:val="0"/>
                <w:sz w:val="24"/>
                <w:lang w:bidi="ar"/>
              </w:rPr>
              <w:t>1</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国家级科研专病研究平台</w:t>
            </w:r>
          </w:p>
          <w:p>
            <w:pPr>
              <w:widowControl/>
              <w:spacing w:line="360" w:lineRule="auto"/>
              <w:jc w:val="center"/>
              <w:textAlignment w:val="center"/>
              <w:rPr>
                <w:rFonts w:ascii="宋体" w:hAnsi="宋体" w:cs="宋体"/>
                <w:color w:val="auto"/>
                <w:sz w:val="24"/>
              </w:rPr>
            </w:pPr>
          </w:p>
        </w:tc>
        <w:tc>
          <w:tcPr>
            <w:tcW w:w="4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cs="宋体"/>
                <w:color w:val="auto"/>
                <w:sz w:val="24"/>
              </w:rPr>
            </w:pPr>
            <w:r>
              <w:rPr>
                <w:rFonts w:hint="eastAsia"/>
                <w:color w:val="auto"/>
              </w:rPr>
              <w:t>科研专病库管理系统</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套</w:t>
            </w:r>
          </w:p>
        </w:tc>
      </w:tr>
      <w:tr>
        <w:trPr>
          <w:trHeight w:val="28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auto"/>
                <w:sz w:val="24"/>
              </w:rPr>
            </w:pPr>
            <w:r>
              <w:rPr>
                <w:rFonts w:ascii="宋体" w:hAnsi="宋体" w:cs="宋体"/>
                <w:color w:val="auto"/>
                <w:kern w:val="0"/>
                <w:sz w:val="24"/>
                <w:lang w:bidi="ar"/>
              </w:rPr>
              <w:t>2</w:t>
            </w: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color w:val="auto"/>
                <w:sz w:val="24"/>
              </w:rPr>
            </w:pPr>
          </w:p>
        </w:tc>
        <w:tc>
          <w:tcPr>
            <w:tcW w:w="4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color w:val="auto"/>
              </w:rPr>
            </w:pPr>
            <w:r>
              <w:rPr>
                <w:rFonts w:hint="eastAsia"/>
                <w:color w:val="auto"/>
              </w:rPr>
              <w:t>科研专病治疗系统</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套</w:t>
            </w:r>
          </w:p>
        </w:tc>
      </w:tr>
      <w:tr>
        <w:trPr>
          <w:trHeight w:val="28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w:t>
            </w: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color w:val="auto"/>
                <w:sz w:val="24"/>
              </w:rPr>
            </w:pPr>
          </w:p>
        </w:tc>
        <w:tc>
          <w:tcPr>
            <w:tcW w:w="4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cs="宋体"/>
                <w:color w:val="auto"/>
                <w:sz w:val="24"/>
              </w:rPr>
            </w:pPr>
            <w:r>
              <w:rPr>
                <w:rFonts w:hint="eastAsia"/>
                <w:color w:val="auto"/>
              </w:rPr>
              <w:t>科研数据查询系统</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套</w:t>
            </w:r>
          </w:p>
        </w:tc>
      </w:tr>
      <w:tr>
        <w:trPr>
          <w:trHeight w:val="28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auto"/>
                <w:sz w:val="24"/>
              </w:rPr>
            </w:pPr>
            <w:r>
              <w:rPr>
                <w:rFonts w:ascii="宋体" w:hAnsi="宋体" w:cs="宋体"/>
                <w:color w:val="auto"/>
                <w:kern w:val="0"/>
                <w:sz w:val="24"/>
                <w:lang w:bidi="ar"/>
              </w:rPr>
              <w:t>4</w:t>
            </w: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color w:val="auto"/>
                <w:sz w:val="24"/>
              </w:rPr>
            </w:pPr>
          </w:p>
        </w:tc>
        <w:tc>
          <w:tcPr>
            <w:tcW w:w="4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cs="宋体"/>
                <w:color w:val="auto"/>
                <w:sz w:val="24"/>
              </w:rPr>
            </w:pPr>
            <w:r>
              <w:rPr>
                <w:rFonts w:hint="eastAsia"/>
                <w:color w:val="auto"/>
              </w:rPr>
              <w:t>疾病队列管理系统</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套</w:t>
            </w:r>
          </w:p>
        </w:tc>
      </w:tr>
      <w:tr>
        <w:trPr>
          <w:trHeight w:val="28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auto"/>
                <w:sz w:val="24"/>
              </w:rPr>
            </w:pPr>
            <w:r>
              <w:rPr>
                <w:rFonts w:ascii="宋体" w:hAnsi="宋体" w:cs="宋体"/>
                <w:color w:val="auto"/>
                <w:kern w:val="0"/>
                <w:sz w:val="24"/>
                <w:lang w:bidi="ar"/>
              </w:rPr>
              <w:t>5</w:t>
            </w: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color w:val="auto"/>
                <w:sz w:val="24"/>
              </w:rPr>
            </w:pPr>
          </w:p>
        </w:tc>
        <w:tc>
          <w:tcPr>
            <w:tcW w:w="4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cs="宋体"/>
                <w:color w:val="auto"/>
                <w:sz w:val="24"/>
              </w:rPr>
            </w:pPr>
            <w:r>
              <w:rPr>
                <w:rFonts w:hint="eastAsia"/>
                <w:color w:val="auto"/>
              </w:rPr>
              <w:t>科研项目管理系统</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套</w:t>
            </w:r>
          </w:p>
        </w:tc>
      </w:tr>
      <w:tr>
        <w:trPr>
          <w:trHeight w:val="28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auto"/>
                <w:sz w:val="24"/>
              </w:rPr>
            </w:pPr>
            <w:r>
              <w:rPr>
                <w:rFonts w:ascii="宋体" w:hAnsi="宋体" w:cs="宋体"/>
                <w:color w:val="auto"/>
                <w:kern w:val="0"/>
                <w:sz w:val="24"/>
                <w:lang w:bidi="ar"/>
              </w:rPr>
              <w:t>6</w:t>
            </w: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color w:val="auto"/>
                <w:sz w:val="24"/>
              </w:rPr>
            </w:pPr>
          </w:p>
        </w:tc>
        <w:tc>
          <w:tcPr>
            <w:tcW w:w="4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cs="宋体"/>
                <w:color w:val="auto"/>
                <w:sz w:val="24"/>
              </w:rPr>
            </w:pPr>
            <w:r>
              <w:rPr>
                <w:rFonts w:hint="eastAsia"/>
                <w:color w:val="auto"/>
              </w:rPr>
              <w:t>科研随访管理系统</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套</w:t>
            </w:r>
          </w:p>
        </w:tc>
      </w:tr>
      <w:tr>
        <w:trPr>
          <w:trHeight w:val="3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7</w:t>
            </w:r>
          </w:p>
        </w:tc>
        <w:tc>
          <w:tcPr>
            <w:tcW w:w="1640" w:type="dxa"/>
            <w:vMerge w:val="restart"/>
            <w:tcBorders>
              <w:top w:val="single" w:color="000000" w:sz="4" w:space="0"/>
              <w:left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现代化研究型病房</w:t>
            </w:r>
          </w:p>
          <w:p>
            <w:pPr>
              <w:widowControl/>
              <w:spacing w:line="360" w:lineRule="auto"/>
              <w:jc w:val="center"/>
              <w:textAlignment w:val="center"/>
              <w:rPr>
                <w:rFonts w:ascii="宋体" w:hAnsi="宋体" w:cs="宋体"/>
                <w:color w:val="auto"/>
                <w:sz w:val="24"/>
              </w:rPr>
            </w:pPr>
          </w:p>
        </w:tc>
        <w:tc>
          <w:tcPr>
            <w:tcW w:w="4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rPr>
                <w:rFonts w:ascii="Times New Roman" w:hAnsi="Times New Roman" w:eastAsia="宋体" w:cs="Times New Roman"/>
                <w:b w:val="0"/>
                <w:color w:val="auto"/>
                <w:sz w:val="21"/>
                <w:szCs w:val="24"/>
              </w:rPr>
            </w:pPr>
            <w:r>
              <w:rPr>
                <w:rFonts w:hint="eastAsia" w:ascii="Times New Roman" w:hAnsi="Times New Roman" w:eastAsia="宋体" w:cs="Times New Roman"/>
                <w:b w:val="0"/>
                <w:color w:val="auto"/>
                <w:sz w:val="21"/>
                <w:szCs w:val="24"/>
              </w:rPr>
              <w:t>临床药物试验系统</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套</w:t>
            </w:r>
          </w:p>
        </w:tc>
      </w:tr>
      <w:tr>
        <w:trPr>
          <w:trHeight w:val="28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8</w:t>
            </w:r>
          </w:p>
        </w:tc>
        <w:tc>
          <w:tcPr>
            <w:tcW w:w="1640" w:type="dxa"/>
            <w:vMerge w:val="continue"/>
            <w:tcBorders>
              <w:left w:val="single" w:color="000000" w:sz="4" w:space="0"/>
              <w:right w:val="single" w:color="000000" w:sz="4" w:space="0"/>
            </w:tcBorders>
            <w:shd w:val="clear" w:color="auto" w:fill="auto"/>
            <w:noWrap/>
            <w:vAlign w:val="center"/>
          </w:tcPr>
          <w:p>
            <w:pPr>
              <w:spacing w:line="360" w:lineRule="auto"/>
              <w:jc w:val="center"/>
              <w:rPr>
                <w:rFonts w:ascii="宋体" w:hAnsi="宋体" w:cs="宋体"/>
                <w:color w:val="auto"/>
                <w:sz w:val="24"/>
              </w:rPr>
            </w:pPr>
          </w:p>
        </w:tc>
        <w:tc>
          <w:tcPr>
            <w:tcW w:w="4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rPr>
                <w:rFonts w:ascii="Times New Roman" w:hAnsi="Times New Roman" w:eastAsia="宋体" w:cs="Times New Roman"/>
                <w:b w:val="0"/>
                <w:color w:val="auto"/>
                <w:sz w:val="21"/>
                <w:szCs w:val="24"/>
              </w:rPr>
            </w:pPr>
            <w:r>
              <w:rPr>
                <w:rFonts w:hint="eastAsia" w:ascii="Times New Roman" w:hAnsi="Times New Roman" w:eastAsia="宋体" w:cs="Times New Roman"/>
                <w:b w:val="0"/>
                <w:color w:val="auto"/>
                <w:sz w:val="21"/>
                <w:szCs w:val="24"/>
              </w:rPr>
              <w:t>实验数据管理系统</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套</w:t>
            </w:r>
          </w:p>
        </w:tc>
      </w:tr>
      <w:tr>
        <w:trPr>
          <w:trHeight w:val="28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9</w:t>
            </w:r>
          </w:p>
        </w:tc>
        <w:tc>
          <w:tcPr>
            <w:tcW w:w="1640" w:type="dxa"/>
            <w:vMerge w:val="continue"/>
            <w:tcBorders>
              <w:left w:val="single" w:color="000000" w:sz="4" w:space="0"/>
              <w:right w:val="single" w:color="000000" w:sz="4" w:space="0"/>
            </w:tcBorders>
            <w:shd w:val="clear" w:color="auto" w:fill="auto"/>
            <w:noWrap/>
            <w:vAlign w:val="center"/>
          </w:tcPr>
          <w:p>
            <w:pPr>
              <w:spacing w:line="360" w:lineRule="auto"/>
              <w:jc w:val="center"/>
              <w:rPr>
                <w:rFonts w:ascii="宋体" w:hAnsi="宋体" w:cs="宋体"/>
                <w:color w:val="auto"/>
                <w:sz w:val="24"/>
              </w:rPr>
            </w:pPr>
          </w:p>
        </w:tc>
        <w:tc>
          <w:tcPr>
            <w:tcW w:w="4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cs="宋体"/>
                <w:color w:val="auto"/>
                <w:sz w:val="24"/>
              </w:rPr>
            </w:pPr>
            <w:r>
              <w:rPr>
                <w:rFonts w:hint="eastAsia"/>
                <w:color w:val="auto"/>
              </w:rPr>
              <w:t>生物样本库管理系统</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套</w:t>
            </w:r>
          </w:p>
        </w:tc>
      </w:tr>
      <w:tr>
        <w:trPr>
          <w:trHeight w:val="28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10</w:t>
            </w:r>
          </w:p>
        </w:tc>
        <w:tc>
          <w:tcPr>
            <w:tcW w:w="1640" w:type="dxa"/>
            <w:vMerge w:val="continue"/>
            <w:tcBorders>
              <w:left w:val="single" w:color="000000" w:sz="4" w:space="0"/>
              <w:right w:val="single" w:color="000000" w:sz="4" w:space="0"/>
            </w:tcBorders>
            <w:shd w:val="clear" w:color="auto" w:fill="auto"/>
            <w:noWrap/>
            <w:vAlign w:val="center"/>
          </w:tcPr>
          <w:p>
            <w:pPr>
              <w:spacing w:line="360" w:lineRule="auto"/>
              <w:jc w:val="center"/>
              <w:rPr>
                <w:rFonts w:ascii="宋体" w:hAnsi="宋体" w:cs="宋体"/>
                <w:color w:val="auto"/>
                <w:sz w:val="24"/>
              </w:rPr>
            </w:pPr>
          </w:p>
        </w:tc>
        <w:tc>
          <w:tcPr>
            <w:tcW w:w="4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cs="宋体"/>
                <w:color w:val="auto"/>
                <w:sz w:val="24"/>
              </w:rPr>
            </w:pPr>
            <w:r>
              <w:rPr>
                <w:rFonts w:hint="eastAsia"/>
                <w:color w:val="auto"/>
              </w:rPr>
              <w:t>受试者诊疗综合视图</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套</w:t>
            </w:r>
          </w:p>
        </w:tc>
      </w:tr>
      <w:tr>
        <w:trPr>
          <w:trHeight w:val="28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11</w:t>
            </w:r>
          </w:p>
        </w:tc>
        <w:tc>
          <w:tcPr>
            <w:tcW w:w="1640" w:type="dxa"/>
            <w:vMerge w:val="continue"/>
            <w:tcBorders>
              <w:left w:val="single" w:color="000000" w:sz="4" w:space="0"/>
              <w:right w:val="single" w:color="000000" w:sz="4" w:space="0"/>
            </w:tcBorders>
            <w:shd w:val="clear" w:color="auto" w:fill="auto"/>
            <w:noWrap/>
            <w:vAlign w:val="center"/>
          </w:tcPr>
          <w:p>
            <w:pPr>
              <w:spacing w:line="360" w:lineRule="auto"/>
              <w:jc w:val="center"/>
              <w:rPr>
                <w:rFonts w:ascii="宋体" w:hAnsi="宋体" w:cs="宋体"/>
                <w:color w:val="auto"/>
                <w:sz w:val="24"/>
              </w:rPr>
            </w:pPr>
          </w:p>
        </w:tc>
        <w:tc>
          <w:tcPr>
            <w:tcW w:w="4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cs="宋体"/>
                <w:color w:val="auto"/>
                <w:sz w:val="24"/>
              </w:rPr>
            </w:pPr>
            <w:r>
              <w:rPr>
                <w:rFonts w:hint="eastAsia"/>
                <w:color w:val="auto"/>
              </w:rPr>
              <w:t>研究型病房专病治疗系统</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套</w:t>
            </w:r>
          </w:p>
        </w:tc>
      </w:tr>
      <w:tr>
        <w:trPr>
          <w:trHeight w:val="28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12</w:t>
            </w:r>
          </w:p>
        </w:tc>
        <w:tc>
          <w:tcPr>
            <w:tcW w:w="1640" w:type="dxa"/>
            <w:vMerge w:val="continue"/>
            <w:tcBorders>
              <w:left w:val="single" w:color="000000" w:sz="4" w:space="0"/>
              <w:right w:val="single" w:color="000000" w:sz="4" w:space="0"/>
            </w:tcBorders>
            <w:shd w:val="clear" w:color="auto" w:fill="auto"/>
            <w:noWrap/>
            <w:vAlign w:val="center"/>
          </w:tcPr>
          <w:p>
            <w:pPr>
              <w:spacing w:line="360" w:lineRule="auto"/>
              <w:jc w:val="center"/>
              <w:rPr>
                <w:rFonts w:ascii="宋体" w:hAnsi="宋体" w:cs="宋体"/>
                <w:color w:val="auto"/>
                <w:sz w:val="24"/>
              </w:rPr>
            </w:pPr>
          </w:p>
        </w:tc>
        <w:tc>
          <w:tcPr>
            <w:tcW w:w="4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cs="宋体"/>
                <w:color w:val="auto"/>
                <w:sz w:val="24"/>
              </w:rPr>
            </w:pPr>
            <w:r>
              <w:rPr>
                <w:rFonts w:hint="eastAsia"/>
                <w:color w:val="auto"/>
              </w:rPr>
              <w:t>研究型病房随访系统</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套</w:t>
            </w:r>
          </w:p>
        </w:tc>
      </w:tr>
      <w:tr>
        <w:trPr>
          <w:trHeight w:val="28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13</w:t>
            </w:r>
          </w:p>
        </w:tc>
        <w:tc>
          <w:tcPr>
            <w:tcW w:w="1640" w:type="dxa"/>
            <w:vMerge w:val="continue"/>
            <w:tcBorders>
              <w:left w:val="single" w:color="000000" w:sz="4" w:space="0"/>
              <w:right w:val="single" w:color="000000" w:sz="4" w:space="0"/>
            </w:tcBorders>
            <w:shd w:val="clear" w:color="auto" w:fill="auto"/>
            <w:noWrap/>
            <w:vAlign w:val="center"/>
          </w:tcPr>
          <w:p>
            <w:pPr>
              <w:spacing w:line="360" w:lineRule="auto"/>
              <w:jc w:val="center"/>
              <w:rPr>
                <w:rFonts w:ascii="宋体" w:hAnsi="宋体" w:cs="宋体"/>
                <w:color w:val="auto"/>
                <w:sz w:val="24"/>
              </w:rPr>
            </w:pPr>
          </w:p>
        </w:tc>
        <w:tc>
          <w:tcPr>
            <w:tcW w:w="4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rPr>
                <w:rFonts w:ascii="Times New Roman" w:hAnsi="Times New Roman" w:eastAsia="宋体" w:cs="Times New Roman"/>
                <w:b w:val="0"/>
                <w:color w:val="auto"/>
                <w:sz w:val="21"/>
                <w:szCs w:val="24"/>
              </w:rPr>
            </w:pPr>
            <w:r>
              <w:rPr>
                <w:rFonts w:hint="eastAsia" w:ascii="Times New Roman" w:hAnsi="Times New Roman" w:eastAsia="宋体" w:cs="Times New Roman"/>
                <w:b w:val="0"/>
                <w:color w:val="auto"/>
                <w:sz w:val="21"/>
                <w:szCs w:val="24"/>
              </w:rPr>
              <w:t>研究型病房不良事件上报</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套</w:t>
            </w:r>
          </w:p>
        </w:tc>
      </w:tr>
      <w:tr>
        <w:trPr>
          <w:trHeight w:val="28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14</w:t>
            </w:r>
          </w:p>
        </w:tc>
        <w:tc>
          <w:tcPr>
            <w:tcW w:w="1640" w:type="dxa"/>
            <w:vMerge w:val="continue"/>
            <w:tcBorders>
              <w:left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color w:val="auto"/>
                <w:sz w:val="24"/>
              </w:rPr>
            </w:pPr>
          </w:p>
        </w:tc>
        <w:tc>
          <w:tcPr>
            <w:tcW w:w="4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rPr>
                <w:rFonts w:ascii="Times New Roman" w:hAnsi="Times New Roman" w:eastAsia="宋体" w:cs="Times New Roman"/>
                <w:b w:val="0"/>
                <w:color w:val="auto"/>
                <w:sz w:val="21"/>
                <w:szCs w:val="24"/>
              </w:rPr>
            </w:pPr>
            <w:r>
              <w:rPr>
                <w:rFonts w:hint="eastAsia" w:ascii="Times New Roman" w:hAnsi="Times New Roman" w:eastAsia="宋体" w:cs="Times New Roman"/>
                <w:b w:val="0"/>
                <w:color w:val="auto"/>
                <w:sz w:val="21"/>
                <w:szCs w:val="24"/>
              </w:rPr>
              <w:t>研究分析平台</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套</w:t>
            </w:r>
          </w:p>
        </w:tc>
      </w:tr>
      <w:tr>
        <w:trPr>
          <w:trHeight w:val="28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15</w:t>
            </w:r>
          </w:p>
        </w:tc>
        <w:tc>
          <w:tcPr>
            <w:tcW w:w="1640" w:type="dxa"/>
            <w:vMerge w:val="continue"/>
            <w:tcBorders>
              <w:left w:val="single" w:color="000000" w:sz="4" w:space="0"/>
              <w:right w:val="single" w:color="000000" w:sz="4" w:space="0"/>
            </w:tcBorders>
            <w:shd w:val="clear" w:color="auto" w:fill="auto"/>
            <w:vAlign w:val="center"/>
          </w:tcPr>
          <w:p>
            <w:pPr>
              <w:spacing w:line="360" w:lineRule="auto"/>
              <w:jc w:val="center"/>
              <w:rPr>
                <w:rFonts w:ascii="宋体" w:hAnsi="宋体" w:cs="宋体"/>
                <w:color w:val="auto"/>
                <w:sz w:val="24"/>
              </w:rPr>
            </w:pPr>
          </w:p>
        </w:tc>
        <w:tc>
          <w:tcPr>
            <w:tcW w:w="4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rPr>
                <w:rFonts w:ascii="Times New Roman" w:hAnsi="Times New Roman" w:eastAsia="宋体" w:cs="Times New Roman"/>
                <w:b w:val="0"/>
                <w:color w:val="auto"/>
                <w:sz w:val="21"/>
                <w:szCs w:val="24"/>
              </w:rPr>
            </w:pPr>
            <w:r>
              <w:rPr>
                <w:rFonts w:hint="eastAsia" w:ascii="Times New Roman" w:hAnsi="Times New Roman" w:eastAsia="宋体" w:cs="Times New Roman"/>
                <w:b w:val="0"/>
                <w:color w:val="auto"/>
                <w:sz w:val="21"/>
                <w:szCs w:val="24"/>
              </w:rPr>
              <w:t>研究型病房人员资质管理</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套</w:t>
            </w:r>
          </w:p>
        </w:tc>
      </w:tr>
      <w:tr>
        <w:trPr>
          <w:trHeight w:val="28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16</w:t>
            </w:r>
          </w:p>
        </w:tc>
        <w:tc>
          <w:tcPr>
            <w:tcW w:w="1640" w:type="dxa"/>
            <w:vMerge w:val="continue"/>
            <w:tcBorders>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auto"/>
                <w:sz w:val="24"/>
              </w:rPr>
            </w:pPr>
          </w:p>
        </w:tc>
        <w:tc>
          <w:tcPr>
            <w:tcW w:w="4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rPr>
                <w:rFonts w:ascii="Times New Roman" w:hAnsi="Times New Roman" w:eastAsia="宋体" w:cs="Times New Roman"/>
                <w:b w:val="0"/>
                <w:color w:val="auto"/>
                <w:sz w:val="21"/>
                <w:szCs w:val="24"/>
              </w:rPr>
            </w:pPr>
            <w:r>
              <w:rPr>
                <w:rFonts w:hint="eastAsia" w:ascii="Times New Roman" w:hAnsi="Times New Roman" w:eastAsia="宋体" w:cs="Times New Roman"/>
                <w:b w:val="0"/>
                <w:color w:val="auto"/>
                <w:sz w:val="21"/>
                <w:szCs w:val="24"/>
              </w:rPr>
              <w:t>研究型病房宣教管理</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套</w:t>
            </w:r>
          </w:p>
        </w:tc>
      </w:tr>
    </w:tbl>
    <w:p>
      <w:pPr>
        <w:pStyle w:val="4"/>
        <w:numPr>
          <w:ilvl w:val="2"/>
          <w:numId w:val="3"/>
        </w:numPr>
        <w:rPr>
          <w:rFonts w:asciiTheme="minorEastAsia" w:hAnsiTheme="minorEastAsia" w:eastAsiaTheme="minorEastAsia"/>
          <w:color w:val="auto"/>
          <w:sz w:val="24"/>
          <w:szCs w:val="24"/>
        </w:rPr>
      </w:pPr>
      <w:bookmarkStart w:id="70" w:name="_Toc148691910"/>
      <w:bookmarkStart w:id="71" w:name="_Toc108111430"/>
      <w:r>
        <w:rPr>
          <w:rFonts w:hint="eastAsia" w:asciiTheme="minorEastAsia" w:hAnsiTheme="minorEastAsia" w:eastAsiaTheme="minorEastAsia"/>
          <w:color w:val="auto"/>
          <w:sz w:val="24"/>
          <w:szCs w:val="24"/>
        </w:rPr>
        <w:t>智慧</w:t>
      </w:r>
      <w:bookmarkEnd w:id="70"/>
      <w:bookmarkEnd w:id="71"/>
      <w:r>
        <w:rPr>
          <w:rFonts w:hint="eastAsia" w:asciiTheme="minorEastAsia" w:hAnsiTheme="minorEastAsia" w:eastAsiaTheme="minorEastAsia"/>
          <w:color w:val="auto"/>
          <w:sz w:val="24"/>
          <w:szCs w:val="24"/>
        </w:rPr>
        <w:t>科研</w:t>
      </w:r>
    </w:p>
    <w:p>
      <w:pPr>
        <w:pStyle w:val="5"/>
        <w:numPr>
          <w:ilvl w:val="3"/>
          <w:numId w:val="3"/>
        </w:numPr>
        <w:spacing w:before="240" w:after="240" w:line="360" w:lineRule="auto"/>
        <w:ind w:left="1074"/>
        <w:rPr>
          <w:color w:val="auto"/>
        </w:rPr>
      </w:pPr>
      <w:r>
        <w:rPr>
          <w:rFonts w:hint="eastAsia"/>
          <w:color w:val="auto"/>
        </w:rPr>
        <w:t>国家级科研专病研究平台</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依托健全的医院信息化建设基础，国外一流医院已迈入医疗大数据应用阶段，通过在医院信息平台的基础上建设独立的大数据系统，应用医学自然语言处理、机器学习等技术，对多源异构的医疗大数据进行深度治理，为数据挖掘与分析应用提供数据基础，提升医疗大数据在科研、诊疗、运营管理上的使用效率，发挥数据价值。</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国家高度重视医疗大数据的分析和利用，已经出台众多政策鼓励医院和企业进行相关方面的应用和探索。如，在2016年10月中共中央、国务院印发的《“健康中国2030”规划纲要》中指出：要加强精准医学、智慧医疗等关键技术突破，并倡导加强医疗大数据的数据挖掘和广泛应用，为医疗人工智能的发展指明了方向。2017年7月国务院印发《新一代人工智能发展规划》中指出：将医疗行业作为人工智能重点发展领域之一，提出探索智慧医院建设及研发人机协同临床智能诊疗方案，以及加强群</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体智能健康管理，强调数据挖掘、辅助诊疗、患者管理的人工智能产品在医院落地，以助推精准医学和智慧医院发展。2018年4月卫健委印发的《全国医院信息化建设标准与规范（试行）》中指出：要利用人工智能、大数据平台等先进技术进行临床医疗数据的处理与研究，实现医疗数据来源于患者，服务于患者。</w:t>
      </w:r>
    </w:p>
    <w:p>
      <w:pPr>
        <w:pStyle w:val="6"/>
        <w:numPr>
          <w:ilvl w:val="4"/>
          <w:numId w:val="3"/>
        </w:numPr>
        <w:ind w:left="1008"/>
        <w:rPr>
          <w:color w:val="auto"/>
        </w:rPr>
      </w:pPr>
      <w:r>
        <w:rPr>
          <w:rFonts w:hint="eastAsia"/>
          <w:color w:val="auto"/>
        </w:rPr>
        <w:t>科研专病库管理系统</w:t>
      </w:r>
    </w:p>
    <w:p>
      <w:pPr>
        <w:pStyle w:val="7"/>
        <w:numPr>
          <w:ilvl w:val="5"/>
          <w:numId w:val="3"/>
        </w:numPr>
        <w:tabs>
          <w:tab w:val="clear" w:pos="1837"/>
        </w:tabs>
        <w:ind w:left="0"/>
        <w:rPr>
          <w:color w:val="auto"/>
        </w:rPr>
      </w:pPr>
      <w:r>
        <w:rPr>
          <w:rFonts w:hint="eastAsia"/>
          <w:color w:val="auto"/>
        </w:rPr>
        <w:t>科研专病库管理</w:t>
      </w:r>
    </w:p>
    <w:p>
      <w:pPr>
        <w:pStyle w:val="9"/>
        <w:numPr>
          <w:ilvl w:val="6"/>
          <w:numId w:val="3"/>
        </w:numPr>
        <w:spacing w:line="360" w:lineRule="auto"/>
        <w:ind w:left="1296" w:hanging="1296"/>
        <w:rPr>
          <w:color w:val="auto"/>
        </w:rPr>
      </w:pPr>
      <w:r>
        <w:rPr>
          <w:rFonts w:hint="eastAsia"/>
          <w:color w:val="auto"/>
        </w:rPr>
        <w:t>血液/肿瘤专病库管理</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基于集团</w:t>
      </w:r>
      <w:r>
        <w:rPr>
          <w:rFonts w:hint="eastAsia" w:ascii="微软雅黑" w:hAnsi="微软雅黑" w:eastAsia="微软雅黑" w:cs="微软雅黑"/>
          <w:color w:val="auto"/>
          <w:sz w:val="28"/>
          <w:szCs w:val="28"/>
        </w:rPr>
        <w:t>⼤</w:t>
      </w:r>
      <w:r>
        <w:rPr>
          <w:rFonts w:hint="eastAsia" w:ascii="仿宋" w:hAnsi="仿宋" w:eastAsia="仿宋" w:cs="仿宋"/>
          <w:color w:val="auto"/>
          <w:sz w:val="28"/>
          <w:szCs w:val="28"/>
        </w:rPr>
        <w:t>数据平台建设集团血液/肿瘤专病库，实现了集团对各院区血液/肿瘤专病库管理、数据质控、数据导出、统计分析等功能，解决了集团与各院区科研</w:t>
      </w:r>
      <w:r>
        <w:rPr>
          <w:rFonts w:hint="eastAsia" w:ascii="微软雅黑" w:hAnsi="微软雅黑" w:eastAsia="微软雅黑" w:cs="微软雅黑"/>
          <w:color w:val="auto"/>
          <w:sz w:val="28"/>
          <w:szCs w:val="28"/>
        </w:rPr>
        <w:t>⼈</w:t>
      </w:r>
      <w:r>
        <w:rPr>
          <w:rFonts w:hint="eastAsia" w:ascii="仿宋" w:hAnsi="仿宋" w:eastAsia="仿宋" w:cs="仿宋"/>
          <w:color w:val="auto"/>
          <w:sz w:val="28"/>
          <w:szCs w:val="28"/>
        </w:rPr>
        <w:t>员在专病库建</w:t>
      </w:r>
      <w:r>
        <w:rPr>
          <w:rFonts w:hint="eastAsia" w:ascii="微软雅黑" w:hAnsi="微软雅黑" w:eastAsia="微软雅黑" w:cs="微软雅黑"/>
          <w:color w:val="auto"/>
          <w:sz w:val="28"/>
          <w:szCs w:val="28"/>
        </w:rPr>
        <w:t>⽴</w:t>
      </w:r>
      <w:r>
        <w:rPr>
          <w:rFonts w:hint="eastAsia" w:ascii="仿宋" w:hAnsi="仿宋" w:eastAsia="仿宋" w:cs="仿宋"/>
          <w:color w:val="auto"/>
          <w:sz w:val="28"/>
          <w:szCs w:val="28"/>
        </w:rPr>
        <w:t>及统计建模等</w:t>
      </w:r>
      <w:r>
        <w:rPr>
          <w:rFonts w:hint="eastAsia" w:ascii="微软雅黑" w:hAnsi="微软雅黑" w:eastAsia="微软雅黑" w:cs="微软雅黑"/>
          <w:color w:val="auto"/>
          <w:sz w:val="28"/>
          <w:szCs w:val="28"/>
        </w:rPr>
        <w:t>⽅⾯</w:t>
      </w:r>
      <w:r>
        <w:rPr>
          <w:rFonts w:hint="eastAsia" w:ascii="仿宋" w:hAnsi="仿宋" w:eastAsia="仿宋" w:cs="仿宋"/>
          <w:color w:val="auto"/>
          <w:sz w:val="28"/>
          <w:szCs w:val="28"/>
        </w:rPr>
        <w:t>的难题。</w:t>
      </w:r>
    </w:p>
    <w:p>
      <w:pPr>
        <w:pStyle w:val="9"/>
        <w:numPr>
          <w:ilvl w:val="6"/>
          <w:numId w:val="3"/>
        </w:numPr>
        <w:spacing w:line="360" w:lineRule="auto"/>
        <w:ind w:left="1296" w:hanging="1296"/>
        <w:rPr>
          <w:color w:val="auto"/>
        </w:rPr>
      </w:pPr>
      <w:r>
        <w:rPr>
          <w:rFonts w:hint="eastAsia"/>
          <w:color w:val="auto"/>
        </w:rPr>
        <w:t>感染与免疫专病库管理</w:t>
      </w:r>
    </w:p>
    <w:p>
      <w:pPr>
        <w:spacing w:line="360" w:lineRule="auto"/>
        <w:ind w:firstLine="560" w:firstLineChars="200"/>
        <w:rPr>
          <w:color w:val="auto"/>
        </w:rPr>
      </w:pPr>
      <w:r>
        <w:rPr>
          <w:rFonts w:hint="eastAsia" w:ascii="仿宋" w:hAnsi="仿宋" w:eastAsia="仿宋" w:cs="仿宋"/>
          <w:color w:val="auto"/>
          <w:sz w:val="28"/>
          <w:szCs w:val="28"/>
        </w:rPr>
        <w:t>基于集团</w:t>
      </w:r>
      <w:r>
        <w:rPr>
          <w:rFonts w:hint="eastAsia" w:ascii="微软雅黑" w:hAnsi="微软雅黑" w:eastAsia="微软雅黑" w:cs="微软雅黑"/>
          <w:color w:val="auto"/>
          <w:sz w:val="28"/>
          <w:szCs w:val="28"/>
        </w:rPr>
        <w:t>⼤</w:t>
      </w:r>
      <w:r>
        <w:rPr>
          <w:rFonts w:hint="eastAsia" w:ascii="仿宋" w:hAnsi="仿宋" w:eastAsia="仿宋" w:cs="仿宋"/>
          <w:color w:val="auto"/>
          <w:sz w:val="28"/>
          <w:szCs w:val="28"/>
        </w:rPr>
        <w:t>数据平台建设集团感染与免疫专病库，实现了集团对各院区感染与免疫专病库管理、数据质控、数据导出、统计分析等功能，解决了集团与各院区科研</w:t>
      </w:r>
      <w:r>
        <w:rPr>
          <w:rFonts w:hint="eastAsia" w:ascii="微软雅黑" w:hAnsi="微软雅黑" w:eastAsia="微软雅黑" w:cs="微软雅黑"/>
          <w:color w:val="auto"/>
          <w:sz w:val="28"/>
          <w:szCs w:val="28"/>
        </w:rPr>
        <w:t>⼈</w:t>
      </w:r>
      <w:r>
        <w:rPr>
          <w:rFonts w:hint="eastAsia" w:ascii="仿宋" w:hAnsi="仿宋" w:eastAsia="仿宋" w:cs="仿宋"/>
          <w:color w:val="auto"/>
          <w:sz w:val="28"/>
          <w:szCs w:val="28"/>
        </w:rPr>
        <w:t>员在专病库建</w:t>
      </w:r>
      <w:r>
        <w:rPr>
          <w:rFonts w:hint="eastAsia" w:ascii="微软雅黑" w:hAnsi="微软雅黑" w:eastAsia="微软雅黑" w:cs="微软雅黑"/>
          <w:color w:val="auto"/>
          <w:sz w:val="28"/>
          <w:szCs w:val="28"/>
        </w:rPr>
        <w:t>⽴</w:t>
      </w:r>
      <w:r>
        <w:rPr>
          <w:rFonts w:hint="eastAsia" w:ascii="仿宋" w:hAnsi="仿宋" w:eastAsia="仿宋" w:cs="仿宋"/>
          <w:color w:val="auto"/>
          <w:sz w:val="28"/>
          <w:szCs w:val="28"/>
        </w:rPr>
        <w:t>及统计建模等</w:t>
      </w:r>
      <w:r>
        <w:rPr>
          <w:rFonts w:hint="eastAsia" w:ascii="微软雅黑" w:hAnsi="微软雅黑" w:eastAsia="微软雅黑" w:cs="微软雅黑"/>
          <w:color w:val="auto"/>
          <w:sz w:val="28"/>
          <w:szCs w:val="28"/>
        </w:rPr>
        <w:t>⽅⾯</w:t>
      </w:r>
      <w:r>
        <w:rPr>
          <w:rFonts w:hint="eastAsia" w:ascii="仿宋" w:hAnsi="仿宋" w:eastAsia="仿宋" w:cs="仿宋"/>
          <w:color w:val="auto"/>
          <w:sz w:val="28"/>
          <w:szCs w:val="28"/>
        </w:rPr>
        <w:t>的难题。</w:t>
      </w:r>
    </w:p>
    <w:p>
      <w:pPr>
        <w:pStyle w:val="9"/>
        <w:numPr>
          <w:ilvl w:val="6"/>
          <w:numId w:val="3"/>
        </w:numPr>
        <w:spacing w:line="360" w:lineRule="auto"/>
        <w:ind w:left="1296" w:hanging="1296"/>
        <w:rPr>
          <w:color w:val="auto"/>
        </w:rPr>
      </w:pPr>
      <w:r>
        <w:rPr>
          <w:rFonts w:hint="eastAsia"/>
          <w:color w:val="auto"/>
        </w:rPr>
        <w:t>疑难危重病专病库管理</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基于集团</w:t>
      </w:r>
      <w:r>
        <w:rPr>
          <w:rFonts w:hint="eastAsia" w:ascii="微软雅黑" w:hAnsi="微软雅黑" w:eastAsia="微软雅黑" w:cs="微软雅黑"/>
          <w:color w:val="auto"/>
          <w:sz w:val="28"/>
          <w:szCs w:val="28"/>
        </w:rPr>
        <w:t>⼤</w:t>
      </w:r>
      <w:r>
        <w:rPr>
          <w:rFonts w:hint="eastAsia" w:ascii="仿宋" w:hAnsi="仿宋" w:eastAsia="仿宋" w:cs="仿宋"/>
          <w:color w:val="auto"/>
          <w:sz w:val="28"/>
          <w:szCs w:val="28"/>
        </w:rPr>
        <w:t>数据平台建设集团感染与免疫专病库，实现了集团对各院区感染与免疫专病库管理、数据质控、数据导出、统计分析等功能，解决了集团与各院区科研</w:t>
      </w:r>
      <w:r>
        <w:rPr>
          <w:rFonts w:hint="eastAsia" w:ascii="微软雅黑" w:hAnsi="微软雅黑" w:eastAsia="微软雅黑" w:cs="微软雅黑"/>
          <w:color w:val="auto"/>
          <w:sz w:val="28"/>
          <w:szCs w:val="28"/>
        </w:rPr>
        <w:t>⼈</w:t>
      </w:r>
      <w:r>
        <w:rPr>
          <w:rFonts w:hint="eastAsia" w:ascii="仿宋" w:hAnsi="仿宋" w:eastAsia="仿宋" w:cs="仿宋"/>
          <w:color w:val="auto"/>
          <w:sz w:val="28"/>
          <w:szCs w:val="28"/>
        </w:rPr>
        <w:t>员在专病库建</w:t>
      </w:r>
      <w:r>
        <w:rPr>
          <w:rFonts w:hint="eastAsia" w:ascii="微软雅黑" w:hAnsi="微软雅黑" w:eastAsia="微软雅黑" w:cs="微软雅黑"/>
          <w:color w:val="auto"/>
          <w:sz w:val="28"/>
          <w:szCs w:val="28"/>
        </w:rPr>
        <w:t>⽴</w:t>
      </w:r>
      <w:r>
        <w:rPr>
          <w:rFonts w:hint="eastAsia" w:ascii="仿宋" w:hAnsi="仿宋" w:eastAsia="仿宋" w:cs="仿宋"/>
          <w:color w:val="auto"/>
          <w:sz w:val="28"/>
          <w:szCs w:val="28"/>
        </w:rPr>
        <w:t>及统计建模等</w:t>
      </w:r>
      <w:r>
        <w:rPr>
          <w:rFonts w:hint="eastAsia" w:ascii="微软雅黑" w:hAnsi="微软雅黑" w:eastAsia="微软雅黑" w:cs="微软雅黑"/>
          <w:color w:val="auto"/>
          <w:sz w:val="28"/>
          <w:szCs w:val="28"/>
        </w:rPr>
        <w:t>⽅⾯</w:t>
      </w:r>
      <w:r>
        <w:rPr>
          <w:rFonts w:hint="eastAsia" w:ascii="仿宋" w:hAnsi="仿宋" w:eastAsia="仿宋" w:cs="仿宋"/>
          <w:color w:val="auto"/>
          <w:sz w:val="28"/>
          <w:szCs w:val="28"/>
        </w:rPr>
        <w:t>的难题。</w:t>
      </w:r>
    </w:p>
    <w:p>
      <w:pPr>
        <w:pStyle w:val="9"/>
        <w:numPr>
          <w:ilvl w:val="6"/>
          <w:numId w:val="3"/>
        </w:numPr>
        <w:spacing w:line="360" w:lineRule="auto"/>
        <w:ind w:left="1296" w:hanging="1296"/>
        <w:rPr>
          <w:color w:val="auto"/>
        </w:rPr>
      </w:pPr>
      <w:r>
        <w:rPr>
          <w:rFonts w:hint="eastAsia"/>
          <w:color w:val="auto"/>
        </w:rPr>
        <w:t>其他专病库管理</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基于集团</w:t>
      </w:r>
      <w:r>
        <w:rPr>
          <w:rFonts w:hint="eastAsia" w:ascii="微软雅黑" w:hAnsi="微软雅黑" w:eastAsia="微软雅黑" w:cs="微软雅黑"/>
          <w:color w:val="auto"/>
          <w:sz w:val="28"/>
          <w:szCs w:val="28"/>
        </w:rPr>
        <w:t>⼤</w:t>
      </w:r>
      <w:r>
        <w:rPr>
          <w:rFonts w:hint="eastAsia" w:ascii="仿宋" w:hAnsi="仿宋" w:eastAsia="仿宋" w:cs="仿宋"/>
          <w:color w:val="auto"/>
          <w:sz w:val="28"/>
          <w:szCs w:val="28"/>
        </w:rPr>
        <w:t>数据平台建设集团疑难危重病专病库，实现了集团对各院区疑难危重病专病库管理、数据质控、数据导出、统计分析等功能，解决了集团与各院区科研</w:t>
      </w:r>
      <w:r>
        <w:rPr>
          <w:rFonts w:hint="eastAsia" w:ascii="微软雅黑" w:hAnsi="微软雅黑" w:eastAsia="微软雅黑" w:cs="微软雅黑"/>
          <w:color w:val="auto"/>
          <w:sz w:val="28"/>
          <w:szCs w:val="28"/>
        </w:rPr>
        <w:t>⼈</w:t>
      </w:r>
      <w:r>
        <w:rPr>
          <w:rFonts w:hint="eastAsia" w:ascii="仿宋" w:hAnsi="仿宋" w:eastAsia="仿宋" w:cs="仿宋"/>
          <w:color w:val="auto"/>
          <w:sz w:val="28"/>
          <w:szCs w:val="28"/>
        </w:rPr>
        <w:t>员在专病库建</w:t>
      </w:r>
      <w:r>
        <w:rPr>
          <w:rFonts w:hint="eastAsia" w:ascii="微软雅黑" w:hAnsi="微软雅黑" w:eastAsia="微软雅黑" w:cs="微软雅黑"/>
          <w:color w:val="auto"/>
          <w:sz w:val="28"/>
          <w:szCs w:val="28"/>
        </w:rPr>
        <w:t>⽴</w:t>
      </w:r>
      <w:r>
        <w:rPr>
          <w:rFonts w:hint="eastAsia" w:ascii="仿宋" w:hAnsi="仿宋" w:eastAsia="仿宋" w:cs="仿宋"/>
          <w:color w:val="auto"/>
          <w:sz w:val="28"/>
          <w:szCs w:val="28"/>
        </w:rPr>
        <w:t>及统计建模等</w:t>
      </w:r>
      <w:r>
        <w:rPr>
          <w:rFonts w:hint="eastAsia" w:ascii="微软雅黑" w:hAnsi="微软雅黑" w:eastAsia="微软雅黑" w:cs="微软雅黑"/>
          <w:color w:val="auto"/>
          <w:sz w:val="28"/>
          <w:szCs w:val="28"/>
        </w:rPr>
        <w:t>⽅⾯</w:t>
      </w:r>
      <w:r>
        <w:rPr>
          <w:rFonts w:hint="eastAsia" w:ascii="仿宋" w:hAnsi="仿宋" w:eastAsia="仿宋" w:cs="仿宋"/>
          <w:color w:val="auto"/>
          <w:sz w:val="28"/>
          <w:szCs w:val="28"/>
        </w:rPr>
        <w:t>的难题。</w:t>
      </w:r>
    </w:p>
    <w:p>
      <w:pPr>
        <w:pStyle w:val="7"/>
        <w:numPr>
          <w:ilvl w:val="5"/>
          <w:numId w:val="3"/>
        </w:numPr>
        <w:tabs>
          <w:tab w:val="clear" w:pos="1837"/>
        </w:tabs>
        <w:ind w:left="0"/>
        <w:rPr>
          <w:color w:val="auto"/>
        </w:rPr>
      </w:pPr>
      <w:r>
        <w:rPr>
          <w:rFonts w:hint="eastAsia"/>
          <w:color w:val="auto"/>
        </w:rPr>
        <w:t>多中心专病库</w:t>
      </w:r>
    </w:p>
    <w:p>
      <w:pPr>
        <w:pStyle w:val="9"/>
        <w:numPr>
          <w:ilvl w:val="6"/>
          <w:numId w:val="3"/>
        </w:numPr>
        <w:spacing w:line="360" w:lineRule="auto"/>
        <w:ind w:left="1296" w:hanging="1296"/>
        <w:rPr>
          <w:color w:val="auto"/>
        </w:rPr>
      </w:pPr>
      <w:r>
        <w:rPr>
          <w:rFonts w:hint="eastAsia"/>
          <w:color w:val="auto"/>
        </w:rPr>
        <w:t>多中心科研数据采集</w:t>
      </w:r>
    </w:p>
    <w:p>
      <w:pPr>
        <w:spacing w:line="360" w:lineRule="auto"/>
        <w:ind w:left="240" w:right="240" w:firstLine="560"/>
        <w:rPr>
          <w:rFonts w:ascii="仿宋" w:hAnsi="仿宋" w:eastAsia="仿宋" w:cs="仿宋"/>
          <w:color w:val="auto"/>
          <w:sz w:val="28"/>
          <w:szCs w:val="28"/>
        </w:rPr>
      </w:pPr>
      <w:r>
        <w:rPr>
          <w:rFonts w:hint="eastAsia" w:ascii="仿宋" w:hAnsi="仿宋" w:eastAsia="仿宋" w:cs="仿宋"/>
          <w:color w:val="auto"/>
          <w:sz w:val="28"/>
          <w:szCs w:val="28"/>
        </w:rPr>
        <w:t>多中心的数据采集模式可以有两种，一种是通过与各个中心的数据库或者业务系统数据进行接口对接，从而实现数据的采集和整合汇总，这种方式成本高，工作量大，但是数据的实时性和完整度高，适合院内数据标准很好或者有院内数据中心的医院；另外一种方式是通过电子表单的形式定向采集各个中心的科研相关数据进行汇总，这种方式成本低，工作量小，而且数据大多都是以结构化形式传到多中心的科研数据中心，数据的应用效果好，但是缺点就是数据的完整度不够，他是根据不同专科方向或者课题方向来定向采集相关数据，并非全部数据采集，而且数据的实时性会相对差一些。</w:t>
      </w:r>
    </w:p>
    <w:p>
      <w:pPr>
        <w:pStyle w:val="9"/>
        <w:numPr>
          <w:ilvl w:val="6"/>
          <w:numId w:val="3"/>
        </w:numPr>
        <w:spacing w:line="360" w:lineRule="auto"/>
        <w:ind w:left="1296" w:hanging="1296"/>
        <w:rPr>
          <w:color w:val="auto"/>
        </w:rPr>
      </w:pPr>
      <w:r>
        <w:rPr>
          <w:rFonts w:hint="eastAsia"/>
          <w:color w:val="auto"/>
        </w:rPr>
        <w:t>多中心科研数据传输</w:t>
      </w:r>
    </w:p>
    <w:p>
      <w:pPr>
        <w:pStyle w:val="18"/>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基于标准术语库，结合NLP等后结构化技术，对多中心的科研数据进行深入清洗，形成研究者可以使用的多中心纯净数据湖；</w:t>
      </w:r>
    </w:p>
    <w:p>
      <w:pPr>
        <w:pStyle w:val="9"/>
        <w:numPr>
          <w:ilvl w:val="6"/>
          <w:numId w:val="3"/>
        </w:numPr>
        <w:spacing w:line="360" w:lineRule="auto"/>
        <w:ind w:left="1296" w:hanging="1296"/>
        <w:rPr>
          <w:color w:val="auto"/>
        </w:rPr>
      </w:pPr>
      <w:r>
        <w:rPr>
          <w:rFonts w:hint="eastAsia"/>
          <w:color w:val="auto"/>
        </w:rPr>
        <w:t>多中心科研数据治理</w:t>
      </w:r>
    </w:p>
    <w:p>
      <w:pPr>
        <w:pStyle w:val="18"/>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在专科联盟的范围内实现高性能、高安全保障的数据管理机制；</w:t>
      </w:r>
    </w:p>
    <w:p>
      <w:pPr>
        <w:pStyle w:val="9"/>
        <w:numPr>
          <w:ilvl w:val="6"/>
          <w:numId w:val="3"/>
        </w:numPr>
        <w:spacing w:line="360" w:lineRule="auto"/>
        <w:ind w:left="1296" w:hanging="1296"/>
        <w:rPr>
          <w:color w:val="auto"/>
        </w:rPr>
      </w:pPr>
      <w:r>
        <w:rPr>
          <w:rFonts w:hint="eastAsia"/>
          <w:color w:val="auto"/>
        </w:rPr>
        <w:t>多中心科研专科专病数据库</w:t>
      </w:r>
    </w:p>
    <w:p>
      <w:pPr>
        <w:spacing w:line="360" w:lineRule="auto"/>
        <w:ind w:right="240" w:firstLine="560" w:firstLineChars="200"/>
        <w:rPr>
          <w:rFonts w:ascii="仿宋" w:hAnsi="仿宋" w:eastAsia="仿宋" w:cs="仿宋"/>
          <w:color w:val="auto"/>
          <w:sz w:val="28"/>
          <w:szCs w:val="28"/>
        </w:rPr>
      </w:pPr>
      <w:r>
        <w:rPr>
          <w:rFonts w:hint="eastAsia" w:ascii="仿宋" w:hAnsi="仿宋" w:eastAsia="仿宋" w:cs="仿宋"/>
          <w:color w:val="auto"/>
          <w:sz w:val="28"/>
          <w:szCs w:val="28"/>
        </w:rPr>
        <w:t>提供多中心数据的面向专科专病的大数据应用数据存储主题库，实现对以多中心专科专病为核心的应用服务支撑，如专病科研、专病协同等。</w:t>
      </w:r>
    </w:p>
    <w:p>
      <w:pPr>
        <w:spacing w:line="360" w:lineRule="auto"/>
        <w:ind w:right="240" w:firstLine="560" w:firstLineChars="200"/>
        <w:rPr>
          <w:color w:val="auto"/>
        </w:rPr>
      </w:pPr>
      <w:r>
        <w:rPr>
          <w:rFonts w:hint="eastAsia" w:ascii="仿宋" w:hAnsi="仿宋" w:eastAsia="仿宋" w:cs="仿宋"/>
          <w:color w:val="auto"/>
          <w:sz w:val="28"/>
          <w:szCs w:val="28"/>
        </w:rPr>
        <w:t>满足不同层次科研需求，多中心科研主题库也需要涵盖全量临床诊断数据，包括患者基本信息、门（急）诊病历、急诊留观病历、中/西药处方、检查/检验报告、治疗记录、一般手术记录、麻醉术前/术后访视记录、麻醉记录、输血记录、待产记录、阴道分娩记录、剖宫产记录、一般护理记录、病重（病危）护理记录、手术护理记录、生命体征测量记录、出入量记录、高值耗材使用记录、入院评估、护理计划、出院评估与指导、手术同意书、麻醉知情同意书、输血治疗同意书、特殊检查及特殊治疗同意书、病危（重）通知书、其他知情告知同意书、住院病案首页、住院病案首页、入院记录、24小时内入出院、24小时内入院死亡记录、首次病程记录、日常病程记录、上级医师查房记录、疑难病例讨论记录、交接班记录、转科记录、阶段小结、抢救记录、会诊记录、术前小结、术前讨论、术后首次病程记录、出院记录、死亡记录、死亡病例讨论记录、住院医嘱、出院小结等。此外，还包括医疗费用记录、医疗费用明细记录等。</w:t>
      </w:r>
    </w:p>
    <w:p>
      <w:pPr>
        <w:pStyle w:val="6"/>
        <w:numPr>
          <w:ilvl w:val="4"/>
          <w:numId w:val="3"/>
        </w:numPr>
        <w:ind w:left="1008"/>
        <w:rPr>
          <w:color w:val="auto"/>
        </w:rPr>
      </w:pPr>
      <w:r>
        <w:rPr>
          <w:rFonts w:hint="eastAsia"/>
          <w:color w:val="auto"/>
        </w:rPr>
        <w:t>科研专病治疗系统</w:t>
      </w:r>
    </w:p>
    <w:p>
      <w:pPr>
        <w:pStyle w:val="7"/>
        <w:numPr>
          <w:ilvl w:val="5"/>
          <w:numId w:val="3"/>
        </w:numPr>
        <w:tabs>
          <w:tab w:val="clear" w:pos="1837"/>
        </w:tabs>
        <w:ind w:left="0"/>
        <w:rPr>
          <w:color w:val="auto"/>
        </w:rPr>
      </w:pPr>
      <w:r>
        <w:rPr>
          <w:rFonts w:hint="eastAsia"/>
          <w:color w:val="auto"/>
        </w:rPr>
        <w:t>我的队列</w:t>
      </w:r>
    </w:p>
    <w:p>
      <w:pPr>
        <w:pStyle w:val="18"/>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各院区科研用户根据自定义权限登录系统可查看对应队列。</w:t>
      </w:r>
    </w:p>
    <w:p>
      <w:pPr>
        <w:pStyle w:val="7"/>
        <w:numPr>
          <w:ilvl w:val="5"/>
          <w:numId w:val="3"/>
        </w:numPr>
        <w:tabs>
          <w:tab w:val="clear" w:pos="1837"/>
        </w:tabs>
        <w:ind w:left="0"/>
        <w:rPr>
          <w:color w:val="auto"/>
        </w:rPr>
      </w:pPr>
      <w:r>
        <w:rPr>
          <w:rFonts w:hint="eastAsia"/>
          <w:color w:val="auto"/>
        </w:rPr>
        <w:t>预防监测</w:t>
      </w:r>
    </w:p>
    <w:p>
      <w:pPr>
        <w:pStyle w:val="18"/>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根据设定预防规则，可实时监测患者危急值与异常信息，并实时消息提醒。</w:t>
      </w:r>
    </w:p>
    <w:p>
      <w:pPr>
        <w:pStyle w:val="7"/>
        <w:numPr>
          <w:ilvl w:val="5"/>
          <w:numId w:val="3"/>
        </w:numPr>
        <w:tabs>
          <w:tab w:val="clear" w:pos="1837"/>
        </w:tabs>
        <w:ind w:left="0"/>
        <w:rPr>
          <w:color w:val="auto"/>
        </w:rPr>
      </w:pPr>
      <w:r>
        <w:rPr>
          <w:rFonts w:hint="eastAsia"/>
          <w:color w:val="auto"/>
        </w:rPr>
        <w:t>治疗监测</w:t>
      </w:r>
    </w:p>
    <w:p>
      <w:pPr>
        <w:pStyle w:val="18"/>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实现对科研患者治疗过程的实时监测；</w:t>
      </w:r>
    </w:p>
    <w:p>
      <w:pPr>
        <w:pStyle w:val="7"/>
        <w:numPr>
          <w:ilvl w:val="5"/>
          <w:numId w:val="3"/>
        </w:numPr>
        <w:tabs>
          <w:tab w:val="clear" w:pos="1837"/>
        </w:tabs>
        <w:ind w:left="0"/>
        <w:rPr>
          <w:color w:val="auto"/>
        </w:rPr>
      </w:pPr>
      <w:r>
        <w:rPr>
          <w:rFonts w:hint="eastAsia"/>
          <w:color w:val="auto"/>
        </w:rPr>
        <w:t>治疗预约</w:t>
      </w:r>
    </w:p>
    <w:p>
      <w:pPr>
        <w:pStyle w:val="18"/>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可对接临床业务系统，对有需治疗患者进行预约；</w:t>
      </w:r>
    </w:p>
    <w:p>
      <w:pPr>
        <w:pStyle w:val="7"/>
        <w:numPr>
          <w:ilvl w:val="5"/>
          <w:numId w:val="3"/>
        </w:numPr>
        <w:tabs>
          <w:tab w:val="clear" w:pos="1837"/>
        </w:tabs>
        <w:ind w:left="0"/>
        <w:rPr>
          <w:color w:val="auto"/>
        </w:rPr>
      </w:pPr>
      <w:r>
        <w:rPr>
          <w:rFonts w:hint="eastAsia"/>
          <w:color w:val="auto"/>
        </w:rPr>
        <w:t>患者管理</w:t>
      </w:r>
    </w:p>
    <w:p>
      <w:pPr>
        <w:pStyle w:val="18"/>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实现对患者基本信息、治疗信息、科研信息的统一管理。</w:t>
      </w:r>
    </w:p>
    <w:p>
      <w:pPr>
        <w:spacing w:line="360" w:lineRule="auto"/>
        <w:rPr>
          <w:color w:val="auto"/>
        </w:rPr>
      </w:pPr>
    </w:p>
    <w:p>
      <w:pPr>
        <w:pStyle w:val="6"/>
        <w:numPr>
          <w:ilvl w:val="4"/>
          <w:numId w:val="3"/>
        </w:numPr>
        <w:ind w:left="1008"/>
        <w:rPr>
          <w:color w:val="auto"/>
        </w:rPr>
      </w:pPr>
      <w:r>
        <w:rPr>
          <w:rFonts w:hint="eastAsia"/>
          <w:color w:val="auto"/>
        </w:rPr>
        <w:t>科研数据查询系统（MDQ）</w:t>
      </w:r>
    </w:p>
    <w:p>
      <w:pPr>
        <w:pStyle w:val="7"/>
        <w:numPr>
          <w:ilvl w:val="5"/>
          <w:numId w:val="3"/>
        </w:numPr>
        <w:tabs>
          <w:tab w:val="clear" w:pos="1837"/>
        </w:tabs>
        <w:ind w:left="0"/>
        <w:rPr>
          <w:color w:val="auto"/>
        </w:rPr>
      </w:pPr>
      <w:r>
        <w:rPr>
          <w:rFonts w:hint="eastAsia"/>
          <w:color w:val="auto"/>
        </w:rPr>
        <w:t>索引配置</w:t>
      </w:r>
    </w:p>
    <w:p>
      <w:pPr>
        <w:pStyle w:val="18"/>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配置索引结构，包括不同索引的分类、嵌套关系以及排序和指标来源等，配置后可以按照具体索引进行准确搜索指标和数据：</w:t>
      </w:r>
    </w:p>
    <w:p>
      <w:pPr>
        <w:pStyle w:val="18"/>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1）支持配置住院索引；</w:t>
      </w:r>
    </w:p>
    <w:p>
      <w:pPr>
        <w:pStyle w:val="18"/>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2）支持配置门诊索引；</w:t>
      </w:r>
    </w:p>
    <w:p>
      <w:pPr>
        <w:pStyle w:val="18"/>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3）支持配置病种等索引；</w:t>
      </w:r>
    </w:p>
    <w:p>
      <w:pPr>
        <w:pStyle w:val="18"/>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不同的索引配置可确保在不同的数据库中搜索到待搜索数据；</w:t>
      </w:r>
    </w:p>
    <w:p>
      <w:pPr>
        <w:pStyle w:val="7"/>
        <w:numPr>
          <w:ilvl w:val="5"/>
          <w:numId w:val="3"/>
        </w:numPr>
        <w:tabs>
          <w:tab w:val="clear" w:pos="1837"/>
        </w:tabs>
        <w:ind w:left="0"/>
        <w:rPr>
          <w:color w:val="auto"/>
        </w:rPr>
      </w:pPr>
      <w:r>
        <w:rPr>
          <w:rFonts w:hint="eastAsia"/>
          <w:color w:val="auto"/>
        </w:rPr>
        <w:t>多数据源接入</w:t>
      </w:r>
    </w:p>
    <w:p>
      <w:pPr>
        <w:pStyle w:val="18"/>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根据医院实际数据源情况，对于原先未接入的数据源，配置检索条件与数据源进行绑定和接入操作，确保现有的多类数据源均可接入，优化检索结果匹配。</w:t>
      </w:r>
    </w:p>
    <w:p>
      <w:pPr>
        <w:pStyle w:val="7"/>
        <w:numPr>
          <w:ilvl w:val="5"/>
          <w:numId w:val="3"/>
        </w:numPr>
        <w:tabs>
          <w:tab w:val="clear" w:pos="1837"/>
        </w:tabs>
        <w:ind w:left="0"/>
        <w:rPr>
          <w:color w:val="auto"/>
        </w:rPr>
      </w:pPr>
      <w:r>
        <w:rPr>
          <w:rFonts w:hint="eastAsia"/>
          <w:color w:val="auto"/>
        </w:rPr>
        <w:t>检索引擎运行参数配置</w:t>
      </w:r>
    </w:p>
    <w:p>
      <w:pPr>
        <w:pStyle w:val="18"/>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主要是配置检索引擎运行时需要的ElasticSearch、服务器、数据库等内容，通过配置功能满足科研检索的不同需求，提升检索效率。</w:t>
      </w:r>
    </w:p>
    <w:p>
      <w:pPr>
        <w:pStyle w:val="7"/>
        <w:numPr>
          <w:ilvl w:val="5"/>
          <w:numId w:val="3"/>
        </w:numPr>
        <w:tabs>
          <w:tab w:val="clear" w:pos="1837"/>
        </w:tabs>
        <w:ind w:left="0"/>
        <w:rPr>
          <w:color w:val="auto"/>
        </w:rPr>
      </w:pPr>
      <w:r>
        <w:rPr>
          <w:rFonts w:hint="eastAsia"/>
          <w:color w:val="auto"/>
        </w:rPr>
        <w:t>分布式全文检索引擎</w:t>
      </w:r>
    </w:p>
    <w:p>
      <w:pPr>
        <w:pStyle w:val="18"/>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1）支持基于前面建设的科研索引管理、数据标签工具，通过打标签绑定查询数据源，准确检索所有需要查询的数据，数据完整且准确；</w:t>
      </w:r>
    </w:p>
    <w:p>
      <w:pPr>
        <w:pStyle w:val="18"/>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2）支持Elastic大数据搜索技术，近实时地搜索提升检索速度；这种开源分布式搜索与数据分析引擎，可以从海量数据中快速找到相关信息；</w:t>
      </w:r>
    </w:p>
    <w:p>
      <w:pPr>
        <w:pStyle w:val="18"/>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3）通过为检索指标配置索引，实现快速搜索和精准搜索；</w:t>
      </w:r>
    </w:p>
    <w:p>
      <w:pPr>
        <w:pStyle w:val="7"/>
        <w:numPr>
          <w:ilvl w:val="5"/>
          <w:numId w:val="3"/>
        </w:numPr>
        <w:tabs>
          <w:tab w:val="clear" w:pos="1837"/>
        </w:tabs>
        <w:ind w:left="0"/>
        <w:rPr>
          <w:color w:val="auto"/>
        </w:rPr>
      </w:pPr>
      <w:r>
        <w:rPr>
          <w:rFonts w:hint="eastAsia"/>
          <w:color w:val="auto"/>
        </w:rPr>
        <w:t>分布式多维查询</w:t>
      </w:r>
    </w:p>
    <w:p>
      <w:pPr>
        <w:pStyle w:val="18"/>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1）支持通过连接符“或”、“且”与变量（如患者姓名、就诊时间、诊断名称、检验结果等）以及变量关系（等于、不等于、包含、不包含、大于、小与等等）组成查询条件；</w:t>
      </w:r>
    </w:p>
    <w:p>
      <w:pPr>
        <w:pStyle w:val="18"/>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2）支持将多个查询条件进行“或”、“且”的逻辑组合；</w:t>
      </w:r>
    </w:p>
    <w:p>
      <w:pPr>
        <w:pStyle w:val="18"/>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3）支持将多个查询条件进行“或”、“且”的逻辑嵌套组合；</w:t>
      </w:r>
    </w:p>
    <w:p>
      <w:pPr>
        <w:pStyle w:val="7"/>
        <w:numPr>
          <w:ilvl w:val="5"/>
          <w:numId w:val="3"/>
        </w:numPr>
        <w:tabs>
          <w:tab w:val="clear" w:pos="1837"/>
        </w:tabs>
        <w:ind w:left="0"/>
        <w:rPr>
          <w:color w:val="auto"/>
        </w:rPr>
      </w:pPr>
      <w:r>
        <w:rPr>
          <w:rFonts w:hint="eastAsia"/>
          <w:color w:val="auto"/>
        </w:rPr>
        <w:t>检索结果分布</w:t>
      </w:r>
    </w:p>
    <w:p>
      <w:pPr>
        <w:pStyle w:val="18"/>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通过检索结果可以进行统计分析，加强对科研检索结果的参考和利用，为临床科研增加参考数据资源，不再局限于检索记录的展示与查看；</w:t>
      </w:r>
    </w:p>
    <w:p>
      <w:pPr>
        <w:pStyle w:val="18"/>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1）统计门诊业务的门诊登记、处方数、检验、检查文书等检索结果数量，并分析门诊的诊断、处方等排名情况；</w:t>
      </w:r>
    </w:p>
    <w:p>
      <w:pPr>
        <w:pStyle w:val="18"/>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2）统计住院业务的住院登记、医嘱、检验等检索结果数量，并分析住院的住院诊断排名等情况；</w:t>
      </w:r>
    </w:p>
    <w:p>
      <w:pPr>
        <w:pStyle w:val="18"/>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3）临床数据的分布情况(患者就诊科室就诊数量占比)；</w:t>
      </w:r>
    </w:p>
    <w:p>
      <w:pPr>
        <w:pStyle w:val="18"/>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4）患者年龄性别对比统计情况；</w:t>
      </w:r>
    </w:p>
    <w:p>
      <w:pPr>
        <w:pStyle w:val="18"/>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5）患者在就诊时间轴上的分布情况等；</w:t>
      </w:r>
    </w:p>
    <w:p>
      <w:pPr>
        <w:pStyle w:val="7"/>
        <w:numPr>
          <w:ilvl w:val="5"/>
          <w:numId w:val="3"/>
        </w:numPr>
        <w:tabs>
          <w:tab w:val="clear" w:pos="1837"/>
        </w:tabs>
        <w:ind w:left="0"/>
        <w:rPr>
          <w:color w:val="auto"/>
        </w:rPr>
      </w:pPr>
      <w:r>
        <w:rPr>
          <w:rFonts w:hint="eastAsia"/>
          <w:color w:val="auto"/>
        </w:rPr>
        <w:t>检索结果预测</w:t>
      </w:r>
    </w:p>
    <w:p>
      <w:pPr>
        <w:pStyle w:val="18"/>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根据预算检测结果的主诊断比率，研究者可考虑下一步是否可进一步创建人群或队列，以此避免过多地创建利用率不高的队列等，为研究方向提供参考依据；</w:t>
      </w:r>
    </w:p>
    <w:p>
      <w:pPr>
        <w:pStyle w:val="18"/>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例如：对应查询“脑卒中”医学数据记录，检索数据中315%的主诊断是脑卒中，针对于检索记录可进行预测分析。</w:t>
      </w:r>
    </w:p>
    <w:p>
      <w:pPr>
        <w:pStyle w:val="7"/>
        <w:numPr>
          <w:ilvl w:val="5"/>
          <w:numId w:val="3"/>
        </w:numPr>
        <w:tabs>
          <w:tab w:val="clear" w:pos="1837"/>
        </w:tabs>
        <w:ind w:left="0"/>
        <w:rPr>
          <w:color w:val="auto"/>
        </w:rPr>
      </w:pPr>
      <w:r>
        <w:rPr>
          <w:rFonts w:hint="eastAsia"/>
          <w:color w:val="auto"/>
        </w:rPr>
        <w:t>临床病历数据探索</w:t>
      </w:r>
    </w:p>
    <w:p>
      <w:pPr>
        <w:pStyle w:val="18"/>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通过检索结果可以进入患者360，查看该患者的临床诊疗信息，包括门诊、住院、手术、检验、检查、费用等。</w:t>
      </w:r>
    </w:p>
    <w:p>
      <w:pPr>
        <w:pStyle w:val="7"/>
        <w:numPr>
          <w:ilvl w:val="5"/>
          <w:numId w:val="3"/>
        </w:numPr>
        <w:tabs>
          <w:tab w:val="clear" w:pos="1837"/>
        </w:tabs>
        <w:ind w:left="0"/>
        <w:rPr>
          <w:color w:val="auto"/>
        </w:rPr>
      </w:pPr>
      <w:r>
        <w:rPr>
          <w:rFonts w:hint="eastAsia"/>
          <w:color w:val="auto"/>
        </w:rPr>
        <w:t>检索结果保存</w:t>
      </w:r>
    </w:p>
    <w:p>
      <w:pPr>
        <w:pStyle w:val="18"/>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可保存搜索结果，查看检索筛选历史，进一步便捷科研人员的检索，无需多次输入类似或是相同的检索条件再进行检索。</w:t>
      </w:r>
    </w:p>
    <w:p>
      <w:pPr>
        <w:pStyle w:val="7"/>
        <w:numPr>
          <w:ilvl w:val="5"/>
          <w:numId w:val="3"/>
        </w:numPr>
        <w:tabs>
          <w:tab w:val="clear" w:pos="1837"/>
        </w:tabs>
        <w:ind w:left="0"/>
        <w:rPr>
          <w:color w:val="auto"/>
        </w:rPr>
      </w:pPr>
      <w:r>
        <w:rPr>
          <w:rFonts w:hint="eastAsia"/>
          <w:color w:val="auto"/>
        </w:rPr>
        <w:t>人群管理/创建或加入队列</w:t>
      </w:r>
    </w:p>
    <w:p>
      <w:pPr>
        <w:pStyle w:val="18"/>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根据检索结果对于将来可以进一步研究的人群进行管理，便于科研人员参考和选用，如果该类管理人群满足当前研究需求直接可以建立队列等，缓解科研过程中临时进行人群筛选等困扰：</w:t>
      </w:r>
    </w:p>
    <w:p>
      <w:pPr>
        <w:pStyle w:val="18"/>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1）搜索结果可创建“人群管理”，即通过暂存搜索结果，方便研究者随时查阅；</w:t>
      </w:r>
    </w:p>
    <w:p>
      <w:pPr>
        <w:pStyle w:val="18"/>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2）搜索结果也可创建新队列或加入到已有队列里，方便进行下一步的队列研究。</w:t>
      </w:r>
    </w:p>
    <w:p>
      <w:pPr>
        <w:pStyle w:val="6"/>
        <w:numPr>
          <w:ilvl w:val="4"/>
          <w:numId w:val="3"/>
        </w:numPr>
        <w:ind w:left="1008"/>
        <w:rPr>
          <w:color w:val="auto"/>
        </w:rPr>
      </w:pPr>
      <w:r>
        <w:rPr>
          <w:rFonts w:hint="eastAsia"/>
          <w:color w:val="auto"/>
        </w:rPr>
        <w:t>疾病队列管理系统（MedCohort）</w:t>
      </w:r>
    </w:p>
    <w:p>
      <w:pPr>
        <w:pStyle w:val="7"/>
        <w:numPr>
          <w:ilvl w:val="5"/>
          <w:numId w:val="3"/>
        </w:numPr>
        <w:tabs>
          <w:tab w:val="clear" w:pos="1837"/>
        </w:tabs>
        <w:ind w:left="0"/>
        <w:rPr>
          <w:color w:val="auto"/>
        </w:rPr>
      </w:pPr>
      <w:r>
        <w:rPr>
          <w:rFonts w:hint="eastAsia"/>
          <w:color w:val="auto"/>
        </w:rPr>
        <w:t>纳排条件指标配置</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根据医院具体情况，对于纳排条件所需要的指标进行配置，指标内容包括格式、内容、编码等。通过精准的配置改善后续科研检索不能精准检索或检索数据不完整等问题。</w:t>
      </w:r>
    </w:p>
    <w:p>
      <w:pPr>
        <w:pStyle w:val="7"/>
        <w:numPr>
          <w:ilvl w:val="5"/>
          <w:numId w:val="3"/>
        </w:numPr>
        <w:tabs>
          <w:tab w:val="clear" w:pos="1837"/>
        </w:tabs>
        <w:ind w:left="0"/>
        <w:rPr>
          <w:color w:val="auto"/>
        </w:rPr>
      </w:pPr>
      <w:r>
        <w:rPr>
          <w:rFonts w:hint="eastAsia"/>
          <w:color w:val="auto"/>
        </w:rPr>
        <w:t>纳排规则库管理</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对于已配置的纳排规则形成统一管理，包括新建的和历史配置规则，全部的和个人的配置规则数据，通过统一的规则管理，提升纳排的准确性和合理性。</w:t>
      </w:r>
    </w:p>
    <w:p>
      <w:pPr>
        <w:pStyle w:val="7"/>
        <w:numPr>
          <w:ilvl w:val="5"/>
          <w:numId w:val="3"/>
        </w:numPr>
        <w:tabs>
          <w:tab w:val="clear" w:pos="1837"/>
        </w:tabs>
        <w:ind w:left="0"/>
        <w:rPr>
          <w:color w:val="auto"/>
        </w:rPr>
      </w:pPr>
      <w:r>
        <w:rPr>
          <w:rFonts w:hint="eastAsia"/>
          <w:color w:val="auto"/>
        </w:rPr>
        <w:t>纳排任务管理</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支持自定义纳排标准，智能筛选符合条件的病人纳入数据中心。</w:t>
      </w:r>
    </w:p>
    <w:p>
      <w:pPr>
        <w:pStyle w:val="7"/>
        <w:numPr>
          <w:ilvl w:val="5"/>
          <w:numId w:val="3"/>
        </w:numPr>
        <w:tabs>
          <w:tab w:val="clear" w:pos="1837"/>
        </w:tabs>
        <w:ind w:left="0"/>
        <w:rPr>
          <w:color w:val="auto"/>
        </w:rPr>
      </w:pPr>
      <w:r>
        <w:rPr>
          <w:rFonts w:hint="eastAsia"/>
          <w:color w:val="auto"/>
        </w:rPr>
        <w:t>队列管理</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可以对纳入的患者先做入筛处理，并可对入筛的按患者做入组处理，使其进入队列。</w:t>
      </w:r>
    </w:p>
    <w:p>
      <w:pPr>
        <w:pStyle w:val="7"/>
        <w:numPr>
          <w:ilvl w:val="5"/>
          <w:numId w:val="3"/>
        </w:numPr>
        <w:tabs>
          <w:tab w:val="clear" w:pos="1837"/>
        </w:tabs>
        <w:ind w:left="0"/>
        <w:rPr>
          <w:color w:val="auto"/>
        </w:rPr>
      </w:pPr>
      <w:r>
        <w:rPr>
          <w:rFonts w:hint="eastAsia"/>
          <w:color w:val="auto"/>
        </w:rPr>
        <w:t>数据分析</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特征分析：通过算法平台对数据进行特征分析；模型分析：通过算法平台对数据进行模型分析。"</w:t>
      </w:r>
    </w:p>
    <w:p>
      <w:pPr>
        <w:pStyle w:val="7"/>
        <w:numPr>
          <w:ilvl w:val="5"/>
          <w:numId w:val="3"/>
        </w:numPr>
        <w:tabs>
          <w:tab w:val="clear" w:pos="1837"/>
        </w:tabs>
        <w:ind w:left="0"/>
        <w:rPr>
          <w:color w:val="auto"/>
        </w:rPr>
      </w:pPr>
      <w:r>
        <w:rPr>
          <w:rFonts w:hint="eastAsia"/>
          <w:color w:val="auto"/>
        </w:rPr>
        <w:t>数据导出</w:t>
      </w:r>
    </w:p>
    <w:p>
      <w:pPr>
        <w:spacing w:line="360" w:lineRule="auto"/>
        <w:ind w:firstLine="560" w:firstLineChars="200"/>
        <w:rPr>
          <w:color w:val="auto"/>
        </w:rPr>
      </w:pPr>
      <w:r>
        <w:rPr>
          <w:rFonts w:hint="eastAsia" w:ascii="仿宋" w:hAnsi="仿宋" w:eastAsia="仿宋" w:cs="仿宋"/>
          <w:color w:val="auto"/>
          <w:sz w:val="28"/>
          <w:szCs w:val="28"/>
        </w:rPr>
        <w:t>支持疾病队列数据导出功能，数据需经过审批、脱敏、加水印才能导出。</w:t>
      </w:r>
    </w:p>
    <w:p>
      <w:pPr>
        <w:pStyle w:val="6"/>
        <w:numPr>
          <w:ilvl w:val="4"/>
          <w:numId w:val="3"/>
        </w:numPr>
        <w:ind w:left="1008"/>
        <w:rPr>
          <w:color w:val="auto"/>
        </w:rPr>
      </w:pPr>
      <w:r>
        <w:rPr>
          <w:rFonts w:hint="eastAsia"/>
          <w:color w:val="auto"/>
        </w:rPr>
        <w:t>科研项目管理系统（RPMS）</w:t>
      </w:r>
    </w:p>
    <w:p>
      <w:pPr>
        <w:pStyle w:val="7"/>
        <w:numPr>
          <w:ilvl w:val="5"/>
          <w:numId w:val="3"/>
        </w:numPr>
        <w:tabs>
          <w:tab w:val="clear" w:pos="1837"/>
        </w:tabs>
        <w:ind w:left="0"/>
        <w:rPr>
          <w:color w:val="auto"/>
        </w:rPr>
      </w:pPr>
      <w:r>
        <w:rPr>
          <w:rFonts w:hint="eastAsia"/>
          <w:color w:val="auto"/>
        </w:rPr>
        <w:t>项目过程管理</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支持对项目立项、实时计划、里程碑节点、执行阶段任务、工作进度等管理。</w:t>
      </w:r>
    </w:p>
    <w:p>
      <w:pPr>
        <w:pStyle w:val="7"/>
        <w:numPr>
          <w:ilvl w:val="5"/>
          <w:numId w:val="3"/>
        </w:numPr>
        <w:tabs>
          <w:tab w:val="clear" w:pos="1837"/>
        </w:tabs>
        <w:ind w:left="0"/>
        <w:rPr>
          <w:color w:val="auto"/>
        </w:rPr>
      </w:pPr>
      <w:r>
        <w:rPr>
          <w:rFonts w:hint="eastAsia"/>
          <w:color w:val="auto"/>
        </w:rPr>
        <w:t>项目基本信息</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管理项目的基本信息。</w:t>
      </w:r>
    </w:p>
    <w:p>
      <w:pPr>
        <w:pStyle w:val="7"/>
        <w:numPr>
          <w:ilvl w:val="5"/>
          <w:numId w:val="3"/>
        </w:numPr>
        <w:tabs>
          <w:tab w:val="clear" w:pos="1837"/>
        </w:tabs>
        <w:ind w:left="0"/>
        <w:rPr>
          <w:color w:val="auto"/>
        </w:rPr>
      </w:pPr>
      <w:r>
        <w:rPr>
          <w:rFonts w:hint="eastAsia"/>
          <w:color w:val="auto"/>
        </w:rPr>
        <w:t>项目经费管理</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支持汇总、统计分析各项目的经费情况。</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支持经费总额、支出、余额管理。</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支持按照项目阶段的不同周期管理全周期预算。</w:t>
      </w:r>
    </w:p>
    <w:p>
      <w:pPr>
        <w:pStyle w:val="7"/>
        <w:numPr>
          <w:ilvl w:val="5"/>
          <w:numId w:val="3"/>
        </w:numPr>
        <w:tabs>
          <w:tab w:val="clear" w:pos="1837"/>
        </w:tabs>
        <w:ind w:left="0"/>
        <w:rPr>
          <w:color w:val="auto"/>
        </w:rPr>
      </w:pPr>
      <w:r>
        <w:rPr>
          <w:rFonts w:hint="eastAsia"/>
          <w:color w:val="auto"/>
        </w:rPr>
        <w:t>文档仓库</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管理研究中心相关专科的标准操作手册，文档、文章、视频等；供参与该项目的人员学习；</w:t>
      </w:r>
    </w:p>
    <w:p>
      <w:pPr>
        <w:pStyle w:val="7"/>
        <w:numPr>
          <w:ilvl w:val="5"/>
          <w:numId w:val="3"/>
        </w:numPr>
        <w:tabs>
          <w:tab w:val="clear" w:pos="1837"/>
        </w:tabs>
        <w:ind w:left="0"/>
        <w:rPr>
          <w:color w:val="auto"/>
        </w:rPr>
      </w:pPr>
      <w:r>
        <w:rPr>
          <w:rFonts w:hint="eastAsia"/>
          <w:color w:val="auto"/>
        </w:rPr>
        <w:t>系统管理</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管理不同用户及角色的权限。</w:t>
      </w:r>
    </w:p>
    <w:p>
      <w:pPr>
        <w:pStyle w:val="7"/>
        <w:numPr>
          <w:ilvl w:val="5"/>
          <w:numId w:val="3"/>
        </w:numPr>
        <w:tabs>
          <w:tab w:val="clear" w:pos="1837"/>
        </w:tabs>
        <w:ind w:left="0"/>
        <w:rPr>
          <w:color w:val="auto"/>
        </w:rPr>
      </w:pPr>
      <w:r>
        <w:rPr>
          <w:rFonts w:hint="eastAsia"/>
          <w:color w:val="auto"/>
        </w:rPr>
        <w:t>安全管理</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管理数据导出的申请审批，支持在EXCEL中添加数字水印。</w:t>
      </w:r>
    </w:p>
    <w:p>
      <w:pPr>
        <w:spacing w:line="360" w:lineRule="auto"/>
        <w:rPr>
          <w:color w:val="auto"/>
        </w:rPr>
      </w:pPr>
    </w:p>
    <w:p>
      <w:pPr>
        <w:pStyle w:val="6"/>
        <w:numPr>
          <w:ilvl w:val="4"/>
          <w:numId w:val="3"/>
        </w:numPr>
        <w:ind w:left="1008"/>
        <w:rPr>
          <w:color w:val="auto"/>
        </w:rPr>
      </w:pPr>
      <w:r>
        <w:rPr>
          <w:rFonts w:hint="eastAsia"/>
          <w:color w:val="auto"/>
        </w:rPr>
        <w:t>科研随访管理系统</w:t>
      </w:r>
    </w:p>
    <w:p>
      <w:pPr>
        <w:spacing w:line="360" w:lineRule="auto"/>
        <w:ind w:firstLine="482"/>
        <w:rPr>
          <w:rFonts w:ascii="仿宋" w:hAnsi="仿宋" w:eastAsia="仿宋" w:cs="仿宋"/>
          <w:color w:val="auto"/>
          <w:sz w:val="28"/>
          <w:szCs w:val="28"/>
        </w:rPr>
      </w:pPr>
      <w:r>
        <w:rPr>
          <w:rFonts w:hint="eastAsia" w:ascii="仿宋" w:hAnsi="仿宋" w:eastAsia="仿宋" w:cs="仿宋"/>
          <w:color w:val="auto"/>
          <w:sz w:val="28"/>
          <w:szCs w:val="28"/>
        </w:rPr>
        <w:t>科研过程中除了需要对患者在院的一些检查检验及诊断用药等数据之外，还需要对患者离院后的情况进行一些回访和跟踪的工作。同时不同的科研项目可能对患者情况的关注点存在差异，基于这个需求场景系统提供了自定义表单的功能。用于科研过程中对离院患者的信息收集工作，用户可以根据具体需求在系统中定义属于自己科研项目的访视表单。</w:t>
      </w:r>
    </w:p>
    <w:p>
      <w:pPr>
        <w:pStyle w:val="7"/>
        <w:numPr>
          <w:ilvl w:val="5"/>
          <w:numId w:val="3"/>
        </w:numPr>
        <w:tabs>
          <w:tab w:val="clear" w:pos="1837"/>
        </w:tabs>
        <w:ind w:left="0"/>
        <w:rPr>
          <w:color w:val="auto"/>
        </w:rPr>
      </w:pPr>
      <w:r>
        <w:rPr>
          <w:rFonts w:hint="eastAsia"/>
          <w:color w:val="auto"/>
        </w:rPr>
        <w:t>表单管理</w:t>
      </w:r>
    </w:p>
    <w:p>
      <w:pPr>
        <w:spacing w:line="360" w:lineRule="auto"/>
        <w:ind w:firstLine="482"/>
        <w:rPr>
          <w:rFonts w:ascii="仿宋" w:hAnsi="仿宋" w:eastAsia="仿宋" w:cs="仿宋"/>
          <w:color w:val="auto"/>
          <w:sz w:val="28"/>
          <w:szCs w:val="28"/>
        </w:rPr>
      </w:pPr>
      <w:r>
        <w:rPr>
          <w:rFonts w:hint="eastAsia" w:ascii="仿宋" w:hAnsi="仿宋" w:eastAsia="仿宋" w:cs="仿宋"/>
          <w:color w:val="auto"/>
          <w:sz w:val="28"/>
          <w:szCs w:val="28"/>
        </w:rPr>
        <w:t>科研人员制定访视内容，该内容以CRF表单形式存在。科研人员可以在系统中根据自身科研项目的需求自定义的建立CRF表单。访视填写包含有患者信息、患者基本信息表、病例文书、附件等。病例文书主要是展示非结构化病例文书内容，为填写CRF提供必要参考信息。</w:t>
      </w:r>
    </w:p>
    <w:p>
      <w:pPr>
        <w:spacing w:line="360" w:lineRule="auto"/>
        <w:ind w:firstLine="482"/>
        <w:rPr>
          <w:rFonts w:ascii="仿宋" w:hAnsi="仿宋" w:eastAsia="仿宋" w:cs="仿宋"/>
          <w:color w:val="auto"/>
          <w:sz w:val="28"/>
          <w:szCs w:val="28"/>
        </w:rPr>
      </w:pPr>
      <w:r>
        <w:rPr>
          <w:rFonts w:hint="eastAsia" w:ascii="仿宋" w:hAnsi="仿宋" w:eastAsia="仿宋" w:cs="仿宋"/>
          <w:color w:val="auto"/>
          <w:sz w:val="28"/>
          <w:szCs w:val="28"/>
        </w:rPr>
        <w:t>访视预览中包括患者的信息、访视列表、访视具体信息。可与进行数据审核、编辑及填写。患者信息包含患者编号、性别、出生日期、身份证号码、所属中心及所属分类。</w:t>
      </w:r>
    </w:p>
    <w:p>
      <w:pPr>
        <w:pStyle w:val="7"/>
        <w:numPr>
          <w:ilvl w:val="5"/>
          <w:numId w:val="3"/>
        </w:numPr>
        <w:tabs>
          <w:tab w:val="clear" w:pos="1837"/>
        </w:tabs>
        <w:ind w:left="0"/>
        <w:rPr>
          <w:color w:val="auto"/>
        </w:rPr>
      </w:pPr>
      <w:r>
        <w:rPr>
          <w:rFonts w:hint="eastAsia"/>
          <w:color w:val="auto"/>
        </w:rPr>
        <w:t>随访计划管理</w:t>
      </w:r>
    </w:p>
    <w:p>
      <w:pPr>
        <w:spacing w:line="360" w:lineRule="auto"/>
        <w:ind w:firstLine="482"/>
        <w:rPr>
          <w:rFonts w:ascii="仿宋" w:hAnsi="仿宋" w:eastAsia="仿宋" w:cs="仿宋"/>
          <w:color w:val="auto"/>
          <w:sz w:val="28"/>
          <w:szCs w:val="28"/>
        </w:rPr>
      </w:pPr>
      <w:r>
        <w:rPr>
          <w:rFonts w:hint="eastAsia" w:ascii="仿宋" w:hAnsi="仿宋" w:eastAsia="仿宋" w:cs="仿宋"/>
          <w:color w:val="auto"/>
          <w:sz w:val="28"/>
          <w:szCs w:val="28"/>
        </w:rPr>
        <w:t>访视内容制定完成之后，科研人员根据科研项目的需求制定相关的访视计划，并在每个访视计划中关联设定该次计划需要填写的CRF表单（即访视内容）。访视计划可以以树形结构展示，选择某一个计划对应展示其相关信息，例如患者姓名、性别、既往病史等。</w:t>
      </w:r>
    </w:p>
    <w:p>
      <w:pPr>
        <w:spacing w:line="360" w:lineRule="auto"/>
        <w:ind w:firstLine="482"/>
        <w:rPr>
          <w:rFonts w:ascii="仿宋" w:hAnsi="仿宋" w:eastAsia="仿宋" w:cs="仿宋"/>
          <w:color w:val="auto"/>
          <w:sz w:val="28"/>
          <w:szCs w:val="28"/>
        </w:rPr>
      </w:pPr>
      <w:r>
        <w:rPr>
          <w:rFonts w:hint="eastAsia" w:ascii="仿宋" w:hAnsi="仿宋" w:eastAsia="仿宋" w:cs="仿宋"/>
          <w:color w:val="auto"/>
          <w:sz w:val="28"/>
          <w:szCs w:val="28"/>
        </w:rPr>
        <w:t>新增访视计划包括计划名称、间隔天数、窗口期及排序号等信息项。关联表单主要是选择需要关联的CRF表单，CRF表单以列表形式在窗口直观的展示，可以自由选择需要关联的表单。</w:t>
      </w:r>
    </w:p>
    <w:p>
      <w:pPr>
        <w:pStyle w:val="7"/>
        <w:numPr>
          <w:ilvl w:val="5"/>
          <w:numId w:val="3"/>
        </w:numPr>
        <w:tabs>
          <w:tab w:val="clear" w:pos="1837"/>
        </w:tabs>
        <w:ind w:left="0"/>
        <w:rPr>
          <w:color w:val="auto"/>
        </w:rPr>
      </w:pPr>
      <w:r>
        <w:rPr>
          <w:rFonts w:hint="eastAsia"/>
          <w:color w:val="auto"/>
        </w:rPr>
        <w:t>随访任务</w:t>
      </w:r>
    </w:p>
    <w:p>
      <w:pPr>
        <w:spacing w:line="360" w:lineRule="auto"/>
        <w:ind w:firstLine="482"/>
        <w:rPr>
          <w:rFonts w:ascii="仿宋" w:hAnsi="仿宋" w:eastAsia="仿宋" w:cs="仿宋"/>
          <w:color w:val="auto"/>
          <w:sz w:val="28"/>
          <w:szCs w:val="28"/>
        </w:rPr>
      </w:pPr>
      <w:r>
        <w:rPr>
          <w:rFonts w:hint="eastAsia" w:ascii="仿宋" w:hAnsi="仿宋" w:eastAsia="仿宋" w:cs="仿宋"/>
          <w:color w:val="auto"/>
          <w:sz w:val="28"/>
          <w:szCs w:val="28"/>
        </w:rPr>
        <w:t>系统支持两位科研成员对一次访视计划的执行，并且针对该次访视内容进行智能核查。若两位科研成员访视内容不一致则系统给予提醒需要第三人完成核查工作，并形成最终的访视结果进入系统存档。</w:t>
      </w:r>
    </w:p>
    <w:p>
      <w:pPr>
        <w:pStyle w:val="7"/>
        <w:numPr>
          <w:ilvl w:val="5"/>
          <w:numId w:val="3"/>
        </w:numPr>
        <w:tabs>
          <w:tab w:val="clear" w:pos="1837"/>
        </w:tabs>
        <w:ind w:left="0"/>
        <w:rPr>
          <w:color w:val="auto"/>
        </w:rPr>
      </w:pPr>
      <w:r>
        <w:rPr>
          <w:rFonts w:hint="eastAsia"/>
          <w:color w:val="auto"/>
        </w:rPr>
        <w:t>随访方式</w:t>
      </w:r>
    </w:p>
    <w:p>
      <w:pPr>
        <w:spacing w:line="360" w:lineRule="auto"/>
        <w:ind w:firstLine="482"/>
        <w:rPr>
          <w:rFonts w:ascii="仿宋" w:hAnsi="仿宋" w:eastAsia="仿宋" w:cs="仿宋"/>
          <w:color w:val="auto"/>
          <w:sz w:val="28"/>
          <w:szCs w:val="28"/>
        </w:rPr>
      </w:pPr>
      <w:r>
        <w:rPr>
          <w:rFonts w:hint="eastAsia" w:ascii="仿宋" w:hAnsi="仿宋" w:eastAsia="仿宋" w:cs="仿宋"/>
          <w:color w:val="auto"/>
          <w:sz w:val="28"/>
          <w:szCs w:val="28"/>
        </w:rPr>
        <w:t>可以进行集团各院区、科室及项目级的随访。</w:t>
      </w:r>
    </w:p>
    <w:p>
      <w:pPr>
        <w:spacing w:line="360" w:lineRule="auto"/>
        <w:ind w:firstLine="482"/>
        <w:rPr>
          <w:rFonts w:ascii="仿宋" w:hAnsi="仿宋" w:eastAsia="仿宋" w:cs="仿宋"/>
          <w:color w:val="auto"/>
          <w:sz w:val="28"/>
          <w:szCs w:val="28"/>
        </w:rPr>
      </w:pPr>
      <w:r>
        <w:rPr>
          <w:rFonts w:hint="eastAsia" w:ascii="仿宋" w:hAnsi="仿宋" w:eastAsia="仿宋" w:cs="仿宋"/>
          <w:color w:val="auto"/>
          <w:sz w:val="28"/>
          <w:szCs w:val="28"/>
        </w:rPr>
        <w:t>随访方式包括有人工电话随访、微信、短信、语音随访、网上问卷等多种方式。其中智能语音随访可以将随访过程记录的语音自动转换成文字，便于不同场景不同形式的随访记录查看。随访的微信服务号的形式，研究者可针对已经认证绑定微信的随访患者推送表单供患者填写。</w:t>
      </w:r>
    </w:p>
    <w:p>
      <w:pPr>
        <w:pStyle w:val="7"/>
        <w:numPr>
          <w:ilvl w:val="5"/>
          <w:numId w:val="3"/>
        </w:numPr>
        <w:tabs>
          <w:tab w:val="clear" w:pos="1837"/>
        </w:tabs>
        <w:ind w:left="0"/>
        <w:rPr>
          <w:color w:val="auto"/>
        </w:rPr>
      </w:pPr>
      <w:r>
        <w:rPr>
          <w:rFonts w:hint="eastAsia"/>
          <w:color w:val="auto"/>
        </w:rPr>
        <w:t>质疑管理</w:t>
      </w:r>
    </w:p>
    <w:p>
      <w:pPr>
        <w:spacing w:line="360" w:lineRule="auto"/>
        <w:ind w:firstLine="482"/>
        <w:rPr>
          <w:color w:val="auto"/>
        </w:rPr>
      </w:pPr>
      <w:r>
        <w:rPr>
          <w:rFonts w:hint="eastAsia" w:ascii="仿宋" w:hAnsi="仿宋" w:eastAsia="仿宋" w:cs="仿宋"/>
          <w:color w:val="auto"/>
          <w:sz w:val="28"/>
          <w:szCs w:val="28"/>
        </w:rPr>
        <w:t>针对多中心科研项目，主中心科研人员可以对分中心提交的访视结果进行数据核查工作。对存在异常数据的访视结果，主中心科研人员提出异议并向分中心下发数据核查报告。分中心相关人员进行数据复查和异常数据解释。</w:t>
      </w:r>
    </w:p>
    <w:p>
      <w:pPr>
        <w:pStyle w:val="5"/>
        <w:numPr>
          <w:ilvl w:val="3"/>
          <w:numId w:val="3"/>
        </w:numPr>
        <w:spacing w:before="240" w:after="240" w:line="360" w:lineRule="auto"/>
        <w:ind w:left="1074"/>
        <w:rPr>
          <w:color w:val="auto"/>
        </w:rPr>
      </w:pPr>
      <w:r>
        <w:rPr>
          <w:rFonts w:hint="eastAsia"/>
          <w:color w:val="auto"/>
        </w:rPr>
        <w:t>现代化研究型病房平台</w:t>
      </w:r>
    </w:p>
    <w:p>
      <w:pPr>
        <w:pStyle w:val="6"/>
        <w:numPr>
          <w:ilvl w:val="4"/>
          <w:numId w:val="3"/>
        </w:numPr>
        <w:ind w:left="1008"/>
        <w:rPr>
          <w:color w:val="auto"/>
        </w:rPr>
      </w:pPr>
      <w:r>
        <w:rPr>
          <w:rFonts w:hint="eastAsia"/>
          <w:color w:val="auto"/>
        </w:rPr>
        <w:t>临床药物试验系统</w:t>
      </w:r>
    </w:p>
    <w:p>
      <w:pPr>
        <w:pStyle w:val="49"/>
        <w:spacing w:before="0" w:after="0"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bidi="th-TH"/>
        </w:rPr>
        <w:t>药物临床试验系统（GCP）是以药物临床试验机构对试验项目的高效全程管理和技术服务为出发点，以《药物临床试验质量管理规范（GCP）》和医院药物临床试验标准操作规程（SOP）为依据，为实现医院药物临床试验机构对各专业临床试验实施的标准化、专业化、流程化管理，促进医院临床试验的规范化实施，提高医院临床试验的质量而建设的信息化管理与技术服务应用系统。</w:t>
      </w:r>
      <w:r>
        <w:rPr>
          <w:rFonts w:hint="eastAsia" w:ascii="仿宋" w:hAnsi="仿宋" w:eastAsia="仿宋" w:cs="仿宋"/>
          <w:color w:val="auto"/>
          <w:sz w:val="28"/>
          <w:szCs w:val="28"/>
        </w:rPr>
        <w:t>在我国引入、推动和实施GCP已有近二十年的时间。</w:t>
      </w:r>
    </w:p>
    <w:p>
      <w:pPr>
        <w:pStyle w:val="49"/>
        <w:spacing w:before="0" w:after="0"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近来，国家相继出台临床试验相关政策：</w:t>
      </w:r>
    </w:p>
    <w:p>
      <w:pPr>
        <w:pStyle w:val="49"/>
        <w:spacing w:before="0" w:after="0"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最新公布的《药物临床试验质量管理规范》：第一章总则第一条提出：为保证药物临床试验过程规范，数据和所报告结果的科学、真实、可靠，保护受试者的权益和安全，根据《中华人民共和国药品管理法》《中华人民共和国药品管理法实施条例》，参照国际公认原则，制定了本规范。规范中针对临床试验的源数据管理、必备文件管理、质量管理、CRF、药物管理、AE/SAE、QA/QC、计算机系统（数据管理系统）、电子数据稽查轨迹等均提出明确的要求。</w:t>
      </w:r>
    </w:p>
    <w:p>
      <w:pPr>
        <w:pStyle w:val="49"/>
        <w:spacing w:before="0" w:after="0"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国家市场监督管理总局发布《药物临床试验质量管理规范(修订草案征求意见稿)，第二十五条要求：研究者应当确保所有临床试验数据是从临床试验的源文件和试验记录中获得的，是准确、完整、可读和及时的。源数据应具有可归因性、同时性、原始性、准确性、完整性、一致性和持久性。源数据的修改应当留痕，不能掩盖初始数据，并记录修改的理由。以病人为受试者的临床试验，相关的医疗记录应当载入门诊或者住院病历系统，不应另设研究病历。临床试验机构的信息化系统具备建立临床试验电子病历条件时，研究者应当首选使用，相应的计算机化系统应当具有完善的权限管理和稽查轨迹，可以追溯至记录的创建者或修改者，保障所采集的源数据可以溯源。</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rPr>
        <w:t>为满足医院药物临床试验规范化管理，通过搭建药物临床试验系统，实现受试者数据的精准管理，保证数据可追溯，提升药物临床试验的安全性。</w:t>
      </w:r>
    </w:p>
    <w:p>
      <w:pPr>
        <w:pStyle w:val="31"/>
        <w:numPr>
          <w:ilvl w:val="0"/>
          <w:numId w:val="5"/>
        </w:numPr>
        <w:spacing w:line="360" w:lineRule="auto"/>
        <w:ind w:left="1763" w:hanging="1134" w:firstLineChars="0"/>
        <w:rPr>
          <w:rFonts w:ascii="仿宋" w:hAnsi="仿宋" w:eastAsia="仿宋" w:cs="仿宋"/>
          <w:color w:val="auto"/>
          <w:sz w:val="28"/>
          <w:szCs w:val="28"/>
        </w:rPr>
      </w:pPr>
      <w:r>
        <w:rPr>
          <w:rFonts w:hint="eastAsia" w:ascii="仿宋" w:hAnsi="仿宋" w:eastAsia="仿宋" w:cs="仿宋"/>
          <w:color w:val="auto"/>
          <w:sz w:val="28"/>
          <w:szCs w:val="28"/>
        </w:rPr>
        <w:t>《药物临床试验质量管理规范（修订草案征求意见稿）》</w:t>
      </w:r>
    </w:p>
    <w:p>
      <w:pPr>
        <w:pStyle w:val="31"/>
        <w:numPr>
          <w:ilvl w:val="0"/>
          <w:numId w:val="5"/>
        </w:numPr>
        <w:spacing w:line="360" w:lineRule="auto"/>
        <w:ind w:left="1763" w:hanging="1134" w:firstLineChars="0"/>
        <w:rPr>
          <w:rFonts w:ascii="仿宋" w:hAnsi="仿宋" w:eastAsia="仿宋" w:cs="仿宋"/>
          <w:color w:val="auto"/>
          <w:sz w:val="28"/>
          <w:szCs w:val="28"/>
        </w:rPr>
      </w:pPr>
      <w:r>
        <w:rPr>
          <w:rFonts w:hint="eastAsia" w:ascii="仿宋" w:hAnsi="仿宋" w:eastAsia="仿宋" w:cs="仿宋"/>
          <w:color w:val="auto"/>
          <w:sz w:val="28"/>
          <w:szCs w:val="28"/>
        </w:rPr>
        <w:t>《药物临床试验伦理审查工作指导原则》</w:t>
      </w:r>
    </w:p>
    <w:p>
      <w:pPr>
        <w:pStyle w:val="31"/>
        <w:numPr>
          <w:ilvl w:val="0"/>
          <w:numId w:val="5"/>
        </w:numPr>
        <w:spacing w:line="360" w:lineRule="auto"/>
        <w:ind w:left="1763" w:hanging="1134" w:firstLineChars="0"/>
        <w:rPr>
          <w:rFonts w:ascii="仿宋" w:hAnsi="仿宋" w:eastAsia="仿宋" w:cs="仿宋"/>
          <w:color w:val="auto"/>
          <w:sz w:val="28"/>
          <w:szCs w:val="28"/>
        </w:rPr>
      </w:pPr>
      <w:r>
        <w:rPr>
          <w:rFonts w:hint="eastAsia" w:ascii="仿宋" w:hAnsi="仿宋" w:eastAsia="仿宋" w:cs="仿宋"/>
          <w:color w:val="auto"/>
          <w:sz w:val="28"/>
          <w:szCs w:val="28"/>
        </w:rPr>
        <w:t>试验机构的药物临床试验标准操作规程（SOP）</w:t>
      </w:r>
    </w:p>
    <w:p>
      <w:pPr>
        <w:pStyle w:val="31"/>
        <w:numPr>
          <w:ilvl w:val="0"/>
          <w:numId w:val="5"/>
        </w:numPr>
        <w:spacing w:line="360" w:lineRule="auto"/>
        <w:ind w:left="1763" w:hanging="1134" w:firstLineChars="0"/>
        <w:rPr>
          <w:rFonts w:ascii="仿宋" w:hAnsi="仿宋" w:eastAsia="仿宋" w:cs="仿宋"/>
          <w:color w:val="auto"/>
          <w:sz w:val="28"/>
          <w:szCs w:val="28"/>
        </w:rPr>
      </w:pPr>
      <w:r>
        <w:rPr>
          <w:rFonts w:hint="eastAsia" w:ascii="仿宋" w:hAnsi="仿宋" w:eastAsia="仿宋" w:cs="仿宋"/>
          <w:color w:val="auto"/>
          <w:sz w:val="28"/>
          <w:szCs w:val="28"/>
        </w:rPr>
        <w:t>《中华人民共和国药品管理法》</w:t>
      </w:r>
    </w:p>
    <w:p>
      <w:pPr>
        <w:pStyle w:val="31"/>
        <w:numPr>
          <w:ilvl w:val="0"/>
          <w:numId w:val="5"/>
        </w:numPr>
        <w:spacing w:line="360" w:lineRule="auto"/>
        <w:ind w:left="1763" w:hanging="1134" w:firstLineChars="0"/>
        <w:rPr>
          <w:rFonts w:ascii="仿宋" w:hAnsi="仿宋" w:eastAsia="仿宋" w:cs="仿宋"/>
          <w:color w:val="auto"/>
          <w:sz w:val="28"/>
          <w:szCs w:val="28"/>
        </w:rPr>
      </w:pPr>
      <w:r>
        <w:rPr>
          <w:rFonts w:hint="eastAsia" w:ascii="仿宋" w:hAnsi="仿宋" w:eastAsia="仿宋" w:cs="仿宋"/>
          <w:color w:val="auto"/>
          <w:sz w:val="28"/>
          <w:szCs w:val="28"/>
        </w:rPr>
        <w:t>《中华人民共和国药品管理法实施条例》</w:t>
      </w:r>
    </w:p>
    <w:p>
      <w:pPr>
        <w:pStyle w:val="31"/>
        <w:numPr>
          <w:ilvl w:val="0"/>
          <w:numId w:val="5"/>
        </w:numPr>
        <w:spacing w:line="360" w:lineRule="auto"/>
        <w:ind w:left="1763" w:hanging="1134" w:firstLineChars="0"/>
        <w:rPr>
          <w:rFonts w:ascii="仿宋" w:hAnsi="仿宋" w:eastAsia="仿宋" w:cs="仿宋"/>
          <w:color w:val="auto"/>
          <w:sz w:val="28"/>
          <w:szCs w:val="28"/>
        </w:rPr>
      </w:pPr>
      <w:r>
        <w:rPr>
          <w:rFonts w:hint="eastAsia" w:ascii="仿宋" w:hAnsi="仿宋" w:eastAsia="仿宋" w:cs="仿宋"/>
          <w:color w:val="auto"/>
          <w:sz w:val="28"/>
          <w:szCs w:val="28"/>
        </w:rPr>
        <w:t>《药品注册管理办法》</w:t>
      </w:r>
    </w:p>
    <w:p>
      <w:pPr>
        <w:pStyle w:val="31"/>
        <w:numPr>
          <w:ilvl w:val="0"/>
          <w:numId w:val="5"/>
        </w:numPr>
        <w:spacing w:line="360" w:lineRule="auto"/>
        <w:ind w:left="1763" w:hanging="1134" w:firstLineChars="0"/>
        <w:rPr>
          <w:rFonts w:ascii="仿宋" w:hAnsi="仿宋" w:eastAsia="仿宋" w:cs="仿宋"/>
          <w:color w:val="auto"/>
          <w:sz w:val="28"/>
          <w:szCs w:val="28"/>
        </w:rPr>
      </w:pPr>
      <w:r>
        <w:rPr>
          <w:rFonts w:hint="eastAsia" w:ascii="仿宋" w:hAnsi="仿宋" w:eastAsia="仿宋" w:cs="仿宋"/>
          <w:color w:val="auto"/>
          <w:sz w:val="28"/>
          <w:szCs w:val="28"/>
        </w:rPr>
        <w:t>参照国际公认原则制定（WHO-GCP，ICH-GCP)</w:t>
      </w:r>
    </w:p>
    <w:p>
      <w:pPr>
        <w:pStyle w:val="31"/>
        <w:numPr>
          <w:ilvl w:val="0"/>
          <w:numId w:val="5"/>
        </w:numPr>
        <w:spacing w:line="360" w:lineRule="auto"/>
        <w:ind w:left="1763" w:hanging="1134" w:firstLineChars="0"/>
        <w:rPr>
          <w:rFonts w:ascii="仿宋" w:hAnsi="仿宋" w:eastAsia="仿宋" w:cs="仿宋"/>
          <w:color w:val="auto"/>
          <w:sz w:val="28"/>
          <w:szCs w:val="28"/>
        </w:rPr>
      </w:pPr>
      <w:r>
        <w:rPr>
          <w:rFonts w:hint="eastAsia" w:ascii="仿宋" w:hAnsi="仿宋" w:eastAsia="仿宋" w:cs="仿宋"/>
          <w:color w:val="auto"/>
          <w:sz w:val="28"/>
          <w:szCs w:val="28"/>
        </w:rPr>
        <w:t>《药物非临床研究质量管理规范》（GLP）</w:t>
      </w:r>
    </w:p>
    <w:p>
      <w:pPr>
        <w:pStyle w:val="31"/>
        <w:numPr>
          <w:ilvl w:val="0"/>
          <w:numId w:val="5"/>
        </w:numPr>
        <w:spacing w:line="360" w:lineRule="auto"/>
        <w:ind w:left="1763" w:hanging="1134" w:firstLineChars="0"/>
        <w:rPr>
          <w:rFonts w:ascii="仿宋" w:hAnsi="仿宋" w:eastAsia="仿宋" w:cs="仿宋"/>
          <w:color w:val="auto"/>
          <w:sz w:val="28"/>
          <w:szCs w:val="28"/>
        </w:rPr>
      </w:pPr>
      <w:r>
        <w:rPr>
          <w:rFonts w:hint="eastAsia" w:ascii="仿宋" w:hAnsi="仿宋" w:eastAsia="仿宋" w:cs="仿宋"/>
          <w:color w:val="auto"/>
          <w:sz w:val="28"/>
          <w:szCs w:val="28"/>
        </w:rPr>
        <w:t>《药物临床试验质量管理规范》（GCP）</w:t>
      </w:r>
    </w:p>
    <w:p>
      <w:pPr>
        <w:pStyle w:val="31"/>
        <w:numPr>
          <w:ilvl w:val="0"/>
          <w:numId w:val="5"/>
        </w:numPr>
        <w:spacing w:line="360" w:lineRule="auto"/>
        <w:ind w:left="1763" w:hanging="1134" w:firstLineChars="0"/>
        <w:rPr>
          <w:rFonts w:ascii="仿宋" w:hAnsi="仿宋" w:eastAsia="仿宋" w:cs="仿宋"/>
          <w:color w:val="auto"/>
          <w:sz w:val="28"/>
          <w:szCs w:val="28"/>
        </w:rPr>
      </w:pPr>
      <w:r>
        <w:rPr>
          <w:rFonts w:hint="eastAsia" w:ascii="仿宋" w:hAnsi="仿宋" w:eastAsia="仿宋" w:cs="仿宋"/>
          <w:color w:val="auto"/>
          <w:sz w:val="28"/>
          <w:szCs w:val="28"/>
        </w:rPr>
        <w:t>《药品生产质量管理规范》（GMP）</w:t>
      </w:r>
    </w:p>
    <w:p>
      <w:pPr>
        <w:pStyle w:val="31"/>
        <w:numPr>
          <w:ilvl w:val="0"/>
          <w:numId w:val="5"/>
        </w:numPr>
        <w:spacing w:line="360" w:lineRule="auto"/>
        <w:ind w:left="1763" w:hanging="1134" w:firstLineChars="0"/>
        <w:rPr>
          <w:rFonts w:ascii="仿宋" w:hAnsi="仿宋" w:eastAsia="仿宋" w:cs="仿宋"/>
          <w:color w:val="auto"/>
          <w:sz w:val="28"/>
          <w:szCs w:val="28"/>
        </w:rPr>
      </w:pPr>
      <w:r>
        <w:rPr>
          <w:rFonts w:hint="eastAsia" w:ascii="仿宋" w:hAnsi="仿宋" w:eastAsia="仿宋" w:cs="仿宋"/>
          <w:color w:val="auto"/>
          <w:sz w:val="28"/>
          <w:szCs w:val="28"/>
        </w:rPr>
        <w:t>《中药材生产质量管理规范》（GAP）</w:t>
      </w:r>
    </w:p>
    <w:p>
      <w:pPr>
        <w:pStyle w:val="31"/>
        <w:numPr>
          <w:ilvl w:val="0"/>
          <w:numId w:val="5"/>
        </w:numPr>
        <w:spacing w:line="360" w:lineRule="auto"/>
        <w:ind w:left="1763" w:hanging="1134" w:firstLineChars="0"/>
        <w:rPr>
          <w:rFonts w:ascii="仿宋" w:hAnsi="仿宋" w:eastAsia="仿宋" w:cs="仿宋"/>
          <w:color w:val="auto"/>
          <w:sz w:val="28"/>
          <w:szCs w:val="28"/>
        </w:rPr>
      </w:pPr>
      <w:r>
        <w:rPr>
          <w:rFonts w:hint="eastAsia" w:ascii="仿宋" w:hAnsi="仿宋" w:eastAsia="仿宋" w:cs="仿宋"/>
          <w:color w:val="auto"/>
          <w:sz w:val="28"/>
          <w:szCs w:val="28"/>
        </w:rPr>
        <w:t>《药品经营质量管理规范》（GSP）</w:t>
      </w:r>
    </w:p>
    <w:p>
      <w:pPr>
        <w:pStyle w:val="31"/>
        <w:numPr>
          <w:ilvl w:val="0"/>
          <w:numId w:val="5"/>
        </w:numPr>
        <w:spacing w:line="360" w:lineRule="auto"/>
        <w:ind w:left="1763" w:hanging="1134" w:firstLineChars="0"/>
        <w:rPr>
          <w:rFonts w:ascii="仿宋" w:hAnsi="仿宋" w:eastAsia="仿宋" w:cs="仿宋"/>
          <w:color w:val="auto"/>
          <w:sz w:val="28"/>
          <w:szCs w:val="28"/>
        </w:rPr>
      </w:pPr>
      <w:r>
        <w:rPr>
          <w:rFonts w:hint="eastAsia" w:ascii="仿宋" w:hAnsi="仿宋" w:eastAsia="仿宋" w:cs="仿宋"/>
          <w:color w:val="auto"/>
          <w:sz w:val="28"/>
          <w:szCs w:val="28"/>
        </w:rPr>
        <w:t>《药品研究和申报注册违规处理办法》（试行）</w:t>
      </w:r>
    </w:p>
    <w:p>
      <w:pPr>
        <w:pStyle w:val="31"/>
        <w:numPr>
          <w:ilvl w:val="0"/>
          <w:numId w:val="5"/>
        </w:numPr>
        <w:spacing w:line="360" w:lineRule="auto"/>
        <w:ind w:left="1763" w:hanging="1134" w:firstLineChars="0"/>
        <w:rPr>
          <w:rFonts w:ascii="仿宋" w:hAnsi="仿宋" w:eastAsia="仿宋" w:cs="仿宋"/>
          <w:color w:val="auto"/>
          <w:sz w:val="28"/>
          <w:szCs w:val="28"/>
        </w:rPr>
      </w:pPr>
      <w:r>
        <w:rPr>
          <w:rFonts w:hint="eastAsia" w:ascii="仿宋" w:hAnsi="仿宋" w:eastAsia="仿宋" w:cs="仿宋"/>
          <w:color w:val="auto"/>
          <w:sz w:val="28"/>
          <w:szCs w:val="28"/>
        </w:rPr>
        <w:t>《药品临床研究的若干规定》</w:t>
      </w:r>
    </w:p>
    <w:p>
      <w:pPr>
        <w:pStyle w:val="31"/>
        <w:numPr>
          <w:ilvl w:val="0"/>
          <w:numId w:val="5"/>
        </w:numPr>
        <w:spacing w:line="360" w:lineRule="auto"/>
        <w:ind w:left="1763" w:hanging="1134" w:firstLineChars="0"/>
        <w:rPr>
          <w:rFonts w:ascii="仿宋" w:hAnsi="仿宋" w:eastAsia="仿宋" w:cs="仿宋"/>
          <w:color w:val="auto"/>
          <w:sz w:val="28"/>
          <w:szCs w:val="28"/>
        </w:rPr>
      </w:pPr>
      <w:r>
        <w:rPr>
          <w:rFonts w:hint="eastAsia" w:ascii="仿宋" w:hAnsi="仿宋" w:eastAsia="仿宋" w:cs="仿宋"/>
          <w:color w:val="auto"/>
          <w:sz w:val="28"/>
          <w:szCs w:val="28"/>
        </w:rPr>
        <w:t>《药品研究实验记录暂行规定》</w:t>
      </w:r>
    </w:p>
    <w:p>
      <w:pPr>
        <w:pStyle w:val="31"/>
        <w:numPr>
          <w:ilvl w:val="0"/>
          <w:numId w:val="5"/>
        </w:numPr>
        <w:spacing w:line="360" w:lineRule="auto"/>
        <w:ind w:left="1763" w:hanging="1134" w:firstLineChars="0"/>
        <w:rPr>
          <w:rFonts w:ascii="仿宋" w:hAnsi="仿宋" w:eastAsia="仿宋" w:cs="仿宋"/>
          <w:color w:val="auto"/>
          <w:sz w:val="28"/>
          <w:szCs w:val="28"/>
        </w:rPr>
      </w:pPr>
      <w:r>
        <w:rPr>
          <w:rFonts w:hint="eastAsia" w:ascii="仿宋" w:hAnsi="仿宋" w:eastAsia="仿宋" w:cs="仿宋"/>
          <w:color w:val="auto"/>
          <w:sz w:val="28"/>
          <w:szCs w:val="28"/>
        </w:rPr>
        <w:t>《药品不良反应报告和监测管理办法》</w:t>
      </w:r>
    </w:p>
    <w:p>
      <w:pPr>
        <w:pStyle w:val="31"/>
        <w:numPr>
          <w:ilvl w:val="0"/>
          <w:numId w:val="5"/>
        </w:numPr>
        <w:spacing w:line="360" w:lineRule="auto"/>
        <w:ind w:left="1763" w:hanging="1134" w:firstLineChars="0"/>
        <w:rPr>
          <w:rFonts w:ascii="仿宋" w:hAnsi="仿宋" w:eastAsia="仿宋" w:cs="仿宋"/>
          <w:color w:val="auto"/>
          <w:sz w:val="28"/>
          <w:szCs w:val="28"/>
        </w:rPr>
      </w:pPr>
      <w:r>
        <w:rPr>
          <w:rFonts w:hint="eastAsia" w:ascii="仿宋" w:hAnsi="仿宋" w:eastAsia="仿宋" w:cs="仿宋"/>
          <w:color w:val="auto"/>
          <w:sz w:val="28"/>
          <w:szCs w:val="28"/>
        </w:rPr>
        <w:t>药品临床试验、统计指导原则（SFDA-CDE网站）</w:t>
      </w:r>
    </w:p>
    <w:p>
      <w:pPr>
        <w:pStyle w:val="31"/>
        <w:numPr>
          <w:ilvl w:val="0"/>
          <w:numId w:val="5"/>
        </w:numPr>
        <w:spacing w:line="360" w:lineRule="auto"/>
        <w:ind w:left="1763" w:hanging="1134" w:firstLineChars="0"/>
        <w:rPr>
          <w:rFonts w:ascii="仿宋" w:hAnsi="仿宋" w:eastAsia="仿宋" w:cs="仿宋"/>
          <w:color w:val="auto"/>
          <w:sz w:val="28"/>
          <w:szCs w:val="28"/>
          <w:lang w:bidi="th-TH"/>
        </w:rPr>
      </w:pPr>
      <w:r>
        <w:rPr>
          <w:rFonts w:hint="eastAsia" w:ascii="仿宋" w:hAnsi="仿宋" w:eastAsia="仿宋" w:cs="仿宋"/>
          <w:color w:val="auto"/>
          <w:sz w:val="28"/>
          <w:szCs w:val="28"/>
        </w:rPr>
        <w:t>药品研究监督管理办法</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药物临床试验管理信息系统服务于参与药物临床试验的各类最终用户，包括GCP机构办公室、参与临床试验的主要研究人员、项目质控员，专业质控人员和药房人员。与医院数据中心和相关信息系统实现接口整合，该系统需要实现GCP项目的管理、启动、监控和质控、项目的设置、执行、跟踪、管理，项目内的质控、质控报告上传、以及试验药品的维护、库存管理等。系统支持双语切换（中英文对照功能），并实现多个医院间数据共享以及上报功能。系统可以制定试验相关标准，如专业术语、标准接口等。另外系统在设计上具有良好的扩展性，可以在现有业务的基础之上增加相关模块满足未来业务发展要求。</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所有模块采用同一平台。所有的模块内部数据关系融合、数据集中存储，同时数据库应提供其它医疗业务数据标准接口，方便数据中心和其它业务系统接入。整个系统可以提供数据修改全程监控，提供修改日志。提供明确的用户权限管理。</w:t>
      </w:r>
    </w:p>
    <w:p>
      <w:pPr>
        <w:pStyle w:val="7"/>
        <w:numPr>
          <w:ilvl w:val="5"/>
          <w:numId w:val="3"/>
        </w:numPr>
        <w:tabs>
          <w:tab w:val="clear" w:pos="1837"/>
        </w:tabs>
        <w:ind w:left="0"/>
        <w:rPr>
          <w:color w:val="auto"/>
        </w:rPr>
      </w:pPr>
      <w:r>
        <w:rPr>
          <w:rFonts w:hint="eastAsia"/>
          <w:color w:val="auto"/>
        </w:rPr>
        <w:t>门户管理</w:t>
      </w:r>
    </w:p>
    <w:p>
      <w:pPr>
        <w:pStyle w:val="49"/>
        <w:spacing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系统首页以直观的方式展现处于不同阶段的项目数量。</w:t>
      </w:r>
    </w:p>
    <w:p>
      <w:pPr>
        <w:pStyle w:val="49"/>
        <w:spacing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支持按照项目编号/项目名称/主研究者/机构编号、方案日期、项目阶段（立项、在研、暂停、结案）进行模糊查询或精准查询。</w:t>
      </w:r>
    </w:p>
    <w:p>
      <w:pPr>
        <w:pStyle w:val="49"/>
        <w:spacing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可通过字段项目名称及项目编号打开项目信息页面。</w:t>
      </w:r>
    </w:p>
    <w:p>
      <w:pPr>
        <w:pStyle w:val="7"/>
        <w:numPr>
          <w:ilvl w:val="5"/>
          <w:numId w:val="3"/>
        </w:numPr>
        <w:tabs>
          <w:tab w:val="clear" w:pos="1837"/>
        </w:tabs>
        <w:ind w:left="0"/>
        <w:rPr>
          <w:color w:val="auto"/>
        </w:rPr>
      </w:pPr>
      <w:r>
        <w:rPr>
          <w:rFonts w:hint="eastAsia"/>
          <w:color w:val="auto"/>
        </w:rPr>
        <w:t>机构管理</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1）CRA通过公网注册账号，默认为授权登录（公网）；</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2）在线提交立项申请及参与审批流程（公网）；</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3）机构秘书对账号进行管理停止授权、恢复授权、授权项目、停用项目授权（内网）。</w:t>
      </w:r>
    </w:p>
    <w:p>
      <w:pPr>
        <w:pStyle w:val="7"/>
        <w:numPr>
          <w:ilvl w:val="5"/>
          <w:numId w:val="3"/>
        </w:numPr>
        <w:tabs>
          <w:tab w:val="clear" w:pos="1837"/>
        </w:tabs>
        <w:ind w:left="0"/>
        <w:rPr>
          <w:color w:val="auto"/>
        </w:rPr>
      </w:pPr>
      <w:r>
        <w:rPr>
          <w:rFonts w:hint="eastAsia"/>
          <w:color w:val="auto"/>
        </w:rPr>
        <w:t>伦理管理</w:t>
      </w:r>
    </w:p>
    <w:p>
      <w:pPr>
        <w:pStyle w:val="9"/>
        <w:numPr>
          <w:ilvl w:val="6"/>
          <w:numId w:val="3"/>
        </w:numPr>
        <w:spacing w:line="360" w:lineRule="auto"/>
        <w:ind w:left="1296" w:hanging="1296"/>
        <w:rPr>
          <w:color w:val="auto"/>
        </w:rPr>
      </w:pPr>
      <w:r>
        <w:rPr>
          <w:rFonts w:hint="eastAsia"/>
          <w:color w:val="auto"/>
        </w:rPr>
        <w:t>经费项目</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1）经费收入管理：统计项目的经费收入信息</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2）经费收入登记：登记项目的经费收入信息</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3）经费报销管理：统计项目的经费报销管理</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4）经费报销申请：</w:t>
      </w:r>
    </w:p>
    <w:p>
      <w:pPr>
        <w:pStyle w:val="49"/>
        <w:numPr>
          <w:ilvl w:val="0"/>
          <w:numId w:val="6"/>
        </w:numPr>
        <w:spacing w:before="0" w:after="0" w:line="360" w:lineRule="auto"/>
        <w:ind w:left="1276" w:firstLineChars="0"/>
        <w:rPr>
          <w:rFonts w:ascii="仿宋" w:hAnsi="仿宋" w:eastAsia="仿宋" w:cs="仿宋"/>
          <w:color w:val="auto"/>
          <w:sz w:val="28"/>
          <w:szCs w:val="28"/>
          <w:lang w:bidi="th-TH"/>
        </w:rPr>
      </w:pPr>
      <w:r>
        <w:rPr>
          <w:rFonts w:hint="eastAsia" w:ascii="仿宋" w:hAnsi="仿宋" w:eastAsia="仿宋" w:cs="仿宋"/>
          <w:color w:val="auto"/>
          <w:sz w:val="28"/>
          <w:szCs w:val="28"/>
          <w:lang w:bidi="th-TH"/>
        </w:rPr>
        <w:t>检验检查项目费用申请</w:t>
      </w:r>
    </w:p>
    <w:p>
      <w:pPr>
        <w:pStyle w:val="49"/>
        <w:numPr>
          <w:ilvl w:val="0"/>
          <w:numId w:val="6"/>
        </w:numPr>
        <w:spacing w:before="0" w:after="0" w:line="360" w:lineRule="auto"/>
        <w:ind w:left="1276" w:firstLineChars="0"/>
        <w:rPr>
          <w:rFonts w:ascii="仿宋" w:hAnsi="仿宋" w:eastAsia="仿宋" w:cs="仿宋"/>
          <w:color w:val="auto"/>
          <w:sz w:val="28"/>
          <w:szCs w:val="28"/>
          <w:lang w:bidi="th-TH"/>
        </w:rPr>
      </w:pPr>
      <w:r>
        <w:rPr>
          <w:rFonts w:hint="eastAsia" w:ascii="仿宋" w:hAnsi="仿宋" w:eastAsia="仿宋" w:cs="仿宋"/>
          <w:color w:val="auto"/>
          <w:sz w:val="28"/>
          <w:szCs w:val="28"/>
          <w:lang w:bidi="th-TH"/>
        </w:rPr>
        <w:t>医务人员劳务申请</w:t>
      </w:r>
    </w:p>
    <w:p>
      <w:pPr>
        <w:pStyle w:val="49"/>
        <w:numPr>
          <w:ilvl w:val="0"/>
          <w:numId w:val="6"/>
        </w:numPr>
        <w:spacing w:before="0" w:after="0" w:line="360" w:lineRule="auto"/>
        <w:ind w:left="1276" w:firstLineChars="0"/>
        <w:rPr>
          <w:rFonts w:ascii="仿宋" w:hAnsi="仿宋" w:eastAsia="仿宋" w:cs="仿宋"/>
          <w:color w:val="auto"/>
          <w:sz w:val="28"/>
          <w:szCs w:val="28"/>
          <w:lang w:bidi="th-TH"/>
        </w:rPr>
      </w:pPr>
      <w:r>
        <w:rPr>
          <w:rFonts w:hint="eastAsia" w:ascii="仿宋" w:hAnsi="仿宋" w:eastAsia="仿宋" w:cs="仿宋"/>
          <w:color w:val="auto"/>
          <w:sz w:val="28"/>
          <w:szCs w:val="28"/>
          <w:lang w:bidi="th-TH"/>
        </w:rPr>
        <w:t>受试者补贴费用申请</w:t>
      </w:r>
    </w:p>
    <w:p>
      <w:pPr>
        <w:pStyle w:val="49"/>
        <w:numPr>
          <w:ilvl w:val="0"/>
          <w:numId w:val="6"/>
        </w:numPr>
        <w:spacing w:before="0" w:after="0" w:line="360" w:lineRule="auto"/>
        <w:ind w:left="1276" w:firstLineChars="0"/>
        <w:rPr>
          <w:rFonts w:ascii="仿宋" w:hAnsi="仿宋" w:eastAsia="仿宋" w:cs="仿宋"/>
          <w:color w:val="auto"/>
          <w:sz w:val="28"/>
          <w:szCs w:val="28"/>
          <w:lang w:bidi="th-TH"/>
        </w:rPr>
      </w:pPr>
      <w:r>
        <w:rPr>
          <w:rFonts w:hint="eastAsia" w:ascii="仿宋" w:hAnsi="仿宋" w:eastAsia="仿宋" w:cs="仿宋"/>
          <w:color w:val="auto"/>
          <w:sz w:val="28"/>
          <w:szCs w:val="28"/>
          <w:lang w:bidi="th-TH"/>
        </w:rPr>
        <w:t>机构管理与发展基金申请</w:t>
      </w:r>
    </w:p>
    <w:p>
      <w:pPr>
        <w:pStyle w:val="49"/>
        <w:numPr>
          <w:ilvl w:val="0"/>
          <w:numId w:val="6"/>
        </w:numPr>
        <w:spacing w:before="0" w:after="0" w:line="360" w:lineRule="auto"/>
        <w:ind w:left="1276" w:firstLineChars="0"/>
        <w:rPr>
          <w:rFonts w:ascii="仿宋" w:hAnsi="仿宋" w:eastAsia="仿宋" w:cs="仿宋"/>
          <w:color w:val="auto"/>
          <w:sz w:val="28"/>
          <w:szCs w:val="28"/>
          <w:lang w:bidi="th-TH"/>
        </w:rPr>
      </w:pPr>
      <w:r>
        <w:rPr>
          <w:rFonts w:hint="eastAsia" w:ascii="仿宋" w:hAnsi="仿宋" w:eastAsia="仿宋" w:cs="仿宋"/>
          <w:color w:val="auto"/>
          <w:sz w:val="28"/>
          <w:szCs w:val="28"/>
          <w:lang w:bidi="th-TH"/>
        </w:rPr>
        <w:t>医院管理费申请</w:t>
      </w:r>
    </w:p>
    <w:p>
      <w:pPr>
        <w:pStyle w:val="49"/>
        <w:numPr>
          <w:ilvl w:val="0"/>
          <w:numId w:val="6"/>
        </w:numPr>
        <w:spacing w:before="0" w:after="0" w:line="360" w:lineRule="auto"/>
        <w:ind w:left="1276" w:firstLineChars="0"/>
        <w:rPr>
          <w:rFonts w:ascii="仿宋" w:hAnsi="仿宋" w:eastAsia="仿宋" w:cs="仿宋"/>
          <w:color w:val="auto"/>
          <w:sz w:val="28"/>
          <w:szCs w:val="28"/>
          <w:lang w:bidi="th-TH"/>
        </w:rPr>
      </w:pPr>
      <w:r>
        <w:rPr>
          <w:rFonts w:hint="eastAsia" w:ascii="仿宋" w:hAnsi="仿宋" w:eastAsia="仿宋" w:cs="仿宋"/>
          <w:color w:val="auto"/>
          <w:sz w:val="28"/>
          <w:szCs w:val="28"/>
          <w:lang w:bidi="th-TH"/>
        </w:rPr>
        <w:t>经费退还申办方申请</w:t>
      </w:r>
    </w:p>
    <w:p>
      <w:pPr>
        <w:pStyle w:val="49"/>
        <w:numPr>
          <w:ilvl w:val="0"/>
          <w:numId w:val="6"/>
        </w:numPr>
        <w:spacing w:before="0" w:after="0" w:line="360" w:lineRule="auto"/>
        <w:ind w:left="1276" w:firstLineChars="0"/>
        <w:rPr>
          <w:rFonts w:ascii="仿宋" w:hAnsi="仿宋" w:eastAsia="仿宋" w:cs="仿宋"/>
          <w:color w:val="auto"/>
          <w:sz w:val="28"/>
          <w:szCs w:val="28"/>
          <w:lang w:bidi="th-TH"/>
        </w:rPr>
      </w:pPr>
      <w:r>
        <w:rPr>
          <w:rFonts w:hint="eastAsia" w:ascii="仿宋" w:hAnsi="仿宋" w:eastAsia="仿宋" w:cs="仿宋"/>
          <w:color w:val="auto"/>
          <w:sz w:val="28"/>
          <w:szCs w:val="28"/>
          <w:lang w:bidi="th-TH"/>
        </w:rPr>
        <w:t>经费报销审批流程</w:t>
      </w:r>
    </w:p>
    <w:p>
      <w:pPr>
        <w:pStyle w:val="9"/>
        <w:numPr>
          <w:ilvl w:val="6"/>
          <w:numId w:val="3"/>
        </w:numPr>
        <w:spacing w:line="360" w:lineRule="auto"/>
        <w:ind w:left="1296" w:hanging="1296"/>
        <w:rPr>
          <w:color w:val="auto"/>
        </w:rPr>
      </w:pPr>
      <w:r>
        <w:rPr>
          <w:rFonts w:hint="eastAsia"/>
          <w:color w:val="auto"/>
        </w:rPr>
        <w:t>我的申请</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查询及统计登录用户提交的经费申请信息并进行相关操作。</w:t>
      </w:r>
    </w:p>
    <w:p>
      <w:pPr>
        <w:pStyle w:val="9"/>
        <w:numPr>
          <w:ilvl w:val="6"/>
          <w:numId w:val="3"/>
        </w:numPr>
        <w:spacing w:line="360" w:lineRule="auto"/>
        <w:ind w:left="1296" w:hanging="1296"/>
        <w:rPr>
          <w:color w:val="auto"/>
        </w:rPr>
      </w:pPr>
      <w:r>
        <w:rPr>
          <w:rFonts w:hint="eastAsia"/>
          <w:color w:val="auto"/>
        </w:rPr>
        <w:t>审批汇总</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查询及统计登录用户未审核的经费报销申请记录，实现经费报销申请的单条及批量审批功能。</w:t>
      </w:r>
    </w:p>
    <w:p>
      <w:pPr>
        <w:pStyle w:val="9"/>
        <w:numPr>
          <w:ilvl w:val="6"/>
          <w:numId w:val="3"/>
        </w:numPr>
        <w:spacing w:line="360" w:lineRule="auto"/>
        <w:ind w:left="1296" w:hanging="1296"/>
        <w:rPr>
          <w:color w:val="auto"/>
        </w:rPr>
      </w:pPr>
      <w:r>
        <w:rPr>
          <w:rFonts w:hint="eastAsia"/>
          <w:color w:val="auto"/>
        </w:rPr>
        <w:t>划账汇总</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查询及统计已通过审批流程但未完成划账的经费申请记录，提供财务人员进行划账确认功能。</w:t>
      </w:r>
    </w:p>
    <w:p>
      <w:pPr>
        <w:pStyle w:val="9"/>
        <w:numPr>
          <w:ilvl w:val="6"/>
          <w:numId w:val="3"/>
        </w:numPr>
        <w:spacing w:line="360" w:lineRule="auto"/>
        <w:ind w:left="1296" w:hanging="1296"/>
        <w:rPr>
          <w:color w:val="auto"/>
        </w:rPr>
      </w:pPr>
      <w:r>
        <w:rPr>
          <w:rFonts w:hint="eastAsia"/>
          <w:color w:val="auto"/>
        </w:rPr>
        <w:t>报销汇总</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查询及统计财务人员已完成划账操作的经费申请记录，提供财务人员对已完成划账的经费报销申请记录的查询及导出功能。</w:t>
      </w:r>
    </w:p>
    <w:p>
      <w:pPr>
        <w:pStyle w:val="9"/>
        <w:numPr>
          <w:ilvl w:val="6"/>
          <w:numId w:val="3"/>
        </w:numPr>
        <w:spacing w:line="360" w:lineRule="auto"/>
        <w:ind w:left="1296" w:hanging="1296"/>
        <w:rPr>
          <w:color w:val="auto"/>
        </w:rPr>
      </w:pPr>
      <w:r>
        <w:rPr>
          <w:rFonts w:hint="eastAsia"/>
          <w:color w:val="auto"/>
        </w:rPr>
        <w:t>统计</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1）收支报表：查询各项目经费的收入、支出及余额的明细信息，提供财务人员进行查询</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2）项目检验检查费用统计：统计项目已报销及未报销的检验检查项目数量费用明细信息</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3）受试者费用统计：统计每个受试者使用的检验检查项目数量费用明细信息</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4）经费汇总统计：根据项目类型、收入、支出（检验检查费用、医务人员劳务费、受试者补贴费、机构发展基金、医院管理费、退还申办方经费、其他费用）的二维汇总统计功能。可查询对应项目类型的收入支出明细记录</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5）经费汇总统计导出</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6）方案经费汇总：统计各项目中受试者补贴费及医务人员的劳务费的维护记录</w:t>
      </w:r>
    </w:p>
    <w:p>
      <w:pPr>
        <w:pStyle w:val="7"/>
        <w:numPr>
          <w:ilvl w:val="5"/>
          <w:numId w:val="3"/>
        </w:numPr>
        <w:tabs>
          <w:tab w:val="clear" w:pos="1837"/>
        </w:tabs>
        <w:ind w:left="0"/>
        <w:rPr>
          <w:color w:val="auto"/>
        </w:rPr>
      </w:pPr>
      <w:r>
        <w:rPr>
          <w:rFonts w:hint="eastAsia"/>
          <w:color w:val="auto"/>
        </w:rPr>
        <w:t>项目管理</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在试验项目中，包含项目配置、项目方案、项目质控、项目文档等关键信息。通过项目管理，实现试验过程可追溯。</w:t>
      </w:r>
    </w:p>
    <w:p>
      <w:pPr>
        <w:pStyle w:val="9"/>
        <w:numPr>
          <w:ilvl w:val="6"/>
          <w:numId w:val="3"/>
        </w:numPr>
        <w:spacing w:line="360" w:lineRule="auto"/>
        <w:ind w:left="1296" w:hanging="1296"/>
        <w:rPr>
          <w:color w:val="auto"/>
        </w:rPr>
      </w:pPr>
      <w:r>
        <w:rPr>
          <w:rFonts w:hint="eastAsia"/>
          <w:color w:val="auto"/>
        </w:rPr>
        <w:t>全流程管理</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从项目申请到最终结束，针对试验过程的关键环节进行分类管理，以时间轴的方式展现不同环节的重要信息。</w:t>
      </w:r>
    </w:p>
    <w:p>
      <w:pPr>
        <w:pStyle w:val="9"/>
        <w:numPr>
          <w:ilvl w:val="6"/>
          <w:numId w:val="3"/>
        </w:numPr>
        <w:spacing w:line="360" w:lineRule="auto"/>
        <w:ind w:left="1296" w:hanging="1296"/>
        <w:rPr>
          <w:color w:val="auto"/>
        </w:rPr>
      </w:pPr>
      <w:r>
        <w:rPr>
          <w:rFonts w:hint="eastAsia"/>
          <w:color w:val="auto"/>
        </w:rPr>
        <w:t>立项信息</w:t>
      </w:r>
    </w:p>
    <w:p>
      <w:pPr>
        <w:pStyle w:val="49"/>
        <w:spacing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显示立项相关信息，如项目信息、立项审批信息、伦理审批信息及立项文档。</w:t>
      </w:r>
    </w:p>
    <w:p>
      <w:pPr>
        <w:pStyle w:val="9"/>
        <w:numPr>
          <w:ilvl w:val="6"/>
          <w:numId w:val="3"/>
        </w:numPr>
        <w:spacing w:line="360" w:lineRule="auto"/>
        <w:ind w:left="1296" w:hanging="1296"/>
        <w:rPr>
          <w:color w:val="auto"/>
        </w:rPr>
      </w:pPr>
      <w:r>
        <w:rPr>
          <w:rFonts w:hint="eastAsia"/>
          <w:color w:val="auto"/>
        </w:rPr>
        <w:t>项目配置</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在项目配置中，主要研究者根据试验方案维护试验方案明细（试验标准、免费项目、CRF表单、试验组别、试验方案计划明细、版本控制）、人员授权、项目提交等功能。</w:t>
      </w:r>
    </w:p>
    <w:p>
      <w:pPr>
        <w:pStyle w:val="49"/>
        <w:numPr>
          <w:ilvl w:val="0"/>
          <w:numId w:val="7"/>
        </w:numPr>
        <w:spacing w:before="0" w:after="0" w:line="360" w:lineRule="auto"/>
        <w:ind w:firstLineChars="0"/>
        <w:rPr>
          <w:rFonts w:ascii="仿宋" w:hAnsi="仿宋" w:eastAsia="仿宋" w:cs="仿宋"/>
          <w:color w:val="auto"/>
          <w:sz w:val="28"/>
          <w:szCs w:val="28"/>
          <w:lang w:bidi="th-TH"/>
        </w:rPr>
      </w:pPr>
      <w:r>
        <w:rPr>
          <w:rFonts w:hint="eastAsia" w:ascii="仿宋" w:hAnsi="仿宋" w:eastAsia="仿宋" w:cs="仿宋"/>
          <w:color w:val="auto"/>
          <w:sz w:val="28"/>
          <w:szCs w:val="28"/>
          <w:lang w:bidi="th-TH"/>
        </w:rPr>
        <w:t>检验、检查项目：维护试验项目中的免费检验、检查项目。</w:t>
      </w:r>
    </w:p>
    <w:p>
      <w:pPr>
        <w:pStyle w:val="49"/>
        <w:numPr>
          <w:ilvl w:val="0"/>
          <w:numId w:val="7"/>
        </w:numPr>
        <w:spacing w:before="0" w:after="0" w:line="360" w:lineRule="auto"/>
        <w:ind w:firstLineChars="0"/>
        <w:rPr>
          <w:rFonts w:ascii="仿宋" w:hAnsi="仿宋" w:eastAsia="仿宋" w:cs="仿宋"/>
          <w:color w:val="auto"/>
          <w:sz w:val="28"/>
          <w:szCs w:val="28"/>
          <w:lang w:bidi="th-TH"/>
        </w:rPr>
      </w:pPr>
      <w:r>
        <w:rPr>
          <w:rFonts w:hint="eastAsia" w:ascii="仿宋" w:hAnsi="仿宋" w:eastAsia="仿宋" w:cs="仿宋"/>
          <w:color w:val="auto"/>
          <w:sz w:val="28"/>
          <w:szCs w:val="28"/>
          <w:lang w:bidi="th-TH"/>
        </w:rPr>
        <w:t>试验相关标准：维护试验项目病人入选、排除、终止标准。</w:t>
      </w:r>
    </w:p>
    <w:p>
      <w:pPr>
        <w:pStyle w:val="49"/>
        <w:numPr>
          <w:ilvl w:val="0"/>
          <w:numId w:val="7"/>
        </w:numPr>
        <w:spacing w:before="0" w:after="0" w:line="360" w:lineRule="auto"/>
        <w:ind w:firstLineChars="0"/>
        <w:rPr>
          <w:rFonts w:ascii="仿宋" w:hAnsi="仿宋" w:eastAsia="仿宋" w:cs="仿宋"/>
          <w:color w:val="auto"/>
          <w:sz w:val="28"/>
          <w:szCs w:val="28"/>
          <w:lang w:bidi="th-TH"/>
        </w:rPr>
      </w:pPr>
      <w:r>
        <w:rPr>
          <w:rFonts w:hint="eastAsia" w:ascii="仿宋" w:hAnsi="仿宋" w:eastAsia="仿宋" w:cs="仿宋"/>
          <w:color w:val="auto"/>
          <w:sz w:val="28"/>
          <w:szCs w:val="28"/>
          <w:lang w:bidi="th-TH"/>
        </w:rPr>
        <w:t>人员授权：对试验项目内的研究者进行授权。</w:t>
      </w:r>
    </w:p>
    <w:p>
      <w:pPr>
        <w:pStyle w:val="49"/>
        <w:numPr>
          <w:ilvl w:val="0"/>
          <w:numId w:val="7"/>
        </w:numPr>
        <w:spacing w:before="0" w:after="0" w:line="360" w:lineRule="auto"/>
        <w:ind w:firstLineChars="0"/>
        <w:rPr>
          <w:rFonts w:ascii="仿宋" w:hAnsi="仿宋" w:eastAsia="仿宋" w:cs="仿宋"/>
          <w:color w:val="auto"/>
          <w:sz w:val="28"/>
          <w:szCs w:val="28"/>
          <w:lang w:bidi="th-TH"/>
        </w:rPr>
      </w:pPr>
      <w:r>
        <w:rPr>
          <w:rFonts w:hint="eastAsia" w:ascii="仿宋" w:hAnsi="仿宋" w:eastAsia="仿宋" w:cs="仿宋"/>
          <w:color w:val="auto"/>
          <w:sz w:val="28"/>
          <w:szCs w:val="28"/>
          <w:lang w:bidi="th-TH"/>
        </w:rPr>
        <w:t>CRF表单：根据试验方案，设计CRF表单，记录病人各项指标。</w:t>
      </w:r>
    </w:p>
    <w:p>
      <w:pPr>
        <w:pStyle w:val="49"/>
        <w:numPr>
          <w:ilvl w:val="0"/>
          <w:numId w:val="7"/>
        </w:numPr>
        <w:spacing w:before="0" w:after="0" w:line="360" w:lineRule="auto"/>
        <w:ind w:firstLineChars="0"/>
        <w:rPr>
          <w:rFonts w:ascii="仿宋" w:hAnsi="仿宋" w:eastAsia="仿宋" w:cs="仿宋"/>
          <w:color w:val="auto"/>
          <w:sz w:val="28"/>
          <w:szCs w:val="28"/>
          <w:lang w:bidi="th-TH"/>
        </w:rPr>
      </w:pPr>
      <w:r>
        <w:rPr>
          <w:rFonts w:hint="eastAsia" w:ascii="仿宋" w:hAnsi="仿宋" w:eastAsia="仿宋" w:cs="仿宋"/>
          <w:color w:val="auto"/>
          <w:sz w:val="28"/>
          <w:szCs w:val="28"/>
          <w:lang w:bidi="th-TH"/>
        </w:rPr>
        <w:t>试验组别：自定义试验组别、如：试验组、对照组。病人入组不同试验组，则按照不同的试验计划执行试验方案</w:t>
      </w:r>
    </w:p>
    <w:p>
      <w:pPr>
        <w:pStyle w:val="9"/>
        <w:numPr>
          <w:ilvl w:val="6"/>
          <w:numId w:val="3"/>
        </w:numPr>
        <w:spacing w:line="360" w:lineRule="auto"/>
        <w:ind w:left="1296" w:hanging="1296"/>
        <w:rPr>
          <w:color w:val="auto"/>
        </w:rPr>
      </w:pPr>
      <w:r>
        <w:rPr>
          <w:rFonts w:hint="eastAsia"/>
          <w:color w:val="auto"/>
        </w:rPr>
        <w:t>项目方案</w:t>
      </w:r>
    </w:p>
    <w:p>
      <w:pPr>
        <w:pStyle w:val="49"/>
        <w:spacing w:before="0" w:after="0"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针对项目方案的版本及各版本的项目方案明细、PK计划及PK设置进行维护。项目方案明细分为招募、入组及随访三个阶段的治疗设置计划方案。PK计划则是对PK频率，PK执行的具体时间点进行设置。</w:t>
      </w:r>
    </w:p>
    <w:p>
      <w:pPr>
        <w:pStyle w:val="49"/>
        <w:numPr>
          <w:ilvl w:val="0"/>
          <w:numId w:val="8"/>
        </w:numPr>
        <w:spacing w:before="0" w:after="0" w:line="360" w:lineRule="auto"/>
        <w:ind w:firstLineChars="0"/>
        <w:rPr>
          <w:rFonts w:ascii="仿宋" w:hAnsi="仿宋" w:eastAsia="仿宋" w:cs="仿宋"/>
          <w:color w:val="auto"/>
          <w:sz w:val="28"/>
          <w:szCs w:val="28"/>
          <w:lang w:bidi="th-TH"/>
        </w:rPr>
      </w:pPr>
      <w:r>
        <w:rPr>
          <w:rFonts w:hint="eastAsia" w:ascii="仿宋" w:hAnsi="仿宋" w:eastAsia="仿宋" w:cs="仿宋"/>
          <w:color w:val="auto"/>
          <w:sz w:val="28"/>
          <w:szCs w:val="28"/>
          <w:lang w:bidi="th-TH"/>
        </w:rPr>
        <w:t>方案明细设置：根据试验方案详细制定招募、入组、随访等阶段的试验方案。</w:t>
      </w:r>
    </w:p>
    <w:p>
      <w:pPr>
        <w:pStyle w:val="49"/>
        <w:numPr>
          <w:ilvl w:val="0"/>
          <w:numId w:val="8"/>
        </w:numPr>
        <w:spacing w:before="0" w:after="0" w:line="360" w:lineRule="auto"/>
        <w:ind w:firstLineChars="0"/>
        <w:rPr>
          <w:rFonts w:ascii="仿宋" w:hAnsi="仿宋" w:eastAsia="仿宋" w:cs="仿宋"/>
          <w:color w:val="auto"/>
          <w:sz w:val="28"/>
          <w:szCs w:val="28"/>
          <w:lang w:bidi="th-TH"/>
        </w:rPr>
      </w:pPr>
      <w:r>
        <w:rPr>
          <w:rFonts w:hint="eastAsia" w:ascii="仿宋" w:hAnsi="仿宋" w:eastAsia="仿宋" w:cs="仿宋"/>
          <w:color w:val="auto"/>
          <w:sz w:val="28"/>
          <w:szCs w:val="28"/>
          <w:lang w:bidi="th-TH"/>
        </w:rPr>
        <w:t>方案版本管理：方案设置明细通过版本号进行控制，可维护多个版本，但同时只有一个版本号启用。当切换新方案版本号时，旧版本号下的病人按照原有方案执行计划；新入组的病人按照新方案执行计划。旧方案下的病人也可切换到新方案执行后续未开始的计划。</w:t>
      </w:r>
    </w:p>
    <w:p>
      <w:pPr>
        <w:pStyle w:val="49"/>
        <w:numPr>
          <w:ilvl w:val="0"/>
          <w:numId w:val="8"/>
        </w:numPr>
        <w:spacing w:before="0" w:after="0" w:line="360" w:lineRule="auto"/>
        <w:ind w:firstLineChars="0"/>
        <w:rPr>
          <w:rFonts w:ascii="仿宋" w:hAnsi="仿宋" w:eastAsia="仿宋" w:cs="仿宋"/>
          <w:color w:val="auto"/>
          <w:sz w:val="28"/>
          <w:szCs w:val="28"/>
          <w:lang w:bidi="th-TH"/>
        </w:rPr>
      </w:pPr>
      <w:r>
        <w:rPr>
          <w:rFonts w:hint="eastAsia" w:ascii="仿宋" w:hAnsi="仿宋" w:eastAsia="仿宋" w:cs="仿宋"/>
          <w:color w:val="auto"/>
          <w:sz w:val="28"/>
          <w:szCs w:val="28"/>
          <w:lang w:bidi="th-TH"/>
        </w:rPr>
        <w:t>项目提交：主要研究者维护好试验方案后，提交试验项目由GCP机构办进行复核。</w:t>
      </w:r>
    </w:p>
    <w:p>
      <w:pPr>
        <w:pStyle w:val="49"/>
        <w:numPr>
          <w:ilvl w:val="0"/>
          <w:numId w:val="8"/>
        </w:numPr>
        <w:spacing w:before="0" w:after="0" w:line="360" w:lineRule="auto"/>
        <w:ind w:firstLineChars="0"/>
        <w:rPr>
          <w:rFonts w:ascii="仿宋" w:hAnsi="仿宋" w:eastAsia="仿宋" w:cs="仿宋"/>
          <w:color w:val="auto"/>
          <w:sz w:val="28"/>
          <w:szCs w:val="28"/>
          <w:lang w:bidi="th-TH"/>
        </w:rPr>
      </w:pPr>
      <w:r>
        <w:rPr>
          <w:rFonts w:hint="eastAsia" w:ascii="仿宋" w:hAnsi="仿宋" w:eastAsia="仿宋" w:cs="仿宋"/>
          <w:color w:val="auto"/>
          <w:sz w:val="28"/>
          <w:szCs w:val="28"/>
          <w:lang w:bidi="th-TH"/>
        </w:rPr>
        <w:t>项目启动：GCP机构办复核已提交的试验项目，复核通过则可以启动项目，系统提供正式启动项目功能，项目启动后病人可以入组。</w:t>
      </w:r>
    </w:p>
    <w:p>
      <w:pPr>
        <w:pStyle w:val="9"/>
        <w:numPr>
          <w:ilvl w:val="6"/>
          <w:numId w:val="3"/>
        </w:numPr>
        <w:spacing w:line="360" w:lineRule="auto"/>
        <w:ind w:left="1296" w:hanging="1296"/>
        <w:rPr>
          <w:color w:val="auto"/>
        </w:rPr>
      </w:pPr>
      <w:r>
        <w:rPr>
          <w:rFonts w:hint="eastAsia"/>
          <w:color w:val="auto"/>
        </w:rPr>
        <w:t>待办事件</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1）通过日期范围、动作类型及阶段类型筛选受试者的计划待办事件；</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2）显示试验项目中所有受试者的计划待办事件；</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3）查看受试者单项待办事件的详细信息。</w:t>
      </w:r>
    </w:p>
    <w:p>
      <w:pPr>
        <w:pStyle w:val="9"/>
        <w:numPr>
          <w:ilvl w:val="6"/>
          <w:numId w:val="3"/>
        </w:numPr>
        <w:spacing w:line="360" w:lineRule="auto"/>
        <w:ind w:left="1296" w:hanging="1296"/>
        <w:rPr>
          <w:color w:val="auto"/>
        </w:rPr>
      </w:pPr>
      <w:r>
        <w:rPr>
          <w:rFonts w:hint="eastAsia"/>
          <w:color w:val="auto"/>
        </w:rPr>
        <w:t>项目质控</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支持添加质控计划、上传质控文档、填写质控评分表单并进行问题反馈等。</w:t>
      </w:r>
    </w:p>
    <w:p>
      <w:pPr>
        <w:pStyle w:val="9"/>
        <w:numPr>
          <w:ilvl w:val="6"/>
          <w:numId w:val="3"/>
        </w:numPr>
        <w:spacing w:line="360" w:lineRule="auto"/>
        <w:ind w:left="1296" w:hanging="1296"/>
        <w:rPr>
          <w:color w:val="auto"/>
        </w:rPr>
      </w:pPr>
      <w:r>
        <w:rPr>
          <w:rFonts w:hint="eastAsia"/>
          <w:color w:val="auto"/>
        </w:rPr>
        <w:t>项目文档</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显示项目文档目录及文档目录的详细信息。</w:t>
      </w:r>
    </w:p>
    <w:p>
      <w:pPr>
        <w:pStyle w:val="9"/>
        <w:numPr>
          <w:ilvl w:val="6"/>
          <w:numId w:val="3"/>
        </w:numPr>
        <w:spacing w:line="360" w:lineRule="auto"/>
        <w:ind w:left="1296" w:hanging="1296"/>
        <w:rPr>
          <w:color w:val="auto"/>
        </w:rPr>
      </w:pPr>
      <w:r>
        <w:rPr>
          <w:rFonts w:hint="eastAsia"/>
          <w:color w:val="auto"/>
        </w:rPr>
        <w:t>受试者</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1）可通过受试者姓名、是否存在AE及受试者所处阶段状态筛选试验项目中的受试者信息；</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2）查看受试者所有的方案计划，可更换项目方案版本；</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3）记录受试者在试验过程中出现的不良症状；</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4）可提交知情同意书文件；</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5）当受试者不满足继续参与试验要求等情况可退出试验。</w:t>
      </w:r>
    </w:p>
    <w:p>
      <w:pPr>
        <w:pStyle w:val="9"/>
        <w:numPr>
          <w:ilvl w:val="6"/>
          <w:numId w:val="3"/>
        </w:numPr>
        <w:spacing w:line="360" w:lineRule="auto"/>
        <w:ind w:left="1296" w:hanging="1296"/>
        <w:rPr>
          <w:color w:val="auto"/>
        </w:rPr>
      </w:pPr>
      <w:r>
        <w:rPr>
          <w:rFonts w:hint="eastAsia"/>
          <w:color w:val="auto"/>
        </w:rPr>
        <w:t>项目总结</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1）支持添加、编辑、删除项目总结；</w:t>
      </w:r>
    </w:p>
    <w:p>
      <w:pPr>
        <w:pStyle w:val="49"/>
        <w:spacing w:before="0" w:after="0"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bidi="th-TH"/>
        </w:rPr>
        <w:t>2）可下载评估报告模板。</w:t>
      </w:r>
    </w:p>
    <w:p>
      <w:pPr>
        <w:pStyle w:val="7"/>
        <w:numPr>
          <w:ilvl w:val="5"/>
          <w:numId w:val="3"/>
        </w:numPr>
        <w:tabs>
          <w:tab w:val="clear" w:pos="1837"/>
        </w:tabs>
        <w:ind w:left="0"/>
        <w:rPr>
          <w:color w:val="auto"/>
        </w:rPr>
      </w:pPr>
      <w:r>
        <w:rPr>
          <w:rFonts w:hint="eastAsia"/>
          <w:color w:val="auto"/>
        </w:rPr>
        <w:t>药房管理</w:t>
      </w:r>
    </w:p>
    <w:p>
      <w:pPr>
        <w:pStyle w:val="9"/>
        <w:numPr>
          <w:ilvl w:val="6"/>
          <w:numId w:val="3"/>
        </w:numPr>
        <w:spacing w:line="360" w:lineRule="auto"/>
        <w:ind w:left="1296" w:hanging="1296"/>
        <w:rPr>
          <w:color w:val="auto"/>
        </w:rPr>
      </w:pPr>
      <w:r>
        <w:rPr>
          <w:rFonts w:hint="eastAsia"/>
          <w:color w:val="auto"/>
        </w:rPr>
        <w:t>药品库存</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统计药房当前药物信息，显示药房中所有的药品信息。</w:t>
      </w:r>
    </w:p>
    <w:p>
      <w:pPr>
        <w:pStyle w:val="9"/>
        <w:numPr>
          <w:ilvl w:val="6"/>
          <w:numId w:val="3"/>
        </w:numPr>
        <w:spacing w:line="360" w:lineRule="auto"/>
        <w:ind w:left="1296" w:hanging="1296"/>
        <w:rPr>
          <w:color w:val="auto"/>
        </w:rPr>
      </w:pPr>
      <w:r>
        <w:rPr>
          <w:rFonts w:hint="eastAsia"/>
          <w:color w:val="auto"/>
        </w:rPr>
        <w:t>药品列表</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1）可通过项目名称、药品名称、药品编码、入库日期筛选药品信息；</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2）支持编辑药品的拓展信息，维护药房药品的存储位置；</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3）支持药品入库、药品退还、药品回收、药品销毁、临床试验锁库及用药结束的操作。</w:t>
      </w:r>
    </w:p>
    <w:p>
      <w:pPr>
        <w:pStyle w:val="9"/>
        <w:numPr>
          <w:ilvl w:val="6"/>
          <w:numId w:val="3"/>
        </w:numPr>
        <w:spacing w:line="360" w:lineRule="auto"/>
        <w:ind w:left="1296" w:hanging="1296"/>
        <w:rPr>
          <w:color w:val="auto"/>
        </w:rPr>
      </w:pPr>
      <w:r>
        <w:rPr>
          <w:rFonts w:hint="eastAsia"/>
          <w:color w:val="auto"/>
        </w:rPr>
        <w:t>发药</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1）通过发药人、领药人、项目名称、发药时间筛选药品发药记录；</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2）对发药记录的实际情况进行确认；</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3）对已使用完或未使用但需要回收的药品进行回收；</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4）对未使用的药品进行退回。</w:t>
      </w:r>
    </w:p>
    <w:p>
      <w:pPr>
        <w:pStyle w:val="9"/>
        <w:numPr>
          <w:ilvl w:val="6"/>
          <w:numId w:val="3"/>
        </w:numPr>
        <w:spacing w:line="360" w:lineRule="auto"/>
        <w:ind w:left="1296" w:hanging="1296"/>
        <w:rPr>
          <w:color w:val="auto"/>
        </w:rPr>
      </w:pPr>
      <w:r>
        <w:rPr>
          <w:rFonts w:hint="eastAsia"/>
          <w:color w:val="auto"/>
        </w:rPr>
        <w:t>退药</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1）通过药品名称及确认时间筛选退药记录；</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2）根据实际情况填写退药信息并进行审核；</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3）显示所有的药品退药信息。</w:t>
      </w:r>
    </w:p>
    <w:p>
      <w:pPr>
        <w:pStyle w:val="9"/>
        <w:numPr>
          <w:ilvl w:val="6"/>
          <w:numId w:val="3"/>
        </w:numPr>
        <w:spacing w:line="360" w:lineRule="auto"/>
        <w:ind w:left="1296" w:hanging="1296"/>
        <w:rPr>
          <w:color w:val="auto"/>
        </w:rPr>
      </w:pPr>
      <w:r>
        <w:rPr>
          <w:rFonts w:hint="eastAsia"/>
          <w:color w:val="auto"/>
        </w:rPr>
        <w:t>回收处理</w:t>
      </w:r>
    </w:p>
    <w:p>
      <w:pPr>
        <w:pStyle w:val="49"/>
        <w:spacing w:before="0" w:after="0"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bidi="th-TH"/>
        </w:rPr>
        <w:t>包含存储位置记录、药品回收记录、废液处理记录、药物不可用记录及退还记录。</w:t>
      </w:r>
    </w:p>
    <w:p>
      <w:pPr>
        <w:pStyle w:val="7"/>
        <w:numPr>
          <w:ilvl w:val="5"/>
          <w:numId w:val="3"/>
        </w:numPr>
        <w:tabs>
          <w:tab w:val="clear" w:pos="1837"/>
        </w:tabs>
        <w:ind w:left="0"/>
        <w:rPr>
          <w:color w:val="auto"/>
        </w:rPr>
      </w:pPr>
      <w:r>
        <w:rPr>
          <w:rFonts w:hint="eastAsia"/>
          <w:color w:val="auto"/>
        </w:rPr>
        <w:t>经费管理</w:t>
      </w:r>
    </w:p>
    <w:p>
      <w:pPr>
        <w:pStyle w:val="9"/>
        <w:numPr>
          <w:ilvl w:val="6"/>
          <w:numId w:val="3"/>
        </w:numPr>
        <w:spacing w:line="360" w:lineRule="auto"/>
        <w:ind w:left="1296" w:hanging="1296"/>
        <w:rPr>
          <w:color w:val="auto"/>
        </w:rPr>
      </w:pPr>
      <w:r>
        <w:rPr>
          <w:rFonts w:hint="eastAsia"/>
          <w:color w:val="auto"/>
        </w:rPr>
        <w:t>经费项目</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1）经费收入管理：统计项目的经费收入信息</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2）经费收入登记：登记项目的经费收入信息</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3）经费报销管理：统计项目的经费报销管理</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4）经费报销申请：</w:t>
      </w:r>
    </w:p>
    <w:p>
      <w:pPr>
        <w:pStyle w:val="49"/>
        <w:numPr>
          <w:ilvl w:val="0"/>
          <w:numId w:val="6"/>
        </w:numPr>
        <w:spacing w:before="0" w:after="0" w:line="360" w:lineRule="auto"/>
        <w:ind w:left="1276" w:firstLineChars="0"/>
        <w:rPr>
          <w:rFonts w:ascii="仿宋" w:hAnsi="仿宋" w:eastAsia="仿宋" w:cs="仿宋"/>
          <w:color w:val="auto"/>
          <w:sz w:val="28"/>
          <w:szCs w:val="28"/>
          <w:lang w:bidi="th-TH"/>
        </w:rPr>
      </w:pPr>
      <w:r>
        <w:rPr>
          <w:rFonts w:hint="eastAsia" w:ascii="仿宋" w:hAnsi="仿宋" w:eastAsia="仿宋" w:cs="仿宋"/>
          <w:color w:val="auto"/>
          <w:sz w:val="28"/>
          <w:szCs w:val="28"/>
          <w:lang w:bidi="th-TH"/>
        </w:rPr>
        <w:t>检验检查项目费用申请</w:t>
      </w:r>
    </w:p>
    <w:p>
      <w:pPr>
        <w:pStyle w:val="49"/>
        <w:numPr>
          <w:ilvl w:val="0"/>
          <w:numId w:val="6"/>
        </w:numPr>
        <w:spacing w:before="0" w:after="0" w:line="360" w:lineRule="auto"/>
        <w:ind w:left="1276" w:firstLineChars="0"/>
        <w:rPr>
          <w:rFonts w:ascii="仿宋" w:hAnsi="仿宋" w:eastAsia="仿宋" w:cs="仿宋"/>
          <w:color w:val="auto"/>
          <w:sz w:val="28"/>
          <w:szCs w:val="28"/>
          <w:lang w:bidi="th-TH"/>
        </w:rPr>
      </w:pPr>
      <w:r>
        <w:rPr>
          <w:rFonts w:hint="eastAsia" w:ascii="仿宋" w:hAnsi="仿宋" w:eastAsia="仿宋" w:cs="仿宋"/>
          <w:color w:val="auto"/>
          <w:sz w:val="28"/>
          <w:szCs w:val="28"/>
          <w:lang w:bidi="th-TH"/>
        </w:rPr>
        <w:t>医务人员劳务申请</w:t>
      </w:r>
    </w:p>
    <w:p>
      <w:pPr>
        <w:pStyle w:val="49"/>
        <w:numPr>
          <w:ilvl w:val="0"/>
          <w:numId w:val="6"/>
        </w:numPr>
        <w:spacing w:before="0" w:after="0" w:line="360" w:lineRule="auto"/>
        <w:ind w:left="1276" w:firstLineChars="0"/>
        <w:rPr>
          <w:rFonts w:ascii="仿宋" w:hAnsi="仿宋" w:eastAsia="仿宋" w:cs="仿宋"/>
          <w:color w:val="auto"/>
          <w:sz w:val="28"/>
          <w:szCs w:val="28"/>
          <w:lang w:bidi="th-TH"/>
        </w:rPr>
      </w:pPr>
      <w:r>
        <w:rPr>
          <w:rFonts w:hint="eastAsia" w:ascii="仿宋" w:hAnsi="仿宋" w:eastAsia="仿宋" w:cs="仿宋"/>
          <w:color w:val="auto"/>
          <w:sz w:val="28"/>
          <w:szCs w:val="28"/>
          <w:lang w:bidi="th-TH"/>
        </w:rPr>
        <w:t>受试者补贴费用申请</w:t>
      </w:r>
    </w:p>
    <w:p>
      <w:pPr>
        <w:pStyle w:val="49"/>
        <w:numPr>
          <w:ilvl w:val="0"/>
          <w:numId w:val="6"/>
        </w:numPr>
        <w:spacing w:before="0" w:after="0" w:line="360" w:lineRule="auto"/>
        <w:ind w:left="1276" w:firstLineChars="0"/>
        <w:rPr>
          <w:rFonts w:ascii="仿宋" w:hAnsi="仿宋" w:eastAsia="仿宋" w:cs="仿宋"/>
          <w:color w:val="auto"/>
          <w:sz w:val="28"/>
          <w:szCs w:val="28"/>
          <w:lang w:bidi="th-TH"/>
        </w:rPr>
      </w:pPr>
      <w:r>
        <w:rPr>
          <w:rFonts w:hint="eastAsia" w:ascii="仿宋" w:hAnsi="仿宋" w:eastAsia="仿宋" w:cs="仿宋"/>
          <w:color w:val="auto"/>
          <w:sz w:val="28"/>
          <w:szCs w:val="28"/>
          <w:lang w:bidi="th-TH"/>
        </w:rPr>
        <w:t>机构管理与发展基金申请</w:t>
      </w:r>
    </w:p>
    <w:p>
      <w:pPr>
        <w:pStyle w:val="49"/>
        <w:numPr>
          <w:ilvl w:val="0"/>
          <w:numId w:val="6"/>
        </w:numPr>
        <w:spacing w:before="0" w:after="0" w:line="360" w:lineRule="auto"/>
        <w:ind w:left="1276" w:firstLineChars="0"/>
        <w:rPr>
          <w:rFonts w:ascii="仿宋" w:hAnsi="仿宋" w:eastAsia="仿宋" w:cs="仿宋"/>
          <w:color w:val="auto"/>
          <w:sz w:val="28"/>
          <w:szCs w:val="28"/>
          <w:lang w:bidi="th-TH"/>
        </w:rPr>
      </w:pPr>
      <w:r>
        <w:rPr>
          <w:rFonts w:hint="eastAsia" w:ascii="仿宋" w:hAnsi="仿宋" w:eastAsia="仿宋" w:cs="仿宋"/>
          <w:color w:val="auto"/>
          <w:sz w:val="28"/>
          <w:szCs w:val="28"/>
          <w:lang w:bidi="th-TH"/>
        </w:rPr>
        <w:t>医院管理费申请</w:t>
      </w:r>
    </w:p>
    <w:p>
      <w:pPr>
        <w:pStyle w:val="49"/>
        <w:numPr>
          <w:ilvl w:val="0"/>
          <w:numId w:val="6"/>
        </w:numPr>
        <w:spacing w:before="0" w:after="0" w:line="360" w:lineRule="auto"/>
        <w:ind w:left="1276" w:firstLineChars="0"/>
        <w:rPr>
          <w:rFonts w:ascii="仿宋" w:hAnsi="仿宋" w:eastAsia="仿宋" w:cs="仿宋"/>
          <w:color w:val="auto"/>
          <w:sz w:val="28"/>
          <w:szCs w:val="28"/>
          <w:lang w:bidi="th-TH"/>
        </w:rPr>
      </w:pPr>
      <w:r>
        <w:rPr>
          <w:rFonts w:hint="eastAsia" w:ascii="仿宋" w:hAnsi="仿宋" w:eastAsia="仿宋" w:cs="仿宋"/>
          <w:color w:val="auto"/>
          <w:sz w:val="28"/>
          <w:szCs w:val="28"/>
          <w:lang w:bidi="th-TH"/>
        </w:rPr>
        <w:t>经费退还申办方申请</w:t>
      </w:r>
    </w:p>
    <w:p>
      <w:pPr>
        <w:pStyle w:val="49"/>
        <w:numPr>
          <w:ilvl w:val="0"/>
          <w:numId w:val="6"/>
        </w:numPr>
        <w:spacing w:before="0" w:after="0" w:line="360" w:lineRule="auto"/>
        <w:ind w:left="1276" w:firstLineChars="0"/>
        <w:rPr>
          <w:rFonts w:ascii="仿宋" w:hAnsi="仿宋" w:eastAsia="仿宋" w:cs="仿宋"/>
          <w:color w:val="auto"/>
          <w:sz w:val="28"/>
          <w:szCs w:val="28"/>
          <w:lang w:bidi="th-TH"/>
        </w:rPr>
      </w:pPr>
      <w:r>
        <w:rPr>
          <w:rFonts w:hint="eastAsia" w:ascii="仿宋" w:hAnsi="仿宋" w:eastAsia="仿宋" w:cs="仿宋"/>
          <w:color w:val="auto"/>
          <w:sz w:val="28"/>
          <w:szCs w:val="28"/>
          <w:lang w:bidi="th-TH"/>
        </w:rPr>
        <w:t>经费报销审批流程</w:t>
      </w:r>
    </w:p>
    <w:p>
      <w:pPr>
        <w:pStyle w:val="9"/>
        <w:numPr>
          <w:ilvl w:val="6"/>
          <w:numId w:val="3"/>
        </w:numPr>
        <w:spacing w:line="360" w:lineRule="auto"/>
        <w:ind w:left="1296" w:hanging="1296"/>
        <w:rPr>
          <w:color w:val="auto"/>
        </w:rPr>
      </w:pPr>
      <w:r>
        <w:rPr>
          <w:rFonts w:hint="eastAsia"/>
          <w:color w:val="auto"/>
        </w:rPr>
        <w:t>我的申请</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查询及统计登录用户提交的经费申请信息并进行相关操作。</w:t>
      </w:r>
    </w:p>
    <w:p>
      <w:pPr>
        <w:pStyle w:val="9"/>
        <w:numPr>
          <w:ilvl w:val="6"/>
          <w:numId w:val="3"/>
        </w:numPr>
        <w:spacing w:line="360" w:lineRule="auto"/>
        <w:ind w:left="1296" w:hanging="1296"/>
        <w:rPr>
          <w:color w:val="auto"/>
        </w:rPr>
      </w:pPr>
      <w:r>
        <w:rPr>
          <w:rFonts w:hint="eastAsia"/>
          <w:color w:val="auto"/>
        </w:rPr>
        <w:t>审批汇总</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查询及统计登录用户未审核的经费报销申请记录，实现经费报销申请的单条及批量审批功能。</w:t>
      </w:r>
    </w:p>
    <w:p>
      <w:pPr>
        <w:pStyle w:val="9"/>
        <w:numPr>
          <w:ilvl w:val="6"/>
          <w:numId w:val="3"/>
        </w:numPr>
        <w:spacing w:line="360" w:lineRule="auto"/>
        <w:ind w:left="1296" w:hanging="1296"/>
        <w:rPr>
          <w:color w:val="auto"/>
        </w:rPr>
      </w:pPr>
      <w:r>
        <w:rPr>
          <w:rFonts w:hint="eastAsia"/>
          <w:color w:val="auto"/>
        </w:rPr>
        <w:t>划账汇总</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查询及统计已通过审批流程但未完成划账的经费申请记录，提供财务人员进行划账确认功能。</w:t>
      </w:r>
    </w:p>
    <w:p>
      <w:pPr>
        <w:pStyle w:val="9"/>
        <w:numPr>
          <w:ilvl w:val="6"/>
          <w:numId w:val="3"/>
        </w:numPr>
        <w:spacing w:line="360" w:lineRule="auto"/>
        <w:ind w:left="1296" w:hanging="1296"/>
        <w:rPr>
          <w:color w:val="auto"/>
        </w:rPr>
      </w:pPr>
      <w:r>
        <w:rPr>
          <w:rFonts w:hint="eastAsia"/>
          <w:color w:val="auto"/>
        </w:rPr>
        <w:t>报销汇总</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查询及统计财务人员已完成划账操作的经费申请记录，提供财务人员对已完成划账的经费报销申请记录的查询及导出功能。</w:t>
      </w:r>
    </w:p>
    <w:p>
      <w:pPr>
        <w:pStyle w:val="9"/>
        <w:numPr>
          <w:ilvl w:val="6"/>
          <w:numId w:val="3"/>
        </w:numPr>
        <w:spacing w:line="360" w:lineRule="auto"/>
        <w:ind w:left="1296" w:hanging="1296"/>
        <w:rPr>
          <w:color w:val="auto"/>
        </w:rPr>
      </w:pPr>
      <w:r>
        <w:rPr>
          <w:rFonts w:hint="eastAsia"/>
          <w:color w:val="auto"/>
        </w:rPr>
        <w:t>统计</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1）收支报表：查询各项目经费的收入、支出及余额的明细信息，提供财务人员进行查询</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2）项目检验检查费用统计：统计项目已报销及未报销的检验检查项目数量费用明细信息</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3）受试者费用统计：统计每个受试者使用的检验检查项目数量费用明细信息</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4）经费汇总统计：根据项目类型、收入、支出（检验检查费用、医务人员劳务费、受试者补贴费、机构发展基金、医院管理费、退还申办方经费、其他费用）的二维汇总统计功能。可查询对应项目类型的收入支出明细记录</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5）经费汇总统计导出</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6）方案经费汇总：统计各项目中受试者补贴费及医务人员的劳务费的维护记录</w:t>
      </w:r>
    </w:p>
    <w:p>
      <w:pPr>
        <w:pStyle w:val="7"/>
        <w:numPr>
          <w:ilvl w:val="5"/>
          <w:numId w:val="3"/>
        </w:numPr>
        <w:tabs>
          <w:tab w:val="clear" w:pos="1837"/>
        </w:tabs>
        <w:ind w:left="0"/>
        <w:rPr>
          <w:color w:val="auto"/>
        </w:rPr>
      </w:pPr>
      <w:r>
        <w:rPr>
          <w:rFonts w:hint="eastAsia"/>
          <w:color w:val="auto"/>
        </w:rPr>
        <w:t>受试者管理</w:t>
      </w:r>
    </w:p>
    <w:p>
      <w:pPr>
        <w:pStyle w:val="9"/>
        <w:numPr>
          <w:ilvl w:val="6"/>
          <w:numId w:val="3"/>
        </w:numPr>
        <w:spacing w:line="360" w:lineRule="auto"/>
        <w:ind w:left="1296" w:hanging="1296"/>
        <w:rPr>
          <w:color w:val="auto"/>
        </w:rPr>
      </w:pPr>
      <w:r>
        <w:rPr>
          <w:rFonts w:hint="eastAsia"/>
          <w:color w:val="auto"/>
        </w:rPr>
        <w:t>受试者视图</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提供上传知情同意书、受试者入组、筛选失败、AE/SAE上报等功能。</w:t>
      </w:r>
    </w:p>
    <w:p>
      <w:pPr>
        <w:pStyle w:val="9"/>
        <w:numPr>
          <w:ilvl w:val="6"/>
          <w:numId w:val="3"/>
        </w:numPr>
        <w:spacing w:line="360" w:lineRule="auto"/>
        <w:ind w:left="1296" w:hanging="1296"/>
        <w:rPr>
          <w:color w:val="auto"/>
        </w:rPr>
      </w:pPr>
      <w:r>
        <w:rPr>
          <w:rFonts w:hint="eastAsia"/>
          <w:color w:val="auto"/>
        </w:rPr>
        <w:t>受试者计划</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1）以日历形式显示受试者每日的计划信息；</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2）支持通过事件类型及阶段类型筛选受试者计划。</w:t>
      </w:r>
    </w:p>
    <w:p>
      <w:pPr>
        <w:pStyle w:val="9"/>
        <w:numPr>
          <w:ilvl w:val="6"/>
          <w:numId w:val="3"/>
        </w:numPr>
        <w:spacing w:line="360" w:lineRule="auto"/>
        <w:ind w:left="1296" w:hanging="1296"/>
        <w:rPr>
          <w:color w:val="auto"/>
        </w:rPr>
      </w:pPr>
      <w:r>
        <w:rPr>
          <w:rFonts w:hint="eastAsia"/>
          <w:color w:val="auto"/>
        </w:rPr>
        <w:t>计划执行状态</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通过时间、事件类型及阶段类型过滤受试者的计划执行信息。</w:t>
      </w:r>
    </w:p>
    <w:p>
      <w:pPr>
        <w:pStyle w:val="9"/>
        <w:numPr>
          <w:ilvl w:val="6"/>
          <w:numId w:val="3"/>
        </w:numPr>
        <w:spacing w:line="360" w:lineRule="auto"/>
        <w:ind w:left="1296" w:hanging="1296"/>
        <w:rPr>
          <w:color w:val="auto"/>
        </w:rPr>
      </w:pPr>
      <w:r>
        <w:rPr>
          <w:rFonts w:hint="eastAsia"/>
          <w:color w:val="auto"/>
        </w:rPr>
        <w:t>待执行计划</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研究者可以查看日期范围内，该试验项目下病人还未执行的计划医嘱（检验、检查、用药以及CRF填写）；并对已执行的计划医嘱状态进行跟踪。</w:t>
      </w:r>
    </w:p>
    <w:p>
      <w:pPr>
        <w:pStyle w:val="9"/>
        <w:numPr>
          <w:ilvl w:val="6"/>
          <w:numId w:val="3"/>
        </w:numPr>
        <w:spacing w:line="360" w:lineRule="auto"/>
        <w:ind w:left="1296" w:hanging="1296"/>
        <w:rPr>
          <w:color w:val="auto"/>
        </w:rPr>
      </w:pPr>
      <w:r>
        <w:rPr>
          <w:rFonts w:hint="eastAsia"/>
          <w:color w:val="auto"/>
        </w:rPr>
        <w:t>受试者方案</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查看受试者不同阶段的详细方案内容。</w:t>
      </w:r>
    </w:p>
    <w:p>
      <w:pPr>
        <w:pStyle w:val="9"/>
        <w:numPr>
          <w:ilvl w:val="6"/>
          <w:numId w:val="3"/>
        </w:numPr>
        <w:spacing w:line="360" w:lineRule="auto"/>
        <w:ind w:left="1296" w:hanging="1296"/>
        <w:rPr>
          <w:color w:val="auto"/>
        </w:rPr>
      </w:pPr>
      <w:r>
        <w:rPr>
          <w:rFonts w:hint="eastAsia"/>
          <w:color w:val="auto"/>
        </w:rPr>
        <w:t>自定义表单</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在受试者的试验方案中包含检验、检查、用药、CRF、病史、其它等类型的计划。此部分中的表单为试验方案中的CRF在受试者筛选及入组是根据试验方案生产出来的计划。研究医生可在此处查看及编辑受试者的CRF表单信息。</w:t>
      </w:r>
    </w:p>
    <w:p>
      <w:pPr>
        <w:pStyle w:val="9"/>
        <w:numPr>
          <w:ilvl w:val="6"/>
          <w:numId w:val="3"/>
        </w:numPr>
        <w:spacing w:line="360" w:lineRule="auto"/>
        <w:ind w:left="1296" w:hanging="1296"/>
        <w:rPr>
          <w:color w:val="auto"/>
        </w:rPr>
      </w:pPr>
      <w:r>
        <w:rPr>
          <w:rFonts w:hint="eastAsia"/>
          <w:color w:val="auto"/>
        </w:rPr>
        <w:t>不良事件上报</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可添加、编辑、删除不良事件记录。</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病人在试验过程中如发生不良事件，研究者可在门诊或住院系统中上报不良事件，系统可支持以邮件、短信提醒机构办、主要研究者。</w:t>
      </w:r>
    </w:p>
    <w:p>
      <w:pPr>
        <w:pStyle w:val="7"/>
        <w:numPr>
          <w:ilvl w:val="5"/>
          <w:numId w:val="3"/>
        </w:numPr>
        <w:tabs>
          <w:tab w:val="clear" w:pos="1837"/>
        </w:tabs>
        <w:ind w:left="0"/>
        <w:rPr>
          <w:color w:val="auto"/>
        </w:rPr>
      </w:pPr>
      <w:r>
        <w:rPr>
          <w:rFonts w:hint="eastAsia"/>
          <w:color w:val="auto"/>
        </w:rPr>
        <w:t>质控管理</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机构办质控：机构办质控评分表单明细评分项目设置为A、B、C、D四级，填写评分信息时添加对应评分项目存在问题的受试者及对应的反馈问题；问题反馈部分取消原填写反馈明细项，读取评分步骤填写的反馈信息并需要判定最终质控结果级别。</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项目组质控：项目组完成质控反馈后新增PI审批步骤。</w:t>
      </w:r>
    </w:p>
    <w:p>
      <w:pPr>
        <w:pStyle w:val="7"/>
        <w:numPr>
          <w:ilvl w:val="5"/>
          <w:numId w:val="3"/>
        </w:numPr>
        <w:tabs>
          <w:tab w:val="clear" w:pos="1837"/>
        </w:tabs>
        <w:ind w:left="0"/>
        <w:rPr>
          <w:color w:val="auto"/>
        </w:rPr>
      </w:pPr>
      <w:r>
        <w:rPr>
          <w:rFonts w:hint="eastAsia"/>
          <w:color w:val="auto"/>
        </w:rPr>
        <w:t>PK管理</w:t>
      </w:r>
    </w:p>
    <w:p>
      <w:pPr>
        <w:pStyle w:val="9"/>
        <w:numPr>
          <w:ilvl w:val="6"/>
          <w:numId w:val="3"/>
        </w:numPr>
        <w:spacing w:line="360" w:lineRule="auto"/>
        <w:ind w:left="1296" w:hanging="1296"/>
        <w:rPr>
          <w:color w:val="auto"/>
        </w:rPr>
      </w:pPr>
      <w:r>
        <w:rPr>
          <w:rFonts w:hint="eastAsia"/>
          <w:color w:val="auto"/>
        </w:rPr>
        <w:t>样本计划</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1）样本计划列表：管理受试者入组后根据PK方案生成的PK计划信息；</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2）样本计划时间设置：针对历次用药的采集点计划清单设置服药开始时间，生成当次所有采集点的具体执行日期及时间。采集计划表打印功能；</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3）样本条码打印：打印样本采集计划中需要使用的采集管、冷冻管及包装等耗材的条码；</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4）温控设备管理：对接温控设备接口，实时采集设备的温度、湿度、电压等数据并可实时查询及异常情况报警；</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5）溶血率统计：统计样本离心过程成出现的溶血情况。</w:t>
      </w:r>
    </w:p>
    <w:p>
      <w:pPr>
        <w:pStyle w:val="9"/>
        <w:numPr>
          <w:ilvl w:val="6"/>
          <w:numId w:val="3"/>
        </w:numPr>
        <w:spacing w:line="360" w:lineRule="auto"/>
        <w:ind w:left="1296" w:hanging="1296"/>
        <w:rPr>
          <w:color w:val="auto"/>
        </w:rPr>
      </w:pPr>
      <w:r>
        <w:rPr>
          <w:rFonts w:hint="eastAsia"/>
          <w:color w:val="auto"/>
        </w:rPr>
        <w:t>样本管理</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1）待处理样本管理管理：管理及查询待处理的样本信息；</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2）样本采集管理：登记样本的采集信息；</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3）样本接收管理：登记样本采集后的接收信息；</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4）样本离心开始管理：登记样本离心开始时间及相关信息；</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5）样本离心结束管理：登记样本离心结束时间及相关信息；</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6）样本处理管理：登记样本完成离心后进行分管及是否发生溶血等信息；</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7）样本存储管理：登记样本处理完成后存储位置信息；</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8）样本运送管理：登记样本运送信息；</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9）样本运送记录管理：查询样本运送信息记录；</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10）样本溶血重采管理：登记及管理样本发生溶血后重采信息；</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11）样本丢弃管理：登记样本使用结束后的处理记录。</w:t>
      </w:r>
    </w:p>
    <w:p>
      <w:pPr>
        <w:pStyle w:val="9"/>
        <w:numPr>
          <w:ilvl w:val="6"/>
          <w:numId w:val="3"/>
        </w:numPr>
        <w:spacing w:line="360" w:lineRule="auto"/>
        <w:ind w:left="1296" w:hanging="1296"/>
        <w:rPr>
          <w:color w:val="auto"/>
        </w:rPr>
      </w:pPr>
      <w:r>
        <w:rPr>
          <w:rFonts w:hint="eastAsia"/>
          <w:color w:val="auto"/>
        </w:rPr>
        <w:t>耗材管理</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1）耗材库存管理：统计耗材的库存信息，并可进行耗材入库、耗材出库及耗材退还申办方等操作功能；</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2）耗材入库单管理：统计耗材入库记录；</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3）耗材出库单管理：统计耗材出库记录；</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4）耗材退还单管理：统计耗材退还申办方记录；</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5）耗材信息管理：耗材字典信息维护。</w:t>
      </w:r>
    </w:p>
    <w:p>
      <w:pPr>
        <w:pStyle w:val="7"/>
        <w:numPr>
          <w:ilvl w:val="5"/>
          <w:numId w:val="3"/>
        </w:numPr>
        <w:tabs>
          <w:tab w:val="clear" w:pos="1837"/>
        </w:tabs>
        <w:ind w:left="0"/>
        <w:rPr>
          <w:color w:val="auto"/>
        </w:rPr>
      </w:pPr>
      <w:r>
        <w:rPr>
          <w:rFonts w:hint="eastAsia"/>
          <w:color w:val="auto"/>
        </w:rPr>
        <w:t>统计分析</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支持根据权限可筛选集团或者各院区项目或查看系统中受试者试验进度的统计饼状图；</w:t>
      </w:r>
    </w:p>
    <w:p>
      <w:pPr>
        <w:pStyle w:val="7"/>
        <w:numPr>
          <w:ilvl w:val="5"/>
          <w:numId w:val="3"/>
        </w:numPr>
        <w:tabs>
          <w:tab w:val="clear" w:pos="1837"/>
        </w:tabs>
        <w:ind w:left="0"/>
        <w:rPr>
          <w:color w:val="auto"/>
        </w:rPr>
      </w:pPr>
      <w:r>
        <w:rPr>
          <w:rFonts w:hint="eastAsia"/>
          <w:color w:val="auto"/>
        </w:rPr>
        <w:t>多中心管理</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系统支持多种数据采集功能，支持多中心功能：</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提供Web界面供分中心按照CDASH标准实时记录实验数据数据库；</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系统采用ODM标准数据导入或上报功能，供分中心将实验数据上报到中心端；</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系统支持分中心有完整的GCP管理系统，根据ODM标准定时自动上报数据到中心端。</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制定标准的专业术语、CRF表单、标准接口定义；</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研究者将受试者数据完整的记录在定制的CRF表中，后台系统通过标准的接口进行数据上报；</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实现多个医院的试验数据共享，方便研究者进行统计分析。</w:t>
      </w:r>
    </w:p>
    <w:p>
      <w:pPr>
        <w:pStyle w:val="7"/>
        <w:numPr>
          <w:ilvl w:val="5"/>
          <w:numId w:val="3"/>
        </w:numPr>
        <w:tabs>
          <w:tab w:val="clear" w:pos="1837"/>
        </w:tabs>
        <w:ind w:left="0"/>
        <w:rPr>
          <w:color w:val="auto"/>
        </w:rPr>
      </w:pPr>
      <w:r>
        <w:rPr>
          <w:rFonts w:hint="eastAsia"/>
          <w:color w:val="auto"/>
        </w:rPr>
        <w:t>系统维护</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支持对系统表单、检查字典、系统参数等系统信息维护。</w:t>
      </w:r>
    </w:p>
    <w:p>
      <w:pPr>
        <w:pStyle w:val="7"/>
        <w:numPr>
          <w:ilvl w:val="5"/>
          <w:numId w:val="3"/>
        </w:numPr>
        <w:tabs>
          <w:tab w:val="clear" w:pos="1837"/>
        </w:tabs>
        <w:ind w:left="0"/>
        <w:rPr>
          <w:color w:val="auto"/>
        </w:rPr>
      </w:pPr>
      <w:r>
        <w:rPr>
          <w:rFonts w:hint="eastAsia"/>
          <w:color w:val="auto"/>
        </w:rPr>
        <w:t>权限管理</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实现管理集团、各院区院内员工账号、合作方、院外专家等账号信息。</w:t>
      </w:r>
    </w:p>
    <w:p>
      <w:pPr>
        <w:pStyle w:val="7"/>
        <w:numPr>
          <w:ilvl w:val="5"/>
          <w:numId w:val="3"/>
        </w:numPr>
        <w:tabs>
          <w:tab w:val="clear" w:pos="1837"/>
        </w:tabs>
        <w:ind w:left="0"/>
        <w:rPr>
          <w:color w:val="auto"/>
        </w:rPr>
      </w:pPr>
      <w:r>
        <w:rPr>
          <w:rFonts w:hint="eastAsia"/>
          <w:color w:val="auto"/>
        </w:rPr>
        <w:t>信息集成</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实现</w:t>
      </w:r>
      <w:r>
        <w:rPr>
          <w:rFonts w:ascii="仿宋" w:hAnsi="仿宋" w:eastAsia="仿宋" w:cs="仿宋"/>
          <w:color w:val="auto"/>
          <w:sz w:val="28"/>
          <w:szCs w:val="28"/>
          <w:lang w:bidi="th-TH"/>
        </w:rPr>
        <w:t>厂家、账号、模板维护管理、受试者统计、CRF表单导出等</w:t>
      </w:r>
      <w:r>
        <w:rPr>
          <w:rFonts w:hint="eastAsia" w:ascii="仿宋" w:hAnsi="仿宋" w:eastAsia="仿宋" w:cs="仿宋"/>
          <w:color w:val="auto"/>
          <w:sz w:val="28"/>
          <w:szCs w:val="28"/>
          <w:lang w:bidi="th-TH"/>
        </w:rPr>
        <w:t>。</w:t>
      </w:r>
    </w:p>
    <w:p>
      <w:pPr>
        <w:pStyle w:val="6"/>
        <w:numPr>
          <w:ilvl w:val="4"/>
          <w:numId w:val="3"/>
        </w:numPr>
        <w:ind w:left="1008"/>
        <w:rPr>
          <w:color w:val="auto"/>
        </w:rPr>
      </w:pPr>
      <w:r>
        <w:rPr>
          <w:rFonts w:hint="eastAsia"/>
          <w:color w:val="auto"/>
        </w:rPr>
        <w:t>实验数据管理系统</w:t>
      </w:r>
    </w:p>
    <w:p>
      <w:pPr>
        <w:pStyle w:val="7"/>
        <w:numPr>
          <w:ilvl w:val="5"/>
          <w:numId w:val="3"/>
        </w:numPr>
        <w:tabs>
          <w:tab w:val="clear" w:pos="1837"/>
        </w:tabs>
        <w:ind w:left="0"/>
        <w:rPr>
          <w:color w:val="auto"/>
        </w:rPr>
      </w:pPr>
      <w:r>
        <w:rPr>
          <w:rFonts w:hint="eastAsia"/>
          <w:color w:val="auto"/>
        </w:rPr>
        <w:t>试验项目管理</w:t>
      </w:r>
    </w:p>
    <w:p>
      <w:pPr>
        <w:pStyle w:val="49"/>
        <w:spacing w:before="0" w:after="0" w:line="360" w:lineRule="auto"/>
        <w:ind w:firstLine="560"/>
        <w:rPr>
          <w:rFonts w:ascii="仿宋" w:hAnsi="仿宋" w:eastAsia="仿宋" w:cs="仿宋"/>
          <w:color w:val="auto"/>
          <w:sz w:val="28"/>
          <w:szCs w:val="28"/>
          <w:lang w:bidi="th-TH"/>
        </w:rPr>
      </w:pPr>
      <w:r>
        <w:rPr>
          <w:rFonts w:hint="eastAsia" w:ascii="仿宋" w:hAnsi="仿宋" w:eastAsia="仿宋" w:cs="仿宋"/>
          <w:color w:val="auto"/>
          <w:sz w:val="28"/>
          <w:szCs w:val="28"/>
          <w:lang w:bidi="th-TH"/>
        </w:rPr>
        <w:t>提供完备的实验项目规划管理，包括实验设计、实验文件签转、实验任务管理、实验相关数据查询、实验任务统计和实验资源配置等管理功能。</w:t>
      </w:r>
    </w:p>
    <w:p>
      <w:pPr>
        <w:pStyle w:val="7"/>
        <w:numPr>
          <w:ilvl w:val="5"/>
          <w:numId w:val="3"/>
        </w:numPr>
        <w:tabs>
          <w:tab w:val="clear" w:pos="1837"/>
        </w:tabs>
        <w:ind w:left="0"/>
        <w:rPr>
          <w:color w:val="auto"/>
        </w:rPr>
      </w:pPr>
      <w:r>
        <w:rPr>
          <w:rFonts w:hint="eastAsia"/>
          <w:color w:val="auto"/>
        </w:rPr>
        <w:t>实验流程管理</w:t>
      </w:r>
    </w:p>
    <w:p>
      <w:pPr>
        <w:pStyle w:val="39"/>
        <w:ind w:firstLine="560"/>
        <w:rPr>
          <w:color w:val="auto"/>
        </w:rPr>
      </w:pPr>
      <w:r>
        <w:rPr>
          <w:rFonts w:hint="eastAsia" w:cs="仿宋"/>
          <w:color w:val="auto"/>
          <w:lang w:bidi="th-TH"/>
        </w:rPr>
        <w:t>提供实验流程定制、实验流程执行、实验流程监控、历史实验流程查询和实验相关数据查询等功能，可以随时定制所需的工作流程，如实验准备工作流程、实验文档审批流程、数据质量控制流程等。</w:t>
      </w:r>
    </w:p>
    <w:p>
      <w:pPr>
        <w:pStyle w:val="7"/>
        <w:numPr>
          <w:ilvl w:val="5"/>
          <w:numId w:val="3"/>
        </w:numPr>
        <w:tabs>
          <w:tab w:val="clear" w:pos="1837"/>
        </w:tabs>
        <w:ind w:left="0"/>
        <w:rPr>
          <w:color w:val="auto"/>
        </w:rPr>
      </w:pPr>
      <w:r>
        <w:rPr>
          <w:rFonts w:hint="eastAsia"/>
          <w:color w:val="auto"/>
        </w:rPr>
        <w:t>实验标准管理</w:t>
      </w:r>
    </w:p>
    <w:p>
      <w:pPr>
        <w:pStyle w:val="39"/>
        <w:ind w:firstLine="560"/>
        <w:rPr>
          <w:color w:val="auto"/>
        </w:rPr>
      </w:pPr>
      <w:r>
        <w:rPr>
          <w:rFonts w:hint="eastAsia"/>
          <w:color w:val="auto"/>
        </w:rPr>
        <w:t>具有相关实验标准(国标、国军标、行业标准及单位标准)的目录清单及文件管理功能，在实验过程中可以很方便地提取并查看相关标准文件，并可结合单位管理程序文件中确定的各种流程来进行流程设计。</w:t>
      </w:r>
    </w:p>
    <w:p>
      <w:pPr>
        <w:pStyle w:val="7"/>
        <w:numPr>
          <w:ilvl w:val="5"/>
          <w:numId w:val="3"/>
        </w:numPr>
        <w:tabs>
          <w:tab w:val="clear" w:pos="1837"/>
        </w:tabs>
        <w:ind w:left="0"/>
        <w:rPr>
          <w:color w:val="auto"/>
        </w:rPr>
      </w:pPr>
      <w:r>
        <w:rPr>
          <w:rFonts w:hint="eastAsia"/>
          <w:color w:val="auto"/>
        </w:rPr>
        <w:t>实验资源管理</w:t>
      </w:r>
    </w:p>
    <w:p>
      <w:pPr>
        <w:pStyle w:val="39"/>
        <w:ind w:firstLine="560"/>
        <w:rPr>
          <w:color w:val="auto"/>
        </w:rPr>
      </w:pPr>
      <w:r>
        <w:rPr>
          <w:rFonts w:hint="eastAsia"/>
          <w:color w:val="auto"/>
        </w:rPr>
        <w:t>管理与实验相关的所有资源信息，主要包括实验设备、实验原料、实验环境数据、实验件信息、实验设备及实验设备量值溯源信息、实验人员信息、计量数据等。</w:t>
      </w:r>
    </w:p>
    <w:p>
      <w:pPr>
        <w:pStyle w:val="7"/>
        <w:numPr>
          <w:ilvl w:val="5"/>
          <w:numId w:val="3"/>
        </w:numPr>
        <w:tabs>
          <w:tab w:val="clear" w:pos="1837"/>
        </w:tabs>
        <w:ind w:left="0"/>
        <w:rPr>
          <w:color w:val="auto"/>
        </w:rPr>
      </w:pPr>
      <w:r>
        <w:rPr>
          <w:rFonts w:hint="eastAsia"/>
          <w:color w:val="auto"/>
        </w:rPr>
        <w:t>实验数据管理</w:t>
      </w:r>
    </w:p>
    <w:p>
      <w:pPr>
        <w:pStyle w:val="39"/>
        <w:ind w:firstLine="560"/>
        <w:rPr>
          <w:color w:val="auto"/>
        </w:rPr>
      </w:pPr>
      <w:r>
        <w:rPr>
          <w:rFonts w:hint="eastAsia"/>
          <w:color w:val="auto"/>
        </w:rPr>
        <w:t>管理实验过程中采集到的所有数据以及手工录入的所有数据，包括原始测量试验数据、过程测量数据、试验结果数据、试验分析数据、异常数据、多媒体试验数据等。另外，试验任务书、试验大纲、试验报告等文档也是系统的管理目标。</w:t>
      </w:r>
    </w:p>
    <w:p>
      <w:pPr>
        <w:pStyle w:val="7"/>
        <w:numPr>
          <w:ilvl w:val="5"/>
          <w:numId w:val="3"/>
        </w:numPr>
        <w:tabs>
          <w:tab w:val="clear" w:pos="1837"/>
        </w:tabs>
        <w:ind w:left="0"/>
        <w:rPr>
          <w:color w:val="auto"/>
        </w:rPr>
      </w:pPr>
      <w:r>
        <w:rPr>
          <w:rFonts w:hint="eastAsia"/>
          <w:color w:val="auto"/>
        </w:rPr>
        <w:t>数据模型管理</w:t>
      </w:r>
    </w:p>
    <w:p>
      <w:pPr>
        <w:pStyle w:val="39"/>
        <w:ind w:firstLine="560"/>
        <w:rPr>
          <w:color w:val="auto"/>
        </w:rPr>
      </w:pPr>
      <w:r>
        <w:rPr>
          <w:rFonts w:hint="eastAsia"/>
          <w:color w:val="auto"/>
        </w:rPr>
        <w:t>实现动态建库，允许用户动态建立及维护数据库模型，并能够灵活地定义数据之间的关联关系，定义多级数据校验条件和规则，并进行自动数据校验。</w:t>
      </w:r>
    </w:p>
    <w:p>
      <w:pPr>
        <w:pStyle w:val="7"/>
        <w:numPr>
          <w:ilvl w:val="5"/>
          <w:numId w:val="3"/>
        </w:numPr>
        <w:tabs>
          <w:tab w:val="clear" w:pos="1837"/>
        </w:tabs>
        <w:ind w:left="0"/>
        <w:rPr>
          <w:color w:val="auto"/>
        </w:rPr>
      </w:pPr>
      <w:r>
        <w:rPr>
          <w:rFonts w:hint="eastAsia"/>
          <w:color w:val="auto"/>
        </w:rPr>
        <w:t>数据处理分析</w:t>
      </w:r>
    </w:p>
    <w:p>
      <w:pPr>
        <w:pStyle w:val="39"/>
        <w:ind w:firstLine="560"/>
        <w:rPr>
          <w:color w:val="auto"/>
        </w:rPr>
      </w:pPr>
      <w:r>
        <w:rPr>
          <w:rFonts w:hint="eastAsia"/>
          <w:color w:val="auto"/>
        </w:rPr>
        <w:t>提供数据分析绘图功能，能够实现各种常用的曲线图、柱状图、饼图、云图、等高线图等绘图方法;提供原始数据回放、曲线裁剪、图形缩放、数据截取、曲线求和等各种专业数据处理方法;提供算法集成功能，可以集成各种第三方算法和自己编制的算法;通过扩展机制，可以不断把所需的算法丰富到系统平台中，满足实际工作的需要。数据处理分析功能可以便捷定位数据并快速完成数据分析处理操作，提高工作效率。</w:t>
      </w:r>
    </w:p>
    <w:p>
      <w:pPr>
        <w:pStyle w:val="7"/>
        <w:numPr>
          <w:ilvl w:val="5"/>
          <w:numId w:val="3"/>
        </w:numPr>
        <w:tabs>
          <w:tab w:val="clear" w:pos="1837"/>
        </w:tabs>
        <w:ind w:left="0"/>
        <w:rPr>
          <w:color w:val="auto"/>
        </w:rPr>
      </w:pPr>
      <w:r>
        <w:rPr>
          <w:rFonts w:hint="eastAsia"/>
          <w:color w:val="auto"/>
        </w:rPr>
        <w:t>数据挖掘和决策支持</w:t>
      </w:r>
    </w:p>
    <w:p>
      <w:pPr>
        <w:pStyle w:val="39"/>
        <w:ind w:firstLine="560"/>
        <w:rPr>
          <w:color w:val="auto"/>
        </w:rPr>
      </w:pPr>
      <w:r>
        <w:rPr>
          <w:rFonts w:hint="eastAsia"/>
          <w:color w:val="auto"/>
        </w:rPr>
        <w:t>提供数据挖掘功能，从大量的实验数据中抽取出潜在的有用信息、模式和趋势，在历史实验数据的经验基础上探索出新的经验规律，提高实验设计能力，并对技术决策提供支持。</w:t>
      </w:r>
    </w:p>
    <w:p>
      <w:pPr>
        <w:pStyle w:val="6"/>
        <w:numPr>
          <w:ilvl w:val="4"/>
          <w:numId w:val="3"/>
        </w:numPr>
        <w:ind w:left="1008"/>
        <w:rPr>
          <w:color w:val="auto"/>
        </w:rPr>
      </w:pPr>
      <w:r>
        <w:rPr>
          <w:rFonts w:hint="eastAsia"/>
          <w:color w:val="auto"/>
        </w:rPr>
        <w:t>生物样本库管理系统</w:t>
      </w:r>
    </w:p>
    <w:p>
      <w:pPr>
        <w:pStyle w:val="39"/>
        <w:ind w:firstLine="560"/>
        <w:rPr>
          <w:color w:val="auto"/>
        </w:rPr>
      </w:pPr>
      <w:r>
        <w:rPr>
          <w:rFonts w:hint="eastAsia"/>
          <w:color w:val="auto"/>
        </w:rPr>
        <w:t>多院区一体化的生物样本库信息化管理产品，为临床研究人员提供有效的标准化样本管理流程；并在安全、可靠、稳定的前提下，追踪并管理样本实体所关联的数据信息从而有效的提升样本的使用价值及科研价值。</w:t>
      </w:r>
    </w:p>
    <w:p>
      <w:pPr>
        <w:pStyle w:val="6"/>
        <w:numPr>
          <w:ilvl w:val="4"/>
          <w:numId w:val="3"/>
        </w:numPr>
        <w:ind w:left="1008"/>
        <w:rPr>
          <w:color w:val="auto"/>
        </w:rPr>
      </w:pPr>
      <w:r>
        <w:rPr>
          <w:rFonts w:hint="eastAsia"/>
          <w:color w:val="auto"/>
        </w:rPr>
        <w:t>受试者诊疗综合视图</w:t>
      </w:r>
    </w:p>
    <w:p>
      <w:pPr>
        <w:pStyle w:val="39"/>
        <w:ind w:firstLine="560"/>
        <w:rPr>
          <w:color w:val="auto"/>
        </w:rPr>
      </w:pPr>
      <w:r>
        <w:rPr>
          <w:rFonts w:hint="eastAsia"/>
          <w:color w:val="auto"/>
        </w:rPr>
        <w:t>打通各院区院内多个信息系统之间的数据孤岛，实现了系统之间互联互通数据的集成整合，将受试者在研究型病房接受诊疗的全程历史记录和临床信息进行全方位展现，方便医生进行多视角浏览，为医务人员的诊疗计划给予全面数据支持，提高诊疗效率和效果。</w:t>
      </w:r>
    </w:p>
    <w:p>
      <w:pPr>
        <w:pStyle w:val="6"/>
        <w:numPr>
          <w:ilvl w:val="4"/>
          <w:numId w:val="3"/>
        </w:numPr>
        <w:ind w:left="1008"/>
        <w:rPr>
          <w:color w:val="auto"/>
        </w:rPr>
      </w:pPr>
      <w:r>
        <w:rPr>
          <w:rFonts w:hint="eastAsia"/>
          <w:color w:val="auto"/>
        </w:rPr>
        <w:t>研究型病房专病治疗系统</w:t>
      </w:r>
    </w:p>
    <w:p>
      <w:pPr>
        <w:pStyle w:val="7"/>
        <w:numPr>
          <w:ilvl w:val="5"/>
          <w:numId w:val="3"/>
        </w:numPr>
        <w:tabs>
          <w:tab w:val="clear" w:pos="1837"/>
        </w:tabs>
        <w:ind w:left="0"/>
        <w:rPr>
          <w:color w:val="auto"/>
        </w:rPr>
      </w:pPr>
      <w:r>
        <w:rPr>
          <w:rFonts w:hint="eastAsia"/>
          <w:color w:val="auto"/>
        </w:rPr>
        <w:t>研究型病房专病智能监测</w:t>
      </w:r>
    </w:p>
    <w:p>
      <w:pPr>
        <w:pStyle w:val="39"/>
        <w:ind w:firstLine="560"/>
        <w:rPr>
          <w:color w:val="auto"/>
        </w:rPr>
      </w:pPr>
      <w:r>
        <w:rPr>
          <w:rFonts w:hint="eastAsia"/>
          <w:color w:val="auto"/>
        </w:rPr>
        <w:t>以医院信息平台为依托，对研究型病房治疗的情况进行智能监测，监测治疗的的状态。</w:t>
      </w:r>
    </w:p>
    <w:p>
      <w:pPr>
        <w:pStyle w:val="7"/>
        <w:numPr>
          <w:ilvl w:val="5"/>
          <w:numId w:val="3"/>
        </w:numPr>
        <w:tabs>
          <w:tab w:val="clear" w:pos="1837"/>
        </w:tabs>
        <w:ind w:left="0"/>
        <w:rPr>
          <w:color w:val="auto"/>
        </w:rPr>
      </w:pPr>
      <w:r>
        <w:rPr>
          <w:rFonts w:hint="eastAsia"/>
          <w:color w:val="auto"/>
        </w:rPr>
        <w:t>研究型病房专病治疗预约</w:t>
      </w:r>
    </w:p>
    <w:p>
      <w:pPr>
        <w:pStyle w:val="39"/>
        <w:ind w:firstLine="560"/>
        <w:rPr>
          <w:color w:val="auto"/>
        </w:rPr>
      </w:pPr>
      <w:r>
        <w:rPr>
          <w:rFonts w:hint="eastAsia"/>
          <w:color w:val="auto"/>
        </w:rPr>
        <w:t>实现对研究型病房专病治疗的预约，预约治疗的时间和治疗的方案。</w:t>
      </w:r>
    </w:p>
    <w:p>
      <w:pPr>
        <w:pStyle w:val="7"/>
        <w:numPr>
          <w:ilvl w:val="5"/>
          <w:numId w:val="3"/>
        </w:numPr>
        <w:tabs>
          <w:tab w:val="clear" w:pos="1837"/>
        </w:tabs>
        <w:ind w:left="0"/>
        <w:rPr>
          <w:color w:val="auto"/>
        </w:rPr>
      </w:pPr>
      <w:r>
        <w:rPr>
          <w:rFonts w:hint="eastAsia"/>
          <w:color w:val="auto"/>
        </w:rPr>
        <w:t>研究型病房专病患者管理</w:t>
      </w:r>
    </w:p>
    <w:p>
      <w:pPr>
        <w:pStyle w:val="39"/>
        <w:ind w:firstLine="560"/>
        <w:rPr>
          <w:color w:val="auto"/>
        </w:rPr>
      </w:pPr>
      <w:r>
        <w:rPr>
          <w:rFonts w:hint="eastAsia"/>
          <w:color w:val="auto"/>
        </w:rPr>
        <w:t>实现对研究型病房专病治的患者统一管理，管理患者的基本信息，治疗方案的配置和实施等。</w:t>
      </w:r>
    </w:p>
    <w:p>
      <w:pPr>
        <w:pStyle w:val="6"/>
        <w:numPr>
          <w:ilvl w:val="4"/>
          <w:numId w:val="3"/>
        </w:numPr>
        <w:ind w:left="1008"/>
        <w:rPr>
          <w:color w:val="auto"/>
        </w:rPr>
      </w:pPr>
      <w:r>
        <w:rPr>
          <w:rFonts w:hint="eastAsia"/>
          <w:color w:val="auto"/>
        </w:rPr>
        <w:t>研究型病房随访系统</w:t>
      </w:r>
    </w:p>
    <w:p>
      <w:pPr>
        <w:pStyle w:val="39"/>
        <w:ind w:firstLine="560"/>
        <w:rPr>
          <w:color w:val="auto"/>
        </w:rPr>
      </w:pPr>
      <w:r>
        <w:rPr>
          <w:rFonts w:hint="eastAsia"/>
          <w:color w:val="auto"/>
        </w:rPr>
        <w:t>基于大数据、医疗知识体系、机器学习研究型疾病，深入理解，把治疗方案、疗程、指征变化等临床路径标志性因素，转化成精确的知识规则，用于济世大脑学习、构建病程随访服务引擎；结合患者个体的病情及治疗记录变化，自动完成个性化的随访方案制定与执行。</w:t>
      </w:r>
    </w:p>
    <w:p>
      <w:pPr>
        <w:pStyle w:val="6"/>
        <w:numPr>
          <w:ilvl w:val="4"/>
          <w:numId w:val="3"/>
        </w:numPr>
        <w:ind w:left="1008"/>
        <w:rPr>
          <w:color w:val="auto"/>
        </w:rPr>
      </w:pPr>
      <w:r>
        <w:rPr>
          <w:rFonts w:hint="eastAsia"/>
          <w:color w:val="auto"/>
        </w:rPr>
        <w:t>研究型病房不良事件上报</w:t>
      </w:r>
    </w:p>
    <w:p>
      <w:pPr>
        <w:pStyle w:val="39"/>
        <w:ind w:firstLine="560"/>
        <w:rPr>
          <w:color w:val="auto"/>
        </w:rPr>
      </w:pPr>
      <w:r>
        <w:rPr>
          <w:rFonts w:hint="eastAsia"/>
          <w:color w:val="auto"/>
        </w:rPr>
        <w:t>当受试者发生不良事件时，及时不良事件上报模块进行上报，为下一步措施提供帮助。</w:t>
      </w:r>
    </w:p>
    <w:p>
      <w:pPr>
        <w:pStyle w:val="6"/>
        <w:numPr>
          <w:ilvl w:val="4"/>
          <w:numId w:val="3"/>
        </w:numPr>
        <w:ind w:left="1008"/>
        <w:rPr>
          <w:color w:val="auto"/>
        </w:rPr>
      </w:pPr>
      <w:r>
        <w:rPr>
          <w:rFonts w:hint="eastAsia"/>
          <w:color w:val="auto"/>
        </w:rPr>
        <w:t>研究分析平台</w:t>
      </w:r>
    </w:p>
    <w:p>
      <w:pPr>
        <w:pStyle w:val="39"/>
        <w:ind w:firstLine="560"/>
        <w:rPr>
          <w:color w:val="auto"/>
        </w:rPr>
      </w:pPr>
      <w:r>
        <w:rPr>
          <w:rFonts w:hint="eastAsia"/>
          <w:color w:val="auto"/>
        </w:rPr>
        <w:t>研究型病房分析平台是以人工智能、统计学算法技术为核心驱动、以研究型病房内外真实诊疗数据为基础支撑的创新型临床-科研一站式服务体系。通过对疾病数据的自动整合、处理，可辅助医生快速建立覆盖多病种、全变量的高质量专病数据库；并在此基础上，利用相应算法模型，快速实现对数据的深度挖掘和多维分析，提升科研效率及质量，促进成果转化，实现临床-科研协同发展。</w:t>
      </w:r>
    </w:p>
    <w:p>
      <w:pPr>
        <w:pStyle w:val="6"/>
        <w:numPr>
          <w:ilvl w:val="4"/>
          <w:numId w:val="3"/>
        </w:numPr>
        <w:ind w:left="1008"/>
        <w:rPr>
          <w:color w:val="auto"/>
        </w:rPr>
      </w:pPr>
      <w:r>
        <w:rPr>
          <w:rFonts w:hint="eastAsia"/>
          <w:color w:val="auto"/>
        </w:rPr>
        <w:t>研究型病房人员资质管理</w:t>
      </w:r>
    </w:p>
    <w:p>
      <w:pPr>
        <w:pStyle w:val="39"/>
        <w:ind w:firstLine="560"/>
        <w:rPr>
          <w:color w:val="auto"/>
        </w:rPr>
      </w:pPr>
      <w:r>
        <w:rPr>
          <w:rFonts w:hint="eastAsia"/>
          <w:color w:val="auto"/>
        </w:rPr>
        <w:t>实现研究型病房内医生、护士的档案（包括个人信息、历史档案记录、个人行为记录等），并可通过设定的各项员工考核指标，来记录员工的考核积分。可随时查阅某一位医生或护士的所有技术档案，并自动计算各项考核的总积分。大大简化了之前人工操作档案袋的繁琐工作，优化了工作流程，使档案的管理更加人性化。该系统的应用不但提高了医院管理部门对医护人员技术档案管理的质量和效率，而且可以为医院的绩效考核和人力资源评价提供数据支持。本系统软件的功能主要包括：数据录入、档案查询、统计报表等操作，实现技术档案管理的信息化管理，查看各个医院电子档案的详细，目前根据大部分医院的实际情况分为职称评聘、资格证书、学会任职、论文专著、科研情况、开展新技术、科内培训、三基考核、医疗活动、技术比赛竞赛、医疗安全、医学文书书写、外出学习、医疗技术与处方权限、各项荣誉。员工汇总功能：查看所有员工、所有医生、所有护士、添加人员、注销人员。档案管理功能：提供便捷的通道进入员工的档案页面。主要功能包括档案分类显示、档案汇总查询、个人查询、科室查询等。</w:t>
      </w:r>
    </w:p>
    <w:p>
      <w:pPr>
        <w:pStyle w:val="6"/>
        <w:numPr>
          <w:ilvl w:val="4"/>
          <w:numId w:val="3"/>
        </w:numPr>
        <w:ind w:left="1008"/>
        <w:rPr>
          <w:color w:val="auto"/>
        </w:rPr>
      </w:pPr>
      <w:r>
        <w:rPr>
          <w:rFonts w:hint="eastAsia"/>
          <w:color w:val="auto"/>
        </w:rPr>
        <w:t>研究型病房宣教管理</w:t>
      </w:r>
    </w:p>
    <w:p>
      <w:pPr>
        <w:pStyle w:val="39"/>
        <w:ind w:firstLine="560"/>
        <w:rPr>
          <w:color w:val="auto"/>
        </w:rPr>
      </w:pPr>
      <w:r>
        <w:rPr>
          <w:rFonts w:hint="eastAsia"/>
          <w:color w:val="auto"/>
        </w:rPr>
        <w:t>实现研究型病房相关知识上传知识库并进行管理，内容涵盖了疾病概述、症状、病因、就医、预后、随访、预防等，研究部病房内外医生、护士、患者可通过微信公众号查询获取健康宣教信息，院内可通过大屏或交互设备获取疾病信息，增加对疾病和自身健康的了解。</w:t>
      </w:r>
    </w:p>
    <w:p>
      <w:pPr>
        <w:rPr>
          <w:color w:val="auto"/>
        </w:rPr>
      </w:pPr>
    </w:p>
    <w:p>
      <w:pPr>
        <w:keepNext/>
        <w:keepLines/>
        <w:pageBreakBefore/>
        <w:numPr>
          <w:ilvl w:val="0"/>
          <w:numId w:val="3"/>
        </w:numPr>
        <w:spacing w:before="340" w:after="330" w:line="578" w:lineRule="auto"/>
        <w:jc w:val="center"/>
        <w:outlineLvl w:val="0"/>
        <w:rPr>
          <w:rFonts w:ascii="宋体" w:hAnsi="宋体"/>
          <w:b/>
          <w:bCs/>
          <w:color w:val="auto"/>
          <w:kern w:val="44"/>
          <w:sz w:val="24"/>
        </w:rPr>
      </w:pPr>
      <w:bookmarkStart w:id="72" w:name="_Toc135120829"/>
      <w:bookmarkStart w:id="73" w:name="_Toc97821077"/>
      <w:bookmarkStart w:id="74" w:name="_Toc1914179478"/>
      <w:r>
        <w:rPr>
          <w:rFonts w:hint="eastAsia" w:ascii="宋体" w:hAnsi="宋体"/>
          <w:b/>
          <w:bCs/>
          <w:color w:val="auto"/>
          <w:kern w:val="44"/>
          <w:sz w:val="24"/>
        </w:rPr>
        <w:t>其他要求</w:t>
      </w:r>
      <w:bookmarkEnd w:id="72"/>
      <w:bookmarkEnd w:id="73"/>
      <w:bookmarkEnd w:id="74"/>
    </w:p>
    <w:p>
      <w:pPr>
        <w:keepNext/>
        <w:keepLines/>
        <w:numPr>
          <w:ilvl w:val="1"/>
          <w:numId w:val="3"/>
        </w:numPr>
        <w:spacing w:before="260" w:after="260" w:line="416" w:lineRule="auto"/>
        <w:outlineLvl w:val="1"/>
        <w:rPr>
          <w:rFonts w:ascii="宋体" w:hAnsi="宋体"/>
          <w:b/>
          <w:bCs/>
          <w:color w:val="auto"/>
          <w:sz w:val="24"/>
        </w:rPr>
      </w:pPr>
      <w:bookmarkStart w:id="75" w:name="_Toc161971039"/>
      <w:r>
        <w:rPr>
          <w:rFonts w:hint="eastAsia" w:ascii="宋体" w:hAnsi="宋体"/>
          <w:b/>
          <w:bCs/>
          <w:color w:val="auto"/>
          <w:sz w:val="24"/>
        </w:rPr>
        <w:t>项目实施要求</w:t>
      </w:r>
      <w:bookmarkEnd w:id="75"/>
    </w:p>
    <w:p>
      <w:pPr>
        <w:spacing w:line="360" w:lineRule="auto"/>
        <w:ind w:firstLine="480" w:firstLineChars="200"/>
        <w:rPr>
          <w:rFonts w:ascii="宋体" w:hAnsi="宋体"/>
          <w:color w:val="auto"/>
          <w:sz w:val="24"/>
        </w:rPr>
      </w:pPr>
      <w:r>
        <w:rPr>
          <w:rFonts w:hint="eastAsia" w:ascii="宋体" w:hAnsi="宋体"/>
          <w:color w:val="auto"/>
          <w:sz w:val="24"/>
        </w:rPr>
        <w:t>为了确保项目的安全顺利进行，投标人有义务进行尽职调研，并针对招标项目的要求，制订出一个详细、充分、可行的项目实施计划，项目实施计划应当至少包括如下主题：</w:t>
      </w:r>
    </w:p>
    <w:p>
      <w:pPr>
        <w:spacing w:line="360" w:lineRule="auto"/>
        <w:ind w:firstLine="480" w:firstLineChars="200"/>
        <w:rPr>
          <w:rFonts w:ascii="宋体" w:hAnsi="宋体"/>
          <w:color w:val="auto"/>
          <w:sz w:val="24"/>
        </w:rPr>
      </w:pPr>
      <w:r>
        <w:rPr>
          <w:rFonts w:hint="eastAsia" w:ascii="宋体" w:hAnsi="宋体"/>
          <w:color w:val="auto"/>
          <w:sz w:val="24"/>
        </w:rPr>
        <w:t>项目集成、系统部署和项目验收：包括集成、部署、试运行和项目验收计划等；</w:t>
      </w:r>
    </w:p>
    <w:p>
      <w:pPr>
        <w:spacing w:line="360" w:lineRule="auto"/>
        <w:ind w:firstLine="480" w:firstLineChars="200"/>
        <w:rPr>
          <w:rFonts w:ascii="宋体" w:hAnsi="宋体"/>
          <w:color w:val="auto"/>
          <w:sz w:val="24"/>
        </w:rPr>
      </w:pPr>
      <w:r>
        <w:rPr>
          <w:rFonts w:hint="eastAsia" w:ascii="宋体" w:hAnsi="宋体"/>
          <w:color w:val="auto"/>
          <w:sz w:val="24"/>
        </w:rPr>
        <w:t>系统集成方案：投标人应根据采购人现有业务系统和招标内容，制定分院新建系统的集成方案，以及总院新添设备的集成方案。</w:t>
      </w:r>
    </w:p>
    <w:p>
      <w:pPr>
        <w:spacing w:line="360" w:lineRule="auto"/>
        <w:ind w:firstLine="480" w:firstLineChars="200"/>
        <w:rPr>
          <w:rFonts w:ascii="宋体" w:hAnsi="宋体"/>
          <w:color w:val="auto"/>
          <w:sz w:val="24"/>
        </w:rPr>
      </w:pPr>
      <w:r>
        <w:rPr>
          <w:rFonts w:hint="eastAsia" w:ascii="宋体" w:hAnsi="宋体"/>
          <w:color w:val="auto"/>
          <w:sz w:val="24"/>
        </w:rPr>
        <w:t>系统部署方案：投标人应根据采购人现有业务系统部署情况，制定分院运行部署，以及分院和总院升级改造的部署方案。</w:t>
      </w:r>
    </w:p>
    <w:p>
      <w:pPr>
        <w:spacing w:line="360" w:lineRule="auto"/>
        <w:ind w:firstLine="480" w:firstLineChars="200"/>
        <w:rPr>
          <w:rFonts w:ascii="宋体" w:hAnsi="宋体"/>
          <w:color w:val="auto"/>
          <w:sz w:val="24"/>
        </w:rPr>
      </w:pPr>
      <w:r>
        <w:rPr>
          <w:rFonts w:hint="eastAsia" w:ascii="宋体" w:hAnsi="宋体"/>
          <w:color w:val="auto"/>
          <w:sz w:val="24"/>
        </w:rPr>
        <w:t>系统升级迁移方案：投标人应根据采购人现有网络、存储及安全系统部署情况，制定针对总分院在系统升级和迁移割接方案，同时升级迁移工作必须在采购人指定日期的时间段内实施。</w:t>
      </w:r>
    </w:p>
    <w:p>
      <w:pPr>
        <w:spacing w:line="360" w:lineRule="auto"/>
        <w:ind w:firstLine="480" w:firstLineChars="200"/>
        <w:rPr>
          <w:rFonts w:ascii="宋体" w:hAnsi="宋体"/>
          <w:color w:val="auto"/>
          <w:sz w:val="24"/>
        </w:rPr>
      </w:pPr>
      <w:r>
        <w:rPr>
          <w:rFonts w:hint="eastAsia" w:ascii="宋体" w:hAnsi="宋体"/>
          <w:color w:val="auto"/>
          <w:sz w:val="24"/>
        </w:rPr>
        <w:t>保修服务计划：包括保修期内的详细运维服务方案等；保修期后运维服务计划（本条不意味招标人承诺投标人一旦中标，保修期后继续由其提供运维服务）。</w:t>
      </w:r>
    </w:p>
    <w:p>
      <w:pPr>
        <w:spacing w:line="360" w:lineRule="auto"/>
        <w:ind w:firstLine="480" w:firstLineChars="200"/>
        <w:rPr>
          <w:rFonts w:ascii="宋体" w:hAnsi="宋体"/>
          <w:color w:val="auto"/>
          <w:sz w:val="24"/>
        </w:rPr>
      </w:pPr>
      <w:r>
        <w:rPr>
          <w:rFonts w:hint="eastAsia" w:ascii="宋体" w:hAnsi="宋体"/>
          <w:color w:val="auto"/>
          <w:sz w:val="24"/>
        </w:rPr>
        <w:t>投标人应当按照上述要求提供尽量详细的项目实施计划，具体到相关人员的工作内容、作业时间和资源进度表等。</w:t>
      </w:r>
    </w:p>
    <w:p>
      <w:pPr>
        <w:spacing w:line="360" w:lineRule="auto"/>
        <w:ind w:firstLine="480" w:firstLineChars="200"/>
        <w:rPr>
          <w:rFonts w:ascii="宋体" w:hAnsi="宋体"/>
          <w:color w:val="auto"/>
          <w:sz w:val="24"/>
        </w:rPr>
      </w:pPr>
      <w:r>
        <w:rPr>
          <w:rFonts w:hint="eastAsia" w:ascii="宋体" w:hAnsi="宋体"/>
          <w:color w:val="auto"/>
          <w:sz w:val="24"/>
        </w:rPr>
        <w:t>投标方需承诺按照招标人制定的总体方案制定其供应货物（或服务）所覆盖系统的分系统实施方案，该方案应安全可靠、运行稳定，方便维护。</w:t>
      </w:r>
    </w:p>
    <w:p>
      <w:pPr>
        <w:spacing w:line="360" w:lineRule="auto"/>
        <w:ind w:firstLine="480" w:firstLineChars="200"/>
        <w:rPr>
          <w:rFonts w:ascii="宋体" w:hAnsi="宋体"/>
          <w:color w:val="auto"/>
          <w:sz w:val="24"/>
        </w:rPr>
      </w:pPr>
      <w:r>
        <w:rPr>
          <w:rFonts w:hint="eastAsia" w:ascii="宋体" w:hAnsi="宋体"/>
          <w:color w:val="auto"/>
          <w:sz w:val="24"/>
        </w:rPr>
        <w:t>投标方提供额外增值服务需写明服务内容。</w:t>
      </w:r>
    </w:p>
    <w:p>
      <w:pPr>
        <w:spacing w:line="360" w:lineRule="auto"/>
        <w:ind w:firstLine="480" w:firstLineChars="200"/>
        <w:rPr>
          <w:rFonts w:ascii="宋体" w:hAnsi="宋体"/>
          <w:color w:val="auto"/>
          <w:sz w:val="24"/>
        </w:rPr>
      </w:pPr>
      <w:r>
        <w:rPr>
          <w:rFonts w:hint="eastAsia" w:ascii="宋体" w:hAnsi="宋体"/>
          <w:color w:val="auto"/>
          <w:sz w:val="24"/>
        </w:rPr>
        <w:t>工期要求：投标方需承诺在合同签订后至2025年</w:t>
      </w:r>
      <w:r>
        <w:rPr>
          <w:rFonts w:ascii="宋体" w:hAnsi="宋体"/>
          <w:color w:val="auto"/>
          <w:sz w:val="24"/>
        </w:rPr>
        <w:t>1</w:t>
      </w:r>
      <w:r>
        <w:rPr>
          <w:rFonts w:hint="eastAsia" w:ascii="宋体" w:hAnsi="宋体"/>
          <w:color w:val="auto"/>
          <w:sz w:val="24"/>
          <w:lang w:val="en-US" w:eastAsia="zh-CN"/>
        </w:rPr>
        <w:t>1</w:t>
      </w:r>
      <w:r>
        <w:rPr>
          <w:rFonts w:hint="eastAsia" w:ascii="宋体" w:hAnsi="宋体"/>
          <w:color w:val="auto"/>
          <w:sz w:val="24"/>
        </w:rPr>
        <w:t>月</w:t>
      </w:r>
      <w:r>
        <w:rPr>
          <w:rFonts w:ascii="宋体" w:hAnsi="宋体"/>
          <w:color w:val="auto"/>
          <w:sz w:val="24"/>
        </w:rPr>
        <w:t>3</w:t>
      </w:r>
      <w:r>
        <w:rPr>
          <w:rFonts w:hint="eastAsia" w:ascii="宋体" w:hAnsi="宋体"/>
          <w:color w:val="auto"/>
          <w:sz w:val="24"/>
          <w:lang w:val="en-US" w:eastAsia="zh-CN"/>
        </w:rPr>
        <w:t>0</w:t>
      </w:r>
      <w:r>
        <w:rPr>
          <w:rFonts w:hint="eastAsia" w:ascii="宋体" w:hAnsi="宋体"/>
          <w:color w:val="auto"/>
          <w:sz w:val="24"/>
        </w:rPr>
        <w:t>日内</w:t>
      </w:r>
      <w:r>
        <w:rPr>
          <w:rFonts w:ascii="宋体" w:hAnsi="宋体"/>
          <w:color w:val="auto"/>
          <w:sz w:val="24"/>
        </w:rPr>
        <w:t>完成项目的整体实施工作并通过验收</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投标人承诺保障项目质量的前提下，按招标要求完成项目交付，并按采购人要求完成验收工作，若未能按时完工，乙方按合同向采购人</w:t>
      </w:r>
      <w:r>
        <w:rPr>
          <w:rFonts w:ascii="宋体" w:hAnsi="宋体"/>
          <w:color w:val="auto"/>
          <w:sz w:val="24"/>
        </w:rPr>
        <w:t>支付违约金。</w:t>
      </w:r>
    </w:p>
    <w:p>
      <w:pPr>
        <w:spacing w:line="360" w:lineRule="auto"/>
        <w:ind w:firstLine="480" w:firstLineChars="200"/>
        <w:rPr>
          <w:rFonts w:ascii="宋体" w:hAnsi="宋体"/>
          <w:color w:val="auto"/>
          <w:sz w:val="24"/>
        </w:rPr>
      </w:pPr>
    </w:p>
    <w:p>
      <w:pPr>
        <w:keepNext/>
        <w:keepLines/>
        <w:numPr>
          <w:ilvl w:val="1"/>
          <w:numId w:val="3"/>
        </w:numPr>
        <w:spacing w:before="260" w:after="260" w:line="416" w:lineRule="auto"/>
        <w:outlineLvl w:val="1"/>
        <w:rPr>
          <w:rFonts w:ascii="宋体" w:hAnsi="宋体"/>
          <w:b/>
          <w:bCs/>
          <w:color w:val="auto"/>
          <w:sz w:val="24"/>
        </w:rPr>
      </w:pPr>
      <w:bookmarkStart w:id="76" w:name="_Toc1385471724"/>
      <w:r>
        <w:rPr>
          <w:rFonts w:hint="eastAsia" w:ascii="宋体" w:hAnsi="宋体"/>
          <w:b/>
          <w:bCs/>
          <w:color w:val="auto"/>
          <w:sz w:val="24"/>
        </w:rPr>
        <w:t>送货、安装、调试要求</w:t>
      </w:r>
      <w:bookmarkEnd w:id="76"/>
    </w:p>
    <w:p>
      <w:pPr>
        <w:spacing w:line="360" w:lineRule="auto"/>
        <w:ind w:firstLine="480" w:firstLineChars="200"/>
        <w:rPr>
          <w:rFonts w:ascii="宋体" w:hAnsi="宋体"/>
          <w:color w:val="auto"/>
          <w:sz w:val="24"/>
        </w:rPr>
      </w:pPr>
      <w:r>
        <w:rPr>
          <w:rFonts w:hint="eastAsia" w:ascii="宋体" w:hAnsi="宋体"/>
          <w:color w:val="auto"/>
          <w:sz w:val="24"/>
        </w:rPr>
        <w:t>要求投标人自签订合同之日起</w:t>
      </w:r>
      <w:r>
        <w:rPr>
          <w:rFonts w:ascii="宋体" w:hAnsi="宋体"/>
          <w:color w:val="auto"/>
          <w:sz w:val="24"/>
        </w:rPr>
        <w:t>30</w:t>
      </w:r>
      <w:r>
        <w:rPr>
          <w:rFonts w:hint="eastAsia" w:ascii="宋体" w:hAnsi="宋体"/>
          <w:color w:val="auto"/>
          <w:sz w:val="24"/>
        </w:rPr>
        <w:t>天内全部相关设备全部货到采购人指定的地点，若未能按时交货，乙方按合同向采购人</w:t>
      </w:r>
      <w:r>
        <w:rPr>
          <w:rFonts w:ascii="宋体" w:hAnsi="宋体"/>
          <w:color w:val="auto"/>
          <w:sz w:val="24"/>
        </w:rPr>
        <w:t>支付违约金。</w:t>
      </w:r>
    </w:p>
    <w:p>
      <w:pPr>
        <w:spacing w:line="360" w:lineRule="auto"/>
        <w:ind w:firstLine="480" w:firstLineChars="200"/>
        <w:rPr>
          <w:rFonts w:ascii="宋体" w:hAnsi="宋体"/>
          <w:color w:val="auto"/>
          <w:sz w:val="24"/>
        </w:rPr>
      </w:pPr>
      <w:r>
        <w:rPr>
          <w:rFonts w:hint="eastAsia" w:ascii="宋体" w:hAnsi="宋体"/>
          <w:color w:val="auto"/>
          <w:sz w:val="24"/>
        </w:rPr>
        <w:t>要求投标方专业技术服务，以满足招标人系统安全、高可用和高效运行为目标，保障系统稳定运行；要求中标方完成中标货物的软、硬件安装，针对客户应用环境进行相应的系统优化，协助解决应用系统迁移过程中出现的技术问题，保证系统集群的安装、测试、迁移工作、容灾及演练、备份及恢复演练的顺利完成，达到其应有处理能力；对于招标人原有系统的调整提供积极的支持，承诺不因为投标人（包括制造商）的原因导致今后系统调整、优化的难以实施。</w:t>
      </w:r>
    </w:p>
    <w:p>
      <w:pPr>
        <w:spacing w:line="360" w:lineRule="auto"/>
        <w:ind w:firstLine="480" w:firstLineChars="200"/>
        <w:rPr>
          <w:rFonts w:ascii="宋体" w:hAnsi="宋体"/>
          <w:color w:val="auto"/>
          <w:sz w:val="24"/>
        </w:rPr>
      </w:pPr>
      <w:r>
        <w:rPr>
          <w:rFonts w:hint="eastAsia" w:ascii="宋体" w:hAnsi="宋体"/>
          <w:color w:val="auto"/>
          <w:sz w:val="24"/>
        </w:rPr>
        <w:t>在系统安装实施过程中及其后试运行期内，按招标人要求随时提供现场支持服务。</w:t>
      </w:r>
    </w:p>
    <w:p>
      <w:pPr>
        <w:keepNext/>
        <w:keepLines/>
        <w:numPr>
          <w:ilvl w:val="1"/>
          <w:numId w:val="3"/>
        </w:numPr>
        <w:spacing w:before="260" w:after="260" w:line="416" w:lineRule="auto"/>
        <w:outlineLvl w:val="1"/>
        <w:rPr>
          <w:rFonts w:ascii="宋体" w:hAnsi="宋体"/>
          <w:b/>
          <w:bCs/>
          <w:color w:val="auto"/>
          <w:sz w:val="24"/>
        </w:rPr>
      </w:pPr>
      <w:bookmarkStart w:id="77" w:name="_Toc458080847"/>
      <w:r>
        <w:rPr>
          <w:rFonts w:hint="eastAsia" w:ascii="宋体" w:hAnsi="宋体"/>
          <w:b/>
          <w:bCs/>
          <w:color w:val="auto"/>
          <w:sz w:val="24"/>
        </w:rPr>
        <w:t>项目组和人员要求</w:t>
      </w:r>
      <w:bookmarkEnd w:id="77"/>
    </w:p>
    <w:p>
      <w:pPr>
        <w:spacing w:line="360" w:lineRule="auto"/>
        <w:ind w:firstLine="482" w:firstLineChars="200"/>
        <w:rPr>
          <w:rFonts w:ascii="宋体" w:hAnsi="宋体"/>
          <w:color w:val="auto"/>
          <w:sz w:val="24"/>
        </w:rPr>
      </w:pPr>
      <w:r>
        <w:rPr>
          <w:rFonts w:hint="eastAsia" w:ascii="宋体" w:hAnsi="宋体"/>
          <w:b/>
          <w:bCs/>
          <w:color w:val="auto"/>
          <w:sz w:val="24"/>
        </w:rPr>
        <w:t>项目经理即项目负责人需要具有信息系统项目管理师证书</w:t>
      </w:r>
      <w:r>
        <w:rPr>
          <w:rFonts w:hint="eastAsia" w:ascii="宋体" w:hAnsi="宋体"/>
          <w:color w:val="auto"/>
          <w:sz w:val="24"/>
        </w:rPr>
        <w:t>，具有相应的专业知识和丰富工作经验的项目经理担任，需提供在职社保证明；</w:t>
      </w:r>
      <w:r>
        <w:rPr>
          <w:rFonts w:hint="eastAsia" w:ascii="宋体" w:hAnsi="宋体" w:cs="宋体"/>
          <w:color w:val="auto"/>
          <w:kern w:val="0"/>
          <w:sz w:val="24"/>
          <w:szCs w:val="22"/>
        </w:rPr>
        <w:t>项目技术人员、专家、项目经理应沟通能力强、合作精神好</w:t>
      </w:r>
      <w:r>
        <w:rPr>
          <w:rFonts w:hint="eastAsia" w:ascii="宋体" w:hAnsi="宋体"/>
          <w:color w:val="auto"/>
          <w:sz w:val="24"/>
        </w:rPr>
        <w:t>，同时具有信息化相关证书</w:t>
      </w:r>
      <w:r>
        <w:rPr>
          <w:rFonts w:hint="eastAsia" w:ascii="宋体" w:hAnsi="宋体" w:cs="宋体"/>
          <w:color w:val="auto"/>
          <w:kern w:val="0"/>
          <w:sz w:val="24"/>
          <w:szCs w:val="22"/>
        </w:rPr>
        <w:t>，技术专业能力得到招标人认可；项目实施成员必须专职此项目服务，未经招标人许可不得兼职或与其它项目复用。</w:t>
      </w:r>
    </w:p>
    <w:p>
      <w:pPr>
        <w:spacing w:line="360" w:lineRule="auto"/>
        <w:ind w:firstLine="480" w:firstLineChars="200"/>
        <w:rPr>
          <w:rFonts w:ascii="宋体" w:hAnsi="宋体"/>
          <w:color w:val="auto"/>
          <w:sz w:val="24"/>
        </w:rPr>
      </w:pPr>
      <w:r>
        <w:rPr>
          <w:rFonts w:hint="eastAsia" w:ascii="宋体" w:hAnsi="宋体"/>
          <w:color w:val="auto"/>
          <w:sz w:val="24"/>
        </w:rPr>
        <w:t>在项目启动后，如果需要更换项目组人员，需与招标人协商并获得书面同意。如投标方提供的项目组人员态度与能力不符合项目要求，招标人有权提出更换人员，投标方必须在</w:t>
      </w:r>
      <w:r>
        <w:rPr>
          <w:rFonts w:ascii="宋体" w:hAnsi="宋体"/>
          <w:color w:val="auto"/>
          <w:sz w:val="24"/>
        </w:rPr>
        <w:t>10个工作日内解决，并对此而延误的项目工期负责。</w:t>
      </w:r>
    </w:p>
    <w:p>
      <w:pPr>
        <w:spacing w:line="360" w:lineRule="auto"/>
        <w:ind w:firstLine="480" w:firstLineChars="200"/>
        <w:rPr>
          <w:rFonts w:ascii="宋体" w:hAnsi="宋体"/>
          <w:color w:val="auto"/>
          <w:sz w:val="24"/>
        </w:rPr>
      </w:pPr>
      <w:r>
        <w:rPr>
          <w:rFonts w:hint="eastAsia" w:ascii="宋体" w:hAnsi="宋体"/>
          <w:color w:val="auto"/>
          <w:sz w:val="24"/>
        </w:rPr>
        <w:t>投标方应提供实施工程的质量控制指标说明和质量控制方法，并提供该工程质量验收标准。这些说明、方法和标准在招标人修改和确认后作为招标人验收的依据。</w:t>
      </w:r>
    </w:p>
    <w:p>
      <w:pPr>
        <w:spacing w:line="360" w:lineRule="auto"/>
        <w:ind w:firstLine="482" w:firstLineChars="200"/>
        <w:rPr>
          <w:rFonts w:ascii="宋体" w:hAnsi="宋体"/>
          <w:b/>
          <w:bCs/>
          <w:color w:val="auto"/>
          <w:sz w:val="24"/>
        </w:rPr>
      </w:pPr>
      <w:r>
        <w:rPr>
          <w:rFonts w:hint="eastAsia" w:ascii="宋体" w:hAnsi="宋体"/>
          <w:b/>
          <w:bCs/>
          <w:color w:val="auto"/>
          <w:sz w:val="24"/>
        </w:rPr>
        <w:t>在项目建设期间：</w:t>
      </w:r>
    </w:p>
    <w:p>
      <w:pPr>
        <w:widowControl/>
        <w:spacing w:line="360" w:lineRule="auto"/>
        <w:ind w:firstLine="482"/>
        <w:rPr>
          <w:rFonts w:ascii="宋体" w:hAnsi="宋体" w:cs="宋体"/>
          <w:color w:val="auto"/>
          <w:kern w:val="0"/>
          <w:sz w:val="24"/>
          <w:szCs w:val="22"/>
        </w:rPr>
      </w:pPr>
      <w:r>
        <w:rPr>
          <w:rFonts w:hint="eastAsia" w:ascii="宋体" w:hAnsi="宋体" w:cs="宋体"/>
          <w:color w:val="auto"/>
          <w:kern w:val="0"/>
          <w:sz w:val="24"/>
          <w:szCs w:val="22"/>
        </w:rPr>
        <w:t>项目团队成员需配备不少于</w:t>
      </w:r>
      <w:r>
        <w:rPr>
          <w:rFonts w:ascii="宋体" w:hAnsi="宋体" w:cs="宋体"/>
          <w:color w:val="auto"/>
          <w:kern w:val="0"/>
          <w:sz w:val="24"/>
          <w:szCs w:val="22"/>
        </w:rPr>
        <w:t>10</w:t>
      </w:r>
      <w:r>
        <w:rPr>
          <w:rFonts w:hint="eastAsia" w:ascii="宋体" w:hAnsi="宋体" w:cs="宋体"/>
          <w:color w:val="auto"/>
          <w:kern w:val="0"/>
          <w:sz w:val="24"/>
          <w:szCs w:val="22"/>
        </w:rPr>
        <w:t>人，提供5</w:t>
      </w:r>
      <w:r>
        <w:rPr>
          <w:rFonts w:ascii="宋体" w:hAnsi="宋体" w:cs="宋体"/>
          <w:color w:val="auto"/>
          <w:kern w:val="0"/>
          <w:sz w:val="24"/>
          <w:szCs w:val="22"/>
        </w:rPr>
        <w:t>*8</w:t>
      </w:r>
      <w:r>
        <w:rPr>
          <w:rFonts w:hint="eastAsia" w:ascii="宋体" w:hAnsi="宋体" w:cs="宋体"/>
          <w:color w:val="auto"/>
          <w:kern w:val="0"/>
          <w:sz w:val="24"/>
          <w:szCs w:val="22"/>
        </w:rPr>
        <w:t>小时技术服务，人员要求：</w:t>
      </w:r>
    </w:p>
    <w:p>
      <w:pPr>
        <w:widowControl/>
        <w:spacing w:line="360" w:lineRule="auto"/>
        <w:ind w:firstLine="482"/>
        <w:rPr>
          <w:rFonts w:ascii="宋体" w:hAnsi="宋体" w:cs="宋体"/>
          <w:color w:val="auto"/>
          <w:kern w:val="0"/>
          <w:sz w:val="24"/>
          <w:szCs w:val="22"/>
        </w:rPr>
      </w:pPr>
      <w:r>
        <w:rPr>
          <w:rFonts w:ascii="宋体" w:hAnsi="宋体" w:cs="宋体"/>
          <w:color w:val="auto"/>
          <w:kern w:val="0"/>
          <w:sz w:val="24"/>
          <w:szCs w:val="22"/>
        </w:rPr>
        <w:t>1</w:t>
      </w:r>
      <w:r>
        <w:rPr>
          <w:rFonts w:hint="eastAsia" w:ascii="宋体" w:hAnsi="宋体" w:cs="宋体"/>
          <w:color w:val="auto"/>
          <w:kern w:val="0"/>
          <w:sz w:val="24"/>
          <w:szCs w:val="22"/>
        </w:rPr>
        <w:t>）项目经理</w:t>
      </w:r>
      <w:r>
        <w:rPr>
          <w:rFonts w:ascii="宋体" w:hAnsi="宋体" w:cs="宋体"/>
          <w:color w:val="auto"/>
          <w:kern w:val="0"/>
          <w:sz w:val="24"/>
          <w:szCs w:val="22"/>
        </w:rPr>
        <w:t>1名</w:t>
      </w:r>
      <w:r>
        <w:rPr>
          <w:rFonts w:hint="eastAsia" w:ascii="宋体" w:hAnsi="宋体" w:cs="宋体"/>
          <w:color w:val="auto"/>
          <w:kern w:val="0"/>
          <w:sz w:val="24"/>
          <w:szCs w:val="22"/>
        </w:rPr>
        <w:t>，负责管理并协调整体工作，需具有</w:t>
      </w:r>
      <w:r>
        <w:rPr>
          <w:rFonts w:hint="eastAsia" w:ascii="宋体" w:hAnsi="宋体"/>
          <w:color w:val="auto"/>
          <w:sz w:val="24"/>
          <w:szCs w:val="22"/>
        </w:rPr>
        <w:t>中华人民共和国住房和城乡建设部颁发的中华人民共和国一级建造师执业资格证书（注册专业为机电工程</w:t>
      </w:r>
      <w:r>
        <w:rPr>
          <w:rFonts w:hint="eastAsia" w:ascii="宋体" w:hAnsi="宋体"/>
          <w:color w:val="auto"/>
          <w:sz w:val="24"/>
        </w:rPr>
        <w:t>）、</w:t>
      </w:r>
      <w:r>
        <w:rPr>
          <w:rFonts w:hint="eastAsia" w:ascii="宋体" w:hAnsi="宋体" w:cs="宋体"/>
          <w:color w:val="auto"/>
          <w:kern w:val="0"/>
          <w:sz w:val="24"/>
          <w:szCs w:val="22"/>
        </w:rPr>
        <w:t>信息系统项目管理师证书，</w:t>
      </w:r>
      <w:r>
        <w:rPr>
          <w:rFonts w:hint="eastAsia" w:ascii="宋体" w:hAnsi="宋体"/>
          <w:color w:val="auto"/>
          <w:sz w:val="24"/>
        </w:rPr>
        <w:t>具有相应的专业知识和丰富工作经验，</w:t>
      </w:r>
      <w:r>
        <w:rPr>
          <w:rFonts w:hint="eastAsia" w:ascii="宋体" w:hAnsi="宋体" w:cs="宋体"/>
          <w:color w:val="auto"/>
          <w:kern w:val="0"/>
          <w:sz w:val="24"/>
        </w:rPr>
        <w:t>具有信息系统集成项目经验且担任项目负责人岗位</w:t>
      </w:r>
      <w:r>
        <w:rPr>
          <w:rFonts w:hint="eastAsia" w:ascii="宋体" w:hAnsi="宋体"/>
          <w:color w:val="auto"/>
          <w:sz w:val="24"/>
        </w:rPr>
        <w:t>的优先考虑</w:t>
      </w:r>
      <w:r>
        <w:rPr>
          <w:rFonts w:hint="eastAsia" w:ascii="宋体" w:hAnsi="宋体" w:cs="宋体"/>
          <w:color w:val="auto"/>
          <w:kern w:val="0"/>
          <w:sz w:val="24"/>
          <w:szCs w:val="22"/>
        </w:rPr>
        <w:t>；</w:t>
      </w:r>
    </w:p>
    <w:p>
      <w:pPr>
        <w:widowControl/>
        <w:spacing w:line="360" w:lineRule="auto"/>
        <w:ind w:firstLine="482"/>
        <w:rPr>
          <w:rFonts w:ascii="宋体" w:hAnsi="宋体" w:cs="宋体"/>
          <w:color w:val="auto"/>
          <w:kern w:val="0"/>
          <w:sz w:val="24"/>
          <w:szCs w:val="22"/>
        </w:rPr>
      </w:pPr>
      <w:r>
        <w:rPr>
          <w:rFonts w:ascii="宋体" w:hAnsi="宋体" w:cs="宋体"/>
          <w:color w:val="auto"/>
          <w:kern w:val="0"/>
          <w:sz w:val="24"/>
          <w:szCs w:val="22"/>
        </w:rPr>
        <w:t>2</w:t>
      </w:r>
      <w:r>
        <w:rPr>
          <w:rFonts w:hint="eastAsia" w:ascii="宋体" w:hAnsi="宋体" w:cs="宋体"/>
          <w:color w:val="auto"/>
          <w:kern w:val="0"/>
          <w:sz w:val="24"/>
          <w:szCs w:val="22"/>
        </w:rPr>
        <w:t>）项目经理助理1名，负责辅助项目经理工作，与软硬件厂商</w:t>
      </w:r>
      <w:r>
        <w:rPr>
          <w:rFonts w:hint="eastAsia" w:ascii="宋体" w:hAnsi="宋体"/>
          <w:color w:val="auto"/>
          <w:sz w:val="24"/>
        </w:rPr>
        <w:t>及服务提供方沟通、协调，相关文档的处理工作等，需具有信息化相关的中级及以上工程师证书；</w:t>
      </w:r>
    </w:p>
    <w:p>
      <w:pPr>
        <w:widowControl/>
        <w:spacing w:line="360" w:lineRule="auto"/>
        <w:ind w:firstLine="482"/>
        <w:rPr>
          <w:rFonts w:ascii="宋体" w:hAnsi="宋体"/>
          <w:color w:val="auto"/>
          <w:sz w:val="24"/>
        </w:rPr>
      </w:pPr>
      <w:r>
        <w:rPr>
          <w:rFonts w:hint="eastAsia" w:ascii="宋体" w:hAnsi="宋体" w:cs="宋体"/>
          <w:color w:val="auto"/>
          <w:kern w:val="0"/>
          <w:sz w:val="24"/>
          <w:szCs w:val="22"/>
        </w:rPr>
        <w:t>2）</w:t>
      </w:r>
      <w:r>
        <w:rPr>
          <w:rFonts w:hint="eastAsia" w:ascii="宋体" w:hAnsi="宋体"/>
          <w:color w:val="auto"/>
          <w:sz w:val="24"/>
        </w:rPr>
        <w:t>网络工程师</w:t>
      </w:r>
      <w:r>
        <w:rPr>
          <w:rFonts w:ascii="宋体" w:hAnsi="宋体" w:cs="宋体"/>
          <w:color w:val="auto"/>
          <w:kern w:val="0"/>
          <w:sz w:val="24"/>
          <w:szCs w:val="22"/>
        </w:rPr>
        <w:t>2</w:t>
      </w:r>
      <w:r>
        <w:rPr>
          <w:rFonts w:hint="eastAsia" w:ascii="宋体" w:hAnsi="宋体" w:cs="宋体"/>
          <w:color w:val="auto"/>
          <w:kern w:val="0"/>
          <w:sz w:val="24"/>
          <w:szCs w:val="22"/>
        </w:rPr>
        <w:t>名，负责管理并协调现场网络建设工作，至少1名人员需具有</w:t>
      </w:r>
      <w:r>
        <w:rPr>
          <w:rFonts w:hint="eastAsia" w:ascii="宋体" w:hAnsi="宋体"/>
          <w:color w:val="auto"/>
          <w:sz w:val="24"/>
        </w:rPr>
        <w:t>网络工程师证书；</w:t>
      </w:r>
    </w:p>
    <w:p>
      <w:pPr>
        <w:widowControl/>
        <w:spacing w:line="360" w:lineRule="auto"/>
        <w:ind w:firstLine="482"/>
        <w:rPr>
          <w:rFonts w:ascii="宋体" w:hAnsi="宋体" w:cs="宋体"/>
          <w:color w:val="auto"/>
          <w:kern w:val="0"/>
          <w:sz w:val="24"/>
          <w:szCs w:val="22"/>
        </w:rPr>
      </w:pPr>
      <w:r>
        <w:rPr>
          <w:rFonts w:hint="eastAsia" w:ascii="宋体" w:hAnsi="宋体" w:cs="宋体"/>
          <w:color w:val="auto"/>
          <w:kern w:val="0"/>
          <w:sz w:val="24"/>
          <w:szCs w:val="22"/>
        </w:rPr>
        <w:t>3）软件开发人员</w:t>
      </w:r>
      <w:r>
        <w:rPr>
          <w:rFonts w:ascii="宋体" w:hAnsi="宋体" w:cs="宋体"/>
          <w:color w:val="auto"/>
          <w:kern w:val="0"/>
          <w:sz w:val="24"/>
          <w:szCs w:val="22"/>
        </w:rPr>
        <w:t>4</w:t>
      </w:r>
      <w:r>
        <w:rPr>
          <w:rFonts w:hint="eastAsia" w:ascii="宋体" w:hAnsi="宋体" w:cs="宋体"/>
          <w:color w:val="auto"/>
          <w:kern w:val="0"/>
          <w:sz w:val="24"/>
          <w:szCs w:val="22"/>
        </w:rPr>
        <w:t>名，负责项目中应用软件开发工作，至少</w:t>
      </w:r>
      <w:r>
        <w:rPr>
          <w:rFonts w:ascii="宋体" w:hAnsi="宋体" w:cs="宋体"/>
          <w:color w:val="auto"/>
          <w:kern w:val="0"/>
          <w:sz w:val="24"/>
          <w:szCs w:val="22"/>
        </w:rPr>
        <w:t>1</w:t>
      </w:r>
      <w:r>
        <w:rPr>
          <w:rFonts w:hint="eastAsia" w:ascii="宋体" w:hAnsi="宋体" w:cs="宋体"/>
          <w:color w:val="auto"/>
          <w:kern w:val="0"/>
          <w:sz w:val="24"/>
          <w:szCs w:val="22"/>
        </w:rPr>
        <w:t>名人员具备高级工程师证书；</w:t>
      </w:r>
    </w:p>
    <w:p>
      <w:pPr>
        <w:widowControl/>
        <w:spacing w:line="360" w:lineRule="auto"/>
        <w:ind w:firstLine="482"/>
        <w:rPr>
          <w:rFonts w:ascii="宋体" w:hAnsi="宋体" w:cs="宋体"/>
          <w:color w:val="auto"/>
          <w:kern w:val="0"/>
          <w:sz w:val="24"/>
          <w:szCs w:val="22"/>
        </w:rPr>
      </w:pPr>
      <w:r>
        <w:rPr>
          <w:rFonts w:hint="eastAsia" w:ascii="宋体" w:hAnsi="宋体" w:cs="宋体"/>
          <w:color w:val="auto"/>
          <w:kern w:val="0"/>
          <w:sz w:val="24"/>
          <w:szCs w:val="22"/>
        </w:rPr>
        <w:t>4）硬件工程师</w:t>
      </w:r>
      <w:r>
        <w:rPr>
          <w:rFonts w:ascii="宋体" w:hAnsi="宋体" w:cs="宋体"/>
          <w:color w:val="auto"/>
          <w:kern w:val="0"/>
          <w:sz w:val="24"/>
          <w:szCs w:val="22"/>
        </w:rPr>
        <w:t>1</w:t>
      </w:r>
      <w:r>
        <w:rPr>
          <w:rFonts w:hint="eastAsia" w:ascii="宋体" w:hAnsi="宋体" w:cs="宋体"/>
          <w:color w:val="auto"/>
          <w:kern w:val="0"/>
          <w:sz w:val="24"/>
          <w:szCs w:val="22"/>
        </w:rPr>
        <w:t>名，负责硬件设备的安装、部署、调试等工作</w:t>
      </w:r>
      <w:r>
        <w:rPr>
          <w:rFonts w:hint="eastAsia" w:ascii="宋体" w:hAnsi="宋体"/>
          <w:color w:val="auto"/>
          <w:sz w:val="24"/>
        </w:rPr>
        <w:t>，需具有信息化相关的中级及以上工程师证书</w:t>
      </w:r>
      <w:r>
        <w:rPr>
          <w:rFonts w:hint="eastAsia" w:ascii="宋体" w:hAnsi="宋体" w:cs="宋体"/>
          <w:color w:val="auto"/>
          <w:kern w:val="0"/>
          <w:sz w:val="24"/>
          <w:szCs w:val="22"/>
        </w:rPr>
        <w:t>；</w:t>
      </w:r>
    </w:p>
    <w:p>
      <w:pPr>
        <w:widowControl/>
        <w:spacing w:line="360" w:lineRule="auto"/>
        <w:ind w:firstLine="482"/>
        <w:rPr>
          <w:rFonts w:ascii="宋体" w:hAnsi="宋体" w:cs="宋体"/>
          <w:color w:val="auto"/>
          <w:kern w:val="0"/>
          <w:sz w:val="24"/>
          <w:szCs w:val="22"/>
        </w:rPr>
      </w:pPr>
      <w:r>
        <w:rPr>
          <w:rFonts w:hint="eastAsia" w:ascii="宋体" w:hAnsi="宋体" w:cs="宋体"/>
          <w:color w:val="auto"/>
          <w:kern w:val="0"/>
          <w:sz w:val="24"/>
          <w:szCs w:val="22"/>
        </w:rPr>
        <w:t>5）安全工程师</w:t>
      </w:r>
      <w:r>
        <w:rPr>
          <w:rFonts w:ascii="宋体" w:hAnsi="宋体" w:cs="宋体"/>
          <w:color w:val="auto"/>
          <w:kern w:val="0"/>
          <w:sz w:val="24"/>
          <w:szCs w:val="22"/>
        </w:rPr>
        <w:t>1</w:t>
      </w:r>
      <w:r>
        <w:rPr>
          <w:rFonts w:hint="eastAsia" w:ascii="宋体" w:hAnsi="宋体" w:cs="宋体"/>
          <w:color w:val="auto"/>
          <w:kern w:val="0"/>
          <w:sz w:val="24"/>
          <w:szCs w:val="22"/>
        </w:rPr>
        <w:t>名，负责安全设备的安全策略配置、漏扫、渗透测试等工作</w:t>
      </w:r>
      <w:r>
        <w:rPr>
          <w:rFonts w:hint="eastAsia" w:ascii="宋体" w:hAnsi="宋体"/>
          <w:color w:val="auto"/>
          <w:sz w:val="24"/>
        </w:rPr>
        <w:t>，需具有注册信息安全专业人员证书（CISP）</w:t>
      </w:r>
      <w:r>
        <w:rPr>
          <w:rFonts w:hint="eastAsia" w:ascii="宋体" w:hAnsi="宋体" w:cs="宋体"/>
          <w:color w:val="auto"/>
          <w:kern w:val="0"/>
          <w:sz w:val="24"/>
          <w:szCs w:val="22"/>
        </w:rPr>
        <w:t>。</w:t>
      </w:r>
    </w:p>
    <w:p>
      <w:pPr>
        <w:spacing w:line="360" w:lineRule="auto"/>
        <w:ind w:firstLine="482" w:firstLineChars="200"/>
        <w:rPr>
          <w:rFonts w:ascii="宋体" w:hAnsi="宋体"/>
          <w:b/>
          <w:bCs/>
          <w:color w:val="auto"/>
          <w:sz w:val="24"/>
          <w:szCs w:val="22"/>
        </w:rPr>
      </w:pPr>
      <w:r>
        <w:rPr>
          <w:rFonts w:hint="eastAsia" w:ascii="宋体" w:hAnsi="宋体"/>
          <w:b/>
          <w:bCs/>
          <w:color w:val="auto"/>
          <w:sz w:val="24"/>
          <w:szCs w:val="22"/>
        </w:rPr>
        <w:t>在项目免费维保期：</w:t>
      </w:r>
    </w:p>
    <w:p>
      <w:pPr>
        <w:spacing w:line="360" w:lineRule="auto"/>
        <w:ind w:firstLine="480" w:firstLineChars="200"/>
        <w:rPr>
          <w:rFonts w:ascii="宋体" w:hAnsi="宋体" w:cs="黑体"/>
          <w:color w:val="auto"/>
          <w:sz w:val="24"/>
          <w:szCs w:val="22"/>
        </w:rPr>
      </w:pPr>
      <w:r>
        <w:rPr>
          <w:rFonts w:hint="eastAsia" w:ascii="宋体" w:hAnsi="宋体" w:cs="黑体"/>
          <w:color w:val="auto"/>
          <w:sz w:val="24"/>
          <w:szCs w:val="22"/>
        </w:rPr>
        <w:t>因为本次采购的设备和相关应用等上线后需要试运行，需配备相关人员提供技术服务，随时响应，确保整体业务的稳定运行。</w:t>
      </w:r>
    </w:p>
    <w:p>
      <w:pPr>
        <w:widowControl/>
        <w:numPr>
          <w:ilvl w:val="0"/>
          <w:numId w:val="9"/>
        </w:numPr>
        <w:spacing w:line="360" w:lineRule="auto"/>
        <w:rPr>
          <w:rFonts w:ascii="宋体" w:hAnsi="宋体"/>
          <w:color w:val="auto"/>
          <w:sz w:val="24"/>
        </w:rPr>
      </w:pPr>
      <w:r>
        <w:rPr>
          <w:rFonts w:hint="eastAsia" w:ascii="宋体" w:hAnsi="宋体"/>
          <w:color w:val="auto"/>
          <w:sz w:val="24"/>
        </w:rPr>
        <w:t>提供现场驻场运维工程师</w:t>
      </w:r>
      <w:r>
        <w:rPr>
          <w:rFonts w:ascii="宋体" w:hAnsi="宋体"/>
          <w:color w:val="auto"/>
          <w:sz w:val="24"/>
        </w:rPr>
        <w:t>3</w:t>
      </w:r>
      <w:r>
        <w:rPr>
          <w:rFonts w:hint="eastAsia" w:ascii="宋体" w:hAnsi="宋体"/>
          <w:color w:val="auto"/>
          <w:sz w:val="24"/>
        </w:rPr>
        <w:t>名，全面负责管理并协调整体现场软硬件运维工作，需具有信息系统项目管理师</w:t>
      </w:r>
      <w:r>
        <w:rPr>
          <w:rFonts w:hint="eastAsia" w:ascii="宋体" w:hAnsi="宋体"/>
          <w:color w:val="auto"/>
          <w:sz w:val="24"/>
          <w:lang w:eastAsia="zh-Hans"/>
        </w:rPr>
        <w:t>、高级工程师</w:t>
      </w:r>
      <w:r>
        <w:rPr>
          <w:rFonts w:hint="eastAsia" w:ascii="宋体" w:hAnsi="宋体"/>
          <w:color w:val="auto"/>
          <w:sz w:val="24"/>
        </w:rPr>
        <w:t>等相关证书；俱备整个系统维护工作的执行和管理能力。包括运行状态进行例行检查、每日应用问题的处理、使用支持、统计数据核对，应用培训指导等方面的服务。</w:t>
      </w:r>
    </w:p>
    <w:p>
      <w:pPr>
        <w:widowControl/>
        <w:spacing w:line="360" w:lineRule="auto"/>
        <w:ind w:firstLine="480" w:firstLineChars="200"/>
        <w:rPr>
          <w:rFonts w:ascii="宋体" w:hAnsi="宋体" w:cs="宋体"/>
          <w:color w:val="auto"/>
          <w:kern w:val="0"/>
          <w:sz w:val="24"/>
          <w:szCs w:val="22"/>
        </w:rPr>
      </w:pPr>
      <w:r>
        <w:rPr>
          <w:rFonts w:hint="eastAsia" w:ascii="宋体" w:hAnsi="宋体" w:cs="黑体"/>
          <w:color w:val="auto"/>
          <w:sz w:val="24"/>
          <w:szCs w:val="22"/>
        </w:rPr>
        <w:t>项目团队以及运维团队所有人员需提供本单位在职证明。 需提供人员资质证书、社保缴费证明材料复印件并加盖公章。在投标文件中投标方需提供完成本项目的专业技术人员名单及工作内容。投标方需提供相应的承诺函。</w:t>
      </w:r>
    </w:p>
    <w:p>
      <w:pPr>
        <w:keepNext/>
        <w:keepLines/>
        <w:numPr>
          <w:ilvl w:val="1"/>
          <w:numId w:val="3"/>
        </w:numPr>
        <w:spacing w:before="260" w:after="260" w:line="416" w:lineRule="auto"/>
        <w:outlineLvl w:val="1"/>
        <w:rPr>
          <w:rFonts w:ascii="宋体" w:hAnsi="宋体"/>
          <w:b/>
          <w:bCs/>
          <w:color w:val="auto"/>
          <w:sz w:val="24"/>
        </w:rPr>
      </w:pPr>
      <w:bookmarkStart w:id="78" w:name="_Toc235921034"/>
      <w:r>
        <w:rPr>
          <w:rFonts w:hint="eastAsia" w:ascii="宋体" w:hAnsi="宋体"/>
          <w:b/>
          <w:bCs/>
          <w:color w:val="auto"/>
          <w:sz w:val="24"/>
        </w:rPr>
        <w:t>售后服务要求</w:t>
      </w:r>
      <w:bookmarkEnd w:id="78"/>
    </w:p>
    <w:p>
      <w:pPr>
        <w:spacing w:line="360" w:lineRule="auto"/>
        <w:ind w:firstLine="480" w:firstLineChars="200"/>
        <w:rPr>
          <w:rFonts w:ascii="宋体" w:hAnsi="宋体"/>
          <w:color w:val="auto"/>
          <w:sz w:val="24"/>
        </w:rPr>
      </w:pPr>
      <w:r>
        <w:rPr>
          <w:rFonts w:hint="eastAsia" w:ascii="宋体" w:hAnsi="宋体"/>
          <w:color w:val="auto"/>
          <w:sz w:val="24"/>
        </w:rPr>
        <w:t>投标人必须提供硬件产品质保三年的服务（其中部分产品五年，详见清单），</w:t>
      </w:r>
      <w:r>
        <w:rPr>
          <w:rFonts w:hint="eastAsia" w:ascii="Calibri" w:hAnsi="Calibri"/>
          <w:color w:val="auto"/>
          <w:sz w:val="24"/>
        </w:rPr>
        <w:t>软件产品及定制开发软件质保一年。</w:t>
      </w:r>
    </w:p>
    <w:p>
      <w:pPr>
        <w:spacing w:line="360" w:lineRule="auto"/>
        <w:ind w:firstLine="480" w:firstLineChars="200"/>
        <w:rPr>
          <w:rFonts w:ascii="宋体" w:hAnsi="宋体"/>
          <w:color w:val="auto"/>
          <w:sz w:val="24"/>
        </w:rPr>
      </w:pPr>
      <w:r>
        <w:rPr>
          <w:rFonts w:hint="eastAsia" w:ascii="宋体" w:hAnsi="宋体"/>
          <w:color w:val="auto"/>
          <w:sz w:val="24"/>
        </w:rPr>
        <w:t>质保期内，提供7×24（每周7天，每天24小时）质量保障服务；对故障报修无条件及时响应，在收到设备故障通知后，在</w:t>
      </w:r>
      <w:r>
        <w:rPr>
          <w:rFonts w:ascii="宋体" w:hAnsi="宋体"/>
          <w:color w:val="auto"/>
          <w:sz w:val="24"/>
        </w:rPr>
        <w:t>2</w:t>
      </w:r>
      <w:r>
        <w:rPr>
          <w:rFonts w:hint="eastAsia" w:ascii="宋体" w:hAnsi="宋体"/>
          <w:color w:val="auto"/>
          <w:sz w:val="24"/>
        </w:rPr>
        <w:t>小时内到达故障现场，到达现场后0.5小时内做出应急处理，保障不影响生产系统的可靠运行；到达现场后</w:t>
      </w:r>
      <w:r>
        <w:rPr>
          <w:rFonts w:ascii="宋体" w:hAnsi="宋体"/>
          <w:color w:val="auto"/>
          <w:sz w:val="24"/>
        </w:rPr>
        <w:t>3</w:t>
      </w:r>
      <w:r>
        <w:rPr>
          <w:rFonts w:hint="eastAsia" w:ascii="宋体" w:hAnsi="宋体"/>
          <w:color w:val="auto"/>
          <w:sz w:val="24"/>
        </w:rPr>
        <w:t>小时内排除一般故障，4小时内排除严重故障。如遇设备硬件故障无法在12小时内及时解决的，需提供同等功能及性能的备用设备供用户临时使用，投标人需提供备品备件清单,备品备件可以提供仓储服务优先考虑。</w:t>
      </w:r>
    </w:p>
    <w:p>
      <w:pPr>
        <w:spacing w:line="360" w:lineRule="auto"/>
        <w:ind w:firstLine="480" w:firstLineChars="200"/>
        <w:rPr>
          <w:rFonts w:ascii="宋体" w:hAnsi="宋体"/>
          <w:color w:val="auto"/>
          <w:sz w:val="24"/>
        </w:rPr>
      </w:pPr>
      <w:r>
        <w:rPr>
          <w:rFonts w:hint="eastAsia" w:ascii="宋体" w:hAnsi="宋体"/>
          <w:color w:val="auto"/>
          <w:sz w:val="24"/>
        </w:rPr>
        <w:t>每季度进行设备定期现场巡检，检查产品运行状况，解决运行过程中遇到的问题，分析客户运行记录和系统日志，提出系统管理改进建议。在每次服务完毕后5个工作日内提交服务报告，并且每年提交一次年度服务总结报告。</w:t>
      </w:r>
    </w:p>
    <w:p>
      <w:pPr>
        <w:spacing w:line="360" w:lineRule="auto"/>
        <w:ind w:firstLine="480" w:firstLineChars="200"/>
        <w:rPr>
          <w:rFonts w:ascii="宋体" w:hAnsi="宋体" w:eastAsia="仿宋"/>
          <w:color w:val="auto"/>
          <w:sz w:val="28"/>
        </w:rPr>
      </w:pPr>
      <w:r>
        <w:rPr>
          <w:rFonts w:hint="eastAsia" w:ascii="宋体" w:hAnsi="宋体"/>
          <w:color w:val="auto"/>
          <w:sz w:val="24"/>
        </w:rPr>
        <w:t>每次现场服务后均需向招标人提交《维护技术服务工作报告》，对未完全解决的问题，服务工程师需至少每周与招标人工程师联系，跟踪问题，分析协商处理方案，直至问题解决</w:t>
      </w:r>
      <w:r>
        <w:rPr>
          <w:rFonts w:hint="eastAsia" w:ascii="宋体" w:hAnsi="宋体" w:eastAsia="仿宋"/>
          <w:color w:val="auto"/>
          <w:sz w:val="28"/>
        </w:rPr>
        <w:t>。</w:t>
      </w:r>
    </w:p>
    <w:p>
      <w:pPr>
        <w:keepNext/>
        <w:keepLines/>
        <w:numPr>
          <w:ilvl w:val="1"/>
          <w:numId w:val="3"/>
        </w:numPr>
        <w:spacing w:before="260" w:after="260" w:line="416" w:lineRule="auto"/>
        <w:outlineLvl w:val="1"/>
        <w:rPr>
          <w:rFonts w:ascii="宋体" w:hAnsi="宋体"/>
          <w:b/>
          <w:bCs/>
          <w:color w:val="auto"/>
          <w:sz w:val="24"/>
        </w:rPr>
      </w:pPr>
      <w:bookmarkStart w:id="79" w:name="_Toc870006076"/>
      <w:r>
        <w:rPr>
          <w:rFonts w:hint="eastAsia" w:ascii="宋体" w:hAnsi="宋体"/>
          <w:b/>
          <w:bCs/>
          <w:color w:val="auto"/>
          <w:sz w:val="24"/>
        </w:rPr>
        <w:t>过程文件、技术文档、验收文档相关要求</w:t>
      </w:r>
      <w:bookmarkEnd w:id="79"/>
    </w:p>
    <w:p>
      <w:pPr>
        <w:spacing w:line="360" w:lineRule="auto"/>
        <w:ind w:firstLine="480" w:firstLineChars="200"/>
        <w:rPr>
          <w:rFonts w:ascii="宋体" w:hAnsi="宋体"/>
          <w:color w:val="auto"/>
          <w:sz w:val="24"/>
        </w:rPr>
      </w:pPr>
      <w:r>
        <w:rPr>
          <w:rFonts w:hint="eastAsia" w:ascii="宋体" w:hAnsi="宋体"/>
          <w:color w:val="auto"/>
          <w:sz w:val="24"/>
        </w:rPr>
        <w:t>投标人负责整个开办信息化项目的全过程相关文档收集、编制，相应文档，满足市经信委项目专项验收要求。提供的项目文档应与其提供的设备相一致，项目文档应该全面、详细、准确，投标人在各种软硬件安装开始和运行正常验收结束时，应向招标人提供技术文档，包括但不仅限于以下内容：</w:t>
      </w:r>
    </w:p>
    <w:p>
      <w:pPr>
        <w:numPr>
          <w:ilvl w:val="0"/>
          <w:numId w:val="10"/>
        </w:numPr>
        <w:spacing w:line="360" w:lineRule="auto"/>
        <w:rPr>
          <w:rFonts w:ascii="宋体" w:hAnsi="宋体"/>
          <w:color w:val="auto"/>
          <w:sz w:val="24"/>
        </w:rPr>
      </w:pPr>
      <w:r>
        <w:rPr>
          <w:rFonts w:hint="eastAsia" w:ascii="宋体" w:hAnsi="宋体"/>
          <w:color w:val="auto"/>
          <w:sz w:val="24"/>
        </w:rPr>
        <w:t>项目文件：按国家和上海市相关规定提供项目资料及文档，同时接受项目监理单位监理。规范要求的所有软硬件设备的初始配置、安装、调试、运行、使用、测试、诊断的技术文件；</w:t>
      </w:r>
    </w:p>
    <w:p>
      <w:pPr>
        <w:numPr>
          <w:ilvl w:val="0"/>
          <w:numId w:val="10"/>
        </w:numPr>
        <w:spacing w:line="360" w:lineRule="auto"/>
        <w:rPr>
          <w:rFonts w:ascii="宋体" w:hAnsi="宋体"/>
          <w:color w:val="auto"/>
          <w:sz w:val="24"/>
        </w:rPr>
      </w:pPr>
      <w:r>
        <w:rPr>
          <w:rFonts w:hint="eastAsia" w:ascii="宋体" w:hAnsi="宋体"/>
          <w:color w:val="auto"/>
          <w:sz w:val="24"/>
        </w:rPr>
        <w:t>系统验收时收集各项验收数据，汇总成册，并对所集成的系统进行综合评估。所有的设备技术文件必须是中文或英文，其它文档提供中文版本。投标文件必须列出在整个实施过程中所产生和需向招标人提交的详细文档清单，包括文档提交的计划安排；</w:t>
      </w:r>
    </w:p>
    <w:p>
      <w:pPr>
        <w:numPr>
          <w:ilvl w:val="0"/>
          <w:numId w:val="10"/>
        </w:numPr>
        <w:spacing w:line="360" w:lineRule="auto"/>
        <w:rPr>
          <w:rFonts w:ascii="宋体" w:hAnsi="宋体"/>
          <w:color w:val="auto"/>
          <w:sz w:val="24"/>
        </w:rPr>
      </w:pPr>
      <w:r>
        <w:rPr>
          <w:rFonts w:hint="eastAsia" w:ascii="宋体" w:hAnsi="宋体"/>
          <w:color w:val="auto"/>
          <w:sz w:val="24"/>
        </w:rPr>
        <w:t>相关检测报告：包括网络安全的漏洞扫描报告以及渗透测试报告、应用软件的软件功能测试报告等；</w:t>
      </w:r>
    </w:p>
    <w:p>
      <w:pPr>
        <w:numPr>
          <w:ilvl w:val="0"/>
          <w:numId w:val="10"/>
        </w:numPr>
        <w:spacing w:line="360" w:lineRule="auto"/>
        <w:rPr>
          <w:rFonts w:ascii="宋体" w:hAnsi="宋体"/>
          <w:color w:val="auto"/>
          <w:sz w:val="24"/>
        </w:rPr>
      </w:pPr>
      <w:r>
        <w:rPr>
          <w:rFonts w:hint="eastAsia" w:ascii="宋体" w:hAnsi="宋体"/>
          <w:color w:val="auto"/>
          <w:sz w:val="24"/>
        </w:rPr>
        <w:t>其他技术文档：包括招标人手册、操作手册、维护手册、系统技术手册、招标人要求的其他文档。</w:t>
      </w:r>
    </w:p>
    <w:p>
      <w:pPr>
        <w:spacing w:line="360" w:lineRule="auto"/>
        <w:ind w:firstLine="480" w:firstLineChars="200"/>
        <w:rPr>
          <w:rFonts w:ascii="宋体" w:hAnsi="宋体"/>
          <w:color w:val="auto"/>
          <w:sz w:val="24"/>
        </w:rPr>
      </w:pPr>
      <w:r>
        <w:rPr>
          <w:rFonts w:hint="eastAsia" w:ascii="宋体" w:hAnsi="宋体"/>
          <w:color w:val="auto"/>
          <w:sz w:val="24"/>
        </w:rPr>
        <w:t>投标人应明确系统所需软硬件配置的清单及对运行环境要求，说明产品的作用、用法、性能指标、使用范围等。如果因清单不完整而后需要额外的产品或费用，由投标人负责。如果在实际使用过程中不符合或不能达到书面说明的功能和性能要求，投标人需承担损失，必须免费补齐必要的软件和补丁。因此，必须明确哪些功能或指标是招标人订购产品中承诺的，哪些不含在订购产品中。如果没有明确指明不属于订购产品的特性，视为包含在订购产品中。</w:t>
      </w:r>
    </w:p>
    <w:p>
      <w:pPr>
        <w:keepNext/>
        <w:keepLines/>
        <w:numPr>
          <w:ilvl w:val="1"/>
          <w:numId w:val="3"/>
        </w:numPr>
        <w:spacing w:before="260" w:after="260" w:line="416" w:lineRule="auto"/>
        <w:outlineLvl w:val="1"/>
        <w:rPr>
          <w:rFonts w:ascii="宋体" w:hAnsi="宋体"/>
          <w:b/>
          <w:bCs/>
          <w:color w:val="auto"/>
          <w:sz w:val="24"/>
        </w:rPr>
      </w:pPr>
      <w:bookmarkStart w:id="80" w:name="_Toc2123450556"/>
      <w:r>
        <w:rPr>
          <w:rFonts w:hint="eastAsia" w:ascii="宋体" w:hAnsi="宋体"/>
          <w:b/>
          <w:bCs/>
          <w:color w:val="auto"/>
          <w:sz w:val="24"/>
        </w:rPr>
        <w:t>验收要求</w:t>
      </w:r>
      <w:bookmarkEnd w:id="80"/>
    </w:p>
    <w:p>
      <w:pPr>
        <w:spacing w:line="360" w:lineRule="auto"/>
        <w:ind w:firstLine="480" w:firstLineChars="200"/>
        <w:rPr>
          <w:rFonts w:ascii="宋体" w:hAnsi="宋体"/>
          <w:color w:val="auto"/>
          <w:sz w:val="24"/>
        </w:rPr>
      </w:pPr>
      <w:r>
        <w:rPr>
          <w:rFonts w:hint="eastAsia" w:ascii="宋体" w:hAnsi="宋体"/>
          <w:color w:val="auto"/>
          <w:sz w:val="24"/>
        </w:rPr>
        <w:t>投标方应提供实施工程的质量控制指标说明和质量控制方法，并提供该工程质量验收标准。这些说明、方法和标准在招标人修改和确认后作为招标人验收的依据。投标内容需通过第三方安全测评、软件测评。</w:t>
      </w:r>
    </w:p>
    <w:p>
      <w:pPr>
        <w:spacing w:line="360" w:lineRule="auto"/>
        <w:ind w:firstLine="480" w:firstLineChars="200"/>
        <w:rPr>
          <w:rFonts w:ascii="宋体" w:hAnsi="宋体"/>
          <w:color w:val="auto"/>
          <w:sz w:val="24"/>
        </w:rPr>
      </w:pPr>
      <w:r>
        <w:rPr>
          <w:rFonts w:hint="eastAsia" w:ascii="宋体" w:hAnsi="宋体"/>
          <w:color w:val="auto"/>
          <w:sz w:val="24"/>
        </w:rPr>
        <w:t>本项目将经过上海交通大学医学院附属上海儿童医学中心及有关部门的验收，投标人将与招标人以及各方专家共同组成验收小组对项目进行验收，项目验收合格后，双方人员签署《验收合格报告》。</w:t>
      </w:r>
    </w:p>
    <w:p>
      <w:pPr>
        <w:keepNext/>
        <w:keepLines/>
        <w:numPr>
          <w:ilvl w:val="1"/>
          <w:numId w:val="3"/>
        </w:numPr>
        <w:spacing w:before="260" w:after="260" w:line="416" w:lineRule="auto"/>
        <w:outlineLvl w:val="1"/>
        <w:rPr>
          <w:rFonts w:ascii="宋体" w:hAnsi="宋体"/>
          <w:b/>
          <w:bCs/>
          <w:color w:val="auto"/>
          <w:sz w:val="24"/>
        </w:rPr>
      </w:pPr>
      <w:bookmarkStart w:id="81" w:name="_Toc1950248846"/>
      <w:r>
        <w:rPr>
          <w:rFonts w:hint="eastAsia" w:ascii="宋体" w:hAnsi="宋体"/>
          <w:b/>
          <w:bCs/>
          <w:color w:val="auto"/>
          <w:sz w:val="24"/>
        </w:rPr>
        <w:t>培训要求</w:t>
      </w:r>
      <w:bookmarkEnd w:id="81"/>
    </w:p>
    <w:p>
      <w:pPr>
        <w:spacing w:line="360" w:lineRule="auto"/>
        <w:ind w:firstLine="480" w:firstLineChars="200"/>
        <w:rPr>
          <w:rFonts w:ascii="宋体" w:hAnsi="宋体"/>
          <w:color w:val="auto"/>
          <w:sz w:val="24"/>
        </w:rPr>
      </w:pPr>
      <w:r>
        <w:rPr>
          <w:rFonts w:hint="eastAsia" w:ascii="宋体" w:hAnsi="宋体"/>
          <w:color w:val="auto"/>
          <w:sz w:val="24"/>
        </w:rPr>
        <w:t>投标人必须为招标人进行现场安装指导，使招标人掌握产品安装、调试、验收、故障诊断的基本技能；投标人必须提供高水平的、全面的专业技术培训，培训内容应涵盖软硬件功能介绍、软硬件维护管理、软硬件故障诊断等要点。使招标人的人员达到能独立进行管理、维护测试、故障处理等工作，保证系统平台能够正常、安全地运行。培训数量不少于</w:t>
      </w:r>
      <w:r>
        <w:rPr>
          <w:rFonts w:ascii="宋体" w:hAnsi="宋体"/>
          <w:color w:val="auto"/>
          <w:sz w:val="24"/>
        </w:rPr>
        <w:t>3次，每次3人，每次培训3个工作日</w:t>
      </w:r>
      <w:r>
        <w:rPr>
          <w:rFonts w:hint="eastAsia" w:ascii="宋体" w:hAnsi="宋体"/>
          <w:color w:val="auto"/>
          <w:sz w:val="24"/>
        </w:rPr>
        <w:t>；投标人提供的培训课程和安排，必须得到招标人的确认，若招标人对培训课程不满意，必须在不增加费用的前提下无条件的进行调整和更换。</w:t>
      </w:r>
    </w:p>
    <w:p>
      <w:pPr>
        <w:keepNext/>
        <w:keepLines/>
        <w:numPr>
          <w:ilvl w:val="1"/>
          <w:numId w:val="3"/>
        </w:numPr>
        <w:spacing w:before="260" w:after="260" w:line="416" w:lineRule="auto"/>
        <w:outlineLvl w:val="1"/>
        <w:rPr>
          <w:rFonts w:ascii="宋体" w:hAnsi="宋体"/>
          <w:b/>
          <w:bCs/>
          <w:color w:val="auto"/>
          <w:sz w:val="24"/>
        </w:rPr>
      </w:pPr>
      <w:bookmarkStart w:id="82" w:name="_Toc789450561"/>
      <w:r>
        <w:rPr>
          <w:rFonts w:hint="eastAsia" w:ascii="宋体" w:hAnsi="宋体"/>
          <w:b/>
          <w:bCs/>
          <w:color w:val="auto"/>
          <w:sz w:val="24"/>
        </w:rPr>
        <w:t>供应商能力要求</w:t>
      </w:r>
      <w:bookmarkEnd w:id="82"/>
    </w:p>
    <w:p>
      <w:pPr>
        <w:spacing w:line="360" w:lineRule="auto"/>
        <w:ind w:firstLine="480" w:firstLineChars="200"/>
        <w:rPr>
          <w:rFonts w:ascii="宋体" w:hAnsi="宋体"/>
          <w:color w:val="auto"/>
          <w:sz w:val="24"/>
        </w:rPr>
      </w:pPr>
      <w:r>
        <w:rPr>
          <w:rFonts w:hint="eastAsia" w:ascii="宋体" w:hAnsi="宋体"/>
          <w:color w:val="auto"/>
          <w:sz w:val="24"/>
        </w:rPr>
        <w:t>供应商应提供规范的软件工程和系统集成工程实施和项目管理方法，提供完整的质量保证体系，对项目实施的全过程进行监控和管理，对服务进度和工程实施进度进行控制。</w:t>
      </w:r>
    </w:p>
    <w:p>
      <w:pPr>
        <w:spacing w:line="360" w:lineRule="auto"/>
        <w:ind w:firstLine="480" w:firstLineChars="200"/>
        <w:rPr>
          <w:rFonts w:ascii="宋体" w:hAnsi="宋体"/>
          <w:color w:val="auto"/>
          <w:sz w:val="24"/>
        </w:rPr>
      </w:pPr>
      <w:r>
        <w:rPr>
          <w:rFonts w:hint="eastAsia" w:ascii="宋体" w:hAnsi="宋体"/>
          <w:color w:val="auto"/>
          <w:sz w:val="24"/>
        </w:rPr>
        <w:t>供应商应具有国家行政主管部门颁发的《电子与智能化工程专业承包资质》一级。</w:t>
      </w:r>
    </w:p>
    <w:p>
      <w:pPr>
        <w:spacing w:line="360" w:lineRule="auto"/>
        <w:ind w:firstLine="480" w:firstLineChars="200"/>
        <w:rPr>
          <w:rFonts w:ascii="宋体" w:hAnsi="宋体"/>
          <w:color w:val="auto"/>
          <w:sz w:val="24"/>
        </w:rPr>
      </w:pPr>
      <w:r>
        <w:rPr>
          <w:rFonts w:hint="eastAsia" w:ascii="宋体" w:hAnsi="宋体"/>
          <w:color w:val="auto"/>
          <w:sz w:val="24"/>
        </w:rPr>
        <w:t>供应商具有ISO9001质量体系认证、ISO20000信息技术服务管理体系认证、</w:t>
      </w:r>
      <w:r>
        <w:rPr>
          <w:rFonts w:ascii="宋体" w:hAnsi="宋体"/>
          <w:color w:val="auto"/>
          <w:sz w:val="24"/>
        </w:rPr>
        <w:t>信息系统安全集成服务资质</w:t>
      </w:r>
      <w:r>
        <w:rPr>
          <w:rFonts w:hint="eastAsia" w:ascii="宋体" w:hAnsi="宋体"/>
          <w:color w:val="auto"/>
          <w:sz w:val="24"/>
        </w:rPr>
        <w:t>、</w:t>
      </w:r>
      <w:r>
        <w:rPr>
          <w:rFonts w:ascii="宋体" w:hAnsi="宋体"/>
          <w:color w:val="auto"/>
          <w:sz w:val="24"/>
        </w:rPr>
        <w:t>信息系统安全运维服务资质</w:t>
      </w:r>
      <w:r>
        <w:rPr>
          <w:rFonts w:hint="eastAsia" w:ascii="宋体" w:hAnsi="宋体"/>
          <w:color w:val="auto"/>
          <w:sz w:val="24"/>
        </w:rPr>
        <w:t>、</w:t>
      </w:r>
      <w:r>
        <w:rPr>
          <w:rFonts w:ascii="宋体" w:hAnsi="宋体"/>
          <w:color w:val="auto"/>
          <w:sz w:val="24"/>
        </w:rPr>
        <w:t>ITSS信息技术服务运行维护标准符合性证书</w:t>
      </w:r>
      <w:r>
        <w:rPr>
          <w:rFonts w:hint="eastAsia" w:ascii="宋体" w:hAnsi="宋体"/>
          <w:color w:val="auto"/>
          <w:sz w:val="24"/>
        </w:rPr>
        <w:t>、</w:t>
      </w:r>
      <w:r>
        <w:rPr>
          <w:rFonts w:ascii="宋体" w:hAnsi="宋体"/>
          <w:color w:val="auto"/>
          <w:sz w:val="24"/>
        </w:rPr>
        <w:t>软件企业证书</w:t>
      </w:r>
      <w:r>
        <w:rPr>
          <w:rFonts w:hint="eastAsia" w:ascii="宋体" w:hAnsi="宋体"/>
          <w:color w:val="auto"/>
          <w:sz w:val="24"/>
        </w:rPr>
        <w:t>的优先考虑。</w:t>
      </w:r>
    </w:p>
    <w:p>
      <w:pPr>
        <w:rPr>
          <w:color w:val="auto"/>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2010600030101010101"/>
    <w:charset w:val="86"/>
    <w:family w:val="auto"/>
    <w:pitch w:val="default"/>
    <w:sig w:usb0="00000000" w:usb1="00000000" w:usb2="00000016" w:usb3="00000000" w:csb0="0004000F" w:csb1="00000000"/>
  </w:font>
  <w:font w:name="Helvetica Neue">
    <w:altName w:val="DejaVu Math TeX Gyre"/>
    <w:panose1 w:val="00000000000000000000"/>
    <w:charset w:val="00"/>
    <w:family w:val="auto"/>
    <w:pitch w:val="default"/>
    <w:sig w:usb0="00000000" w:usb1="00000000" w:usb2="00000010" w:usb3="00000000" w:csb0="00000001" w:csb1="00000000"/>
  </w:font>
  <w:font w:name="DejaVu Math TeX Gyre">
    <w:panose1 w:val="02000503000000000000"/>
    <w:charset w:val="00"/>
    <w:family w:val="auto"/>
    <w:pitch w:val="default"/>
    <w:sig w:usb0="A10000EF" w:usb1="4201F9EE" w:usb2="02000000" w:usb3="00000000" w:csb0="60000193" w:csb1="0DD40000"/>
  </w:font>
  <w:font w:name="Arial Unicode MS">
    <w:altName w:val="DejaVu Sans"/>
    <w:panose1 w:val="020B0604020202020204"/>
    <w:charset w:val="86"/>
    <w:family w:val="swiss"/>
    <w:pitch w:val="default"/>
    <w:sig w:usb0="00000000" w:usb1="00000000" w:usb2="0000003F" w:usb3="00000000" w:csb0="003F01FF"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Museo Sans For Dell">
    <w:altName w:val="国标宋体-超大字符集"/>
    <w:panose1 w:val="00000000000000000000"/>
    <w:charset w:val="00"/>
    <w:family w:val="auto"/>
    <w:pitch w:val="default"/>
    <w:sig w:usb0="00000000" w:usb1="00000000" w:usb2="00000000" w:usb3="00000000" w:csb0="00000093" w:csb1="00000000"/>
  </w:font>
  <w:font w:name="国标宋体-超大字符集">
    <w:panose1 w:val="03000509000000000000"/>
    <w:charset w:val="86"/>
    <w:family w:val="auto"/>
    <w:pitch w:val="default"/>
    <w:sig w:usb0="00000001" w:usb1="08000000" w:usb2="00000000" w:usb3="00000000" w:csb0="00040001" w:csb1="00000000"/>
  </w:font>
  <w:font w:name="等线">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等线 Light">
    <w:altName w:val="仿宋_GB2312"/>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A0019D"/>
    <w:multiLevelType w:val="multilevel"/>
    <w:tmpl w:val="08A0019D"/>
    <w:lvl w:ilvl="0" w:tentative="0">
      <w:start w:val="1"/>
      <w:numFmt w:val="decimal"/>
      <w:lvlText w:val="%1)"/>
      <w:lvlJc w:val="left"/>
      <w:pPr>
        <w:ind w:left="981" w:hanging="420"/>
      </w:pPr>
    </w:lvl>
    <w:lvl w:ilvl="1" w:tentative="0">
      <w:start w:val="1"/>
      <w:numFmt w:val="lowerLetter"/>
      <w:lvlText w:val="%2)"/>
      <w:lvlJc w:val="left"/>
      <w:pPr>
        <w:ind w:left="1401" w:hanging="420"/>
      </w:pPr>
    </w:lvl>
    <w:lvl w:ilvl="2" w:tentative="0">
      <w:start w:val="1"/>
      <w:numFmt w:val="lowerRoman"/>
      <w:lvlText w:val="%3."/>
      <w:lvlJc w:val="right"/>
      <w:pPr>
        <w:ind w:left="1821" w:hanging="420"/>
      </w:pPr>
    </w:lvl>
    <w:lvl w:ilvl="3" w:tentative="0">
      <w:start w:val="1"/>
      <w:numFmt w:val="decimal"/>
      <w:lvlText w:val="%4."/>
      <w:lvlJc w:val="left"/>
      <w:pPr>
        <w:ind w:left="2241" w:hanging="420"/>
      </w:pPr>
    </w:lvl>
    <w:lvl w:ilvl="4" w:tentative="0">
      <w:start w:val="1"/>
      <w:numFmt w:val="lowerLetter"/>
      <w:lvlText w:val="%5)"/>
      <w:lvlJc w:val="left"/>
      <w:pPr>
        <w:ind w:left="2661" w:hanging="420"/>
      </w:pPr>
    </w:lvl>
    <w:lvl w:ilvl="5" w:tentative="0">
      <w:start w:val="1"/>
      <w:numFmt w:val="lowerRoman"/>
      <w:lvlText w:val="%6."/>
      <w:lvlJc w:val="right"/>
      <w:pPr>
        <w:ind w:left="3081" w:hanging="420"/>
      </w:pPr>
    </w:lvl>
    <w:lvl w:ilvl="6" w:tentative="0">
      <w:start w:val="1"/>
      <w:numFmt w:val="decimal"/>
      <w:lvlText w:val="%7."/>
      <w:lvlJc w:val="left"/>
      <w:pPr>
        <w:ind w:left="3501" w:hanging="420"/>
      </w:pPr>
    </w:lvl>
    <w:lvl w:ilvl="7" w:tentative="0">
      <w:start w:val="1"/>
      <w:numFmt w:val="lowerLetter"/>
      <w:lvlText w:val="%8)"/>
      <w:lvlJc w:val="left"/>
      <w:pPr>
        <w:ind w:left="3921" w:hanging="420"/>
      </w:pPr>
    </w:lvl>
    <w:lvl w:ilvl="8" w:tentative="0">
      <w:start w:val="1"/>
      <w:numFmt w:val="lowerRoman"/>
      <w:lvlText w:val="%9."/>
      <w:lvlJc w:val="right"/>
      <w:pPr>
        <w:ind w:left="4341" w:hanging="420"/>
      </w:pPr>
    </w:lvl>
  </w:abstractNum>
  <w:abstractNum w:abstractNumId="1">
    <w:nsid w:val="1C9005AC"/>
    <w:multiLevelType w:val="multilevel"/>
    <w:tmpl w:val="1C9005AC"/>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1F2D3BF6"/>
    <w:multiLevelType w:val="multilevel"/>
    <w:tmpl w:val="1F2D3BF6"/>
    <w:lvl w:ilvl="0" w:tentative="0">
      <w:start w:val="1"/>
      <w:numFmt w:val="decimal"/>
      <w:lvlText w:val="%1）"/>
      <w:lvlJc w:val="left"/>
      <w:pPr>
        <w:ind w:left="842" w:hanging="36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38641632"/>
    <w:multiLevelType w:val="multilevel"/>
    <w:tmpl w:val="38641632"/>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C3864A5"/>
    <w:multiLevelType w:val="multilevel"/>
    <w:tmpl w:val="3C3864A5"/>
    <w:lvl w:ilvl="0" w:tentative="0">
      <w:start w:val="1"/>
      <w:numFmt w:val="decimal"/>
      <w:pStyle w:val="4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6C530D1"/>
    <w:multiLevelType w:val="multilevel"/>
    <w:tmpl w:val="46C530D1"/>
    <w:lvl w:ilvl="0" w:tentative="0">
      <w:start w:val="1"/>
      <w:numFmt w:val="decimal"/>
      <w:pStyle w:val="2"/>
      <w:lvlText w:val="第%1章"/>
      <w:lvlJc w:val="left"/>
      <w:pPr>
        <w:tabs>
          <w:tab w:val="left" w:pos="432"/>
        </w:tabs>
        <w:ind w:left="432" w:hanging="432"/>
      </w:pPr>
    </w:lvl>
    <w:lvl w:ilvl="1" w:tentative="0">
      <w:start w:val="1"/>
      <w:numFmt w:val="decimal"/>
      <w:pStyle w:val="3"/>
      <w:lvlText w:val="%1.%2"/>
      <w:lvlJc w:val="left"/>
      <w:pPr>
        <w:tabs>
          <w:tab w:val="left" w:pos="576"/>
        </w:tabs>
        <w:ind w:left="576" w:hanging="576"/>
      </w:pPr>
      <w:rPr>
        <w:color w:val="auto"/>
        <w:lang w:eastAsia="zh-CN"/>
      </w:rPr>
    </w:lvl>
    <w:lvl w:ilvl="2" w:tentative="0">
      <w:start w:val="1"/>
      <w:numFmt w:val="decimal"/>
      <w:pStyle w:val="4"/>
      <w:lvlText w:val="%1.%2.%3"/>
      <w:lvlJc w:val="left"/>
      <w:pPr>
        <w:tabs>
          <w:tab w:val="left" w:pos="720"/>
        </w:tabs>
        <w:ind w:left="720" w:hanging="720"/>
      </w:pPr>
      <w:rPr>
        <w:color w:val="auto"/>
      </w:rPr>
    </w:lvl>
    <w:lvl w:ilvl="3" w:tentative="0">
      <w:start w:val="1"/>
      <w:numFmt w:val="decimal"/>
      <w:pStyle w:val="5"/>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4" w:tentative="0">
      <w:start w:val="1"/>
      <w:numFmt w:val="decimal"/>
      <w:lvlText w:val="%1.%2.%3.%4.%5"/>
      <w:lvlJc w:val="left"/>
      <w:pPr>
        <w:tabs>
          <w:tab w:val="left" w:pos="1728"/>
        </w:tabs>
        <w:ind w:left="1728" w:hanging="1008"/>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6">
    <w:nsid w:val="5945790E"/>
    <w:multiLevelType w:val="multilevel"/>
    <w:tmpl w:val="5945790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AE4A8A9"/>
    <w:multiLevelType w:val="multilevel"/>
    <w:tmpl w:val="5AE4A8A9"/>
    <w:lvl w:ilvl="0" w:tentative="0">
      <w:start w:val="1"/>
      <w:numFmt w:val="decimal"/>
      <w:suff w:val="space"/>
      <w:lvlText w:val="第%1章"/>
      <w:lvlJc w:val="left"/>
      <w:pPr>
        <w:ind w:left="0" w:firstLine="0"/>
      </w:pPr>
      <w:rPr>
        <w:rFonts w:hint="eastAsia"/>
        <w:lang w:val="en-US"/>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720" w:firstLine="0"/>
      </w:pPr>
      <w:rPr>
        <w:rFonts w:hint="eastAsia"/>
      </w:rPr>
    </w:lvl>
    <w:lvl w:ilvl="4" w:tentative="0">
      <w:start w:val="1"/>
      <w:numFmt w:val="decimal"/>
      <w:suff w:val="space"/>
      <w:lvlText w:val="%1.%2.%3.%4.%5"/>
      <w:lvlJc w:val="left"/>
      <w:pPr>
        <w:tabs>
          <w:tab w:val="left" w:pos="420"/>
        </w:tabs>
        <w:ind w:left="0" w:firstLine="0"/>
      </w:pPr>
      <w:rPr>
        <w:rFonts w:hint="default" w:ascii="宋体" w:hAnsi="宋体" w:eastAsia="宋体" w:cs="宋体"/>
      </w:rPr>
    </w:lvl>
    <w:lvl w:ilvl="5" w:tentative="0">
      <w:start w:val="1"/>
      <w:numFmt w:val="decimal"/>
      <w:suff w:val="nothing"/>
      <w:lvlText w:val="%1.%2.%3.%4.%5.%6"/>
      <w:lvlJc w:val="left"/>
      <w:pPr>
        <w:tabs>
          <w:tab w:val="left" w:pos="1837"/>
        </w:tabs>
        <w:ind w:left="1417" w:firstLine="0"/>
      </w:pPr>
      <w:rPr>
        <w:rFonts w:hint="default" w:ascii="宋体" w:hAnsi="宋体" w:eastAsia="宋体" w:cs="宋体"/>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8">
    <w:nsid w:val="640B3557"/>
    <w:multiLevelType w:val="multilevel"/>
    <w:tmpl w:val="640B3557"/>
    <w:lvl w:ilvl="0" w:tentative="0">
      <w:start w:val="1"/>
      <w:numFmt w:val="decimal"/>
      <w:lvlText w:val="%1)"/>
      <w:lvlJc w:val="left"/>
      <w:pPr>
        <w:ind w:left="900" w:hanging="420"/>
      </w:pPr>
      <w:rPr>
        <w:rFonts w:hint="default"/>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9">
    <w:nsid w:val="730902D8"/>
    <w:multiLevelType w:val="multilevel"/>
    <w:tmpl w:val="730902D8"/>
    <w:lvl w:ilvl="0" w:tentative="0">
      <w:start w:val="1"/>
      <w:numFmt w:val="bullet"/>
      <w:lvlText w:val=""/>
      <w:lvlJc w:val="left"/>
      <w:pPr>
        <w:ind w:left="1050" w:hanging="420"/>
      </w:pPr>
      <w:rPr>
        <w:rFonts w:hint="default" w:ascii="Wingdings" w:hAnsi="Wingdings"/>
      </w:rPr>
    </w:lvl>
    <w:lvl w:ilvl="1" w:tentative="0">
      <w:start w:val="1"/>
      <w:numFmt w:val="bullet"/>
      <w:lvlText w:val=""/>
      <w:lvlJc w:val="left"/>
      <w:pPr>
        <w:ind w:left="1470" w:hanging="420"/>
      </w:pPr>
      <w:rPr>
        <w:rFonts w:hint="default" w:ascii="Wingdings" w:hAnsi="Wingdings"/>
      </w:rPr>
    </w:lvl>
    <w:lvl w:ilvl="2" w:tentative="0">
      <w:start w:val="1"/>
      <w:numFmt w:val="bullet"/>
      <w:lvlText w:val=""/>
      <w:lvlJc w:val="left"/>
      <w:pPr>
        <w:ind w:left="1890" w:hanging="420"/>
      </w:pPr>
      <w:rPr>
        <w:rFonts w:hint="default" w:ascii="Wingdings" w:hAnsi="Wingdings"/>
      </w:rPr>
    </w:lvl>
    <w:lvl w:ilvl="3" w:tentative="0">
      <w:start w:val="1"/>
      <w:numFmt w:val="bullet"/>
      <w:lvlText w:val=""/>
      <w:lvlJc w:val="left"/>
      <w:pPr>
        <w:ind w:left="2310" w:hanging="420"/>
      </w:pPr>
      <w:rPr>
        <w:rFonts w:hint="default" w:ascii="Wingdings" w:hAnsi="Wingdings"/>
      </w:rPr>
    </w:lvl>
    <w:lvl w:ilvl="4" w:tentative="0">
      <w:start w:val="1"/>
      <w:numFmt w:val="bullet"/>
      <w:lvlText w:val=""/>
      <w:lvlJc w:val="left"/>
      <w:pPr>
        <w:ind w:left="2730" w:hanging="420"/>
      </w:pPr>
      <w:rPr>
        <w:rFonts w:hint="default" w:ascii="Wingdings" w:hAnsi="Wingdings"/>
      </w:rPr>
    </w:lvl>
    <w:lvl w:ilvl="5" w:tentative="0">
      <w:start w:val="1"/>
      <w:numFmt w:val="bullet"/>
      <w:lvlText w:val=""/>
      <w:lvlJc w:val="left"/>
      <w:pPr>
        <w:ind w:left="3150" w:hanging="420"/>
      </w:pPr>
      <w:rPr>
        <w:rFonts w:hint="default" w:ascii="Wingdings" w:hAnsi="Wingdings"/>
      </w:rPr>
    </w:lvl>
    <w:lvl w:ilvl="6" w:tentative="0">
      <w:start w:val="1"/>
      <w:numFmt w:val="bullet"/>
      <w:lvlText w:val=""/>
      <w:lvlJc w:val="left"/>
      <w:pPr>
        <w:ind w:left="3570" w:hanging="420"/>
      </w:pPr>
      <w:rPr>
        <w:rFonts w:hint="default" w:ascii="Wingdings" w:hAnsi="Wingdings"/>
      </w:rPr>
    </w:lvl>
    <w:lvl w:ilvl="7" w:tentative="0">
      <w:start w:val="1"/>
      <w:numFmt w:val="bullet"/>
      <w:lvlText w:val=""/>
      <w:lvlJc w:val="left"/>
      <w:pPr>
        <w:ind w:left="3990" w:hanging="420"/>
      </w:pPr>
      <w:rPr>
        <w:rFonts w:hint="default" w:ascii="Wingdings" w:hAnsi="Wingdings"/>
      </w:rPr>
    </w:lvl>
    <w:lvl w:ilvl="8" w:tentative="0">
      <w:start w:val="1"/>
      <w:numFmt w:val="bullet"/>
      <w:lvlText w:val=""/>
      <w:lvlJc w:val="left"/>
      <w:pPr>
        <w:ind w:left="4410" w:hanging="420"/>
      </w:pPr>
      <w:rPr>
        <w:rFonts w:hint="default" w:ascii="Wingdings" w:hAnsi="Wingdings"/>
      </w:rPr>
    </w:lvl>
  </w:abstractNum>
  <w:num w:numId="1">
    <w:abstractNumId w:val="5"/>
  </w:num>
  <w:num w:numId="2">
    <w:abstractNumId w:val="4"/>
  </w:num>
  <w:num w:numId="3">
    <w:abstractNumId w:val="7"/>
  </w:num>
  <w:num w:numId="4">
    <w:abstractNumId w:val="6"/>
  </w:num>
  <w:num w:numId="5">
    <w:abstractNumId w:val="9"/>
  </w:num>
  <w:num w:numId="6">
    <w:abstractNumId w:val="3"/>
  </w:num>
  <w:num w:numId="7">
    <w:abstractNumId w:val="8"/>
  </w:num>
  <w:num w:numId="8">
    <w:abstractNumId w:val="1"/>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9DE"/>
    <w:rsid w:val="00006BD9"/>
    <w:rsid w:val="0002169F"/>
    <w:rsid w:val="00031F8C"/>
    <w:rsid w:val="00042217"/>
    <w:rsid w:val="00063F41"/>
    <w:rsid w:val="000A559D"/>
    <w:rsid w:val="000B4DFF"/>
    <w:rsid w:val="00123865"/>
    <w:rsid w:val="00142007"/>
    <w:rsid w:val="00150DC7"/>
    <w:rsid w:val="0016731F"/>
    <w:rsid w:val="0018679C"/>
    <w:rsid w:val="001A71FE"/>
    <w:rsid w:val="001D1EC2"/>
    <w:rsid w:val="002100FF"/>
    <w:rsid w:val="00226324"/>
    <w:rsid w:val="0024150F"/>
    <w:rsid w:val="00250937"/>
    <w:rsid w:val="002B4FBA"/>
    <w:rsid w:val="002C6329"/>
    <w:rsid w:val="002E08AF"/>
    <w:rsid w:val="0031313F"/>
    <w:rsid w:val="00313206"/>
    <w:rsid w:val="00356C5A"/>
    <w:rsid w:val="0038522B"/>
    <w:rsid w:val="0038693B"/>
    <w:rsid w:val="003C3697"/>
    <w:rsid w:val="00474C6B"/>
    <w:rsid w:val="004A0F18"/>
    <w:rsid w:val="004B004A"/>
    <w:rsid w:val="004B5B7B"/>
    <w:rsid w:val="005053B0"/>
    <w:rsid w:val="00513769"/>
    <w:rsid w:val="00516819"/>
    <w:rsid w:val="00562F6E"/>
    <w:rsid w:val="005A5458"/>
    <w:rsid w:val="005B2B92"/>
    <w:rsid w:val="005C7F03"/>
    <w:rsid w:val="006069C0"/>
    <w:rsid w:val="006373AE"/>
    <w:rsid w:val="006431F4"/>
    <w:rsid w:val="006528AC"/>
    <w:rsid w:val="00652C71"/>
    <w:rsid w:val="00654339"/>
    <w:rsid w:val="00675683"/>
    <w:rsid w:val="0068318E"/>
    <w:rsid w:val="00687639"/>
    <w:rsid w:val="00716951"/>
    <w:rsid w:val="00724703"/>
    <w:rsid w:val="0078005C"/>
    <w:rsid w:val="00786C47"/>
    <w:rsid w:val="007949DE"/>
    <w:rsid w:val="007A08F2"/>
    <w:rsid w:val="007B021F"/>
    <w:rsid w:val="007C4F01"/>
    <w:rsid w:val="00816C52"/>
    <w:rsid w:val="008241BF"/>
    <w:rsid w:val="00830DD9"/>
    <w:rsid w:val="00840688"/>
    <w:rsid w:val="00894907"/>
    <w:rsid w:val="008D2791"/>
    <w:rsid w:val="00912894"/>
    <w:rsid w:val="00924109"/>
    <w:rsid w:val="00967A94"/>
    <w:rsid w:val="00972D46"/>
    <w:rsid w:val="00994ED3"/>
    <w:rsid w:val="009B4BE0"/>
    <w:rsid w:val="009B7DF1"/>
    <w:rsid w:val="009C27A8"/>
    <w:rsid w:val="009F6FBE"/>
    <w:rsid w:val="00AC105B"/>
    <w:rsid w:val="00BD6676"/>
    <w:rsid w:val="00BF3BEC"/>
    <w:rsid w:val="00C530FA"/>
    <w:rsid w:val="00C6634A"/>
    <w:rsid w:val="00C8090B"/>
    <w:rsid w:val="00CA742E"/>
    <w:rsid w:val="00CC7AB0"/>
    <w:rsid w:val="00D3662B"/>
    <w:rsid w:val="00D37873"/>
    <w:rsid w:val="00D67767"/>
    <w:rsid w:val="00D936CD"/>
    <w:rsid w:val="00D9680F"/>
    <w:rsid w:val="00DE021D"/>
    <w:rsid w:val="00E11FC9"/>
    <w:rsid w:val="00E266E5"/>
    <w:rsid w:val="00E36B57"/>
    <w:rsid w:val="00E54375"/>
    <w:rsid w:val="00E71FF1"/>
    <w:rsid w:val="00E74506"/>
    <w:rsid w:val="00E8148C"/>
    <w:rsid w:val="00EB769C"/>
    <w:rsid w:val="00F02E50"/>
    <w:rsid w:val="00F2645D"/>
    <w:rsid w:val="00F36689"/>
    <w:rsid w:val="00F56E62"/>
    <w:rsid w:val="00F97987"/>
    <w:rsid w:val="00FB676C"/>
    <w:rsid w:val="00FD74AB"/>
    <w:rsid w:val="747FB368"/>
    <w:rsid w:val="9253F70C"/>
    <w:rsid w:val="AEE74B07"/>
    <w:rsid w:val="FCEE3BA1"/>
    <w:rsid w:val="FDFED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link w:val="25"/>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26"/>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6">
    <w:name w:val="heading 5"/>
    <w:basedOn w:val="1"/>
    <w:next w:val="1"/>
    <w:link w:val="32"/>
    <w:unhideWhenUsed/>
    <w:qFormat/>
    <w:uiPriority w:val="0"/>
    <w:pPr>
      <w:keepNext/>
      <w:keepLines/>
      <w:tabs>
        <w:tab w:val="left" w:pos="420"/>
      </w:tabs>
      <w:spacing w:line="360" w:lineRule="auto"/>
      <w:outlineLvl w:val="4"/>
    </w:pPr>
    <w:rPr>
      <w:rFonts w:ascii="仿宋" w:hAnsi="仿宋" w:eastAsia="仿宋" w:cstheme="minorBidi"/>
      <w:b/>
      <w:sz w:val="28"/>
      <w:szCs w:val="28"/>
    </w:rPr>
  </w:style>
  <w:style w:type="paragraph" w:styleId="7">
    <w:name w:val="heading 6"/>
    <w:basedOn w:val="1"/>
    <w:next w:val="8"/>
    <w:link w:val="33"/>
    <w:unhideWhenUsed/>
    <w:qFormat/>
    <w:uiPriority w:val="0"/>
    <w:pPr>
      <w:keepNext/>
      <w:keepLines/>
      <w:tabs>
        <w:tab w:val="left" w:pos="420"/>
        <w:tab w:val="left" w:pos="1837"/>
      </w:tabs>
      <w:spacing w:before="240" w:after="64" w:line="320" w:lineRule="auto"/>
      <w:outlineLvl w:val="5"/>
    </w:pPr>
    <w:rPr>
      <w:rFonts w:asciiTheme="majorHAnsi" w:hAnsiTheme="majorHAnsi" w:eastAsiaTheme="majorEastAsia" w:cstheme="majorBidi"/>
      <w:bCs/>
      <w:sz w:val="24"/>
    </w:rPr>
  </w:style>
  <w:style w:type="paragraph" w:styleId="9">
    <w:name w:val="heading 7"/>
    <w:basedOn w:val="1"/>
    <w:next w:val="1"/>
    <w:link w:val="34"/>
    <w:unhideWhenUsed/>
    <w:qFormat/>
    <w:uiPriority w:val="0"/>
    <w:pPr>
      <w:keepNext/>
      <w:keepLines/>
      <w:spacing w:before="240" w:after="64" w:line="320" w:lineRule="auto"/>
      <w:outlineLvl w:val="6"/>
    </w:pPr>
    <w:rPr>
      <w:rFonts w:asciiTheme="minorHAnsi" w:hAnsiTheme="minorHAnsi" w:eastAsiaTheme="minorEastAsia" w:cstheme="minorBidi"/>
      <w:b/>
      <w:bCs/>
      <w:sz w:val="24"/>
    </w:rPr>
  </w:style>
  <w:style w:type="paragraph" w:styleId="10">
    <w:name w:val="heading 8"/>
    <w:basedOn w:val="1"/>
    <w:next w:val="1"/>
    <w:link w:val="35"/>
    <w:unhideWhenUsed/>
    <w:qFormat/>
    <w:uiPriority w:val="0"/>
    <w:pPr>
      <w:keepNext/>
      <w:keepLines/>
      <w:spacing w:before="240" w:after="64" w:line="320" w:lineRule="auto"/>
      <w:outlineLvl w:val="7"/>
    </w:pPr>
    <w:rPr>
      <w:rFonts w:asciiTheme="majorHAnsi" w:hAnsiTheme="majorHAnsi" w:eastAsiaTheme="majorEastAsia" w:cstheme="majorBidi"/>
      <w:sz w:val="24"/>
    </w:rPr>
  </w:style>
  <w:style w:type="paragraph" w:styleId="11">
    <w:name w:val="heading 9"/>
    <w:basedOn w:val="1"/>
    <w:next w:val="1"/>
    <w:link w:val="36"/>
    <w:unhideWhenUsed/>
    <w:qFormat/>
    <w:uiPriority w:val="0"/>
    <w:pPr>
      <w:keepNext/>
      <w:keepLines/>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8">
    <w:name w:val="Normal Indent"/>
    <w:basedOn w:val="1"/>
    <w:semiHidden/>
    <w:unhideWhenUsed/>
    <w:qFormat/>
    <w:uiPriority w:val="99"/>
    <w:pPr>
      <w:ind w:firstLine="420" w:firstLineChars="200"/>
    </w:pPr>
  </w:style>
  <w:style w:type="paragraph" w:styleId="12">
    <w:name w:val="annotation text"/>
    <w:basedOn w:val="1"/>
    <w:semiHidden/>
    <w:unhideWhenUsed/>
    <w:qFormat/>
    <w:uiPriority w:val="99"/>
    <w:pPr>
      <w:jc w:val="left"/>
    </w:pPr>
  </w:style>
  <w:style w:type="paragraph" w:styleId="13">
    <w:name w:val="Body Text"/>
    <w:basedOn w:val="1"/>
    <w:link w:val="46"/>
    <w:semiHidden/>
    <w:unhideWhenUsed/>
    <w:qFormat/>
    <w:uiPriority w:val="99"/>
    <w:pPr>
      <w:spacing w:after="120"/>
    </w:pPr>
  </w:style>
  <w:style w:type="paragraph" w:styleId="14">
    <w:name w:val="Body Text Indent 2"/>
    <w:basedOn w:val="1"/>
    <w:link w:val="41"/>
    <w:semiHidden/>
    <w:unhideWhenUsed/>
    <w:qFormat/>
    <w:uiPriority w:val="0"/>
    <w:pPr>
      <w:spacing w:after="120" w:line="480" w:lineRule="auto"/>
      <w:ind w:left="420" w:leftChars="200"/>
    </w:pPr>
    <w:rPr>
      <w:rFonts w:asciiTheme="minorHAnsi" w:hAnsiTheme="minorHAnsi" w:eastAsiaTheme="minorEastAsia" w:cstheme="minorBidi"/>
      <w:szCs w:val="22"/>
    </w:rPr>
  </w:style>
  <w:style w:type="paragraph" w:styleId="15">
    <w:name w:val="Balloon Text"/>
    <w:basedOn w:val="1"/>
    <w:link w:val="55"/>
    <w:semiHidden/>
    <w:unhideWhenUsed/>
    <w:qFormat/>
    <w:uiPriority w:val="99"/>
    <w:rPr>
      <w:sz w:val="18"/>
      <w:szCs w:val="18"/>
    </w:rPr>
  </w:style>
  <w:style w:type="paragraph" w:styleId="16">
    <w:name w:val="footer"/>
    <w:basedOn w:val="1"/>
    <w:link w:val="28"/>
    <w:unhideWhenUsed/>
    <w:qFormat/>
    <w:uiPriority w:val="99"/>
    <w:pPr>
      <w:tabs>
        <w:tab w:val="center" w:pos="4153"/>
        <w:tab w:val="right" w:pos="8306"/>
      </w:tabs>
      <w:snapToGrid w:val="0"/>
      <w:jc w:val="left"/>
    </w:pPr>
    <w:rPr>
      <w:sz w:val="18"/>
      <w:szCs w:val="18"/>
    </w:rPr>
  </w:style>
  <w:style w:type="paragraph" w:styleId="17">
    <w:name w:val="header"/>
    <w:basedOn w:val="1"/>
    <w:link w:val="27"/>
    <w:unhideWhenUsed/>
    <w:qFormat/>
    <w:uiPriority w:val="99"/>
    <w:pPr>
      <w:tabs>
        <w:tab w:val="center" w:pos="4153"/>
        <w:tab w:val="right" w:pos="8306"/>
      </w:tabs>
      <w:snapToGrid w:val="0"/>
      <w:jc w:val="center"/>
    </w:pPr>
    <w:rPr>
      <w:sz w:val="18"/>
      <w:szCs w:val="18"/>
    </w:rPr>
  </w:style>
  <w:style w:type="paragraph" w:styleId="18">
    <w:name w:val="Body Text First Indent"/>
    <w:basedOn w:val="13"/>
    <w:link w:val="47"/>
    <w:semiHidden/>
    <w:unhideWhenUsed/>
    <w:qFormat/>
    <w:uiPriority w:val="99"/>
    <w:pPr>
      <w:ind w:firstLine="420" w:firstLineChars="100"/>
    </w:p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annotation reference"/>
    <w:basedOn w:val="21"/>
    <w:semiHidden/>
    <w:unhideWhenUsed/>
    <w:qFormat/>
    <w:uiPriority w:val="99"/>
    <w:rPr>
      <w:sz w:val="21"/>
      <w:szCs w:val="21"/>
    </w:rPr>
  </w:style>
  <w:style w:type="character" w:customStyle="1" w:styleId="23">
    <w:name w:val="标题 1 字符"/>
    <w:basedOn w:val="21"/>
    <w:link w:val="2"/>
    <w:qFormat/>
    <w:uiPriority w:val="0"/>
    <w:rPr>
      <w:rFonts w:ascii="Times New Roman" w:hAnsi="Times New Roman" w:eastAsia="宋体" w:cs="Times New Roman"/>
      <w:b/>
      <w:bCs/>
      <w:kern w:val="44"/>
      <w:sz w:val="44"/>
      <w:szCs w:val="44"/>
    </w:rPr>
  </w:style>
  <w:style w:type="character" w:customStyle="1" w:styleId="24">
    <w:name w:val="标题 2 字符"/>
    <w:basedOn w:val="21"/>
    <w:link w:val="3"/>
    <w:qFormat/>
    <w:uiPriority w:val="0"/>
    <w:rPr>
      <w:rFonts w:ascii="Arial" w:hAnsi="Arial" w:eastAsia="黑体" w:cs="Times New Roman"/>
      <w:b/>
      <w:bCs/>
      <w:sz w:val="32"/>
      <w:szCs w:val="32"/>
    </w:rPr>
  </w:style>
  <w:style w:type="character" w:customStyle="1" w:styleId="25">
    <w:name w:val="标题 3 字符"/>
    <w:basedOn w:val="21"/>
    <w:link w:val="4"/>
    <w:qFormat/>
    <w:uiPriority w:val="0"/>
    <w:rPr>
      <w:rFonts w:ascii="Times New Roman" w:hAnsi="Times New Roman" w:eastAsia="宋体" w:cs="Times New Roman"/>
      <w:b/>
      <w:bCs/>
      <w:sz w:val="32"/>
      <w:szCs w:val="32"/>
    </w:rPr>
  </w:style>
  <w:style w:type="character" w:customStyle="1" w:styleId="26">
    <w:name w:val="标题 4 字符"/>
    <w:basedOn w:val="21"/>
    <w:link w:val="5"/>
    <w:qFormat/>
    <w:uiPriority w:val="0"/>
    <w:rPr>
      <w:rFonts w:ascii="Arial" w:hAnsi="Arial" w:eastAsia="黑体" w:cs="Times New Roman"/>
      <w:b/>
      <w:bCs/>
      <w:sz w:val="28"/>
      <w:szCs w:val="28"/>
    </w:rPr>
  </w:style>
  <w:style w:type="character" w:customStyle="1" w:styleId="27">
    <w:name w:val="页眉 字符"/>
    <w:basedOn w:val="21"/>
    <w:link w:val="17"/>
    <w:qFormat/>
    <w:uiPriority w:val="99"/>
    <w:rPr>
      <w:rFonts w:ascii="Times New Roman" w:hAnsi="Times New Roman" w:eastAsia="宋体" w:cs="Times New Roman"/>
      <w:sz w:val="18"/>
      <w:szCs w:val="18"/>
    </w:rPr>
  </w:style>
  <w:style w:type="character" w:customStyle="1" w:styleId="28">
    <w:name w:val="页脚 字符"/>
    <w:basedOn w:val="21"/>
    <w:link w:val="16"/>
    <w:qFormat/>
    <w:uiPriority w:val="99"/>
    <w:rPr>
      <w:rFonts w:ascii="Times New Roman" w:hAnsi="Times New Roman" w:eastAsia="宋体" w:cs="Times New Roman"/>
      <w:sz w:val="18"/>
      <w:szCs w:val="18"/>
    </w:rPr>
  </w:style>
  <w:style w:type="paragraph" w:customStyle="1" w:styleId="29">
    <w:name w:val="Body"/>
    <w:qFormat/>
    <w:uiPriority w:val="0"/>
    <w:rPr>
      <w:rFonts w:ascii="Helvetica Neue" w:hAnsi="Helvetica Neue" w:eastAsia="Arial Unicode MS" w:cs="Arial Unicode MS"/>
      <w:color w:val="000000"/>
      <w:sz w:val="22"/>
      <w:szCs w:val="22"/>
      <w:lang w:val="en-US" w:eastAsia="zh-CN" w:bidi="ar-SA"/>
    </w:rPr>
  </w:style>
  <w:style w:type="paragraph" w:customStyle="1" w:styleId="30">
    <w:name w:val="Table Style 2"/>
    <w:qFormat/>
    <w:uiPriority w:val="0"/>
    <w:rPr>
      <w:rFonts w:ascii="Helvetica Neue" w:hAnsi="Helvetica Neue" w:eastAsia="Arial Unicode MS" w:cs="Arial Unicode MS"/>
      <w:color w:val="000000"/>
      <w:lang w:val="en-US" w:eastAsia="zh-CN" w:bidi="ar-SA"/>
    </w:rPr>
  </w:style>
  <w:style w:type="paragraph" w:styleId="31">
    <w:name w:val="List Paragraph"/>
    <w:basedOn w:val="1"/>
    <w:link w:val="37"/>
    <w:qFormat/>
    <w:uiPriority w:val="99"/>
    <w:pPr>
      <w:ind w:firstLine="420" w:firstLineChars="200"/>
    </w:pPr>
  </w:style>
  <w:style w:type="character" w:customStyle="1" w:styleId="32">
    <w:name w:val="标题 5 字符"/>
    <w:basedOn w:val="21"/>
    <w:link w:val="6"/>
    <w:qFormat/>
    <w:uiPriority w:val="0"/>
    <w:rPr>
      <w:rFonts w:ascii="仿宋" w:hAnsi="仿宋" w:eastAsia="仿宋"/>
      <w:b/>
      <w:sz w:val="28"/>
      <w:szCs w:val="28"/>
    </w:rPr>
  </w:style>
  <w:style w:type="character" w:customStyle="1" w:styleId="33">
    <w:name w:val="标题 6 字符"/>
    <w:basedOn w:val="21"/>
    <w:link w:val="7"/>
    <w:qFormat/>
    <w:uiPriority w:val="0"/>
    <w:rPr>
      <w:rFonts w:asciiTheme="majorHAnsi" w:hAnsiTheme="majorHAnsi" w:eastAsiaTheme="majorEastAsia" w:cstheme="majorBidi"/>
      <w:bCs/>
      <w:sz w:val="24"/>
      <w:szCs w:val="24"/>
    </w:rPr>
  </w:style>
  <w:style w:type="character" w:customStyle="1" w:styleId="34">
    <w:name w:val="标题 7 字符"/>
    <w:basedOn w:val="21"/>
    <w:link w:val="9"/>
    <w:qFormat/>
    <w:uiPriority w:val="0"/>
    <w:rPr>
      <w:b/>
      <w:bCs/>
      <w:sz w:val="24"/>
      <w:szCs w:val="24"/>
    </w:rPr>
  </w:style>
  <w:style w:type="character" w:customStyle="1" w:styleId="35">
    <w:name w:val="标题 8 字符"/>
    <w:basedOn w:val="21"/>
    <w:link w:val="10"/>
    <w:qFormat/>
    <w:uiPriority w:val="0"/>
    <w:rPr>
      <w:rFonts w:asciiTheme="majorHAnsi" w:hAnsiTheme="majorHAnsi" w:eastAsiaTheme="majorEastAsia" w:cstheme="majorBidi"/>
      <w:sz w:val="24"/>
      <w:szCs w:val="24"/>
    </w:rPr>
  </w:style>
  <w:style w:type="character" w:customStyle="1" w:styleId="36">
    <w:name w:val="标题 9 字符"/>
    <w:basedOn w:val="21"/>
    <w:link w:val="11"/>
    <w:qFormat/>
    <w:uiPriority w:val="0"/>
    <w:rPr>
      <w:rFonts w:asciiTheme="majorHAnsi" w:hAnsiTheme="majorHAnsi" w:eastAsiaTheme="majorEastAsia" w:cstheme="majorBidi"/>
      <w:szCs w:val="21"/>
    </w:rPr>
  </w:style>
  <w:style w:type="character" w:customStyle="1" w:styleId="37">
    <w:name w:val="列出段落 字符"/>
    <w:link w:val="31"/>
    <w:qFormat/>
    <w:uiPriority w:val="34"/>
    <w:rPr>
      <w:rFonts w:ascii="Times New Roman" w:hAnsi="Times New Roman" w:eastAsia="宋体" w:cs="Times New Roman"/>
      <w:szCs w:val="24"/>
    </w:rPr>
  </w:style>
  <w:style w:type="table" w:customStyle="1" w:styleId="38">
    <w:name w:val="网格型3"/>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9">
    <w:name w:val="可研正文"/>
    <w:basedOn w:val="1"/>
    <w:link w:val="40"/>
    <w:qFormat/>
    <w:uiPriority w:val="0"/>
    <w:pPr>
      <w:spacing w:line="360" w:lineRule="auto"/>
      <w:ind w:firstLine="200" w:firstLineChars="200"/>
    </w:pPr>
    <w:rPr>
      <w:rFonts w:ascii="仿宋" w:hAnsi="仿宋" w:eastAsia="仿宋" w:cstheme="minorBidi"/>
      <w:sz w:val="28"/>
      <w:szCs w:val="28"/>
    </w:rPr>
  </w:style>
  <w:style w:type="character" w:customStyle="1" w:styleId="40">
    <w:name w:val="可研正文 Char"/>
    <w:link w:val="39"/>
    <w:qFormat/>
    <w:uiPriority w:val="0"/>
    <w:rPr>
      <w:rFonts w:ascii="仿宋" w:hAnsi="仿宋" w:eastAsia="仿宋"/>
      <w:sz w:val="28"/>
      <w:szCs w:val="28"/>
    </w:rPr>
  </w:style>
  <w:style w:type="character" w:customStyle="1" w:styleId="41">
    <w:name w:val="正文文本缩进 2 字符"/>
    <w:basedOn w:val="21"/>
    <w:link w:val="14"/>
    <w:semiHidden/>
    <w:qFormat/>
    <w:uiPriority w:val="0"/>
  </w:style>
  <w:style w:type="character" w:customStyle="1" w:styleId="42">
    <w:name w:val="无间隔 字符"/>
    <w:basedOn w:val="21"/>
    <w:link w:val="43"/>
    <w:qFormat/>
    <w:locked/>
    <w:uiPriority w:val="0"/>
    <w:rPr>
      <w:rFonts w:ascii="Calibri" w:hAnsi="Calibri" w:cs="Calibri"/>
      <w:sz w:val="22"/>
    </w:rPr>
  </w:style>
  <w:style w:type="paragraph" w:customStyle="1" w:styleId="43">
    <w:name w:val="无间隔1"/>
    <w:link w:val="42"/>
    <w:qFormat/>
    <w:uiPriority w:val="0"/>
    <w:rPr>
      <w:rFonts w:ascii="Calibri" w:hAnsi="Calibri" w:cs="Calibri" w:eastAsiaTheme="minorEastAsia"/>
      <w:kern w:val="2"/>
      <w:sz w:val="22"/>
      <w:szCs w:val="22"/>
      <w:lang w:val="en-US" w:eastAsia="zh-CN" w:bidi="ar-SA"/>
    </w:rPr>
  </w:style>
  <w:style w:type="paragraph" w:customStyle="1" w:styleId="44">
    <w:name w:val="*正文1"/>
    <w:basedOn w:val="39"/>
    <w:qFormat/>
    <w:uiPriority w:val="0"/>
    <w:pPr>
      <w:ind w:firstLine="480"/>
    </w:pPr>
    <w:rPr>
      <w:rFonts w:ascii="宋体" w:hAnsi="宋体" w:cs="Arial"/>
      <w:color w:val="222222"/>
      <w:szCs w:val="24"/>
      <w:shd w:val="clear" w:color="auto" w:fill="FFFFFF"/>
    </w:rPr>
  </w:style>
  <w:style w:type="paragraph" w:customStyle="1" w:styleId="45">
    <w:name w:val="无间隔2"/>
    <w:qFormat/>
    <w:uiPriority w:val="0"/>
    <w:pPr>
      <w:widowControl w:val="0"/>
      <w:numPr>
        <w:ilvl w:val="0"/>
        <w:numId w:val="2"/>
      </w:numPr>
      <w:tabs>
        <w:tab w:val="left" w:pos="425"/>
      </w:tabs>
      <w:spacing w:line="360" w:lineRule="auto"/>
      <w:jc w:val="both"/>
    </w:pPr>
    <w:rPr>
      <w:rFonts w:ascii="Calibri" w:hAnsi="Calibri" w:eastAsia="宋体" w:cs="Times New Roman"/>
      <w:kern w:val="2"/>
      <w:sz w:val="24"/>
      <w:szCs w:val="22"/>
      <w:lang w:val="en-US" w:eastAsia="zh-CN" w:bidi="ar-SA"/>
    </w:rPr>
  </w:style>
  <w:style w:type="character" w:customStyle="1" w:styleId="46">
    <w:name w:val="正文文本 字符"/>
    <w:basedOn w:val="21"/>
    <w:link w:val="13"/>
    <w:semiHidden/>
    <w:qFormat/>
    <w:uiPriority w:val="99"/>
    <w:rPr>
      <w:rFonts w:ascii="Times New Roman" w:hAnsi="Times New Roman" w:eastAsia="宋体" w:cs="Times New Roman"/>
      <w:szCs w:val="24"/>
    </w:rPr>
  </w:style>
  <w:style w:type="character" w:customStyle="1" w:styleId="47">
    <w:name w:val="正文首行缩进 字符"/>
    <w:basedOn w:val="46"/>
    <w:link w:val="18"/>
    <w:semiHidden/>
    <w:qFormat/>
    <w:uiPriority w:val="99"/>
    <w:rPr>
      <w:rFonts w:ascii="Times New Roman" w:hAnsi="Times New Roman" w:eastAsia="宋体" w:cs="Times New Roman"/>
      <w:szCs w:val="24"/>
    </w:rPr>
  </w:style>
  <w:style w:type="character" w:customStyle="1" w:styleId="48">
    <w:name w:val="正文1 Char"/>
    <w:basedOn w:val="21"/>
    <w:link w:val="49"/>
    <w:qFormat/>
    <w:locked/>
    <w:uiPriority w:val="0"/>
    <w:rPr>
      <w:sz w:val="24"/>
      <w:szCs w:val="24"/>
    </w:rPr>
  </w:style>
  <w:style w:type="paragraph" w:customStyle="1" w:styleId="49">
    <w:name w:val="正文1"/>
    <w:basedOn w:val="1"/>
    <w:link w:val="48"/>
    <w:qFormat/>
    <w:uiPriority w:val="0"/>
    <w:pPr>
      <w:widowControl/>
      <w:spacing w:before="156" w:after="156" w:line="0" w:lineRule="atLeast"/>
      <w:ind w:firstLine="480" w:firstLineChars="200"/>
      <w:jc w:val="left"/>
    </w:pPr>
    <w:rPr>
      <w:rFonts w:asciiTheme="minorHAnsi" w:hAnsiTheme="minorHAnsi" w:eastAsiaTheme="minorEastAsia" w:cstheme="minorBidi"/>
      <w:sz w:val="24"/>
    </w:rPr>
  </w:style>
  <w:style w:type="character" w:customStyle="1" w:styleId="50">
    <w:name w:val="font11"/>
    <w:basedOn w:val="21"/>
    <w:autoRedefine/>
    <w:qFormat/>
    <w:uiPriority w:val="0"/>
    <w:rPr>
      <w:rFonts w:hint="eastAsia" w:ascii="楷体" w:hAnsi="楷体" w:eastAsia="楷体" w:cs="楷体"/>
      <w:color w:val="000000"/>
      <w:sz w:val="22"/>
      <w:szCs w:val="22"/>
      <w:u w:val="none"/>
    </w:rPr>
  </w:style>
  <w:style w:type="table" w:customStyle="1" w:styleId="51">
    <w:name w:val="网格型1"/>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2">
    <w:name w:val="font81"/>
    <w:basedOn w:val="21"/>
    <w:qFormat/>
    <w:uiPriority w:val="0"/>
    <w:rPr>
      <w:rFonts w:ascii="Calibri" w:hAnsi="Calibri" w:cs="Calibri"/>
      <w:color w:val="000000"/>
      <w:sz w:val="21"/>
      <w:szCs w:val="21"/>
      <w:u w:val="none"/>
    </w:rPr>
  </w:style>
  <w:style w:type="character" w:customStyle="1" w:styleId="53">
    <w:name w:val="font61"/>
    <w:basedOn w:val="21"/>
    <w:qFormat/>
    <w:uiPriority w:val="0"/>
    <w:rPr>
      <w:rFonts w:hint="eastAsia" w:ascii="宋体" w:hAnsi="宋体" w:eastAsia="宋体" w:cs="宋体"/>
      <w:color w:val="000000"/>
      <w:sz w:val="21"/>
      <w:szCs w:val="21"/>
      <w:u w:val="none"/>
    </w:rPr>
  </w:style>
  <w:style w:type="character" w:customStyle="1" w:styleId="54">
    <w:name w:val="font91"/>
    <w:basedOn w:val="21"/>
    <w:qFormat/>
    <w:uiPriority w:val="0"/>
    <w:rPr>
      <w:rFonts w:ascii="方正书宋_GBK" w:hAnsi="方正书宋_GBK" w:eastAsia="方正书宋_GBK" w:cs="方正书宋_GBK"/>
      <w:color w:val="000000"/>
      <w:sz w:val="21"/>
      <w:szCs w:val="21"/>
      <w:u w:val="none"/>
    </w:rPr>
  </w:style>
  <w:style w:type="character" w:customStyle="1" w:styleId="55">
    <w:name w:val="批注框文本 字符"/>
    <w:basedOn w:val="21"/>
    <w:link w:val="15"/>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58</Pages>
  <Words>26155</Words>
  <Characters>3529</Characters>
  <Lines>29</Lines>
  <Paragraphs>59</Paragraphs>
  <TotalTime>419</TotalTime>
  <ScaleCrop>false</ScaleCrop>
  <LinksUpToDate>false</LinksUpToDate>
  <CharactersWithSpaces>29625</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2025-05-07T15:10:00Z</dcterms:created>
  <dc:creator>admin</dc:creator>
  <cp:lastModifiedBy>张姝雅</cp:lastModifiedBy>
  <dcterms:modified xsi:type="dcterms:W3CDTF">2025-05-22T14:46:27Z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198B399A99A4D804E68E2D68568A35B0_43</vt:lpwstr>
  </property>
</Properties>
</file>